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B4404D">
      <w:pPr>
        <w:pStyle w:val="19"/>
        <w:rPr>
          <w:rFonts w:ascii="仿宋" w:hAnsi="仿宋" w:eastAsia="仿宋"/>
          <w:color w:val="auto"/>
          <w:spacing w:val="30"/>
          <w:kern w:val="52"/>
          <w:sz w:val="64"/>
          <w:szCs w:val="64"/>
        </w:rPr>
      </w:pPr>
    </w:p>
    <w:p w14:paraId="0C8E9363">
      <w:pPr>
        <w:pStyle w:val="6"/>
        <w:rPr>
          <w:rFonts w:hint="default" w:ascii="仿宋" w:hAnsi="仿宋" w:eastAsia="仿宋"/>
          <w:color w:val="auto"/>
          <w:spacing w:val="30"/>
          <w:kern w:val="52"/>
          <w:sz w:val="64"/>
          <w:szCs w:val="64"/>
        </w:rPr>
      </w:pPr>
    </w:p>
    <w:p w14:paraId="742427F3">
      <w:pPr>
        <w:pStyle w:val="26"/>
        <w:jc w:val="center"/>
        <w:rPr>
          <w:rFonts w:ascii="仿宋" w:hAnsi="仿宋" w:eastAsia="仿宋"/>
          <w:color w:val="auto"/>
          <w:spacing w:val="30"/>
          <w:kern w:val="52"/>
          <w:sz w:val="64"/>
          <w:szCs w:val="64"/>
        </w:rPr>
      </w:pPr>
      <w:r>
        <w:rPr>
          <w:rFonts w:ascii="仿宋" w:hAnsi="仿宋" w:eastAsia="仿宋"/>
          <w:color w:val="auto"/>
          <w:spacing w:val="30"/>
          <w:kern w:val="52"/>
          <w:sz w:val="64"/>
          <w:szCs w:val="64"/>
        </w:rPr>
        <w:t>广西科文招标有限公司</w:t>
      </w:r>
    </w:p>
    <w:p w14:paraId="2C896112">
      <w:pPr>
        <w:pStyle w:val="26"/>
        <w:jc w:val="center"/>
        <w:rPr>
          <w:rFonts w:ascii="仿宋" w:hAnsi="仿宋" w:eastAsia="仿宋"/>
          <w:color w:val="auto"/>
          <w:spacing w:val="28"/>
          <w:sz w:val="64"/>
          <w:szCs w:val="64"/>
        </w:rPr>
      </w:pPr>
      <w:r>
        <w:rPr>
          <w:rFonts w:ascii="仿宋" w:hAnsi="仿宋" w:eastAsia="仿宋"/>
          <w:b/>
          <w:color w:val="auto"/>
          <w:spacing w:val="-18"/>
          <w:sz w:val="64"/>
          <w:szCs w:val="64"/>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5486400" cy="0"/>
                <wp:effectExtent l="0" t="6350" r="0" b="6350"/>
                <wp:wrapNone/>
                <wp:docPr id="1" name="Line 2"/>
                <wp:cNvGraphicFramePr/>
                <a:graphic xmlns:a="http://schemas.openxmlformats.org/drawingml/2006/main">
                  <a:graphicData uri="http://schemas.microsoft.com/office/word/2010/wordprocessingShape">
                    <wps:wsp>
                      <wps:cNvCnPr/>
                      <wps:spPr>
                        <a:xfrm>
                          <a:off x="0" y="0"/>
                          <a:ext cx="548640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Line 2" o:spid="_x0000_s1026" o:spt="20" style="position:absolute;left:0pt;margin-left:27pt;margin-top:7.8pt;height:0pt;width:432pt;z-index:251659264;mso-width-relative:page;mso-height-relative:page;" filled="f" stroked="t" coordsize="21600,21600" o:gfxdata="UEsDBAoAAAAAAIdO4kAAAAAAAAAAAAAAAAAEAAAAZHJzL1BLAwQUAAAACACHTuJAqhQAKNYAAAAI&#10;AQAADwAAAGRycy9kb3ducmV2LnhtbE2PzU7DMBCE70i8g7VI3KiTipY0jdMDqKpAXNoicd0mSxyI&#10;12ns/vD2LOoBjvvNaHamWJxdp440hNazgXSUgCKufN1yY+Btu7zLQIWIXGPnmQx8U4BFeX1VYF77&#10;E6/puImNkhAOORqwMfa51qGy5DCMfE8s2ocfHEY5h0bXA54k3HV6nCRT7bBl+WCxp0dL1dfm4Azg&#10;02od37Pxy0P7bF8/t8v9ymZ7Y25v0mQOKtI5/pnht75Uh1I67fyB66A6A5N7mRKFT6agRJ+lmYDd&#10;Beiy0P8HlD9QSwMEFAAAAAgAh07iQCXds+HWAQAA3AMAAA4AAABkcnMvZTJvRG9jLnhtbK1TTW/b&#10;MAy9D+h/EHRvnAZdVxhxemjWXYotwLYfwEh0LEBfENU4+fej5DRru0sO80GmROqR75FaPhycFXtM&#10;ZILv5M1sLgV6FbTxu07+/vV0fS8FZfAabPDYySOSfFhdfVqOscVFGILVmASDeGrH2Mkh59g2DakB&#10;HdAsRPTs7ENykHmbdo1OMDK6s81iPr9rxpB0TEEhEZ+uJ6c8IaZLAEPfG4XroF4c+jyhJrSQmRIN&#10;JpJc1Wr7HlX+0feEWdhOMtNcV07C9raszWoJ7S5BHIw6lQCXlPCBkwPjOekZag0ZxEsy/0A5o1Kg&#10;0OeZCq6ZiFRFmMXN/IM2PweIWLmw1BTPotP/g1Xf95skjOZJkMKD44Y/G49iUZQZI7Uc8Og36bSj&#10;uEmF5qFPrvyZgDhUNY9nNfGQheLDz7f3d7dzFlq9+pq/F2Oi/A2DE8XopOWcVT/YP1PmZBz6GlLy&#10;WC9GLnHxpeIBj13P7WZoF7l08rt6mYI1+slYW65Q2m0fbRJ7KK2vX+HEwO/CSpY10DDFVdc0FAOC&#10;/uq1yMfIonh+C7LU4FBLYZGfTrEYENoMxl4SyamtLxewDuaJaBF5krVY26CPVe2m7LjpteLTgJap&#10;ertn++2jXP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qhQAKNYAAAAIAQAADwAAAAAAAAABACAA&#10;AAAiAAAAZHJzL2Rvd25yZXYueG1sUEsBAhQAFAAAAAgAh07iQCXds+HWAQAA3AMAAA4AAAAAAAAA&#10;AQAgAAAAJQEAAGRycy9lMm9Eb2MueG1sUEsFBgAAAAAGAAYAWQEAAG0FAAAAAA==&#10;">
                <v:fill on="f" focussize="0,0"/>
                <v:stroke weight="1pt" color="#000000" joinstyle="round"/>
                <v:imagedata o:title=""/>
                <o:lock v:ext="edit" aspectratio="f"/>
              </v:line>
            </w:pict>
          </mc:Fallback>
        </mc:AlternateContent>
      </w:r>
    </w:p>
    <w:p w14:paraId="09777FA5">
      <w:pPr>
        <w:snapToGrid w:val="0"/>
        <w:spacing w:beforeLines="50" w:line="360" w:lineRule="auto"/>
        <w:jc w:val="center"/>
        <w:rPr>
          <w:rFonts w:ascii="仿宋" w:hAnsi="仿宋" w:eastAsia="仿宋"/>
          <w:color w:val="auto"/>
          <w:sz w:val="120"/>
          <w:szCs w:val="120"/>
        </w:rPr>
      </w:pPr>
      <w:r>
        <w:rPr>
          <w:rFonts w:hint="eastAsia" w:ascii="仿宋" w:hAnsi="仿宋" w:eastAsia="仿宋"/>
          <w:color w:val="auto"/>
          <w:sz w:val="120"/>
          <w:szCs w:val="120"/>
        </w:rPr>
        <w:t>招 标 文 件</w:t>
      </w:r>
    </w:p>
    <w:p w14:paraId="6BE9D931">
      <w:pPr>
        <w:spacing w:beforeLines="100" w:afterLines="50" w:line="360" w:lineRule="auto"/>
        <w:jc w:val="center"/>
        <w:rPr>
          <w:rFonts w:ascii="仿宋" w:hAnsi="仿宋" w:eastAsia="仿宋" w:cs="宋体"/>
          <w:color w:val="auto"/>
          <w:sz w:val="28"/>
          <w:szCs w:val="21"/>
        </w:rPr>
      </w:pPr>
      <w:r>
        <w:rPr>
          <w:rFonts w:hint="eastAsia" w:ascii="仿宋" w:hAnsi="仿宋" w:eastAsia="仿宋" w:cs="宋体"/>
          <w:color w:val="auto"/>
          <w:sz w:val="28"/>
          <w:szCs w:val="21"/>
        </w:rPr>
        <w:t>（全流程电子化评标）</w:t>
      </w:r>
    </w:p>
    <w:p w14:paraId="1A85CBA0">
      <w:pPr>
        <w:pStyle w:val="26"/>
        <w:snapToGrid w:val="0"/>
        <w:spacing w:line="360" w:lineRule="auto"/>
        <w:ind w:firstLine="1977" w:firstLineChars="691"/>
        <w:rPr>
          <w:rFonts w:ascii="仿宋" w:hAnsi="仿宋" w:eastAsia="仿宋"/>
          <w:b/>
          <w:bCs/>
          <w:color w:val="auto"/>
          <w:w w:val="95"/>
          <w:sz w:val="30"/>
          <w:szCs w:val="30"/>
        </w:rPr>
      </w:pPr>
    </w:p>
    <w:p w14:paraId="7503EA40">
      <w:pPr>
        <w:pStyle w:val="26"/>
        <w:snapToGrid w:val="0"/>
        <w:spacing w:line="360" w:lineRule="auto"/>
        <w:ind w:firstLine="1977" w:firstLineChars="691"/>
        <w:rPr>
          <w:rFonts w:ascii="仿宋" w:hAnsi="仿宋" w:eastAsia="仿宋"/>
          <w:b/>
          <w:bCs/>
          <w:color w:val="auto"/>
          <w:w w:val="95"/>
          <w:sz w:val="30"/>
          <w:szCs w:val="30"/>
        </w:rPr>
      </w:pPr>
    </w:p>
    <w:p w14:paraId="5CA9F9B4">
      <w:pPr>
        <w:pStyle w:val="26"/>
        <w:snapToGrid w:val="0"/>
        <w:spacing w:line="360" w:lineRule="auto"/>
        <w:ind w:left="596" w:leftChars="284" w:firstLine="1145" w:firstLineChars="400"/>
        <w:rPr>
          <w:rFonts w:hint="eastAsia" w:ascii="仿宋" w:hAnsi="仿宋" w:eastAsia="仿宋"/>
          <w:b/>
          <w:bCs/>
          <w:color w:val="auto"/>
          <w:w w:val="95"/>
          <w:sz w:val="30"/>
          <w:szCs w:val="30"/>
          <w:lang w:eastAsia="zh-CN"/>
        </w:rPr>
      </w:pPr>
      <w:r>
        <w:rPr>
          <w:rFonts w:hint="eastAsia" w:ascii="仿宋" w:hAnsi="仿宋" w:eastAsia="仿宋"/>
          <w:b/>
          <w:bCs/>
          <w:color w:val="auto"/>
          <w:w w:val="95"/>
          <w:sz w:val="30"/>
          <w:szCs w:val="30"/>
        </w:rPr>
        <w:t>项目名称：</w:t>
      </w:r>
      <w:r>
        <w:rPr>
          <w:rFonts w:hint="eastAsia" w:ascii="仿宋" w:hAnsi="仿宋" w:eastAsia="仿宋"/>
          <w:b/>
          <w:bCs/>
          <w:color w:val="auto"/>
          <w:w w:val="95"/>
          <w:sz w:val="30"/>
          <w:szCs w:val="30"/>
          <w:lang w:eastAsia="zh-CN"/>
        </w:rPr>
        <w:t>广西机电工程学校专用设备采购</w:t>
      </w:r>
    </w:p>
    <w:p w14:paraId="1E9206D3">
      <w:pPr>
        <w:pStyle w:val="26"/>
        <w:snapToGrid w:val="0"/>
        <w:spacing w:line="360" w:lineRule="auto"/>
        <w:ind w:firstLine="1717" w:firstLineChars="600"/>
        <w:rPr>
          <w:rFonts w:hint="eastAsia" w:ascii="仿宋" w:hAnsi="仿宋" w:eastAsia="仿宋"/>
          <w:b/>
          <w:bCs/>
          <w:color w:val="auto"/>
          <w:w w:val="95"/>
          <w:sz w:val="30"/>
          <w:szCs w:val="30"/>
          <w:lang w:eastAsia="zh-CN"/>
        </w:rPr>
      </w:pPr>
      <w:r>
        <w:rPr>
          <w:rFonts w:hint="eastAsia" w:ascii="仿宋" w:hAnsi="仿宋" w:eastAsia="仿宋"/>
          <w:b/>
          <w:bCs/>
          <w:color w:val="auto"/>
          <w:w w:val="95"/>
          <w:sz w:val="30"/>
          <w:szCs w:val="30"/>
        </w:rPr>
        <w:t>项目编号：</w:t>
      </w:r>
      <w:r>
        <w:rPr>
          <w:rFonts w:hint="eastAsia" w:ascii="仿宋" w:hAnsi="仿宋" w:eastAsia="仿宋"/>
          <w:b/>
          <w:bCs/>
          <w:color w:val="auto"/>
          <w:w w:val="95"/>
          <w:sz w:val="30"/>
          <w:szCs w:val="30"/>
          <w:lang w:eastAsia="zh-CN"/>
        </w:rPr>
        <w:t>GXZC2026-G1-001631-KWZB</w:t>
      </w:r>
    </w:p>
    <w:p w14:paraId="2A70803B">
      <w:pPr>
        <w:pStyle w:val="26"/>
        <w:snapToGrid w:val="0"/>
        <w:spacing w:line="360" w:lineRule="auto"/>
        <w:ind w:firstLine="1977" w:firstLineChars="691"/>
        <w:rPr>
          <w:rFonts w:ascii="仿宋" w:hAnsi="仿宋" w:eastAsia="仿宋"/>
          <w:b/>
          <w:bCs/>
          <w:color w:val="auto"/>
          <w:w w:val="95"/>
          <w:sz w:val="30"/>
          <w:szCs w:val="30"/>
        </w:rPr>
      </w:pPr>
    </w:p>
    <w:p w14:paraId="3E77E58D">
      <w:pPr>
        <w:pStyle w:val="26"/>
        <w:snapToGrid w:val="0"/>
        <w:spacing w:line="360" w:lineRule="auto"/>
        <w:ind w:firstLine="1977" w:firstLineChars="691"/>
        <w:rPr>
          <w:rFonts w:ascii="仿宋" w:hAnsi="仿宋" w:eastAsia="仿宋"/>
          <w:b/>
          <w:bCs/>
          <w:color w:val="auto"/>
          <w:w w:val="95"/>
          <w:sz w:val="30"/>
          <w:szCs w:val="30"/>
        </w:rPr>
      </w:pPr>
    </w:p>
    <w:p w14:paraId="288AF662">
      <w:pPr>
        <w:pStyle w:val="26"/>
        <w:snapToGrid w:val="0"/>
        <w:spacing w:line="360" w:lineRule="auto"/>
        <w:ind w:firstLine="1977" w:firstLineChars="691"/>
        <w:rPr>
          <w:rFonts w:ascii="仿宋" w:hAnsi="仿宋" w:eastAsia="仿宋"/>
          <w:b/>
          <w:bCs/>
          <w:color w:val="auto"/>
          <w:w w:val="95"/>
          <w:sz w:val="30"/>
          <w:szCs w:val="30"/>
        </w:rPr>
      </w:pPr>
    </w:p>
    <w:p w14:paraId="26644765">
      <w:pPr>
        <w:pStyle w:val="26"/>
        <w:snapToGrid w:val="0"/>
        <w:spacing w:line="360" w:lineRule="auto"/>
        <w:ind w:firstLine="1977" w:firstLineChars="691"/>
        <w:rPr>
          <w:rFonts w:hint="eastAsia" w:ascii="仿宋" w:hAnsi="仿宋" w:eastAsia="仿宋"/>
          <w:b/>
          <w:bCs/>
          <w:color w:val="auto"/>
          <w:w w:val="95"/>
          <w:sz w:val="30"/>
          <w:szCs w:val="30"/>
          <w:lang w:eastAsia="zh-CN"/>
        </w:rPr>
      </w:pPr>
      <w:r>
        <w:rPr>
          <w:rFonts w:hint="eastAsia" w:ascii="仿宋" w:hAnsi="仿宋" w:eastAsia="仿宋"/>
          <w:b/>
          <w:bCs/>
          <w:color w:val="auto"/>
          <w:w w:val="95"/>
          <w:sz w:val="30"/>
          <w:szCs w:val="30"/>
        </w:rPr>
        <w:t>采 购 人：</w:t>
      </w:r>
      <w:r>
        <w:rPr>
          <w:rFonts w:hint="eastAsia" w:ascii="仿宋" w:hAnsi="仿宋" w:eastAsia="仿宋"/>
          <w:b/>
          <w:bCs/>
          <w:color w:val="auto"/>
          <w:w w:val="95"/>
          <w:sz w:val="30"/>
          <w:szCs w:val="30"/>
          <w:lang w:eastAsia="zh-CN"/>
        </w:rPr>
        <w:t>广西机电工程学校</w:t>
      </w:r>
    </w:p>
    <w:p w14:paraId="65D43ABF">
      <w:pPr>
        <w:pStyle w:val="26"/>
        <w:snapToGrid w:val="0"/>
        <w:spacing w:line="360" w:lineRule="auto"/>
        <w:ind w:firstLine="1977" w:firstLineChars="691"/>
        <w:rPr>
          <w:rFonts w:ascii="仿宋" w:hAnsi="仿宋" w:eastAsia="仿宋"/>
          <w:b/>
          <w:bCs/>
          <w:color w:val="auto"/>
          <w:w w:val="95"/>
          <w:sz w:val="30"/>
          <w:szCs w:val="30"/>
        </w:rPr>
      </w:pPr>
      <w:r>
        <w:rPr>
          <w:rFonts w:hint="eastAsia" w:ascii="仿宋" w:hAnsi="仿宋" w:eastAsia="仿宋"/>
          <w:b/>
          <w:bCs/>
          <w:color w:val="auto"/>
          <w:w w:val="95"/>
          <w:sz w:val="30"/>
          <w:szCs w:val="30"/>
        </w:rPr>
        <w:t>采购代理机构：广西科文招标有限公司</w:t>
      </w:r>
    </w:p>
    <w:p w14:paraId="6AD7ABD8">
      <w:pPr>
        <w:pStyle w:val="26"/>
        <w:snapToGrid w:val="0"/>
        <w:spacing w:line="360" w:lineRule="auto"/>
        <w:ind w:firstLine="1125" w:firstLineChars="393"/>
        <w:rPr>
          <w:rFonts w:ascii="仿宋" w:hAnsi="仿宋" w:eastAsia="仿宋"/>
          <w:b/>
          <w:bCs/>
          <w:color w:val="auto"/>
          <w:w w:val="95"/>
          <w:sz w:val="30"/>
          <w:szCs w:val="30"/>
        </w:rPr>
      </w:pPr>
    </w:p>
    <w:p w14:paraId="6F7B2E59">
      <w:pPr>
        <w:pStyle w:val="26"/>
        <w:snapToGrid w:val="0"/>
        <w:spacing w:line="360" w:lineRule="auto"/>
        <w:jc w:val="center"/>
        <w:rPr>
          <w:rFonts w:hint="default" w:ascii="仿宋" w:hAnsi="仿宋" w:eastAsia="仿宋"/>
          <w:color w:val="auto"/>
          <w:sz w:val="40"/>
          <w:lang w:val="en-US" w:eastAsia="zh-CN"/>
        </w:rPr>
        <w:sectPr>
          <w:footerReference r:id="rId4" w:type="first"/>
          <w:headerReference r:id="rId3" w:type="default"/>
          <w:pgSz w:w="11906" w:h="16838"/>
          <w:pgMar w:top="1134" w:right="849" w:bottom="1134" w:left="1134" w:header="851" w:footer="567" w:gutter="0"/>
          <w:pgNumType w:start="1"/>
          <w:cols w:space="720" w:num="1"/>
          <w:docGrid w:linePitch="312" w:charSpace="0"/>
        </w:sectPr>
      </w:pPr>
      <w:r>
        <w:rPr>
          <w:rFonts w:hint="eastAsia" w:ascii="仿宋" w:hAnsi="仿宋" w:eastAsia="仿宋"/>
          <w:b/>
          <w:bCs/>
          <w:color w:val="auto"/>
          <w:w w:val="95"/>
          <w:sz w:val="30"/>
          <w:szCs w:val="30"/>
        </w:rPr>
        <w:t>202</w:t>
      </w:r>
      <w:r>
        <w:rPr>
          <w:rFonts w:hint="eastAsia" w:ascii="仿宋" w:hAnsi="仿宋" w:eastAsia="仿宋"/>
          <w:b/>
          <w:bCs/>
          <w:color w:val="auto"/>
          <w:w w:val="95"/>
          <w:sz w:val="30"/>
          <w:szCs w:val="30"/>
          <w:lang w:val="en-US" w:eastAsia="zh-CN"/>
        </w:rPr>
        <w:t>6</w:t>
      </w:r>
      <w:r>
        <w:rPr>
          <w:rFonts w:hint="eastAsia" w:ascii="仿宋" w:hAnsi="仿宋" w:eastAsia="仿宋"/>
          <w:b/>
          <w:bCs/>
          <w:color w:val="auto"/>
          <w:w w:val="95"/>
          <w:sz w:val="30"/>
          <w:szCs w:val="30"/>
        </w:rPr>
        <w:t>年</w:t>
      </w:r>
      <w:r>
        <w:rPr>
          <w:rFonts w:hint="eastAsia" w:ascii="仿宋" w:hAnsi="仿宋" w:eastAsia="仿宋"/>
          <w:b/>
          <w:bCs/>
          <w:color w:val="auto"/>
          <w:w w:val="95"/>
          <w:sz w:val="30"/>
          <w:szCs w:val="30"/>
          <w:lang w:val="en-US" w:eastAsia="zh-CN"/>
        </w:rPr>
        <w:t>6</w:t>
      </w:r>
      <w:r>
        <w:rPr>
          <w:rFonts w:hint="eastAsia" w:ascii="仿宋" w:hAnsi="仿宋" w:eastAsia="仿宋"/>
          <w:b/>
          <w:bCs/>
          <w:color w:val="auto"/>
          <w:w w:val="95"/>
          <w:sz w:val="30"/>
          <w:szCs w:val="30"/>
        </w:rPr>
        <w:t>月</w:t>
      </w:r>
      <w:r>
        <w:rPr>
          <w:rFonts w:hint="eastAsia" w:ascii="仿宋" w:hAnsi="仿宋" w:eastAsia="仿宋"/>
          <w:b/>
          <w:bCs/>
          <w:color w:val="auto"/>
          <w:w w:val="95"/>
          <w:sz w:val="30"/>
          <w:szCs w:val="30"/>
          <w:lang w:val="en-US" w:eastAsia="zh-CN"/>
        </w:rPr>
        <w:t>5日</w:t>
      </w:r>
    </w:p>
    <w:p w14:paraId="6361F4F0">
      <w:pPr>
        <w:rPr>
          <w:color w:val="auto"/>
        </w:rPr>
      </w:pPr>
    </w:p>
    <w:p w14:paraId="6553A076">
      <w:pPr>
        <w:rPr>
          <w:color w:val="auto"/>
        </w:rPr>
      </w:pPr>
    </w:p>
    <w:p w14:paraId="3E3680ED">
      <w:pPr>
        <w:pStyle w:val="26"/>
        <w:spacing w:before="120" w:after="120" w:line="360" w:lineRule="auto"/>
        <w:jc w:val="center"/>
        <w:rPr>
          <w:rFonts w:ascii="仿宋" w:hAnsi="仿宋" w:eastAsia="仿宋"/>
          <w:color w:val="auto"/>
        </w:rPr>
      </w:pPr>
    </w:p>
    <w:p w14:paraId="777CA555">
      <w:pPr>
        <w:spacing w:line="360" w:lineRule="auto"/>
        <w:jc w:val="center"/>
        <w:rPr>
          <w:rFonts w:ascii="仿宋" w:hAnsi="仿宋" w:eastAsia="仿宋"/>
          <w:b/>
          <w:color w:val="auto"/>
          <w:sz w:val="44"/>
          <w:szCs w:val="44"/>
        </w:rPr>
      </w:pPr>
      <w:r>
        <w:rPr>
          <w:rFonts w:hint="eastAsia" w:ascii="仿宋" w:hAnsi="仿宋" w:eastAsia="仿宋"/>
          <w:b/>
          <w:color w:val="auto"/>
          <w:sz w:val="44"/>
          <w:szCs w:val="44"/>
        </w:rPr>
        <w:t>目  录</w:t>
      </w:r>
    </w:p>
    <w:p w14:paraId="1CD38BEA">
      <w:pPr>
        <w:pStyle w:val="34"/>
        <w:rPr>
          <w:rFonts w:ascii="仿宋" w:hAnsi="仿宋" w:eastAsia="仿宋"/>
          <w:b w:val="0"/>
          <w:bCs w:val="0"/>
          <w:caps w:val="0"/>
          <w:color w:val="auto"/>
          <w:sz w:val="21"/>
          <w:szCs w:val="22"/>
        </w:rPr>
      </w:pPr>
      <w:r>
        <w:rPr>
          <w:rFonts w:ascii="仿宋" w:hAnsi="仿宋" w:eastAsia="仿宋"/>
          <w:b w:val="0"/>
          <w:color w:val="auto"/>
        </w:rPr>
        <w:fldChar w:fldCharType="begin"/>
      </w:r>
      <w:r>
        <w:rPr>
          <w:rFonts w:hint="eastAsia" w:ascii="仿宋" w:hAnsi="仿宋" w:eastAsia="仿宋"/>
          <w:b w:val="0"/>
          <w:color w:val="auto"/>
        </w:rPr>
        <w:instrText xml:space="preserve">TOC \o "1-2" \h \z \u</w:instrText>
      </w:r>
      <w:r>
        <w:rPr>
          <w:rFonts w:ascii="仿宋" w:hAnsi="仿宋" w:eastAsia="仿宋"/>
          <w:b w:val="0"/>
          <w:color w:val="auto"/>
        </w:rPr>
        <w:fldChar w:fldCharType="separate"/>
      </w:r>
      <w:r>
        <w:rPr>
          <w:color w:val="auto"/>
        </w:rPr>
        <w:fldChar w:fldCharType="begin"/>
      </w:r>
      <w:r>
        <w:rPr>
          <w:color w:val="auto"/>
        </w:rPr>
        <w:instrText xml:space="preserve"> HYPERLINK \l "_Toc74320800" </w:instrText>
      </w:r>
      <w:r>
        <w:rPr>
          <w:color w:val="auto"/>
        </w:rPr>
        <w:fldChar w:fldCharType="separate"/>
      </w:r>
      <w:r>
        <w:rPr>
          <w:rStyle w:val="54"/>
          <w:rFonts w:hint="eastAsia" w:ascii="仿宋" w:hAnsi="仿宋" w:eastAsia="仿宋"/>
          <w:color w:val="auto"/>
        </w:rPr>
        <w:t>第一章 招标公告</w:t>
      </w:r>
      <w:r>
        <w:rPr>
          <w:rFonts w:ascii="仿宋" w:hAnsi="仿宋" w:eastAsia="仿宋"/>
          <w:color w:val="auto"/>
        </w:rPr>
        <w:tab/>
      </w:r>
      <w:r>
        <w:rPr>
          <w:rFonts w:ascii="仿宋" w:hAnsi="仿宋" w:eastAsia="仿宋"/>
          <w:color w:val="auto"/>
        </w:rPr>
        <w:fldChar w:fldCharType="begin"/>
      </w:r>
      <w:r>
        <w:rPr>
          <w:rFonts w:ascii="仿宋" w:hAnsi="仿宋" w:eastAsia="仿宋"/>
          <w:color w:val="auto"/>
        </w:rPr>
        <w:instrText xml:space="preserve"> PAGEREF _Toc74320800 \h </w:instrText>
      </w:r>
      <w:r>
        <w:rPr>
          <w:rFonts w:ascii="仿宋" w:hAnsi="仿宋" w:eastAsia="仿宋"/>
          <w:color w:val="auto"/>
        </w:rPr>
        <w:fldChar w:fldCharType="separate"/>
      </w:r>
      <w:r>
        <w:rPr>
          <w:rFonts w:ascii="仿宋" w:hAnsi="仿宋" w:eastAsia="仿宋"/>
          <w:color w:val="auto"/>
        </w:rPr>
        <w:t>2</w:t>
      </w:r>
      <w:r>
        <w:rPr>
          <w:rFonts w:ascii="仿宋" w:hAnsi="仿宋" w:eastAsia="仿宋"/>
          <w:color w:val="auto"/>
        </w:rPr>
        <w:fldChar w:fldCharType="end"/>
      </w:r>
      <w:r>
        <w:rPr>
          <w:rFonts w:ascii="仿宋" w:hAnsi="仿宋" w:eastAsia="仿宋"/>
          <w:color w:val="auto"/>
        </w:rPr>
        <w:fldChar w:fldCharType="end"/>
      </w:r>
    </w:p>
    <w:p w14:paraId="6F5392C9">
      <w:pPr>
        <w:pStyle w:val="34"/>
        <w:ind w:firstLine="241"/>
        <w:rPr>
          <w:rFonts w:ascii="仿宋" w:hAnsi="仿宋" w:eastAsia="仿宋"/>
          <w:b w:val="0"/>
          <w:bCs w:val="0"/>
          <w:caps w:val="0"/>
          <w:color w:val="auto"/>
          <w:sz w:val="21"/>
          <w:szCs w:val="22"/>
        </w:rPr>
      </w:pPr>
      <w:r>
        <w:rPr>
          <w:color w:val="auto"/>
        </w:rPr>
        <w:fldChar w:fldCharType="begin"/>
      </w:r>
      <w:r>
        <w:rPr>
          <w:color w:val="auto"/>
        </w:rPr>
        <w:instrText xml:space="preserve"> HYPERLINK \l "_Toc74320801" </w:instrText>
      </w:r>
      <w:r>
        <w:rPr>
          <w:color w:val="auto"/>
        </w:rPr>
        <w:fldChar w:fldCharType="separate"/>
      </w:r>
      <w:r>
        <w:rPr>
          <w:rStyle w:val="54"/>
          <w:rFonts w:hint="eastAsia" w:ascii="仿宋" w:hAnsi="仿宋" w:eastAsia="仿宋"/>
          <w:color w:val="auto"/>
        </w:rPr>
        <w:t>第二章 采购需求</w:t>
      </w:r>
      <w:r>
        <w:rPr>
          <w:rFonts w:ascii="仿宋" w:hAnsi="仿宋" w:eastAsia="仿宋"/>
          <w:color w:val="auto"/>
        </w:rPr>
        <w:tab/>
      </w:r>
      <w:r>
        <w:rPr>
          <w:rFonts w:ascii="仿宋" w:hAnsi="仿宋" w:eastAsia="仿宋"/>
          <w:color w:val="auto"/>
        </w:rPr>
        <w:fldChar w:fldCharType="begin"/>
      </w:r>
      <w:r>
        <w:rPr>
          <w:rFonts w:ascii="仿宋" w:hAnsi="仿宋" w:eastAsia="仿宋"/>
          <w:color w:val="auto"/>
        </w:rPr>
        <w:instrText xml:space="preserve"> PAGEREF _Toc74320801 \h </w:instrText>
      </w:r>
      <w:r>
        <w:rPr>
          <w:rFonts w:ascii="仿宋" w:hAnsi="仿宋" w:eastAsia="仿宋"/>
          <w:color w:val="auto"/>
        </w:rPr>
        <w:fldChar w:fldCharType="separate"/>
      </w:r>
      <w:r>
        <w:rPr>
          <w:rFonts w:ascii="仿宋" w:hAnsi="仿宋" w:eastAsia="仿宋"/>
          <w:color w:val="auto"/>
        </w:rPr>
        <w:t>6</w:t>
      </w:r>
      <w:r>
        <w:rPr>
          <w:rFonts w:ascii="仿宋" w:hAnsi="仿宋" w:eastAsia="仿宋"/>
          <w:color w:val="auto"/>
        </w:rPr>
        <w:fldChar w:fldCharType="end"/>
      </w:r>
      <w:r>
        <w:rPr>
          <w:rFonts w:ascii="仿宋" w:hAnsi="仿宋" w:eastAsia="仿宋"/>
          <w:color w:val="auto"/>
        </w:rPr>
        <w:fldChar w:fldCharType="end"/>
      </w:r>
    </w:p>
    <w:p w14:paraId="7D45FB7E">
      <w:pPr>
        <w:pStyle w:val="34"/>
        <w:ind w:firstLine="241"/>
        <w:rPr>
          <w:rFonts w:ascii="仿宋" w:hAnsi="仿宋" w:eastAsia="仿宋"/>
          <w:b w:val="0"/>
          <w:bCs w:val="0"/>
          <w:caps w:val="0"/>
          <w:color w:val="auto"/>
          <w:sz w:val="21"/>
          <w:szCs w:val="22"/>
        </w:rPr>
      </w:pPr>
      <w:r>
        <w:rPr>
          <w:color w:val="auto"/>
        </w:rPr>
        <w:fldChar w:fldCharType="begin"/>
      </w:r>
      <w:r>
        <w:rPr>
          <w:color w:val="auto"/>
        </w:rPr>
        <w:instrText xml:space="preserve"> HYPERLINK \l "_Toc74320802" </w:instrText>
      </w:r>
      <w:r>
        <w:rPr>
          <w:color w:val="auto"/>
        </w:rPr>
        <w:fldChar w:fldCharType="separate"/>
      </w:r>
      <w:r>
        <w:rPr>
          <w:rStyle w:val="54"/>
          <w:rFonts w:hint="eastAsia" w:ascii="仿宋" w:hAnsi="仿宋" w:eastAsia="仿宋"/>
          <w:color w:val="auto"/>
        </w:rPr>
        <w:t>第三章 投标人须</w:t>
      </w:r>
      <w:bookmarkStart w:id="0" w:name="_Hlt79572745"/>
      <w:bookmarkStart w:id="1" w:name="_Hlt79572744"/>
      <w:r>
        <w:rPr>
          <w:rStyle w:val="54"/>
          <w:rFonts w:hint="eastAsia" w:ascii="仿宋" w:hAnsi="仿宋" w:eastAsia="仿宋"/>
          <w:color w:val="auto"/>
        </w:rPr>
        <w:t>知</w:t>
      </w:r>
      <w:bookmarkEnd w:id="0"/>
      <w:bookmarkEnd w:id="1"/>
      <w:r>
        <w:rPr>
          <w:rFonts w:ascii="仿宋" w:hAnsi="仿宋" w:eastAsia="仿宋"/>
          <w:color w:val="auto"/>
        </w:rPr>
        <w:tab/>
      </w:r>
      <w:r>
        <w:rPr>
          <w:rFonts w:ascii="仿宋" w:hAnsi="仿宋" w:eastAsia="仿宋"/>
          <w:color w:val="auto"/>
        </w:rPr>
        <w:fldChar w:fldCharType="begin"/>
      </w:r>
      <w:r>
        <w:rPr>
          <w:rFonts w:ascii="仿宋" w:hAnsi="仿宋" w:eastAsia="仿宋"/>
          <w:color w:val="auto"/>
        </w:rPr>
        <w:instrText xml:space="preserve"> PAGEREF _Toc74320802 \h </w:instrText>
      </w:r>
      <w:r>
        <w:rPr>
          <w:rFonts w:ascii="仿宋" w:hAnsi="仿宋" w:eastAsia="仿宋"/>
          <w:color w:val="auto"/>
        </w:rPr>
        <w:fldChar w:fldCharType="separate"/>
      </w:r>
      <w:r>
        <w:rPr>
          <w:rFonts w:ascii="仿宋" w:hAnsi="仿宋" w:eastAsia="仿宋"/>
          <w:color w:val="auto"/>
        </w:rPr>
        <w:t>22</w:t>
      </w:r>
      <w:r>
        <w:rPr>
          <w:rFonts w:ascii="仿宋" w:hAnsi="仿宋" w:eastAsia="仿宋"/>
          <w:color w:val="auto"/>
        </w:rPr>
        <w:fldChar w:fldCharType="end"/>
      </w:r>
      <w:r>
        <w:rPr>
          <w:rFonts w:ascii="仿宋" w:hAnsi="仿宋" w:eastAsia="仿宋"/>
          <w:color w:val="auto"/>
        </w:rPr>
        <w:fldChar w:fldCharType="end"/>
      </w:r>
    </w:p>
    <w:p w14:paraId="66751784">
      <w:pPr>
        <w:pStyle w:val="34"/>
        <w:ind w:firstLine="241"/>
        <w:rPr>
          <w:rFonts w:ascii="仿宋" w:hAnsi="仿宋" w:eastAsia="仿宋"/>
          <w:b w:val="0"/>
          <w:bCs w:val="0"/>
          <w:caps w:val="0"/>
          <w:color w:val="auto"/>
          <w:sz w:val="21"/>
          <w:szCs w:val="22"/>
        </w:rPr>
      </w:pPr>
      <w:r>
        <w:rPr>
          <w:color w:val="auto"/>
        </w:rPr>
        <w:fldChar w:fldCharType="begin"/>
      </w:r>
      <w:r>
        <w:rPr>
          <w:color w:val="auto"/>
        </w:rPr>
        <w:instrText xml:space="preserve"> HYPERLINK \l "_Toc74320803" </w:instrText>
      </w:r>
      <w:r>
        <w:rPr>
          <w:color w:val="auto"/>
        </w:rPr>
        <w:fldChar w:fldCharType="separate"/>
      </w:r>
      <w:r>
        <w:rPr>
          <w:rStyle w:val="54"/>
          <w:rFonts w:hint="eastAsia" w:ascii="仿宋" w:hAnsi="仿宋" w:eastAsia="仿宋"/>
          <w:color w:val="auto"/>
        </w:rPr>
        <w:t>第四章 评标方</w:t>
      </w:r>
      <w:bookmarkStart w:id="2" w:name="_Hlt82186274"/>
      <w:bookmarkStart w:id="3" w:name="_Hlt82186273"/>
      <w:r>
        <w:rPr>
          <w:rStyle w:val="54"/>
          <w:rFonts w:hint="eastAsia" w:ascii="仿宋" w:hAnsi="仿宋" w:eastAsia="仿宋"/>
          <w:color w:val="auto"/>
        </w:rPr>
        <w:t>法</w:t>
      </w:r>
      <w:bookmarkEnd w:id="2"/>
      <w:bookmarkEnd w:id="3"/>
      <w:r>
        <w:rPr>
          <w:rStyle w:val="54"/>
          <w:rFonts w:hint="eastAsia" w:ascii="仿宋" w:hAnsi="仿宋" w:eastAsia="仿宋"/>
          <w:color w:val="auto"/>
        </w:rPr>
        <w:t>及评标标准</w:t>
      </w:r>
      <w:r>
        <w:rPr>
          <w:rFonts w:ascii="仿宋" w:hAnsi="仿宋" w:eastAsia="仿宋"/>
          <w:color w:val="auto"/>
        </w:rPr>
        <w:tab/>
      </w:r>
      <w:r>
        <w:rPr>
          <w:rFonts w:ascii="仿宋" w:hAnsi="仿宋" w:eastAsia="仿宋"/>
          <w:color w:val="auto"/>
        </w:rPr>
        <w:fldChar w:fldCharType="begin"/>
      </w:r>
      <w:r>
        <w:rPr>
          <w:rFonts w:ascii="仿宋" w:hAnsi="仿宋" w:eastAsia="仿宋"/>
          <w:color w:val="auto"/>
        </w:rPr>
        <w:instrText xml:space="preserve"> PAGEREF _Toc74320803 \h </w:instrText>
      </w:r>
      <w:r>
        <w:rPr>
          <w:rFonts w:ascii="仿宋" w:hAnsi="仿宋" w:eastAsia="仿宋"/>
          <w:color w:val="auto"/>
        </w:rPr>
        <w:fldChar w:fldCharType="separate"/>
      </w:r>
      <w:r>
        <w:rPr>
          <w:rFonts w:ascii="仿宋" w:hAnsi="仿宋" w:eastAsia="仿宋"/>
          <w:color w:val="auto"/>
        </w:rPr>
        <w:t>44</w:t>
      </w:r>
      <w:r>
        <w:rPr>
          <w:rFonts w:ascii="仿宋" w:hAnsi="仿宋" w:eastAsia="仿宋"/>
          <w:color w:val="auto"/>
        </w:rPr>
        <w:fldChar w:fldCharType="end"/>
      </w:r>
      <w:r>
        <w:rPr>
          <w:rFonts w:ascii="仿宋" w:hAnsi="仿宋" w:eastAsia="仿宋"/>
          <w:color w:val="auto"/>
        </w:rPr>
        <w:fldChar w:fldCharType="end"/>
      </w:r>
    </w:p>
    <w:p w14:paraId="5F535AC1">
      <w:pPr>
        <w:pStyle w:val="34"/>
        <w:ind w:firstLine="241"/>
        <w:rPr>
          <w:rFonts w:ascii="仿宋" w:hAnsi="仿宋" w:eastAsia="仿宋"/>
          <w:b w:val="0"/>
          <w:bCs w:val="0"/>
          <w:caps w:val="0"/>
          <w:color w:val="auto"/>
          <w:sz w:val="21"/>
          <w:szCs w:val="22"/>
        </w:rPr>
      </w:pPr>
      <w:r>
        <w:rPr>
          <w:color w:val="auto"/>
        </w:rPr>
        <w:fldChar w:fldCharType="begin"/>
      </w:r>
      <w:r>
        <w:rPr>
          <w:color w:val="auto"/>
        </w:rPr>
        <w:instrText xml:space="preserve"> HYPERLINK \l "_Toc74320804" </w:instrText>
      </w:r>
      <w:r>
        <w:rPr>
          <w:color w:val="auto"/>
        </w:rPr>
        <w:fldChar w:fldCharType="separate"/>
      </w:r>
      <w:r>
        <w:rPr>
          <w:rStyle w:val="54"/>
          <w:rFonts w:hint="eastAsia" w:ascii="仿宋" w:hAnsi="仿宋" w:eastAsia="仿宋"/>
          <w:color w:val="auto"/>
        </w:rPr>
        <w:t>第五章 拟签订的合同文本</w:t>
      </w:r>
      <w:r>
        <w:rPr>
          <w:rFonts w:ascii="仿宋" w:hAnsi="仿宋" w:eastAsia="仿宋"/>
          <w:color w:val="auto"/>
        </w:rPr>
        <w:tab/>
      </w:r>
      <w:r>
        <w:rPr>
          <w:rFonts w:ascii="仿宋" w:hAnsi="仿宋" w:eastAsia="仿宋"/>
          <w:color w:val="auto"/>
        </w:rPr>
        <w:fldChar w:fldCharType="begin"/>
      </w:r>
      <w:r>
        <w:rPr>
          <w:rFonts w:ascii="仿宋" w:hAnsi="仿宋" w:eastAsia="仿宋"/>
          <w:color w:val="auto"/>
        </w:rPr>
        <w:instrText xml:space="preserve"> PAGEREF _Toc74320804 \h </w:instrText>
      </w:r>
      <w:r>
        <w:rPr>
          <w:rFonts w:ascii="仿宋" w:hAnsi="仿宋" w:eastAsia="仿宋"/>
          <w:color w:val="auto"/>
        </w:rPr>
        <w:fldChar w:fldCharType="separate"/>
      </w:r>
      <w:r>
        <w:rPr>
          <w:rFonts w:ascii="仿宋" w:hAnsi="仿宋" w:eastAsia="仿宋"/>
          <w:color w:val="auto"/>
        </w:rPr>
        <w:t>52</w:t>
      </w:r>
      <w:r>
        <w:rPr>
          <w:rFonts w:ascii="仿宋" w:hAnsi="仿宋" w:eastAsia="仿宋"/>
          <w:color w:val="auto"/>
        </w:rPr>
        <w:fldChar w:fldCharType="end"/>
      </w:r>
      <w:r>
        <w:rPr>
          <w:rFonts w:ascii="仿宋" w:hAnsi="仿宋" w:eastAsia="仿宋"/>
          <w:color w:val="auto"/>
        </w:rPr>
        <w:fldChar w:fldCharType="end"/>
      </w:r>
    </w:p>
    <w:p w14:paraId="5F58355C">
      <w:pPr>
        <w:pStyle w:val="34"/>
        <w:ind w:firstLine="241"/>
        <w:rPr>
          <w:rFonts w:ascii="仿宋" w:hAnsi="仿宋" w:eastAsia="仿宋"/>
          <w:b w:val="0"/>
          <w:bCs w:val="0"/>
          <w:caps w:val="0"/>
          <w:color w:val="auto"/>
          <w:sz w:val="21"/>
          <w:szCs w:val="22"/>
        </w:rPr>
      </w:pPr>
      <w:r>
        <w:rPr>
          <w:color w:val="auto"/>
        </w:rPr>
        <w:fldChar w:fldCharType="begin"/>
      </w:r>
      <w:r>
        <w:rPr>
          <w:color w:val="auto"/>
        </w:rPr>
        <w:instrText xml:space="preserve"> HYPERLINK \l "_Toc74320805" </w:instrText>
      </w:r>
      <w:r>
        <w:rPr>
          <w:color w:val="auto"/>
        </w:rPr>
        <w:fldChar w:fldCharType="separate"/>
      </w:r>
      <w:r>
        <w:rPr>
          <w:rStyle w:val="54"/>
          <w:rFonts w:hint="eastAsia" w:ascii="仿宋" w:hAnsi="仿宋" w:eastAsia="仿宋"/>
          <w:color w:val="auto"/>
        </w:rPr>
        <w:t>第六章 投标文件格式</w:t>
      </w:r>
      <w:r>
        <w:rPr>
          <w:rFonts w:ascii="仿宋" w:hAnsi="仿宋" w:eastAsia="仿宋"/>
          <w:color w:val="auto"/>
        </w:rPr>
        <w:tab/>
      </w:r>
      <w:r>
        <w:rPr>
          <w:rFonts w:ascii="仿宋" w:hAnsi="仿宋" w:eastAsia="仿宋"/>
          <w:color w:val="auto"/>
        </w:rPr>
        <w:fldChar w:fldCharType="begin"/>
      </w:r>
      <w:r>
        <w:rPr>
          <w:rFonts w:ascii="仿宋" w:hAnsi="仿宋" w:eastAsia="仿宋"/>
          <w:color w:val="auto"/>
        </w:rPr>
        <w:instrText xml:space="preserve"> PAGEREF _Toc74320805 \h </w:instrText>
      </w:r>
      <w:r>
        <w:rPr>
          <w:rFonts w:ascii="仿宋" w:hAnsi="仿宋" w:eastAsia="仿宋"/>
          <w:color w:val="auto"/>
        </w:rPr>
        <w:fldChar w:fldCharType="separate"/>
      </w:r>
      <w:r>
        <w:rPr>
          <w:rFonts w:ascii="仿宋" w:hAnsi="仿宋" w:eastAsia="仿宋"/>
          <w:color w:val="auto"/>
        </w:rPr>
        <w:t>59</w:t>
      </w:r>
      <w:r>
        <w:rPr>
          <w:rFonts w:ascii="仿宋" w:hAnsi="仿宋" w:eastAsia="仿宋"/>
          <w:color w:val="auto"/>
        </w:rPr>
        <w:fldChar w:fldCharType="end"/>
      </w:r>
      <w:r>
        <w:rPr>
          <w:rFonts w:ascii="仿宋" w:hAnsi="仿宋" w:eastAsia="仿宋"/>
          <w:color w:val="auto"/>
        </w:rPr>
        <w:fldChar w:fldCharType="end"/>
      </w:r>
    </w:p>
    <w:p w14:paraId="637802AB">
      <w:pPr>
        <w:spacing w:beforeLines="50" w:line="480" w:lineRule="exact"/>
        <w:rPr>
          <w:rFonts w:ascii="仿宋" w:hAnsi="仿宋" w:eastAsia="仿宋"/>
          <w:color w:val="auto"/>
          <w:sz w:val="24"/>
        </w:rPr>
      </w:pPr>
      <w:r>
        <w:rPr>
          <w:rFonts w:ascii="仿宋" w:hAnsi="仿宋" w:eastAsia="仿宋"/>
          <w:b/>
          <w:color w:val="auto"/>
          <w:sz w:val="24"/>
        </w:rPr>
        <w:fldChar w:fldCharType="end"/>
      </w:r>
    </w:p>
    <w:p w14:paraId="160A3115">
      <w:pPr>
        <w:spacing w:beforeLines="50" w:line="480" w:lineRule="exact"/>
        <w:rPr>
          <w:rFonts w:ascii="仿宋" w:hAnsi="仿宋" w:eastAsia="仿宋"/>
          <w:color w:val="auto"/>
          <w:sz w:val="30"/>
        </w:rPr>
      </w:pPr>
    </w:p>
    <w:p w14:paraId="731F0DD8">
      <w:pPr>
        <w:rPr>
          <w:rFonts w:ascii="仿宋" w:hAnsi="仿宋" w:eastAsia="仿宋"/>
          <w:color w:val="auto"/>
        </w:rPr>
      </w:pPr>
    </w:p>
    <w:p w14:paraId="428CC728">
      <w:pPr>
        <w:spacing w:beforeLines="50" w:line="480" w:lineRule="exact"/>
        <w:rPr>
          <w:rFonts w:ascii="仿宋" w:hAnsi="仿宋" w:eastAsia="仿宋"/>
          <w:color w:val="auto"/>
          <w:sz w:val="30"/>
        </w:rPr>
      </w:pPr>
    </w:p>
    <w:p w14:paraId="75D0B6E7">
      <w:pPr>
        <w:spacing w:beforeLines="50" w:line="480" w:lineRule="exact"/>
        <w:rPr>
          <w:rFonts w:ascii="仿宋" w:hAnsi="仿宋" w:eastAsia="仿宋"/>
          <w:color w:val="auto"/>
          <w:sz w:val="30"/>
        </w:rPr>
      </w:pPr>
    </w:p>
    <w:p w14:paraId="2D3A64B9">
      <w:pPr>
        <w:pStyle w:val="17"/>
        <w:rPr>
          <w:rFonts w:ascii="仿宋" w:hAnsi="仿宋" w:eastAsia="仿宋" w:cs="宋体"/>
          <w:b/>
          <w:bCs/>
          <w:color w:val="auto"/>
        </w:rPr>
      </w:pPr>
      <w:bookmarkStart w:id="4" w:name="_Toc254970630"/>
      <w:bookmarkStart w:id="5" w:name="_Toc254970489"/>
    </w:p>
    <w:p w14:paraId="539C68DD">
      <w:pPr>
        <w:pStyle w:val="3"/>
        <w:keepNext w:val="0"/>
        <w:keepLines w:val="0"/>
        <w:tabs>
          <w:tab w:val="left" w:pos="0"/>
          <w:tab w:val="left" w:pos="3165"/>
          <w:tab w:val="center" w:pos="4153"/>
        </w:tabs>
        <w:autoSpaceDE w:val="0"/>
        <w:autoSpaceDN w:val="0"/>
        <w:adjustRightInd w:val="0"/>
        <w:spacing w:before="0" w:after="0" w:line="360" w:lineRule="auto"/>
        <w:jc w:val="center"/>
        <w:rPr>
          <w:rFonts w:ascii="仿宋" w:hAnsi="仿宋" w:eastAsia="仿宋"/>
          <w:color w:val="auto"/>
        </w:rPr>
      </w:pPr>
      <w:r>
        <w:rPr>
          <w:rFonts w:ascii="仿宋" w:hAnsi="仿宋" w:eastAsia="仿宋" w:cs="宋体"/>
          <w:b w:val="0"/>
          <w:bCs w:val="0"/>
          <w:color w:val="auto"/>
        </w:rPr>
        <w:br w:type="page"/>
      </w:r>
      <w:bookmarkStart w:id="6" w:name="_Toc74320800"/>
      <w:r>
        <w:rPr>
          <w:rFonts w:hint="eastAsia" w:ascii="仿宋" w:hAnsi="仿宋" w:eastAsia="仿宋"/>
          <w:color w:val="auto"/>
        </w:rPr>
        <w:t>第一章</w:t>
      </w:r>
      <w:bookmarkEnd w:id="4"/>
      <w:bookmarkEnd w:id="5"/>
      <w:bookmarkStart w:id="7" w:name="_Toc35393789"/>
      <w:bookmarkStart w:id="8" w:name="_Toc28359001"/>
      <w:r>
        <w:rPr>
          <w:rFonts w:hint="eastAsia" w:ascii="仿宋" w:hAnsi="仿宋" w:eastAsia="仿宋"/>
          <w:color w:val="auto"/>
        </w:rPr>
        <w:t xml:space="preserve"> 招标公告</w:t>
      </w:r>
      <w:bookmarkEnd w:id="6"/>
      <w:bookmarkEnd w:id="7"/>
      <w:bookmarkEnd w:id="8"/>
    </w:p>
    <w:p w14:paraId="4F9B5FD7">
      <w:pPr>
        <w:pStyle w:val="3"/>
        <w:tabs>
          <w:tab w:val="left" w:pos="0"/>
          <w:tab w:val="left" w:pos="3165"/>
          <w:tab w:val="center" w:pos="4153"/>
        </w:tabs>
        <w:autoSpaceDE w:val="0"/>
        <w:autoSpaceDN w:val="0"/>
        <w:adjustRightInd w:val="0"/>
        <w:spacing w:before="0" w:after="0" w:line="500" w:lineRule="exact"/>
        <w:jc w:val="center"/>
        <w:rPr>
          <w:rFonts w:ascii="仿宋" w:hAnsi="仿宋" w:eastAsia="仿宋"/>
          <w:bCs w:val="0"/>
          <w:color w:val="auto"/>
          <w:kern w:val="2"/>
          <w:sz w:val="28"/>
          <w:szCs w:val="36"/>
        </w:rPr>
      </w:pPr>
      <w:r>
        <w:rPr>
          <w:rFonts w:hint="eastAsia" w:ascii="仿宋" w:hAnsi="仿宋" w:eastAsia="仿宋"/>
          <w:bCs w:val="0"/>
          <w:color w:val="auto"/>
          <w:kern w:val="2"/>
          <w:sz w:val="28"/>
          <w:szCs w:val="36"/>
        </w:rPr>
        <w:t>广西科文招标有限公司关于</w:t>
      </w:r>
      <w:r>
        <w:rPr>
          <w:rFonts w:hint="eastAsia" w:ascii="仿宋" w:hAnsi="仿宋" w:eastAsia="仿宋"/>
          <w:bCs w:val="0"/>
          <w:color w:val="auto"/>
          <w:kern w:val="2"/>
          <w:sz w:val="28"/>
          <w:szCs w:val="36"/>
          <w:lang w:eastAsia="zh-CN"/>
        </w:rPr>
        <w:t>广西机电工程学校专用设备采购</w:t>
      </w:r>
      <w:r>
        <w:rPr>
          <w:rFonts w:hint="eastAsia" w:ascii="仿宋" w:hAnsi="仿宋" w:eastAsia="仿宋"/>
          <w:bCs w:val="0"/>
          <w:color w:val="auto"/>
          <w:kern w:val="2"/>
          <w:sz w:val="28"/>
          <w:szCs w:val="36"/>
        </w:rPr>
        <w:t>（</w:t>
      </w:r>
      <w:r>
        <w:rPr>
          <w:rFonts w:hint="eastAsia" w:ascii="仿宋" w:hAnsi="仿宋" w:eastAsia="仿宋"/>
          <w:bCs w:val="0"/>
          <w:color w:val="auto"/>
          <w:kern w:val="2"/>
          <w:sz w:val="28"/>
          <w:szCs w:val="36"/>
          <w:lang w:eastAsia="zh-CN"/>
        </w:rPr>
        <w:t>GXZC2026-G1-001631-KWZB</w:t>
      </w:r>
      <w:r>
        <w:rPr>
          <w:rFonts w:hint="eastAsia" w:ascii="仿宋" w:hAnsi="仿宋" w:eastAsia="仿宋"/>
          <w:bCs w:val="0"/>
          <w:color w:val="auto"/>
          <w:kern w:val="2"/>
          <w:sz w:val="28"/>
          <w:szCs w:val="36"/>
        </w:rPr>
        <w:t>）</w:t>
      </w:r>
    </w:p>
    <w:p w14:paraId="45161319">
      <w:pPr>
        <w:pStyle w:val="3"/>
        <w:tabs>
          <w:tab w:val="left" w:pos="0"/>
          <w:tab w:val="left" w:pos="3165"/>
          <w:tab w:val="center" w:pos="4153"/>
        </w:tabs>
        <w:autoSpaceDE w:val="0"/>
        <w:autoSpaceDN w:val="0"/>
        <w:adjustRightInd w:val="0"/>
        <w:spacing w:before="0" w:after="0" w:line="500" w:lineRule="exact"/>
        <w:jc w:val="center"/>
        <w:rPr>
          <w:rFonts w:ascii="仿宋" w:hAnsi="仿宋" w:eastAsia="仿宋"/>
          <w:color w:val="auto"/>
          <w:sz w:val="36"/>
          <w:szCs w:val="21"/>
        </w:rPr>
      </w:pPr>
      <w:r>
        <w:rPr>
          <w:rFonts w:hint="eastAsia" w:ascii="仿宋" w:hAnsi="仿宋" w:eastAsia="仿宋"/>
          <w:bCs w:val="0"/>
          <w:color w:val="auto"/>
          <w:kern w:val="2"/>
          <w:sz w:val="28"/>
          <w:szCs w:val="36"/>
        </w:rPr>
        <w:t>公开招标公告</w:t>
      </w:r>
    </w:p>
    <w:p w14:paraId="29D6EF39">
      <w:pPr>
        <w:spacing w:line="380" w:lineRule="exact"/>
        <w:rPr>
          <w:rFonts w:ascii="仿宋" w:hAnsi="仿宋" w:eastAsia="仿宋"/>
          <w:color w:val="auto"/>
          <w:szCs w:val="21"/>
        </w:rPr>
      </w:pPr>
    </w:p>
    <w:p w14:paraId="1F76FA58">
      <w:pPr>
        <w:pBdr>
          <w:top w:val="single" w:color="auto" w:sz="4" w:space="1"/>
          <w:left w:val="single" w:color="auto" w:sz="4" w:space="4"/>
          <w:bottom w:val="single" w:color="auto" w:sz="4" w:space="1"/>
          <w:right w:val="single" w:color="auto" w:sz="4" w:space="14"/>
        </w:pBdr>
        <w:spacing w:line="380" w:lineRule="exact"/>
        <w:ind w:firstLine="420" w:firstLineChars="200"/>
        <w:rPr>
          <w:rFonts w:ascii="仿宋" w:hAnsi="仿宋" w:eastAsia="仿宋"/>
          <w:color w:val="auto"/>
          <w:szCs w:val="21"/>
        </w:rPr>
      </w:pPr>
      <w:r>
        <w:rPr>
          <w:rFonts w:hint="eastAsia" w:ascii="仿宋" w:hAnsi="仿宋" w:eastAsia="仿宋"/>
          <w:color w:val="auto"/>
          <w:szCs w:val="21"/>
        </w:rPr>
        <w:t>项目概况</w:t>
      </w:r>
    </w:p>
    <w:p w14:paraId="38B3C976">
      <w:pPr>
        <w:pBdr>
          <w:top w:val="single" w:color="auto" w:sz="4" w:space="1"/>
          <w:left w:val="single" w:color="auto" w:sz="4" w:space="4"/>
          <w:bottom w:val="single" w:color="auto" w:sz="4" w:space="1"/>
          <w:right w:val="single" w:color="auto" w:sz="4" w:space="14"/>
        </w:pBdr>
        <w:spacing w:line="380" w:lineRule="exact"/>
        <w:ind w:firstLine="420" w:firstLineChars="200"/>
        <w:rPr>
          <w:rFonts w:ascii="仿宋" w:hAnsi="仿宋" w:eastAsia="仿宋"/>
          <w:color w:val="auto"/>
          <w:szCs w:val="21"/>
        </w:rPr>
      </w:pPr>
      <w:r>
        <w:rPr>
          <w:rFonts w:hint="eastAsia" w:ascii="仿宋" w:hAnsi="仿宋" w:eastAsia="仿宋" w:cs="宋体"/>
          <w:color w:val="auto"/>
          <w:szCs w:val="21"/>
          <w:u w:val="single"/>
          <w:lang w:eastAsia="zh-CN"/>
        </w:rPr>
        <w:t>广西机电工程学校专用设备采购</w:t>
      </w:r>
      <w:r>
        <w:rPr>
          <w:rFonts w:hint="eastAsia" w:ascii="仿宋" w:hAnsi="仿宋" w:eastAsia="仿宋" w:cs="宋体"/>
          <w:color w:val="auto"/>
          <w:szCs w:val="21"/>
        </w:rPr>
        <w:t>项目的潜在供应商应在广西政府采购云平台（https://www.gcy.zfcg.gxzf.gov.cn/）获取(下载</w:t>
      </w:r>
      <w:r>
        <w:rPr>
          <w:rFonts w:ascii="仿宋" w:hAnsi="仿宋" w:eastAsia="仿宋" w:cs="宋体"/>
          <w:color w:val="auto"/>
          <w:szCs w:val="21"/>
        </w:rPr>
        <w:t>)</w:t>
      </w:r>
      <w:r>
        <w:rPr>
          <w:rFonts w:hint="eastAsia" w:ascii="仿宋" w:hAnsi="仿宋" w:eastAsia="仿宋" w:cs="宋体"/>
          <w:color w:val="auto"/>
          <w:szCs w:val="21"/>
        </w:rPr>
        <w:t>招标文件，并于</w:t>
      </w:r>
      <w:r>
        <w:rPr>
          <w:rFonts w:hint="eastAsia" w:ascii="仿宋" w:hAnsi="仿宋" w:eastAsia="仿宋" w:cs="宋体"/>
          <w:color w:val="auto"/>
          <w:szCs w:val="21"/>
          <w:u w:val="single"/>
          <w:lang w:eastAsia="zh-CN"/>
        </w:rPr>
        <w:t>2026年</w:t>
      </w:r>
      <w:r>
        <w:rPr>
          <w:rFonts w:hint="eastAsia" w:ascii="仿宋" w:hAnsi="仿宋" w:eastAsia="仿宋" w:cs="宋体"/>
          <w:color w:val="auto"/>
          <w:szCs w:val="21"/>
          <w:u w:val="single"/>
          <w:lang w:val="en-US" w:eastAsia="zh-CN"/>
        </w:rPr>
        <w:t>6</w:t>
      </w:r>
      <w:r>
        <w:rPr>
          <w:rFonts w:hint="eastAsia" w:ascii="仿宋" w:hAnsi="仿宋" w:eastAsia="仿宋" w:cs="宋体"/>
          <w:color w:val="auto"/>
          <w:szCs w:val="21"/>
          <w:u w:val="single"/>
          <w:lang w:eastAsia="zh-CN"/>
        </w:rPr>
        <w:t>月</w:t>
      </w:r>
      <w:r>
        <w:rPr>
          <w:rFonts w:hint="eastAsia" w:ascii="仿宋" w:hAnsi="仿宋" w:eastAsia="仿宋" w:cs="宋体"/>
          <w:color w:val="auto"/>
          <w:szCs w:val="21"/>
          <w:u w:val="single"/>
          <w:lang w:val="en-US" w:eastAsia="zh-CN"/>
        </w:rPr>
        <w:t>26</w:t>
      </w:r>
      <w:r>
        <w:rPr>
          <w:rFonts w:hint="eastAsia" w:ascii="仿宋" w:hAnsi="仿宋" w:eastAsia="仿宋" w:cs="宋体"/>
          <w:color w:val="auto"/>
          <w:szCs w:val="21"/>
          <w:u w:val="single"/>
          <w:lang w:eastAsia="zh-CN"/>
        </w:rPr>
        <w:t>日9点30分</w:t>
      </w:r>
      <w:r>
        <w:rPr>
          <w:rFonts w:hint="eastAsia" w:ascii="仿宋" w:hAnsi="仿宋" w:eastAsia="仿宋" w:cs="宋体"/>
          <w:color w:val="auto"/>
          <w:szCs w:val="21"/>
        </w:rPr>
        <w:t>（北京时间）前提交投标文件。</w:t>
      </w:r>
    </w:p>
    <w:p w14:paraId="0E0711B3">
      <w:pPr>
        <w:spacing w:line="380" w:lineRule="exact"/>
        <w:rPr>
          <w:rFonts w:ascii="仿宋" w:hAnsi="仿宋" w:eastAsia="仿宋"/>
          <w:b/>
          <w:bCs/>
          <w:color w:val="auto"/>
          <w:szCs w:val="21"/>
        </w:rPr>
      </w:pPr>
      <w:bookmarkStart w:id="9" w:name="_Toc28359079"/>
      <w:bookmarkStart w:id="10" w:name="_Toc28359002"/>
      <w:bookmarkStart w:id="11" w:name="_Toc35393790"/>
      <w:bookmarkStart w:id="12" w:name="_Toc35393621"/>
      <w:bookmarkStart w:id="13" w:name="_Hlk24379207"/>
      <w:r>
        <w:rPr>
          <w:rFonts w:hint="eastAsia" w:ascii="仿宋" w:hAnsi="仿宋" w:eastAsia="仿宋"/>
          <w:b/>
          <w:bCs/>
          <w:color w:val="auto"/>
          <w:szCs w:val="21"/>
        </w:rPr>
        <w:t>一、项目基本情况</w:t>
      </w:r>
      <w:bookmarkEnd w:id="9"/>
      <w:bookmarkEnd w:id="10"/>
      <w:bookmarkEnd w:id="11"/>
      <w:bookmarkEnd w:id="12"/>
    </w:p>
    <w:p w14:paraId="356E281D">
      <w:pPr>
        <w:spacing w:line="380" w:lineRule="exact"/>
        <w:ind w:firstLine="420" w:firstLineChars="200"/>
        <w:rPr>
          <w:rFonts w:hint="eastAsia" w:ascii="仿宋" w:hAnsi="仿宋" w:eastAsia="仿宋"/>
          <w:color w:val="auto"/>
          <w:szCs w:val="21"/>
        </w:rPr>
      </w:pPr>
      <w:r>
        <w:rPr>
          <w:rFonts w:hint="eastAsia" w:ascii="仿宋" w:hAnsi="仿宋" w:eastAsia="仿宋"/>
          <w:color w:val="auto"/>
          <w:szCs w:val="21"/>
        </w:rPr>
        <w:t>项目编号：</w:t>
      </w:r>
      <w:r>
        <w:rPr>
          <w:rFonts w:hint="eastAsia" w:ascii="仿宋" w:hAnsi="仿宋" w:eastAsia="仿宋"/>
          <w:color w:val="auto"/>
          <w:szCs w:val="21"/>
          <w:lang w:eastAsia="zh-CN"/>
        </w:rPr>
        <w:t>GXZC2026-G1-001631-KWZB</w:t>
      </w:r>
      <w:r>
        <w:rPr>
          <w:rFonts w:hint="eastAsia" w:ascii="仿宋" w:hAnsi="仿宋" w:eastAsia="仿宋"/>
          <w:color w:val="auto"/>
          <w:szCs w:val="21"/>
        </w:rPr>
        <w:t xml:space="preserve">            </w:t>
      </w:r>
    </w:p>
    <w:p w14:paraId="26E8A5A2">
      <w:pPr>
        <w:spacing w:line="380" w:lineRule="exact"/>
        <w:ind w:firstLine="420" w:firstLineChars="200"/>
        <w:rPr>
          <w:rFonts w:ascii="仿宋" w:hAnsi="仿宋" w:eastAsia="仿宋"/>
          <w:color w:val="auto"/>
          <w:szCs w:val="21"/>
          <w:highlight w:val="yellow"/>
        </w:rPr>
      </w:pPr>
      <w:r>
        <w:rPr>
          <w:rFonts w:hint="eastAsia" w:ascii="仿宋" w:hAnsi="仿宋" w:eastAsia="仿宋"/>
          <w:color w:val="auto"/>
          <w:szCs w:val="21"/>
        </w:rPr>
        <w:t>采购计划号：广西政采[2026]10694号-00</w:t>
      </w:r>
      <w:r>
        <w:rPr>
          <w:rFonts w:hint="eastAsia" w:ascii="仿宋" w:hAnsi="仿宋" w:eastAsia="仿宋"/>
          <w:color w:val="auto"/>
          <w:szCs w:val="21"/>
          <w:lang w:val="en-US" w:eastAsia="zh-CN"/>
        </w:rPr>
        <w:t>1</w:t>
      </w:r>
      <w:r>
        <w:rPr>
          <w:rFonts w:hint="eastAsia" w:ascii="仿宋" w:hAnsi="仿宋" w:eastAsia="仿宋"/>
          <w:color w:val="auto"/>
          <w:szCs w:val="21"/>
          <w:lang w:eastAsia="zh-CN"/>
        </w:rPr>
        <w:t>、</w:t>
      </w:r>
      <w:r>
        <w:rPr>
          <w:rFonts w:hint="eastAsia" w:ascii="仿宋" w:hAnsi="仿宋" w:eastAsia="仿宋"/>
          <w:color w:val="auto"/>
          <w:szCs w:val="21"/>
        </w:rPr>
        <w:t>广西政采[2026]10694号-002</w:t>
      </w:r>
    </w:p>
    <w:p w14:paraId="7226DFFE">
      <w:pPr>
        <w:spacing w:line="380" w:lineRule="exact"/>
        <w:ind w:firstLine="420" w:firstLineChars="200"/>
        <w:rPr>
          <w:rFonts w:hint="eastAsia" w:ascii="仿宋" w:hAnsi="仿宋" w:eastAsia="仿宋"/>
          <w:color w:val="auto"/>
          <w:szCs w:val="21"/>
          <w:lang w:eastAsia="zh-CN"/>
        </w:rPr>
      </w:pPr>
      <w:r>
        <w:rPr>
          <w:rFonts w:hint="eastAsia" w:ascii="仿宋" w:hAnsi="仿宋" w:eastAsia="仿宋"/>
          <w:color w:val="auto"/>
          <w:szCs w:val="21"/>
        </w:rPr>
        <w:t>项目名称：</w:t>
      </w:r>
      <w:r>
        <w:rPr>
          <w:rFonts w:hint="eastAsia" w:ascii="仿宋" w:hAnsi="仿宋" w:eastAsia="仿宋" w:cs="Arial"/>
          <w:bCs/>
          <w:color w:val="auto"/>
          <w:szCs w:val="21"/>
          <w:lang w:eastAsia="zh-CN"/>
        </w:rPr>
        <w:t>广西机电工程学校专用设备采购</w:t>
      </w:r>
    </w:p>
    <w:bookmarkEnd w:id="13"/>
    <w:p w14:paraId="632484F6">
      <w:pPr>
        <w:spacing w:line="380" w:lineRule="exac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预算金额：总金额：总金额：429.408万元（其中1分标为214.78万元，2分标为214</w:t>
      </w:r>
      <w:r>
        <w:rPr>
          <w:rFonts w:hint="eastAsia" w:ascii="仿宋" w:hAnsi="仿宋" w:eastAsia="仿宋"/>
          <w:color w:val="auto"/>
          <w:szCs w:val="21"/>
          <w:highlight w:val="none"/>
          <w:lang w:val="en-US" w:eastAsia="zh-CN"/>
        </w:rPr>
        <w:t>.</w:t>
      </w:r>
      <w:r>
        <w:rPr>
          <w:rFonts w:hint="eastAsia" w:ascii="仿宋" w:hAnsi="仿宋" w:eastAsia="仿宋"/>
          <w:color w:val="auto"/>
          <w:szCs w:val="21"/>
          <w:highlight w:val="none"/>
        </w:rPr>
        <w:t>628万元）</w:t>
      </w:r>
    </w:p>
    <w:p w14:paraId="617F1035">
      <w:pPr>
        <w:spacing w:line="380" w:lineRule="exact"/>
        <w:ind w:firstLine="420" w:firstLineChars="200"/>
        <w:rPr>
          <w:rFonts w:hint="eastAsia" w:ascii="仿宋" w:hAnsi="仿宋" w:eastAsia="仿宋"/>
          <w:color w:val="auto"/>
          <w:szCs w:val="21"/>
          <w:highlight w:val="none"/>
        </w:rPr>
      </w:pPr>
      <w:r>
        <w:rPr>
          <w:rFonts w:hint="eastAsia" w:ascii="仿宋" w:hAnsi="仿宋" w:eastAsia="仿宋"/>
          <w:color w:val="auto"/>
          <w:szCs w:val="21"/>
          <w:highlight w:val="none"/>
        </w:rPr>
        <w:t>最高限价：总金额：总金额：429.408万元</w:t>
      </w:r>
      <w:bookmarkStart w:id="14" w:name="_Toc35393792"/>
      <w:bookmarkStart w:id="15" w:name="_Toc28359004"/>
      <w:bookmarkStart w:id="16" w:name="_Toc28359081"/>
      <w:bookmarkStart w:id="17" w:name="_Toc35393623"/>
      <w:r>
        <w:rPr>
          <w:rFonts w:hint="eastAsia" w:ascii="仿宋" w:hAnsi="仿宋" w:eastAsia="仿宋"/>
          <w:color w:val="auto"/>
          <w:szCs w:val="21"/>
          <w:highlight w:val="none"/>
        </w:rPr>
        <w:t>（其中1分标为214.78万元，2分标为214</w:t>
      </w:r>
      <w:r>
        <w:rPr>
          <w:rFonts w:hint="eastAsia" w:ascii="仿宋" w:hAnsi="仿宋" w:eastAsia="仿宋"/>
          <w:color w:val="auto"/>
          <w:szCs w:val="21"/>
          <w:highlight w:val="none"/>
          <w:lang w:val="en-US" w:eastAsia="zh-CN"/>
        </w:rPr>
        <w:t>.</w:t>
      </w:r>
      <w:r>
        <w:rPr>
          <w:rFonts w:hint="eastAsia" w:ascii="仿宋" w:hAnsi="仿宋" w:eastAsia="仿宋"/>
          <w:color w:val="auto"/>
          <w:szCs w:val="21"/>
          <w:highlight w:val="none"/>
        </w:rPr>
        <w:t>628万元）</w:t>
      </w:r>
    </w:p>
    <w:p w14:paraId="56428ECB">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采购需求：</w:t>
      </w:r>
    </w:p>
    <w:p w14:paraId="7CBFF91C">
      <w:pPr>
        <w:spacing w:line="380" w:lineRule="exact"/>
        <w:ind w:firstLine="420" w:firstLineChars="200"/>
        <w:rPr>
          <w:rFonts w:hint="default" w:ascii="仿宋" w:hAnsi="仿宋" w:eastAsia="仿宋" w:cs="宋体"/>
          <w:bCs/>
          <w:color w:val="auto"/>
          <w:kern w:val="0"/>
          <w:szCs w:val="21"/>
          <w:lang w:val="en-US" w:eastAsia="zh-CN"/>
        </w:rPr>
      </w:pPr>
      <w:r>
        <w:rPr>
          <w:rFonts w:hint="eastAsia" w:ascii="仿宋" w:hAnsi="仿宋" w:eastAsia="仿宋" w:cs="宋体"/>
          <w:bCs/>
          <w:color w:val="auto"/>
          <w:kern w:val="0"/>
          <w:szCs w:val="21"/>
        </w:rPr>
        <w:t>1分标</w:t>
      </w:r>
      <w:r>
        <w:rPr>
          <w:rFonts w:hint="eastAsia" w:ascii="仿宋" w:hAnsi="仿宋" w:eastAsia="仿宋" w:cs="宋体"/>
          <w:bCs/>
          <w:color w:val="auto"/>
          <w:kern w:val="0"/>
          <w:szCs w:val="21"/>
          <w:lang w:eastAsia="zh-CN"/>
        </w:rPr>
        <w:t>：多媒体交互设备42台、86寸光能板42台、多媒体显示设备22台、98寸光能板22台、多媒体云终端66台、设备远程管理软件2套、有源音箱配有无线话筒68个、鹅颈话筒67个、讲台66个、旧设备拆除与墙面修复66㎡、项目系统集成66项</w:t>
      </w:r>
      <w:r>
        <w:rPr>
          <w:rFonts w:hint="eastAsia" w:ascii="仿宋" w:hAnsi="仿宋" w:eastAsia="仿宋" w:cs="宋体"/>
          <w:bCs/>
          <w:color w:val="auto"/>
          <w:kern w:val="0"/>
          <w:szCs w:val="21"/>
          <w:lang w:val="en-US" w:eastAsia="zh-CN"/>
        </w:rPr>
        <w:t>，详见第二章采购需求。</w:t>
      </w:r>
    </w:p>
    <w:p w14:paraId="24517A67">
      <w:pPr>
        <w:spacing w:line="380" w:lineRule="exact"/>
        <w:ind w:firstLine="420" w:firstLineChars="200"/>
        <w:rPr>
          <w:rFonts w:hint="eastAsia" w:ascii="仿宋" w:hAnsi="仿宋" w:eastAsia="仿宋" w:cs="宋体"/>
          <w:bCs/>
          <w:color w:val="auto"/>
          <w:kern w:val="0"/>
          <w:szCs w:val="21"/>
        </w:rPr>
      </w:pPr>
      <w:r>
        <w:rPr>
          <w:rFonts w:hint="eastAsia" w:ascii="仿宋" w:hAnsi="仿宋" w:eastAsia="仿宋" w:cs="宋体"/>
          <w:bCs/>
          <w:color w:val="auto"/>
          <w:kern w:val="0"/>
          <w:szCs w:val="21"/>
        </w:rPr>
        <w:t>合同履行期限：合同签订之日起 30 日历日内将货物运至交货地点并安装调试完毕且通过验收。</w:t>
      </w:r>
    </w:p>
    <w:p w14:paraId="02870B9E">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本标项（否）接受联合体投标。</w:t>
      </w:r>
    </w:p>
    <w:p w14:paraId="31857180">
      <w:pPr>
        <w:spacing w:line="380" w:lineRule="exact"/>
        <w:ind w:firstLine="420" w:firstLineChars="200"/>
        <w:rPr>
          <w:rFonts w:hint="default" w:ascii="仿宋" w:hAnsi="仿宋" w:eastAsia="仿宋" w:cs="宋体"/>
          <w:bCs/>
          <w:color w:val="auto"/>
          <w:kern w:val="0"/>
          <w:szCs w:val="21"/>
          <w:lang w:val="en-US" w:eastAsia="zh-CN"/>
        </w:rPr>
      </w:pPr>
      <w:r>
        <w:rPr>
          <w:rFonts w:hint="eastAsia" w:ascii="仿宋" w:hAnsi="仿宋" w:eastAsia="仿宋" w:cs="宋体"/>
          <w:bCs/>
          <w:color w:val="auto"/>
          <w:kern w:val="0"/>
          <w:szCs w:val="21"/>
        </w:rPr>
        <w:t>2分标</w:t>
      </w:r>
      <w:r>
        <w:rPr>
          <w:rFonts w:hint="eastAsia" w:ascii="仿宋" w:hAnsi="仿宋" w:eastAsia="仿宋" w:cs="宋体"/>
          <w:bCs/>
          <w:color w:val="auto"/>
          <w:kern w:val="0"/>
          <w:szCs w:val="21"/>
          <w:lang w:eastAsia="zh-CN"/>
        </w:rPr>
        <w:t>：工位布线133点、开门洞2项、直播间吸音隔墙制作61.5平方、直播间背景墙制作58.24平方、直播间天面吊顶77平方、照明线路布线424平方、光缆布线2组、吸音隔墙制作9平方、天面铝扣板吊顶64平方、方通吊顶330平方、地面开挖地槽37米、不锈钢板37米、直播间网络布线4间、刮腻子及上乳胶漆240平方、玻璃门60平方、电动门框架封板1套、楼梯底改机房隔墙（两面封板）15平方、门禁系统1套、强电改造及系统集成部分1项、直播降噪麦克风5块、4k直播摄像头5台、直播柔光灯5只、夹式床头手机支架5个、蓝牙音箱5个、直播手机4台、直播间绿幕6套、接听设备133套、防火墙1套、核心交换机1台、24口接入交换6台、24口POE交换机6台、8口交换机2台、400万半球摄像机5台、无线AP11台、无线AP21台、千兆多模光模块24个、数字万用表10套、恒温电烙铁套装10套、焊锡丝20卷、松香 / 助焊剂10盒、防静电镊子套装10套、斜口钳10把、剥线钳10把、内六角螺丝刀套装10套、套筒扳手10套、3M 双面胶10卷、调参数据线套装10套、直钢尺10把、水平仪10个、防静电垫10张、零件收纳盒10个、多旋翼无人机套件10套、智能平衡充电器5台、锂电池安全箱5个、螺旋桨静平衡仪2台、飞控系统10套、遥控器套装10套、图传系统5套、数传系统5套、电机测试仪2台、电调校准器2台、示波器2台、直流稳压电源2台、热风枪2台、无刷电机10套、电子调速器10套、螺旋桨25套、锂电池10套、连接线材50套、螺丝螺母10包、安全帽20顶、护目镜20副、绝缘手套10副、防火毯5张、警示标识1套、杜邦线1套、液晶屏制造综合应用实训平台3套、课程资源建设1项、课程联合开发咨询服务1项、学校旧设备系统改造6项、产线及实训室运维2年、课程存储设备3套、万兆存储交换机4台、会议室多功能视频设备1台、大屏支架2个、手动叉车2辆</w:t>
      </w:r>
      <w:r>
        <w:rPr>
          <w:rFonts w:hint="eastAsia" w:ascii="仿宋" w:hAnsi="仿宋" w:eastAsia="仿宋" w:cs="宋体"/>
          <w:bCs/>
          <w:color w:val="auto"/>
          <w:kern w:val="0"/>
          <w:szCs w:val="21"/>
          <w:lang w:val="en-US" w:eastAsia="zh-CN"/>
        </w:rPr>
        <w:t>，详见第二章采购需求。</w:t>
      </w:r>
    </w:p>
    <w:p w14:paraId="75A74671">
      <w:pPr>
        <w:spacing w:line="380" w:lineRule="exact"/>
        <w:ind w:firstLine="420" w:firstLineChars="200"/>
        <w:rPr>
          <w:rFonts w:ascii="仿宋" w:hAnsi="仿宋" w:eastAsia="仿宋" w:cs="宋体"/>
          <w:bCs/>
          <w:color w:val="auto"/>
          <w:kern w:val="0"/>
          <w:szCs w:val="21"/>
          <w:highlight w:val="yellow"/>
        </w:rPr>
      </w:pPr>
      <w:r>
        <w:rPr>
          <w:rFonts w:hint="eastAsia" w:ascii="仿宋" w:hAnsi="仿宋" w:eastAsia="仿宋" w:cs="宋体"/>
          <w:bCs/>
          <w:color w:val="auto"/>
          <w:kern w:val="0"/>
          <w:szCs w:val="21"/>
          <w:highlight w:val="none"/>
        </w:rPr>
        <w:t>合同履行期限：自合同签订之日起</w:t>
      </w:r>
      <w:r>
        <w:rPr>
          <w:rFonts w:hint="eastAsia" w:ascii="仿宋" w:hAnsi="仿宋" w:eastAsia="仿宋" w:cs="宋体"/>
          <w:bCs/>
          <w:color w:val="auto"/>
          <w:kern w:val="0"/>
          <w:szCs w:val="21"/>
          <w:highlight w:val="none"/>
          <w:lang w:val="en-US" w:eastAsia="zh-CN"/>
        </w:rPr>
        <w:t>30</w:t>
      </w:r>
      <w:r>
        <w:rPr>
          <w:rFonts w:hint="eastAsia" w:ascii="仿宋" w:hAnsi="仿宋" w:eastAsia="仿宋" w:cs="宋体"/>
          <w:bCs/>
          <w:color w:val="auto"/>
          <w:kern w:val="0"/>
          <w:szCs w:val="21"/>
          <w:highlight w:val="none"/>
        </w:rPr>
        <w:t>天内交付使用。</w:t>
      </w:r>
    </w:p>
    <w:p w14:paraId="7306B96C">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本标项（否）接受联合体投标。</w:t>
      </w:r>
    </w:p>
    <w:p w14:paraId="600A92A7">
      <w:pPr>
        <w:spacing w:line="380" w:lineRule="exact"/>
        <w:ind w:firstLine="420" w:firstLineChars="200"/>
        <w:rPr>
          <w:rFonts w:ascii="仿宋" w:hAnsi="仿宋" w:eastAsia="仿宋" w:cs="宋体"/>
          <w:bCs/>
          <w:color w:val="auto"/>
          <w:kern w:val="0"/>
          <w:szCs w:val="21"/>
        </w:rPr>
      </w:pPr>
      <w:bookmarkStart w:id="18" w:name="_Toc35393791"/>
      <w:bookmarkStart w:id="19" w:name="_Toc28359003"/>
      <w:bookmarkStart w:id="20" w:name="_Toc28359080"/>
      <w:bookmarkStart w:id="21" w:name="_Toc35393622"/>
      <w:r>
        <w:rPr>
          <w:rFonts w:hint="eastAsia" w:ascii="仿宋" w:hAnsi="仿宋" w:eastAsia="仿宋" w:cs="宋体"/>
          <w:bCs/>
          <w:color w:val="auto"/>
          <w:kern w:val="0"/>
          <w:szCs w:val="21"/>
        </w:rPr>
        <w:t>二、申请人的资格要求：</w:t>
      </w:r>
      <w:bookmarkEnd w:id="18"/>
      <w:bookmarkEnd w:id="19"/>
      <w:bookmarkEnd w:id="20"/>
      <w:bookmarkEnd w:id="21"/>
    </w:p>
    <w:p w14:paraId="142122F7">
      <w:pPr>
        <w:spacing w:line="380" w:lineRule="exact"/>
        <w:ind w:firstLine="420" w:firstLineChars="200"/>
        <w:rPr>
          <w:rFonts w:ascii="仿宋" w:hAnsi="仿宋" w:eastAsia="仿宋" w:cs="宋体"/>
          <w:bCs/>
          <w:color w:val="auto"/>
          <w:kern w:val="0"/>
          <w:szCs w:val="21"/>
        </w:rPr>
      </w:pPr>
      <w:bookmarkStart w:id="22" w:name="_Hlk51746371"/>
      <w:r>
        <w:rPr>
          <w:rFonts w:hint="eastAsia" w:ascii="仿宋" w:hAnsi="仿宋" w:eastAsia="仿宋" w:cs="宋体"/>
          <w:bCs/>
          <w:color w:val="auto"/>
          <w:kern w:val="0"/>
          <w:szCs w:val="21"/>
        </w:rPr>
        <w:t>1、满足《中华人民共和国政府采购法》第二十二条规定；</w:t>
      </w:r>
    </w:p>
    <w:p w14:paraId="189A3B9E">
      <w:pPr>
        <w:spacing w:line="380" w:lineRule="exact"/>
        <w:ind w:firstLine="420" w:firstLineChars="200"/>
        <w:rPr>
          <w:rFonts w:ascii="仿宋" w:hAnsi="仿宋" w:eastAsia="仿宋" w:cs="宋体"/>
          <w:bCs/>
          <w:color w:val="auto"/>
          <w:kern w:val="0"/>
          <w:szCs w:val="21"/>
        </w:rPr>
      </w:pPr>
      <w:r>
        <w:rPr>
          <w:rFonts w:ascii="仿宋" w:hAnsi="仿宋" w:eastAsia="仿宋" w:cs="宋体"/>
          <w:bCs/>
          <w:color w:val="auto"/>
          <w:kern w:val="0"/>
          <w:szCs w:val="21"/>
        </w:rPr>
        <w:t>2</w:t>
      </w:r>
      <w:r>
        <w:rPr>
          <w:rFonts w:hint="eastAsia" w:ascii="仿宋" w:hAnsi="仿宋" w:eastAsia="仿宋" w:cs="宋体"/>
          <w:bCs/>
          <w:color w:val="auto"/>
          <w:kern w:val="0"/>
          <w:szCs w:val="21"/>
        </w:rPr>
        <w:t>、落实政府采购政策需满足的资格要求：</w:t>
      </w:r>
    </w:p>
    <w:p w14:paraId="04BA9F71">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1分标：</w:t>
      </w:r>
    </w:p>
    <w:p w14:paraId="6DC9B15B">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lang w:eastAsia="zh-CN"/>
        </w:rPr>
        <w:t>□</w:t>
      </w:r>
      <w:r>
        <w:rPr>
          <w:rFonts w:hint="eastAsia" w:ascii="仿宋" w:hAnsi="仿宋" w:eastAsia="仿宋" w:cs="宋体"/>
          <w:bCs/>
          <w:color w:val="auto"/>
          <w:kern w:val="0"/>
          <w:szCs w:val="21"/>
        </w:rPr>
        <w:t>专门面向中小企业采购的项目（供应商应为中小微企业或监狱企业或残疾人福利性单位)</w:t>
      </w:r>
    </w:p>
    <w:p w14:paraId="0E833A0B">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lang w:eastAsia="zh-CN"/>
        </w:rPr>
        <w:t>☑</w:t>
      </w:r>
      <w:r>
        <w:rPr>
          <w:rFonts w:hint="eastAsia" w:ascii="仿宋" w:hAnsi="仿宋" w:eastAsia="仿宋" w:cs="宋体"/>
          <w:bCs/>
          <w:color w:val="auto"/>
          <w:kern w:val="0"/>
          <w:szCs w:val="21"/>
        </w:rPr>
        <w:t>非专门面向中小企业采购的项目</w:t>
      </w:r>
    </w:p>
    <w:p w14:paraId="0E80F813">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2分标：</w:t>
      </w:r>
    </w:p>
    <w:p w14:paraId="2912871D">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lang w:eastAsia="zh-CN"/>
        </w:rPr>
        <w:t>□</w:t>
      </w:r>
      <w:r>
        <w:rPr>
          <w:rFonts w:hint="eastAsia" w:ascii="仿宋" w:hAnsi="仿宋" w:eastAsia="仿宋" w:cs="宋体"/>
          <w:bCs/>
          <w:color w:val="auto"/>
          <w:kern w:val="0"/>
          <w:szCs w:val="21"/>
        </w:rPr>
        <w:t>专门面向中小企业采购的项目（供应商应为中小微企业或监狱企业或残疾人福利性单位)</w:t>
      </w:r>
    </w:p>
    <w:p w14:paraId="52C207DE">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lang w:eastAsia="zh-CN"/>
        </w:rPr>
        <w:t>☑</w:t>
      </w:r>
      <w:r>
        <w:rPr>
          <w:rFonts w:hint="eastAsia" w:ascii="仿宋" w:hAnsi="仿宋" w:eastAsia="仿宋" w:cs="宋体"/>
          <w:bCs/>
          <w:color w:val="auto"/>
          <w:kern w:val="0"/>
          <w:szCs w:val="21"/>
        </w:rPr>
        <w:t>非专门面向中小企业采购的项目</w:t>
      </w:r>
    </w:p>
    <w:p w14:paraId="384A1BCC">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3、本项目的特定资格要求：</w:t>
      </w:r>
      <w:bookmarkEnd w:id="22"/>
      <w:r>
        <w:rPr>
          <w:rFonts w:hint="eastAsia" w:ascii="仿宋" w:hAnsi="仿宋" w:eastAsia="仿宋" w:cs="宋体"/>
          <w:bCs/>
          <w:color w:val="auto"/>
          <w:kern w:val="0"/>
          <w:szCs w:val="21"/>
        </w:rPr>
        <w:t>无</w:t>
      </w:r>
      <w:r>
        <w:rPr>
          <w:rFonts w:ascii="仿宋" w:hAnsi="仿宋" w:eastAsia="仿宋" w:cs="宋体"/>
          <w:bCs/>
          <w:color w:val="auto"/>
          <w:kern w:val="0"/>
          <w:szCs w:val="21"/>
        </w:rPr>
        <w:t>。</w:t>
      </w:r>
      <w:r>
        <w:rPr>
          <w:rFonts w:hint="eastAsia" w:ascii="仿宋" w:hAnsi="仿宋" w:eastAsia="仿宋" w:cs="宋体"/>
          <w:bCs/>
          <w:color w:val="auto"/>
          <w:kern w:val="0"/>
          <w:szCs w:val="21"/>
        </w:rPr>
        <w:t> </w:t>
      </w:r>
    </w:p>
    <w:p w14:paraId="55908D86">
      <w:pPr>
        <w:spacing w:line="380" w:lineRule="exact"/>
        <w:rPr>
          <w:rFonts w:ascii="仿宋" w:hAnsi="仿宋" w:eastAsia="仿宋"/>
          <w:b/>
          <w:bCs/>
          <w:color w:val="auto"/>
          <w:szCs w:val="21"/>
        </w:rPr>
      </w:pPr>
      <w:r>
        <w:rPr>
          <w:rFonts w:hint="eastAsia" w:ascii="仿宋" w:hAnsi="仿宋" w:eastAsia="仿宋"/>
          <w:b/>
          <w:bCs/>
          <w:color w:val="auto"/>
          <w:szCs w:val="21"/>
        </w:rPr>
        <w:t>三、获取招标文件</w:t>
      </w:r>
      <w:bookmarkEnd w:id="14"/>
      <w:bookmarkEnd w:id="15"/>
      <w:bookmarkEnd w:id="16"/>
      <w:bookmarkEnd w:id="17"/>
    </w:p>
    <w:p w14:paraId="453C5C9A">
      <w:pPr>
        <w:spacing w:line="380" w:lineRule="exact"/>
        <w:ind w:firstLine="420" w:firstLineChars="200"/>
        <w:rPr>
          <w:rFonts w:ascii="仿宋" w:hAnsi="仿宋" w:eastAsia="仿宋" w:cs="宋体"/>
          <w:bCs/>
          <w:color w:val="auto"/>
          <w:kern w:val="0"/>
          <w:szCs w:val="21"/>
        </w:rPr>
      </w:pPr>
      <w:bookmarkStart w:id="23" w:name="_Toc28359005"/>
      <w:bookmarkStart w:id="24" w:name="_Toc28359082"/>
      <w:bookmarkStart w:id="25" w:name="_Toc35393793"/>
      <w:bookmarkStart w:id="26" w:name="_Toc35393624"/>
      <w:r>
        <w:rPr>
          <w:rFonts w:hint="eastAsia" w:ascii="仿宋" w:hAnsi="仿宋" w:eastAsia="仿宋" w:cs="宋体"/>
          <w:bCs/>
          <w:color w:val="auto"/>
          <w:kern w:val="0"/>
          <w:szCs w:val="21"/>
        </w:rPr>
        <w:t>时间：</w:t>
      </w:r>
      <w:r>
        <w:rPr>
          <w:rFonts w:hint="eastAsia" w:ascii="仿宋" w:hAnsi="仿宋" w:eastAsia="仿宋" w:cs="Arial"/>
          <w:color w:val="auto"/>
          <w:lang w:eastAsia="zh-CN"/>
        </w:rPr>
        <w:t>自本公告发布之日起至2026年</w:t>
      </w:r>
      <w:r>
        <w:rPr>
          <w:rFonts w:hint="eastAsia" w:ascii="仿宋" w:hAnsi="仿宋" w:eastAsia="仿宋" w:cs="Arial"/>
          <w:color w:val="auto"/>
          <w:lang w:val="en-US" w:eastAsia="zh-CN"/>
        </w:rPr>
        <w:t>6</w:t>
      </w:r>
      <w:r>
        <w:rPr>
          <w:rFonts w:hint="eastAsia" w:ascii="仿宋" w:hAnsi="仿宋" w:eastAsia="仿宋" w:cs="Arial"/>
          <w:color w:val="auto"/>
          <w:lang w:eastAsia="zh-CN"/>
        </w:rPr>
        <w:t>月</w:t>
      </w:r>
      <w:r>
        <w:rPr>
          <w:rFonts w:hint="eastAsia" w:ascii="仿宋" w:hAnsi="仿宋" w:eastAsia="仿宋" w:cs="Arial"/>
          <w:color w:val="auto"/>
          <w:lang w:val="en-US" w:eastAsia="zh-CN"/>
        </w:rPr>
        <w:t>12</w:t>
      </w:r>
      <w:r>
        <w:rPr>
          <w:rFonts w:hint="eastAsia" w:ascii="仿宋" w:hAnsi="仿宋" w:eastAsia="仿宋" w:cs="Arial"/>
          <w:color w:val="auto"/>
          <w:lang w:eastAsia="zh-CN"/>
        </w:rPr>
        <w:t>日</w:t>
      </w:r>
      <w:r>
        <w:rPr>
          <w:rFonts w:hint="eastAsia" w:ascii="仿宋" w:hAnsi="仿宋" w:eastAsia="仿宋" w:cs="Arial"/>
          <w:color w:val="auto"/>
          <w:szCs w:val="21"/>
        </w:rPr>
        <w:t>，每天上午00:00-12:00；下午1</w:t>
      </w:r>
      <w:r>
        <w:rPr>
          <w:rFonts w:hint="eastAsia" w:ascii="仿宋" w:hAnsi="仿宋" w:eastAsia="仿宋" w:cs="Arial"/>
          <w:color w:val="auto"/>
        </w:rPr>
        <w:t>2</w:t>
      </w:r>
      <w:r>
        <w:rPr>
          <w:rFonts w:hint="eastAsia" w:ascii="仿宋" w:hAnsi="仿宋" w:eastAsia="仿宋" w:cs="Arial"/>
          <w:color w:val="auto"/>
          <w:szCs w:val="21"/>
        </w:rPr>
        <w:t>:</w:t>
      </w:r>
      <w:r>
        <w:rPr>
          <w:rFonts w:hint="eastAsia" w:ascii="仿宋" w:hAnsi="仿宋" w:eastAsia="仿宋" w:cs="Arial"/>
          <w:color w:val="auto"/>
        </w:rPr>
        <w:t>00</w:t>
      </w:r>
      <w:r>
        <w:rPr>
          <w:rFonts w:hint="eastAsia" w:ascii="仿宋" w:hAnsi="仿宋" w:eastAsia="仿宋" w:cs="Arial"/>
          <w:color w:val="auto"/>
          <w:szCs w:val="21"/>
        </w:rPr>
        <w:t>-23:</w:t>
      </w:r>
      <w:r>
        <w:rPr>
          <w:rFonts w:hint="eastAsia" w:ascii="仿宋" w:hAnsi="仿宋" w:eastAsia="仿宋" w:cs="Arial"/>
          <w:color w:val="auto"/>
        </w:rPr>
        <w:t>59</w:t>
      </w:r>
      <w:r>
        <w:rPr>
          <w:rFonts w:hint="eastAsia" w:ascii="仿宋" w:hAnsi="仿宋" w:eastAsia="仿宋" w:cs="Arial"/>
          <w:color w:val="auto"/>
          <w:szCs w:val="21"/>
        </w:rPr>
        <w:t>（北京时间）</w:t>
      </w:r>
    </w:p>
    <w:p w14:paraId="217C2964">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地点：广西政府采购云平台（https://www.gcy.zfcg.gxzf.gov.cn/）</w:t>
      </w:r>
    </w:p>
    <w:p w14:paraId="504419D5">
      <w:pPr>
        <w:spacing w:line="380" w:lineRule="exact"/>
        <w:ind w:firstLine="420" w:firstLineChars="200"/>
        <w:rPr>
          <w:rFonts w:ascii="仿宋" w:hAnsi="仿宋" w:eastAsia="仿宋" w:cs="宋体"/>
          <w:bCs/>
          <w:color w:val="auto"/>
          <w:kern w:val="0"/>
          <w:szCs w:val="21"/>
        </w:rPr>
      </w:pPr>
      <w:r>
        <w:rPr>
          <w:rFonts w:hint="eastAsia" w:ascii="仿宋" w:hAnsi="仿宋" w:eastAsia="仿宋" w:cs="宋体"/>
          <w:bCs/>
          <w:color w:val="auto"/>
          <w:kern w:val="0"/>
          <w:szCs w:val="21"/>
        </w:rPr>
        <w:t>方式：网上下载。本项目不发放纸质文件，供应商应自行在</w:t>
      </w:r>
      <w:r>
        <w:rPr>
          <w:color w:val="auto"/>
        </w:rPr>
        <w:fldChar w:fldCharType="begin"/>
      </w:r>
      <w:r>
        <w:rPr>
          <w:color w:val="auto"/>
        </w:rPr>
        <w:instrText xml:space="preserve"> HYPERLINK </w:instrText>
      </w:r>
      <w:r>
        <w:rPr>
          <w:color w:val="auto"/>
        </w:rPr>
        <w:fldChar w:fldCharType="separate"/>
      </w:r>
      <w:r>
        <w:rPr>
          <w:color w:val="auto"/>
        </w:rPr>
        <w:fldChar w:fldCharType="end"/>
      </w:r>
      <w:r>
        <w:rPr>
          <w:rFonts w:hint="eastAsia" w:ascii="仿宋" w:hAnsi="仿宋" w:eastAsia="仿宋" w:cs="宋体"/>
          <w:bCs/>
          <w:color w:val="auto"/>
          <w:kern w:val="0"/>
          <w:szCs w:val="21"/>
        </w:rPr>
        <w:t>广西政府采购云平台（https://www.gcy.zfcg.gxzf.gov.cn/）下载招标文件（操作路径：登录广西政府采购云平台-项目采购-获取采购文件-找到本项目-点击“申请获取采购文件”），电子投标文件制作需要基于广西政府采购云平台获取的招标文件编制。</w:t>
      </w:r>
    </w:p>
    <w:p w14:paraId="5DAA3F25">
      <w:pPr>
        <w:spacing w:line="380" w:lineRule="exact"/>
        <w:ind w:firstLine="420" w:firstLineChars="200"/>
        <w:rPr>
          <w:rFonts w:ascii="仿宋" w:hAnsi="仿宋" w:eastAsia="仿宋" w:cs="宋体"/>
          <w:color w:val="auto"/>
          <w:szCs w:val="21"/>
        </w:rPr>
      </w:pPr>
      <w:r>
        <w:rPr>
          <w:rFonts w:hint="eastAsia" w:ascii="仿宋" w:hAnsi="仿宋" w:eastAsia="仿宋" w:cs="宋体"/>
          <w:bCs/>
          <w:color w:val="auto"/>
          <w:kern w:val="0"/>
          <w:szCs w:val="21"/>
        </w:rPr>
        <w:t>售价：0元。</w:t>
      </w:r>
    </w:p>
    <w:p w14:paraId="7A412EC9">
      <w:pPr>
        <w:spacing w:line="380" w:lineRule="exact"/>
        <w:rPr>
          <w:rFonts w:ascii="仿宋" w:hAnsi="仿宋" w:eastAsia="仿宋"/>
          <w:b/>
          <w:bCs/>
          <w:color w:val="auto"/>
          <w:szCs w:val="21"/>
        </w:rPr>
      </w:pPr>
      <w:r>
        <w:rPr>
          <w:rFonts w:hint="eastAsia" w:ascii="仿宋" w:hAnsi="仿宋" w:eastAsia="仿宋"/>
          <w:b/>
          <w:bCs/>
          <w:color w:val="auto"/>
          <w:szCs w:val="21"/>
        </w:rPr>
        <w:t>四、提交投标文件</w:t>
      </w:r>
      <w:bookmarkEnd w:id="23"/>
      <w:bookmarkEnd w:id="24"/>
      <w:r>
        <w:rPr>
          <w:rFonts w:hint="eastAsia" w:ascii="仿宋" w:hAnsi="仿宋" w:eastAsia="仿宋"/>
          <w:b/>
          <w:bCs/>
          <w:color w:val="auto"/>
          <w:szCs w:val="21"/>
        </w:rPr>
        <w:t>截止时间、开标时间和地点</w:t>
      </w:r>
      <w:bookmarkEnd w:id="25"/>
      <w:bookmarkEnd w:id="26"/>
    </w:p>
    <w:p w14:paraId="7557C551">
      <w:pPr>
        <w:spacing w:line="380" w:lineRule="exact"/>
        <w:ind w:firstLine="420" w:firstLineChars="200"/>
        <w:rPr>
          <w:rFonts w:ascii="仿宋" w:hAnsi="仿宋" w:eastAsia="仿宋"/>
          <w:color w:val="auto"/>
          <w:szCs w:val="21"/>
        </w:rPr>
      </w:pPr>
      <w:bookmarkStart w:id="27" w:name="_Toc35393794"/>
      <w:bookmarkStart w:id="28" w:name="_Toc35393625"/>
      <w:bookmarkStart w:id="29" w:name="_Toc28359084"/>
      <w:bookmarkStart w:id="30" w:name="_Toc28359007"/>
      <w:r>
        <w:rPr>
          <w:rFonts w:hint="eastAsia" w:ascii="仿宋" w:hAnsi="仿宋" w:eastAsia="仿宋"/>
          <w:color w:val="auto"/>
          <w:szCs w:val="21"/>
        </w:rPr>
        <w:t>1、</w:t>
      </w:r>
      <w:r>
        <w:rPr>
          <w:rFonts w:hint="eastAsia" w:ascii="仿宋" w:hAnsi="仿宋" w:eastAsia="仿宋" w:cs="宋体"/>
          <w:color w:val="auto"/>
          <w:szCs w:val="21"/>
        </w:rPr>
        <w:t>截止时间</w:t>
      </w:r>
      <w:r>
        <w:rPr>
          <w:rFonts w:hint="eastAsia" w:ascii="仿宋" w:hAnsi="仿宋" w:eastAsia="仿宋"/>
          <w:color w:val="auto"/>
          <w:szCs w:val="21"/>
        </w:rPr>
        <w:t>：</w:t>
      </w:r>
      <w:r>
        <w:rPr>
          <w:rFonts w:hint="eastAsia" w:ascii="仿宋" w:hAnsi="仿宋" w:eastAsia="仿宋"/>
          <w:color w:val="auto"/>
          <w:szCs w:val="21"/>
          <w:lang w:eastAsia="zh-CN"/>
        </w:rPr>
        <w:t>2026年</w:t>
      </w:r>
      <w:r>
        <w:rPr>
          <w:rFonts w:hint="eastAsia" w:ascii="仿宋" w:hAnsi="仿宋" w:eastAsia="仿宋"/>
          <w:color w:val="auto"/>
          <w:szCs w:val="21"/>
          <w:lang w:val="en-US" w:eastAsia="zh-CN"/>
        </w:rPr>
        <w:t>6</w:t>
      </w:r>
      <w:r>
        <w:rPr>
          <w:rFonts w:hint="eastAsia" w:ascii="仿宋" w:hAnsi="仿宋" w:eastAsia="仿宋"/>
          <w:color w:val="auto"/>
          <w:szCs w:val="21"/>
          <w:lang w:eastAsia="zh-CN"/>
        </w:rPr>
        <w:t>月</w:t>
      </w:r>
      <w:r>
        <w:rPr>
          <w:rFonts w:hint="eastAsia" w:ascii="仿宋" w:hAnsi="仿宋" w:eastAsia="仿宋"/>
          <w:color w:val="auto"/>
          <w:szCs w:val="21"/>
          <w:lang w:val="en-US" w:eastAsia="zh-CN"/>
        </w:rPr>
        <w:t>26</w:t>
      </w:r>
      <w:r>
        <w:rPr>
          <w:rFonts w:hint="eastAsia" w:ascii="仿宋" w:hAnsi="仿宋" w:eastAsia="仿宋"/>
          <w:color w:val="auto"/>
          <w:szCs w:val="21"/>
          <w:lang w:eastAsia="zh-CN"/>
        </w:rPr>
        <w:t>日9点30分</w:t>
      </w:r>
      <w:r>
        <w:rPr>
          <w:rFonts w:hint="eastAsia" w:ascii="仿宋" w:hAnsi="仿宋" w:eastAsia="仿宋"/>
          <w:color w:val="auto"/>
          <w:szCs w:val="21"/>
        </w:rPr>
        <w:t>（北京时间）</w:t>
      </w:r>
    </w:p>
    <w:p w14:paraId="4B379805">
      <w:pPr>
        <w:spacing w:line="380" w:lineRule="exact"/>
        <w:ind w:firstLine="420" w:firstLineChars="200"/>
        <w:rPr>
          <w:rFonts w:ascii="仿宋" w:hAnsi="仿宋" w:eastAsia="仿宋"/>
          <w:color w:val="auto"/>
          <w:szCs w:val="21"/>
        </w:rPr>
      </w:pPr>
      <w:r>
        <w:rPr>
          <w:rFonts w:hint="eastAsia" w:ascii="仿宋" w:hAnsi="仿宋" w:eastAsia="仿宋"/>
          <w:color w:val="auto"/>
          <w:szCs w:val="21"/>
        </w:rPr>
        <w:t>2、地点：</w:t>
      </w:r>
      <w:r>
        <w:rPr>
          <w:rFonts w:hint="eastAsia" w:ascii="仿宋" w:hAnsi="仿宋" w:eastAsia="仿宋" w:cs="宋体"/>
          <w:color w:val="auto"/>
          <w:szCs w:val="21"/>
        </w:rPr>
        <w:t>本项目将在广西政府采购云平台电子开标大厅解密、开标。</w:t>
      </w:r>
    </w:p>
    <w:p w14:paraId="628922D2">
      <w:pPr>
        <w:spacing w:line="380" w:lineRule="exact"/>
        <w:rPr>
          <w:rFonts w:ascii="仿宋" w:hAnsi="仿宋" w:eastAsia="仿宋"/>
          <w:b/>
          <w:bCs/>
          <w:color w:val="auto"/>
          <w:szCs w:val="21"/>
        </w:rPr>
      </w:pPr>
      <w:r>
        <w:rPr>
          <w:rFonts w:hint="eastAsia" w:ascii="仿宋" w:hAnsi="仿宋" w:eastAsia="仿宋"/>
          <w:b/>
          <w:bCs/>
          <w:color w:val="auto"/>
          <w:szCs w:val="21"/>
        </w:rPr>
        <w:t>五、公告期限</w:t>
      </w:r>
      <w:bookmarkEnd w:id="27"/>
      <w:bookmarkEnd w:id="28"/>
      <w:bookmarkEnd w:id="29"/>
      <w:bookmarkEnd w:id="30"/>
    </w:p>
    <w:p w14:paraId="4E3712BA">
      <w:pPr>
        <w:spacing w:line="380" w:lineRule="exact"/>
        <w:ind w:firstLine="420" w:firstLineChars="200"/>
        <w:rPr>
          <w:rFonts w:ascii="仿宋" w:hAnsi="仿宋" w:eastAsia="仿宋" w:cs="宋体"/>
          <w:color w:val="auto"/>
          <w:kern w:val="0"/>
          <w:szCs w:val="21"/>
        </w:rPr>
      </w:pPr>
      <w:r>
        <w:rPr>
          <w:rFonts w:hint="eastAsia" w:ascii="仿宋" w:hAnsi="仿宋" w:eastAsia="仿宋" w:cs="宋体"/>
          <w:color w:val="auto"/>
          <w:kern w:val="0"/>
          <w:szCs w:val="21"/>
        </w:rPr>
        <w:t>自本公告发布之日起5个工作日。</w:t>
      </w:r>
    </w:p>
    <w:p w14:paraId="02A653CE">
      <w:pPr>
        <w:spacing w:line="380" w:lineRule="exact"/>
        <w:rPr>
          <w:rFonts w:ascii="仿宋" w:hAnsi="仿宋" w:eastAsia="仿宋"/>
          <w:b/>
          <w:bCs/>
          <w:color w:val="auto"/>
          <w:szCs w:val="21"/>
        </w:rPr>
      </w:pPr>
      <w:bookmarkStart w:id="31" w:name="_Toc35393626"/>
      <w:bookmarkStart w:id="32" w:name="_Toc35393795"/>
      <w:r>
        <w:rPr>
          <w:rFonts w:hint="eastAsia" w:ascii="仿宋" w:hAnsi="仿宋" w:eastAsia="仿宋"/>
          <w:b/>
          <w:bCs/>
          <w:color w:val="auto"/>
          <w:szCs w:val="21"/>
        </w:rPr>
        <w:t>六、其他补充事宜</w:t>
      </w:r>
      <w:bookmarkEnd w:id="31"/>
      <w:bookmarkEnd w:id="32"/>
    </w:p>
    <w:p w14:paraId="57B5133E">
      <w:pPr>
        <w:spacing w:line="380" w:lineRule="exact"/>
        <w:ind w:firstLine="420" w:firstLineChars="200"/>
        <w:rPr>
          <w:rFonts w:ascii="仿宋" w:hAnsi="仿宋" w:eastAsia="仿宋" w:cs="宋体"/>
          <w:color w:val="auto"/>
          <w:kern w:val="0"/>
          <w:szCs w:val="21"/>
        </w:rPr>
      </w:pPr>
      <w:bookmarkStart w:id="33" w:name="_Hlk37429674"/>
      <w:bookmarkStart w:id="34" w:name="_Toc35393796"/>
      <w:bookmarkStart w:id="35" w:name="_Toc35393627"/>
      <w:bookmarkStart w:id="36" w:name="_Toc28359008"/>
      <w:bookmarkStart w:id="37" w:name="_Toc28359085"/>
      <w:r>
        <w:rPr>
          <w:rFonts w:hint="eastAsia" w:ascii="仿宋" w:hAnsi="仿宋" w:eastAsia="仿宋" w:cs="宋体"/>
          <w:color w:val="auto"/>
          <w:kern w:val="0"/>
          <w:szCs w:val="21"/>
        </w:rPr>
        <w:t>1、投标保证金（人民币）：</w:t>
      </w:r>
      <w:r>
        <w:rPr>
          <w:rFonts w:hint="eastAsia" w:ascii="仿宋" w:hAnsi="仿宋" w:eastAsia="仿宋"/>
          <w:color w:val="auto"/>
          <w:szCs w:val="21"/>
        </w:rPr>
        <w:t>1分标：</w:t>
      </w:r>
      <w:r>
        <w:rPr>
          <w:rFonts w:hint="eastAsia" w:ascii="仿宋" w:hAnsi="仿宋" w:eastAsia="仿宋"/>
          <w:color w:val="auto"/>
          <w:szCs w:val="21"/>
          <w:lang w:val="en-US" w:eastAsia="zh-CN"/>
        </w:rPr>
        <w:t>2</w:t>
      </w:r>
      <w:r>
        <w:rPr>
          <w:rFonts w:hint="eastAsia" w:ascii="仿宋" w:hAnsi="仿宋" w:eastAsia="仿宋"/>
          <w:color w:val="auto"/>
          <w:szCs w:val="21"/>
        </w:rPr>
        <w:t>万元；2分标：</w:t>
      </w:r>
      <w:r>
        <w:rPr>
          <w:rFonts w:hint="eastAsia" w:ascii="仿宋" w:hAnsi="仿宋" w:eastAsia="仿宋"/>
          <w:color w:val="auto"/>
          <w:szCs w:val="21"/>
          <w:lang w:val="en-US" w:eastAsia="zh-CN"/>
        </w:rPr>
        <w:t>2</w:t>
      </w:r>
      <w:r>
        <w:rPr>
          <w:rFonts w:hint="eastAsia" w:ascii="仿宋" w:hAnsi="仿宋" w:eastAsia="仿宋"/>
          <w:color w:val="auto"/>
          <w:szCs w:val="21"/>
        </w:rPr>
        <w:t>万元；</w:t>
      </w:r>
    </w:p>
    <w:p w14:paraId="0FD96B2C">
      <w:pPr>
        <w:pStyle w:val="58"/>
        <w:spacing w:before="0" w:after="0" w:line="380" w:lineRule="exact"/>
        <w:rPr>
          <w:rFonts w:ascii="仿宋" w:hAnsi="仿宋" w:eastAsia="仿宋" w:cs="宋体"/>
          <w:color w:val="auto"/>
          <w:spacing w:val="0"/>
          <w:sz w:val="21"/>
          <w:szCs w:val="21"/>
        </w:rPr>
      </w:pPr>
      <w:r>
        <w:rPr>
          <w:rFonts w:hint="eastAsia" w:ascii="仿宋" w:hAnsi="仿宋" w:eastAsia="仿宋" w:cs="宋体"/>
          <w:color w:val="auto"/>
          <w:spacing w:val="0"/>
          <w:sz w:val="21"/>
          <w:szCs w:val="21"/>
        </w:rPr>
        <w:t>开户名称：广西科文招标有限公司，</w:t>
      </w:r>
    </w:p>
    <w:p w14:paraId="219392E3">
      <w:pPr>
        <w:pStyle w:val="58"/>
        <w:spacing w:before="0" w:after="0" w:line="380" w:lineRule="exact"/>
        <w:rPr>
          <w:rFonts w:ascii="仿宋" w:hAnsi="仿宋" w:eastAsia="仿宋" w:cs="宋体"/>
          <w:color w:val="auto"/>
          <w:spacing w:val="0"/>
          <w:sz w:val="21"/>
          <w:szCs w:val="21"/>
        </w:rPr>
      </w:pPr>
      <w:r>
        <w:rPr>
          <w:rFonts w:hint="eastAsia" w:ascii="仿宋" w:hAnsi="仿宋" w:eastAsia="仿宋" w:cs="宋体"/>
          <w:color w:val="auto"/>
          <w:spacing w:val="0"/>
          <w:sz w:val="21"/>
          <w:szCs w:val="21"/>
        </w:rPr>
        <w:t>开户银行：广西北部湾银行南宁分行营业部，</w:t>
      </w:r>
    </w:p>
    <w:p w14:paraId="3112FD33">
      <w:pPr>
        <w:pStyle w:val="58"/>
        <w:spacing w:before="0" w:after="0" w:line="380" w:lineRule="exact"/>
        <w:rPr>
          <w:rFonts w:ascii="仿宋" w:hAnsi="仿宋" w:eastAsia="仿宋" w:cs="宋体"/>
          <w:color w:val="auto"/>
          <w:spacing w:val="0"/>
          <w:sz w:val="21"/>
          <w:szCs w:val="21"/>
        </w:rPr>
      </w:pPr>
      <w:r>
        <w:rPr>
          <w:rFonts w:hint="eastAsia" w:ascii="仿宋" w:hAnsi="仿宋" w:eastAsia="仿宋" w:cs="宋体"/>
          <w:color w:val="auto"/>
          <w:spacing w:val="0"/>
          <w:sz w:val="21"/>
          <w:szCs w:val="21"/>
        </w:rPr>
        <w:t>银行账号：0101012090615689</w:t>
      </w:r>
    </w:p>
    <w:p w14:paraId="5BE77339">
      <w:pPr>
        <w:spacing w:line="380" w:lineRule="exact"/>
        <w:ind w:firstLine="420" w:firstLineChars="200"/>
        <w:rPr>
          <w:rFonts w:ascii="仿宋" w:hAnsi="仿宋" w:eastAsia="仿宋" w:cs="宋体"/>
          <w:color w:val="auto"/>
          <w:kern w:val="0"/>
          <w:szCs w:val="21"/>
        </w:rPr>
      </w:pPr>
      <w:r>
        <w:rPr>
          <w:rFonts w:hint="eastAsia" w:ascii="仿宋" w:hAnsi="仿宋" w:eastAsia="仿宋" w:cs="宋体"/>
          <w:color w:val="auto"/>
          <w:kern w:val="0"/>
          <w:szCs w:val="21"/>
        </w:rPr>
        <w:t>2、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85502BF">
      <w:pPr>
        <w:spacing w:line="380" w:lineRule="exact"/>
        <w:ind w:firstLine="420" w:firstLineChars="200"/>
        <w:rPr>
          <w:rFonts w:ascii="仿宋" w:hAnsi="仿宋" w:eastAsia="仿宋" w:cs="宋体"/>
          <w:color w:val="auto"/>
          <w:kern w:val="0"/>
          <w:szCs w:val="21"/>
        </w:rPr>
      </w:pPr>
      <w:r>
        <w:rPr>
          <w:rFonts w:hint="eastAsia" w:ascii="仿宋" w:hAnsi="仿宋" w:eastAsia="仿宋" w:cs="宋体"/>
          <w:color w:val="auto"/>
          <w:kern w:val="0"/>
          <w:szCs w:val="21"/>
        </w:rPr>
        <w:t>3、根据财政部《关于在政府采购活动中查询及使用信用记录有关问题的通知》（财库〔2016〕125号）的规定，对在“信用中国”网站(www.creditchina.gov.cn)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6F3BD4BE">
      <w:pPr>
        <w:spacing w:line="380" w:lineRule="exact"/>
        <w:ind w:firstLine="420" w:firstLineChars="200"/>
        <w:rPr>
          <w:rFonts w:ascii="仿宋" w:hAnsi="仿宋" w:eastAsia="仿宋" w:cs="宋体"/>
          <w:color w:val="auto"/>
          <w:kern w:val="0"/>
          <w:szCs w:val="21"/>
        </w:rPr>
      </w:pPr>
      <w:r>
        <w:rPr>
          <w:rFonts w:hint="eastAsia" w:ascii="仿宋" w:hAnsi="仿宋" w:eastAsia="仿宋" w:cs="宋体"/>
          <w:color w:val="auto"/>
          <w:kern w:val="0"/>
          <w:szCs w:val="21"/>
        </w:rPr>
        <w:t>4、网上查询地址：中国政府采购网（http://www.ccgp.gov.cn/）、广西政府采购网（http://zfcg.gxzf.gov.cn/）、全国公共资源交易平台（广西壮族自治区）（http://ggzy.jgswj.gxzf.gov.cn/gxggzy/）</w:t>
      </w:r>
    </w:p>
    <w:p w14:paraId="76A2390E">
      <w:pPr>
        <w:spacing w:line="380" w:lineRule="exact"/>
        <w:ind w:firstLine="420" w:firstLineChars="200"/>
        <w:rPr>
          <w:rFonts w:ascii="仿宋" w:hAnsi="仿宋" w:eastAsia="仿宋" w:cs="宋体"/>
          <w:color w:val="auto"/>
          <w:kern w:val="0"/>
          <w:szCs w:val="21"/>
        </w:rPr>
      </w:pPr>
      <w:r>
        <w:rPr>
          <w:rFonts w:hint="eastAsia" w:ascii="仿宋" w:hAnsi="仿宋" w:eastAsia="仿宋" w:cs="宋体"/>
          <w:color w:val="auto"/>
          <w:kern w:val="0"/>
          <w:szCs w:val="21"/>
        </w:rPr>
        <w:t>5、本项目需要落实的政府采购政策：</w:t>
      </w:r>
    </w:p>
    <w:p w14:paraId="127F588C">
      <w:pPr>
        <w:spacing w:line="380" w:lineRule="exact"/>
        <w:ind w:firstLine="420" w:firstLineChars="200"/>
        <w:rPr>
          <w:rFonts w:ascii="仿宋" w:hAnsi="仿宋" w:eastAsia="仿宋" w:cs="宋体"/>
          <w:color w:val="auto"/>
          <w:kern w:val="0"/>
          <w:szCs w:val="21"/>
        </w:rPr>
      </w:pPr>
      <w:r>
        <w:rPr>
          <w:rFonts w:hint="eastAsia" w:ascii="仿宋" w:hAnsi="仿宋" w:eastAsia="仿宋" w:cs="宋体"/>
          <w:color w:val="auto"/>
          <w:kern w:val="0"/>
          <w:szCs w:val="21"/>
        </w:rPr>
        <w:t xml:space="preserve">（1）政府采购促进中小企业发展; </w:t>
      </w:r>
    </w:p>
    <w:p w14:paraId="5FC4F429">
      <w:pPr>
        <w:spacing w:line="380" w:lineRule="exact"/>
        <w:ind w:firstLine="420" w:firstLineChars="200"/>
        <w:rPr>
          <w:rFonts w:ascii="仿宋" w:hAnsi="仿宋" w:eastAsia="仿宋" w:cs="宋体"/>
          <w:color w:val="auto"/>
          <w:kern w:val="0"/>
          <w:szCs w:val="21"/>
        </w:rPr>
      </w:pPr>
      <w:r>
        <w:rPr>
          <w:rFonts w:hint="eastAsia" w:ascii="仿宋" w:hAnsi="仿宋" w:eastAsia="仿宋" w:cs="宋体"/>
          <w:color w:val="auto"/>
          <w:kern w:val="0"/>
          <w:szCs w:val="21"/>
        </w:rPr>
        <w:t xml:space="preserve">（2）政府采购支持采用本国产品的政策; </w:t>
      </w:r>
    </w:p>
    <w:p w14:paraId="621255FF">
      <w:pPr>
        <w:spacing w:line="380" w:lineRule="exact"/>
        <w:ind w:firstLine="420" w:firstLineChars="200"/>
        <w:rPr>
          <w:rFonts w:ascii="仿宋" w:hAnsi="仿宋" w:eastAsia="仿宋" w:cs="宋体"/>
          <w:color w:val="auto"/>
          <w:kern w:val="0"/>
          <w:szCs w:val="21"/>
        </w:rPr>
      </w:pPr>
      <w:r>
        <w:rPr>
          <w:rFonts w:hint="eastAsia" w:ascii="仿宋" w:hAnsi="仿宋" w:eastAsia="仿宋" w:cs="宋体"/>
          <w:color w:val="auto"/>
          <w:kern w:val="0"/>
          <w:szCs w:val="21"/>
        </w:rPr>
        <w:t>（3）强制采购节能产品；优先采购节能产品、环境标志产品;</w:t>
      </w:r>
    </w:p>
    <w:p w14:paraId="66AB9565">
      <w:pPr>
        <w:spacing w:line="380" w:lineRule="exact"/>
        <w:ind w:firstLine="420" w:firstLineChars="200"/>
        <w:rPr>
          <w:rFonts w:ascii="仿宋" w:hAnsi="仿宋" w:eastAsia="仿宋" w:cs="宋体"/>
          <w:color w:val="auto"/>
          <w:kern w:val="0"/>
          <w:szCs w:val="21"/>
        </w:rPr>
      </w:pPr>
      <w:r>
        <w:rPr>
          <w:rFonts w:hint="eastAsia" w:ascii="仿宋" w:hAnsi="仿宋" w:eastAsia="仿宋" w:cs="宋体"/>
          <w:color w:val="auto"/>
          <w:kern w:val="0"/>
          <w:szCs w:val="21"/>
        </w:rPr>
        <w:t>（4）政府采购促进残疾人就业政策;</w:t>
      </w:r>
    </w:p>
    <w:p w14:paraId="6E11B2CA">
      <w:pPr>
        <w:spacing w:line="380" w:lineRule="exact"/>
        <w:ind w:firstLine="420" w:firstLineChars="200"/>
        <w:rPr>
          <w:rFonts w:ascii="仿宋" w:hAnsi="仿宋" w:eastAsia="仿宋" w:cs="宋体"/>
          <w:color w:val="auto"/>
          <w:kern w:val="0"/>
          <w:szCs w:val="21"/>
        </w:rPr>
      </w:pPr>
      <w:r>
        <w:rPr>
          <w:rFonts w:hint="eastAsia" w:ascii="仿宋" w:hAnsi="仿宋" w:eastAsia="仿宋" w:cs="宋体"/>
          <w:color w:val="auto"/>
          <w:kern w:val="0"/>
          <w:szCs w:val="21"/>
        </w:rPr>
        <w:t>（5）政府采购支持监狱企业发展;</w:t>
      </w:r>
    </w:p>
    <w:p w14:paraId="66725E12">
      <w:pPr>
        <w:widowControl/>
        <w:spacing w:line="380" w:lineRule="exact"/>
        <w:ind w:firstLine="420" w:firstLineChars="200"/>
        <w:rPr>
          <w:rFonts w:ascii="仿宋" w:hAnsi="仿宋" w:eastAsia="仿宋" w:cs="宋体"/>
          <w:color w:val="auto"/>
          <w:szCs w:val="21"/>
        </w:rPr>
      </w:pPr>
      <w:r>
        <w:rPr>
          <w:rFonts w:hint="eastAsia" w:ascii="仿宋" w:hAnsi="仿宋" w:eastAsia="仿宋" w:cs="宋体"/>
          <w:color w:val="auto"/>
          <w:szCs w:val="21"/>
        </w:rPr>
        <w:t>6、投标注意事项：</w:t>
      </w:r>
    </w:p>
    <w:p w14:paraId="4540FC2F">
      <w:pPr>
        <w:widowControl/>
        <w:spacing w:line="380" w:lineRule="exact"/>
        <w:ind w:firstLine="420" w:firstLineChars="200"/>
        <w:rPr>
          <w:rFonts w:ascii="仿宋" w:hAnsi="仿宋" w:eastAsia="仿宋" w:cs="宋体"/>
          <w:bCs/>
          <w:color w:val="auto"/>
          <w:szCs w:val="21"/>
        </w:rPr>
      </w:pPr>
      <w:r>
        <w:rPr>
          <w:rFonts w:hint="eastAsia" w:ascii="仿宋" w:hAnsi="仿宋" w:eastAsia="仿宋" w:cs="宋体"/>
          <w:color w:val="auto"/>
          <w:szCs w:val="21"/>
        </w:rPr>
        <w:t>（1）投标文件提交方式：本项目为全流程电子化政府采购项目，通过广西政府采购云平台（https://www.gcy.zfcg.gxzf.gov.cn/）实行在线电子投标，供应商应先安装“广西政府采购云平台电子交易客户端”（请自行前往广西政府采购云平台进行下载），并按照本项目招标文件和广西政府采购云平台的要求编制、加密后在投标截止时间前通过网络上传至广西政府采购云平台，</w:t>
      </w:r>
      <w:r>
        <w:rPr>
          <w:rFonts w:hint="eastAsia" w:ascii="仿宋" w:hAnsi="仿宋" w:eastAsia="仿宋" w:cs="宋体"/>
          <w:b/>
          <w:color w:val="auto"/>
          <w:szCs w:val="21"/>
        </w:rPr>
        <w:t>供应商在广西政府采购云平台提交电子版投标文件时，请填写参加远程开标活动经办人联系方式。</w:t>
      </w:r>
    </w:p>
    <w:p w14:paraId="5AB5DA1D">
      <w:pPr>
        <w:widowControl/>
        <w:spacing w:line="380" w:lineRule="exact"/>
        <w:ind w:firstLine="420" w:firstLineChars="200"/>
        <w:rPr>
          <w:rFonts w:ascii="仿宋" w:hAnsi="仿宋" w:eastAsia="仿宋" w:cs="宋体"/>
          <w:color w:val="auto"/>
          <w:szCs w:val="21"/>
        </w:rPr>
      </w:pPr>
      <w:r>
        <w:rPr>
          <w:rFonts w:hint="eastAsia" w:ascii="仿宋" w:hAnsi="仿宋" w:eastAsia="仿宋" w:cs="宋体"/>
          <w:color w:val="auto"/>
          <w:szCs w:val="21"/>
        </w:rPr>
        <w:t>（2）</w:t>
      </w:r>
      <w:r>
        <w:rPr>
          <w:rFonts w:ascii="仿宋" w:hAnsi="仿宋" w:eastAsia="仿宋" w:cs="宋体"/>
          <w:color w:val="auto"/>
          <w:szCs w:val="21"/>
        </w:rPr>
        <w:t>供应商应及时熟悉掌握电子标系统操作指南（见</w:t>
      </w:r>
      <w:r>
        <w:rPr>
          <w:rFonts w:hint="eastAsia" w:ascii="仿宋" w:hAnsi="仿宋" w:eastAsia="仿宋" w:cs="宋体"/>
          <w:color w:val="auto"/>
          <w:szCs w:val="21"/>
        </w:rPr>
        <w:t>广西政府采购云平台</w:t>
      </w:r>
      <w:r>
        <w:rPr>
          <w:rFonts w:ascii="仿宋" w:hAnsi="仿宋" w:eastAsia="仿宋" w:cs="宋体"/>
          <w:color w:val="auto"/>
          <w:szCs w:val="21"/>
        </w:rPr>
        <w:t>电子卖场首页右上角—服务中心—帮助文档—项目采购）：</w:t>
      </w:r>
      <w:r>
        <w:rPr>
          <w:color w:val="auto"/>
        </w:rPr>
        <w:fldChar w:fldCharType="begin"/>
      </w:r>
      <w:r>
        <w:rPr>
          <w:color w:val="auto"/>
        </w:rPr>
        <w:instrText xml:space="preserve"> HYPERLINK "https://service.zcygov.cn/" \l "/knowledges/tree?tag=AG1DtGwBFdiHxlNdhY0r" </w:instrText>
      </w:r>
      <w:r>
        <w:rPr>
          <w:color w:val="auto"/>
        </w:rPr>
        <w:fldChar w:fldCharType="separate"/>
      </w:r>
      <w:r>
        <w:rPr>
          <w:rFonts w:ascii="仿宋" w:hAnsi="仿宋" w:eastAsia="仿宋"/>
          <w:color w:val="auto"/>
        </w:rPr>
        <w:t>https://service.zcygov.cn/#/knowledges/tree?tag=AG1DtGwBFdiHxlNdhY0r</w:t>
      </w:r>
      <w:r>
        <w:rPr>
          <w:rFonts w:ascii="仿宋" w:hAnsi="仿宋" w:eastAsia="仿宋"/>
          <w:color w:val="auto"/>
        </w:rPr>
        <w:fldChar w:fldCharType="end"/>
      </w:r>
      <w:r>
        <w:rPr>
          <w:rFonts w:hint="eastAsia" w:ascii="仿宋" w:hAnsi="仿宋" w:eastAsia="仿宋" w:cs="宋体"/>
          <w:color w:val="auto"/>
          <w:szCs w:val="21"/>
        </w:rPr>
        <w:t>；</w:t>
      </w:r>
      <w:r>
        <w:rPr>
          <w:rFonts w:ascii="仿宋" w:hAnsi="仿宋" w:eastAsia="仿宋" w:cs="宋体"/>
          <w:color w:val="auto"/>
          <w:szCs w:val="21"/>
        </w:rPr>
        <w:t>及时完成CA申领和绑定（见广西壮族自治区政府采购网—办事服务—下载专区-政采云CA证书办理操作指南）。</w:t>
      </w:r>
    </w:p>
    <w:p w14:paraId="2439DB73">
      <w:pPr>
        <w:widowControl/>
        <w:spacing w:line="380" w:lineRule="exact"/>
        <w:ind w:firstLine="420" w:firstLineChars="200"/>
        <w:rPr>
          <w:rFonts w:ascii="仿宋" w:hAnsi="仿宋" w:eastAsia="仿宋" w:cs="宋体"/>
          <w:color w:val="auto"/>
          <w:szCs w:val="21"/>
        </w:rPr>
      </w:pPr>
      <w:r>
        <w:rPr>
          <w:rFonts w:hint="eastAsia" w:ascii="仿宋" w:hAnsi="仿宋" w:eastAsia="仿宋" w:cs="宋体"/>
          <w:color w:val="auto"/>
          <w:szCs w:val="21"/>
        </w:rPr>
        <w:t>（3）未进行网上注册并办理数字证书（CA认证）的供应商将无法参与本项目政府采购活动，潜在供应商应当在投标截止时间前，完成电子交易平台上的CA数字证书办理及投标文件的提交。完成CA数字证书办理预计5日左右，投标人只需办理其中一家CA数字证书及签章，建议各投标人抓紧时间办理。</w:t>
      </w:r>
    </w:p>
    <w:p w14:paraId="300A8816">
      <w:pPr>
        <w:widowControl/>
        <w:spacing w:line="380" w:lineRule="exact"/>
        <w:ind w:firstLine="420" w:firstLineChars="200"/>
        <w:rPr>
          <w:rFonts w:ascii="仿宋" w:hAnsi="仿宋" w:eastAsia="仿宋" w:cs="宋体"/>
          <w:color w:val="auto"/>
          <w:szCs w:val="21"/>
        </w:rPr>
      </w:pPr>
      <w:r>
        <w:rPr>
          <w:rFonts w:hint="eastAsia" w:ascii="仿宋" w:hAnsi="仿宋" w:eastAsia="仿宋" w:cs="宋体"/>
          <w:color w:val="auto"/>
          <w:szCs w:val="21"/>
        </w:rPr>
        <w:t>（4）为确保网上操作合法、有效和安全，请投标人确保在电子投标过程中能够对相关数据电文进行加密和使用电子签章，妥善保管CA数字证书并使用有效的CA数字证书参与整个采购活动。</w:t>
      </w:r>
    </w:p>
    <w:p w14:paraId="62980C19">
      <w:pPr>
        <w:spacing w:line="380" w:lineRule="exact"/>
        <w:ind w:firstLine="422" w:firstLineChars="200"/>
        <w:rPr>
          <w:rFonts w:ascii="仿宋" w:hAnsi="仿宋" w:eastAsia="仿宋" w:cs="宋体"/>
          <w:b/>
          <w:bCs/>
          <w:color w:val="auto"/>
          <w:szCs w:val="21"/>
        </w:rPr>
      </w:pPr>
      <w:r>
        <w:rPr>
          <w:rFonts w:hint="eastAsia" w:ascii="仿宋" w:hAnsi="仿宋" w:eastAsia="仿宋" w:cs="宋体"/>
          <w:b/>
          <w:bCs/>
          <w:color w:val="auto"/>
          <w:szCs w:val="21"/>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075BEF3E">
      <w:pPr>
        <w:snapToGrid w:val="0"/>
        <w:spacing w:line="380" w:lineRule="exact"/>
        <w:ind w:firstLine="420" w:firstLineChars="200"/>
        <w:rPr>
          <w:rFonts w:ascii="仿宋" w:hAnsi="仿宋" w:eastAsia="仿宋" w:cs="宋体"/>
          <w:color w:val="auto"/>
          <w:kern w:val="0"/>
          <w:szCs w:val="21"/>
        </w:rPr>
      </w:pPr>
      <w:r>
        <w:rPr>
          <w:rFonts w:hint="eastAsia" w:ascii="仿宋" w:hAnsi="仿宋" w:eastAsia="仿宋" w:cs="宋体"/>
          <w:color w:val="auto"/>
          <w:kern w:val="0"/>
          <w:szCs w:val="21"/>
        </w:rPr>
        <w:t>7、CA证书在线解密：供应商投标时，需携带制作投标文件时用来加密的有效数字证书（CA认证）登录广西政府采购云平台电子开标大厅现场按规定时间对加密的投标文件进行解密，否则后果自负。</w:t>
      </w:r>
    </w:p>
    <w:p w14:paraId="178C1EED">
      <w:pPr>
        <w:spacing w:line="380" w:lineRule="exact"/>
        <w:ind w:firstLine="420" w:firstLineChars="200"/>
        <w:rPr>
          <w:rFonts w:ascii="仿宋" w:hAnsi="仿宋" w:eastAsia="仿宋" w:cs="宋体"/>
          <w:color w:val="auto"/>
          <w:kern w:val="0"/>
          <w:szCs w:val="21"/>
        </w:rPr>
      </w:pPr>
      <w:r>
        <w:rPr>
          <w:rFonts w:hint="eastAsia" w:ascii="仿宋" w:hAnsi="仿宋" w:eastAsia="仿宋" w:cs="宋体"/>
          <w:color w:val="auto"/>
          <w:kern w:val="0"/>
          <w:szCs w:val="21"/>
        </w:rPr>
        <w:t>8、若对项目采购电子交易系统操作有疑问，可登录广西政府采购云平台（https://www.gcy.zfcg.gxzf.gov.cn/），点击右侧咨询小采，获取采小蜜智能服务管家帮助，或拨打广西政府采购云平台服务热线95763获取热线服务帮助。</w:t>
      </w:r>
    </w:p>
    <w:bookmarkEnd w:id="33"/>
    <w:p w14:paraId="53639F51">
      <w:pPr>
        <w:spacing w:line="380" w:lineRule="exact"/>
        <w:rPr>
          <w:rFonts w:ascii="仿宋" w:hAnsi="仿宋" w:eastAsia="仿宋"/>
          <w:b/>
          <w:bCs/>
          <w:color w:val="auto"/>
          <w:szCs w:val="21"/>
        </w:rPr>
      </w:pPr>
      <w:r>
        <w:rPr>
          <w:rFonts w:hint="eastAsia" w:ascii="仿宋" w:hAnsi="仿宋" w:eastAsia="仿宋"/>
          <w:b/>
          <w:bCs/>
          <w:color w:val="auto"/>
          <w:szCs w:val="21"/>
        </w:rPr>
        <w:t>七、对本次招标提出询问，请按</w:t>
      </w:r>
      <w:r>
        <w:rPr>
          <w:rFonts w:ascii="仿宋" w:hAnsi="仿宋" w:eastAsia="仿宋"/>
          <w:b/>
          <w:bCs/>
          <w:color w:val="auto"/>
          <w:szCs w:val="21"/>
        </w:rPr>
        <w:t>以下方式</w:t>
      </w:r>
      <w:r>
        <w:rPr>
          <w:rFonts w:hint="eastAsia" w:ascii="仿宋" w:hAnsi="仿宋" w:eastAsia="仿宋"/>
          <w:b/>
          <w:bCs/>
          <w:color w:val="auto"/>
          <w:szCs w:val="21"/>
        </w:rPr>
        <w:t>联系。</w:t>
      </w:r>
      <w:bookmarkEnd w:id="34"/>
      <w:bookmarkEnd w:id="35"/>
      <w:bookmarkEnd w:id="36"/>
      <w:bookmarkEnd w:id="37"/>
    </w:p>
    <w:p w14:paraId="7E691707">
      <w:pPr>
        <w:spacing w:line="380" w:lineRule="exact"/>
        <w:ind w:firstLine="420" w:firstLineChars="200"/>
        <w:rPr>
          <w:rFonts w:ascii="仿宋" w:hAnsi="仿宋" w:eastAsia="仿宋" w:cs="宋体"/>
          <w:color w:val="auto"/>
          <w:szCs w:val="21"/>
        </w:rPr>
      </w:pPr>
      <w:r>
        <w:rPr>
          <w:rFonts w:hint="eastAsia" w:ascii="仿宋" w:hAnsi="仿宋" w:eastAsia="仿宋" w:cs="宋体"/>
          <w:color w:val="auto"/>
          <w:szCs w:val="21"/>
        </w:rPr>
        <w:t>1.采购人信息</w:t>
      </w:r>
    </w:p>
    <w:p w14:paraId="4B367349">
      <w:pPr>
        <w:spacing w:line="380" w:lineRule="exact"/>
        <w:ind w:firstLine="420" w:firstLineChars="200"/>
        <w:rPr>
          <w:rFonts w:hint="eastAsia" w:ascii="仿宋" w:hAnsi="仿宋" w:eastAsia="仿宋" w:cs="宋体"/>
          <w:color w:val="auto"/>
          <w:szCs w:val="21"/>
          <w:lang w:eastAsia="zh-CN"/>
        </w:rPr>
      </w:pPr>
      <w:r>
        <w:rPr>
          <w:rFonts w:hint="eastAsia" w:ascii="仿宋" w:hAnsi="仿宋" w:eastAsia="仿宋" w:cs="宋体"/>
          <w:color w:val="auto"/>
          <w:szCs w:val="21"/>
        </w:rPr>
        <w:t>名称：</w:t>
      </w:r>
      <w:r>
        <w:rPr>
          <w:rFonts w:hint="eastAsia" w:ascii="仿宋" w:hAnsi="仿宋" w:eastAsia="仿宋" w:cs="宋体"/>
          <w:color w:val="auto"/>
          <w:szCs w:val="21"/>
          <w:lang w:eastAsia="zh-CN"/>
        </w:rPr>
        <w:t>广西机电工程学校</w:t>
      </w:r>
    </w:p>
    <w:p w14:paraId="4B7DBA81">
      <w:pPr>
        <w:spacing w:line="380" w:lineRule="exact"/>
        <w:ind w:firstLine="420" w:firstLineChars="200"/>
        <w:rPr>
          <w:rFonts w:hint="eastAsia" w:ascii="仿宋" w:hAnsi="仿宋" w:eastAsia="仿宋" w:cs="宋体"/>
          <w:color w:val="auto"/>
          <w:szCs w:val="21"/>
          <w:lang w:eastAsia="zh-CN"/>
        </w:rPr>
      </w:pPr>
      <w:r>
        <w:rPr>
          <w:rFonts w:hint="eastAsia" w:ascii="仿宋" w:hAnsi="仿宋" w:eastAsia="仿宋" w:cs="宋体"/>
          <w:color w:val="auto"/>
          <w:szCs w:val="21"/>
        </w:rPr>
        <w:t>地址：</w:t>
      </w:r>
      <w:r>
        <w:rPr>
          <w:rFonts w:hint="eastAsia" w:ascii="仿宋" w:hAnsi="仿宋" w:eastAsia="仿宋" w:cs="宋体"/>
          <w:color w:val="auto"/>
          <w:szCs w:val="21"/>
          <w:lang w:eastAsia="zh-CN"/>
        </w:rPr>
        <w:t>南宁市安吉大道16号/邮编：530001</w:t>
      </w:r>
    </w:p>
    <w:p w14:paraId="2FC0C4B0">
      <w:pPr>
        <w:spacing w:line="380" w:lineRule="exact"/>
        <w:ind w:firstLine="420" w:firstLineChars="200"/>
        <w:rPr>
          <w:rFonts w:hint="eastAsia" w:ascii="仿宋" w:hAnsi="仿宋" w:eastAsia="仿宋" w:cs="宋体"/>
          <w:color w:val="auto"/>
          <w:szCs w:val="21"/>
          <w:lang w:eastAsia="zh-CN"/>
        </w:rPr>
      </w:pPr>
      <w:r>
        <w:rPr>
          <w:rFonts w:hint="eastAsia" w:ascii="仿宋" w:hAnsi="仿宋" w:eastAsia="仿宋" w:cs="宋体"/>
          <w:color w:val="auto"/>
          <w:szCs w:val="21"/>
          <w:highlight w:val="none"/>
        </w:rPr>
        <w:t>项目联系人：</w:t>
      </w:r>
      <w:r>
        <w:rPr>
          <w:rFonts w:hint="eastAsia" w:ascii="仿宋" w:hAnsi="仿宋" w:eastAsia="仿宋" w:cs="宋体"/>
          <w:color w:val="auto"/>
          <w:szCs w:val="21"/>
          <w:highlight w:val="none"/>
          <w:lang w:val="en-US" w:eastAsia="zh-CN"/>
        </w:rPr>
        <w:t>高老师</w:t>
      </w:r>
      <w:r>
        <w:rPr>
          <w:rFonts w:hint="eastAsia" w:ascii="仿宋" w:hAnsi="仿宋" w:eastAsia="仿宋" w:cs="宋体"/>
          <w:color w:val="auto"/>
          <w:szCs w:val="21"/>
          <w:highlight w:val="none"/>
          <w:lang w:eastAsia="zh-CN"/>
        </w:rPr>
        <w:t xml:space="preserve">     </w:t>
      </w:r>
      <w:r>
        <w:rPr>
          <w:rFonts w:hint="eastAsia" w:ascii="仿宋" w:hAnsi="仿宋" w:eastAsia="仿宋" w:cs="宋体"/>
          <w:color w:val="auto"/>
          <w:szCs w:val="21"/>
          <w:highlight w:val="none"/>
          <w:lang w:val="en-US" w:eastAsia="zh-CN"/>
        </w:rPr>
        <w:t xml:space="preserve"> </w:t>
      </w:r>
      <w:r>
        <w:rPr>
          <w:rFonts w:hint="eastAsia" w:ascii="仿宋" w:hAnsi="仿宋" w:eastAsia="仿宋" w:cs="宋体"/>
          <w:color w:val="auto"/>
          <w:szCs w:val="21"/>
          <w:highlight w:val="none"/>
        </w:rPr>
        <w:t>联系电话：</w:t>
      </w:r>
      <w:r>
        <w:rPr>
          <w:rFonts w:hint="eastAsia" w:ascii="仿宋" w:hAnsi="仿宋" w:eastAsia="仿宋"/>
          <w:color w:val="auto"/>
          <w:szCs w:val="21"/>
          <w:highlight w:val="none"/>
          <w:lang w:eastAsia="zh-CN"/>
        </w:rPr>
        <w:t xml:space="preserve">0771-2260388 </w:t>
      </w:r>
      <w:r>
        <w:rPr>
          <w:rFonts w:hint="eastAsia" w:ascii="仿宋" w:hAnsi="仿宋" w:eastAsia="仿宋"/>
          <w:color w:val="auto"/>
          <w:szCs w:val="21"/>
          <w:lang w:eastAsia="zh-CN"/>
        </w:rPr>
        <w:t xml:space="preserve">  </w:t>
      </w:r>
    </w:p>
    <w:p w14:paraId="771C60D8">
      <w:pPr>
        <w:spacing w:line="380" w:lineRule="exact"/>
        <w:ind w:firstLine="420" w:firstLineChars="200"/>
        <w:rPr>
          <w:rFonts w:ascii="仿宋" w:hAnsi="仿宋" w:eastAsia="仿宋" w:cs="宋体"/>
          <w:color w:val="auto"/>
          <w:szCs w:val="21"/>
        </w:rPr>
      </w:pPr>
      <w:r>
        <w:rPr>
          <w:rFonts w:hint="eastAsia" w:ascii="仿宋" w:hAnsi="仿宋" w:eastAsia="仿宋" w:cs="宋体"/>
          <w:color w:val="auto"/>
          <w:szCs w:val="21"/>
        </w:rPr>
        <w:t>2.采购代理机构信息</w:t>
      </w:r>
    </w:p>
    <w:p w14:paraId="0232BB6A">
      <w:pPr>
        <w:spacing w:line="380" w:lineRule="exact"/>
        <w:ind w:firstLine="420" w:firstLineChars="200"/>
        <w:rPr>
          <w:rFonts w:ascii="仿宋" w:hAnsi="仿宋" w:eastAsia="仿宋" w:cs="宋体"/>
          <w:color w:val="auto"/>
          <w:szCs w:val="21"/>
        </w:rPr>
      </w:pPr>
      <w:r>
        <w:rPr>
          <w:rFonts w:hint="eastAsia" w:ascii="仿宋" w:hAnsi="仿宋" w:eastAsia="仿宋" w:cs="宋体"/>
          <w:color w:val="auto"/>
          <w:szCs w:val="21"/>
        </w:rPr>
        <w:t>名称：广西科文招标有限公司</w:t>
      </w:r>
    </w:p>
    <w:p w14:paraId="1A7BFC73">
      <w:pPr>
        <w:spacing w:line="380" w:lineRule="exact"/>
        <w:ind w:firstLine="420" w:firstLineChars="200"/>
        <w:rPr>
          <w:rFonts w:ascii="仿宋" w:hAnsi="仿宋" w:eastAsia="仿宋" w:cs="宋体"/>
          <w:color w:val="auto"/>
          <w:szCs w:val="21"/>
        </w:rPr>
      </w:pPr>
      <w:r>
        <w:rPr>
          <w:rFonts w:hint="eastAsia" w:ascii="仿宋" w:hAnsi="仿宋" w:eastAsia="仿宋" w:cs="宋体"/>
          <w:color w:val="auto"/>
          <w:szCs w:val="21"/>
        </w:rPr>
        <w:t>地址：广西南宁市民族大道141号中鼎万象东方D区五层</w:t>
      </w:r>
    </w:p>
    <w:p w14:paraId="1A9411C4">
      <w:pPr>
        <w:spacing w:line="380" w:lineRule="exact"/>
        <w:ind w:firstLine="420" w:firstLineChars="200"/>
        <w:rPr>
          <w:rFonts w:hint="eastAsia" w:ascii="仿宋" w:hAnsi="仿宋" w:eastAsia="仿宋" w:cs="宋体"/>
          <w:color w:val="auto"/>
          <w:szCs w:val="21"/>
          <w:lang w:eastAsia="zh-CN"/>
        </w:rPr>
      </w:pPr>
      <w:r>
        <w:rPr>
          <w:rFonts w:hint="eastAsia" w:ascii="仿宋" w:hAnsi="仿宋" w:eastAsia="仿宋" w:cs="宋体"/>
          <w:color w:val="auto"/>
          <w:szCs w:val="21"/>
        </w:rPr>
        <w:t>项目联系人：</w:t>
      </w:r>
      <w:r>
        <w:rPr>
          <w:rFonts w:hint="eastAsia" w:ascii="仿宋" w:hAnsi="仿宋" w:eastAsia="仿宋" w:cs="宋体"/>
          <w:color w:val="auto"/>
          <w:szCs w:val="21"/>
          <w:lang w:eastAsia="zh-CN"/>
        </w:rPr>
        <w:t>邹学荟</w:t>
      </w:r>
      <w:r>
        <w:rPr>
          <w:rFonts w:hint="eastAsia" w:ascii="仿宋" w:hAnsi="仿宋" w:eastAsia="仿宋" w:cs="宋体"/>
          <w:color w:val="auto"/>
          <w:szCs w:val="21"/>
          <w:lang w:val="en-US" w:eastAsia="zh-CN"/>
        </w:rPr>
        <w:t xml:space="preserve">  </w:t>
      </w:r>
      <w:r>
        <w:rPr>
          <w:rFonts w:hint="eastAsia" w:ascii="仿宋" w:hAnsi="仿宋" w:eastAsia="仿宋" w:cs="宋体"/>
          <w:color w:val="auto"/>
          <w:szCs w:val="21"/>
        </w:rPr>
        <w:t>联系电话：0771-</w:t>
      </w:r>
      <w:r>
        <w:rPr>
          <w:rFonts w:hint="eastAsia" w:ascii="仿宋" w:hAnsi="仿宋" w:eastAsia="仿宋" w:cs="宋体"/>
          <w:color w:val="auto"/>
          <w:szCs w:val="21"/>
          <w:lang w:eastAsia="zh-CN"/>
        </w:rPr>
        <w:t>2026103</w:t>
      </w:r>
    </w:p>
    <w:p w14:paraId="20A8A32F">
      <w:pPr>
        <w:spacing w:line="380" w:lineRule="exact"/>
        <w:ind w:firstLine="420" w:firstLineChars="200"/>
        <w:rPr>
          <w:rFonts w:ascii="仿宋" w:hAnsi="仿宋" w:eastAsia="仿宋" w:cs="宋体"/>
          <w:color w:val="auto"/>
          <w:szCs w:val="21"/>
        </w:rPr>
      </w:pPr>
      <w:r>
        <w:rPr>
          <w:rFonts w:hint="eastAsia" w:ascii="仿宋" w:hAnsi="仿宋" w:eastAsia="仿宋" w:cs="宋体"/>
          <w:color w:val="auto"/>
          <w:szCs w:val="21"/>
        </w:rPr>
        <w:t>3.项目联系方式</w:t>
      </w:r>
    </w:p>
    <w:p w14:paraId="7EF7FD3C">
      <w:pPr>
        <w:spacing w:line="380" w:lineRule="exact"/>
        <w:ind w:firstLine="420" w:firstLineChars="200"/>
        <w:rPr>
          <w:rFonts w:hint="eastAsia" w:ascii="仿宋" w:hAnsi="仿宋" w:eastAsia="仿宋" w:cs="宋体"/>
          <w:color w:val="auto"/>
          <w:szCs w:val="21"/>
          <w:lang w:eastAsia="zh-CN"/>
        </w:rPr>
      </w:pPr>
      <w:r>
        <w:rPr>
          <w:rFonts w:hint="eastAsia" w:ascii="仿宋" w:hAnsi="仿宋" w:eastAsia="仿宋" w:cs="宋体"/>
          <w:color w:val="auto"/>
          <w:szCs w:val="21"/>
        </w:rPr>
        <w:t>项目联系人：</w:t>
      </w:r>
      <w:r>
        <w:rPr>
          <w:rFonts w:hint="eastAsia" w:ascii="仿宋" w:hAnsi="仿宋" w:eastAsia="仿宋" w:cs="宋体"/>
          <w:color w:val="auto"/>
          <w:szCs w:val="21"/>
          <w:lang w:eastAsia="zh-CN"/>
        </w:rPr>
        <w:t>邹学荟</w:t>
      </w:r>
      <w:r>
        <w:rPr>
          <w:rFonts w:hint="eastAsia" w:ascii="仿宋" w:hAnsi="仿宋" w:eastAsia="仿宋" w:cs="宋体"/>
          <w:color w:val="auto"/>
          <w:szCs w:val="21"/>
        </w:rPr>
        <w:t>电话：0771-</w:t>
      </w:r>
      <w:r>
        <w:rPr>
          <w:rFonts w:hint="eastAsia" w:ascii="仿宋" w:hAnsi="仿宋" w:eastAsia="仿宋" w:cs="宋体"/>
          <w:color w:val="auto"/>
          <w:szCs w:val="21"/>
          <w:lang w:eastAsia="zh-CN"/>
        </w:rPr>
        <w:t>2026103</w:t>
      </w:r>
    </w:p>
    <w:p w14:paraId="35DA501C">
      <w:pPr>
        <w:spacing w:line="360" w:lineRule="exact"/>
        <w:ind w:firstLine="420" w:firstLineChars="200"/>
        <w:rPr>
          <w:rFonts w:ascii="仿宋" w:hAnsi="仿宋" w:eastAsia="仿宋" w:cs="宋体"/>
          <w:color w:val="auto"/>
          <w:szCs w:val="21"/>
        </w:rPr>
      </w:pPr>
    </w:p>
    <w:p w14:paraId="45671BB6">
      <w:pPr>
        <w:spacing w:line="360" w:lineRule="exact"/>
        <w:ind w:firstLine="420" w:firstLineChars="200"/>
        <w:rPr>
          <w:rFonts w:ascii="仿宋" w:hAnsi="仿宋" w:eastAsia="仿宋" w:cs="宋体"/>
          <w:color w:val="auto"/>
          <w:szCs w:val="21"/>
        </w:rPr>
      </w:pPr>
    </w:p>
    <w:p w14:paraId="61359B49">
      <w:pPr>
        <w:spacing w:line="360" w:lineRule="exact"/>
        <w:ind w:firstLine="420" w:firstLineChars="200"/>
        <w:rPr>
          <w:rFonts w:ascii="仿宋" w:hAnsi="仿宋" w:eastAsia="仿宋" w:cs="宋体"/>
          <w:color w:val="auto"/>
          <w:szCs w:val="21"/>
        </w:rPr>
      </w:pPr>
    </w:p>
    <w:p w14:paraId="3E945ED4">
      <w:pPr>
        <w:spacing w:line="380" w:lineRule="exact"/>
        <w:ind w:firstLine="6405" w:firstLineChars="3050"/>
        <w:rPr>
          <w:rFonts w:ascii="仿宋" w:hAnsi="仿宋" w:eastAsia="仿宋"/>
          <w:color w:val="auto"/>
          <w:szCs w:val="21"/>
        </w:rPr>
      </w:pPr>
      <w:r>
        <w:rPr>
          <w:rFonts w:hint="eastAsia" w:ascii="仿宋" w:hAnsi="仿宋" w:eastAsia="仿宋" w:cs="Arial"/>
          <w:color w:val="auto"/>
          <w:szCs w:val="21"/>
        </w:rPr>
        <w:t>广西科文招标有限公司</w:t>
      </w:r>
    </w:p>
    <w:p w14:paraId="3BDA2390">
      <w:pPr>
        <w:snapToGrid w:val="0"/>
        <w:spacing w:line="380" w:lineRule="exact"/>
        <w:ind w:right="420" w:firstLine="6825" w:firstLineChars="3250"/>
        <w:rPr>
          <w:rFonts w:ascii="仿宋" w:hAnsi="仿宋" w:eastAsia="仿宋" w:cs="Arial"/>
          <w:color w:val="auto"/>
        </w:rPr>
      </w:pPr>
      <w:r>
        <w:rPr>
          <w:rFonts w:hint="eastAsia" w:ascii="仿宋" w:hAnsi="仿宋" w:eastAsia="仿宋"/>
          <w:color w:val="auto"/>
        </w:rPr>
        <w:t>202</w:t>
      </w:r>
      <w:r>
        <w:rPr>
          <w:rFonts w:hint="eastAsia" w:ascii="仿宋" w:hAnsi="仿宋" w:eastAsia="仿宋"/>
          <w:color w:val="auto"/>
          <w:lang w:val="en-US" w:eastAsia="zh-CN"/>
        </w:rPr>
        <w:t>6</w:t>
      </w:r>
      <w:r>
        <w:rPr>
          <w:rFonts w:hint="eastAsia" w:ascii="仿宋" w:hAnsi="仿宋" w:eastAsia="仿宋"/>
          <w:color w:val="auto"/>
        </w:rPr>
        <w:t>年</w:t>
      </w:r>
      <w:r>
        <w:rPr>
          <w:rFonts w:hint="eastAsia" w:ascii="仿宋" w:hAnsi="仿宋" w:eastAsia="仿宋"/>
          <w:color w:val="auto"/>
          <w:lang w:val="en-US" w:eastAsia="zh-CN"/>
        </w:rPr>
        <w:t>6</w:t>
      </w:r>
      <w:r>
        <w:rPr>
          <w:rFonts w:hint="eastAsia" w:ascii="仿宋" w:hAnsi="仿宋" w:eastAsia="仿宋"/>
          <w:color w:val="auto"/>
        </w:rPr>
        <w:t>月</w:t>
      </w:r>
      <w:r>
        <w:rPr>
          <w:rFonts w:hint="eastAsia" w:ascii="仿宋" w:hAnsi="仿宋" w:eastAsia="仿宋"/>
          <w:color w:val="auto"/>
          <w:lang w:val="en-US" w:eastAsia="zh-CN"/>
        </w:rPr>
        <w:t>5</w:t>
      </w:r>
      <w:r>
        <w:rPr>
          <w:rFonts w:hint="eastAsia" w:ascii="仿宋" w:hAnsi="仿宋" w:eastAsia="仿宋"/>
          <w:color w:val="auto"/>
        </w:rPr>
        <w:t>日</w:t>
      </w:r>
    </w:p>
    <w:p w14:paraId="4BECE0AB">
      <w:pPr>
        <w:snapToGrid w:val="0"/>
        <w:spacing w:line="320" w:lineRule="exact"/>
        <w:rPr>
          <w:rFonts w:ascii="仿宋" w:hAnsi="仿宋" w:eastAsia="仿宋"/>
          <w:color w:val="auto"/>
          <w:sz w:val="24"/>
          <w:szCs w:val="20"/>
        </w:rPr>
      </w:pPr>
      <w:r>
        <w:rPr>
          <w:rFonts w:ascii="仿宋" w:hAnsi="仿宋" w:eastAsia="仿宋"/>
          <w:color w:val="auto"/>
          <w:sz w:val="24"/>
          <w:szCs w:val="20"/>
        </w:rPr>
        <w:br w:type="page"/>
      </w:r>
    </w:p>
    <w:p w14:paraId="3E633A1B">
      <w:pPr>
        <w:pStyle w:val="3"/>
        <w:jc w:val="center"/>
        <w:rPr>
          <w:rFonts w:ascii="仿宋" w:hAnsi="仿宋" w:eastAsia="仿宋"/>
          <w:color w:val="auto"/>
        </w:rPr>
      </w:pPr>
      <w:bookmarkStart w:id="38" w:name="_Toc74320801"/>
      <w:r>
        <w:rPr>
          <w:rFonts w:hint="eastAsia" w:ascii="仿宋" w:hAnsi="仿宋" w:eastAsia="仿宋"/>
          <w:color w:val="auto"/>
        </w:rPr>
        <w:t>第二章  采购需求</w:t>
      </w:r>
      <w:bookmarkEnd w:id="38"/>
    </w:p>
    <w:p w14:paraId="07B1E0C3">
      <w:pPr>
        <w:spacing w:line="360" w:lineRule="auto"/>
        <w:jc w:val="left"/>
        <w:rPr>
          <w:rFonts w:ascii="仿宋" w:hAnsi="仿宋" w:eastAsia="仿宋" w:cs="宋体"/>
          <w:b/>
          <w:color w:val="auto"/>
          <w:szCs w:val="21"/>
        </w:rPr>
      </w:pPr>
      <w:bookmarkStart w:id="39" w:name="_Toc254970490"/>
      <w:bookmarkStart w:id="40" w:name="_Toc254970631"/>
      <w:r>
        <w:rPr>
          <w:rFonts w:hint="eastAsia" w:ascii="仿宋" w:hAnsi="仿宋" w:eastAsia="仿宋" w:cs="宋体"/>
          <w:b/>
          <w:color w:val="auto"/>
          <w:szCs w:val="21"/>
        </w:rPr>
        <w:t>说明：</w:t>
      </w:r>
    </w:p>
    <w:p w14:paraId="1BC8DFB7">
      <w:pPr>
        <w:spacing w:line="360" w:lineRule="exact"/>
        <w:ind w:left="-10" w:leftChars="-5" w:right="2" w:rightChars="1" w:firstLine="422" w:firstLineChars="200"/>
        <w:rPr>
          <w:rFonts w:ascii="仿宋" w:hAnsi="仿宋" w:eastAsia="仿宋"/>
          <w:b/>
          <w:bCs/>
          <w:color w:val="auto"/>
        </w:rPr>
      </w:pPr>
      <w:r>
        <w:rPr>
          <w:rFonts w:hint="eastAsia" w:ascii="仿宋" w:hAnsi="仿宋" w:eastAsia="仿宋"/>
          <w:b/>
          <w:bCs/>
          <w:color w:val="auto"/>
        </w:rPr>
        <w:t>1、采购需求中如出现品牌、型号或者生产厂家等均仅起参考作用，不属于指定品牌、型号或者生产厂家的情形，投标人可参照或者选用其他相当的品牌、型号或者生产供应商替代。但投标人的产品实质上应相当于或优于本需求</w:t>
      </w:r>
      <w:r>
        <w:rPr>
          <w:rFonts w:ascii="仿宋" w:hAnsi="仿宋" w:eastAsia="仿宋"/>
          <w:b/>
          <w:bCs/>
          <w:color w:val="auto"/>
        </w:rPr>
        <w:t>中</w:t>
      </w:r>
      <w:r>
        <w:rPr>
          <w:rFonts w:hint="eastAsia" w:ascii="仿宋" w:hAnsi="仿宋" w:eastAsia="仿宋"/>
          <w:b/>
          <w:bCs/>
          <w:color w:val="auto"/>
        </w:rPr>
        <w:t>的技术要求。</w:t>
      </w:r>
    </w:p>
    <w:p w14:paraId="6BF5620B">
      <w:pPr>
        <w:spacing w:line="360" w:lineRule="exact"/>
        <w:ind w:left="-10" w:leftChars="-5" w:right="2" w:rightChars="1" w:firstLine="422" w:firstLineChars="200"/>
        <w:rPr>
          <w:rFonts w:ascii="仿宋" w:hAnsi="仿宋" w:eastAsia="仿宋"/>
          <w:b/>
          <w:bCs/>
          <w:color w:val="auto"/>
        </w:rPr>
      </w:pPr>
      <w:r>
        <w:rPr>
          <w:rFonts w:hint="eastAsia" w:ascii="仿宋" w:hAnsi="仿宋" w:eastAsia="仿宋"/>
          <w:b/>
          <w:bCs/>
          <w:color w:val="auto"/>
        </w:rPr>
        <w:t>2、</w:t>
      </w:r>
      <w:r>
        <w:rPr>
          <w:rFonts w:ascii="仿宋" w:hAnsi="仿宋" w:eastAsia="仿宋"/>
          <w:b/>
          <w:bCs/>
          <w:color w:val="auto"/>
        </w:rPr>
        <w:t>凡在“</w:t>
      </w:r>
      <w:r>
        <w:rPr>
          <w:rFonts w:hint="eastAsia" w:ascii="仿宋" w:hAnsi="仿宋" w:eastAsia="仿宋"/>
          <w:b/>
          <w:bCs/>
          <w:color w:val="auto"/>
        </w:rPr>
        <w:t>技术要求</w:t>
      </w:r>
      <w:r>
        <w:rPr>
          <w:rFonts w:ascii="仿宋" w:hAnsi="仿宋" w:eastAsia="仿宋"/>
          <w:b/>
          <w:bCs/>
          <w:color w:val="auto"/>
        </w:rPr>
        <w:t>”中表述为“标配”或“标准配置”的设备，投标人应在投标</w:t>
      </w:r>
      <w:r>
        <w:rPr>
          <w:rFonts w:hint="eastAsia" w:ascii="仿宋" w:hAnsi="仿宋" w:eastAsia="仿宋"/>
          <w:b/>
          <w:bCs/>
          <w:color w:val="auto"/>
        </w:rPr>
        <w:t>设备性能配置清单</w:t>
      </w:r>
      <w:r>
        <w:rPr>
          <w:rFonts w:ascii="仿宋" w:hAnsi="仿宋" w:eastAsia="仿宋"/>
          <w:b/>
          <w:bCs/>
          <w:color w:val="auto"/>
        </w:rPr>
        <w:t>中将其标配参数详细列明。</w:t>
      </w:r>
    </w:p>
    <w:p w14:paraId="65216654">
      <w:pPr>
        <w:spacing w:line="360" w:lineRule="exact"/>
        <w:ind w:left="-10" w:leftChars="-5" w:right="2" w:rightChars="1" w:firstLine="422" w:firstLineChars="200"/>
        <w:rPr>
          <w:rFonts w:ascii="仿宋" w:hAnsi="仿宋" w:eastAsia="仿宋"/>
          <w:b/>
          <w:bCs/>
          <w:color w:val="auto"/>
        </w:rPr>
      </w:pPr>
      <w:r>
        <w:rPr>
          <w:rFonts w:hint="eastAsia" w:ascii="仿宋" w:hAnsi="仿宋" w:eastAsia="仿宋"/>
          <w:b/>
          <w:bCs/>
          <w:color w:val="auto"/>
        </w:rPr>
        <w:t>3、根据《财政部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中提供所投标产品的节能产品认证证书复印件（加盖投标人公章），否则投标文件作无效处理。如本项目包含的货物属于品目清单内非标注“★”的产品时，应优先采购，具体详见“第四章 评标方法及评标标准”。</w:t>
      </w:r>
    </w:p>
    <w:p w14:paraId="63C13071">
      <w:pPr>
        <w:spacing w:line="360" w:lineRule="exact"/>
        <w:ind w:left="-10" w:leftChars="-5" w:right="2" w:rightChars="1" w:firstLine="422" w:firstLineChars="200"/>
        <w:rPr>
          <w:rFonts w:ascii="仿宋" w:hAnsi="仿宋" w:eastAsia="仿宋"/>
          <w:b/>
          <w:bCs/>
          <w:color w:val="auto"/>
        </w:rPr>
      </w:pPr>
      <w:r>
        <w:rPr>
          <w:rFonts w:hint="eastAsia" w:ascii="仿宋" w:hAnsi="仿宋" w:eastAsia="仿宋"/>
          <w:b/>
          <w:bCs/>
          <w:color w:val="auto"/>
        </w:rPr>
        <w:t>4、如投标人投标产品存在侵犯他人的知识产权或者专利成果行为的，由投标人自行承担相应法律责任。</w:t>
      </w:r>
    </w:p>
    <w:p w14:paraId="533DE2BC">
      <w:pPr>
        <w:spacing w:line="360" w:lineRule="exact"/>
        <w:ind w:left="-10" w:leftChars="-5" w:right="2" w:rightChars="1" w:firstLine="422" w:firstLineChars="200"/>
        <w:rPr>
          <w:rFonts w:hint="eastAsia" w:ascii="仿宋" w:hAnsi="仿宋" w:eastAsia="仿宋"/>
          <w:b/>
          <w:bCs/>
          <w:color w:val="auto"/>
        </w:rPr>
      </w:pPr>
      <w:r>
        <w:rPr>
          <w:rFonts w:hint="eastAsia" w:ascii="仿宋" w:hAnsi="仿宋" w:eastAsia="仿宋"/>
          <w:b/>
          <w:bCs/>
          <w:color w:val="auto"/>
        </w:rPr>
        <w:t>5、“实质性要求”是指招标文件中已经指明不满足则投标无效的条款，或者不能负偏离的条款，或者采购需求中带“▲”的条款。</w:t>
      </w:r>
    </w:p>
    <w:p w14:paraId="229D0DBE">
      <w:pPr>
        <w:spacing w:line="360" w:lineRule="exact"/>
        <w:ind w:left="-10" w:leftChars="-5" w:right="2" w:rightChars="1" w:firstLine="422" w:firstLineChars="200"/>
        <w:rPr>
          <w:rFonts w:hint="eastAsia" w:ascii="仿宋" w:hAnsi="仿宋" w:eastAsia="仿宋"/>
          <w:b/>
          <w:bCs/>
          <w:color w:val="auto"/>
          <w:lang w:val="en-US" w:eastAsia="zh-CN"/>
        </w:rPr>
      </w:pPr>
      <w:r>
        <w:rPr>
          <w:rFonts w:hint="eastAsia" w:ascii="仿宋" w:hAnsi="仿宋" w:eastAsia="仿宋"/>
          <w:b/>
          <w:bCs/>
          <w:color w:val="auto"/>
          <w:lang w:val="en-US" w:eastAsia="zh-CN"/>
        </w:rPr>
        <w:t>6、标注“●”的为重要参数，与评审因数相关。</w:t>
      </w:r>
    </w:p>
    <w:p w14:paraId="5A9D2B74">
      <w:pPr>
        <w:spacing w:line="360" w:lineRule="exact"/>
        <w:ind w:left="-10" w:leftChars="-5" w:right="2" w:rightChars="1" w:firstLine="422" w:firstLineChars="200"/>
        <w:rPr>
          <w:rFonts w:ascii="仿宋" w:hAnsi="仿宋" w:eastAsia="仿宋"/>
          <w:b/>
          <w:bCs/>
          <w:color w:val="auto"/>
        </w:rPr>
      </w:pPr>
      <w:r>
        <w:rPr>
          <w:rFonts w:hint="eastAsia" w:ascii="仿宋" w:hAnsi="仿宋" w:eastAsia="仿宋"/>
          <w:b/>
          <w:bCs/>
          <w:color w:val="auto"/>
          <w:lang w:val="en-US" w:eastAsia="zh-CN"/>
        </w:rPr>
        <w:t>7</w:t>
      </w:r>
      <w:r>
        <w:rPr>
          <w:rFonts w:hint="eastAsia" w:ascii="仿宋" w:hAnsi="仿宋" w:eastAsia="仿宋"/>
          <w:b/>
          <w:bCs/>
          <w:color w:val="auto"/>
        </w:rPr>
        <w:t>、采购需求中涉及的国家标准规范如有最新版的按最新版执行。</w:t>
      </w:r>
    </w:p>
    <w:bookmarkEnd w:id="39"/>
    <w:bookmarkEnd w:id="40"/>
    <w:p w14:paraId="1EA254C9">
      <w:pPr>
        <w:spacing w:line="360" w:lineRule="auto"/>
        <w:ind w:firstLine="308" w:firstLineChars="147"/>
        <w:jc w:val="left"/>
        <w:rPr>
          <w:rFonts w:ascii="仿宋" w:hAnsi="仿宋" w:eastAsia="仿宋" w:cs="Arial"/>
          <w:bCs/>
          <w:color w:val="auto"/>
          <w:szCs w:val="21"/>
          <w:u w:val="single"/>
        </w:rPr>
      </w:pPr>
    </w:p>
    <w:p w14:paraId="7B777A01">
      <w:pPr>
        <w:rPr>
          <w:rFonts w:ascii="仿宋" w:hAnsi="仿宋" w:eastAsia="仿宋" w:cs="仿宋"/>
          <w:color w:val="auto"/>
          <w:sz w:val="24"/>
        </w:rPr>
      </w:pPr>
      <w:r>
        <w:rPr>
          <w:rFonts w:hint="eastAsia" w:ascii="仿宋" w:hAnsi="仿宋" w:eastAsia="仿宋" w:cs="仿宋"/>
          <w:color w:val="auto"/>
          <w:sz w:val="24"/>
        </w:rPr>
        <w:t>1分标：教室多媒体教学设备升级项目采购</w:t>
      </w:r>
    </w:p>
    <w:p w14:paraId="03FC0D41">
      <w:pPr>
        <w:rPr>
          <w:color w:val="auto"/>
        </w:rPr>
      </w:pPr>
    </w:p>
    <w:tbl>
      <w:tblPr>
        <w:tblStyle w:val="47"/>
        <w:tblW w:w="461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7"/>
        <w:gridCol w:w="1314"/>
        <w:gridCol w:w="106"/>
        <w:gridCol w:w="673"/>
        <w:gridCol w:w="1067"/>
        <w:gridCol w:w="4643"/>
        <w:gridCol w:w="881"/>
      </w:tblGrid>
      <w:tr w14:paraId="0AB0D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5000" w:type="pct"/>
            <w:gridSpan w:val="7"/>
            <w:noWrap/>
            <w:vAlign w:val="center"/>
          </w:tcPr>
          <w:p w14:paraId="69FBF228">
            <w:pPr>
              <w:spacing w:line="400" w:lineRule="exact"/>
              <w:rPr>
                <w:rFonts w:hint="eastAsia" w:ascii="仿宋" w:hAnsi="仿宋" w:eastAsia="仿宋" w:cs="仿宋"/>
                <w:color w:val="auto"/>
                <w:szCs w:val="21"/>
              </w:rPr>
            </w:pPr>
            <w:r>
              <w:rPr>
                <w:rFonts w:hint="eastAsia" w:ascii="仿宋" w:hAnsi="仿宋" w:eastAsia="仿宋" w:cs="仿宋"/>
                <w:color w:val="auto"/>
                <w:szCs w:val="21"/>
              </w:rPr>
              <w:t xml:space="preserve"> 第一部分技术要求</w:t>
            </w:r>
          </w:p>
        </w:tc>
      </w:tr>
      <w:tr w14:paraId="57314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361" w:type="pct"/>
            <w:noWrap/>
            <w:vAlign w:val="center"/>
          </w:tcPr>
          <w:p w14:paraId="7649E44B">
            <w:pPr>
              <w:spacing w:line="400" w:lineRule="exact"/>
              <w:rPr>
                <w:rFonts w:ascii="仿宋" w:hAnsi="仿宋" w:eastAsia="仿宋" w:cs="仿宋"/>
                <w:color w:val="auto"/>
                <w:szCs w:val="21"/>
              </w:rPr>
            </w:pPr>
            <w:r>
              <w:rPr>
                <w:rFonts w:hint="eastAsia" w:ascii="仿宋" w:hAnsi="仿宋" w:eastAsia="仿宋" w:cs="仿宋"/>
                <w:color w:val="auto"/>
                <w:szCs w:val="21"/>
              </w:rPr>
              <w:t>序号</w:t>
            </w:r>
          </w:p>
        </w:tc>
        <w:tc>
          <w:tcPr>
            <w:tcW w:w="758" w:type="pct"/>
            <w:gridSpan w:val="2"/>
            <w:noWrap/>
            <w:vAlign w:val="center"/>
          </w:tcPr>
          <w:p w14:paraId="4317B7FC">
            <w:pPr>
              <w:spacing w:line="400" w:lineRule="exact"/>
              <w:rPr>
                <w:rFonts w:ascii="仿宋" w:hAnsi="仿宋" w:eastAsia="仿宋" w:cs="仿宋"/>
                <w:color w:val="auto"/>
                <w:szCs w:val="21"/>
              </w:rPr>
            </w:pPr>
            <w:r>
              <w:rPr>
                <w:rFonts w:hint="eastAsia" w:ascii="仿宋" w:hAnsi="仿宋" w:eastAsia="仿宋" w:cs="仿宋"/>
                <w:color w:val="auto"/>
                <w:szCs w:val="21"/>
              </w:rPr>
              <w:t>标的的名称</w:t>
            </w:r>
          </w:p>
        </w:tc>
        <w:tc>
          <w:tcPr>
            <w:tcW w:w="359" w:type="pct"/>
            <w:noWrap/>
            <w:vAlign w:val="center"/>
          </w:tcPr>
          <w:p w14:paraId="5314B48A">
            <w:pPr>
              <w:spacing w:line="400" w:lineRule="exact"/>
              <w:rPr>
                <w:rFonts w:ascii="仿宋" w:hAnsi="仿宋" w:eastAsia="仿宋" w:cs="仿宋"/>
                <w:color w:val="auto"/>
                <w:szCs w:val="21"/>
              </w:rPr>
            </w:pPr>
            <w:r>
              <w:rPr>
                <w:rFonts w:hint="eastAsia" w:ascii="仿宋" w:hAnsi="仿宋" w:eastAsia="仿宋" w:cs="仿宋"/>
                <w:color w:val="auto"/>
                <w:szCs w:val="21"/>
              </w:rPr>
              <w:t>数量</w:t>
            </w:r>
          </w:p>
        </w:tc>
        <w:tc>
          <w:tcPr>
            <w:tcW w:w="569" w:type="pct"/>
            <w:noWrap/>
            <w:vAlign w:val="center"/>
          </w:tcPr>
          <w:p w14:paraId="658D8BDB">
            <w:pPr>
              <w:spacing w:line="400" w:lineRule="exact"/>
              <w:rPr>
                <w:rFonts w:ascii="仿宋" w:hAnsi="仿宋" w:eastAsia="仿宋" w:cs="仿宋"/>
                <w:color w:val="auto"/>
                <w:szCs w:val="21"/>
              </w:rPr>
            </w:pPr>
            <w:r>
              <w:rPr>
                <w:rFonts w:hint="eastAsia" w:ascii="仿宋" w:hAnsi="仿宋" w:eastAsia="仿宋" w:cs="仿宋"/>
                <w:color w:val="auto"/>
                <w:szCs w:val="21"/>
              </w:rPr>
              <w:t>单位</w:t>
            </w:r>
          </w:p>
        </w:tc>
        <w:tc>
          <w:tcPr>
            <w:tcW w:w="2479" w:type="pct"/>
            <w:noWrap/>
            <w:vAlign w:val="center"/>
          </w:tcPr>
          <w:p w14:paraId="3F7034C9">
            <w:pPr>
              <w:spacing w:line="400" w:lineRule="exact"/>
              <w:rPr>
                <w:rFonts w:ascii="仿宋" w:hAnsi="仿宋" w:eastAsia="仿宋" w:cs="仿宋"/>
                <w:color w:val="auto"/>
                <w:szCs w:val="21"/>
              </w:rPr>
            </w:pPr>
            <w:r>
              <w:rPr>
                <w:rFonts w:hint="eastAsia" w:ascii="仿宋" w:hAnsi="仿宋" w:eastAsia="仿宋" w:cs="仿宋"/>
                <w:color w:val="auto"/>
                <w:szCs w:val="21"/>
              </w:rPr>
              <w:t>技术要求</w:t>
            </w:r>
          </w:p>
        </w:tc>
        <w:tc>
          <w:tcPr>
            <w:tcW w:w="470" w:type="pct"/>
            <w:noWrap/>
            <w:vAlign w:val="center"/>
          </w:tcPr>
          <w:p w14:paraId="23FA75B3">
            <w:pPr>
              <w:spacing w:line="400" w:lineRule="exact"/>
              <w:rPr>
                <w:rFonts w:hint="eastAsia" w:ascii="仿宋" w:hAnsi="仿宋" w:eastAsia="仿宋" w:cs="仿宋"/>
                <w:color w:val="auto"/>
                <w:szCs w:val="21"/>
              </w:rPr>
            </w:pPr>
            <w:r>
              <w:rPr>
                <w:rFonts w:hint="eastAsia" w:ascii="仿宋" w:hAnsi="仿宋" w:eastAsia="仿宋" w:cs="仿宋"/>
                <w:color w:val="auto"/>
                <w:szCs w:val="21"/>
              </w:rPr>
              <w:t>所属行业划分</w:t>
            </w:r>
          </w:p>
        </w:tc>
      </w:tr>
      <w:tr w14:paraId="31722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5000" w:type="pct"/>
            <w:gridSpan w:val="7"/>
            <w:noWrap/>
            <w:vAlign w:val="center"/>
          </w:tcPr>
          <w:p w14:paraId="355FB529">
            <w:pPr>
              <w:spacing w:line="400" w:lineRule="exact"/>
              <w:rPr>
                <w:rFonts w:hint="eastAsia" w:ascii="仿宋" w:hAnsi="仿宋" w:eastAsia="仿宋" w:cs="仿宋"/>
                <w:color w:val="auto"/>
                <w:szCs w:val="21"/>
              </w:rPr>
            </w:pPr>
            <w:r>
              <w:rPr>
                <w:rFonts w:hint="eastAsia" w:ascii="仿宋" w:hAnsi="仿宋" w:eastAsia="仿宋" w:cs="仿宋"/>
                <w:color w:val="auto"/>
                <w:szCs w:val="21"/>
              </w:rPr>
              <w:t>1分标-教室多媒体教学设备升级项目采购</w:t>
            </w:r>
          </w:p>
        </w:tc>
      </w:tr>
      <w:tr w14:paraId="31CAB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jc w:val="center"/>
        </w:trPr>
        <w:tc>
          <w:tcPr>
            <w:tcW w:w="361" w:type="pct"/>
            <w:noWrap/>
            <w:vAlign w:val="center"/>
          </w:tcPr>
          <w:p w14:paraId="6B6CAA6D">
            <w:pPr>
              <w:spacing w:line="400" w:lineRule="exact"/>
              <w:rPr>
                <w:rFonts w:ascii="仿宋" w:hAnsi="仿宋" w:eastAsia="仿宋" w:cs="仿宋"/>
                <w:color w:val="auto"/>
                <w:szCs w:val="21"/>
              </w:rPr>
            </w:pPr>
            <w:r>
              <w:rPr>
                <w:rFonts w:hint="eastAsia" w:ascii="仿宋" w:hAnsi="仿宋" w:eastAsia="仿宋" w:cs="仿宋"/>
                <w:color w:val="auto"/>
                <w:szCs w:val="21"/>
              </w:rPr>
              <w:t>1</w:t>
            </w:r>
          </w:p>
        </w:tc>
        <w:tc>
          <w:tcPr>
            <w:tcW w:w="758" w:type="pct"/>
            <w:gridSpan w:val="2"/>
            <w:noWrap/>
            <w:vAlign w:val="center"/>
          </w:tcPr>
          <w:p w14:paraId="11810641">
            <w:pPr>
              <w:keepNext w:val="0"/>
              <w:keepLines w:val="0"/>
              <w:widowControl/>
              <w:suppressLineNumbers w:val="0"/>
              <w:jc w:val="both"/>
              <w:textAlignment w:val="center"/>
              <w:rPr>
                <w:rFonts w:hint="eastAsia" w:ascii="仿宋" w:hAnsi="仿宋" w:eastAsia="仿宋" w:cs="仿宋"/>
                <w:color w:val="auto"/>
                <w:sz w:val="21"/>
                <w:szCs w:val="21"/>
              </w:rPr>
            </w:pPr>
            <w:r>
              <w:rPr>
                <w:rFonts w:hint="eastAsia" w:ascii="仿宋" w:hAnsi="仿宋" w:eastAsia="仿宋" w:cs="仿宋"/>
                <w:color w:val="000000"/>
                <w:kern w:val="0"/>
                <w:sz w:val="21"/>
                <w:szCs w:val="21"/>
                <w:highlight w:val="none"/>
                <w:lang w:bidi="ar"/>
              </w:rPr>
              <w:t>多媒体交互设备</w:t>
            </w:r>
          </w:p>
        </w:tc>
        <w:tc>
          <w:tcPr>
            <w:tcW w:w="359" w:type="pct"/>
            <w:noWrap/>
            <w:vAlign w:val="center"/>
          </w:tcPr>
          <w:p w14:paraId="49CBD318">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highlight w:val="none"/>
                <w:u w:val="none"/>
                <w:lang w:val="en-US" w:eastAsia="zh-CN" w:bidi="ar"/>
              </w:rPr>
              <w:t>42</w:t>
            </w:r>
          </w:p>
        </w:tc>
        <w:tc>
          <w:tcPr>
            <w:tcW w:w="569" w:type="pct"/>
            <w:noWrap/>
            <w:vAlign w:val="center"/>
          </w:tcPr>
          <w:p w14:paraId="69B2DDD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1"/>
                <w:szCs w:val="21"/>
              </w:rPr>
            </w:pPr>
            <w:r>
              <w:rPr>
                <w:rFonts w:hint="eastAsia" w:ascii="仿宋" w:hAnsi="仿宋" w:eastAsia="仿宋" w:cs="仿宋"/>
                <w:b w:val="0"/>
                <w:bCs w:val="0"/>
                <w:i w:val="0"/>
                <w:iCs w:val="0"/>
                <w:color w:val="auto"/>
                <w:kern w:val="0"/>
                <w:sz w:val="21"/>
                <w:szCs w:val="21"/>
                <w:highlight w:val="none"/>
                <w:u w:val="none"/>
                <w:lang w:val="en-US" w:eastAsia="zh-CN" w:bidi="ar"/>
              </w:rPr>
              <w:t>台</w:t>
            </w:r>
          </w:p>
        </w:tc>
        <w:tc>
          <w:tcPr>
            <w:tcW w:w="2479" w:type="pct"/>
            <w:noWrap/>
            <w:vAlign w:val="center"/>
          </w:tcPr>
          <w:p w14:paraId="2DFE3085">
            <w:pPr>
              <w:spacing w:line="360" w:lineRule="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一、整体设计要求 ：</w:t>
            </w:r>
          </w:p>
          <w:p w14:paraId="045EC826">
            <w:pPr>
              <w:spacing w:line="360" w:lineRule="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1、整机外壳为全金属一体化设计，无任何可见的内部功能模块连接线，边角采用弧形设计，整机边缘采用圆角包边防护，边缘、四角无任何尖锐突起。</w:t>
            </w:r>
          </w:p>
          <w:p w14:paraId="48F07AC2">
            <w:pPr>
              <w:spacing w:line="360" w:lineRule="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2、整机采用防眩光、防爆、钢化玻璃，玻璃面板表面硬度≥9H。</w:t>
            </w:r>
          </w:p>
          <w:p w14:paraId="7AEC10CA">
            <w:pPr>
              <w:spacing w:line="360" w:lineRule="auto"/>
              <w:rPr>
                <w:rFonts w:hint="eastAsia" w:ascii="仿宋" w:hAnsi="仿宋" w:eastAsia="仿宋" w:cs="仿宋"/>
                <w:color w:val="000000"/>
                <w:kern w:val="0"/>
                <w:sz w:val="21"/>
                <w:szCs w:val="21"/>
                <w:lang w:val="en-US" w:eastAsia="zh-CN"/>
              </w:rPr>
            </w:pPr>
            <w:r>
              <w:rPr>
                <w:rFonts w:hint="eastAsia" w:ascii="仿宋" w:hAnsi="仿宋" w:eastAsia="仿宋" w:cs="仿宋"/>
                <w:color w:val="auto"/>
                <w:sz w:val="21"/>
                <w:szCs w:val="21"/>
                <w:highlight w:val="none"/>
              </w:rPr>
              <w:t>▲</w:t>
            </w:r>
            <w:r>
              <w:rPr>
                <w:rFonts w:hint="eastAsia" w:ascii="仿宋" w:hAnsi="仿宋" w:eastAsia="仿宋" w:cs="仿宋"/>
                <w:color w:val="000000"/>
                <w:kern w:val="0"/>
                <w:sz w:val="21"/>
                <w:szCs w:val="21"/>
                <w:lang w:val="en-US" w:eastAsia="zh-CN"/>
              </w:rPr>
              <w:t>3、整机屏幕86英寸，分辨率3840*2160 ，显示比例16：9 。 超高清A规以上防眩光LED显示屏。 可视角不小于178度。典型亮度不小于350 nits，典型对比度不小于4000：1。灰阶≥256。</w:t>
            </w:r>
          </w:p>
          <w:p w14:paraId="4EA1BE80">
            <w:pPr>
              <w:spacing w:line="360" w:lineRule="auto"/>
              <w:rPr>
                <w:rFonts w:hint="eastAsia" w:ascii="仿宋" w:hAnsi="仿宋" w:eastAsia="仿宋" w:cs="仿宋"/>
                <w:color w:val="000000"/>
                <w:kern w:val="0"/>
                <w:sz w:val="21"/>
                <w:szCs w:val="21"/>
                <w:lang w:val="en-US" w:eastAsia="zh-CN"/>
              </w:rPr>
            </w:pPr>
            <w:r>
              <w:rPr>
                <w:rFonts w:hint="eastAsia" w:ascii="仿宋" w:hAnsi="仿宋" w:eastAsia="仿宋" w:cs="仿宋"/>
                <w:color w:val="auto"/>
                <w:sz w:val="21"/>
                <w:szCs w:val="21"/>
                <w:highlight w:val="none"/>
              </w:rPr>
              <w:t>▲</w:t>
            </w:r>
            <w:r>
              <w:rPr>
                <w:rFonts w:hint="eastAsia" w:ascii="仿宋" w:hAnsi="仿宋" w:eastAsia="仿宋" w:cs="仿宋"/>
                <w:color w:val="000000"/>
                <w:kern w:val="0"/>
                <w:sz w:val="21"/>
                <w:szCs w:val="21"/>
                <w:lang w:val="en-US" w:eastAsia="zh-CN"/>
              </w:rPr>
              <w:t>4、不外接任何扩展设备，前置端口支持：3路USB 3.0。1路Type-C, 1路USB Touch。1路HDMI IN。侧后出端口支持：1路HDMI IN，1路USB TOUCH，2路USB，1路RJ45有线网口，1路RS232 ，1路SPDIF 。</w:t>
            </w:r>
          </w:p>
          <w:p w14:paraId="674C2D4A">
            <w:pPr>
              <w:spacing w:line="360" w:lineRule="auto"/>
              <w:rPr>
                <w:rFonts w:hint="eastAsia" w:ascii="仿宋" w:hAnsi="仿宋" w:eastAsia="仿宋" w:cs="仿宋"/>
                <w:color w:val="000000"/>
                <w:kern w:val="0"/>
                <w:sz w:val="21"/>
                <w:szCs w:val="21"/>
                <w:lang w:val="en-US" w:eastAsia="zh-CN"/>
              </w:rPr>
            </w:pPr>
            <w:r>
              <w:rPr>
                <w:rFonts w:hint="eastAsia" w:ascii="仿宋" w:hAnsi="仿宋" w:eastAsia="仿宋" w:cs="仿宋"/>
                <w:color w:val="auto"/>
                <w:sz w:val="21"/>
                <w:szCs w:val="21"/>
                <w:highlight w:val="none"/>
              </w:rPr>
              <w:t>▲</w:t>
            </w:r>
            <w:r>
              <w:rPr>
                <w:rFonts w:hint="eastAsia" w:ascii="仿宋" w:hAnsi="仿宋" w:eastAsia="仿宋" w:cs="仿宋"/>
                <w:color w:val="000000"/>
                <w:kern w:val="0"/>
                <w:sz w:val="21"/>
                <w:szCs w:val="21"/>
                <w:lang w:val="en-US" w:eastAsia="zh-CN"/>
              </w:rPr>
              <w:t>5、前置接口板、前置按键板、前置按键帽采用前拆设计，在无需从安装位置取下机器、无需拆开整机的前提下，即可实现接口板、按键板、按键帽的更换和维修，方便维护。</w:t>
            </w:r>
          </w:p>
          <w:p w14:paraId="074D3749">
            <w:pPr>
              <w:spacing w:line="360" w:lineRule="auto"/>
              <w:rPr>
                <w:rFonts w:hint="eastAsia" w:ascii="仿宋" w:hAnsi="仿宋" w:eastAsia="仿宋" w:cs="仿宋"/>
                <w:color w:val="000000"/>
                <w:kern w:val="0"/>
                <w:sz w:val="21"/>
                <w:szCs w:val="21"/>
                <w:lang w:val="en-US" w:eastAsia="zh-CN"/>
              </w:rPr>
            </w:pPr>
            <w:r>
              <w:rPr>
                <w:rFonts w:hint="eastAsia" w:ascii="仿宋" w:hAnsi="仿宋" w:eastAsia="仿宋" w:cs="仿宋"/>
                <w:color w:val="auto"/>
                <w:sz w:val="21"/>
                <w:szCs w:val="21"/>
                <w:highlight w:val="none"/>
              </w:rPr>
              <w:t>▲</w:t>
            </w:r>
            <w:r>
              <w:rPr>
                <w:rFonts w:hint="eastAsia" w:ascii="仿宋" w:hAnsi="仿宋" w:eastAsia="仿宋" w:cs="仿宋"/>
                <w:color w:val="000000"/>
                <w:kern w:val="0"/>
                <w:sz w:val="21"/>
                <w:szCs w:val="21"/>
                <w:lang w:val="en-US" w:eastAsia="zh-CN"/>
              </w:rPr>
              <w:t>6、前置 USB 、TypeC 、Touch USB、 HDMI 接口具备防撞挡板设计，防撞挡板采用转轴式翻转，前置接口有防尘防撞设计挡板保护，可有效防止撞击接入的设备及粉笔灰掉入接口。</w:t>
            </w:r>
          </w:p>
          <w:p w14:paraId="4AAEBDE6">
            <w:pPr>
              <w:spacing w:line="360" w:lineRule="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7、屏幕贴合方式：全面贴合（钢化玻璃和液晶显示层无间隙密贴合，没有中间涂层，无水雾/水汽； 减少显示面板与玻璃间的偏光、散射， 画面显示更加清晰通透。178 度可见屏体图像，视差更小。笔尖与液晶屏距离为 0mm，钢化玻璃和液晶显示层之间无空气或其它填充物产生的折射导致的字迹视觉偏差。</w:t>
            </w:r>
          </w:p>
          <w:p w14:paraId="7446F9E2">
            <w:pPr>
              <w:spacing w:line="360" w:lineRule="auto"/>
              <w:rPr>
                <w:rFonts w:hint="eastAsia" w:ascii="仿宋" w:hAnsi="仿宋" w:eastAsia="仿宋" w:cs="仿宋"/>
                <w:color w:val="000000"/>
                <w:kern w:val="0"/>
                <w:sz w:val="21"/>
                <w:szCs w:val="21"/>
                <w:lang w:val="en-US" w:eastAsia="zh-CN"/>
              </w:rPr>
            </w:pPr>
            <w:r>
              <w:rPr>
                <w:rFonts w:hint="eastAsia" w:ascii="仿宋" w:hAnsi="仿宋" w:eastAsia="仿宋" w:cs="仿宋"/>
                <w:color w:val="auto"/>
                <w:sz w:val="21"/>
                <w:szCs w:val="21"/>
                <w:highlight w:val="none"/>
              </w:rPr>
              <w:t>▲</w:t>
            </w:r>
            <w:r>
              <w:rPr>
                <w:rFonts w:hint="eastAsia" w:ascii="仿宋" w:hAnsi="仿宋" w:eastAsia="仿宋" w:cs="仿宋"/>
                <w:color w:val="000000"/>
                <w:kern w:val="0"/>
                <w:sz w:val="21"/>
                <w:szCs w:val="21"/>
                <w:lang w:val="en-US" w:eastAsia="zh-CN"/>
              </w:rPr>
              <w:t>8、整机具有</w:t>
            </w:r>
            <w:r>
              <w:rPr>
                <w:rFonts w:hint="eastAsia" w:ascii="仿宋" w:hAnsi="仿宋" w:eastAsia="仿宋" w:cs="仿宋"/>
                <w:color w:val="000000"/>
                <w:kern w:val="0"/>
                <w:sz w:val="21"/>
                <w:szCs w:val="21"/>
                <w:highlight w:val="none"/>
                <w:lang w:val="en-US" w:eastAsia="zh-CN"/>
              </w:rPr>
              <w:t>至少</w:t>
            </w:r>
            <w:r>
              <w:rPr>
                <w:rFonts w:hint="eastAsia" w:ascii="仿宋" w:hAnsi="仿宋" w:eastAsia="仿宋" w:cs="仿宋"/>
                <w:color w:val="000000"/>
                <w:kern w:val="0"/>
                <w:sz w:val="21"/>
                <w:szCs w:val="21"/>
                <w:lang w:val="en-US" w:eastAsia="zh-CN"/>
              </w:rPr>
              <w:t>8个前置物理按键，对应功能为别为 ：护眼、录微课、自定义、信源、一键锁定触摸/解锁、音量+、音量-、电源键。具备清晰的汉字功能标识。其中电源键具备三合一功能：同一物理按键完成嵌入式Android系统和内置电脑系统的开机、节能熄屏、关机操作，开机状态下短按按键实现节能熄屏/唤醒，长按按键实现关机。关机状态下按键实现开机。</w:t>
            </w:r>
          </w:p>
          <w:p w14:paraId="3F9872EE">
            <w:pPr>
              <w:numPr>
                <w:ilvl w:val="0"/>
                <w:numId w:val="1"/>
              </w:numPr>
              <w:spacing w:line="360" w:lineRule="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整机具有7个可支持自定义按键功能的物理按键，用户可以在设置菜单中设置“自定义”按键的功能。通过单个物理按键即可支持一键打开多种小工具（如白板、计算器、日历、计时器、系统设置、投票、灵动速记板。支持配置成一键打开整机系统安装的其它任意软件）。</w:t>
            </w:r>
          </w:p>
          <w:p w14:paraId="0064B274">
            <w:pPr>
              <w:numPr>
                <w:ilvl w:val="0"/>
                <w:numId w:val="0"/>
              </w:numPr>
              <w:spacing w:line="360" w:lineRule="auto"/>
              <w:rPr>
                <w:rFonts w:hint="eastAsia" w:ascii="仿宋" w:hAnsi="仿宋" w:eastAsia="仿宋" w:cs="仿宋"/>
                <w:color w:val="000000"/>
                <w:kern w:val="0"/>
                <w:sz w:val="21"/>
                <w:szCs w:val="21"/>
                <w:lang w:val="en-US" w:eastAsia="zh-CN"/>
              </w:rPr>
            </w:pPr>
            <w:r>
              <w:rPr>
                <w:rFonts w:hint="eastAsia" w:ascii="仿宋" w:hAnsi="仿宋" w:eastAsia="仿宋" w:cs="仿宋"/>
                <w:color w:val="auto"/>
                <w:sz w:val="21"/>
                <w:szCs w:val="21"/>
                <w:highlight w:val="none"/>
              </w:rPr>
              <w:t>▲</w:t>
            </w:r>
            <w:r>
              <w:rPr>
                <w:rFonts w:hint="eastAsia" w:ascii="仿宋" w:hAnsi="仿宋" w:eastAsia="仿宋" w:cs="仿宋"/>
                <w:color w:val="000000"/>
                <w:kern w:val="0"/>
                <w:sz w:val="21"/>
                <w:szCs w:val="21"/>
                <w:lang w:val="en-US" w:eastAsia="zh-CN"/>
              </w:rPr>
              <w:t>10、整机具有多种护眼模式，可以通过前置面板“护眼”物理按键一键切换。经典护眼模式、智慧护眼模式、纸质护眼模式，支持一键循环操作。</w:t>
            </w:r>
          </w:p>
          <w:p w14:paraId="525B4D82">
            <w:pPr>
              <w:spacing w:line="360" w:lineRule="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11、还原按键：任意通道状态下，通过长按电源键，可以点击屏幕恢复Android和Windows系统到出厂默认状态，无需借助其它工具。</w:t>
            </w:r>
          </w:p>
          <w:p w14:paraId="0A7403A6">
            <w:pPr>
              <w:keepNext w:val="0"/>
              <w:keepLines w:val="0"/>
              <w:pageBreakBefore w:val="0"/>
              <w:kinsoku/>
              <w:wordWrap/>
              <w:overflowPunct/>
              <w:topLinePunct w:val="0"/>
              <w:autoSpaceDE/>
              <w:autoSpaceDN/>
              <w:bidi w:val="0"/>
              <w:adjustRightInd/>
              <w:snapToGrid/>
              <w:spacing w:line="470" w:lineRule="exact"/>
              <w:jc w:val="both"/>
              <w:rPr>
                <w:rFonts w:hint="eastAsia" w:ascii="仿宋" w:hAnsi="仿宋" w:eastAsia="仿宋" w:cs="仿宋"/>
                <w:color w:val="000000"/>
                <w:kern w:val="0"/>
                <w:sz w:val="21"/>
                <w:szCs w:val="21"/>
                <w:lang w:val="en-US" w:eastAsia="zh-CN"/>
              </w:rPr>
            </w:pPr>
            <w:r>
              <w:rPr>
                <w:rFonts w:hint="eastAsia" w:hAnsi="宋体" w:cs="宋体"/>
                <w:color w:val="000000" w:themeColor="text1"/>
                <w:sz w:val="21"/>
                <w:highlight w:val="none"/>
                <w:lang w:bidi="ar"/>
                <w14:textFill>
                  <w14:solidFill>
                    <w14:schemeClr w14:val="tx1"/>
                  </w14:solidFill>
                </w14:textFill>
              </w:rPr>
              <w:t>●</w:t>
            </w:r>
            <w:r>
              <w:rPr>
                <w:rFonts w:hint="eastAsia" w:ascii="仿宋" w:hAnsi="仿宋" w:eastAsia="仿宋" w:cs="仿宋"/>
                <w:color w:val="000000"/>
                <w:kern w:val="0"/>
                <w:sz w:val="21"/>
                <w:szCs w:val="21"/>
                <w:lang w:val="en-US" w:eastAsia="zh-CN"/>
              </w:rPr>
              <w:t>12、整机具备物理光学低蓝光护眼功能，内置低蓝光处理芯片，不需任何软件算法配合即可实现物理护眼功能，同时保证屏幕亮度及色温无衰减。整机采用硬件低蓝光背光技术，在源头减少有害蓝光波段能量，蓝光占比（有害蓝光415～455nm能量综合）/（整体蓝光400～500能量综合）＜30%，低蓝光保护显示不偏色、不泛黄。</w:t>
            </w:r>
          </w:p>
          <w:p w14:paraId="64690F42">
            <w:pPr>
              <w:numPr>
                <w:ilvl w:val="0"/>
                <w:numId w:val="0"/>
              </w:numPr>
              <w:spacing w:line="360" w:lineRule="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bidi="ar-SA"/>
              </w:rPr>
              <w:t>13、</w:t>
            </w:r>
            <w:r>
              <w:rPr>
                <w:rFonts w:hint="eastAsia" w:ascii="仿宋" w:hAnsi="仿宋" w:eastAsia="仿宋" w:cs="仿宋"/>
                <w:color w:val="000000"/>
                <w:kern w:val="0"/>
                <w:sz w:val="21"/>
                <w:szCs w:val="21"/>
                <w:lang w:val="en-US" w:eastAsia="zh-CN"/>
              </w:rPr>
              <w:t>整机内置不少于8阵列麦克风，支持不低于12米拾音距离，外部无任何可见连接线及拼接痕迹。</w:t>
            </w:r>
          </w:p>
          <w:p w14:paraId="2167E6B1">
            <w:pPr>
              <w:numPr>
                <w:ilvl w:val="0"/>
                <w:numId w:val="0"/>
              </w:numPr>
              <w:spacing w:line="360" w:lineRule="auto"/>
              <w:rPr>
                <w:rFonts w:hint="eastAsia" w:ascii="仿宋" w:hAnsi="仿宋" w:eastAsia="仿宋" w:cs="仿宋"/>
                <w:color w:val="000000"/>
                <w:kern w:val="0"/>
                <w:sz w:val="21"/>
                <w:szCs w:val="21"/>
                <w:lang w:val="en-US" w:eastAsia="zh-CN"/>
              </w:rPr>
            </w:pPr>
            <w:r>
              <w:rPr>
                <w:rFonts w:hint="eastAsia" w:ascii="仿宋" w:hAnsi="仿宋" w:eastAsia="仿宋" w:cs="仿宋"/>
                <w:color w:val="auto"/>
                <w:sz w:val="21"/>
                <w:szCs w:val="21"/>
                <w:highlight w:val="none"/>
              </w:rPr>
              <w:t>▲</w:t>
            </w:r>
            <w:r>
              <w:rPr>
                <w:rFonts w:hint="eastAsia" w:ascii="仿宋" w:hAnsi="仿宋" w:eastAsia="仿宋" w:cs="仿宋"/>
                <w:color w:val="000000"/>
                <w:kern w:val="0"/>
                <w:sz w:val="21"/>
                <w:szCs w:val="21"/>
                <w:lang w:val="en-US" w:eastAsia="zh-CN"/>
              </w:rPr>
              <w:t>14、内置无线传屏接收端，无需外接接收部件，无线传屏发射器与整机匹配后即可实现传屏功能，将外部电脑（支持Windows , Mac Os及国产操作系统）、手机、PAD的屏幕画面及声音通过无线方式传输到整机上显示及播放 。支持在加密模式下实现点对点投屏，保证投屏不受其它设备的干扰和数据安全。</w:t>
            </w:r>
          </w:p>
          <w:p w14:paraId="1FA22DBA">
            <w:pPr>
              <w:spacing w:line="360" w:lineRule="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15、整机内置2.4G和5G双频，支持WIFI6，正常工作距离不小于12米。能够连接到网络。整机内置不低于5.2版本蓝牙模块。可主动发现外部设备并连接外部手机、音箱等蓝牙设备。为保证信号不受遮挡，WIFI和蓝牙模组采用前置设计。</w:t>
            </w:r>
          </w:p>
          <w:p w14:paraId="593F8B8F">
            <w:pPr>
              <w:spacing w:line="360" w:lineRule="auto"/>
              <w:rPr>
                <w:rFonts w:hint="eastAsia" w:ascii="仿宋" w:hAnsi="仿宋" w:eastAsia="仿宋" w:cs="仿宋"/>
                <w:color w:val="000000"/>
                <w:kern w:val="0"/>
                <w:sz w:val="21"/>
                <w:szCs w:val="21"/>
                <w:lang w:val="en-US" w:eastAsia="zh-CN"/>
              </w:rPr>
            </w:pPr>
            <w:r>
              <w:rPr>
                <w:rFonts w:hint="eastAsia" w:ascii="仿宋" w:hAnsi="仿宋" w:eastAsia="仿宋" w:cs="仿宋"/>
                <w:color w:val="auto"/>
                <w:sz w:val="21"/>
                <w:szCs w:val="21"/>
                <w:highlight w:val="none"/>
              </w:rPr>
              <w:t>▲</w:t>
            </w:r>
            <w:r>
              <w:rPr>
                <w:rFonts w:hint="eastAsia" w:ascii="仿宋" w:hAnsi="仿宋" w:eastAsia="仿宋" w:cs="仿宋"/>
                <w:color w:val="000000"/>
                <w:kern w:val="0"/>
                <w:sz w:val="21"/>
                <w:szCs w:val="21"/>
                <w:lang w:val="en-US" w:eastAsia="zh-CN"/>
              </w:rPr>
              <w:t>16、为方便维修，在不拆开整机的情况下，可以方便的对WIFI、蓝牙模组进行维护或更换。</w:t>
            </w:r>
          </w:p>
          <w:p w14:paraId="40A72FEF">
            <w:pPr>
              <w:spacing w:line="36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17、提供配套的云上计算、存储和网络服务，包含4C8G</w:t>
            </w:r>
          </w:p>
          <w:p w14:paraId="6442179B">
            <w:pPr>
              <w:spacing w:line="36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边缘云主机、100G系统盘、1024G数据盘及5M公网带宽。</w:t>
            </w:r>
          </w:p>
          <w:p w14:paraId="1262D349">
            <w:pPr>
              <w:spacing w:line="360" w:lineRule="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 xml:space="preserve">二、触控功能： </w:t>
            </w:r>
          </w:p>
          <w:p w14:paraId="30D09F52">
            <w:pPr>
              <w:spacing w:line="360" w:lineRule="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1、整机采用红外触控技术，支持不小于40点触控，整机系统书写延迟≤8ms。触控分辨率：32768×32768。</w:t>
            </w:r>
          </w:p>
          <w:p w14:paraId="0F5CF820">
            <w:pPr>
              <w:spacing w:line="360" w:lineRule="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2、触摸响应时间≤4ms, 最小识别直径≤2mm.触摸有效识别物高度≤3mm 。</w:t>
            </w:r>
          </w:p>
          <w:p w14:paraId="038CF51C">
            <w:pPr>
              <w:spacing w:line="360" w:lineRule="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 xml:space="preserve">三、系统功能配置： </w:t>
            </w:r>
          </w:p>
          <w:p w14:paraId="3467BE95">
            <w:pPr>
              <w:spacing w:line="360" w:lineRule="auto"/>
              <w:rPr>
                <w:rFonts w:hint="eastAsia" w:ascii="仿宋" w:hAnsi="仿宋" w:eastAsia="仿宋" w:cs="仿宋"/>
                <w:color w:val="000000"/>
                <w:kern w:val="0"/>
                <w:sz w:val="21"/>
                <w:szCs w:val="21"/>
                <w:lang w:val="en-US" w:eastAsia="zh-CN"/>
              </w:rPr>
            </w:pPr>
            <w:r>
              <w:rPr>
                <w:rFonts w:hint="eastAsia" w:ascii="仿宋" w:hAnsi="仿宋" w:eastAsia="仿宋" w:cs="仿宋"/>
                <w:color w:val="auto"/>
                <w:sz w:val="21"/>
                <w:szCs w:val="21"/>
                <w:highlight w:val="none"/>
              </w:rPr>
              <w:t>▲</w:t>
            </w:r>
            <w:r>
              <w:rPr>
                <w:rFonts w:hint="eastAsia" w:ascii="仿宋" w:hAnsi="仿宋" w:eastAsia="仿宋" w:cs="仿宋"/>
                <w:color w:val="000000"/>
                <w:kern w:val="0"/>
                <w:sz w:val="21"/>
                <w:szCs w:val="21"/>
                <w:lang w:val="en-US" w:eastAsia="zh-CN"/>
              </w:rPr>
              <w:t>1、系统配置</w:t>
            </w:r>
            <w:r>
              <w:rPr>
                <w:rFonts w:hint="eastAsia" w:ascii="仿宋" w:hAnsi="仿宋" w:eastAsia="仿宋" w:cs="仿宋"/>
                <w:color w:val="auto"/>
                <w:kern w:val="0"/>
                <w:sz w:val="21"/>
                <w:szCs w:val="21"/>
                <w:highlight w:val="none"/>
                <w:lang w:val="en-US" w:eastAsia="zh-CN"/>
              </w:rPr>
              <w:t>不低于：4</w:t>
            </w:r>
            <w:r>
              <w:rPr>
                <w:rFonts w:hint="eastAsia" w:ascii="仿宋" w:hAnsi="仿宋" w:eastAsia="仿宋" w:cs="仿宋"/>
                <w:color w:val="000000"/>
                <w:kern w:val="0"/>
                <w:sz w:val="21"/>
                <w:szCs w:val="21"/>
                <w:lang w:val="en-US" w:eastAsia="zh-CN"/>
              </w:rPr>
              <w:t>核CPU，8核视频处理器，4核音频处理器，2核GPU，内存不小于4G，存储空间不小于32G。内存可扩展至8G，存储空间可扩展至128G。</w:t>
            </w:r>
          </w:p>
          <w:p w14:paraId="657B5FB5">
            <w:pPr>
              <w:spacing w:line="360" w:lineRule="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2、在整机任意信源和android系统下，都支持高清4K界面UI显示。支持在主页左划唤起负一屏，打开欢迎页面，提供不少于10种欢迎模板，可支持自定义欢迎语，并支持上传图片作为模板背景，可添加背景音乐，在放映模式下进行播放。</w:t>
            </w:r>
          </w:p>
          <w:p w14:paraId="48915853">
            <w:pPr>
              <w:spacing w:line="360" w:lineRule="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3、主界面显示组件可以自定义，包括教室命名、网络状态、设备温度、自动隐藏侧边栏、速记板、日历日程。可以设置上述组件是否在主界面显示。</w:t>
            </w:r>
          </w:p>
          <w:p w14:paraId="33EDFFFB">
            <w:pPr>
              <w:spacing w:line="360" w:lineRule="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4、支持插入U盘直接更换开机画面，可以设置主题、壁纸。支持云端下发壁纸，可以多个壁纸滚动展示。支持更换≥3个主题。</w:t>
            </w:r>
          </w:p>
          <w:p w14:paraId="79D42411">
            <w:pPr>
              <w:spacing w:line="360" w:lineRule="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5、支持在任意界面下，从屏幕下方边缘唤出速记板，方便随时记录。书写内容不会因为其它程序的使用情况而被更改或丢失，速记板记录的内容支持保存，并可以在Android系统白板软件下打开保存的内容并可重新编辑。6、信源识别：在通道接入信号时，系统可以侦测到并给出提示，可以自动跳转到新接入的通道，用户可自定义通道名称。</w:t>
            </w:r>
          </w:p>
          <w:p w14:paraId="59D52CAA">
            <w:pPr>
              <w:spacing w:line="360" w:lineRule="auto"/>
              <w:rPr>
                <w:rFonts w:hint="eastAsia" w:ascii="仿宋" w:hAnsi="仿宋" w:eastAsia="仿宋" w:cs="仿宋"/>
                <w:color w:val="000000"/>
                <w:kern w:val="0"/>
                <w:sz w:val="21"/>
                <w:szCs w:val="21"/>
                <w:lang w:val="en-US" w:eastAsia="zh-CN"/>
              </w:rPr>
            </w:pPr>
            <w:r>
              <w:rPr>
                <w:rFonts w:hint="eastAsia" w:ascii="仿宋" w:hAnsi="仿宋" w:eastAsia="仿宋" w:cs="仿宋"/>
                <w:color w:val="auto"/>
                <w:sz w:val="21"/>
                <w:szCs w:val="21"/>
                <w:highlight w:val="none"/>
              </w:rPr>
              <w:t>▲</w:t>
            </w:r>
            <w:r>
              <w:rPr>
                <w:rFonts w:hint="eastAsia" w:ascii="仿宋" w:hAnsi="仿宋" w:eastAsia="仿宋" w:cs="仿宋"/>
                <w:color w:val="000000"/>
                <w:kern w:val="0"/>
                <w:sz w:val="21"/>
                <w:szCs w:val="21"/>
                <w:lang w:val="en-US" w:eastAsia="zh-CN"/>
              </w:rPr>
              <w:t>7、用户可以在设置菜单中设置“自定义”按键的功能。通过单个物理按键即可支持一键打开多种小工具（如白板、计算器、日历、计时器）。默认为打开白板工具。</w:t>
            </w:r>
          </w:p>
          <w:p w14:paraId="5F4E006D">
            <w:pPr>
              <w:spacing w:line="360" w:lineRule="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8、整机支持半屏模式，在Windows和整机系统下，可通过功能键或手势实现一键降屏（窗口下移）功能，支持点击恢复显示全屏窗口。</w:t>
            </w:r>
          </w:p>
          <w:p w14:paraId="4CA5095B">
            <w:pPr>
              <w:spacing w:line="360" w:lineRule="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9、整机内置截屏功能，支持自行选择截屏范围，操作截取屏幕后可自动保存截屏文件。截屏支持加密分享。</w:t>
            </w:r>
          </w:p>
          <w:p w14:paraId="17B512A9">
            <w:pPr>
              <w:spacing w:line="360" w:lineRule="auto"/>
              <w:rPr>
                <w:rFonts w:hint="eastAsia" w:ascii="仿宋" w:hAnsi="仿宋" w:eastAsia="仿宋" w:cs="仿宋"/>
                <w:color w:val="000000"/>
                <w:kern w:val="0"/>
                <w:sz w:val="21"/>
                <w:szCs w:val="21"/>
                <w:lang w:val="en-US" w:eastAsia="zh-CN"/>
              </w:rPr>
            </w:pPr>
            <w:r>
              <w:rPr>
                <w:rFonts w:hint="eastAsia" w:ascii="仿宋" w:hAnsi="仿宋" w:eastAsia="仿宋" w:cs="仿宋"/>
                <w:color w:val="auto"/>
                <w:sz w:val="21"/>
                <w:szCs w:val="21"/>
                <w:highlight w:val="none"/>
              </w:rPr>
              <w:t>▲</w:t>
            </w:r>
            <w:r>
              <w:rPr>
                <w:rFonts w:hint="eastAsia" w:ascii="仿宋" w:hAnsi="仿宋" w:eastAsia="仿宋" w:cs="仿宋"/>
                <w:color w:val="000000"/>
                <w:kern w:val="0"/>
                <w:sz w:val="21"/>
                <w:szCs w:val="21"/>
                <w:lang w:val="en-US" w:eastAsia="zh-CN"/>
              </w:rPr>
              <w:t>10、整机支持用户自定义开机/关机时间。支持自定义开关机场景策略设置，可以定义在从周一到周日是否需要重复执行设定好的开关机策略。</w:t>
            </w:r>
          </w:p>
          <w:p w14:paraId="7AC3E824">
            <w:pPr>
              <w:spacing w:line="360" w:lineRule="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11、为便于老师在授课中快速启动相关应用和设置，中间大屏具备侧边栏快捷工具：整机具备全通道下侧边栏，任意信号源通道下，都可一键调出侧边工具栏；侧边工具栏支持常用功能选择，包括：主页，返回，电源，全部应用；支持在侧边工具栏进行快速信源切换，有信号接入的信源会自动点亮图标；侧边工具栏支持显示无线网络连接状态、无线热点状态、蓝牙连接状态，并可以通过点击一键开关无线网络、无线热点、蓝牙模块；侧边栏包含不少于11种常见的教学工具，包括：批注、多任务、录屏、截屏、相机、计时器、投票器、计算器、触控锁、冻屏、聚光灯；侧边栏可以快捷调整亮度、音量。</w:t>
            </w:r>
          </w:p>
          <w:p w14:paraId="0776B6E4">
            <w:pPr>
              <w:spacing w:line="360" w:lineRule="auto"/>
              <w:rPr>
                <w:rFonts w:hint="eastAsia" w:ascii="仿宋" w:hAnsi="仿宋" w:eastAsia="仿宋" w:cs="仿宋"/>
                <w:color w:val="000000"/>
                <w:kern w:val="0"/>
                <w:sz w:val="21"/>
                <w:szCs w:val="21"/>
                <w:lang w:val="en-US" w:eastAsia="zh-CN"/>
              </w:rPr>
            </w:pPr>
            <w:r>
              <w:rPr>
                <w:rFonts w:hint="eastAsia" w:ascii="仿宋" w:hAnsi="仿宋" w:eastAsia="仿宋" w:cs="仿宋"/>
                <w:color w:val="auto"/>
                <w:sz w:val="21"/>
                <w:szCs w:val="21"/>
                <w:highlight w:val="none"/>
              </w:rPr>
              <w:t>▲</w:t>
            </w:r>
            <w:r>
              <w:rPr>
                <w:rFonts w:hint="eastAsia" w:ascii="仿宋" w:hAnsi="仿宋" w:eastAsia="仿宋" w:cs="仿宋"/>
                <w:color w:val="000000"/>
                <w:kern w:val="0"/>
                <w:sz w:val="21"/>
                <w:szCs w:val="21"/>
                <w:lang w:val="en-US" w:eastAsia="zh-CN"/>
              </w:rPr>
              <w:t>12、整机内置微课工具，在任意信源通道、任意界面下可以按前面板“微课”物理按键一键启动，支持桌面模式、摄像头模式录制。支持全屏幕或区域屏幕录制。可设置打开/关闭摄像头和麦克风。录制过程中支持暂停。可设置视频格式、录制清晰度、帧率、摄像头清晰度。录制完成后可选择存储位置，可对录制文件进行重命名操作。可以删除录制文件。</w:t>
            </w:r>
          </w:p>
          <w:p w14:paraId="477B9571">
            <w:pPr>
              <w:spacing w:line="360" w:lineRule="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13、锁屏：支持数字密码锁屏，支持U盘文件解锁\锁屏。</w:t>
            </w:r>
          </w:p>
          <w:p w14:paraId="477A5F0D">
            <w:pPr>
              <w:spacing w:line="360" w:lineRule="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14、图像模式：设备支持标准、生动、电影、自定义等图像模式切换，用户也可自定义图像模式，包括名称更改，对比度、色温、饱和度、清晰度等参数调节 。</w:t>
            </w:r>
          </w:p>
          <w:p w14:paraId="3798A5A8">
            <w:pPr>
              <w:spacing w:line="360" w:lineRule="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15、音效模式：设备支持标准、听力、音乐、电影等音效模式切换，用户也可自定义音效模式，包括名称更改，高音、低音、平衡等参数调节。在中低频段、高频段分别有-12dB～12dB范围的调节功能。</w:t>
            </w:r>
          </w:p>
          <w:p w14:paraId="1DDFE4D5">
            <w:pPr>
              <w:spacing w:line="360" w:lineRule="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 xml:space="preserve">四、嵌入式安卓白板： </w:t>
            </w:r>
          </w:p>
          <w:p w14:paraId="3D96D728">
            <w:pPr>
              <w:spacing w:line="360" w:lineRule="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1、智能识别：可对文字及图形进行智能识别，将书写体转化为印刷体。</w:t>
            </w:r>
          </w:p>
          <w:p w14:paraId="05D4E70F">
            <w:pPr>
              <w:spacing w:line="360" w:lineRule="auto"/>
              <w:rPr>
                <w:rFonts w:hint="eastAsia" w:ascii="仿宋" w:hAnsi="仿宋" w:eastAsia="仿宋" w:cs="仿宋"/>
                <w:color w:val="000000"/>
                <w:kern w:val="0"/>
                <w:sz w:val="21"/>
                <w:szCs w:val="21"/>
                <w:lang w:val="en-US" w:eastAsia="zh-CN"/>
              </w:rPr>
            </w:pPr>
            <w:r>
              <w:rPr>
                <w:rFonts w:hint="eastAsia" w:ascii="仿宋" w:hAnsi="仿宋" w:eastAsia="仿宋" w:cs="仿宋"/>
                <w:color w:val="auto"/>
                <w:sz w:val="21"/>
                <w:szCs w:val="21"/>
                <w:highlight w:val="none"/>
              </w:rPr>
              <w:t>▲</w:t>
            </w:r>
            <w:r>
              <w:rPr>
                <w:rFonts w:hint="eastAsia" w:ascii="仿宋" w:hAnsi="仿宋" w:eastAsia="仿宋" w:cs="仿宋"/>
                <w:color w:val="000000"/>
                <w:kern w:val="0"/>
                <w:sz w:val="21"/>
                <w:szCs w:val="21"/>
                <w:lang w:val="en-US" w:eastAsia="zh-CN"/>
              </w:rPr>
              <w:t>2、在无内置电脑状态下，嵌入式系统内置白板支持手掌擦除、拳头擦除。擦除面积可以根据拳头、手掌与屏幕的接触面积自动调整，为操作方便，擦除操作前不需要选择任何功能按键，在书写状态下即可操作。支持书写的同时进行擦除操作。</w:t>
            </w:r>
          </w:p>
          <w:p w14:paraId="744A5521">
            <w:pPr>
              <w:spacing w:line="360" w:lineRule="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3、书写内容可以保存为源文件、图片、PDF 。支持扫码分享，并且扫码过程支持服务器校验检查，保证文件隐私信息无泄漏。</w:t>
            </w:r>
          </w:p>
          <w:p w14:paraId="73EA1992">
            <w:pPr>
              <w:spacing w:line="360" w:lineRule="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4、支持插入PPT\PDF文档\图片\搜索内容，支持自动绘制表格、思维导图、流程图。</w:t>
            </w:r>
          </w:p>
          <w:p w14:paraId="66CFD6CE">
            <w:pPr>
              <w:spacing w:line="360" w:lineRule="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5、支持无限画布书写，并且在拖动书写内容时，可以通过全局视图快速导航，点击可跳转定位内容。</w:t>
            </w:r>
          </w:p>
          <w:p w14:paraId="72740F9D">
            <w:pPr>
              <w:spacing w:line="360" w:lineRule="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6、为方便精准作图，支持白板软件一键调出直尺工具，直尺工具支持刻度，旋转，并可以实时显示旋转角度。</w:t>
            </w:r>
          </w:p>
          <w:p w14:paraId="1DED0171">
            <w:pPr>
              <w:spacing w:line="360" w:lineRule="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五、教学软件：</w:t>
            </w:r>
          </w:p>
          <w:p w14:paraId="52099547">
            <w:pPr>
              <w:spacing w:line="360" w:lineRule="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1、教学平台至少支持两种登录方式：账号密码登录、二维码扫码登陆。 并支持登录安全检测和登录信息记录，方便二次登录。</w:t>
            </w:r>
          </w:p>
          <w:p w14:paraId="2EADC30C">
            <w:pPr>
              <w:keepNext w:val="0"/>
              <w:keepLines w:val="0"/>
              <w:pageBreakBefore w:val="0"/>
              <w:kinsoku/>
              <w:wordWrap/>
              <w:overflowPunct/>
              <w:topLinePunct w:val="0"/>
              <w:autoSpaceDE/>
              <w:autoSpaceDN/>
              <w:bidi w:val="0"/>
              <w:adjustRightInd/>
              <w:snapToGrid/>
              <w:spacing w:line="470" w:lineRule="exact"/>
              <w:jc w:val="both"/>
              <w:rPr>
                <w:rFonts w:hint="eastAsia" w:ascii="仿宋" w:hAnsi="仿宋" w:eastAsia="仿宋" w:cs="仿宋"/>
                <w:color w:val="000000"/>
                <w:kern w:val="0"/>
                <w:sz w:val="21"/>
                <w:szCs w:val="21"/>
                <w:highlight w:val="none"/>
                <w:lang w:bidi="ar"/>
              </w:rPr>
            </w:pPr>
            <w:r>
              <w:rPr>
                <w:rFonts w:hint="eastAsia" w:hAnsi="宋体" w:cs="宋体"/>
                <w:color w:val="000000" w:themeColor="text1"/>
                <w:sz w:val="21"/>
                <w:highlight w:val="none"/>
                <w:lang w:bidi="ar"/>
                <w14:textFill>
                  <w14:solidFill>
                    <w14:schemeClr w14:val="tx1"/>
                  </w14:solidFill>
                </w14:textFill>
              </w:rPr>
              <w:t>●</w:t>
            </w:r>
            <w:r>
              <w:rPr>
                <w:rFonts w:hint="eastAsia" w:ascii="仿宋" w:hAnsi="仿宋" w:eastAsia="仿宋" w:cs="仿宋"/>
                <w:color w:val="000000"/>
                <w:kern w:val="0"/>
                <w:sz w:val="21"/>
                <w:szCs w:val="21"/>
                <w:lang w:val="en-US" w:eastAsia="zh-CN"/>
              </w:rPr>
              <w:t>2.教师在办公室、家庭等任意场所分享教学课件至班级教室大屏，教师在对应的时间段无需登录即可使用课件。上课前进入课程提醒页面，提供课程相关信息，展示教师本课时课件，为教师授课提供快捷入口。</w:t>
            </w:r>
          </w:p>
          <w:p w14:paraId="0AB4B4E5">
            <w:pPr>
              <w:spacing w:line="360" w:lineRule="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3.基于交互大屏终端使用，提供今日课程计划、白板、文件管理、录屏功能。</w:t>
            </w:r>
          </w:p>
          <w:p w14:paraId="1E3CF621">
            <w:pPr>
              <w:spacing w:line="360" w:lineRule="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4.基于PPT、WPS的授课工具，教师可以直接使用内置在PPT,WPS上的插件方便的寻找资源并备课，支持教师随时随地打开课件进行互动教学，同时提供教学工具库，辅助教师更好的进行知识讲解。</w:t>
            </w:r>
          </w:p>
          <w:p w14:paraId="69D688A4">
            <w:pPr>
              <w:spacing w:line="360" w:lineRule="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5.支持教师添加教学日程，系统根据日程生成教师课程表，教室大屏设备端依据日程安排呈现课程计划。</w:t>
            </w:r>
          </w:p>
          <w:p w14:paraId="257DB128">
            <w:pPr>
              <w:spacing w:line="360" w:lineRule="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6.支持在课间全屏显示各科目今日作业内容，帮助学生抄写作业，记录作业内容。</w:t>
            </w:r>
          </w:p>
          <w:p w14:paraId="73AB34D7">
            <w:pPr>
              <w:keepNext w:val="0"/>
              <w:keepLines w:val="0"/>
              <w:pageBreakBefore w:val="0"/>
              <w:kinsoku/>
              <w:wordWrap/>
              <w:overflowPunct/>
              <w:topLinePunct w:val="0"/>
              <w:autoSpaceDE/>
              <w:autoSpaceDN/>
              <w:bidi w:val="0"/>
              <w:adjustRightInd/>
              <w:snapToGrid/>
              <w:spacing w:line="470" w:lineRule="exact"/>
              <w:jc w:val="both"/>
              <w:rPr>
                <w:rFonts w:hint="eastAsia" w:ascii="仿宋" w:hAnsi="仿宋" w:eastAsia="仿宋" w:cs="仿宋"/>
                <w:color w:val="000000"/>
                <w:kern w:val="0"/>
                <w:sz w:val="21"/>
                <w:szCs w:val="21"/>
                <w:highlight w:val="none"/>
                <w:lang w:bidi="ar"/>
              </w:rPr>
            </w:pPr>
            <w:r>
              <w:rPr>
                <w:rFonts w:hint="eastAsia" w:hAnsi="宋体" w:cs="宋体"/>
                <w:color w:val="000000" w:themeColor="text1"/>
                <w:sz w:val="21"/>
                <w:highlight w:val="none"/>
                <w:lang w:bidi="ar"/>
                <w14:textFill>
                  <w14:solidFill>
                    <w14:schemeClr w14:val="tx1"/>
                  </w14:solidFill>
                </w14:textFill>
              </w:rPr>
              <w:t>●</w:t>
            </w:r>
            <w:r>
              <w:rPr>
                <w:rFonts w:hint="eastAsia" w:ascii="仿宋" w:hAnsi="仿宋" w:eastAsia="仿宋" w:cs="仿宋"/>
                <w:color w:val="000000"/>
                <w:kern w:val="0"/>
                <w:sz w:val="21"/>
                <w:szCs w:val="21"/>
                <w:lang w:val="en-US" w:eastAsia="zh-CN"/>
              </w:rPr>
              <w:t>7. 教师移动助手支持微信小程序，不需要安装app。</w:t>
            </w:r>
          </w:p>
          <w:p w14:paraId="77DF5F76">
            <w:pPr>
              <w:spacing w:line="360" w:lineRule="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8.小程序支持添加、管理设备和远程控制设备，给指定设备发送校园通知和课件文化，支持移动端进行文件分发，通知可以实时弹屏。支持通过设置和执行场景来控制关联的设备。</w:t>
            </w:r>
          </w:p>
          <w:p w14:paraId="6FB6AD8F">
            <w:pPr>
              <w:spacing w:line="360" w:lineRule="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9.支持上传课件、查看课件信息、布置作业、回收站、小组列表、成绩报告、我的点评。</w:t>
            </w:r>
          </w:p>
          <w:p w14:paraId="47363005">
            <w:pPr>
              <w:spacing w:line="360" w:lineRule="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10、提供学生排座功能，最终以座次表的形式呈现，同时支持单个学生拖动或整排拖动来达到换座位的目的。</w:t>
            </w:r>
          </w:p>
          <w:p w14:paraId="406F2E11">
            <w:pPr>
              <w:spacing w:line="360" w:lineRule="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 xml:space="preserve">11、提供移动端班务管理入口，支持教师在移动端创建、加入班级，同时支持退出或解散班级，支持教师添加和删除学生信息 </w:t>
            </w:r>
          </w:p>
          <w:p w14:paraId="557E7456">
            <w:pPr>
              <w:spacing w:line="360" w:lineRule="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12、支持教师对每节课进行学生点名，设置学生考勤状态，记录考勤数据，包括迟到、请假、旷课、正常四种状态。</w:t>
            </w:r>
          </w:p>
          <w:p w14:paraId="042B2E95">
            <w:pPr>
              <w:keepNext w:val="0"/>
              <w:keepLines w:val="0"/>
              <w:pageBreakBefore w:val="0"/>
              <w:kinsoku/>
              <w:wordWrap/>
              <w:overflowPunct/>
              <w:topLinePunct w:val="0"/>
              <w:autoSpaceDE/>
              <w:autoSpaceDN/>
              <w:bidi w:val="0"/>
              <w:adjustRightInd/>
              <w:snapToGrid/>
              <w:spacing w:line="470" w:lineRule="exact"/>
              <w:jc w:val="both"/>
              <w:rPr>
                <w:rFonts w:hint="eastAsia" w:ascii="仿宋" w:hAnsi="仿宋" w:eastAsia="仿宋" w:cs="仿宋"/>
                <w:color w:val="000000"/>
                <w:kern w:val="0"/>
                <w:sz w:val="21"/>
                <w:szCs w:val="21"/>
                <w:highlight w:val="none"/>
                <w:lang w:bidi="ar"/>
              </w:rPr>
            </w:pPr>
            <w:r>
              <w:rPr>
                <w:rFonts w:hint="eastAsia" w:hAnsi="宋体" w:cs="宋体"/>
                <w:color w:val="000000" w:themeColor="text1"/>
                <w:sz w:val="21"/>
                <w:highlight w:val="none"/>
                <w:lang w:bidi="ar"/>
                <w14:textFill>
                  <w14:solidFill>
                    <w14:schemeClr w14:val="tx1"/>
                  </w14:solidFill>
                </w14:textFill>
              </w:rPr>
              <w:t>●</w:t>
            </w:r>
            <w:r>
              <w:rPr>
                <w:rFonts w:hint="eastAsia" w:ascii="仿宋" w:hAnsi="仿宋" w:eastAsia="仿宋" w:cs="仿宋"/>
                <w:color w:val="000000"/>
                <w:kern w:val="0"/>
                <w:sz w:val="21"/>
                <w:szCs w:val="21"/>
                <w:lang w:val="en-US" w:eastAsia="zh-CN"/>
              </w:rPr>
              <w:t>13、为方便教学，教学软件支持快捷桌面，可以自定义开机进入快捷桌面。快捷桌面支持显示按课表顺序排列的课件，教师在课表时间内可以直接点击打开课件教学。快捷桌面支持快速打开教学白板、浏览器、文件管理器等工具。</w:t>
            </w:r>
          </w:p>
          <w:p w14:paraId="1CD991CF">
            <w:pPr>
              <w:spacing w:line="360" w:lineRule="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14、教学软件快捷桌面支持右滑进负一屏，左滑进正一屏。负一屏支持当日作业展示，教师无需登录大屏，即可在远端布置作业展示在大屏上。负一屏支持校园文化展示，学生当日表现展示，并可在管理后台自定义展示内容和风格。正一屏支持自定义添加快捷应用。</w:t>
            </w:r>
          </w:p>
          <w:p w14:paraId="3DB045BD">
            <w:pPr>
              <w:spacing w:line="360" w:lineRule="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六、集中控制平台</w:t>
            </w:r>
          </w:p>
          <w:p w14:paraId="7FC43090">
            <w:pPr>
              <w:spacing w:line="360" w:lineRule="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1、提供远程控制、设备管理功能，实时采集设备运行数据，分析设备使用、分布情况。</w:t>
            </w:r>
          </w:p>
          <w:p w14:paraId="09AD0C28">
            <w:pPr>
              <w:spacing w:line="360" w:lineRule="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2、支持以分组的形式管理教室设备，可设置不同角色权限的用户，分配教室管理设备。</w:t>
            </w:r>
          </w:p>
          <w:p w14:paraId="729E81DF">
            <w:pPr>
              <w:keepNext w:val="0"/>
              <w:keepLines w:val="0"/>
              <w:pageBreakBefore w:val="0"/>
              <w:kinsoku/>
              <w:wordWrap/>
              <w:overflowPunct/>
              <w:topLinePunct w:val="0"/>
              <w:autoSpaceDE/>
              <w:autoSpaceDN/>
              <w:bidi w:val="0"/>
              <w:adjustRightInd/>
              <w:snapToGrid/>
              <w:spacing w:line="470" w:lineRule="exact"/>
              <w:jc w:val="both"/>
              <w:rPr>
                <w:rFonts w:hint="eastAsia" w:ascii="仿宋" w:hAnsi="仿宋" w:eastAsia="仿宋" w:cs="仿宋"/>
                <w:color w:val="000000"/>
                <w:kern w:val="0"/>
                <w:sz w:val="21"/>
                <w:szCs w:val="21"/>
                <w:highlight w:val="none"/>
                <w:lang w:bidi="ar"/>
              </w:rPr>
            </w:pPr>
            <w:r>
              <w:rPr>
                <w:rFonts w:hint="eastAsia" w:hAnsi="宋体" w:cs="宋体"/>
                <w:color w:val="000000" w:themeColor="text1"/>
                <w:sz w:val="21"/>
                <w:highlight w:val="none"/>
                <w:lang w:bidi="ar"/>
                <w14:textFill>
                  <w14:solidFill>
                    <w14:schemeClr w14:val="tx1"/>
                  </w14:solidFill>
                </w14:textFill>
              </w:rPr>
              <w:t>●</w:t>
            </w:r>
            <w:r>
              <w:rPr>
                <w:rFonts w:hint="eastAsia" w:ascii="仿宋" w:hAnsi="仿宋" w:eastAsia="仿宋" w:cs="仿宋"/>
                <w:color w:val="000000"/>
                <w:kern w:val="0"/>
                <w:sz w:val="21"/>
                <w:szCs w:val="21"/>
                <w:lang w:val="en-US" w:eastAsia="zh-CN"/>
              </w:rPr>
              <w:t>3、支持一键巡课功能，可对班级的设备发起巡课操作，支持实时查看大屏桌面内容以及调用大屏或外接摄像头查看教室实时画面。支持windows、统信、麒麟等多个操作系统</w:t>
            </w:r>
          </w:p>
          <w:p w14:paraId="77828DC3">
            <w:pPr>
              <w:spacing w:line="360" w:lineRule="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4、支持以图片、视频的方式发送课间文化，可同时选择多张图片或多个视频发送到选择的设备上，支持设置课间和执行周期，循环播放的形式在教室大屏上呈现。</w:t>
            </w:r>
          </w:p>
          <w:p w14:paraId="0F0E3C47">
            <w:pPr>
              <w:spacing w:line="360" w:lineRule="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5、提供有控制台功能，支持远程切换通道、锁屏、打铃、文件分发、软件安装、修改设备密码等功能。</w:t>
            </w:r>
          </w:p>
          <w:p w14:paraId="0DE14184">
            <w:pPr>
              <w:spacing w:line="360" w:lineRule="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6、支持上传软件至集控平台并发送至终端设备，可远程安装/卸载，便于管理终端软件。</w:t>
            </w:r>
          </w:p>
          <w:p w14:paraId="6E26BC15">
            <w:pPr>
              <w:spacing w:line="360" w:lineRule="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7、以图表的形式对设备的使用情况进行数据统计，支持查看设备在线情况，设备使用情况，设备开机率，软件使用时长排行等。</w:t>
            </w:r>
          </w:p>
          <w:p w14:paraId="56DF1225">
            <w:pPr>
              <w:spacing w:line="360" w:lineRule="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8、设备终端的管家服务支持一键备份，一键还原，支持查看设备信息，支持查看由教师或校管发起的视频直播。</w:t>
            </w:r>
          </w:p>
          <w:p w14:paraId="635DAFBF">
            <w:pPr>
              <w:spacing w:line="360" w:lineRule="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●9、提供直播管理功能，支持用户预约直播，选择直播终端设备，直播时可选择音频直播、视频直播，支持调节视频源、音量等。</w:t>
            </w:r>
          </w:p>
          <w:p w14:paraId="0EC29DBA">
            <w:pPr>
              <w:spacing w:line="360" w:lineRule="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10、支持微信小程序端访问，微信小程序可查看设备状态、控制设备、发送通知、拍照或者选择图库文件发送课间文化。</w:t>
            </w:r>
          </w:p>
          <w:p w14:paraId="388F3111">
            <w:pPr>
              <w:spacing w:line="360" w:lineRule="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11、支持对设备进行分类管理，批量控制设备。</w:t>
            </w:r>
          </w:p>
          <w:p w14:paraId="369F4F65">
            <w:pPr>
              <w:spacing w:line="360" w:lineRule="auto"/>
              <w:rPr>
                <w:rFonts w:hint="eastAsia" w:ascii="仿宋" w:hAnsi="仿宋" w:eastAsia="仿宋" w:cs="仿宋"/>
                <w:color w:val="000000"/>
                <w:kern w:val="0"/>
                <w:sz w:val="21"/>
                <w:szCs w:val="21"/>
                <w:lang w:val="en-US" w:eastAsia="zh-CN"/>
              </w:rPr>
            </w:pPr>
            <w:r>
              <w:rPr>
                <w:rFonts w:hint="eastAsia" w:hAnsi="宋体" w:cs="宋体"/>
                <w:color w:val="000000" w:themeColor="text1"/>
                <w:sz w:val="21"/>
                <w:highlight w:val="none"/>
                <w:lang w:bidi="ar"/>
                <w14:textFill>
                  <w14:solidFill>
                    <w14:schemeClr w14:val="tx1"/>
                  </w14:solidFill>
                </w14:textFill>
              </w:rPr>
              <w:t>●</w:t>
            </w:r>
            <w:r>
              <w:rPr>
                <w:rFonts w:hint="eastAsia" w:ascii="仿宋" w:hAnsi="仿宋" w:eastAsia="仿宋" w:cs="仿宋"/>
                <w:color w:val="000000"/>
                <w:kern w:val="0"/>
                <w:sz w:val="21"/>
                <w:szCs w:val="21"/>
                <w:lang w:val="en-US" w:eastAsia="zh-CN"/>
              </w:rPr>
              <w:t>12、支持弹窗上报、广告拦截功能。支持截图拦截功能。支持拦截审核、拦截黑名单管理、拦截白名单管理功能。</w:t>
            </w:r>
          </w:p>
          <w:p w14:paraId="021BCFA0">
            <w:pPr>
              <w:spacing w:line="360" w:lineRule="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七、▲售后服务：</w:t>
            </w:r>
          </w:p>
          <w:p w14:paraId="1745FE55">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0" w:firstLineChars="0"/>
              <w:jc w:val="both"/>
              <w:textAlignment w:val="auto"/>
              <w:rPr>
                <w:rFonts w:hint="eastAsia" w:ascii="仿宋" w:hAnsi="仿宋" w:eastAsia="仿宋" w:cs="仿宋"/>
                <w:color w:val="auto"/>
                <w:sz w:val="21"/>
                <w:szCs w:val="21"/>
              </w:rPr>
            </w:pPr>
            <w:r>
              <w:rPr>
                <w:rFonts w:hint="eastAsia" w:ascii="仿宋" w:hAnsi="仿宋" w:eastAsia="仿宋" w:cs="仿宋"/>
                <w:sz w:val="21"/>
                <w:szCs w:val="21"/>
                <w:lang w:val="en-US" w:eastAsia="zh-CN" w:bidi="ar"/>
              </w:rPr>
              <w:t>产品享受正规厂家三包政策，保修三年。</w:t>
            </w:r>
            <w:r>
              <w:rPr>
                <w:rFonts w:hint="eastAsia" w:ascii="仿宋" w:hAnsi="仿宋" w:eastAsia="仿宋" w:cs="仿宋"/>
                <w:sz w:val="21"/>
                <w:szCs w:val="21"/>
                <w:lang w:eastAsia="zh-CN" w:bidi="ar"/>
              </w:rPr>
              <w:t>交货</w:t>
            </w:r>
            <w:r>
              <w:rPr>
                <w:rFonts w:hint="eastAsia" w:ascii="仿宋" w:hAnsi="仿宋" w:eastAsia="仿宋" w:cs="仿宋"/>
                <w:sz w:val="21"/>
                <w:szCs w:val="21"/>
                <w:lang w:bidi="ar"/>
              </w:rPr>
              <w:t>前</w:t>
            </w:r>
            <w:r>
              <w:rPr>
                <w:rFonts w:hint="eastAsia" w:ascii="仿宋" w:hAnsi="仿宋" w:eastAsia="仿宋" w:cs="仿宋"/>
                <w:sz w:val="21"/>
                <w:szCs w:val="21"/>
                <w:lang w:val="en-US" w:eastAsia="zh-CN" w:bidi="ar"/>
              </w:rPr>
              <w:t>成交供应商须</w:t>
            </w:r>
            <w:r>
              <w:rPr>
                <w:rFonts w:hint="eastAsia" w:ascii="仿宋" w:hAnsi="仿宋" w:eastAsia="仿宋" w:cs="仿宋"/>
                <w:sz w:val="21"/>
                <w:szCs w:val="21"/>
                <w:lang w:bidi="ar"/>
              </w:rPr>
              <w:t>提供</w:t>
            </w:r>
            <w:r>
              <w:rPr>
                <w:rFonts w:hint="eastAsia" w:ascii="仿宋" w:hAnsi="仿宋" w:eastAsia="仿宋" w:cs="仿宋"/>
                <w:sz w:val="21"/>
                <w:szCs w:val="21"/>
                <w:lang w:val="en-US" w:eastAsia="zh-CN" w:bidi="ar"/>
              </w:rPr>
              <w:t>相关产品为原厂正品及相应的维修维保服务相关证明材料并加盖公章</w:t>
            </w:r>
            <w:r>
              <w:rPr>
                <w:rFonts w:hint="eastAsia" w:ascii="仿宋" w:hAnsi="仿宋" w:eastAsia="仿宋" w:cs="仿宋"/>
                <w:sz w:val="21"/>
                <w:szCs w:val="21"/>
                <w:lang w:bidi="ar"/>
              </w:rPr>
              <w:t>，否则不予</w:t>
            </w:r>
            <w:r>
              <w:rPr>
                <w:rFonts w:hint="eastAsia" w:ascii="仿宋" w:hAnsi="仿宋" w:eastAsia="仿宋" w:cs="仿宋"/>
                <w:sz w:val="21"/>
                <w:szCs w:val="21"/>
                <w:lang w:eastAsia="zh-CN" w:bidi="ar"/>
              </w:rPr>
              <w:t>验收</w:t>
            </w:r>
            <w:r>
              <w:rPr>
                <w:rFonts w:hint="eastAsia" w:ascii="仿宋" w:hAnsi="仿宋" w:eastAsia="仿宋" w:cs="仿宋"/>
                <w:sz w:val="21"/>
                <w:szCs w:val="21"/>
                <w:lang w:bidi="ar"/>
              </w:rPr>
              <w:t>。</w:t>
            </w:r>
          </w:p>
        </w:tc>
        <w:tc>
          <w:tcPr>
            <w:tcW w:w="470" w:type="pct"/>
            <w:noWrap/>
            <w:vAlign w:val="center"/>
          </w:tcPr>
          <w:p w14:paraId="14288B33">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0" w:firstLineChars="0"/>
              <w:jc w:val="both"/>
              <w:textAlignment w:val="auto"/>
              <w:rPr>
                <w:rFonts w:hint="eastAsia" w:ascii="仿宋" w:hAnsi="仿宋" w:eastAsia="仿宋" w:cs="仿宋"/>
                <w:sz w:val="21"/>
                <w:szCs w:val="21"/>
                <w:lang w:val="en-US" w:eastAsia="zh-CN" w:bidi="ar"/>
              </w:rPr>
            </w:pPr>
            <w:r>
              <w:rPr>
                <w:rFonts w:hint="eastAsia" w:ascii="仿宋" w:hAnsi="仿宋" w:eastAsia="仿宋" w:cs="仿宋"/>
                <w:sz w:val="21"/>
                <w:szCs w:val="21"/>
                <w:lang w:val="en-US" w:eastAsia="zh-CN" w:bidi="ar"/>
              </w:rPr>
              <w:t>工业</w:t>
            </w:r>
          </w:p>
        </w:tc>
      </w:tr>
      <w:tr w14:paraId="73B26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jc w:val="center"/>
        </w:trPr>
        <w:tc>
          <w:tcPr>
            <w:tcW w:w="361" w:type="pct"/>
            <w:noWrap/>
            <w:vAlign w:val="center"/>
          </w:tcPr>
          <w:p w14:paraId="406FCDD0">
            <w:pPr>
              <w:spacing w:line="400" w:lineRule="exact"/>
              <w:rPr>
                <w:rFonts w:ascii="仿宋" w:hAnsi="仿宋" w:eastAsia="仿宋" w:cs="仿宋"/>
                <w:color w:val="auto"/>
                <w:szCs w:val="21"/>
              </w:rPr>
            </w:pPr>
            <w:r>
              <w:rPr>
                <w:rFonts w:hint="eastAsia" w:ascii="仿宋" w:hAnsi="仿宋" w:eastAsia="仿宋" w:cs="仿宋"/>
                <w:color w:val="auto"/>
                <w:szCs w:val="21"/>
              </w:rPr>
              <w:t>2</w:t>
            </w:r>
          </w:p>
        </w:tc>
        <w:tc>
          <w:tcPr>
            <w:tcW w:w="758" w:type="pct"/>
            <w:gridSpan w:val="2"/>
            <w:noWrap/>
            <w:vAlign w:val="center"/>
          </w:tcPr>
          <w:p w14:paraId="4CB79269">
            <w:pPr>
              <w:keepNext w:val="0"/>
              <w:keepLines w:val="0"/>
              <w:widowControl/>
              <w:suppressLineNumbers w:val="0"/>
              <w:jc w:val="both"/>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highlight w:val="none"/>
                <w:u w:val="none"/>
                <w:lang w:val="en-US" w:eastAsia="zh-CN" w:bidi="ar"/>
              </w:rPr>
              <w:t>86寸光能板</w:t>
            </w:r>
          </w:p>
        </w:tc>
        <w:tc>
          <w:tcPr>
            <w:tcW w:w="359" w:type="pct"/>
            <w:noWrap/>
            <w:vAlign w:val="center"/>
          </w:tcPr>
          <w:p w14:paraId="0A9D4082">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highlight w:val="none"/>
                <w:u w:val="none"/>
                <w:lang w:val="en-US" w:eastAsia="zh-CN" w:bidi="ar"/>
              </w:rPr>
              <w:t>42</w:t>
            </w:r>
          </w:p>
        </w:tc>
        <w:tc>
          <w:tcPr>
            <w:tcW w:w="569" w:type="pct"/>
            <w:noWrap/>
            <w:vAlign w:val="center"/>
          </w:tcPr>
          <w:p w14:paraId="0FAD6C2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1"/>
                <w:szCs w:val="21"/>
              </w:rPr>
            </w:pPr>
            <w:r>
              <w:rPr>
                <w:rFonts w:hint="eastAsia" w:ascii="仿宋" w:hAnsi="仿宋" w:eastAsia="仿宋" w:cs="仿宋"/>
                <w:b w:val="0"/>
                <w:bCs w:val="0"/>
                <w:i w:val="0"/>
                <w:iCs w:val="0"/>
                <w:color w:val="auto"/>
                <w:kern w:val="0"/>
                <w:sz w:val="21"/>
                <w:szCs w:val="21"/>
                <w:highlight w:val="none"/>
                <w:u w:val="none"/>
                <w:lang w:val="en-US" w:eastAsia="zh-CN" w:bidi="ar"/>
              </w:rPr>
              <w:t>台</w:t>
            </w:r>
          </w:p>
        </w:tc>
        <w:tc>
          <w:tcPr>
            <w:tcW w:w="2479" w:type="pct"/>
            <w:noWrap/>
            <w:vAlign w:val="center"/>
          </w:tcPr>
          <w:p w14:paraId="0A0155ED">
            <w:pPr>
              <w:spacing w:line="360" w:lineRule="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一、硬件要求</w:t>
            </w:r>
          </w:p>
          <w:p w14:paraId="102A650D">
            <w:pPr>
              <w:spacing w:line="360" w:lineRule="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w:t>
            </w:r>
            <w:r>
              <w:rPr>
                <w:rFonts w:hint="eastAsia" w:ascii="仿宋" w:hAnsi="仿宋" w:eastAsia="仿宋" w:cs="仿宋"/>
                <w:color w:val="000000"/>
                <w:kern w:val="0"/>
                <w:sz w:val="21"/>
                <w:szCs w:val="21"/>
              </w:rPr>
              <w:t>1、</w:t>
            </w:r>
            <w:r>
              <w:rPr>
                <w:rFonts w:hint="eastAsia" w:ascii="仿宋" w:hAnsi="仿宋" w:eastAsia="仿宋" w:cs="仿宋"/>
                <w:color w:val="000000"/>
                <w:kern w:val="0"/>
                <w:sz w:val="21"/>
                <w:szCs w:val="21"/>
                <w:highlight w:val="none"/>
                <w:lang w:bidi="ar"/>
              </w:rPr>
              <w:t>多媒体交互设备</w:t>
            </w:r>
            <w:r>
              <w:rPr>
                <w:rFonts w:hint="eastAsia" w:ascii="仿宋" w:hAnsi="仿宋" w:eastAsia="仿宋" w:cs="仿宋"/>
                <w:color w:val="000000"/>
                <w:kern w:val="0"/>
                <w:sz w:val="21"/>
                <w:szCs w:val="21"/>
              </w:rPr>
              <w:t>两侧各放置一块光能黑板。单块光能黑板≥1290（长）*1150（高）mm。下边框具有可调节托板，可根据</w:t>
            </w:r>
            <w:r>
              <w:rPr>
                <w:rFonts w:hint="eastAsia" w:ascii="仿宋" w:hAnsi="仿宋" w:eastAsia="仿宋" w:cs="仿宋"/>
                <w:color w:val="000000"/>
                <w:kern w:val="0"/>
                <w:sz w:val="21"/>
                <w:szCs w:val="21"/>
                <w:lang w:eastAsia="zh-CN"/>
              </w:rPr>
              <w:t>教学设备</w:t>
            </w:r>
            <w:r>
              <w:rPr>
                <w:rFonts w:hint="eastAsia" w:ascii="仿宋" w:hAnsi="仿宋" w:eastAsia="仿宋" w:cs="仿宋"/>
                <w:color w:val="000000"/>
                <w:kern w:val="0"/>
                <w:sz w:val="21"/>
                <w:szCs w:val="21"/>
              </w:rPr>
              <w:t>高度进行调整至与</w:t>
            </w:r>
            <w:r>
              <w:rPr>
                <w:rFonts w:hint="eastAsia" w:ascii="仿宋" w:hAnsi="仿宋" w:eastAsia="仿宋" w:cs="仿宋"/>
                <w:color w:val="000000"/>
                <w:kern w:val="0"/>
                <w:sz w:val="21"/>
                <w:szCs w:val="21"/>
                <w:lang w:eastAsia="zh-CN"/>
              </w:rPr>
              <w:t>教学设备</w:t>
            </w:r>
            <w:r>
              <w:rPr>
                <w:rFonts w:hint="eastAsia" w:ascii="仿宋" w:hAnsi="仿宋" w:eastAsia="仿宋" w:cs="仿宋"/>
                <w:color w:val="000000"/>
                <w:kern w:val="0"/>
                <w:sz w:val="21"/>
                <w:szCs w:val="21"/>
              </w:rPr>
              <w:t>高度平齐，兼具置物功能。</w:t>
            </w:r>
          </w:p>
          <w:p w14:paraId="4F2B0227">
            <w:pPr>
              <w:spacing w:line="360" w:lineRule="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2</w:t>
            </w:r>
            <w:r>
              <w:rPr>
                <w:rFonts w:hint="eastAsia" w:ascii="仿宋" w:hAnsi="仿宋" w:eastAsia="仿宋" w:cs="仿宋"/>
                <w:color w:val="000000"/>
                <w:kern w:val="0"/>
                <w:sz w:val="21"/>
                <w:szCs w:val="21"/>
              </w:rPr>
              <w:t>、边框采用铝合金材质，坚固耐用，具有较好的耐腐蚀特性。</w:t>
            </w:r>
          </w:p>
          <w:p w14:paraId="30B6F1D2">
            <w:pPr>
              <w:spacing w:line="360" w:lineRule="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3</w:t>
            </w:r>
            <w:r>
              <w:rPr>
                <w:rFonts w:hint="eastAsia" w:ascii="仿宋" w:hAnsi="仿宋" w:eastAsia="仿宋" w:cs="仿宋"/>
                <w:color w:val="000000"/>
                <w:kern w:val="0"/>
                <w:sz w:val="21"/>
                <w:szCs w:val="21"/>
              </w:rPr>
              <w:t>、无需专用耗材，采用多种笔杆均可在板面进行书写，消除了粉笔粉尘对师生构成的健康隐患。可擦写次数不低于10万次。</w:t>
            </w:r>
          </w:p>
          <w:p w14:paraId="08B49949">
            <w:pPr>
              <w:spacing w:line="360" w:lineRule="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4</w:t>
            </w:r>
            <w:r>
              <w:rPr>
                <w:rFonts w:hint="eastAsia" w:ascii="仿宋" w:hAnsi="仿宋" w:eastAsia="仿宋" w:cs="仿宋"/>
                <w:color w:val="000000"/>
                <w:kern w:val="0"/>
                <w:sz w:val="21"/>
                <w:szCs w:val="21"/>
              </w:rPr>
              <w:t>、板面应无频闪、无背光，上膜不应产生眩光。板书笔迹平视可视距离≥20米，可视角度≥150°。</w:t>
            </w:r>
          </w:p>
          <w:p w14:paraId="1CDEFAE5">
            <w:pPr>
              <w:spacing w:line="360" w:lineRule="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5</w:t>
            </w:r>
            <w:r>
              <w:rPr>
                <w:rFonts w:hint="eastAsia" w:ascii="仿宋" w:hAnsi="仿宋" w:eastAsia="仿宋" w:cs="仿宋"/>
                <w:color w:val="000000"/>
                <w:kern w:val="0"/>
                <w:sz w:val="21"/>
                <w:szCs w:val="21"/>
              </w:rPr>
              <w:t>、光能黑板的光泽度不高于30光泽单位。</w:t>
            </w:r>
          </w:p>
          <w:p w14:paraId="0AB76024">
            <w:pPr>
              <w:spacing w:line="360" w:lineRule="auto"/>
              <w:rPr>
                <w:rFonts w:hint="eastAsia" w:ascii="仿宋" w:hAnsi="仿宋" w:eastAsia="仿宋" w:cs="仿宋"/>
                <w:color w:val="000000"/>
                <w:kern w:val="0"/>
                <w:sz w:val="21"/>
                <w:szCs w:val="21"/>
              </w:rPr>
            </w:pPr>
            <w:r>
              <w:rPr>
                <w:rFonts w:hint="eastAsia" w:hAnsi="宋体" w:cs="宋体"/>
                <w:color w:val="000000" w:themeColor="text1"/>
                <w:sz w:val="21"/>
                <w:highlight w:val="none"/>
                <w:lang w:bidi="ar"/>
                <w14:textFill>
                  <w14:solidFill>
                    <w14:schemeClr w14:val="tx1"/>
                  </w14:solidFill>
                </w14:textFill>
              </w:rPr>
              <w:t>●</w:t>
            </w:r>
            <w:r>
              <w:rPr>
                <w:rFonts w:hint="eastAsia" w:ascii="仿宋" w:hAnsi="仿宋" w:eastAsia="仿宋" w:cs="仿宋"/>
                <w:color w:val="000000"/>
                <w:kern w:val="0"/>
                <w:sz w:val="21"/>
                <w:szCs w:val="21"/>
                <w:lang w:val="en-US" w:eastAsia="zh-CN"/>
              </w:rPr>
              <w:t>6</w:t>
            </w:r>
            <w:r>
              <w:rPr>
                <w:rFonts w:hint="eastAsia" w:ascii="仿宋" w:hAnsi="仿宋" w:eastAsia="仿宋" w:cs="仿宋"/>
                <w:color w:val="000000"/>
                <w:kern w:val="0"/>
                <w:sz w:val="21"/>
                <w:szCs w:val="21"/>
              </w:rPr>
              <w:t>、为减少老师书写的疲劳感，板面粗糙度Sa≤0.3um。</w:t>
            </w:r>
          </w:p>
          <w:p w14:paraId="031706D4">
            <w:pPr>
              <w:spacing w:line="360" w:lineRule="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7</w:t>
            </w:r>
            <w:r>
              <w:rPr>
                <w:rFonts w:hint="eastAsia" w:ascii="仿宋" w:hAnsi="仿宋" w:eastAsia="仿宋" w:cs="仿宋"/>
                <w:color w:val="000000"/>
                <w:kern w:val="0"/>
                <w:sz w:val="21"/>
                <w:szCs w:val="21"/>
              </w:rPr>
              <w:t>、书写板上膜应经过抗紫外线工艺处理，波长小于380nm的紫外线阻隔率不低于99.5%。</w:t>
            </w:r>
          </w:p>
          <w:p w14:paraId="455E0A8A">
            <w:pPr>
              <w:spacing w:line="360" w:lineRule="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▲8</w:t>
            </w:r>
            <w:r>
              <w:rPr>
                <w:rFonts w:hint="eastAsia" w:ascii="仿宋" w:hAnsi="仿宋" w:eastAsia="仿宋" w:cs="仿宋"/>
                <w:color w:val="000000"/>
                <w:kern w:val="0"/>
                <w:sz w:val="21"/>
                <w:szCs w:val="21"/>
              </w:rPr>
              <w:t>、一键擦除时间不大于1.5秒，擦除应无断点、无死角等，擦除后应无明显残留痕迹。</w:t>
            </w:r>
          </w:p>
          <w:p w14:paraId="5671E03E">
            <w:pPr>
              <w:spacing w:line="360" w:lineRule="auto"/>
              <w:rPr>
                <w:rFonts w:hint="eastAsia" w:ascii="仿宋" w:hAnsi="仿宋" w:eastAsia="仿宋" w:cs="仿宋"/>
                <w:color w:val="000000"/>
                <w:kern w:val="0"/>
                <w:sz w:val="21"/>
                <w:szCs w:val="21"/>
              </w:rPr>
            </w:pPr>
            <w:r>
              <w:rPr>
                <w:rFonts w:hint="eastAsia" w:hAnsi="宋体" w:cs="宋体"/>
                <w:color w:val="000000" w:themeColor="text1"/>
                <w:sz w:val="21"/>
                <w:highlight w:val="none"/>
                <w:lang w:bidi="ar"/>
                <w14:textFill>
                  <w14:solidFill>
                    <w14:schemeClr w14:val="tx1"/>
                  </w14:solidFill>
                </w14:textFill>
              </w:rPr>
              <w:t>●</w:t>
            </w:r>
            <w:r>
              <w:rPr>
                <w:rFonts w:hint="eastAsia" w:ascii="仿宋" w:hAnsi="仿宋" w:eastAsia="仿宋" w:cs="仿宋"/>
                <w:color w:val="000000"/>
                <w:kern w:val="0"/>
                <w:sz w:val="21"/>
                <w:szCs w:val="21"/>
                <w:lang w:val="en-US" w:eastAsia="zh-CN"/>
              </w:rPr>
              <w:t>9</w:t>
            </w:r>
            <w:r>
              <w:rPr>
                <w:rFonts w:hint="eastAsia" w:ascii="仿宋" w:hAnsi="仿宋" w:eastAsia="仿宋" w:cs="仿宋"/>
                <w:color w:val="000000"/>
                <w:kern w:val="0"/>
                <w:sz w:val="21"/>
                <w:szCs w:val="21"/>
              </w:rPr>
              <w:t>、为方便使用，可使用板擦和手势对板书进行局部擦除，局部擦除时间不大于0.4秒，擦除应无断点、无死角等，擦除后应无明显残留痕迹，且非擦除区域不受影响。</w:t>
            </w:r>
          </w:p>
          <w:p w14:paraId="3719C54D">
            <w:pPr>
              <w:spacing w:line="360" w:lineRule="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r>
              <w:rPr>
                <w:rFonts w:hint="eastAsia" w:ascii="仿宋" w:hAnsi="仿宋" w:eastAsia="仿宋" w:cs="仿宋"/>
                <w:color w:val="000000"/>
                <w:kern w:val="0"/>
                <w:sz w:val="21"/>
                <w:szCs w:val="21"/>
                <w:lang w:val="en-US" w:eastAsia="zh-CN"/>
              </w:rPr>
              <w:t>0</w:t>
            </w:r>
            <w:r>
              <w:rPr>
                <w:rFonts w:hint="eastAsia" w:ascii="仿宋" w:hAnsi="仿宋" w:eastAsia="仿宋" w:cs="仿宋"/>
                <w:color w:val="000000"/>
                <w:kern w:val="0"/>
                <w:sz w:val="21"/>
                <w:szCs w:val="21"/>
              </w:rPr>
              <w:t>、黑板内设有电压调整机制，支持自动感应调整，也支持通过手势按压书写板板面的特定位置，调节局部擦除的灵敏度，适应不同用户的使用需求。</w:t>
            </w:r>
          </w:p>
          <w:p w14:paraId="755132BF">
            <w:pPr>
              <w:spacing w:line="360" w:lineRule="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w:t>
            </w:r>
            <w:r>
              <w:rPr>
                <w:rFonts w:hint="eastAsia" w:ascii="仿宋" w:hAnsi="仿宋" w:eastAsia="仿宋" w:cs="仿宋"/>
                <w:color w:val="000000"/>
                <w:kern w:val="0"/>
                <w:sz w:val="21"/>
                <w:szCs w:val="21"/>
              </w:rPr>
              <w:t>1</w:t>
            </w:r>
            <w:r>
              <w:rPr>
                <w:rFonts w:hint="eastAsia" w:ascii="仿宋" w:hAnsi="仿宋" w:eastAsia="仿宋" w:cs="仿宋"/>
                <w:color w:val="000000"/>
                <w:kern w:val="0"/>
                <w:sz w:val="21"/>
                <w:szCs w:val="21"/>
                <w:lang w:val="en-US" w:eastAsia="zh-CN"/>
              </w:rPr>
              <w:t>1</w:t>
            </w:r>
            <w:r>
              <w:rPr>
                <w:rFonts w:hint="eastAsia" w:ascii="仿宋" w:hAnsi="仿宋" w:eastAsia="仿宋" w:cs="仿宋"/>
                <w:color w:val="000000"/>
                <w:kern w:val="0"/>
                <w:sz w:val="21"/>
                <w:szCs w:val="21"/>
              </w:rPr>
              <w:t>、最大工作电流（瞬间电流）不得超过1000mA。</w:t>
            </w:r>
          </w:p>
          <w:p w14:paraId="38109F8A">
            <w:pPr>
              <w:spacing w:line="360" w:lineRule="auto"/>
              <w:rPr>
                <w:rFonts w:hint="eastAsia" w:ascii="仿宋" w:hAnsi="仿宋" w:eastAsia="仿宋" w:cs="仿宋"/>
                <w:color w:val="000000"/>
                <w:kern w:val="0"/>
                <w:sz w:val="21"/>
                <w:szCs w:val="21"/>
              </w:rPr>
            </w:pPr>
            <w:r>
              <w:rPr>
                <w:rFonts w:hint="eastAsia" w:hAnsi="宋体" w:cs="宋体"/>
                <w:color w:val="000000" w:themeColor="text1"/>
                <w:sz w:val="21"/>
                <w:highlight w:val="none"/>
                <w:lang w:bidi="ar"/>
                <w14:textFill>
                  <w14:solidFill>
                    <w14:schemeClr w14:val="tx1"/>
                  </w14:solidFill>
                </w14:textFill>
              </w:rPr>
              <w:t>●</w:t>
            </w:r>
            <w:r>
              <w:rPr>
                <w:rFonts w:hint="eastAsia" w:ascii="仿宋" w:hAnsi="仿宋" w:eastAsia="仿宋" w:cs="仿宋"/>
                <w:color w:val="000000"/>
                <w:kern w:val="0"/>
                <w:sz w:val="21"/>
                <w:szCs w:val="21"/>
              </w:rPr>
              <w:t>1</w:t>
            </w:r>
            <w:r>
              <w:rPr>
                <w:rFonts w:hint="eastAsia" w:ascii="仿宋" w:hAnsi="仿宋" w:eastAsia="仿宋" w:cs="仿宋"/>
                <w:color w:val="000000"/>
                <w:kern w:val="0"/>
                <w:sz w:val="21"/>
                <w:szCs w:val="21"/>
                <w:lang w:val="en-US" w:eastAsia="zh-CN"/>
              </w:rPr>
              <w:t>2</w:t>
            </w:r>
            <w:r>
              <w:rPr>
                <w:rFonts w:hint="eastAsia" w:ascii="仿宋" w:hAnsi="仿宋" w:eastAsia="仿宋" w:cs="仿宋"/>
                <w:color w:val="000000"/>
                <w:kern w:val="0"/>
                <w:sz w:val="21"/>
                <w:szCs w:val="21"/>
              </w:rPr>
              <w:t>、黑板表面具有暗格，用以提供给师生在书写板书时的直线参照，可避免板书歪斜。黑板表面可吸附磁贴、磁扣等教学工具，便于老师教学使用。</w:t>
            </w:r>
          </w:p>
          <w:p w14:paraId="3ED99024">
            <w:pPr>
              <w:spacing w:line="360" w:lineRule="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w:t>
            </w:r>
            <w:r>
              <w:rPr>
                <w:rFonts w:hint="eastAsia" w:ascii="仿宋" w:hAnsi="仿宋" w:eastAsia="仿宋" w:cs="仿宋"/>
                <w:color w:val="000000"/>
                <w:kern w:val="0"/>
                <w:sz w:val="21"/>
                <w:szCs w:val="21"/>
              </w:rPr>
              <w:t>1</w:t>
            </w:r>
            <w:r>
              <w:rPr>
                <w:rFonts w:hint="eastAsia" w:ascii="仿宋" w:hAnsi="仿宋" w:eastAsia="仿宋" w:cs="仿宋"/>
                <w:color w:val="000000"/>
                <w:kern w:val="0"/>
                <w:sz w:val="21"/>
                <w:szCs w:val="21"/>
                <w:lang w:val="en-US" w:eastAsia="zh-CN"/>
              </w:rPr>
              <w:t>3</w:t>
            </w:r>
            <w:r>
              <w:rPr>
                <w:rFonts w:hint="eastAsia" w:ascii="仿宋" w:hAnsi="仿宋" w:eastAsia="仿宋" w:cs="仿宋"/>
                <w:color w:val="000000"/>
                <w:kern w:val="0"/>
                <w:sz w:val="21"/>
                <w:szCs w:val="21"/>
              </w:rPr>
              <w:t>、为让老师能够快速调取交互软件，方便使用功能，光能黑板的左侧或右侧应具有触摸快捷键。</w:t>
            </w:r>
          </w:p>
          <w:p w14:paraId="2538C9B9">
            <w:pPr>
              <w:spacing w:line="360" w:lineRule="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二、软件要求</w:t>
            </w:r>
          </w:p>
          <w:p w14:paraId="52E32A94">
            <w:pPr>
              <w:spacing w:line="360" w:lineRule="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1、左、右光能黑板可与</w:t>
            </w:r>
            <w:r>
              <w:rPr>
                <w:rFonts w:hint="eastAsia" w:ascii="仿宋" w:hAnsi="仿宋" w:eastAsia="仿宋" w:cs="仿宋"/>
                <w:color w:val="000000"/>
                <w:kern w:val="0"/>
                <w:sz w:val="21"/>
                <w:szCs w:val="21"/>
                <w:lang w:eastAsia="zh-CN"/>
              </w:rPr>
              <w:t>教学设备</w:t>
            </w:r>
            <w:r>
              <w:rPr>
                <w:rFonts w:hint="eastAsia" w:ascii="仿宋" w:hAnsi="仿宋" w:eastAsia="仿宋" w:cs="仿宋"/>
                <w:color w:val="000000"/>
                <w:kern w:val="0"/>
                <w:sz w:val="21"/>
                <w:szCs w:val="21"/>
              </w:rPr>
              <w:t>进行互动，将光能黑板的内容与</w:t>
            </w:r>
            <w:r>
              <w:rPr>
                <w:rFonts w:hint="eastAsia" w:ascii="仿宋" w:hAnsi="仿宋" w:eastAsia="仿宋" w:cs="仿宋"/>
                <w:color w:val="000000"/>
                <w:kern w:val="0"/>
                <w:sz w:val="21"/>
                <w:szCs w:val="21"/>
                <w:lang w:eastAsia="zh-CN"/>
              </w:rPr>
              <w:t>教学设备</w:t>
            </w:r>
            <w:r>
              <w:rPr>
                <w:rFonts w:hint="eastAsia" w:ascii="仿宋" w:hAnsi="仿宋" w:eastAsia="仿宋" w:cs="仿宋"/>
                <w:color w:val="000000"/>
                <w:kern w:val="0"/>
                <w:sz w:val="21"/>
                <w:szCs w:val="21"/>
              </w:rPr>
              <w:t>无缝连接，教师在光能黑板上的书写内容可同步显示在</w:t>
            </w:r>
            <w:r>
              <w:rPr>
                <w:rFonts w:hint="eastAsia" w:ascii="仿宋" w:hAnsi="仿宋" w:eastAsia="仿宋" w:cs="仿宋"/>
                <w:color w:val="000000"/>
                <w:kern w:val="0"/>
                <w:sz w:val="21"/>
                <w:szCs w:val="21"/>
                <w:lang w:eastAsia="zh-CN"/>
              </w:rPr>
              <w:t>教学设备</w:t>
            </w:r>
            <w:r>
              <w:rPr>
                <w:rFonts w:hint="eastAsia" w:ascii="仿宋" w:hAnsi="仿宋" w:eastAsia="仿宋" w:cs="仿宋"/>
                <w:color w:val="000000"/>
                <w:kern w:val="0"/>
                <w:sz w:val="21"/>
                <w:szCs w:val="21"/>
              </w:rPr>
              <w:t>上。</w:t>
            </w:r>
          </w:p>
          <w:p w14:paraId="0FD1FF3B">
            <w:pPr>
              <w:spacing w:line="360" w:lineRule="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2、为便于老师记忆和操作，板书界面与电脑桌面/PPT课件之间，可以来回切换，方便快捷。</w:t>
            </w:r>
          </w:p>
          <w:p w14:paraId="321FFA4D">
            <w:pPr>
              <w:spacing w:line="360" w:lineRule="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w:t>
            </w:r>
            <w:r>
              <w:rPr>
                <w:rFonts w:hint="eastAsia" w:ascii="仿宋" w:hAnsi="仿宋" w:eastAsia="仿宋" w:cs="仿宋"/>
                <w:color w:val="000000"/>
                <w:kern w:val="0"/>
                <w:sz w:val="21"/>
                <w:szCs w:val="21"/>
              </w:rPr>
              <w:t>3、可以通过触摸快捷键快速切换单页和多页显示：单板书写时，可单页面显示（此时只有一块黑板界面）；多板同时书写时，可多页面同时显示。</w:t>
            </w:r>
          </w:p>
          <w:p w14:paraId="492C4CE5">
            <w:pPr>
              <w:spacing w:line="360" w:lineRule="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4、当不需要板书传输到软件显示界面时，可以使用分屏功能，断开黑板与大屏的传输，使其成为互不影响的多块黑板。</w:t>
            </w:r>
          </w:p>
          <w:p w14:paraId="36F09FA1">
            <w:pPr>
              <w:spacing w:line="360" w:lineRule="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5、设置不同的软件端笔迹颜色，可实现老师对于教学重点的标识及批注；</w:t>
            </w:r>
          </w:p>
          <w:p w14:paraId="5A2443FF">
            <w:pPr>
              <w:spacing w:line="360" w:lineRule="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w:t>
            </w:r>
            <w:r>
              <w:rPr>
                <w:rFonts w:hint="eastAsia" w:ascii="仿宋" w:hAnsi="仿宋" w:eastAsia="仿宋" w:cs="仿宋"/>
                <w:color w:val="000000"/>
                <w:kern w:val="0"/>
                <w:sz w:val="21"/>
                <w:szCs w:val="21"/>
              </w:rPr>
              <w:t>6、保存后的板书可以上下翻页，也可以通过触摸快捷键，快速预览所有已经存储的板书内容。当点击光能黑板上的上下翻页时，仅对当前光能黑板的同传内容进行上下翻页，而不影响另一块光能黑板的同传界面。</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7、对板书的电子文档进行分享，可以存储在本地PC端，同时生成二维码，便于师生扫码获取。</w:t>
            </w:r>
          </w:p>
          <w:p w14:paraId="1A9F3E09">
            <w:pPr>
              <w:spacing w:line="360" w:lineRule="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8、可以对课堂的板书和讲解进行录制，生成视频文档，利于学生课后复习回放。</w:t>
            </w:r>
          </w:p>
          <w:p w14:paraId="3ED3F8C2">
            <w:pPr>
              <w:spacing w:line="360" w:lineRule="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w:t>
            </w:r>
            <w:r>
              <w:rPr>
                <w:rFonts w:hint="eastAsia" w:ascii="仿宋" w:hAnsi="仿宋" w:eastAsia="仿宋" w:cs="仿宋"/>
                <w:color w:val="000000"/>
                <w:kern w:val="0"/>
                <w:sz w:val="21"/>
                <w:szCs w:val="21"/>
              </w:rPr>
              <w:t>9、支持导入PPT课件，可以在同传软件上同时显示出PPT课件和板书的记录文本。</w:t>
            </w:r>
          </w:p>
          <w:p w14:paraId="06F67A69">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仿宋" w:hAnsi="仿宋" w:eastAsia="仿宋" w:cs="仿宋"/>
                <w:color w:val="auto"/>
                <w:sz w:val="21"/>
                <w:szCs w:val="21"/>
              </w:rPr>
            </w:pPr>
            <w:r>
              <w:rPr>
                <w:rFonts w:hint="eastAsia" w:ascii="仿宋" w:hAnsi="仿宋" w:eastAsia="仿宋" w:cs="仿宋"/>
                <w:color w:val="000000"/>
                <w:kern w:val="0"/>
                <w:sz w:val="21"/>
                <w:szCs w:val="21"/>
                <w:lang w:val="en-US" w:eastAsia="zh-CN"/>
              </w:rPr>
              <w:t>▲</w:t>
            </w:r>
            <w:r>
              <w:rPr>
                <w:rFonts w:hint="eastAsia" w:ascii="仿宋" w:hAnsi="仿宋" w:eastAsia="仿宋" w:cs="仿宋"/>
                <w:color w:val="000000"/>
                <w:kern w:val="0"/>
                <w:sz w:val="21"/>
                <w:szCs w:val="21"/>
              </w:rPr>
              <w:t>10、具备打印功能，可连接打印机将保存的板书文档传输至打印机打印，方便灵活。</w:t>
            </w:r>
          </w:p>
        </w:tc>
        <w:tc>
          <w:tcPr>
            <w:tcW w:w="470" w:type="pct"/>
            <w:noWrap/>
            <w:vAlign w:val="center"/>
          </w:tcPr>
          <w:p w14:paraId="18969995">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仿宋" w:hAnsi="仿宋" w:eastAsia="仿宋" w:cs="仿宋"/>
                <w:color w:val="000000"/>
                <w:kern w:val="0"/>
                <w:sz w:val="21"/>
                <w:szCs w:val="21"/>
                <w:lang w:val="en-US" w:eastAsia="zh-CN"/>
              </w:rPr>
            </w:pPr>
            <w:r>
              <w:rPr>
                <w:rFonts w:hint="eastAsia" w:ascii="仿宋" w:hAnsi="仿宋" w:eastAsia="仿宋" w:cs="仿宋"/>
                <w:sz w:val="21"/>
                <w:szCs w:val="21"/>
                <w:lang w:val="en-US" w:eastAsia="zh-CN" w:bidi="ar"/>
              </w:rPr>
              <w:t>工业</w:t>
            </w:r>
          </w:p>
        </w:tc>
      </w:tr>
      <w:tr w14:paraId="352DB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jc w:val="center"/>
        </w:trPr>
        <w:tc>
          <w:tcPr>
            <w:tcW w:w="361" w:type="pct"/>
            <w:noWrap/>
            <w:vAlign w:val="center"/>
          </w:tcPr>
          <w:p w14:paraId="0A559345">
            <w:pPr>
              <w:spacing w:line="400" w:lineRule="exact"/>
              <w:rPr>
                <w:rFonts w:ascii="仿宋" w:hAnsi="仿宋" w:eastAsia="仿宋" w:cs="仿宋"/>
                <w:color w:val="auto"/>
                <w:szCs w:val="21"/>
              </w:rPr>
            </w:pPr>
            <w:r>
              <w:rPr>
                <w:rFonts w:hint="eastAsia" w:ascii="仿宋" w:hAnsi="仿宋" w:eastAsia="仿宋" w:cs="仿宋"/>
                <w:color w:val="auto"/>
                <w:szCs w:val="21"/>
              </w:rPr>
              <w:t>3</w:t>
            </w:r>
          </w:p>
        </w:tc>
        <w:tc>
          <w:tcPr>
            <w:tcW w:w="758" w:type="pct"/>
            <w:gridSpan w:val="2"/>
            <w:noWrap/>
            <w:vAlign w:val="center"/>
          </w:tcPr>
          <w:p w14:paraId="678B3CF8">
            <w:pPr>
              <w:keepNext w:val="0"/>
              <w:keepLines w:val="0"/>
              <w:widowControl/>
              <w:suppressLineNumbers w:val="0"/>
              <w:jc w:val="both"/>
              <w:textAlignment w:val="center"/>
              <w:rPr>
                <w:rFonts w:hint="eastAsia" w:ascii="仿宋" w:hAnsi="仿宋" w:eastAsia="仿宋" w:cs="仿宋"/>
                <w:color w:val="auto"/>
                <w:sz w:val="21"/>
                <w:szCs w:val="21"/>
              </w:rPr>
            </w:pPr>
            <w:r>
              <w:rPr>
                <w:rFonts w:hint="eastAsia" w:ascii="仿宋" w:hAnsi="仿宋" w:eastAsia="仿宋" w:cs="仿宋"/>
                <w:color w:val="000000"/>
                <w:kern w:val="0"/>
                <w:sz w:val="21"/>
                <w:szCs w:val="21"/>
                <w:highlight w:val="none"/>
                <w:lang w:bidi="ar"/>
              </w:rPr>
              <w:t>多媒体</w:t>
            </w:r>
            <w:r>
              <w:rPr>
                <w:rFonts w:hint="eastAsia" w:ascii="仿宋" w:hAnsi="仿宋" w:eastAsia="仿宋" w:cs="仿宋"/>
                <w:color w:val="000000"/>
                <w:kern w:val="0"/>
                <w:sz w:val="21"/>
                <w:szCs w:val="21"/>
                <w:highlight w:val="none"/>
                <w:lang w:val="en-US" w:eastAsia="zh-CN" w:bidi="ar"/>
              </w:rPr>
              <w:t>显示</w:t>
            </w:r>
            <w:r>
              <w:rPr>
                <w:rFonts w:hint="eastAsia" w:ascii="仿宋" w:hAnsi="仿宋" w:eastAsia="仿宋" w:cs="仿宋"/>
                <w:color w:val="000000"/>
                <w:kern w:val="0"/>
                <w:sz w:val="21"/>
                <w:szCs w:val="21"/>
                <w:highlight w:val="none"/>
                <w:lang w:bidi="ar"/>
              </w:rPr>
              <w:t>设备</w:t>
            </w:r>
          </w:p>
        </w:tc>
        <w:tc>
          <w:tcPr>
            <w:tcW w:w="359" w:type="pct"/>
            <w:noWrap/>
            <w:vAlign w:val="center"/>
          </w:tcPr>
          <w:p w14:paraId="2DC5D472">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highlight w:val="none"/>
                <w:u w:val="none"/>
                <w:lang w:val="en-US" w:eastAsia="zh-CN" w:bidi="ar"/>
              </w:rPr>
              <w:t>22</w:t>
            </w:r>
          </w:p>
        </w:tc>
        <w:tc>
          <w:tcPr>
            <w:tcW w:w="569" w:type="pct"/>
            <w:noWrap/>
            <w:vAlign w:val="center"/>
          </w:tcPr>
          <w:p w14:paraId="0B82BE3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1"/>
                <w:szCs w:val="21"/>
              </w:rPr>
            </w:pPr>
            <w:r>
              <w:rPr>
                <w:rFonts w:hint="eastAsia" w:ascii="仿宋" w:hAnsi="仿宋" w:eastAsia="仿宋" w:cs="仿宋"/>
                <w:b w:val="0"/>
                <w:bCs w:val="0"/>
                <w:i w:val="0"/>
                <w:iCs w:val="0"/>
                <w:color w:val="auto"/>
                <w:kern w:val="0"/>
                <w:sz w:val="21"/>
                <w:szCs w:val="21"/>
                <w:highlight w:val="none"/>
                <w:u w:val="none"/>
                <w:lang w:val="en-US" w:eastAsia="zh-CN" w:bidi="ar"/>
              </w:rPr>
              <w:t>台</w:t>
            </w:r>
          </w:p>
        </w:tc>
        <w:tc>
          <w:tcPr>
            <w:tcW w:w="2479" w:type="pct"/>
            <w:noWrap/>
            <w:vAlign w:val="center"/>
          </w:tcPr>
          <w:p w14:paraId="1997A3CD">
            <w:pPr>
              <w:spacing w:line="360" w:lineRule="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一、整体设计要求：</w:t>
            </w:r>
            <w:r>
              <w:rPr>
                <w:rFonts w:hint="eastAsia" w:ascii="仿宋" w:hAnsi="仿宋" w:eastAsia="仿宋" w:cs="仿宋"/>
                <w:color w:val="000000"/>
                <w:kern w:val="0"/>
                <w:sz w:val="21"/>
                <w:szCs w:val="21"/>
                <w:lang w:val="en-US" w:eastAsia="zh-CN"/>
              </w:rPr>
              <w:br w:type="textWrapping"/>
            </w:r>
            <w:r>
              <w:rPr>
                <w:rFonts w:hint="eastAsia" w:ascii="仿宋" w:hAnsi="仿宋" w:eastAsia="仿宋" w:cs="仿宋"/>
                <w:color w:val="000000"/>
                <w:kern w:val="0"/>
                <w:sz w:val="21"/>
                <w:szCs w:val="21"/>
                <w:lang w:val="en-US" w:eastAsia="zh-CN"/>
              </w:rPr>
              <w:t>▲1、屏幕尺寸（对角线）≥98英寸，显示比例16:9，亮度≥400cd/m2，对比度≥4000：1，色域NTSC≥72%,可视角度≥178°，分辨率3840×2160，屏幕显示灰度等级≥128灰阶。</w:t>
            </w:r>
            <w:r>
              <w:rPr>
                <w:rFonts w:hint="eastAsia" w:ascii="仿宋" w:hAnsi="仿宋" w:eastAsia="仿宋" w:cs="仿宋"/>
                <w:color w:val="000000"/>
                <w:kern w:val="0"/>
                <w:sz w:val="21"/>
                <w:szCs w:val="21"/>
                <w:lang w:val="en-US" w:eastAsia="zh-CN"/>
              </w:rPr>
              <w:br w:type="textWrapping"/>
            </w:r>
            <w:r>
              <w:rPr>
                <w:rFonts w:hint="eastAsia" w:ascii="仿宋" w:hAnsi="仿宋" w:eastAsia="仿宋" w:cs="仿宋"/>
                <w:color w:val="000000"/>
                <w:kern w:val="0"/>
                <w:sz w:val="21"/>
                <w:szCs w:val="21"/>
                <w:lang w:val="en-US" w:eastAsia="zh-CN"/>
              </w:rPr>
              <w:t>2、整机表面钢化玻璃：表面配备防眩光、防划伤、防撞钢化玻保护，钢化玻璃表面硬度≥9H。</w:t>
            </w:r>
            <w:r>
              <w:rPr>
                <w:rFonts w:hint="eastAsia" w:ascii="仿宋" w:hAnsi="仿宋" w:eastAsia="仿宋" w:cs="仿宋"/>
                <w:color w:val="000000"/>
                <w:kern w:val="0"/>
                <w:sz w:val="21"/>
                <w:szCs w:val="21"/>
                <w:lang w:val="en-US" w:eastAsia="zh-CN"/>
              </w:rPr>
              <w:br w:type="textWrapping"/>
            </w:r>
            <w:r>
              <w:rPr>
                <w:rFonts w:hint="eastAsia" w:ascii="仿宋" w:hAnsi="仿宋" w:eastAsia="仿宋" w:cs="仿宋"/>
                <w:color w:val="000000"/>
                <w:kern w:val="0"/>
                <w:sz w:val="21"/>
                <w:szCs w:val="21"/>
                <w:lang w:val="en-US" w:eastAsia="zh-CN"/>
              </w:rPr>
              <w:t>3、液晶屏采用屏幕全贴合技术，钢化玻璃和液晶显示层无间隙密贴合，没有中间涂层，无水雾/水汽；减少显示面板与玻璃间的偏光、散射，画面显示更加清晰通透。</w:t>
            </w:r>
            <w:r>
              <w:rPr>
                <w:rFonts w:hint="eastAsia" w:ascii="仿宋" w:hAnsi="仿宋" w:eastAsia="仿宋" w:cs="仿宋"/>
                <w:color w:val="000000"/>
                <w:kern w:val="0"/>
                <w:sz w:val="21"/>
                <w:szCs w:val="21"/>
                <w:lang w:val="en-US" w:eastAsia="zh-CN"/>
              </w:rPr>
              <w:br w:type="textWrapping"/>
            </w:r>
            <w:r>
              <w:rPr>
                <w:rFonts w:hint="eastAsia" w:ascii="仿宋" w:hAnsi="仿宋" w:eastAsia="仿宋" w:cs="仿宋"/>
                <w:color w:val="000000"/>
                <w:kern w:val="0"/>
                <w:sz w:val="21"/>
                <w:szCs w:val="21"/>
                <w:lang w:val="en-US" w:eastAsia="zh-CN"/>
              </w:rPr>
              <w:t>4、整机内置非独立外扩展的6个阵列麦克风，≥8米有效拾音距离，麦克风支持系统自动识别，无论是内置安卓及windows系统，还是外接的电脑，都可以直接调用该麦克风，方便不同教学场景使用。</w:t>
            </w:r>
            <w:r>
              <w:rPr>
                <w:rFonts w:hint="eastAsia" w:ascii="仿宋" w:hAnsi="仿宋" w:eastAsia="仿宋" w:cs="仿宋"/>
                <w:color w:val="000000"/>
                <w:kern w:val="0"/>
                <w:sz w:val="21"/>
                <w:szCs w:val="21"/>
                <w:lang w:val="en-US" w:eastAsia="zh-CN"/>
              </w:rPr>
              <w:br w:type="textWrapping"/>
            </w:r>
            <w:r>
              <w:rPr>
                <w:rFonts w:hint="eastAsia" w:ascii="仿宋" w:hAnsi="仿宋" w:eastAsia="仿宋" w:cs="仿宋"/>
                <w:color w:val="000000"/>
                <w:kern w:val="0"/>
                <w:sz w:val="21"/>
                <w:szCs w:val="21"/>
                <w:lang w:val="en-US" w:eastAsia="zh-CN"/>
              </w:rPr>
              <w:t>5、整机内置一体化音响：前朝向4个中高音发声单元扬声器，功率≥30W。</w:t>
            </w:r>
            <w:r>
              <w:rPr>
                <w:rFonts w:hint="eastAsia" w:ascii="仿宋" w:hAnsi="仿宋" w:eastAsia="仿宋" w:cs="仿宋"/>
                <w:color w:val="000000"/>
                <w:kern w:val="0"/>
                <w:sz w:val="21"/>
                <w:szCs w:val="21"/>
                <w:lang w:val="en-US" w:eastAsia="zh-CN"/>
              </w:rPr>
              <w:br w:type="textWrapping"/>
            </w:r>
            <w:r>
              <w:rPr>
                <w:rFonts w:hint="eastAsia" w:ascii="仿宋" w:hAnsi="仿宋" w:eastAsia="仿宋" w:cs="仿宋"/>
                <w:color w:val="000000"/>
                <w:kern w:val="0"/>
                <w:sz w:val="21"/>
                <w:szCs w:val="21"/>
                <w:lang w:val="en-US" w:eastAsia="zh-CN"/>
              </w:rPr>
              <w:t>6、为方便教学使用，整机正面≥1路全功能通道USB Type-C接口，可实现音视频、触控输入。≥1路USB3.0，支持双系统自适应。</w:t>
            </w:r>
            <w:r>
              <w:rPr>
                <w:rFonts w:hint="eastAsia" w:ascii="仿宋" w:hAnsi="仿宋" w:eastAsia="仿宋" w:cs="仿宋"/>
                <w:color w:val="000000"/>
                <w:kern w:val="0"/>
                <w:sz w:val="21"/>
                <w:szCs w:val="21"/>
                <w:lang w:val="en-US" w:eastAsia="zh-CN"/>
              </w:rPr>
              <w:br w:type="textWrapping"/>
            </w:r>
            <w:r>
              <w:rPr>
                <w:rFonts w:hint="eastAsia" w:ascii="仿宋" w:hAnsi="仿宋" w:eastAsia="仿宋" w:cs="仿宋"/>
                <w:color w:val="000000"/>
                <w:kern w:val="0"/>
                <w:sz w:val="21"/>
                <w:szCs w:val="21"/>
                <w:lang w:val="en-US" w:eastAsia="zh-CN"/>
              </w:rPr>
              <w:t>7、在外接电脑设备时，支持通过一根连接线，外接电脑直接识别平板上的内置摄像头及麦克风，以及插在平板任意USB接口上（除内置电脑外）的U盘、智能翻页笔、无线键鼠等USB设备；</w:t>
            </w:r>
            <w:r>
              <w:rPr>
                <w:rFonts w:hint="eastAsia" w:ascii="仿宋" w:hAnsi="仿宋" w:eastAsia="仿宋" w:cs="仿宋"/>
                <w:color w:val="000000"/>
                <w:kern w:val="0"/>
                <w:sz w:val="21"/>
                <w:szCs w:val="21"/>
                <w:lang w:val="en-US" w:eastAsia="zh-CN"/>
              </w:rPr>
              <w:br w:type="textWrapping"/>
            </w:r>
            <w:r>
              <w:rPr>
                <w:rFonts w:hint="eastAsia" w:ascii="仿宋" w:hAnsi="仿宋" w:eastAsia="仿宋" w:cs="仿宋"/>
                <w:color w:val="000000"/>
                <w:kern w:val="0"/>
                <w:sz w:val="21"/>
                <w:szCs w:val="21"/>
                <w:lang w:val="en-US" w:eastAsia="zh-CN"/>
              </w:rPr>
              <w:t>8、整机输入端子：RJ45≥1路、USB3.0 （双系统自适应）≥2路、HDMI≥2路、Touch USB≥1路、USB2.0≥1路、Type-C≥1路。整机输出端子： SPDIF OUT≥1路。</w:t>
            </w:r>
            <w:r>
              <w:rPr>
                <w:rFonts w:hint="eastAsia" w:ascii="仿宋" w:hAnsi="仿宋" w:eastAsia="仿宋" w:cs="仿宋"/>
                <w:color w:val="000000"/>
                <w:kern w:val="0"/>
                <w:sz w:val="21"/>
                <w:szCs w:val="21"/>
                <w:lang w:val="en-US" w:eastAsia="zh-CN"/>
              </w:rPr>
              <w:br w:type="textWrapping"/>
            </w:r>
            <w:r>
              <w:rPr>
                <w:rFonts w:hint="eastAsia" w:ascii="仿宋" w:hAnsi="仿宋" w:eastAsia="仿宋" w:cs="仿宋"/>
                <w:color w:val="000000"/>
                <w:kern w:val="0"/>
                <w:sz w:val="21"/>
                <w:szCs w:val="21"/>
                <w:lang w:val="en-US" w:eastAsia="zh-CN"/>
              </w:rPr>
              <w:t>9、整机内置双频双通道WIFI（上网5G+2.4G+BT,热点5G+2.4G）, WIFI模块支持独立拆卸，方便保密性场景使用。</w:t>
            </w:r>
            <w:r>
              <w:rPr>
                <w:rFonts w:hint="eastAsia" w:ascii="仿宋" w:hAnsi="仿宋" w:eastAsia="仿宋" w:cs="仿宋"/>
                <w:color w:val="000000"/>
                <w:kern w:val="0"/>
                <w:sz w:val="21"/>
                <w:szCs w:val="21"/>
                <w:lang w:val="en-US" w:eastAsia="zh-CN"/>
              </w:rPr>
              <w:br w:type="textWrapping"/>
            </w:r>
            <w:r>
              <w:rPr>
                <w:rFonts w:hint="eastAsia" w:ascii="仿宋" w:hAnsi="仿宋" w:eastAsia="仿宋" w:cs="仿宋"/>
                <w:color w:val="000000"/>
                <w:kern w:val="0"/>
                <w:sz w:val="21"/>
                <w:szCs w:val="21"/>
                <w:lang w:val="en-US" w:eastAsia="zh-CN"/>
              </w:rPr>
              <w:t>10、只需连接一根网线，即可实现 OPS电脑系统（Windows 系统；统信系统、麒麟系统等国产系统）及整机系统同时使用有线网络联网。</w:t>
            </w:r>
            <w:r>
              <w:rPr>
                <w:rFonts w:hint="eastAsia" w:ascii="仿宋" w:hAnsi="仿宋" w:eastAsia="仿宋" w:cs="仿宋"/>
                <w:color w:val="000000"/>
                <w:kern w:val="0"/>
                <w:sz w:val="21"/>
                <w:szCs w:val="21"/>
                <w:lang w:val="en-US" w:eastAsia="zh-CN"/>
              </w:rPr>
              <w:br w:type="textWrapping"/>
            </w:r>
            <w:r>
              <w:rPr>
                <w:rFonts w:hint="eastAsia" w:ascii="仿宋" w:hAnsi="仿宋" w:eastAsia="仿宋" w:cs="仿宋"/>
                <w:color w:val="000000"/>
                <w:kern w:val="0"/>
                <w:sz w:val="21"/>
                <w:szCs w:val="21"/>
                <w:lang w:val="en-US" w:eastAsia="zh-CN"/>
              </w:rPr>
              <w:t>▲11、全通道速记板：整机支持在任意界面下通过手势滑动调出速记板进行即时书写，快速记录书写内容，并与白板打通，实现内容无缝导入。</w:t>
            </w:r>
          </w:p>
          <w:p w14:paraId="1C967E75">
            <w:pPr>
              <w:spacing w:line="360" w:lineRule="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12、全通道批注：整机在任意界面下都支持书写擦除功能，书写笔支持10种以上颜色选择，批注内容支持手势擦除、一键清屏，笔迹粗细与板擦的大小可调节。支持多画面连续批注，批注内容支持自动保存，查看历史批注内容，批注笔迹支持二次编辑；全通道批注分享：支持一键存储到个人U盘、支持通过扫描二维码、支持以发送邮件的方式进行内容分享。</w:t>
            </w:r>
            <w:r>
              <w:rPr>
                <w:rFonts w:hint="eastAsia" w:ascii="仿宋" w:hAnsi="仿宋" w:eastAsia="仿宋" w:cs="仿宋"/>
                <w:color w:val="000000"/>
                <w:kern w:val="0"/>
                <w:sz w:val="21"/>
                <w:szCs w:val="21"/>
                <w:lang w:val="en-US" w:eastAsia="zh-CN"/>
              </w:rPr>
              <w:br w:type="textWrapping"/>
            </w:r>
            <w:r>
              <w:rPr>
                <w:rFonts w:hint="eastAsia" w:ascii="仿宋" w:hAnsi="仿宋" w:eastAsia="仿宋" w:cs="仿宋"/>
                <w:color w:val="000000"/>
                <w:kern w:val="0"/>
                <w:sz w:val="21"/>
                <w:szCs w:val="21"/>
                <w:lang w:val="en-US" w:eastAsia="zh-CN"/>
              </w:rPr>
              <w:t>13、信源识别自动开机功能：整机处于关机通电状态下，接入HDMI信号后，整机可自动开机。</w:t>
            </w:r>
            <w:r>
              <w:rPr>
                <w:rFonts w:hint="eastAsia" w:ascii="仿宋" w:hAnsi="仿宋" w:eastAsia="仿宋" w:cs="仿宋"/>
                <w:color w:val="000000"/>
                <w:kern w:val="0"/>
                <w:sz w:val="21"/>
                <w:szCs w:val="21"/>
                <w:lang w:val="en-US" w:eastAsia="zh-CN"/>
              </w:rPr>
              <w:br w:type="textWrapping"/>
            </w:r>
            <w:r>
              <w:rPr>
                <w:rFonts w:hint="eastAsia" w:ascii="仿宋" w:hAnsi="仿宋" w:eastAsia="仿宋" w:cs="仿宋"/>
                <w:color w:val="000000"/>
                <w:kern w:val="0"/>
                <w:sz w:val="21"/>
                <w:szCs w:val="21"/>
                <w:lang w:val="en-US" w:eastAsia="zh-CN"/>
              </w:rPr>
              <w:t>▲14、整机具备物理光学低蓝光护眼功能，内置低蓝光处理芯片，不需任何软件算法配合即可实现物理护眼功能，同时保证屏幕亮度及色温无衰减。整机采用硬件低蓝光背光技术，在源头减少有害蓝光波段能量，蓝光占比（有害蓝光415～455nm能量综合）/（整体蓝光400～500能量综合）＜30%，低蓝光保护显示不偏色、不泛黄。15、主界面显示组件可以自定义，包括网络状态、自动隐藏侧边栏、灵感速记板，可以设置上述组件是否在主界面显示。</w:t>
            </w:r>
          </w:p>
          <w:p w14:paraId="3E29DDF8">
            <w:pPr>
              <w:spacing w:line="360" w:lineRule="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▲16、侧边栏包含不少于11种常见的教学工具，包括：批注、多任务、录屏、截屏、相机、计时器、投票器、计算器、触控锁、本地扩音、屏幕下移。用户可以根据需求自行更换。</w:t>
            </w:r>
            <w:r>
              <w:rPr>
                <w:rFonts w:hint="eastAsia" w:ascii="仿宋" w:hAnsi="仿宋" w:eastAsia="仿宋" w:cs="仿宋"/>
                <w:color w:val="000000"/>
                <w:kern w:val="0"/>
                <w:sz w:val="21"/>
                <w:szCs w:val="21"/>
                <w:lang w:val="en-US" w:eastAsia="zh-CN"/>
              </w:rPr>
              <w:br w:type="textWrapping"/>
            </w:r>
            <w:r>
              <w:rPr>
                <w:rFonts w:hint="eastAsia" w:ascii="仿宋" w:hAnsi="仿宋" w:eastAsia="仿宋" w:cs="仿宋"/>
                <w:color w:val="000000"/>
                <w:kern w:val="0"/>
                <w:sz w:val="21"/>
                <w:szCs w:val="21"/>
                <w:lang w:val="en-US" w:eastAsia="zh-CN"/>
              </w:rPr>
              <w:t>▲17、屏幕下移：为便于授课操作，在Windows和整机系统下，可通过功能键或手势实现一键屏幕下移功能，将全屏窗口整体缩小1/3后在屏幕底部居中显示，不会出现授课内容被遮挡的情况，同时老师可正常触控操作，并且支持点击空白区域恢复全屏窗口至原有大小。</w:t>
            </w:r>
          </w:p>
          <w:p w14:paraId="5338AD36">
            <w:pPr>
              <w:numPr>
                <w:ilvl w:val="0"/>
                <w:numId w:val="0"/>
              </w:numPr>
              <w:spacing w:line="360" w:lineRule="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bidi="ar-SA"/>
              </w:rPr>
              <w:t>18、</w:t>
            </w:r>
            <w:r>
              <w:rPr>
                <w:rFonts w:hint="eastAsia" w:ascii="仿宋" w:hAnsi="仿宋" w:eastAsia="仿宋" w:cs="仿宋"/>
                <w:color w:val="000000"/>
                <w:kern w:val="0"/>
                <w:sz w:val="21"/>
                <w:szCs w:val="21"/>
                <w:lang w:val="en-US" w:eastAsia="zh-CN"/>
              </w:rPr>
              <w:t>为方便维修，在不拆开整机的情况下，可以方便的对WIFI、蓝牙模组进行维护或更换。</w:t>
            </w:r>
          </w:p>
          <w:p w14:paraId="6FC1CBCE">
            <w:pPr>
              <w:numPr>
                <w:ilvl w:val="0"/>
                <w:numId w:val="0"/>
              </w:numPr>
              <w:spacing w:line="360" w:lineRule="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▲19、提供配套的云上计算、存储和网络服务，包含4C8G</w:t>
            </w:r>
          </w:p>
          <w:p w14:paraId="61CC41DF">
            <w:pPr>
              <w:numPr>
                <w:ilvl w:val="0"/>
                <w:numId w:val="0"/>
              </w:numPr>
              <w:spacing w:line="360" w:lineRule="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边缘云主机、100G系统盘、1024G数据盘及5M公网带宽。</w:t>
            </w:r>
          </w:p>
          <w:p w14:paraId="3DCFD74C">
            <w:pPr>
              <w:numPr>
                <w:ilvl w:val="0"/>
                <w:numId w:val="0"/>
              </w:numPr>
              <w:spacing w:line="360" w:lineRule="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bidi="ar-SA"/>
              </w:rPr>
              <w:t>二、</w:t>
            </w:r>
            <w:r>
              <w:rPr>
                <w:rFonts w:hint="eastAsia" w:ascii="仿宋" w:hAnsi="仿宋" w:eastAsia="仿宋" w:cs="仿宋"/>
                <w:color w:val="000000"/>
                <w:kern w:val="0"/>
                <w:sz w:val="21"/>
                <w:szCs w:val="21"/>
                <w:lang w:val="en-US" w:eastAsia="zh-CN"/>
              </w:rPr>
              <w:t xml:space="preserve">触控功能： </w:t>
            </w:r>
            <w:r>
              <w:rPr>
                <w:rFonts w:hint="eastAsia" w:ascii="仿宋" w:hAnsi="仿宋" w:eastAsia="仿宋" w:cs="仿宋"/>
                <w:color w:val="000000"/>
                <w:kern w:val="0"/>
                <w:sz w:val="21"/>
                <w:szCs w:val="21"/>
                <w:lang w:val="en-US" w:eastAsia="zh-CN"/>
              </w:rPr>
              <w:br w:type="textWrapping"/>
            </w:r>
            <w:r>
              <w:rPr>
                <w:rFonts w:hint="eastAsia" w:ascii="仿宋" w:hAnsi="仿宋" w:eastAsia="仿宋" w:cs="仿宋"/>
                <w:color w:val="000000"/>
                <w:kern w:val="0"/>
                <w:sz w:val="21"/>
                <w:szCs w:val="21"/>
                <w:lang w:val="en-US" w:eastAsia="zh-CN"/>
              </w:rPr>
              <w:t>1、采用高精度红外触控技术：Windows和Android系统均支持20点触控和同时书写。</w:t>
            </w:r>
            <w:r>
              <w:rPr>
                <w:rFonts w:hint="eastAsia" w:ascii="仿宋" w:hAnsi="仿宋" w:eastAsia="仿宋" w:cs="仿宋"/>
                <w:color w:val="000000"/>
                <w:kern w:val="0"/>
                <w:sz w:val="21"/>
                <w:szCs w:val="21"/>
                <w:lang w:val="en-US" w:eastAsia="zh-CN"/>
              </w:rPr>
              <w:br w:type="textWrapping"/>
            </w:r>
            <w:r>
              <w:rPr>
                <w:rFonts w:hint="eastAsia" w:ascii="仿宋" w:hAnsi="仿宋" w:eastAsia="仿宋" w:cs="仿宋"/>
                <w:color w:val="000000"/>
                <w:kern w:val="0"/>
                <w:sz w:val="21"/>
                <w:szCs w:val="21"/>
                <w:lang w:val="en-US" w:eastAsia="zh-CN"/>
              </w:rPr>
              <w:t>2、触控响应时间：首点响应时间速度≤4ms，连续点响应时间≤2ms，书写响应速度≤8ms。</w:t>
            </w:r>
            <w:r>
              <w:rPr>
                <w:rFonts w:hint="eastAsia" w:ascii="仿宋" w:hAnsi="仿宋" w:eastAsia="仿宋" w:cs="仿宋"/>
                <w:color w:val="000000"/>
                <w:kern w:val="0"/>
                <w:sz w:val="21"/>
                <w:szCs w:val="21"/>
                <w:lang w:val="en-US" w:eastAsia="zh-CN"/>
              </w:rPr>
              <w:br w:type="textWrapping"/>
            </w:r>
            <w:r>
              <w:rPr>
                <w:rFonts w:hint="eastAsia" w:ascii="仿宋" w:hAnsi="仿宋" w:eastAsia="仿宋" w:cs="仿宋"/>
                <w:color w:val="000000"/>
                <w:kern w:val="0"/>
                <w:sz w:val="21"/>
                <w:szCs w:val="21"/>
                <w:lang w:val="en-US" w:eastAsia="zh-CN"/>
              </w:rPr>
              <w:t>3、定位精度：±1mm。</w:t>
            </w:r>
            <w:r>
              <w:rPr>
                <w:rFonts w:hint="eastAsia" w:ascii="仿宋" w:hAnsi="仿宋" w:eastAsia="仿宋" w:cs="仿宋"/>
                <w:color w:val="000000"/>
                <w:kern w:val="0"/>
                <w:sz w:val="21"/>
                <w:szCs w:val="21"/>
                <w:lang w:val="en-US" w:eastAsia="zh-CN"/>
              </w:rPr>
              <w:br w:type="textWrapping"/>
            </w:r>
            <w:r>
              <w:rPr>
                <w:rFonts w:hint="eastAsia" w:ascii="仿宋" w:hAnsi="仿宋" w:eastAsia="仿宋" w:cs="仿宋"/>
                <w:color w:val="000000"/>
                <w:kern w:val="0"/>
                <w:sz w:val="21"/>
                <w:szCs w:val="21"/>
                <w:lang w:val="en-US" w:eastAsia="zh-CN"/>
              </w:rPr>
              <w:t>4、最小触控识别：2mm（最大直径）。</w:t>
            </w:r>
            <w:r>
              <w:rPr>
                <w:rFonts w:hint="eastAsia" w:ascii="仿宋" w:hAnsi="仿宋" w:eastAsia="仿宋" w:cs="仿宋"/>
                <w:color w:val="000000"/>
                <w:kern w:val="0"/>
                <w:sz w:val="21"/>
                <w:szCs w:val="21"/>
                <w:lang w:val="en-US" w:eastAsia="zh-CN"/>
              </w:rPr>
              <w:br w:type="textWrapping"/>
            </w:r>
            <w:r>
              <w:rPr>
                <w:rFonts w:hint="eastAsia" w:ascii="仿宋" w:hAnsi="仿宋" w:eastAsia="仿宋" w:cs="仿宋"/>
                <w:color w:val="000000"/>
                <w:kern w:val="0"/>
                <w:sz w:val="21"/>
                <w:szCs w:val="21"/>
                <w:lang w:val="en-US" w:eastAsia="zh-CN"/>
              </w:rPr>
              <w:t>5、触控分辨率：32768×32768。</w:t>
            </w:r>
            <w:r>
              <w:rPr>
                <w:rFonts w:hint="eastAsia" w:ascii="仿宋" w:hAnsi="仿宋" w:eastAsia="仿宋" w:cs="仿宋"/>
                <w:color w:val="000000"/>
                <w:kern w:val="0"/>
                <w:sz w:val="21"/>
                <w:szCs w:val="21"/>
                <w:lang w:val="en-US" w:eastAsia="zh-CN"/>
              </w:rPr>
              <w:br w:type="textWrapping"/>
            </w:r>
            <w:r>
              <w:rPr>
                <w:rFonts w:hint="eastAsia" w:ascii="仿宋" w:hAnsi="仿宋" w:eastAsia="仿宋" w:cs="仿宋"/>
                <w:color w:val="000000"/>
                <w:kern w:val="0"/>
                <w:sz w:val="21"/>
                <w:szCs w:val="21"/>
                <w:lang w:val="en-US" w:eastAsia="zh-CN"/>
              </w:rPr>
              <w:t>6、触控高度：整机触控屏幕有效识别高度≤2.5mm，即触摸物体距离玻璃外表面高度≤2.5mm时，触控屏识别为点击操作。</w:t>
            </w:r>
            <w:r>
              <w:rPr>
                <w:rFonts w:hint="eastAsia" w:ascii="仿宋" w:hAnsi="仿宋" w:eastAsia="仿宋" w:cs="仿宋"/>
                <w:color w:val="000000"/>
                <w:kern w:val="0"/>
                <w:sz w:val="21"/>
                <w:szCs w:val="21"/>
                <w:lang w:val="en-US" w:eastAsia="zh-CN"/>
              </w:rPr>
              <w:br w:type="textWrapping"/>
            </w:r>
            <w:r>
              <w:rPr>
                <w:rFonts w:hint="eastAsia" w:ascii="仿宋" w:hAnsi="仿宋" w:eastAsia="仿宋" w:cs="仿宋"/>
                <w:color w:val="000000"/>
                <w:kern w:val="0"/>
                <w:sz w:val="21"/>
                <w:szCs w:val="21"/>
                <w:lang w:val="en-US" w:eastAsia="zh-CN"/>
              </w:rPr>
              <w:t>7、抗光强度：具备抗强光干扰功能，在照度不小于140K 1ux环境下可以正常工作。</w:t>
            </w:r>
            <w:r>
              <w:rPr>
                <w:rFonts w:hint="eastAsia" w:ascii="仿宋" w:hAnsi="仿宋" w:eastAsia="仿宋" w:cs="仿宋"/>
                <w:color w:val="000000"/>
                <w:kern w:val="0"/>
                <w:sz w:val="21"/>
                <w:szCs w:val="21"/>
                <w:lang w:val="en-US" w:eastAsia="zh-CN"/>
              </w:rPr>
              <w:br w:type="textWrapping"/>
            </w:r>
            <w:r>
              <w:rPr>
                <w:rFonts w:hint="eastAsia" w:ascii="仿宋" w:hAnsi="仿宋" w:eastAsia="仿宋" w:cs="仿宋"/>
                <w:color w:val="000000"/>
                <w:kern w:val="0"/>
                <w:sz w:val="21"/>
                <w:szCs w:val="21"/>
                <w:lang w:val="en-US" w:eastAsia="zh-CN"/>
              </w:rPr>
              <w:t>8、防死点（触控遮挡）：为方便使用，触控屏具有防遮挡功能，在整机最多两条整边都遮挡的情况下，仍然支持触控和书写。</w:t>
            </w:r>
            <w:r>
              <w:rPr>
                <w:rFonts w:hint="eastAsia" w:ascii="仿宋" w:hAnsi="仿宋" w:eastAsia="仿宋" w:cs="仿宋"/>
                <w:color w:val="000000"/>
                <w:kern w:val="0"/>
                <w:sz w:val="21"/>
                <w:szCs w:val="21"/>
                <w:lang w:val="en-US" w:eastAsia="zh-CN"/>
              </w:rPr>
              <w:br w:type="textWrapping"/>
            </w:r>
            <w:r>
              <w:rPr>
                <w:rFonts w:hint="eastAsia" w:ascii="仿宋" w:hAnsi="仿宋" w:eastAsia="仿宋" w:cs="仿宋"/>
                <w:color w:val="000000"/>
                <w:kern w:val="0"/>
                <w:sz w:val="21"/>
                <w:szCs w:val="21"/>
                <w:lang w:val="en-US" w:eastAsia="zh-CN"/>
              </w:rPr>
              <w:t>三、嵌入式系统功能配置：</w:t>
            </w:r>
            <w:r>
              <w:rPr>
                <w:rFonts w:hint="eastAsia" w:ascii="仿宋" w:hAnsi="仿宋" w:eastAsia="仿宋" w:cs="仿宋"/>
                <w:color w:val="000000"/>
                <w:kern w:val="0"/>
                <w:sz w:val="21"/>
                <w:szCs w:val="21"/>
                <w:lang w:val="en-US" w:eastAsia="zh-CN"/>
              </w:rPr>
              <w:br w:type="textWrapping"/>
            </w:r>
            <w:r>
              <w:rPr>
                <w:rFonts w:hint="eastAsia" w:ascii="仿宋" w:hAnsi="仿宋" w:eastAsia="仿宋" w:cs="仿宋"/>
                <w:color w:val="000000"/>
                <w:kern w:val="0"/>
                <w:sz w:val="21"/>
                <w:szCs w:val="21"/>
                <w:lang w:val="en-US" w:eastAsia="zh-CN"/>
              </w:rPr>
              <w:t>1、系统配置：系统版本≥Android 9.0，内存（RAM）≥4G，存储空间（ROM）≥32G。</w:t>
            </w:r>
          </w:p>
          <w:p w14:paraId="78B96B48">
            <w:pPr>
              <w:keepNext w:val="0"/>
              <w:keepLines w:val="0"/>
              <w:pageBreakBefore w:val="0"/>
              <w:numPr>
                <w:ilvl w:val="0"/>
                <w:numId w:val="0"/>
              </w:numPr>
              <w:kinsoku/>
              <w:wordWrap/>
              <w:overflowPunct/>
              <w:topLinePunct w:val="0"/>
              <w:autoSpaceDE/>
              <w:autoSpaceDN/>
              <w:bidi w:val="0"/>
              <w:adjustRightInd/>
              <w:snapToGrid/>
              <w:spacing w:line="470" w:lineRule="exact"/>
              <w:jc w:val="both"/>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lang w:val="en-US" w:eastAsia="zh-CN"/>
              </w:rPr>
              <w:t>四、设备</w:t>
            </w:r>
            <w:r>
              <w:rPr>
                <w:rFonts w:hint="eastAsia" w:ascii="仿宋" w:hAnsi="仿宋" w:eastAsia="仿宋" w:cs="仿宋"/>
                <w:color w:val="000000"/>
                <w:kern w:val="0"/>
                <w:sz w:val="21"/>
                <w:szCs w:val="21"/>
                <w:highlight w:val="none"/>
                <w:lang w:val="en-US" w:eastAsia="zh-CN" w:bidi="ar"/>
              </w:rPr>
              <w:t>安全防护要求：</w:t>
            </w:r>
          </w:p>
          <w:p w14:paraId="5FA36FCC">
            <w:pPr>
              <w:keepNext w:val="0"/>
              <w:keepLines w:val="0"/>
              <w:pageBreakBefore w:val="0"/>
              <w:kinsoku/>
              <w:wordWrap/>
              <w:overflowPunct/>
              <w:topLinePunct w:val="0"/>
              <w:autoSpaceDE/>
              <w:autoSpaceDN/>
              <w:bidi w:val="0"/>
              <w:adjustRightInd/>
              <w:snapToGrid/>
              <w:spacing w:line="470" w:lineRule="exact"/>
              <w:jc w:val="both"/>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 xml:space="preserve">1. </w:t>
            </w:r>
            <w:r>
              <w:rPr>
                <w:rFonts w:hint="eastAsia" w:ascii="仿宋" w:hAnsi="仿宋" w:eastAsia="仿宋" w:cs="仿宋"/>
                <w:color w:val="000000"/>
                <w:kern w:val="0"/>
                <w:sz w:val="21"/>
                <w:szCs w:val="21"/>
                <w:lang w:val="en-US" w:eastAsia="zh-CN"/>
              </w:rPr>
              <w:t>▲</w:t>
            </w:r>
            <w:r>
              <w:rPr>
                <w:rFonts w:hint="eastAsia" w:ascii="仿宋" w:hAnsi="仿宋" w:eastAsia="仿宋" w:cs="仿宋"/>
                <w:color w:val="000000"/>
                <w:kern w:val="0"/>
                <w:sz w:val="21"/>
                <w:szCs w:val="21"/>
                <w:highlight w:val="none"/>
                <w:lang w:val="en-US" w:eastAsia="zh-CN" w:bidi="ar"/>
              </w:rPr>
              <w:t>软件形式交付，包含控制中心和客户端软件。控制中心能够实现对客户端的集中管理，包括终端统一部署、策略配置、任务分发、集中监控、日志报表等功能；支持根据客户端点数的增加进行横向扩展；具备防病毒、补丁管理、主机防火墙等功能，提供三年的特征库升级及维保服务。</w:t>
            </w:r>
          </w:p>
          <w:p w14:paraId="7235763F">
            <w:pPr>
              <w:keepNext w:val="0"/>
              <w:keepLines w:val="0"/>
              <w:pageBreakBefore w:val="0"/>
              <w:kinsoku/>
              <w:wordWrap/>
              <w:overflowPunct/>
              <w:topLinePunct w:val="0"/>
              <w:autoSpaceDE/>
              <w:autoSpaceDN/>
              <w:bidi w:val="0"/>
              <w:adjustRightInd/>
              <w:snapToGrid/>
              <w:spacing w:line="470" w:lineRule="exact"/>
              <w:jc w:val="both"/>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 xml:space="preserve">2. </w:t>
            </w:r>
            <w:r>
              <w:rPr>
                <w:rFonts w:hint="eastAsia" w:ascii="仿宋" w:hAnsi="仿宋" w:eastAsia="仿宋" w:cs="仿宋"/>
                <w:color w:val="000000"/>
                <w:kern w:val="0"/>
                <w:sz w:val="21"/>
                <w:szCs w:val="21"/>
                <w:lang w:val="en-US" w:eastAsia="zh-CN"/>
              </w:rPr>
              <w:t>▲</w:t>
            </w:r>
            <w:r>
              <w:rPr>
                <w:rFonts w:hint="eastAsia" w:ascii="仿宋" w:hAnsi="仿宋" w:eastAsia="仿宋" w:cs="仿宋"/>
                <w:color w:val="000000"/>
                <w:kern w:val="0"/>
                <w:sz w:val="21"/>
                <w:szCs w:val="21"/>
                <w:highlight w:val="none"/>
                <w:lang w:val="en-US" w:eastAsia="zh-CN" w:bidi="ar"/>
              </w:rPr>
              <w:t>客户端支持安装Windows XP_SP3及以上/Windows Vista/Windows 7/Windows 8/Windows 10。</w:t>
            </w:r>
          </w:p>
          <w:p w14:paraId="003F1DAB">
            <w:pPr>
              <w:keepNext w:val="0"/>
              <w:keepLines w:val="0"/>
              <w:pageBreakBefore w:val="0"/>
              <w:kinsoku/>
              <w:wordWrap/>
              <w:overflowPunct/>
              <w:topLinePunct w:val="0"/>
              <w:autoSpaceDE/>
              <w:autoSpaceDN/>
              <w:bidi w:val="0"/>
              <w:adjustRightInd/>
              <w:snapToGrid/>
              <w:spacing w:line="470" w:lineRule="exact"/>
              <w:jc w:val="both"/>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3. 支持终端用户和管理员是一套账号管理系统，简化账号管理复杂度，一个账号解决所有身份认证，既可以用于终端登录，也可以用于管理管理中心。</w:t>
            </w:r>
          </w:p>
          <w:p w14:paraId="6AE92934">
            <w:pPr>
              <w:keepNext w:val="0"/>
              <w:keepLines w:val="0"/>
              <w:pageBreakBefore w:val="0"/>
              <w:kinsoku/>
              <w:wordWrap/>
              <w:overflowPunct/>
              <w:topLinePunct w:val="0"/>
              <w:autoSpaceDE/>
              <w:autoSpaceDN/>
              <w:bidi w:val="0"/>
              <w:adjustRightInd/>
              <w:snapToGrid/>
              <w:spacing w:line="470" w:lineRule="exact"/>
              <w:jc w:val="both"/>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 xml:space="preserve">4. </w:t>
            </w:r>
            <w:r>
              <w:rPr>
                <w:rFonts w:hint="eastAsia" w:ascii="仿宋" w:hAnsi="仿宋" w:eastAsia="仿宋" w:cs="仿宋"/>
                <w:color w:val="000000"/>
                <w:kern w:val="0"/>
                <w:sz w:val="21"/>
                <w:szCs w:val="21"/>
                <w:lang w:val="en-US" w:eastAsia="zh-CN"/>
              </w:rPr>
              <w:t>▲</w:t>
            </w:r>
            <w:r>
              <w:rPr>
                <w:rFonts w:hint="eastAsia" w:ascii="仿宋" w:hAnsi="仿宋" w:eastAsia="仿宋" w:cs="仿宋"/>
                <w:color w:val="000000"/>
                <w:kern w:val="0"/>
                <w:sz w:val="21"/>
                <w:szCs w:val="21"/>
                <w:highlight w:val="none"/>
                <w:lang w:val="en-US" w:eastAsia="zh-CN" w:bidi="ar"/>
              </w:rPr>
              <w:t>管理控制中心当登录账号输入密码错误次数超过锁定阈值后账号将被锁定，且可设置锁定时间，该时间内账号登录请求不被接受。同时应支持双因子认证登录方式，提高安全性。</w:t>
            </w:r>
          </w:p>
          <w:p w14:paraId="2EA510B2">
            <w:pPr>
              <w:keepNext w:val="0"/>
              <w:keepLines w:val="0"/>
              <w:pageBreakBefore w:val="0"/>
              <w:kinsoku/>
              <w:wordWrap/>
              <w:overflowPunct/>
              <w:topLinePunct w:val="0"/>
              <w:autoSpaceDE/>
              <w:autoSpaceDN/>
              <w:bidi w:val="0"/>
              <w:adjustRightInd/>
              <w:snapToGrid/>
              <w:spacing w:line="470" w:lineRule="exact"/>
              <w:jc w:val="both"/>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5. 客户端主程序、病毒库版本支持按分组和多批次进行灰度更新，保持在低风险中完成终端能力更新。</w:t>
            </w:r>
          </w:p>
          <w:p w14:paraId="452C52C8">
            <w:pPr>
              <w:keepNext w:val="0"/>
              <w:keepLines w:val="0"/>
              <w:pageBreakBefore w:val="0"/>
              <w:kinsoku/>
              <w:wordWrap/>
              <w:overflowPunct/>
              <w:topLinePunct w:val="0"/>
              <w:autoSpaceDE/>
              <w:autoSpaceDN/>
              <w:bidi w:val="0"/>
              <w:adjustRightInd/>
              <w:snapToGrid/>
              <w:spacing w:line="470" w:lineRule="exact"/>
              <w:jc w:val="both"/>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sz w:val="21"/>
                <w:szCs w:val="21"/>
                <w:lang w:val="en-US" w:eastAsia="zh-CN"/>
              </w:rPr>
              <w:t>6. 支持对进程防护、注册表防护、驱动防护、U盘安全防护、邮件防护、下载防护、IM防护、局域网文件防护、网</w:t>
            </w:r>
            <w:r>
              <w:rPr>
                <w:rFonts w:hint="eastAsia" w:ascii="仿宋" w:hAnsi="仿宋" w:eastAsia="仿宋" w:cs="仿宋"/>
                <w:color w:val="000000"/>
                <w:kern w:val="0"/>
                <w:sz w:val="21"/>
                <w:szCs w:val="21"/>
                <w:highlight w:val="none"/>
                <w:lang w:val="en-US" w:eastAsia="zh-CN" w:bidi="ar"/>
              </w:rPr>
              <w:t>页安全防护、勒索软件防护。</w:t>
            </w:r>
          </w:p>
          <w:p w14:paraId="27696EB0">
            <w:pPr>
              <w:keepNext w:val="0"/>
              <w:keepLines w:val="0"/>
              <w:pageBreakBefore w:val="0"/>
              <w:kinsoku/>
              <w:wordWrap/>
              <w:overflowPunct/>
              <w:topLinePunct w:val="0"/>
              <w:autoSpaceDE/>
              <w:autoSpaceDN/>
              <w:bidi w:val="0"/>
              <w:adjustRightInd/>
              <w:snapToGrid/>
              <w:spacing w:line="470" w:lineRule="exact"/>
              <w:jc w:val="both"/>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 xml:space="preserve">7. </w:t>
            </w:r>
            <w:r>
              <w:rPr>
                <w:rFonts w:hint="eastAsia" w:ascii="仿宋" w:hAnsi="仿宋" w:eastAsia="仿宋" w:cs="仿宋"/>
                <w:color w:val="000000"/>
                <w:kern w:val="0"/>
                <w:sz w:val="21"/>
                <w:szCs w:val="21"/>
                <w:lang w:val="en-US" w:eastAsia="zh-CN"/>
              </w:rPr>
              <w:t>▲</w:t>
            </w:r>
            <w:r>
              <w:rPr>
                <w:rFonts w:hint="eastAsia" w:ascii="仿宋" w:hAnsi="仿宋" w:eastAsia="仿宋" w:cs="仿宋"/>
                <w:color w:val="000000"/>
                <w:kern w:val="0"/>
                <w:sz w:val="21"/>
                <w:szCs w:val="21"/>
                <w:highlight w:val="none"/>
                <w:lang w:val="en-US" w:eastAsia="zh-CN" w:bidi="ar"/>
              </w:rPr>
              <w:t>支持对压缩包内的病毒扫描，支持多层压缩包的扫描，可自定义配置压缩包的扫描层数，至少大约10层模式下的扫描。</w:t>
            </w:r>
          </w:p>
          <w:p w14:paraId="41DEEDA1">
            <w:pPr>
              <w:keepNext w:val="0"/>
              <w:keepLines w:val="0"/>
              <w:pageBreakBefore w:val="0"/>
              <w:kinsoku/>
              <w:wordWrap/>
              <w:overflowPunct/>
              <w:topLinePunct w:val="0"/>
              <w:autoSpaceDE/>
              <w:autoSpaceDN/>
              <w:bidi w:val="0"/>
              <w:adjustRightInd/>
              <w:snapToGrid/>
              <w:spacing w:line="470" w:lineRule="exact"/>
              <w:jc w:val="both"/>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8. 支持自动阻止远程登录行为，防护黑客远程爆破和拦截恶意的远程登录。</w:t>
            </w:r>
          </w:p>
          <w:p w14:paraId="59AF19DC">
            <w:pPr>
              <w:keepNext w:val="0"/>
              <w:keepLines w:val="0"/>
              <w:pageBreakBefore w:val="0"/>
              <w:kinsoku/>
              <w:wordWrap/>
              <w:overflowPunct/>
              <w:topLinePunct w:val="0"/>
              <w:autoSpaceDE/>
              <w:autoSpaceDN/>
              <w:bidi w:val="0"/>
              <w:adjustRightInd/>
              <w:snapToGrid/>
              <w:spacing w:line="470" w:lineRule="exact"/>
              <w:jc w:val="both"/>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9. 支持无文件攻击防护、文档攻击防护、横移渗透攻击防护、内存攻击防护。</w:t>
            </w:r>
          </w:p>
          <w:p w14:paraId="0F6C7E33">
            <w:pPr>
              <w:keepNext w:val="0"/>
              <w:keepLines w:val="0"/>
              <w:pageBreakBefore w:val="0"/>
              <w:kinsoku/>
              <w:wordWrap/>
              <w:overflowPunct/>
              <w:topLinePunct w:val="0"/>
              <w:autoSpaceDE/>
              <w:autoSpaceDN/>
              <w:bidi w:val="0"/>
              <w:adjustRightInd/>
              <w:snapToGrid/>
              <w:spacing w:line="470" w:lineRule="exact"/>
              <w:jc w:val="both"/>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10. 支持不少于三个杀毒引擎混合使用，提高病毒检出率。</w:t>
            </w:r>
          </w:p>
          <w:p w14:paraId="3E1C7A3F">
            <w:pPr>
              <w:keepNext w:val="0"/>
              <w:keepLines w:val="0"/>
              <w:pageBreakBefore w:val="0"/>
              <w:kinsoku/>
              <w:wordWrap/>
              <w:overflowPunct/>
              <w:topLinePunct w:val="0"/>
              <w:autoSpaceDE/>
              <w:autoSpaceDN/>
              <w:bidi w:val="0"/>
              <w:adjustRightInd/>
              <w:snapToGrid/>
              <w:spacing w:line="470" w:lineRule="exact"/>
              <w:jc w:val="both"/>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11. 支持对终端当扫描到感染型病毒、顽固木马时，自动进入深度查模式，可设置禁止终端用户管理路径或文件白名单、禁止终端用户管理扩展名白名单、扫描时不允许终端用户暂停或停止扫描任务。</w:t>
            </w:r>
          </w:p>
          <w:p w14:paraId="16CD36AA">
            <w:pPr>
              <w:keepNext w:val="0"/>
              <w:keepLines w:val="0"/>
              <w:pageBreakBefore w:val="0"/>
              <w:kinsoku/>
              <w:wordWrap/>
              <w:overflowPunct/>
              <w:topLinePunct w:val="0"/>
              <w:autoSpaceDE/>
              <w:autoSpaceDN/>
              <w:bidi w:val="0"/>
              <w:adjustRightInd/>
              <w:snapToGrid/>
              <w:spacing w:line="470" w:lineRule="exact"/>
              <w:jc w:val="both"/>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12. 支持扫描资源占用设置，可设置不限制、均衡型、低资源三种模式。</w:t>
            </w:r>
          </w:p>
          <w:p w14:paraId="1DF28CD2">
            <w:pPr>
              <w:keepNext w:val="0"/>
              <w:keepLines w:val="0"/>
              <w:pageBreakBefore w:val="0"/>
              <w:kinsoku/>
              <w:wordWrap/>
              <w:overflowPunct/>
              <w:topLinePunct w:val="0"/>
              <w:autoSpaceDE/>
              <w:autoSpaceDN/>
              <w:bidi w:val="0"/>
              <w:adjustRightInd/>
              <w:snapToGrid/>
              <w:spacing w:line="470" w:lineRule="exact"/>
              <w:jc w:val="both"/>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13. 支持开启自动修复漏洞，包括开机时修复，并支持随机延迟执行、间隔修复和按时间段修复，可设置延迟时间、间隔修复时间和修复时间段。</w:t>
            </w:r>
          </w:p>
          <w:p w14:paraId="5FF815B5">
            <w:pPr>
              <w:keepNext w:val="0"/>
              <w:keepLines w:val="0"/>
              <w:pageBreakBefore w:val="0"/>
              <w:kinsoku/>
              <w:wordWrap/>
              <w:overflowPunct/>
              <w:topLinePunct w:val="0"/>
              <w:autoSpaceDE/>
              <w:autoSpaceDN/>
              <w:bidi w:val="0"/>
              <w:adjustRightInd/>
              <w:snapToGrid/>
              <w:spacing w:line="470" w:lineRule="exact"/>
              <w:jc w:val="both"/>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14. 支持按照补丁的维度统计补丁安装情况，包括补丁号、系统类型、补丁类型、补丁级别、补丁名称、补丁描述、发布日期、发布状态、文件数量、发现补丁次数、已安装补丁次数、忽略补丁次数、卸载补丁次数、未更新补丁库。并支持导出统计报表。</w:t>
            </w:r>
          </w:p>
          <w:p w14:paraId="5E104459">
            <w:pPr>
              <w:keepNext w:val="0"/>
              <w:keepLines w:val="0"/>
              <w:pageBreakBefore w:val="0"/>
              <w:kinsoku/>
              <w:wordWrap/>
              <w:overflowPunct/>
              <w:topLinePunct w:val="0"/>
              <w:autoSpaceDE/>
              <w:autoSpaceDN/>
              <w:bidi w:val="0"/>
              <w:adjustRightInd/>
              <w:snapToGrid/>
              <w:spacing w:line="470" w:lineRule="exact"/>
              <w:jc w:val="both"/>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lang w:val="en-US" w:eastAsia="zh-CN"/>
              </w:rPr>
              <w:t>▲</w:t>
            </w:r>
            <w:r>
              <w:rPr>
                <w:rFonts w:hint="eastAsia" w:ascii="仿宋" w:hAnsi="仿宋" w:eastAsia="仿宋" w:cs="仿宋"/>
                <w:color w:val="000000"/>
                <w:kern w:val="0"/>
                <w:sz w:val="21"/>
                <w:szCs w:val="21"/>
                <w:highlight w:val="none"/>
                <w:lang w:val="en-US" w:eastAsia="zh-CN" w:bidi="ar"/>
              </w:rPr>
              <w:t>15.支持预先设置好补丁灰度发布批次漏洞修复策略，每当控制台更新补丁库，根据企业环境自动先推送给第一个小批次分组，如无问题自动推送给下一个批次，直到推送给全网。</w:t>
            </w:r>
          </w:p>
          <w:p w14:paraId="19DB973C">
            <w:pPr>
              <w:keepNext w:val="0"/>
              <w:keepLines w:val="0"/>
              <w:pageBreakBefore w:val="0"/>
              <w:kinsoku/>
              <w:wordWrap/>
              <w:overflowPunct/>
              <w:topLinePunct w:val="0"/>
              <w:autoSpaceDE/>
              <w:autoSpaceDN/>
              <w:bidi w:val="0"/>
              <w:adjustRightInd/>
              <w:snapToGrid/>
              <w:spacing w:line="470" w:lineRule="exact"/>
              <w:jc w:val="both"/>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16. 支持主机防火墙功能，通过添加IP、域名规则、支持允许/拒绝规则、支持任意流向拦截和允许，支持TCP、UDP、TCP+UDP、ICMP、多播和组播，支持自定义端口范围、支持自定义目标IP，支持输入IP范围。</w:t>
            </w:r>
          </w:p>
          <w:p w14:paraId="068B57BB">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仿宋" w:hAnsi="仿宋" w:eastAsia="仿宋" w:cs="仿宋"/>
                <w:color w:val="auto"/>
                <w:sz w:val="21"/>
                <w:szCs w:val="21"/>
              </w:rPr>
            </w:pPr>
            <w:r>
              <w:rPr>
                <w:rFonts w:hint="eastAsia" w:ascii="仿宋" w:hAnsi="仿宋" w:eastAsia="仿宋" w:cs="仿宋"/>
                <w:color w:val="000000"/>
                <w:kern w:val="0"/>
                <w:sz w:val="21"/>
                <w:szCs w:val="21"/>
                <w:highlight w:val="none"/>
                <w:lang w:val="en-US" w:eastAsia="zh-CN" w:bidi="ar"/>
              </w:rPr>
              <w:t>17. 支持展示防火墙上报日志，展示终端基础信息、拦截规则名称、拦截时间、操作、协议、源地址，目的IP/域名、源端口、目的端口。</w:t>
            </w:r>
          </w:p>
        </w:tc>
        <w:tc>
          <w:tcPr>
            <w:tcW w:w="470" w:type="pct"/>
            <w:noWrap/>
            <w:vAlign w:val="center"/>
          </w:tcPr>
          <w:p w14:paraId="4E161F0A">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sz w:val="21"/>
                <w:szCs w:val="21"/>
                <w:lang w:val="en-US" w:eastAsia="zh-CN" w:bidi="ar"/>
              </w:rPr>
              <w:t>工业</w:t>
            </w:r>
          </w:p>
        </w:tc>
      </w:tr>
      <w:tr w14:paraId="79013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jc w:val="center"/>
        </w:trPr>
        <w:tc>
          <w:tcPr>
            <w:tcW w:w="361" w:type="pct"/>
            <w:noWrap/>
            <w:vAlign w:val="center"/>
          </w:tcPr>
          <w:p w14:paraId="3CC1F65F">
            <w:pPr>
              <w:spacing w:line="400" w:lineRule="exact"/>
              <w:rPr>
                <w:rFonts w:ascii="仿宋" w:hAnsi="仿宋" w:eastAsia="仿宋" w:cs="仿宋"/>
                <w:color w:val="auto"/>
                <w:szCs w:val="21"/>
              </w:rPr>
            </w:pPr>
            <w:r>
              <w:rPr>
                <w:rFonts w:hint="eastAsia" w:ascii="仿宋" w:hAnsi="仿宋" w:eastAsia="仿宋" w:cs="仿宋"/>
                <w:color w:val="auto"/>
                <w:szCs w:val="21"/>
              </w:rPr>
              <w:t>4</w:t>
            </w:r>
          </w:p>
        </w:tc>
        <w:tc>
          <w:tcPr>
            <w:tcW w:w="758" w:type="pct"/>
            <w:gridSpan w:val="2"/>
            <w:noWrap/>
            <w:vAlign w:val="center"/>
          </w:tcPr>
          <w:p w14:paraId="05E7044F">
            <w:pPr>
              <w:keepNext w:val="0"/>
              <w:keepLines w:val="0"/>
              <w:widowControl/>
              <w:suppressLineNumbers w:val="0"/>
              <w:jc w:val="both"/>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highlight w:val="none"/>
                <w:u w:val="none"/>
                <w:lang w:val="en-US" w:eastAsia="zh-CN" w:bidi="ar"/>
              </w:rPr>
              <w:t>98寸光能板</w:t>
            </w:r>
          </w:p>
        </w:tc>
        <w:tc>
          <w:tcPr>
            <w:tcW w:w="359" w:type="pct"/>
            <w:noWrap/>
            <w:vAlign w:val="center"/>
          </w:tcPr>
          <w:p w14:paraId="70092F4C">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highlight w:val="none"/>
                <w:u w:val="none"/>
                <w:lang w:val="en-US" w:eastAsia="zh-CN" w:bidi="ar"/>
              </w:rPr>
              <w:t>22</w:t>
            </w:r>
          </w:p>
        </w:tc>
        <w:tc>
          <w:tcPr>
            <w:tcW w:w="569" w:type="pct"/>
            <w:noWrap/>
            <w:vAlign w:val="center"/>
          </w:tcPr>
          <w:p w14:paraId="240C4EE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1"/>
                <w:szCs w:val="21"/>
              </w:rPr>
            </w:pPr>
            <w:r>
              <w:rPr>
                <w:rFonts w:hint="eastAsia" w:ascii="仿宋" w:hAnsi="仿宋" w:eastAsia="仿宋" w:cs="仿宋"/>
                <w:b w:val="0"/>
                <w:bCs w:val="0"/>
                <w:i w:val="0"/>
                <w:iCs w:val="0"/>
                <w:color w:val="auto"/>
                <w:kern w:val="0"/>
                <w:sz w:val="21"/>
                <w:szCs w:val="21"/>
                <w:highlight w:val="none"/>
                <w:u w:val="none"/>
                <w:lang w:val="en-US" w:eastAsia="zh-CN" w:bidi="ar"/>
              </w:rPr>
              <w:t>台</w:t>
            </w:r>
          </w:p>
        </w:tc>
        <w:tc>
          <w:tcPr>
            <w:tcW w:w="2479" w:type="pct"/>
            <w:noWrap/>
            <w:vAlign w:val="center"/>
          </w:tcPr>
          <w:p w14:paraId="4C73A05C">
            <w:pPr>
              <w:spacing w:line="360" w:lineRule="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一、硬件要求</w:t>
            </w:r>
          </w:p>
          <w:p w14:paraId="20549204">
            <w:pPr>
              <w:spacing w:line="360" w:lineRule="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w:t>
            </w:r>
            <w:r>
              <w:rPr>
                <w:rFonts w:hint="eastAsia" w:ascii="仿宋" w:hAnsi="仿宋" w:eastAsia="仿宋" w:cs="仿宋"/>
                <w:color w:val="000000"/>
                <w:kern w:val="0"/>
                <w:sz w:val="21"/>
                <w:szCs w:val="21"/>
              </w:rPr>
              <w:t>1、</w:t>
            </w:r>
            <w:r>
              <w:rPr>
                <w:rFonts w:hint="eastAsia" w:ascii="仿宋" w:hAnsi="仿宋" w:eastAsia="仿宋" w:cs="仿宋"/>
                <w:color w:val="000000"/>
                <w:kern w:val="0"/>
                <w:sz w:val="21"/>
                <w:szCs w:val="21"/>
                <w:highlight w:val="none"/>
                <w:lang w:bidi="ar"/>
              </w:rPr>
              <w:t>多媒体</w:t>
            </w:r>
            <w:r>
              <w:rPr>
                <w:rFonts w:hint="eastAsia" w:ascii="仿宋" w:hAnsi="仿宋" w:eastAsia="仿宋" w:cs="仿宋"/>
                <w:color w:val="000000"/>
                <w:kern w:val="0"/>
                <w:sz w:val="21"/>
                <w:szCs w:val="21"/>
                <w:highlight w:val="none"/>
                <w:lang w:val="en-US" w:eastAsia="zh-CN" w:bidi="ar"/>
              </w:rPr>
              <w:t>显示</w:t>
            </w:r>
            <w:r>
              <w:rPr>
                <w:rFonts w:hint="eastAsia" w:ascii="仿宋" w:hAnsi="仿宋" w:eastAsia="仿宋" w:cs="仿宋"/>
                <w:color w:val="000000"/>
                <w:kern w:val="0"/>
                <w:sz w:val="21"/>
                <w:szCs w:val="21"/>
                <w:highlight w:val="none"/>
                <w:lang w:bidi="ar"/>
              </w:rPr>
              <w:t>设备</w:t>
            </w:r>
            <w:r>
              <w:rPr>
                <w:rFonts w:hint="eastAsia" w:ascii="仿宋" w:hAnsi="仿宋" w:eastAsia="仿宋" w:cs="仿宋"/>
                <w:color w:val="000000"/>
                <w:kern w:val="0"/>
                <w:sz w:val="21"/>
                <w:szCs w:val="21"/>
              </w:rPr>
              <w:t>两侧各放置一块光能黑板。单块光能黑板≥1129（长）*1315（高）mm。下边框具有可调节托板，可根据</w:t>
            </w:r>
            <w:r>
              <w:rPr>
                <w:rFonts w:hint="eastAsia" w:ascii="仿宋" w:hAnsi="仿宋" w:eastAsia="仿宋" w:cs="仿宋"/>
                <w:color w:val="000000"/>
                <w:kern w:val="0"/>
                <w:sz w:val="21"/>
                <w:szCs w:val="21"/>
                <w:lang w:eastAsia="zh-CN"/>
              </w:rPr>
              <w:t>教学设备</w:t>
            </w:r>
            <w:r>
              <w:rPr>
                <w:rFonts w:hint="eastAsia" w:ascii="仿宋" w:hAnsi="仿宋" w:eastAsia="仿宋" w:cs="仿宋"/>
                <w:color w:val="000000"/>
                <w:kern w:val="0"/>
                <w:sz w:val="21"/>
                <w:szCs w:val="21"/>
              </w:rPr>
              <w:t>高度进行调整至与</w:t>
            </w:r>
            <w:r>
              <w:rPr>
                <w:rFonts w:hint="eastAsia" w:ascii="仿宋" w:hAnsi="仿宋" w:eastAsia="仿宋" w:cs="仿宋"/>
                <w:color w:val="000000"/>
                <w:kern w:val="0"/>
                <w:sz w:val="21"/>
                <w:szCs w:val="21"/>
                <w:lang w:eastAsia="zh-CN"/>
              </w:rPr>
              <w:t>教学设备</w:t>
            </w:r>
            <w:r>
              <w:rPr>
                <w:rFonts w:hint="eastAsia" w:ascii="仿宋" w:hAnsi="仿宋" w:eastAsia="仿宋" w:cs="仿宋"/>
                <w:color w:val="000000"/>
                <w:kern w:val="0"/>
                <w:sz w:val="21"/>
                <w:szCs w:val="21"/>
              </w:rPr>
              <w:t>高度平齐，兼具置物功能。</w:t>
            </w:r>
          </w:p>
          <w:p w14:paraId="52E2F59E">
            <w:pPr>
              <w:spacing w:line="360" w:lineRule="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2</w:t>
            </w:r>
            <w:r>
              <w:rPr>
                <w:rFonts w:hint="eastAsia" w:ascii="仿宋" w:hAnsi="仿宋" w:eastAsia="仿宋" w:cs="仿宋"/>
                <w:color w:val="000000"/>
                <w:kern w:val="0"/>
                <w:sz w:val="21"/>
                <w:szCs w:val="21"/>
              </w:rPr>
              <w:t>、边框采用铝合金材质，坚固耐用，具有较好的耐腐蚀特性。</w:t>
            </w:r>
          </w:p>
          <w:p w14:paraId="0A6A6620">
            <w:pPr>
              <w:spacing w:line="360" w:lineRule="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3</w:t>
            </w:r>
            <w:r>
              <w:rPr>
                <w:rFonts w:hint="eastAsia" w:ascii="仿宋" w:hAnsi="仿宋" w:eastAsia="仿宋" w:cs="仿宋"/>
                <w:color w:val="000000"/>
                <w:kern w:val="0"/>
                <w:sz w:val="21"/>
                <w:szCs w:val="21"/>
              </w:rPr>
              <w:t>、无需专用耗材，采用多种笔杆均可在板面进行书写，消除了粉笔粉尘对师生构成的健康隐患。可擦写次数不低于10万次。</w:t>
            </w:r>
          </w:p>
          <w:p w14:paraId="556EE4DE">
            <w:pPr>
              <w:spacing w:line="360" w:lineRule="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4</w:t>
            </w:r>
            <w:r>
              <w:rPr>
                <w:rFonts w:hint="eastAsia" w:ascii="仿宋" w:hAnsi="仿宋" w:eastAsia="仿宋" w:cs="仿宋"/>
                <w:color w:val="000000"/>
                <w:kern w:val="0"/>
                <w:sz w:val="21"/>
                <w:szCs w:val="21"/>
              </w:rPr>
              <w:t>、板面应无频闪、无背光，上膜不应产生眩光。板书笔迹平视可视距离≥20米，可视角度≥150°。</w:t>
            </w:r>
          </w:p>
          <w:p w14:paraId="5913263E">
            <w:pPr>
              <w:spacing w:line="360" w:lineRule="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5</w:t>
            </w:r>
            <w:r>
              <w:rPr>
                <w:rFonts w:hint="eastAsia" w:ascii="仿宋" w:hAnsi="仿宋" w:eastAsia="仿宋" w:cs="仿宋"/>
                <w:color w:val="000000"/>
                <w:kern w:val="0"/>
                <w:sz w:val="21"/>
                <w:szCs w:val="21"/>
              </w:rPr>
              <w:t>、光能黑板的光泽度不高于30光泽单位。</w:t>
            </w:r>
          </w:p>
          <w:p w14:paraId="61049C0E">
            <w:pPr>
              <w:spacing w:line="360" w:lineRule="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6</w:t>
            </w:r>
            <w:r>
              <w:rPr>
                <w:rFonts w:hint="eastAsia" w:ascii="仿宋" w:hAnsi="仿宋" w:eastAsia="仿宋" w:cs="仿宋"/>
                <w:color w:val="000000"/>
                <w:kern w:val="0"/>
                <w:sz w:val="21"/>
                <w:szCs w:val="21"/>
              </w:rPr>
              <w:t>、为减少</w:t>
            </w:r>
            <w:r>
              <w:rPr>
                <w:rFonts w:hint="eastAsia" w:ascii="仿宋" w:hAnsi="仿宋" w:eastAsia="仿宋" w:cs="仿宋"/>
                <w:color w:val="000000"/>
                <w:kern w:val="0"/>
                <w:sz w:val="21"/>
                <w:szCs w:val="21"/>
                <w:lang w:val="en-US" w:eastAsia="zh-CN"/>
              </w:rPr>
              <w:t>使用者</w:t>
            </w:r>
            <w:r>
              <w:rPr>
                <w:rFonts w:hint="eastAsia" w:ascii="仿宋" w:hAnsi="仿宋" w:eastAsia="仿宋" w:cs="仿宋"/>
                <w:color w:val="000000"/>
                <w:kern w:val="0"/>
                <w:sz w:val="21"/>
                <w:szCs w:val="21"/>
              </w:rPr>
              <w:t>书写的疲劳感，板面粗糙度Sa≤0.3um。</w:t>
            </w:r>
          </w:p>
          <w:p w14:paraId="0038F1F0">
            <w:pPr>
              <w:spacing w:line="360" w:lineRule="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7</w:t>
            </w:r>
            <w:r>
              <w:rPr>
                <w:rFonts w:hint="eastAsia" w:ascii="仿宋" w:hAnsi="仿宋" w:eastAsia="仿宋" w:cs="仿宋"/>
                <w:color w:val="000000"/>
                <w:kern w:val="0"/>
                <w:sz w:val="21"/>
                <w:szCs w:val="21"/>
              </w:rPr>
              <w:t>、书写板上膜应经过抗紫外线工艺处理，波长小于380nm的紫外线阻隔率不低于99.5%。</w:t>
            </w:r>
          </w:p>
          <w:p w14:paraId="5BA15D86">
            <w:pPr>
              <w:spacing w:line="360" w:lineRule="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▲8</w:t>
            </w:r>
            <w:r>
              <w:rPr>
                <w:rFonts w:hint="eastAsia" w:ascii="仿宋" w:hAnsi="仿宋" w:eastAsia="仿宋" w:cs="仿宋"/>
                <w:color w:val="000000"/>
                <w:kern w:val="0"/>
                <w:sz w:val="21"/>
                <w:szCs w:val="21"/>
              </w:rPr>
              <w:t>、一键擦除时间不大于1.5秒，擦除应无断点、无死角等，擦除后应无明显残留痕迹。</w:t>
            </w:r>
          </w:p>
          <w:p w14:paraId="0FA4702A">
            <w:pPr>
              <w:spacing w:line="360" w:lineRule="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9</w:t>
            </w:r>
            <w:r>
              <w:rPr>
                <w:rFonts w:hint="eastAsia" w:ascii="仿宋" w:hAnsi="仿宋" w:eastAsia="仿宋" w:cs="仿宋"/>
                <w:color w:val="000000"/>
                <w:kern w:val="0"/>
                <w:sz w:val="21"/>
                <w:szCs w:val="21"/>
              </w:rPr>
              <w:t>、为方便使用，可使用板擦和手势对板书进行局部擦除，局部擦除时间不大于0.4秒，擦除应无断点、无死角等，擦除后应无明显残留痕迹，且非擦除区域不受影响。</w:t>
            </w:r>
          </w:p>
          <w:p w14:paraId="5850C272">
            <w:pPr>
              <w:spacing w:line="360" w:lineRule="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r>
              <w:rPr>
                <w:rFonts w:hint="eastAsia" w:ascii="仿宋" w:hAnsi="仿宋" w:eastAsia="仿宋" w:cs="仿宋"/>
                <w:color w:val="000000"/>
                <w:kern w:val="0"/>
                <w:sz w:val="21"/>
                <w:szCs w:val="21"/>
                <w:lang w:val="en-US" w:eastAsia="zh-CN"/>
              </w:rPr>
              <w:t>0</w:t>
            </w:r>
            <w:r>
              <w:rPr>
                <w:rFonts w:hint="eastAsia" w:ascii="仿宋" w:hAnsi="仿宋" w:eastAsia="仿宋" w:cs="仿宋"/>
                <w:color w:val="000000"/>
                <w:kern w:val="0"/>
                <w:sz w:val="21"/>
                <w:szCs w:val="21"/>
              </w:rPr>
              <w:t>、黑板内设有电压调整机制，支持自动感应调整，也支持通过手势按压书写板板面的特定位置，调节局部擦除的灵敏度，适应不同用户的使用需求。</w:t>
            </w:r>
          </w:p>
          <w:p w14:paraId="2AA89997">
            <w:pPr>
              <w:spacing w:line="360" w:lineRule="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r>
              <w:rPr>
                <w:rFonts w:hint="eastAsia" w:ascii="仿宋" w:hAnsi="仿宋" w:eastAsia="仿宋" w:cs="仿宋"/>
                <w:color w:val="000000"/>
                <w:kern w:val="0"/>
                <w:sz w:val="21"/>
                <w:szCs w:val="21"/>
                <w:lang w:val="en-US" w:eastAsia="zh-CN"/>
              </w:rPr>
              <w:t>1</w:t>
            </w:r>
            <w:r>
              <w:rPr>
                <w:rFonts w:hint="eastAsia" w:ascii="仿宋" w:hAnsi="仿宋" w:eastAsia="仿宋" w:cs="仿宋"/>
                <w:color w:val="000000"/>
                <w:kern w:val="0"/>
                <w:sz w:val="21"/>
                <w:szCs w:val="21"/>
              </w:rPr>
              <w:t>、最大工作电流（瞬间电流）不得超过1000mA。</w:t>
            </w:r>
          </w:p>
          <w:p w14:paraId="1E789EE2">
            <w:pPr>
              <w:spacing w:line="360" w:lineRule="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r>
              <w:rPr>
                <w:rFonts w:hint="eastAsia" w:ascii="仿宋" w:hAnsi="仿宋" w:eastAsia="仿宋" w:cs="仿宋"/>
                <w:color w:val="000000"/>
                <w:kern w:val="0"/>
                <w:sz w:val="21"/>
                <w:szCs w:val="21"/>
                <w:lang w:val="en-US" w:eastAsia="zh-CN"/>
              </w:rPr>
              <w:t>2</w:t>
            </w:r>
            <w:r>
              <w:rPr>
                <w:rFonts w:hint="eastAsia" w:ascii="仿宋" w:hAnsi="仿宋" w:eastAsia="仿宋" w:cs="仿宋"/>
                <w:color w:val="000000"/>
                <w:kern w:val="0"/>
                <w:sz w:val="21"/>
                <w:szCs w:val="21"/>
              </w:rPr>
              <w:t>、黑板表面具有暗格，用以提供给师生在书写板书时的直线参照，可避免板书歪斜。黑板表面可吸附磁贴、磁扣等教学工具，便于老师教学使用。</w:t>
            </w:r>
          </w:p>
          <w:p w14:paraId="7CD3E29C">
            <w:pPr>
              <w:spacing w:line="360" w:lineRule="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w:t>
            </w:r>
            <w:r>
              <w:rPr>
                <w:rFonts w:hint="eastAsia" w:ascii="仿宋" w:hAnsi="仿宋" w:eastAsia="仿宋" w:cs="仿宋"/>
                <w:color w:val="000000"/>
                <w:kern w:val="0"/>
                <w:sz w:val="21"/>
                <w:szCs w:val="21"/>
              </w:rPr>
              <w:t>1</w:t>
            </w:r>
            <w:r>
              <w:rPr>
                <w:rFonts w:hint="eastAsia" w:ascii="仿宋" w:hAnsi="仿宋" w:eastAsia="仿宋" w:cs="仿宋"/>
                <w:color w:val="000000"/>
                <w:kern w:val="0"/>
                <w:sz w:val="21"/>
                <w:szCs w:val="21"/>
                <w:lang w:val="en-US" w:eastAsia="zh-CN"/>
              </w:rPr>
              <w:t>3</w:t>
            </w:r>
            <w:r>
              <w:rPr>
                <w:rFonts w:hint="eastAsia" w:ascii="仿宋" w:hAnsi="仿宋" w:eastAsia="仿宋" w:cs="仿宋"/>
                <w:color w:val="000000"/>
                <w:kern w:val="0"/>
                <w:sz w:val="21"/>
                <w:szCs w:val="21"/>
              </w:rPr>
              <w:t>、为让老师能够快速调取交互软件，方便使用功能，光能黑板的左侧或右侧应具有触摸快捷键。</w:t>
            </w:r>
          </w:p>
          <w:p w14:paraId="21624782">
            <w:pPr>
              <w:spacing w:line="360" w:lineRule="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二、软件要求</w:t>
            </w:r>
          </w:p>
          <w:p w14:paraId="66277A63">
            <w:pPr>
              <w:spacing w:line="360" w:lineRule="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1、左、右光能黑板可与</w:t>
            </w:r>
            <w:r>
              <w:rPr>
                <w:rFonts w:hint="eastAsia" w:ascii="仿宋" w:hAnsi="仿宋" w:eastAsia="仿宋" w:cs="仿宋"/>
                <w:color w:val="000000"/>
                <w:kern w:val="0"/>
                <w:sz w:val="21"/>
                <w:szCs w:val="21"/>
                <w:lang w:eastAsia="zh-CN"/>
              </w:rPr>
              <w:t>教学设备</w:t>
            </w:r>
            <w:r>
              <w:rPr>
                <w:rFonts w:hint="eastAsia" w:ascii="仿宋" w:hAnsi="仿宋" w:eastAsia="仿宋" w:cs="仿宋"/>
                <w:color w:val="000000"/>
                <w:kern w:val="0"/>
                <w:sz w:val="21"/>
                <w:szCs w:val="21"/>
              </w:rPr>
              <w:t>进行互动，将光能黑板的内容与</w:t>
            </w:r>
            <w:r>
              <w:rPr>
                <w:rFonts w:hint="eastAsia" w:ascii="仿宋" w:hAnsi="仿宋" w:eastAsia="仿宋" w:cs="仿宋"/>
                <w:color w:val="000000"/>
                <w:kern w:val="0"/>
                <w:sz w:val="21"/>
                <w:szCs w:val="21"/>
                <w:lang w:eastAsia="zh-CN"/>
              </w:rPr>
              <w:t>教学设备</w:t>
            </w:r>
            <w:r>
              <w:rPr>
                <w:rFonts w:hint="eastAsia" w:ascii="仿宋" w:hAnsi="仿宋" w:eastAsia="仿宋" w:cs="仿宋"/>
                <w:color w:val="000000"/>
                <w:kern w:val="0"/>
                <w:sz w:val="21"/>
                <w:szCs w:val="21"/>
              </w:rPr>
              <w:t>无缝连接，教师在光能黑板上的书写内容可同步显示在</w:t>
            </w:r>
            <w:r>
              <w:rPr>
                <w:rFonts w:hint="eastAsia" w:ascii="仿宋" w:hAnsi="仿宋" w:eastAsia="仿宋" w:cs="仿宋"/>
                <w:color w:val="000000"/>
                <w:kern w:val="0"/>
                <w:sz w:val="21"/>
                <w:szCs w:val="21"/>
                <w:lang w:eastAsia="zh-CN"/>
              </w:rPr>
              <w:t>教学设备</w:t>
            </w:r>
            <w:r>
              <w:rPr>
                <w:rFonts w:hint="eastAsia" w:ascii="仿宋" w:hAnsi="仿宋" w:eastAsia="仿宋" w:cs="仿宋"/>
                <w:color w:val="000000"/>
                <w:kern w:val="0"/>
                <w:sz w:val="21"/>
                <w:szCs w:val="21"/>
              </w:rPr>
              <w:t>上。</w:t>
            </w:r>
          </w:p>
          <w:p w14:paraId="7B5C28F4">
            <w:pPr>
              <w:spacing w:line="360" w:lineRule="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2、为便于老师记忆和操作，板书界面与电脑桌面/PPT课件之间，可以来回切换，方便快捷。</w:t>
            </w:r>
          </w:p>
          <w:p w14:paraId="2C7C931E">
            <w:pPr>
              <w:spacing w:line="360" w:lineRule="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w:t>
            </w:r>
            <w:r>
              <w:rPr>
                <w:rFonts w:hint="eastAsia" w:ascii="仿宋" w:hAnsi="仿宋" w:eastAsia="仿宋" w:cs="仿宋"/>
                <w:color w:val="000000"/>
                <w:kern w:val="0"/>
                <w:sz w:val="21"/>
                <w:szCs w:val="21"/>
              </w:rPr>
              <w:t>3、可以通过触摸快捷键快速切换单页和多页显示：单板书写时，可单页面显示（此时只有一块黑板界面）；多板同时书写时，可多页面同时显示。</w:t>
            </w:r>
          </w:p>
          <w:p w14:paraId="25B406E9">
            <w:pPr>
              <w:spacing w:line="360" w:lineRule="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4、当不需要板书传输到软件显示界面时，可以使用分屏功能，断开黑板与大屏的传输，使其成为互不影响的多块黑板。</w:t>
            </w:r>
          </w:p>
          <w:p w14:paraId="2B17F566">
            <w:pPr>
              <w:spacing w:line="360" w:lineRule="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5、设置不同的软件端笔迹颜色，可实现老师对于教学重点的标识及批注；</w:t>
            </w:r>
          </w:p>
          <w:p w14:paraId="3975D2A2">
            <w:pPr>
              <w:spacing w:line="360" w:lineRule="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w:t>
            </w:r>
            <w:r>
              <w:rPr>
                <w:rFonts w:hint="eastAsia" w:ascii="仿宋" w:hAnsi="仿宋" w:eastAsia="仿宋" w:cs="仿宋"/>
                <w:color w:val="000000"/>
                <w:kern w:val="0"/>
                <w:sz w:val="21"/>
                <w:szCs w:val="21"/>
              </w:rPr>
              <w:t>6、保存后的板书可以上下翻页，也可以通过触摸快捷键，快速预览所有已经存储的板书内容。当点击光能黑板上的上下翻页时，仅对当前光能黑板的同传内容进行上下翻页，而不影响另一块光能黑板的同传界面。</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7、对板书的电子文档进行分享，可以存储在本地PC端，同时生成二维码，便于师生扫码获取。</w:t>
            </w:r>
          </w:p>
          <w:p w14:paraId="41A88CBC">
            <w:pPr>
              <w:spacing w:line="360" w:lineRule="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8、可以对课堂的板书和讲解进行录制，生成视频文档，利于学生课后复习回放。</w:t>
            </w:r>
          </w:p>
          <w:p w14:paraId="41453117">
            <w:pPr>
              <w:spacing w:line="360" w:lineRule="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w:t>
            </w:r>
            <w:r>
              <w:rPr>
                <w:rFonts w:hint="eastAsia" w:ascii="仿宋" w:hAnsi="仿宋" w:eastAsia="仿宋" w:cs="仿宋"/>
                <w:color w:val="000000"/>
                <w:kern w:val="0"/>
                <w:sz w:val="21"/>
                <w:szCs w:val="21"/>
              </w:rPr>
              <w:t>9、支持导入PPT课件，可以在同传软件上同时显示出PPT课件和板书的记录文本。</w:t>
            </w:r>
          </w:p>
          <w:p w14:paraId="043C0ED5">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仿宋" w:hAnsi="仿宋" w:eastAsia="仿宋" w:cs="仿宋"/>
                <w:color w:val="auto"/>
                <w:sz w:val="21"/>
                <w:szCs w:val="21"/>
              </w:rPr>
            </w:pPr>
            <w:r>
              <w:rPr>
                <w:rFonts w:hint="eastAsia" w:ascii="仿宋" w:hAnsi="仿宋" w:eastAsia="仿宋" w:cs="仿宋"/>
                <w:color w:val="000000"/>
                <w:kern w:val="0"/>
                <w:sz w:val="21"/>
                <w:szCs w:val="21"/>
                <w:lang w:val="en-US" w:eastAsia="zh-CN"/>
              </w:rPr>
              <w:t>▲</w:t>
            </w:r>
            <w:r>
              <w:rPr>
                <w:rFonts w:hint="eastAsia" w:ascii="仿宋" w:hAnsi="仿宋" w:eastAsia="仿宋" w:cs="仿宋"/>
                <w:color w:val="000000"/>
                <w:kern w:val="0"/>
                <w:sz w:val="21"/>
                <w:szCs w:val="21"/>
              </w:rPr>
              <w:t>10、具备打印功能，可连接打印机将保存的板书文档传输至打印机打印，方便灵活。</w:t>
            </w:r>
          </w:p>
        </w:tc>
        <w:tc>
          <w:tcPr>
            <w:tcW w:w="470" w:type="pct"/>
            <w:noWrap/>
            <w:vAlign w:val="center"/>
          </w:tcPr>
          <w:p w14:paraId="752AC6EC">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仿宋" w:hAnsi="仿宋" w:eastAsia="仿宋" w:cs="仿宋"/>
                <w:color w:val="000000"/>
                <w:kern w:val="0"/>
                <w:sz w:val="21"/>
                <w:szCs w:val="21"/>
                <w:lang w:val="en-US" w:eastAsia="zh-CN"/>
              </w:rPr>
            </w:pPr>
            <w:r>
              <w:rPr>
                <w:rFonts w:hint="eastAsia" w:ascii="仿宋" w:hAnsi="仿宋" w:eastAsia="仿宋" w:cs="仿宋"/>
                <w:sz w:val="21"/>
                <w:szCs w:val="21"/>
                <w:lang w:val="en-US" w:eastAsia="zh-CN" w:bidi="ar"/>
              </w:rPr>
              <w:t>工业</w:t>
            </w:r>
          </w:p>
        </w:tc>
      </w:tr>
      <w:tr w14:paraId="63BB5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jc w:val="center"/>
        </w:trPr>
        <w:tc>
          <w:tcPr>
            <w:tcW w:w="361" w:type="pct"/>
            <w:noWrap/>
            <w:vAlign w:val="center"/>
          </w:tcPr>
          <w:p w14:paraId="337D93FB">
            <w:pPr>
              <w:spacing w:line="400" w:lineRule="exact"/>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5</w:t>
            </w:r>
          </w:p>
        </w:tc>
        <w:tc>
          <w:tcPr>
            <w:tcW w:w="758" w:type="pct"/>
            <w:gridSpan w:val="2"/>
            <w:noWrap/>
            <w:vAlign w:val="center"/>
          </w:tcPr>
          <w:p w14:paraId="31040260">
            <w:pPr>
              <w:keepNext w:val="0"/>
              <w:keepLines w:val="0"/>
              <w:widowControl/>
              <w:suppressLineNumbers w:val="0"/>
              <w:jc w:val="both"/>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highlight w:val="none"/>
                <w:u w:val="none"/>
                <w:lang w:val="en-US" w:eastAsia="zh-CN" w:bidi="ar"/>
              </w:rPr>
              <w:t>多媒体云终端</w:t>
            </w:r>
          </w:p>
        </w:tc>
        <w:tc>
          <w:tcPr>
            <w:tcW w:w="359" w:type="pct"/>
            <w:noWrap/>
            <w:vAlign w:val="center"/>
          </w:tcPr>
          <w:p w14:paraId="63FCEECD">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highlight w:val="none"/>
                <w:u w:val="none"/>
                <w:lang w:val="en-US" w:eastAsia="zh-CN" w:bidi="ar"/>
              </w:rPr>
              <w:t>66</w:t>
            </w:r>
          </w:p>
        </w:tc>
        <w:tc>
          <w:tcPr>
            <w:tcW w:w="569" w:type="pct"/>
            <w:noWrap/>
            <w:vAlign w:val="center"/>
          </w:tcPr>
          <w:p w14:paraId="2356E42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1"/>
                <w:szCs w:val="21"/>
              </w:rPr>
            </w:pPr>
            <w:r>
              <w:rPr>
                <w:rFonts w:hint="eastAsia" w:ascii="仿宋" w:hAnsi="仿宋" w:eastAsia="仿宋" w:cs="仿宋"/>
                <w:b w:val="0"/>
                <w:bCs w:val="0"/>
                <w:i w:val="0"/>
                <w:iCs w:val="0"/>
                <w:color w:val="auto"/>
                <w:kern w:val="0"/>
                <w:sz w:val="21"/>
                <w:szCs w:val="21"/>
                <w:highlight w:val="none"/>
                <w:u w:val="none"/>
                <w:lang w:val="en-US" w:eastAsia="zh-CN" w:bidi="ar"/>
              </w:rPr>
              <w:t>台</w:t>
            </w:r>
          </w:p>
        </w:tc>
        <w:tc>
          <w:tcPr>
            <w:tcW w:w="2479" w:type="pct"/>
            <w:noWrap/>
            <w:vAlign w:val="center"/>
          </w:tcPr>
          <w:p w14:paraId="5330BA2B">
            <w:pPr>
              <w:numPr>
                <w:ilvl w:val="0"/>
                <w:numId w:val="2"/>
              </w:numPr>
              <w:spacing w:line="360" w:lineRule="auto"/>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云终端硬件配置要求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1.为保证云桌面软件系统的兼容效果和稳定运行，所有终端均需采用x86架构，且为国内自主品牌；</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color w:val="000000"/>
                <w:kern w:val="0"/>
                <w:sz w:val="21"/>
                <w:szCs w:val="21"/>
                <w:lang w:val="en-US" w:eastAsia="zh-CN"/>
              </w:rPr>
              <w:t>▲</w:t>
            </w:r>
            <w:r>
              <w:rPr>
                <w:rFonts w:hint="eastAsia" w:ascii="仿宋" w:hAnsi="仿宋" w:eastAsia="仿宋" w:cs="仿宋"/>
                <w:i w:val="0"/>
                <w:iCs w:val="0"/>
                <w:color w:val="000000"/>
                <w:kern w:val="0"/>
                <w:sz w:val="21"/>
                <w:szCs w:val="21"/>
                <w:u w:val="none"/>
                <w:lang w:val="en-US" w:eastAsia="zh-CN" w:bidi="ar"/>
              </w:rPr>
              <w:t>2.</w:t>
            </w:r>
            <w:r>
              <w:rPr>
                <w:rFonts w:hint="eastAsia" w:ascii="仿宋" w:hAnsi="仿宋" w:eastAsia="仿宋" w:cs="仿宋"/>
                <w:i w:val="0"/>
                <w:iCs w:val="0"/>
                <w:color w:val="auto"/>
                <w:kern w:val="0"/>
                <w:sz w:val="21"/>
                <w:szCs w:val="21"/>
                <w:highlight w:val="none"/>
                <w:u w:val="none"/>
                <w:lang w:val="en-US" w:eastAsia="zh-CN" w:bidi="ar"/>
              </w:rPr>
              <w:t>CPU性能配置</w:t>
            </w:r>
            <w:r>
              <w:rPr>
                <w:rFonts w:hint="eastAsia" w:ascii="仿宋" w:hAnsi="仿宋" w:eastAsia="仿宋" w:cs="仿宋"/>
                <w:i w:val="0"/>
                <w:iCs w:val="0"/>
                <w:color w:val="000000"/>
                <w:kern w:val="0"/>
                <w:sz w:val="21"/>
                <w:szCs w:val="21"/>
                <w:u w:val="none"/>
                <w:lang w:val="en-US" w:eastAsia="zh-CN" w:bidi="ar"/>
              </w:rPr>
              <w:t>不低于Intel第十三代i5八核十二线程处理器；性能核心数量≥4个；内存容量≥8GB，本地存储≥512 GB SSD；</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3.为节约桌面空间，终端主体尺寸≤200mm（宽）×200mm（深）×44.4mm（高）；</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color w:val="000000"/>
                <w:kern w:val="0"/>
                <w:sz w:val="21"/>
                <w:szCs w:val="21"/>
                <w:lang w:val="en-US" w:eastAsia="zh-CN"/>
              </w:rPr>
              <w:t>▲</w:t>
            </w:r>
            <w:r>
              <w:rPr>
                <w:rFonts w:hint="eastAsia" w:ascii="仿宋" w:hAnsi="仿宋" w:eastAsia="仿宋" w:cs="仿宋"/>
                <w:i w:val="0"/>
                <w:iCs w:val="0"/>
                <w:color w:val="000000"/>
                <w:kern w:val="0"/>
                <w:sz w:val="21"/>
                <w:szCs w:val="21"/>
                <w:u w:val="none"/>
                <w:lang w:val="en-US" w:eastAsia="zh-CN" w:bidi="ar"/>
              </w:rPr>
              <w:t>4.USB接口数量≥8个（其中USB 3.0接口≥4个，USB 2.0接口≥4个），千兆网口≥1个，VGA接口≥1个，HDMI接口≥1个，音频输入输出接口≥2个，支持4段式耳机音频输入及输出；</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5.配置内存槽位≥2个；</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color w:val="000000"/>
                <w:kern w:val="0"/>
                <w:sz w:val="21"/>
                <w:szCs w:val="21"/>
                <w:lang w:val="en-US" w:eastAsia="zh-CN"/>
              </w:rPr>
              <w:t>▲</w:t>
            </w:r>
            <w:r>
              <w:rPr>
                <w:rFonts w:hint="eastAsia" w:ascii="仿宋" w:hAnsi="仿宋" w:eastAsia="仿宋" w:cs="仿宋"/>
                <w:i w:val="0"/>
                <w:iCs w:val="0"/>
                <w:color w:val="000000"/>
                <w:kern w:val="0"/>
                <w:sz w:val="21"/>
                <w:szCs w:val="21"/>
                <w:u w:val="none"/>
                <w:lang w:val="en-US" w:eastAsia="zh-CN" w:bidi="ar"/>
              </w:rPr>
              <w:t>6.配置M.2 SSD槽位≥2个，2.5英寸硬盘位≥1个，提供产品图片证明；</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color w:val="000000"/>
                <w:kern w:val="0"/>
                <w:sz w:val="21"/>
                <w:szCs w:val="21"/>
                <w:lang w:val="en-US" w:eastAsia="zh-CN"/>
              </w:rPr>
              <w:t>▲</w:t>
            </w:r>
            <w:r>
              <w:rPr>
                <w:rFonts w:hint="eastAsia" w:ascii="仿宋" w:hAnsi="仿宋" w:eastAsia="仿宋" w:cs="仿宋"/>
                <w:i w:val="0"/>
                <w:iCs w:val="0"/>
                <w:color w:val="000000"/>
                <w:kern w:val="0"/>
                <w:sz w:val="21"/>
                <w:szCs w:val="21"/>
                <w:u w:val="none"/>
                <w:lang w:val="en-US" w:eastAsia="zh-CN" w:bidi="ar"/>
              </w:rPr>
              <w:t>7.显示器配置WLED尺寸≥23.8英寸，分辨率≥1920×1080，刷新率≥100Hz(HDMI)，VGA接口≥1个，HDMI接口≥1个；</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8.显示器硬件形态：为保障使用时的动态清晰度、色彩还原准确、可视角度等方面的体验，需采用IPS屏，窄边框设计，水平及垂直可视角度≥178°，亮度≥250 cd/m²，对比度≥1,000:1，原生8bit色深</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color w:val="000000"/>
                <w:kern w:val="0"/>
                <w:sz w:val="21"/>
                <w:szCs w:val="21"/>
                <w:lang w:val="en-US" w:eastAsia="zh-CN"/>
              </w:rPr>
              <w:t>▲</w:t>
            </w:r>
            <w:r>
              <w:rPr>
                <w:rFonts w:hint="eastAsia" w:ascii="仿宋" w:hAnsi="仿宋" w:eastAsia="仿宋" w:cs="仿宋"/>
                <w:i w:val="0"/>
                <w:iCs w:val="0"/>
                <w:color w:val="000000"/>
                <w:kern w:val="0"/>
                <w:sz w:val="21"/>
                <w:szCs w:val="21"/>
                <w:u w:val="none"/>
                <w:lang w:val="en-US" w:eastAsia="zh-CN" w:bidi="ar"/>
              </w:rPr>
              <w:t>9.为了保证产品质量，所投设备提供三年质保。</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10.配置云桌面有线键鼠套装，内含有线键盘、鼠标、带有品牌logo的鼠标垫。</w:t>
            </w:r>
            <w:r>
              <w:rPr>
                <w:rFonts w:hint="eastAsia" w:ascii="仿宋" w:hAnsi="仿宋" w:eastAsia="仿宋" w:cs="仿宋"/>
                <w:i w:val="0"/>
                <w:iCs w:val="0"/>
                <w:color w:val="000000"/>
                <w:kern w:val="0"/>
                <w:sz w:val="21"/>
                <w:szCs w:val="21"/>
                <w:u w:val="none"/>
                <w:lang w:val="en-US" w:eastAsia="zh-CN" w:bidi="ar"/>
              </w:rPr>
              <w:br w:type="textWrapping"/>
            </w:r>
            <w:r>
              <w:rPr>
                <w:rFonts w:hint="eastAsia" w:hAnsi="宋体" w:cs="宋体"/>
                <w:color w:val="000000" w:themeColor="text1"/>
                <w:sz w:val="21"/>
                <w:highlight w:val="none"/>
                <w:lang w:bidi="ar"/>
                <w14:textFill>
                  <w14:solidFill>
                    <w14:schemeClr w14:val="tx1"/>
                  </w14:solidFill>
                </w14:textFill>
              </w:rPr>
              <w:t>●</w:t>
            </w:r>
            <w:r>
              <w:rPr>
                <w:rFonts w:hint="eastAsia" w:ascii="仿宋" w:hAnsi="仿宋" w:eastAsia="仿宋" w:cs="仿宋"/>
                <w:i w:val="0"/>
                <w:iCs w:val="0"/>
                <w:color w:val="000000"/>
                <w:kern w:val="0"/>
                <w:sz w:val="21"/>
                <w:szCs w:val="21"/>
                <w:u w:val="none"/>
                <w:lang w:val="en-US" w:eastAsia="zh-CN" w:bidi="ar"/>
              </w:rPr>
              <w:t>11.为保障所投设备质量优异、可靠性高，要求所投设备平均故障间隔时间（MTBF）≥30万小时；</w:t>
            </w:r>
            <w:r>
              <w:rPr>
                <w:rFonts w:hint="eastAsia" w:ascii="仿宋" w:hAnsi="仿宋" w:eastAsia="仿宋" w:cs="仿宋"/>
                <w:i w:val="0"/>
                <w:iCs w:val="0"/>
                <w:color w:val="000000"/>
                <w:kern w:val="0"/>
                <w:sz w:val="21"/>
                <w:szCs w:val="21"/>
                <w:u w:val="none"/>
                <w:lang w:val="en-US" w:eastAsia="zh-CN" w:bidi="ar"/>
              </w:rPr>
              <w:br w:type="textWrapping"/>
            </w:r>
            <w:r>
              <w:rPr>
                <w:rFonts w:hint="eastAsia" w:hAnsi="宋体" w:cs="宋体"/>
                <w:color w:val="000000" w:themeColor="text1"/>
                <w:sz w:val="21"/>
                <w:highlight w:val="none"/>
                <w:lang w:bidi="ar"/>
                <w14:textFill>
                  <w14:solidFill>
                    <w14:schemeClr w14:val="tx1"/>
                  </w14:solidFill>
                </w14:textFill>
              </w:rPr>
              <w:t>●</w:t>
            </w:r>
            <w:r>
              <w:rPr>
                <w:rFonts w:hint="eastAsia" w:ascii="仿宋" w:hAnsi="仿宋" w:eastAsia="仿宋" w:cs="仿宋"/>
                <w:i w:val="0"/>
                <w:iCs w:val="0"/>
                <w:color w:val="000000"/>
                <w:kern w:val="0"/>
                <w:sz w:val="21"/>
                <w:szCs w:val="21"/>
                <w:u w:val="none"/>
                <w:lang w:val="en-US" w:eastAsia="zh-CN" w:bidi="ar"/>
              </w:rPr>
              <w:t>12.为防止人体触电，要求所投终端产品满足抗电强度要求：（1）电源初级与地之间施加AC1500V产品无击穿现象；（2）电源初级与次级之间施加AC3000V产品无击穿现象；（3）电源初级与机壳之间施加AC3000V产品无击穿现象；</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二、云终端配套软件</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1.采用BS软件架构，中文图形化管理页面；</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2.管理平台至少要包括镜像管理、教室管理、用户管理等关键功能模块；</w:t>
            </w:r>
            <w:r>
              <w:rPr>
                <w:rFonts w:hint="eastAsia" w:ascii="仿宋" w:hAnsi="仿宋" w:eastAsia="仿宋" w:cs="仿宋"/>
                <w:i w:val="0"/>
                <w:iCs w:val="0"/>
                <w:color w:val="000000"/>
                <w:kern w:val="0"/>
                <w:sz w:val="21"/>
                <w:szCs w:val="21"/>
                <w:u w:val="none"/>
                <w:lang w:val="en-US" w:eastAsia="zh-CN" w:bidi="ar"/>
              </w:rPr>
              <w:br w:type="textWrapping"/>
            </w:r>
            <w:r>
              <w:rPr>
                <w:rFonts w:hint="eastAsia" w:hAnsi="宋体" w:cs="宋体"/>
                <w:color w:val="000000" w:themeColor="text1"/>
                <w:sz w:val="21"/>
                <w:highlight w:val="none"/>
                <w:lang w:bidi="ar"/>
                <w14:textFill>
                  <w14:solidFill>
                    <w14:schemeClr w14:val="tx1"/>
                  </w14:solidFill>
                </w14:textFill>
              </w:rPr>
              <w:t>●</w:t>
            </w:r>
            <w:r>
              <w:rPr>
                <w:rFonts w:hint="eastAsia" w:ascii="仿宋" w:hAnsi="仿宋" w:eastAsia="仿宋" w:cs="仿宋"/>
                <w:i w:val="0"/>
                <w:iCs w:val="0"/>
                <w:color w:val="000000"/>
                <w:kern w:val="0"/>
                <w:sz w:val="21"/>
                <w:szCs w:val="21"/>
                <w:u w:val="none"/>
                <w:lang w:val="en-US" w:eastAsia="zh-CN" w:bidi="ar"/>
              </w:rPr>
              <w:t>3.同一虚拟教室的学生机可以按需工作在IDV、TCI、VDI任意一种模式下；</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4.一台终端具备可以同时部署IDV、TCI桌面的能力，并且可以实际使用。可以在镜像选择页面同时提供2种镜像，根据用户选择的镜像进入系统的同时自动判断使用哪种类型的桌面启动；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5.镜像模版可以使用多种类型的操作系统，包括且不限于：win 10、win11、win server 2016、UOS、KOS、Ubuntu等操作系统版本；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6.提供虚拟教室功能，能够按照教室规模创建不同的虚拟教室，每个虚拟教室独立管理和配置，在云终端控制器管理页面能够实现对独立教室的学生终端、教师云终端分别进行配置和管理；</w:t>
            </w:r>
            <w:r>
              <w:rPr>
                <w:rFonts w:hint="eastAsia" w:ascii="仿宋" w:hAnsi="仿宋" w:eastAsia="仿宋" w:cs="仿宋"/>
                <w:i w:val="0"/>
                <w:iCs w:val="0"/>
                <w:color w:val="000000"/>
                <w:kern w:val="0"/>
                <w:sz w:val="21"/>
                <w:szCs w:val="21"/>
                <w:u w:val="none"/>
                <w:lang w:val="en-US" w:eastAsia="zh-CN" w:bidi="ar"/>
              </w:rPr>
              <w:br w:type="textWrapping"/>
            </w:r>
            <w:r>
              <w:rPr>
                <w:rFonts w:hint="eastAsia" w:hAnsi="宋体" w:cs="宋体"/>
                <w:color w:val="000000" w:themeColor="text1"/>
                <w:sz w:val="21"/>
                <w:highlight w:val="none"/>
                <w:lang w:bidi="ar"/>
                <w14:textFill>
                  <w14:solidFill>
                    <w14:schemeClr w14:val="tx1"/>
                  </w14:solidFill>
                </w14:textFill>
              </w:rPr>
              <w:t>●</w:t>
            </w:r>
            <w:r>
              <w:rPr>
                <w:rFonts w:hint="eastAsia" w:ascii="仿宋" w:hAnsi="仿宋" w:eastAsia="仿宋" w:cs="仿宋"/>
                <w:i w:val="0"/>
                <w:iCs w:val="0"/>
                <w:color w:val="000000"/>
                <w:kern w:val="0"/>
                <w:sz w:val="21"/>
                <w:szCs w:val="21"/>
                <w:u w:val="none"/>
                <w:lang w:val="en-US" w:eastAsia="zh-CN" w:bidi="ar"/>
              </w:rPr>
              <w:t>7.为保证重要镜像的安全性，支持教学镜像对学生隐藏或可见；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8.终端支持完全离线模式，即在云终端控制器连接中断时，依然可使用当前正在使用的镜像环境，保障业务连续性；</w:t>
            </w:r>
            <w:r>
              <w:rPr>
                <w:rFonts w:hint="eastAsia" w:ascii="仿宋" w:hAnsi="仿宋" w:eastAsia="仿宋" w:cs="仿宋"/>
                <w:i w:val="0"/>
                <w:iCs w:val="0"/>
                <w:color w:val="000000"/>
                <w:kern w:val="0"/>
                <w:sz w:val="21"/>
                <w:szCs w:val="21"/>
                <w:u w:val="none"/>
                <w:lang w:val="en-US" w:eastAsia="zh-CN" w:bidi="ar"/>
              </w:rPr>
              <w:br w:type="textWrapping"/>
            </w:r>
            <w:r>
              <w:rPr>
                <w:rFonts w:hint="eastAsia" w:hAnsi="宋体" w:cs="宋体"/>
                <w:color w:val="000000" w:themeColor="text1"/>
                <w:sz w:val="21"/>
                <w:highlight w:val="none"/>
                <w:lang w:bidi="ar"/>
                <w14:textFill>
                  <w14:solidFill>
                    <w14:schemeClr w14:val="tx1"/>
                  </w14:solidFill>
                </w14:textFill>
              </w:rPr>
              <w:t>●</w:t>
            </w:r>
            <w:r>
              <w:rPr>
                <w:rFonts w:hint="eastAsia" w:ascii="仿宋" w:hAnsi="仿宋" w:eastAsia="仿宋" w:cs="仿宋"/>
                <w:i w:val="0"/>
                <w:iCs w:val="0"/>
                <w:color w:val="000000"/>
                <w:kern w:val="0"/>
                <w:sz w:val="21"/>
                <w:szCs w:val="21"/>
                <w:u w:val="none"/>
                <w:lang w:val="en-US" w:eastAsia="zh-CN" w:bidi="ar"/>
              </w:rPr>
              <w:t>9.为更快捷安装应用软件，支持软件安装包以文件、文件夹等形式上传；</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10.支持个性化配置保存功能，在还原桌面的情况下，首次完成软件的逐台注册激活后，可以将激活信息保存至个人数据盘中。之后即使更新镜像模版也不会破坏激活信息，无需重新激活；</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11.支持个性化配置保存功能。首次完成软件的注册激活后，之后更新镜像模版也无需重新激活。</w:t>
            </w:r>
            <w:r>
              <w:rPr>
                <w:rFonts w:hint="eastAsia" w:ascii="仿宋" w:hAnsi="仿宋" w:eastAsia="仿宋" w:cs="仿宋"/>
                <w:i w:val="0"/>
                <w:iCs w:val="0"/>
                <w:color w:val="000000"/>
                <w:kern w:val="0"/>
                <w:sz w:val="21"/>
                <w:szCs w:val="21"/>
                <w:u w:val="none"/>
                <w:lang w:val="en-US" w:eastAsia="zh-CN" w:bidi="ar"/>
              </w:rPr>
              <w:br w:type="textWrapping"/>
            </w:r>
            <w:r>
              <w:rPr>
                <w:rFonts w:hint="eastAsia" w:hAnsi="宋体" w:cs="宋体"/>
                <w:color w:val="000000" w:themeColor="text1"/>
                <w:sz w:val="21"/>
                <w:highlight w:val="none"/>
                <w:lang w:bidi="ar"/>
                <w14:textFill>
                  <w14:solidFill>
                    <w14:schemeClr w14:val="tx1"/>
                  </w14:solidFill>
                </w14:textFill>
              </w:rPr>
              <w:t>●</w:t>
            </w:r>
            <w:r>
              <w:rPr>
                <w:rFonts w:hint="eastAsia" w:ascii="仿宋" w:hAnsi="仿宋" w:eastAsia="仿宋" w:cs="仿宋"/>
                <w:i w:val="0"/>
                <w:iCs w:val="0"/>
                <w:color w:val="000000"/>
                <w:kern w:val="0"/>
                <w:sz w:val="21"/>
                <w:szCs w:val="21"/>
                <w:u w:val="none"/>
                <w:lang w:val="en-US" w:eastAsia="zh-CN" w:bidi="ar"/>
              </w:rPr>
              <w:t>12.支持管理员通过服务器集群的web管理平台唤醒远程不同网段的终端，中间无需使用跳板机转发；</w:t>
            </w:r>
            <w:r>
              <w:rPr>
                <w:rFonts w:hint="eastAsia" w:ascii="仿宋" w:hAnsi="仿宋" w:eastAsia="仿宋" w:cs="仿宋"/>
                <w:i w:val="0"/>
                <w:iCs w:val="0"/>
                <w:color w:val="000000"/>
                <w:kern w:val="0"/>
                <w:sz w:val="21"/>
                <w:szCs w:val="21"/>
                <w:u w:val="none"/>
                <w:lang w:val="en-US" w:eastAsia="zh-CN" w:bidi="ar"/>
              </w:rPr>
              <w:br w:type="textWrapping"/>
            </w:r>
            <w:r>
              <w:rPr>
                <w:rFonts w:hint="eastAsia" w:hAnsi="宋体" w:cs="宋体"/>
                <w:color w:val="000000" w:themeColor="text1"/>
                <w:sz w:val="21"/>
                <w:highlight w:val="none"/>
                <w:lang w:bidi="ar"/>
                <w14:textFill>
                  <w14:solidFill>
                    <w14:schemeClr w14:val="tx1"/>
                  </w14:solidFill>
                </w14:textFill>
              </w:rPr>
              <w:t>●</w:t>
            </w:r>
            <w:r>
              <w:rPr>
                <w:rFonts w:hint="eastAsia" w:ascii="仿宋" w:hAnsi="仿宋" w:eastAsia="仿宋" w:cs="仿宋"/>
                <w:i w:val="0"/>
                <w:iCs w:val="0"/>
                <w:color w:val="000000"/>
                <w:kern w:val="0"/>
                <w:sz w:val="21"/>
                <w:szCs w:val="21"/>
                <w:u w:val="none"/>
                <w:lang w:val="en-US" w:eastAsia="zh-CN" w:bidi="ar"/>
              </w:rPr>
              <w:t>13.为降低单个镜像大小获取更好的下发部署体验，平台支持对镜像进行瘦身操作来减少镜像占用空间，瘦身操作包含标准瘦身和深度瘦身；</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14.支持上电自启动功能，并能够根据实际使用情况选择关闭或开启；</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15.终端支持完全离线模式，即在云终端控制器连接中断时，依然可使用当前正在使用的镜像环境，保障业务连续性；</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16.要求所投产品支持个性化配置保存功能，在还原桌面的情况下，可以将个性化信息（比如输入法个性程序）保存至个人数据盘中；</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color w:val="000000"/>
                <w:kern w:val="0"/>
                <w:sz w:val="21"/>
                <w:szCs w:val="21"/>
                <w:lang w:val="en-US" w:eastAsia="zh-CN"/>
              </w:rPr>
              <w:t>▲</w:t>
            </w:r>
            <w:r>
              <w:rPr>
                <w:rFonts w:hint="eastAsia" w:ascii="仿宋" w:hAnsi="仿宋" w:eastAsia="仿宋" w:cs="仿宋"/>
                <w:i w:val="0"/>
                <w:iCs w:val="0"/>
                <w:color w:val="000000"/>
                <w:kern w:val="0"/>
                <w:sz w:val="21"/>
                <w:szCs w:val="21"/>
                <w:u w:val="none"/>
                <w:lang w:val="en-US" w:eastAsia="zh-CN" w:bidi="ar"/>
              </w:rPr>
              <w:t>17.为保证兼容性和服务便捷性，防止推诿，要求与学校现有云桌面管理平台（品牌：锐捷，型号：RG-CCP）可以实现对本次采购终端的集中管理、操作系统镜像统一下发、远程运维，投标时投标人需出具所投产品能稳定兼容现有设备及系统的承诺函，并加盖公章。；</w:t>
            </w:r>
          </w:p>
          <w:p w14:paraId="494337E0">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仿宋" w:hAnsi="仿宋" w:eastAsia="仿宋" w:cs="仿宋"/>
                <w:color w:val="auto"/>
                <w:sz w:val="21"/>
                <w:szCs w:val="21"/>
              </w:rPr>
            </w:pPr>
            <w:r>
              <w:rPr>
                <w:rFonts w:hint="eastAsia" w:ascii="仿宋" w:hAnsi="仿宋" w:eastAsia="仿宋" w:cs="仿宋"/>
                <w:color w:val="000000"/>
                <w:kern w:val="0"/>
                <w:sz w:val="21"/>
                <w:szCs w:val="21"/>
                <w:lang w:val="en-US" w:eastAsia="zh-CN"/>
              </w:rPr>
              <w:t>▲</w:t>
            </w:r>
            <w:r>
              <w:rPr>
                <w:rFonts w:hint="eastAsia" w:ascii="仿宋" w:hAnsi="仿宋" w:eastAsia="仿宋" w:cs="仿宋"/>
                <w:i w:val="0"/>
                <w:iCs w:val="0"/>
                <w:color w:val="000000"/>
                <w:kern w:val="0"/>
                <w:sz w:val="21"/>
                <w:szCs w:val="21"/>
                <w:u w:val="none"/>
                <w:lang w:val="en-US" w:eastAsia="zh-CN" w:bidi="ar"/>
              </w:rPr>
              <w:t>18.</w:t>
            </w:r>
            <w:r>
              <w:rPr>
                <w:rFonts w:hint="eastAsia" w:ascii="仿宋" w:hAnsi="仿宋" w:eastAsia="仿宋" w:cs="仿宋"/>
                <w:sz w:val="21"/>
                <w:szCs w:val="21"/>
                <w:lang w:val="en-US" w:eastAsia="zh-CN" w:bidi="ar"/>
              </w:rPr>
              <w:t>产品享受正规厂家三包政策，保修三年。交货前成交供应商须提供相关产品为原厂正品及相应的维修维保服务相关证明材料并加盖公章，否则不予验收。</w:t>
            </w:r>
          </w:p>
        </w:tc>
        <w:tc>
          <w:tcPr>
            <w:tcW w:w="470" w:type="pct"/>
            <w:noWrap/>
            <w:vAlign w:val="center"/>
          </w:tcPr>
          <w:p w14:paraId="47B19C20">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仿宋" w:hAnsi="仿宋" w:eastAsia="仿宋" w:cs="仿宋"/>
                <w:color w:val="000000"/>
                <w:kern w:val="0"/>
                <w:sz w:val="21"/>
                <w:szCs w:val="21"/>
                <w:lang w:val="en-US" w:eastAsia="zh-CN"/>
              </w:rPr>
            </w:pPr>
            <w:r>
              <w:rPr>
                <w:rFonts w:hint="eastAsia" w:ascii="仿宋" w:hAnsi="仿宋" w:eastAsia="仿宋" w:cs="仿宋"/>
                <w:sz w:val="21"/>
                <w:szCs w:val="21"/>
                <w:lang w:val="en-US" w:eastAsia="zh-CN" w:bidi="ar"/>
              </w:rPr>
              <w:t>工业</w:t>
            </w:r>
          </w:p>
        </w:tc>
      </w:tr>
      <w:tr w14:paraId="3BC22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jc w:val="center"/>
        </w:trPr>
        <w:tc>
          <w:tcPr>
            <w:tcW w:w="361" w:type="pct"/>
            <w:noWrap/>
            <w:vAlign w:val="center"/>
          </w:tcPr>
          <w:p w14:paraId="78F35724">
            <w:pPr>
              <w:spacing w:line="400" w:lineRule="exact"/>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6</w:t>
            </w:r>
          </w:p>
        </w:tc>
        <w:tc>
          <w:tcPr>
            <w:tcW w:w="758" w:type="pct"/>
            <w:gridSpan w:val="2"/>
            <w:noWrap/>
            <w:vAlign w:val="center"/>
          </w:tcPr>
          <w:p w14:paraId="4165D6C0">
            <w:pPr>
              <w:keepNext w:val="0"/>
              <w:keepLines w:val="0"/>
              <w:widowControl/>
              <w:suppressLineNumbers w:val="0"/>
              <w:jc w:val="both"/>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highlight w:val="none"/>
                <w:u w:val="none"/>
                <w:lang w:val="en-US" w:eastAsia="zh-CN" w:bidi="ar"/>
              </w:rPr>
              <w:t>设备远程管理软件</w:t>
            </w:r>
          </w:p>
        </w:tc>
        <w:tc>
          <w:tcPr>
            <w:tcW w:w="359" w:type="pct"/>
            <w:noWrap/>
            <w:vAlign w:val="center"/>
          </w:tcPr>
          <w:p w14:paraId="03ADDA4C">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highlight w:val="none"/>
                <w:u w:val="none"/>
                <w:lang w:val="en-US" w:eastAsia="zh-CN" w:bidi="ar"/>
              </w:rPr>
              <w:t>2</w:t>
            </w:r>
          </w:p>
        </w:tc>
        <w:tc>
          <w:tcPr>
            <w:tcW w:w="569" w:type="pct"/>
            <w:noWrap/>
            <w:vAlign w:val="center"/>
          </w:tcPr>
          <w:p w14:paraId="73C9D49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1"/>
                <w:szCs w:val="21"/>
              </w:rPr>
            </w:pPr>
            <w:r>
              <w:rPr>
                <w:rFonts w:hint="eastAsia" w:ascii="仿宋" w:hAnsi="仿宋" w:eastAsia="仿宋" w:cs="仿宋"/>
                <w:b w:val="0"/>
                <w:bCs w:val="0"/>
                <w:i w:val="0"/>
                <w:iCs w:val="0"/>
                <w:color w:val="auto"/>
                <w:kern w:val="0"/>
                <w:sz w:val="21"/>
                <w:szCs w:val="21"/>
                <w:highlight w:val="none"/>
                <w:u w:val="none"/>
                <w:lang w:val="en-US" w:eastAsia="zh-CN" w:bidi="ar"/>
              </w:rPr>
              <w:t>套</w:t>
            </w:r>
          </w:p>
        </w:tc>
        <w:tc>
          <w:tcPr>
            <w:tcW w:w="2479" w:type="pct"/>
            <w:noWrap/>
            <w:vAlign w:val="center"/>
          </w:tcPr>
          <w:p w14:paraId="6353BE81">
            <w:pPr>
              <w:keepNext w:val="0"/>
              <w:keepLines w:val="0"/>
              <w:pageBreakBefore w:val="0"/>
              <w:kinsoku/>
              <w:wordWrap/>
              <w:overflowPunct/>
              <w:topLinePunct w:val="0"/>
              <w:autoSpaceDE/>
              <w:autoSpaceDN/>
              <w:bidi w:val="0"/>
              <w:adjustRightInd/>
              <w:snapToGrid/>
              <w:spacing w:line="470" w:lineRule="exact"/>
              <w:jc w:val="both"/>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1.提供多种教学模式以匹配不同的教学需求，支持老师通过教学管理软件对学生一键切换教学镜像；切换镜像时，云终端硬件无需重新启动。</w:t>
            </w:r>
          </w:p>
          <w:p w14:paraId="391995C2">
            <w:pPr>
              <w:keepNext w:val="0"/>
              <w:keepLines w:val="0"/>
              <w:pageBreakBefore w:val="0"/>
              <w:kinsoku/>
              <w:wordWrap/>
              <w:overflowPunct/>
              <w:topLinePunct w:val="0"/>
              <w:autoSpaceDE/>
              <w:autoSpaceDN/>
              <w:bidi w:val="0"/>
              <w:adjustRightInd/>
              <w:snapToGrid/>
              <w:spacing w:line="470" w:lineRule="exact"/>
              <w:jc w:val="both"/>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2.支持通过教学管理软件一键开启所有云终端，终端启动后进入对应的课程镜像桌面。</w:t>
            </w:r>
          </w:p>
          <w:p w14:paraId="795D07A3">
            <w:pPr>
              <w:keepNext w:val="0"/>
              <w:keepLines w:val="0"/>
              <w:pageBreakBefore w:val="0"/>
              <w:kinsoku/>
              <w:wordWrap/>
              <w:overflowPunct/>
              <w:topLinePunct w:val="0"/>
              <w:autoSpaceDE/>
              <w:autoSpaceDN/>
              <w:bidi w:val="0"/>
              <w:adjustRightInd/>
              <w:snapToGrid/>
              <w:spacing w:line="470" w:lineRule="exact"/>
              <w:jc w:val="both"/>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3.为简化教学、方便上课前的学生点名，教学管理软件远程终端编号功能，并与云桌面编号一一对应。</w:t>
            </w:r>
          </w:p>
          <w:p w14:paraId="52D64B2D">
            <w:pPr>
              <w:keepNext w:val="0"/>
              <w:keepLines w:val="0"/>
              <w:pageBreakBefore w:val="0"/>
              <w:kinsoku/>
              <w:wordWrap/>
              <w:overflowPunct/>
              <w:topLinePunct w:val="0"/>
              <w:autoSpaceDE/>
              <w:autoSpaceDN/>
              <w:bidi w:val="0"/>
              <w:adjustRightInd/>
              <w:snapToGrid/>
              <w:spacing w:line="470" w:lineRule="exact"/>
              <w:jc w:val="both"/>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4.支持老师对单一、部分或全体学生进行黑屏操作，黑屏状态下，学生的机器被锁定。</w:t>
            </w:r>
          </w:p>
          <w:p w14:paraId="54571E45">
            <w:pPr>
              <w:keepNext w:val="0"/>
              <w:keepLines w:val="0"/>
              <w:pageBreakBefore w:val="0"/>
              <w:kinsoku/>
              <w:wordWrap/>
              <w:overflowPunct/>
              <w:topLinePunct w:val="0"/>
              <w:autoSpaceDE/>
              <w:autoSpaceDN/>
              <w:bidi w:val="0"/>
              <w:adjustRightInd/>
              <w:snapToGrid/>
              <w:spacing w:line="470" w:lineRule="exact"/>
              <w:jc w:val="both"/>
              <w:rPr>
                <w:rFonts w:hint="eastAsia" w:ascii="仿宋" w:hAnsi="仿宋" w:eastAsia="仿宋" w:cs="仿宋"/>
                <w:i w:val="0"/>
                <w:iCs w:val="0"/>
                <w:color w:val="000000"/>
                <w:kern w:val="0"/>
                <w:sz w:val="21"/>
                <w:szCs w:val="21"/>
                <w:u w:val="none"/>
                <w:lang w:val="en-US" w:eastAsia="zh-CN" w:bidi="ar"/>
              </w:rPr>
            </w:pPr>
            <w:r>
              <w:rPr>
                <w:rFonts w:hint="eastAsia" w:hAnsi="宋体" w:cs="宋体"/>
                <w:color w:val="000000" w:themeColor="text1"/>
                <w:sz w:val="21"/>
                <w:highlight w:val="none"/>
                <w:lang w:bidi="ar"/>
                <w14:textFill>
                  <w14:solidFill>
                    <w14:schemeClr w14:val="tx1"/>
                  </w14:solidFill>
                </w14:textFill>
              </w:rPr>
              <w:t>●</w:t>
            </w:r>
            <w:r>
              <w:rPr>
                <w:rFonts w:hint="eastAsia" w:ascii="仿宋" w:hAnsi="仿宋" w:eastAsia="仿宋" w:cs="仿宋"/>
                <w:i w:val="0"/>
                <w:iCs w:val="0"/>
                <w:color w:val="000000"/>
                <w:kern w:val="0"/>
                <w:sz w:val="21"/>
                <w:szCs w:val="21"/>
                <w:u w:val="none"/>
                <w:lang w:val="en-US" w:eastAsia="zh-CN" w:bidi="ar"/>
              </w:rPr>
              <w:t>5.为保证正常教学使用，在教师机可以实现屏幕广播；学生可以调整老师广播屏幕大小；老师可以选择是否广播声音给学生；</w:t>
            </w:r>
          </w:p>
          <w:p w14:paraId="45332B2D">
            <w:pPr>
              <w:keepNext w:val="0"/>
              <w:keepLines w:val="0"/>
              <w:pageBreakBefore w:val="0"/>
              <w:kinsoku/>
              <w:wordWrap/>
              <w:overflowPunct/>
              <w:topLinePunct w:val="0"/>
              <w:autoSpaceDE/>
              <w:autoSpaceDN/>
              <w:bidi w:val="0"/>
              <w:adjustRightInd/>
              <w:snapToGrid/>
              <w:spacing w:line="470" w:lineRule="exact"/>
              <w:jc w:val="both"/>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6.为方便教学控制，支持通过教学管理软件实现一键禁止任意学生上网，禁网的同时仍需要支持屏幕广播、屏幕查看等正常教学应用。</w:t>
            </w:r>
          </w:p>
          <w:p w14:paraId="45C11345">
            <w:pPr>
              <w:keepNext w:val="0"/>
              <w:keepLines w:val="0"/>
              <w:pageBreakBefore w:val="0"/>
              <w:kinsoku/>
              <w:wordWrap/>
              <w:overflowPunct/>
              <w:topLinePunct w:val="0"/>
              <w:autoSpaceDE/>
              <w:autoSpaceDN/>
              <w:bidi w:val="0"/>
              <w:adjustRightInd/>
              <w:snapToGrid/>
              <w:spacing w:line="470" w:lineRule="exact"/>
              <w:jc w:val="both"/>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教学管理软件默认提供作业布置、批改、管理和成绩统计功能组件，提供学生作业的归档和下载；支持老师在作业空间为多个或单个班级的学生布置作业，布置内容可支持word等文件格式；支持老师对作业上交截止时间进行设置。</w:t>
            </w:r>
          </w:p>
          <w:p w14:paraId="5F2294A0">
            <w:pPr>
              <w:keepNext w:val="0"/>
              <w:keepLines w:val="0"/>
              <w:pageBreakBefore w:val="0"/>
              <w:kinsoku/>
              <w:wordWrap/>
              <w:overflowPunct/>
              <w:topLinePunct w:val="0"/>
              <w:autoSpaceDE/>
              <w:autoSpaceDN/>
              <w:bidi w:val="0"/>
              <w:adjustRightInd/>
              <w:snapToGrid/>
              <w:spacing w:line="470" w:lineRule="exact"/>
              <w:jc w:val="both"/>
              <w:rPr>
                <w:rFonts w:hint="eastAsia" w:ascii="仿宋" w:hAnsi="仿宋" w:eastAsia="仿宋" w:cs="仿宋"/>
                <w:i w:val="0"/>
                <w:iCs w:val="0"/>
                <w:color w:val="000000"/>
                <w:kern w:val="0"/>
                <w:sz w:val="21"/>
                <w:szCs w:val="21"/>
                <w:u w:val="none"/>
                <w:lang w:val="en-US" w:eastAsia="zh-CN" w:bidi="ar"/>
              </w:rPr>
            </w:pPr>
            <w:r>
              <w:rPr>
                <w:rFonts w:hint="eastAsia" w:hAnsi="宋体" w:cs="宋体"/>
                <w:color w:val="000000" w:themeColor="text1"/>
                <w:sz w:val="21"/>
                <w:highlight w:val="none"/>
                <w:lang w:bidi="ar"/>
                <w14:textFill>
                  <w14:solidFill>
                    <w14:schemeClr w14:val="tx1"/>
                  </w14:solidFill>
                </w14:textFill>
              </w:rPr>
              <w:t>●</w:t>
            </w:r>
            <w:r>
              <w:rPr>
                <w:rFonts w:hint="eastAsia" w:ascii="仿宋" w:hAnsi="仿宋" w:eastAsia="仿宋" w:cs="仿宋"/>
                <w:i w:val="0"/>
                <w:iCs w:val="0"/>
                <w:color w:val="000000"/>
                <w:kern w:val="0"/>
                <w:sz w:val="21"/>
                <w:szCs w:val="21"/>
                <w:u w:val="none"/>
                <w:lang w:val="en-US" w:eastAsia="zh-CN" w:bidi="ar"/>
              </w:rPr>
              <w:t>8.支持老师在线打开学生作业；支持txt、图片等学生作业格式。在线查看学生作业后，可以在个人空间中打分。</w:t>
            </w:r>
          </w:p>
          <w:p w14:paraId="4181E428">
            <w:pPr>
              <w:keepNext w:val="0"/>
              <w:keepLines w:val="0"/>
              <w:pageBreakBefore w:val="0"/>
              <w:kinsoku/>
              <w:wordWrap/>
              <w:overflowPunct/>
              <w:topLinePunct w:val="0"/>
              <w:autoSpaceDE/>
              <w:autoSpaceDN/>
              <w:bidi w:val="0"/>
              <w:adjustRightInd/>
              <w:snapToGrid/>
              <w:spacing w:line="470" w:lineRule="exact"/>
              <w:jc w:val="both"/>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9.支持老师将学生作业标记为公开作业；支持学生通过学生端软件查看所有老师标记的公开作业。</w:t>
            </w:r>
          </w:p>
          <w:p w14:paraId="55A61746">
            <w:pPr>
              <w:keepNext w:val="0"/>
              <w:keepLines w:val="0"/>
              <w:pageBreakBefore w:val="0"/>
              <w:kinsoku/>
              <w:wordWrap/>
              <w:overflowPunct/>
              <w:topLinePunct w:val="0"/>
              <w:autoSpaceDE/>
              <w:autoSpaceDN/>
              <w:bidi w:val="0"/>
              <w:adjustRightInd/>
              <w:snapToGrid/>
              <w:spacing w:line="470" w:lineRule="exact"/>
              <w:jc w:val="both"/>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10.支持老师对学生分组功能；支持根据学生姓名手动分组或随机分组；支持老师和组长对组名重命名功能；支持小组总得分记录、支持查看学生组员在小组内的表现分数；支持组内文件互传功能。</w:t>
            </w:r>
          </w:p>
          <w:p w14:paraId="27219373">
            <w:pPr>
              <w:keepNext w:val="0"/>
              <w:keepLines w:val="0"/>
              <w:pageBreakBefore w:val="0"/>
              <w:kinsoku/>
              <w:wordWrap/>
              <w:overflowPunct/>
              <w:topLinePunct w:val="0"/>
              <w:autoSpaceDE/>
              <w:autoSpaceDN/>
              <w:bidi w:val="0"/>
              <w:adjustRightInd/>
              <w:snapToGrid/>
              <w:spacing w:line="470" w:lineRule="exact"/>
              <w:jc w:val="both"/>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color w:val="000000"/>
                <w:kern w:val="0"/>
                <w:sz w:val="21"/>
                <w:szCs w:val="21"/>
                <w:lang w:val="en-US" w:eastAsia="zh-CN"/>
              </w:rPr>
              <w:t>▲</w:t>
            </w:r>
            <w:r>
              <w:rPr>
                <w:rFonts w:hint="eastAsia" w:ascii="仿宋" w:hAnsi="仿宋" w:eastAsia="仿宋" w:cs="仿宋"/>
                <w:i w:val="0"/>
                <w:iCs w:val="0"/>
                <w:color w:val="000000"/>
                <w:kern w:val="0"/>
                <w:sz w:val="21"/>
                <w:szCs w:val="21"/>
                <w:u w:val="none"/>
                <w:lang w:val="en-US" w:eastAsia="zh-CN" w:bidi="ar"/>
              </w:rPr>
              <w:t>11.支持自主注册账号、支持管理员统一账号导入；老师账号仅支持密码登陆个人空间；学生账号支持密码登陆和无密码登陆。</w:t>
            </w:r>
          </w:p>
          <w:p w14:paraId="502FD94B">
            <w:pPr>
              <w:keepNext w:val="0"/>
              <w:keepLines w:val="0"/>
              <w:pageBreakBefore w:val="0"/>
              <w:kinsoku/>
              <w:wordWrap/>
              <w:overflowPunct/>
              <w:topLinePunct w:val="0"/>
              <w:autoSpaceDE/>
              <w:autoSpaceDN/>
              <w:bidi w:val="0"/>
              <w:adjustRightInd/>
              <w:snapToGrid/>
              <w:spacing w:line="470" w:lineRule="exact"/>
              <w:jc w:val="both"/>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color w:val="000000"/>
                <w:kern w:val="0"/>
                <w:sz w:val="21"/>
                <w:szCs w:val="21"/>
                <w:lang w:val="en-US" w:eastAsia="zh-CN"/>
              </w:rPr>
              <w:t>▲</w:t>
            </w:r>
            <w:r>
              <w:rPr>
                <w:rFonts w:hint="eastAsia" w:ascii="仿宋" w:hAnsi="仿宋" w:eastAsia="仿宋" w:cs="仿宋"/>
                <w:i w:val="0"/>
                <w:iCs w:val="0"/>
                <w:color w:val="000000"/>
                <w:kern w:val="0"/>
                <w:sz w:val="21"/>
                <w:szCs w:val="21"/>
                <w:u w:val="none"/>
                <w:lang w:val="en-US" w:eastAsia="zh-CN" w:bidi="ar"/>
              </w:rPr>
              <w:t>12.支持老师对选中文件的分发和回收；支持老师对文件分发学生范围设置，支持老师根据姓名、小组、班级全员进行分发；支持考试对单独文件或文件夹形式分发；支持老师设置文件回收截至时间；支持老师设置回收后的文件存储位置；支持学生一键文件提交。</w:t>
            </w:r>
          </w:p>
          <w:p w14:paraId="54684E8E">
            <w:pPr>
              <w:keepNext w:val="0"/>
              <w:keepLines w:val="0"/>
              <w:pageBreakBefore w:val="0"/>
              <w:kinsoku/>
              <w:wordWrap/>
              <w:overflowPunct/>
              <w:topLinePunct w:val="0"/>
              <w:autoSpaceDE/>
              <w:autoSpaceDN/>
              <w:bidi w:val="0"/>
              <w:adjustRightInd/>
              <w:snapToGrid/>
              <w:spacing w:line="470" w:lineRule="exact"/>
              <w:jc w:val="both"/>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13.个人空间内置网盘功能，学生可通过作业空间账号直接登录，学生没有做完的作业或文件，可以上传到在作业空间中独立的存储空间中，方便下次上课使用，网盘文件支持上传和下载。</w:t>
            </w:r>
          </w:p>
          <w:p w14:paraId="34A2B74E">
            <w:pPr>
              <w:keepNext w:val="0"/>
              <w:keepLines w:val="0"/>
              <w:pageBreakBefore w:val="0"/>
              <w:kinsoku/>
              <w:wordWrap/>
              <w:overflowPunct/>
              <w:topLinePunct w:val="0"/>
              <w:autoSpaceDE/>
              <w:autoSpaceDN/>
              <w:bidi w:val="0"/>
              <w:adjustRightInd/>
              <w:snapToGrid/>
              <w:spacing w:line="470" w:lineRule="exact"/>
              <w:jc w:val="both"/>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14.互动游戏：为促进课堂互动效果，提升课堂活跃度，需提供实用课堂互动小游戏。</w:t>
            </w:r>
          </w:p>
          <w:p w14:paraId="4F0EE1B7">
            <w:pPr>
              <w:keepNext w:val="0"/>
              <w:keepLines w:val="0"/>
              <w:pageBreakBefore w:val="0"/>
              <w:kinsoku/>
              <w:wordWrap/>
              <w:overflowPunct/>
              <w:topLinePunct w:val="0"/>
              <w:autoSpaceDE/>
              <w:autoSpaceDN/>
              <w:bidi w:val="0"/>
              <w:adjustRightInd/>
              <w:snapToGrid/>
              <w:spacing w:line="470" w:lineRule="exact"/>
              <w:jc w:val="both"/>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color w:val="000000"/>
                <w:kern w:val="0"/>
                <w:sz w:val="21"/>
                <w:szCs w:val="21"/>
                <w:lang w:val="en-US" w:eastAsia="zh-CN"/>
              </w:rPr>
              <w:t>▲</w:t>
            </w:r>
            <w:r>
              <w:rPr>
                <w:rFonts w:hint="eastAsia" w:ascii="仿宋" w:hAnsi="仿宋" w:eastAsia="仿宋" w:cs="仿宋"/>
                <w:i w:val="0"/>
                <w:iCs w:val="0"/>
                <w:color w:val="000000"/>
                <w:kern w:val="0"/>
                <w:sz w:val="21"/>
                <w:szCs w:val="21"/>
                <w:u w:val="none"/>
                <w:lang w:val="en-US" w:eastAsia="zh-CN" w:bidi="ar"/>
              </w:rPr>
              <w:t>15.为简化班级管理维护工作，支持通过标识码邀请方式来创建班级，即老师通过唯一的标识码邀请学生加入。</w:t>
            </w:r>
          </w:p>
          <w:p w14:paraId="61D0D255">
            <w:pPr>
              <w:keepNext w:val="0"/>
              <w:keepLines w:val="0"/>
              <w:pageBreakBefore w:val="0"/>
              <w:kinsoku/>
              <w:wordWrap/>
              <w:overflowPunct/>
              <w:topLinePunct w:val="0"/>
              <w:autoSpaceDE/>
              <w:autoSpaceDN/>
              <w:bidi w:val="0"/>
              <w:adjustRightInd/>
              <w:snapToGrid/>
              <w:spacing w:line="470" w:lineRule="exact"/>
              <w:jc w:val="both"/>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16.微课中心：支持微课的上传、浏览及删除。</w:t>
            </w:r>
          </w:p>
          <w:p w14:paraId="19404A9C">
            <w:pPr>
              <w:keepNext w:val="0"/>
              <w:keepLines w:val="0"/>
              <w:pageBreakBefore w:val="0"/>
              <w:kinsoku/>
              <w:wordWrap/>
              <w:overflowPunct/>
              <w:topLinePunct w:val="0"/>
              <w:autoSpaceDE/>
              <w:autoSpaceDN/>
              <w:bidi w:val="0"/>
              <w:adjustRightInd/>
              <w:snapToGrid/>
              <w:spacing w:line="470" w:lineRule="exact"/>
              <w:jc w:val="both"/>
              <w:rPr>
                <w:rFonts w:hint="eastAsia" w:ascii="仿宋" w:hAnsi="仿宋" w:eastAsia="仿宋" w:cs="仿宋"/>
                <w:i w:val="0"/>
                <w:iCs w:val="0"/>
                <w:color w:val="000000"/>
                <w:kern w:val="0"/>
                <w:sz w:val="21"/>
                <w:szCs w:val="21"/>
                <w:u w:val="none"/>
                <w:lang w:val="en-US" w:eastAsia="zh-CN" w:bidi="ar"/>
              </w:rPr>
            </w:pPr>
            <w:r>
              <w:rPr>
                <w:rFonts w:hint="eastAsia" w:hAnsi="宋体" w:cs="宋体"/>
                <w:color w:val="000000" w:themeColor="text1"/>
                <w:sz w:val="21"/>
                <w:highlight w:val="none"/>
                <w:lang w:bidi="ar"/>
                <w14:textFill>
                  <w14:solidFill>
                    <w14:schemeClr w14:val="tx1"/>
                  </w14:solidFill>
                </w14:textFill>
              </w:rPr>
              <w:t>●</w:t>
            </w:r>
            <w:r>
              <w:rPr>
                <w:rFonts w:hint="eastAsia" w:ascii="仿宋" w:hAnsi="仿宋" w:eastAsia="仿宋" w:cs="仿宋"/>
                <w:i w:val="0"/>
                <w:iCs w:val="0"/>
                <w:color w:val="000000"/>
                <w:kern w:val="0"/>
                <w:sz w:val="21"/>
                <w:szCs w:val="21"/>
                <w:u w:val="none"/>
                <w:lang w:val="en-US" w:eastAsia="zh-CN" w:bidi="ar"/>
              </w:rPr>
              <w:t>17.随堂测试：为方便老师快速出题，支持老师通过教师端导入word、pdf、txt等题库文件，也可以通过截屏方式快速出题。老师可以通过全班答题、抢答、随机答题多种方式发起测试，发起测试时为防止作弊老师可选择全屏答题或窗口答题。</w:t>
            </w:r>
          </w:p>
          <w:p w14:paraId="4A0734E1">
            <w:pPr>
              <w:keepNext w:val="0"/>
              <w:keepLines w:val="0"/>
              <w:pageBreakBefore w:val="0"/>
              <w:kinsoku/>
              <w:wordWrap/>
              <w:overflowPunct/>
              <w:topLinePunct w:val="0"/>
              <w:autoSpaceDE/>
              <w:autoSpaceDN/>
              <w:bidi w:val="0"/>
              <w:adjustRightInd/>
              <w:snapToGrid/>
              <w:spacing w:line="470" w:lineRule="exact"/>
              <w:jc w:val="both"/>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18.为同时支持多学校使用，教学管理软件服务端需支持集中部署，支持分级分权管理功能。</w:t>
            </w:r>
          </w:p>
          <w:p w14:paraId="4ADD867D">
            <w:pPr>
              <w:keepNext w:val="0"/>
              <w:keepLines w:val="0"/>
              <w:pageBreakBefore w:val="0"/>
              <w:kinsoku/>
              <w:wordWrap/>
              <w:overflowPunct/>
              <w:topLinePunct w:val="0"/>
              <w:autoSpaceDE/>
              <w:autoSpaceDN/>
              <w:bidi w:val="0"/>
              <w:adjustRightInd/>
              <w:snapToGrid/>
              <w:spacing w:line="470" w:lineRule="exact"/>
              <w:jc w:val="both"/>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19.为防止学生自行使用学生终端，影响教学效率，支持学生终端离线后自动锁屏功能。</w:t>
            </w:r>
          </w:p>
          <w:p w14:paraId="54A8CAA4">
            <w:pPr>
              <w:keepNext w:val="0"/>
              <w:keepLines w:val="0"/>
              <w:pageBreakBefore w:val="0"/>
              <w:kinsoku/>
              <w:wordWrap/>
              <w:overflowPunct/>
              <w:topLinePunct w:val="0"/>
              <w:autoSpaceDE/>
              <w:autoSpaceDN/>
              <w:bidi w:val="0"/>
              <w:adjustRightInd/>
              <w:snapToGrid/>
              <w:spacing w:line="470" w:lineRule="exact"/>
              <w:jc w:val="both"/>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为防止学生终端脱离教学管理，支持防止通过任务管理器、cmd系统命令强杀教学管理软件，支持学生终端在上课期间关闭锁屏、离线广播等脱离管控机房教学过程中，为了防止学生通过访问互联网进行一些无关教学的操作，老师能够管控所有或部分学生虚机内不可访问互联网，支持网站的黑白名单配置机房教学过程中，为了防止学生通过打开一些与无关教学的应用软件程序，老师能够管控所有或部分学生虚机内仅允许打开和使用特定的软件，支持根据软件黑白名单控制软件的运行与关闭。</w:t>
            </w:r>
          </w:p>
          <w:p w14:paraId="4E533E6C">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仿宋" w:hAnsi="仿宋" w:eastAsia="仿宋" w:cs="仿宋"/>
                <w:color w:val="auto"/>
                <w:sz w:val="21"/>
                <w:szCs w:val="21"/>
              </w:rPr>
            </w:pPr>
            <w:r>
              <w:rPr>
                <w:rFonts w:hint="eastAsia" w:ascii="仿宋" w:hAnsi="仿宋" w:eastAsia="仿宋" w:cs="仿宋"/>
                <w:color w:val="000000"/>
                <w:kern w:val="0"/>
                <w:sz w:val="21"/>
                <w:szCs w:val="21"/>
                <w:lang w:val="en-US" w:eastAsia="zh-CN"/>
              </w:rPr>
              <w:t>▲</w:t>
            </w:r>
            <w:r>
              <w:rPr>
                <w:rFonts w:hint="eastAsia" w:ascii="仿宋" w:hAnsi="仿宋" w:eastAsia="仿宋" w:cs="仿宋"/>
                <w:sz w:val="21"/>
                <w:szCs w:val="21"/>
                <w:lang w:bidi="ar"/>
              </w:rPr>
              <w:t>2</w:t>
            </w:r>
            <w:r>
              <w:rPr>
                <w:rFonts w:hint="eastAsia" w:ascii="仿宋" w:hAnsi="仿宋" w:eastAsia="仿宋" w:cs="仿宋"/>
                <w:sz w:val="21"/>
                <w:szCs w:val="21"/>
                <w:lang w:val="en-US" w:eastAsia="zh-CN" w:bidi="ar"/>
              </w:rPr>
              <w:t>1</w:t>
            </w:r>
            <w:r>
              <w:rPr>
                <w:rFonts w:hint="eastAsia" w:ascii="仿宋" w:hAnsi="仿宋" w:eastAsia="仿宋" w:cs="仿宋"/>
                <w:sz w:val="21"/>
                <w:szCs w:val="21"/>
                <w:lang w:bidi="ar"/>
              </w:rPr>
              <w:t>、为保证兼容性与统一管理，要求该项产品必须与</w:t>
            </w:r>
            <w:r>
              <w:rPr>
                <w:rFonts w:hint="eastAsia" w:ascii="仿宋" w:hAnsi="仿宋" w:eastAsia="仿宋" w:cs="仿宋"/>
                <w:i w:val="0"/>
                <w:iCs w:val="0"/>
                <w:color w:val="auto"/>
                <w:kern w:val="0"/>
                <w:sz w:val="21"/>
                <w:szCs w:val="21"/>
                <w:highlight w:val="none"/>
                <w:u w:val="none"/>
                <w:lang w:val="en-US" w:eastAsia="zh-CN" w:bidi="ar"/>
              </w:rPr>
              <w:t>教学多媒体云终端</w:t>
            </w:r>
            <w:r>
              <w:rPr>
                <w:rFonts w:hint="eastAsia" w:ascii="仿宋" w:hAnsi="仿宋" w:eastAsia="仿宋" w:cs="仿宋"/>
                <w:sz w:val="21"/>
                <w:szCs w:val="21"/>
                <w:lang w:bidi="ar"/>
              </w:rPr>
              <w:t>为同一品牌，否则</w:t>
            </w:r>
            <w:r>
              <w:rPr>
                <w:rFonts w:hint="eastAsia" w:ascii="仿宋" w:hAnsi="仿宋" w:eastAsia="仿宋" w:cs="仿宋"/>
                <w:sz w:val="21"/>
                <w:szCs w:val="21"/>
                <w:lang w:val="en-US" w:eastAsia="zh-CN" w:bidi="ar"/>
              </w:rPr>
              <w:t>响应</w:t>
            </w:r>
            <w:r>
              <w:rPr>
                <w:rFonts w:hint="eastAsia" w:ascii="仿宋" w:hAnsi="仿宋" w:eastAsia="仿宋" w:cs="仿宋"/>
                <w:sz w:val="21"/>
                <w:szCs w:val="21"/>
                <w:lang w:bidi="ar"/>
              </w:rPr>
              <w:t>无效</w:t>
            </w:r>
            <w:r>
              <w:rPr>
                <w:rFonts w:hint="eastAsia" w:ascii="仿宋" w:hAnsi="仿宋" w:eastAsia="仿宋" w:cs="仿宋"/>
                <w:sz w:val="21"/>
                <w:szCs w:val="21"/>
                <w:lang w:eastAsia="zh-CN" w:bidi="ar"/>
              </w:rPr>
              <w:t>。</w:t>
            </w:r>
          </w:p>
        </w:tc>
        <w:tc>
          <w:tcPr>
            <w:tcW w:w="470" w:type="pct"/>
            <w:noWrap/>
            <w:vAlign w:val="center"/>
          </w:tcPr>
          <w:p w14:paraId="308CBEF4">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仿宋" w:hAnsi="仿宋" w:eastAsia="仿宋" w:cs="仿宋"/>
                <w:color w:val="000000"/>
                <w:kern w:val="0"/>
                <w:sz w:val="21"/>
                <w:szCs w:val="21"/>
                <w:lang w:val="en-US" w:eastAsia="zh-CN"/>
              </w:rPr>
            </w:pPr>
            <w:r>
              <w:rPr>
                <w:rFonts w:hint="default" w:ascii="仿宋" w:hAnsi="仿宋" w:eastAsia="仿宋" w:cs="仿宋"/>
                <w:color w:val="000000"/>
                <w:kern w:val="0"/>
                <w:sz w:val="21"/>
                <w:szCs w:val="21"/>
                <w:lang w:val="en-US" w:eastAsia="zh-CN"/>
              </w:rPr>
              <w:t>软件和信息技术服务业</w:t>
            </w:r>
          </w:p>
        </w:tc>
      </w:tr>
      <w:tr w14:paraId="1E15A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jc w:val="center"/>
        </w:trPr>
        <w:tc>
          <w:tcPr>
            <w:tcW w:w="361" w:type="pct"/>
            <w:noWrap/>
            <w:vAlign w:val="center"/>
          </w:tcPr>
          <w:p w14:paraId="7ED4E29F">
            <w:pPr>
              <w:spacing w:line="400" w:lineRule="exact"/>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7</w:t>
            </w:r>
          </w:p>
        </w:tc>
        <w:tc>
          <w:tcPr>
            <w:tcW w:w="758" w:type="pct"/>
            <w:gridSpan w:val="2"/>
            <w:noWrap/>
            <w:vAlign w:val="center"/>
          </w:tcPr>
          <w:p w14:paraId="72B3285E">
            <w:pPr>
              <w:keepNext w:val="0"/>
              <w:keepLines w:val="0"/>
              <w:widowControl/>
              <w:suppressLineNumbers w:val="0"/>
              <w:jc w:val="both"/>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highlight w:val="none"/>
                <w:u w:val="none"/>
                <w:lang w:val="en-US" w:eastAsia="zh-CN" w:bidi="ar"/>
              </w:rPr>
              <w:t>有源音箱配有无线话筒</w:t>
            </w:r>
          </w:p>
        </w:tc>
        <w:tc>
          <w:tcPr>
            <w:tcW w:w="359" w:type="pct"/>
            <w:noWrap/>
            <w:vAlign w:val="center"/>
          </w:tcPr>
          <w:p w14:paraId="46CCF8F9">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highlight w:val="none"/>
                <w:u w:val="none"/>
                <w:lang w:val="en-US" w:eastAsia="zh-CN" w:bidi="ar"/>
              </w:rPr>
              <w:t>68</w:t>
            </w:r>
          </w:p>
        </w:tc>
        <w:tc>
          <w:tcPr>
            <w:tcW w:w="569" w:type="pct"/>
            <w:noWrap/>
            <w:vAlign w:val="center"/>
          </w:tcPr>
          <w:p w14:paraId="4D2BF30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1"/>
                <w:szCs w:val="21"/>
              </w:rPr>
            </w:pPr>
            <w:r>
              <w:rPr>
                <w:rFonts w:hint="eastAsia" w:ascii="仿宋" w:hAnsi="仿宋" w:eastAsia="仿宋" w:cs="仿宋"/>
                <w:b w:val="0"/>
                <w:bCs w:val="0"/>
                <w:i w:val="0"/>
                <w:iCs w:val="0"/>
                <w:color w:val="auto"/>
                <w:kern w:val="0"/>
                <w:sz w:val="21"/>
                <w:szCs w:val="21"/>
                <w:highlight w:val="none"/>
                <w:u w:val="none"/>
                <w:lang w:val="en-US" w:eastAsia="zh-CN" w:bidi="ar"/>
              </w:rPr>
              <w:t>个</w:t>
            </w:r>
          </w:p>
        </w:tc>
        <w:tc>
          <w:tcPr>
            <w:tcW w:w="2479" w:type="pct"/>
            <w:noWrap/>
            <w:vAlign w:val="center"/>
          </w:tcPr>
          <w:p w14:paraId="4F6F0854">
            <w:pPr>
              <w:keepNext w:val="0"/>
              <w:keepLines w:val="0"/>
              <w:widowControl/>
              <w:numPr>
                <w:ilvl w:val="0"/>
                <w:numId w:val="3"/>
              </w:numPr>
              <w:suppressLineNumbers w:val="0"/>
              <w:spacing w:line="36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音箱参数：</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color w:val="000000"/>
                <w:kern w:val="0"/>
                <w:sz w:val="21"/>
                <w:szCs w:val="21"/>
                <w:lang w:val="en-US" w:eastAsia="zh-CN"/>
              </w:rPr>
              <w:t>▲</w:t>
            </w:r>
            <w:r>
              <w:rPr>
                <w:rFonts w:hint="eastAsia" w:ascii="仿宋" w:hAnsi="仿宋" w:eastAsia="仿宋" w:cs="仿宋"/>
                <w:i w:val="0"/>
                <w:iCs w:val="0"/>
                <w:color w:val="000000"/>
                <w:kern w:val="0"/>
                <w:sz w:val="21"/>
                <w:szCs w:val="21"/>
                <w:u w:val="none"/>
                <w:lang w:val="en-US" w:eastAsia="zh-CN" w:bidi="ar"/>
              </w:rPr>
              <w:t>1、使用U段数字射频技术，内置超强精准电磁波发射接收天线，有效避免传输干扰，满足同一场所大量使用的需要；</w:t>
            </w:r>
          </w:p>
          <w:p w14:paraId="66F24284">
            <w:pPr>
              <w:keepNext w:val="0"/>
              <w:keepLines w:val="0"/>
              <w:widowControl/>
              <w:numPr>
                <w:ilvl w:val="0"/>
                <w:numId w:val="0"/>
              </w:numPr>
              <w:suppressLineNumbers w:val="0"/>
              <w:spacing w:line="36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color w:val="000000"/>
                <w:kern w:val="0"/>
                <w:sz w:val="21"/>
                <w:szCs w:val="21"/>
                <w:lang w:val="en-US" w:eastAsia="zh-CN"/>
              </w:rPr>
              <w:t>▲</w:t>
            </w:r>
            <w:r>
              <w:rPr>
                <w:rFonts w:hint="eastAsia" w:ascii="仿宋" w:hAnsi="仿宋" w:eastAsia="仿宋" w:cs="仿宋"/>
                <w:i w:val="0"/>
                <w:iCs w:val="0"/>
                <w:color w:val="000000"/>
                <w:kern w:val="0"/>
                <w:sz w:val="21"/>
                <w:szCs w:val="21"/>
                <w:u w:val="none"/>
                <w:lang w:val="en-US" w:eastAsia="zh-CN" w:bidi="ar"/>
              </w:rPr>
              <w:t>2、音箱具备两分频设计，大功率宽电压（100-260伏交流电）开关电源数字功放，音质清晰自然；</w:t>
            </w:r>
          </w:p>
          <w:p w14:paraId="5BE56C24">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color w:val="000000"/>
                <w:kern w:val="0"/>
                <w:sz w:val="21"/>
                <w:szCs w:val="21"/>
                <w:lang w:val="en-US" w:eastAsia="zh-CN"/>
              </w:rPr>
              <w:t>▲</w:t>
            </w:r>
            <w:r>
              <w:rPr>
                <w:rFonts w:hint="eastAsia" w:ascii="仿宋" w:hAnsi="仿宋" w:eastAsia="仿宋" w:cs="仿宋"/>
                <w:i w:val="0"/>
                <w:iCs w:val="0"/>
                <w:color w:val="000000"/>
                <w:kern w:val="0"/>
                <w:sz w:val="21"/>
                <w:szCs w:val="21"/>
                <w:u w:val="none"/>
                <w:lang w:val="en-US" w:eastAsia="zh-CN" w:bidi="ar"/>
              </w:rPr>
              <w:t>3、一路话筒输入（环保麦克风插口自带幻像电源）；</w:t>
            </w:r>
          </w:p>
          <w:p w14:paraId="7458B249">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4、话筒音量、音乐音量及高低音独立控制；</w:t>
            </w:r>
          </w:p>
          <w:p w14:paraId="5A41B5CF">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color w:val="000000"/>
                <w:kern w:val="0"/>
                <w:sz w:val="21"/>
                <w:szCs w:val="21"/>
                <w:lang w:val="en-US" w:eastAsia="zh-CN"/>
              </w:rPr>
              <w:t>▲</w:t>
            </w:r>
            <w:r>
              <w:rPr>
                <w:rFonts w:hint="eastAsia" w:ascii="仿宋" w:hAnsi="仿宋" w:eastAsia="仿宋" w:cs="仿宋"/>
                <w:i w:val="0"/>
                <w:iCs w:val="0"/>
                <w:color w:val="000000"/>
                <w:kern w:val="0"/>
                <w:sz w:val="21"/>
                <w:szCs w:val="21"/>
                <w:u w:val="none"/>
                <w:lang w:val="en-US" w:eastAsia="zh-CN" w:bidi="ar"/>
              </w:rPr>
              <w:t>5、带一路广播优先接口，当有广播信号时自动切换；</w:t>
            </w:r>
          </w:p>
          <w:p w14:paraId="395068EB">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6、标配壁挂安装配件，安装简单方便；</w:t>
            </w:r>
          </w:p>
          <w:p w14:paraId="7DFDE00F">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主要技术参数：</w:t>
            </w:r>
          </w:p>
          <w:p w14:paraId="6B7ACC32">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1、额定功率≥65W</w:t>
            </w:r>
          </w:p>
          <w:p w14:paraId="1A8E13A5">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2、额定阻抗：4Ω</w:t>
            </w:r>
          </w:p>
          <w:p w14:paraId="1615930B">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3、频率响应：55Hz-18kHz</w:t>
            </w:r>
          </w:p>
          <w:p w14:paraId="04FFC04C">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4、驱动器：1个6.5寸长冲程低音驱动器、1个前纸盆高音</w:t>
            </w:r>
          </w:p>
          <w:p w14:paraId="07FA6CAB">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5、额定输入电平：话筒 10mV（非平衡），2组立体声RCA接口；1组立体声RCA输出</w:t>
            </w:r>
          </w:p>
          <w:p w14:paraId="4F260E09">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6、灵敏度：95dB/1W/1M</w:t>
            </w:r>
          </w:p>
          <w:p w14:paraId="2BDF809D">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7、信噪比：95dB</w:t>
            </w:r>
          </w:p>
          <w:p w14:paraId="047D2BA0">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8、最大声压级：103dB</w:t>
            </w:r>
          </w:p>
          <w:p w14:paraId="1DF21ED3">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9、箱体型式：倒相式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二、无线话筒参数：</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1、笔形麦身设计，抓握舒适，符合人体工程学，按键分区设计，操作简洁。外观时尚新颖靓丽，重量轻，持握方便；</w:t>
            </w:r>
          </w:p>
          <w:p w14:paraId="28D9DC9C">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2、工作频段：UHF频段；</w:t>
            </w:r>
          </w:p>
          <w:p w14:paraId="0ED9B121">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3、采用24kHz 采样率，保证人声音质质量，传输前后经过独有技术处理，确保接收到的信号保持高保真效果；</w:t>
            </w:r>
          </w:p>
          <w:p w14:paraId="3A6C96A0">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4、采用内置驻极体拾音器，设计独立拾音腔体，能有效抑制啸叫，提高拾音距离，腔体内置声学海绵垫，最大程度减少杂音；</w:t>
            </w:r>
          </w:p>
          <w:p w14:paraId="5394935E">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5、支持音量调节：可调节麦克风音量的大小，并具有记忆功能；支持一键静音功能；</w:t>
            </w:r>
          </w:p>
          <w:p w14:paraId="3B1D6AE8">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color w:val="000000"/>
                <w:kern w:val="0"/>
                <w:sz w:val="21"/>
                <w:szCs w:val="21"/>
                <w:lang w:val="en-US" w:eastAsia="zh-CN"/>
              </w:rPr>
              <w:t>▲</w:t>
            </w:r>
            <w:r>
              <w:rPr>
                <w:rFonts w:hint="eastAsia" w:ascii="仿宋" w:hAnsi="仿宋" w:eastAsia="仿宋" w:cs="仿宋"/>
                <w:i w:val="0"/>
                <w:iCs w:val="0"/>
                <w:color w:val="000000"/>
                <w:kern w:val="0"/>
                <w:sz w:val="21"/>
                <w:szCs w:val="21"/>
                <w:u w:val="none"/>
                <w:lang w:val="en-US" w:eastAsia="zh-CN" w:bidi="ar"/>
              </w:rPr>
              <w:t>6、内置麦克风和支持外置麦克风；支持激光笔教鞭；</w:t>
            </w:r>
          </w:p>
          <w:p w14:paraId="2D7D96B4">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7、支持PPT翻页和一键黑屏/恢复功能，可配合投影仪或者电脑展示讲解使用。PPT 翻页模块支持热插拔，无需装驱动软件；(选配）</w:t>
            </w:r>
          </w:p>
          <w:p w14:paraId="73EA60DF">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color w:val="000000"/>
                <w:kern w:val="0"/>
                <w:sz w:val="21"/>
                <w:szCs w:val="21"/>
                <w:lang w:val="en-US" w:eastAsia="zh-CN"/>
              </w:rPr>
              <w:t>▲</w:t>
            </w:r>
            <w:r>
              <w:rPr>
                <w:rFonts w:hint="eastAsia" w:ascii="仿宋" w:hAnsi="仿宋" w:eastAsia="仿宋" w:cs="仿宋"/>
                <w:i w:val="0"/>
                <w:iCs w:val="0"/>
                <w:color w:val="000000"/>
                <w:kern w:val="0"/>
                <w:sz w:val="21"/>
                <w:szCs w:val="21"/>
                <w:u w:val="none"/>
                <w:lang w:val="en-US" w:eastAsia="zh-CN" w:bidi="ar"/>
              </w:rPr>
              <w:t>8、支持3.5MM音频输入和麦克风输入；</w:t>
            </w:r>
          </w:p>
          <w:p w14:paraId="358A94C1">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9、全新噪声消除电路设计，可杜绝开关机冲击声；</w:t>
            </w:r>
          </w:p>
          <w:p w14:paraId="6B2365C1">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color w:val="000000"/>
                <w:kern w:val="0"/>
                <w:sz w:val="21"/>
                <w:szCs w:val="21"/>
                <w:lang w:val="en-US" w:eastAsia="zh-CN"/>
              </w:rPr>
              <w:t>▲</w:t>
            </w:r>
            <w:r>
              <w:rPr>
                <w:rFonts w:hint="eastAsia" w:ascii="仿宋" w:hAnsi="仿宋" w:eastAsia="仿宋" w:cs="仿宋"/>
                <w:i w:val="0"/>
                <w:iCs w:val="0"/>
                <w:color w:val="000000"/>
                <w:kern w:val="0"/>
                <w:sz w:val="21"/>
                <w:szCs w:val="21"/>
                <w:u w:val="none"/>
                <w:lang w:val="en-US" w:eastAsia="zh-CN" w:bidi="ar"/>
              </w:rPr>
              <w:t>10、OLED高清液晶显示：信号强度，对频方式，电量，工作状态，音量，USB（PPT功能）等；</w:t>
            </w:r>
          </w:p>
          <w:p w14:paraId="35D7C6ED">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11、内置可充式高性能3.7V聚合物锂电池。电池容量：340mAh，带保护电路，安全可靠；</w:t>
            </w:r>
          </w:p>
          <w:p w14:paraId="35CE929F">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12、支持 TYPE C 接口充电,2小时充足电可持续续航时间≥8h；</w:t>
            </w:r>
          </w:p>
          <w:p w14:paraId="5CEF7CBB">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13、智能低能耗设计，无信号输入/断开连接1h后自动关机，节能环保；</w:t>
            </w:r>
          </w:p>
          <w:p w14:paraId="1335735F">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color w:val="000000"/>
                <w:kern w:val="0"/>
                <w:sz w:val="21"/>
                <w:szCs w:val="21"/>
                <w:lang w:val="en-US" w:eastAsia="zh-CN"/>
              </w:rPr>
              <w:t>▲</w:t>
            </w:r>
            <w:r>
              <w:rPr>
                <w:rFonts w:hint="eastAsia" w:ascii="仿宋" w:hAnsi="仿宋" w:eastAsia="仿宋" w:cs="仿宋"/>
                <w:i w:val="0"/>
                <w:iCs w:val="0"/>
                <w:color w:val="000000"/>
                <w:kern w:val="0"/>
                <w:sz w:val="21"/>
                <w:szCs w:val="21"/>
                <w:u w:val="none"/>
                <w:lang w:val="en-US" w:eastAsia="zh-CN" w:bidi="ar"/>
              </w:rPr>
              <w:t>14、支持EQ设置：低音、中低、平衡、中高、高音5种调节。</w:t>
            </w:r>
          </w:p>
          <w:p w14:paraId="0776E553">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主要技术参数：</w:t>
            </w:r>
          </w:p>
          <w:p w14:paraId="02B22206">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1、采样精度：16 Bit</w:t>
            </w:r>
          </w:p>
          <w:p w14:paraId="2A2E1614">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2、采样率：24 kHz</w:t>
            </w:r>
          </w:p>
          <w:p w14:paraId="6279AD66">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3、频率响应：100Hz-10kHz@±3dB </w:t>
            </w:r>
          </w:p>
          <w:p w14:paraId="1423EA64">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4、失真度：&lt;0.4%@94dBSPL，1kHz </w:t>
            </w:r>
          </w:p>
          <w:p w14:paraId="21E4B4CC">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5、信噪比：83 dB</w:t>
            </w:r>
          </w:p>
          <w:p w14:paraId="18999173">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6、系统延时：15 Ms</w:t>
            </w:r>
          </w:p>
          <w:p w14:paraId="52D3ADFE">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7、满幅输入：220 mVrms</w:t>
            </w:r>
          </w:p>
          <w:p w14:paraId="4E5E1FB1">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8、满幅输出：882 mVrms</w:t>
            </w:r>
          </w:p>
          <w:p w14:paraId="20EBEF55">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9、输入/输出增益比：12.2 dB</w:t>
            </w:r>
          </w:p>
          <w:p w14:paraId="663ABDE8">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10、数据速率：2 Mbps</w:t>
            </w:r>
          </w:p>
          <w:p w14:paraId="22FF2A8E">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11、发射功率：&gt;10 dBm</w:t>
            </w:r>
          </w:p>
          <w:p w14:paraId="33B5949A">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12、最大工作距离：10 M</w:t>
            </w:r>
          </w:p>
          <w:p w14:paraId="56E8BE5E">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13、充电：5V-800mA~2A</w:t>
            </w:r>
          </w:p>
          <w:p w14:paraId="100DC438">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14、工作温度：-20~60℃ </w:t>
            </w:r>
          </w:p>
          <w:p w14:paraId="0B30C988">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 xml:space="preserve">15、储存温度：-20~60℃                                                                                                                                                </w:t>
            </w:r>
          </w:p>
        </w:tc>
        <w:tc>
          <w:tcPr>
            <w:tcW w:w="470" w:type="pct"/>
            <w:noWrap/>
            <w:vAlign w:val="center"/>
          </w:tcPr>
          <w:p w14:paraId="5FF8B073">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工业</w:t>
            </w:r>
          </w:p>
        </w:tc>
      </w:tr>
      <w:tr w14:paraId="7EF8F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jc w:val="center"/>
        </w:trPr>
        <w:tc>
          <w:tcPr>
            <w:tcW w:w="361" w:type="pct"/>
            <w:noWrap/>
            <w:vAlign w:val="center"/>
          </w:tcPr>
          <w:p w14:paraId="3CEF7332">
            <w:pPr>
              <w:spacing w:line="400" w:lineRule="exact"/>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8</w:t>
            </w:r>
          </w:p>
        </w:tc>
        <w:tc>
          <w:tcPr>
            <w:tcW w:w="758" w:type="pct"/>
            <w:gridSpan w:val="2"/>
            <w:noWrap/>
            <w:vAlign w:val="center"/>
          </w:tcPr>
          <w:p w14:paraId="1F3B4022">
            <w:pPr>
              <w:keepNext w:val="0"/>
              <w:keepLines w:val="0"/>
              <w:widowControl/>
              <w:suppressLineNumbers w:val="0"/>
              <w:jc w:val="both"/>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highlight w:val="none"/>
                <w:u w:val="none"/>
                <w:lang w:val="en-US" w:eastAsia="zh-CN" w:bidi="ar"/>
              </w:rPr>
              <w:t>鹅颈话筒</w:t>
            </w:r>
          </w:p>
        </w:tc>
        <w:tc>
          <w:tcPr>
            <w:tcW w:w="359" w:type="pct"/>
            <w:noWrap/>
            <w:vAlign w:val="center"/>
          </w:tcPr>
          <w:p w14:paraId="1465A678">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highlight w:val="none"/>
                <w:u w:val="none"/>
                <w:lang w:val="en-US" w:eastAsia="zh-CN" w:bidi="ar"/>
              </w:rPr>
              <w:t>67</w:t>
            </w:r>
          </w:p>
        </w:tc>
        <w:tc>
          <w:tcPr>
            <w:tcW w:w="569" w:type="pct"/>
            <w:noWrap/>
            <w:vAlign w:val="center"/>
          </w:tcPr>
          <w:p w14:paraId="796327B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1"/>
                <w:szCs w:val="21"/>
              </w:rPr>
            </w:pPr>
            <w:r>
              <w:rPr>
                <w:rFonts w:hint="eastAsia" w:ascii="仿宋" w:hAnsi="仿宋" w:eastAsia="仿宋" w:cs="仿宋"/>
                <w:b w:val="0"/>
                <w:bCs w:val="0"/>
                <w:i w:val="0"/>
                <w:iCs w:val="0"/>
                <w:color w:val="auto"/>
                <w:kern w:val="0"/>
                <w:sz w:val="21"/>
                <w:szCs w:val="21"/>
                <w:highlight w:val="none"/>
                <w:u w:val="none"/>
                <w:lang w:val="en-US" w:eastAsia="zh-CN" w:bidi="ar"/>
              </w:rPr>
              <w:t>个</w:t>
            </w:r>
          </w:p>
        </w:tc>
        <w:tc>
          <w:tcPr>
            <w:tcW w:w="2479" w:type="pct"/>
            <w:noWrap/>
            <w:vAlign w:val="center"/>
          </w:tcPr>
          <w:p w14:paraId="1450C34B">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1、电容式话筒，支持幻象供电；</w:t>
            </w:r>
          </w:p>
          <w:p w14:paraId="2BF99D45">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2、高灵敏度，超宽频率响应；</w:t>
            </w:r>
          </w:p>
          <w:p w14:paraId="60F705CB">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3、鹅颈式设计可根据需要调节拾音方向，方便使用；鹅颈话筒上的指示灯显示话筒的工作状况；</w:t>
            </w:r>
          </w:p>
          <w:p w14:paraId="71C2BCC8">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4、心型拾音单指向性,有效避免啸叫产生。</w:t>
            </w:r>
          </w:p>
          <w:p w14:paraId="46D35105">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主要技术参数：</w:t>
            </w:r>
          </w:p>
          <w:p w14:paraId="185F8A41">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1、频率响应：100-18000HZ</w:t>
            </w:r>
          </w:p>
          <w:p w14:paraId="3AC673E7">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2、灵敏度：-42±1dB</w:t>
            </w:r>
          </w:p>
          <w:p w14:paraId="0CDA450D">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3、输出阻抗：680Ω</w:t>
            </w:r>
          </w:p>
          <w:p w14:paraId="28F8BF96">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4、信噪比：≥62dB</w:t>
            </w:r>
          </w:p>
          <w:p w14:paraId="269C5106">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5、参考拾音距离：10-100cm</w:t>
            </w:r>
          </w:p>
          <w:p w14:paraId="551655E2">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6、连线：8M专用电缆，带1个卡侬母-6.35mm转接头</w:t>
            </w:r>
          </w:p>
          <w:p w14:paraId="25EF7C9A">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7、供电电压：DC3V（电池供电）/6V（幻像电源）</w:t>
            </w:r>
          </w:p>
          <w:p w14:paraId="6525F25B">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8、鹅颈咪管：420mm</w:t>
            </w:r>
          </w:p>
          <w:p w14:paraId="14E4CC80">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9、设备尺寸(L*W*H)：140*115*37mm</w:t>
            </w:r>
          </w:p>
          <w:p w14:paraId="54EB1248">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10、包装尺寸(L*W*H)：420*195*60mm</w:t>
            </w:r>
          </w:p>
          <w:p w14:paraId="17B2B0BA">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11、净重：0.5kg，毛重：0.6kg</w:t>
            </w:r>
          </w:p>
        </w:tc>
        <w:tc>
          <w:tcPr>
            <w:tcW w:w="470" w:type="pct"/>
            <w:noWrap/>
            <w:vAlign w:val="center"/>
          </w:tcPr>
          <w:p w14:paraId="188D92D9">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工业</w:t>
            </w:r>
          </w:p>
        </w:tc>
      </w:tr>
      <w:tr w14:paraId="15A03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jc w:val="center"/>
        </w:trPr>
        <w:tc>
          <w:tcPr>
            <w:tcW w:w="361" w:type="pct"/>
            <w:noWrap/>
            <w:vAlign w:val="center"/>
          </w:tcPr>
          <w:p w14:paraId="2A2AD5FE">
            <w:pPr>
              <w:spacing w:line="400" w:lineRule="exact"/>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9</w:t>
            </w:r>
          </w:p>
        </w:tc>
        <w:tc>
          <w:tcPr>
            <w:tcW w:w="758" w:type="pct"/>
            <w:gridSpan w:val="2"/>
            <w:noWrap/>
            <w:vAlign w:val="center"/>
          </w:tcPr>
          <w:p w14:paraId="64EB55B9">
            <w:pPr>
              <w:keepNext w:val="0"/>
              <w:keepLines w:val="0"/>
              <w:widowControl/>
              <w:suppressLineNumbers w:val="0"/>
              <w:jc w:val="both"/>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highlight w:val="none"/>
                <w:u w:val="none"/>
                <w:lang w:val="en-US" w:eastAsia="zh-CN" w:bidi="ar"/>
              </w:rPr>
              <w:t>讲台</w:t>
            </w:r>
          </w:p>
        </w:tc>
        <w:tc>
          <w:tcPr>
            <w:tcW w:w="359" w:type="pct"/>
            <w:noWrap/>
            <w:vAlign w:val="center"/>
          </w:tcPr>
          <w:p w14:paraId="0079DD08">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highlight w:val="none"/>
                <w:u w:val="none"/>
                <w:lang w:val="en-US" w:eastAsia="zh-CN" w:bidi="ar"/>
              </w:rPr>
              <w:t>66</w:t>
            </w:r>
          </w:p>
        </w:tc>
        <w:tc>
          <w:tcPr>
            <w:tcW w:w="569" w:type="pct"/>
            <w:noWrap/>
            <w:vAlign w:val="center"/>
          </w:tcPr>
          <w:p w14:paraId="40CAC6E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1"/>
                <w:szCs w:val="21"/>
              </w:rPr>
            </w:pPr>
            <w:r>
              <w:rPr>
                <w:rFonts w:hint="eastAsia" w:ascii="仿宋" w:hAnsi="仿宋" w:eastAsia="仿宋" w:cs="仿宋"/>
                <w:b w:val="0"/>
                <w:bCs w:val="0"/>
                <w:i w:val="0"/>
                <w:iCs w:val="0"/>
                <w:color w:val="auto"/>
                <w:kern w:val="0"/>
                <w:sz w:val="21"/>
                <w:szCs w:val="21"/>
                <w:highlight w:val="none"/>
                <w:u w:val="none"/>
                <w:lang w:val="en-US" w:eastAsia="zh-CN" w:bidi="ar"/>
              </w:rPr>
              <w:t>个</w:t>
            </w:r>
          </w:p>
        </w:tc>
        <w:tc>
          <w:tcPr>
            <w:tcW w:w="2479" w:type="pct"/>
            <w:noWrap/>
            <w:vAlign w:val="center"/>
          </w:tcPr>
          <w:p w14:paraId="5788007E">
            <w:pPr>
              <w:spacing w:line="360" w:lineRule="auto"/>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规格≥1400*600*850mm；</w:t>
            </w:r>
          </w:p>
          <w:p w14:paraId="2FA5B8A8">
            <w:pPr>
              <w:spacing w:line="360" w:lineRule="auto"/>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一、1.基材：桌面板采用≥25mm厚时光胡桃色三聚氰实木颗粒板，桌面下二层板采用≥15mm厚时光胡桃色三聚氰实木颗粒板；</w:t>
            </w:r>
          </w:p>
          <w:p w14:paraId="436F2F8C">
            <w:pPr>
              <w:numPr>
                <w:ilvl w:val="0"/>
                <w:numId w:val="0"/>
              </w:numPr>
              <w:spacing w:line="360" w:lineRule="auto"/>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lang w:val="en-US" w:eastAsia="zh-CN" w:bidi="ar"/>
              </w:rPr>
              <w:t>2.</w:t>
            </w:r>
            <w:r>
              <w:rPr>
                <w:rFonts w:hint="eastAsia" w:ascii="仿宋" w:hAnsi="仿宋" w:eastAsia="仿宋" w:cs="仿宋"/>
                <w:i w:val="0"/>
                <w:iCs w:val="0"/>
                <w:color w:val="000000"/>
                <w:kern w:val="0"/>
                <w:sz w:val="21"/>
                <w:szCs w:val="21"/>
                <w:u w:val="none"/>
                <w:lang w:val="en-US" w:eastAsia="zh-CN" w:bidi="ar"/>
              </w:rPr>
              <w:t>封边：全部采用≥1.0mm厚本色PVC直封边；二、铁架采用≥50*50*1.2mm钢管材质;光滑均匀，色泽一致，无流挂，疙瘩，皱皮，飞漆等现象缺陷，焊接件焊接时采用二氧化碳保护焊接，焊接件之间的连接部分全部圈焊接，不允许脱焊，气孔，焊瘤，焊丝头，咬边飞溅，桌架颜色：全部喷涂沙白色。</w:t>
            </w:r>
          </w:p>
          <w:p w14:paraId="433F10C6">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仿宋" w:hAnsi="仿宋" w:eastAsia="仿宋" w:cs="仿宋"/>
                <w:color w:val="auto"/>
                <w:sz w:val="21"/>
                <w:szCs w:val="21"/>
              </w:rPr>
            </w:pPr>
            <w:r>
              <w:rPr>
                <w:rFonts w:hint="eastAsia" w:ascii="仿宋" w:hAnsi="仿宋" w:eastAsia="仿宋" w:cs="仿宋"/>
                <w:color w:val="000000"/>
                <w:kern w:val="0"/>
                <w:sz w:val="21"/>
                <w:szCs w:val="21"/>
                <w:lang w:val="en-US" w:eastAsia="zh-CN"/>
              </w:rPr>
              <w:t>▲</w:t>
            </w:r>
            <w:r>
              <w:rPr>
                <w:rFonts w:hint="eastAsia" w:ascii="仿宋" w:hAnsi="仿宋" w:eastAsia="仿宋" w:cs="仿宋"/>
                <w:i w:val="0"/>
                <w:iCs w:val="0"/>
                <w:color w:val="auto"/>
                <w:kern w:val="2"/>
                <w:sz w:val="21"/>
                <w:szCs w:val="21"/>
                <w:lang w:val="en-US" w:eastAsia="zh-CN" w:bidi="ar-SA"/>
              </w:rPr>
              <w:t>3.</w:t>
            </w:r>
            <w:r>
              <w:rPr>
                <w:rFonts w:hint="eastAsia" w:ascii="仿宋" w:hAnsi="仿宋" w:eastAsia="仿宋" w:cs="仿宋"/>
                <w:i w:val="0"/>
                <w:iCs w:val="0"/>
                <w:color w:val="000000"/>
                <w:kern w:val="0"/>
                <w:sz w:val="21"/>
                <w:szCs w:val="21"/>
                <w:u w:val="none"/>
                <w:lang w:val="en-US" w:eastAsia="zh-CN" w:bidi="ar"/>
              </w:rPr>
              <w:t>成交后供应商根据教室实际情况给出效果图，通过审批后才可以供货。</w:t>
            </w:r>
          </w:p>
        </w:tc>
        <w:tc>
          <w:tcPr>
            <w:tcW w:w="470" w:type="pct"/>
            <w:noWrap/>
            <w:vAlign w:val="center"/>
          </w:tcPr>
          <w:p w14:paraId="3A00431E">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工业</w:t>
            </w:r>
          </w:p>
        </w:tc>
      </w:tr>
      <w:tr w14:paraId="7192B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jc w:val="center"/>
        </w:trPr>
        <w:tc>
          <w:tcPr>
            <w:tcW w:w="361" w:type="pct"/>
            <w:noWrap/>
            <w:vAlign w:val="center"/>
          </w:tcPr>
          <w:p w14:paraId="390B133E">
            <w:pPr>
              <w:spacing w:line="400" w:lineRule="exact"/>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10</w:t>
            </w:r>
          </w:p>
        </w:tc>
        <w:tc>
          <w:tcPr>
            <w:tcW w:w="758" w:type="pct"/>
            <w:gridSpan w:val="2"/>
            <w:noWrap/>
            <w:vAlign w:val="center"/>
          </w:tcPr>
          <w:p w14:paraId="3EC1AC2A">
            <w:pPr>
              <w:keepNext w:val="0"/>
              <w:keepLines w:val="0"/>
              <w:widowControl/>
              <w:suppressLineNumbers w:val="0"/>
              <w:jc w:val="both"/>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highlight w:val="none"/>
                <w:u w:val="none"/>
                <w:lang w:val="en-US" w:eastAsia="zh-CN" w:bidi="ar"/>
              </w:rPr>
              <w:t>旧设备拆除与墙面修复</w:t>
            </w:r>
          </w:p>
        </w:tc>
        <w:tc>
          <w:tcPr>
            <w:tcW w:w="359" w:type="pct"/>
            <w:noWrap/>
            <w:vAlign w:val="center"/>
          </w:tcPr>
          <w:p w14:paraId="63E96964">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highlight w:val="none"/>
                <w:u w:val="none"/>
                <w:lang w:val="en-US" w:eastAsia="zh-CN" w:bidi="ar"/>
              </w:rPr>
              <w:t>66</w:t>
            </w:r>
          </w:p>
        </w:tc>
        <w:tc>
          <w:tcPr>
            <w:tcW w:w="569" w:type="pct"/>
            <w:noWrap/>
            <w:vAlign w:val="center"/>
          </w:tcPr>
          <w:p w14:paraId="1C6271D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1"/>
                <w:szCs w:val="21"/>
              </w:rPr>
            </w:pPr>
            <w:r>
              <w:rPr>
                <w:rFonts w:hint="eastAsia" w:ascii="仿宋" w:hAnsi="仿宋" w:eastAsia="仿宋" w:cs="仿宋"/>
                <w:b w:val="0"/>
                <w:bCs w:val="0"/>
                <w:i w:val="0"/>
                <w:iCs w:val="0"/>
                <w:color w:val="auto"/>
                <w:kern w:val="0"/>
                <w:sz w:val="21"/>
                <w:szCs w:val="21"/>
                <w:highlight w:val="none"/>
                <w:u w:val="none"/>
                <w:lang w:val="en-US" w:eastAsia="zh-CN" w:bidi="ar"/>
              </w:rPr>
              <w:t>㎡</w:t>
            </w:r>
          </w:p>
        </w:tc>
        <w:tc>
          <w:tcPr>
            <w:tcW w:w="2479" w:type="pct"/>
            <w:noWrap/>
            <w:vAlign w:val="center"/>
          </w:tcPr>
          <w:p w14:paraId="2AB44E85">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拆除旧的教室多媒体设备放到指定存放处，修复破损墙面</w:t>
            </w:r>
          </w:p>
        </w:tc>
        <w:tc>
          <w:tcPr>
            <w:tcW w:w="470" w:type="pct"/>
            <w:noWrap/>
            <w:vAlign w:val="center"/>
          </w:tcPr>
          <w:p w14:paraId="00AD9A36">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建筑业</w:t>
            </w:r>
          </w:p>
        </w:tc>
      </w:tr>
      <w:tr w14:paraId="55EA2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jc w:val="center"/>
        </w:trPr>
        <w:tc>
          <w:tcPr>
            <w:tcW w:w="361" w:type="pct"/>
            <w:noWrap/>
            <w:vAlign w:val="center"/>
          </w:tcPr>
          <w:p w14:paraId="6AC1D6CC">
            <w:pPr>
              <w:spacing w:line="400" w:lineRule="exact"/>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11</w:t>
            </w:r>
          </w:p>
        </w:tc>
        <w:tc>
          <w:tcPr>
            <w:tcW w:w="758" w:type="pct"/>
            <w:gridSpan w:val="2"/>
            <w:noWrap/>
            <w:vAlign w:val="center"/>
          </w:tcPr>
          <w:p w14:paraId="5DD8B910">
            <w:pPr>
              <w:keepNext w:val="0"/>
              <w:keepLines w:val="0"/>
              <w:widowControl/>
              <w:suppressLineNumbers w:val="0"/>
              <w:jc w:val="both"/>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highlight w:val="none"/>
                <w:u w:val="none"/>
                <w:lang w:val="en-US" w:eastAsia="zh-CN" w:bidi="ar"/>
              </w:rPr>
              <w:t>项目系统集成</w:t>
            </w:r>
          </w:p>
        </w:tc>
        <w:tc>
          <w:tcPr>
            <w:tcW w:w="359" w:type="pct"/>
            <w:noWrap/>
            <w:vAlign w:val="center"/>
          </w:tcPr>
          <w:p w14:paraId="3006F7AE">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highlight w:val="none"/>
                <w:u w:val="none"/>
                <w:lang w:val="en-US" w:eastAsia="zh-CN" w:bidi="ar"/>
              </w:rPr>
              <w:t>66</w:t>
            </w:r>
          </w:p>
        </w:tc>
        <w:tc>
          <w:tcPr>
            <w:tcW w:w="569" w:type="pct"/>
            <w:noWrap/>
            <w:vAlign w:val="center"/>
          </w:tcPr>
          <w:p w14:paraId="5A3D384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1"/>
                <w:szCs w:val="21"/>
              </w:rPr>
            </w:pPr>
            <w:r>
              <w:rPr>
                <w:rFonts w:hint="eastAsia" w:ascii="仿宋" w:hAnsi="仿宋" w:eastAsia="仿宋" w:cs="仿宋"/>
                <w:b w:val="0"/>
                <w:bCs w:val="0"/>
                <w:i w:val="0"/>
                <w:iCs w:val="0"/>
                <w:color w:val="auto"/>
                <w:kern w:val="0"/>
                <w:sz w:val="21"/>
                <w:szCs w:val="21"/>
                <w:highlight w:val="none"/>
                <w:u w:val="none"/>
                <w:lang w:val="en-US" w:eastAsia="zh-CN" w:bidi="ar"/>
              </w:rPr>
              <w:t>项</w:t>
            </w:r>
          </w:p>
        </w:tc>
        <w:tc>
          <w:tcPr>
            <w:tcW w:w="2479" w:type="pct"/>
            <w:noWrap/>
            <w:vAlign w:val="center"/>
          </w:tcPr>
          <w:p w14:paraId="536BC81D">
            <w:pPr>
              <w:numPr>
                <w:ilvl w:val="0"/>
                <w:numId w:val="4"/>
              </w:numPr>
              <w:spacing w:line="360" w:lineRule="auto"/>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现场定制，货物的运输及安装新多媒体系统所有设备、光能板安装调试和线路铺设所需的HDMI线和音频线等材料，清理干净项目产生的所有垃圾。</w:t>
            </w:r>
          </w:p>
          <w:p w14:paraId="7A2AF941">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对老师进行新设备使用集中培训。</w:t>
            </w:r>
          </w:p>
        </w:tc>
        <w:tc>
          <w:tcPr>
            <w:tcW w:w="470" w:type="pct"/>
            <w:noWrap/>
            <w:vAlign w:val="center"/>
          </w:tcPr>
          <w:p w14:paraId="04AE6DC0">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工业</w:t>
            </w:r>
          </w:p>
        </w:tc>
      </w:tr>
      <w:tr w14:paraId="298CF0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7"/>
            <w:tcBorders>
              <w:top w:val="single" w:color="auto" w:sz="4" w:space="0"/>
              <w:left w:val="single" w:color="auto" w:sz="4" w:space="0"/>
              <w:bottom w:val="single" w:color="auto" w:sz="4" w:space="0"/>
              <w:right w:val="single" w:color="auto" w:sz="4" w:space="0"/>
            </w:tcBorders>
            <w:noWrap/>
            <w:vAlign w:val="center"/>
          </w:tcPr>
          <w:p w14:paraId="15BA15A5">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Cs w:val="21"/>
              </w:rPr>
            </w:pPr>
            <w:r>
              <w:rPr>
                <w:rFonts w:hint="eastAsia" w:ascii="仿宋" w:hAnsi="仿宋" w:eastAsia="仿宋" w:cs="仿宋"/>
                <w:color w:val="auto"/>
                <w:szCs w:val="21"/>
              </w:rPr>
              <w:t>▲第二部分 商务要求</w:t>
            </w:r>
          </w:p>
        </w:tc>
      </w:tr>
      <w:tr w14:paraId="3EB4FE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63" w:type="pct"/>
            <w:gridSpan w:val="2"/>
            <w:tcBorders>
              <w:top w:val="single" w:color="auto" w:sz="4" w:space="0"/>
              <w:left w:val="single" w:color="auto" w:sz="4" w:space="0"/>
              <w:bottom w:val="single" w:color="auto" w:sz="4" w:space="0"/>
              <w:right w:val="single" w:color="auto" w:sz="4" w:space="0"/>
            </w:tcBorders>
            <w:noWrap/>
            <w:vAlign w:val="center"/>
          </w:tcPr>
          <w:p w14:paraId="5E48A258">
            <w:pPr>
              <w:keepNext w:val="0"/>
              <w:keepLines/>
              <w:pageBreakBefore w:val="0"/>
              <w:widowControl/>
              <w:kinsoku/>
              <w:wordWrap/>
              <w:overflowPunct/>
              <w:topLinePunct w:val="0"/>
              <w:autoSpaceDE/>
              <w:autoSpaceDN/>
              <w:bidi w:val="0"/>
              <w:adjustRightInd/>
              <w:snapToGrid/>
              <w:spacing w:line="400" w:lineRule="exact"/>
              <w:rPr>
                <w:rFonts w:ascii="仿宋" w:hAnsi="仿宋" w:eastAsia="仿宋" w:cs="仿宋"/>
                <w:color w:val="auto"/>
                <w:szCs w:val="21"/>
              </w:rPr>
            </w:pPr>
            <w:r>
              <w:rPr>
                <w:rFonts w:hint="eastAsia" w:ascii="仿宋" w:hAnsi="仿宋" w:eastAsia="仿宋" w:cs="仿宋"/>
                <w:color w:val="auto"/>
                <w:szCs w:val="21"/>
              </w:rPr>
              <w:t>合同签订时间</w:t>
            </w:r>
          </w:p>
        </w:tc>
        <w:tc>
          <w:tcPr>
            <w:tcW w:w="3936" w:type="pct"/>
            <w:gridSpan w:val="5"/>
            <w:tcBorders>
              <w:top w:val="single" w:color="auto" w:sz="4" w:space="0"/>
              <w:left w:val="single" w:color="auto" w:sz="4" w:space="0"/>
              <w:bottom w:val="single" w:color="auto" w:sz="4" w:space="0"/>
              <w:right w:val="single" w:color="auto" w:sz="4" w:space="0"/>
            </w:tcBorders>
            <w:noWrap/>
            <w:vAlign w:val="center"/>
          </w:tcPr>
          <w:p w14:paraId="64F6F7FA">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Cs w:val="21"/>
              </w:rPr>
            </w:pPr>
            <w:r>
              <w:rPr>
                <w:rFonts w:hint="eastAsia" w:ascii="仿宋" w:hAnsi="仿宋" w:eastAsia="仿宋" w:cs="仿宋"/>
                <w:color w:val="auto"/>
                <w:szCs w:val="21"/>
              </w:rPr>
              <w:t>自中标通知书发出之日起25日内。</w:t>
            </w:r>
          </w:p>
        </w:tc>
      </w:tr>
      <w:tr w14:paraId="43F3A9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63" w:type="pct"/>
            <w:gridSpan w:val="2"/>
            <w:tcBorders>
              <w:top w:val="single" w:color="auto" w:sz="4" w:space="0"/>
              <w:left w:val="single" w:color="auto" w:sz="4" w:space="0"/>
              <w:bottom w:val="single" w:color="auto" w:sz="4" w:space="0"/>
              <w:right w:val="single" w:color="auto" w:sz="4" w:space="0"/>
            </w:tcBorders>
            <w:noWrap/>
            <w:vAlign w:val="center"/>
          </w:tcPr>
          <w:p w14:paraId="61E30354">
            <w:pPr>
              <w:keepNext w:val="0"/>
              <w:keepLines/>
              <w:pageBreakBefore w:val="0"/>
              <w:widowControl/>
              <w:kinsoku/>
              <w:wordWrap/>
              <w:overflowPunct/>
              <w:topLinePunct w:val="0"/>
              <w:autoSpaceDE/>
              <w:autoSpaceDN/>
              <w:bidi w:val="0"/>
              <w:adjustRightInd/>
              <w:snapToGrid/>
              <w:spacing w:line="400" w:lineRule="exact"/>
              <w:rPr>
                <w:rFonts w:ascii="仿宋" w:hAnsi="仿宋" w:eastAsia="仿宋" w:cs="仿宋"/>
                <w:color w:val="auto"/>
                <w:szCs w:val="21"/>
              </w:rPr>
            </w:pPr>
            <w:r>
              <w:rPr>
                <w:rFonts w:hint="eastAsia" w:ascii="仿宋" w:hAnsi="仿宋" w:eastAsia="仿宋" w:cs="仿宋"/>
                <w:color w:val="auto"/>
                <w:szCs w:val="21"/>
              </w:rPr>
              <w:t>交付的时间和地点</w:t>
            </w:r>
          </w:p>
        </w:tc>
        <w:tc>
          <w:tcPr>
            <w:tcW w:w="3936" w:type="pct"/>
            <w:gridSpan w:val="5"/>
            <w:tcBorders>
              <w:top w:val="single" w:color="auto" w:sz="4" w:space="0"/>
              <w:left w:val="single" w:color="auto" w:sz="4" w:space="0"/>
              <w:bottom w:val="single" w:color="auto" w:sz="4" w:space="0"/>
              <w:right w:val="single" w:color="auto" w:sz="4" w:space="0"/>
            </w:tcBorders>
            <w:noWrap/>
            <w:vAlign w:val="center"/>
          </w:tcPr>
          <w:p w14:paraId="6AF32004">
            <w:pPr>
              <w:keepNext w:val="0"/>
              <w:keepLines/>
              <w:pageBreakBefore w:val="0"/>
              <w:widowControl/>
              <w:kinsoku/>
              <w:wordWrap/>
              <w:overflowPunct/>
              <w:topLinePunct w:val="0"/>
              <w:autoSpaceDE/>
              <w:autoSpaceDN/>
              <w:bidi w:val="0"/>
              <w:adjustRightInd/>
              <w:snapToGrid/>
              <w:spacing w:line="400" w:lineRule="exact"/>
              <w:rPr>
                <w:rFonts w:ascii="仿宋" w:hAnsi="仿宋" w:eastAsia="仿宋" w:cs="仿宋"/>
                <w:color w:val="auto"/>
                <w:szCs w:val="21"/>
              </w:rPr>
            </w:pPr>
            <w:r>
              <w:rPr>
                <w:rFonts w:hint="eastAsia" w:ascii="仿宋" w:hAnsi="仿宋" w:eastAsia="仿宋" w:cs="仿宋"/>
                <w:color w:val="auto"/>
                <w:szCs w:val="21"/>
                <w:lang w:val="en-US" w:eastAsia="zh-CN"/>
              </w:rPr>
              <w:t>1、</w:t>
            </w:r>
            <w:r>
              <w:rPr>
                <w:rFonts w:hint="eastAsia" w:ascii="仿宋" w:hAnsi="仿宋" w:eastAsia="仿宋" w:cs="仿宋"/>
                <w:color w:val="auto"/>
                <w:szCs w:val="21"/>
              </w:rPr>
              <w:t>交货时间：合同签订之日起 30 日历日内将货物运至交货地点并安装调试完毕且通过验收。供应商应将所提供货物的装箱清单、质量检验证明书、用户手册、原厂保修卡、随机资料、工具和备品、备件等附于货物内交付给采购人，如有缺失应及时补齐，否则视为逾期交货。</w:t>
            </w:r>
          </w:p>
          <w:p w14:paraId="21235E61">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2、</w:t>
            </w:r>
            <w:r>
              <w:rPr>
                <w:rFonts w:hint="eastAsia" w:ascii="仿宋" w:hAnsi="仿宋" w:eastAsia="仿宋" w:cs="仿宋"/>
                <w:color w:val="auto"/>
                <w:szCs w:val="21"/>
              </w:rPr>
              <w:t>地点：广西南宁市广西机电工程学校（采购人指定地点）</w:t>
            </w:r>
          </w:p>
        </w:tc>
      </w:tr>
      <w:tr w14:paraId="08AD52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63" w:type="pct"/>
            <w:gridSpan w:val="2"/>
            <w:tcBorders>
              <w:top w:val="single" w:color="auto" w:sz="4" w:space="0"/>
              <w:left w:val="single" w:color="auto" w:sz="4" w:space="0"/>
              <w:bottom w:val="single" w:color="auto" w:sz="4" w:space="0"/>
              <w:right w:val="single" w:color="auto" w:sz="4" w:space="0"/>
            </w:tcBorders>
            <w:noWrap/>
            <w:vAlign w:val="center"/>
          </w:tcPr>
          <w:p w14:paraId="2D99DB34">
            <w:pPr>
              <w:keepNext w:val="0"/>
              <w:keepLines/>
              <w:pageBreakBefore w:val="0"/>
              <w:widowControl/>
              <w:kinsoku/>
              <w:wordWrap/>
              <w:overflowPunct/>
              <w:topLinePunct w:val="0"/>
              <w:autoSpaceDE/>
              <w:autoSpaceDN/>
              <w:bidi w:val="0"/>
              <w:adjustRightInd/>
              <w:snapToGrid/>
              <w:spacing w:line="400" w:lineRule="exact"/>
              <w:rPr>
                <w:rFonts w:ascii="仿宋" w:hAnsi="仿宋" w:eastAsia="仿宋" w:cs="仿宋"/>
                <w:color w:val="auto"/>
                <w:szCs w:val="21"/>
              </w:rPr>
            </w:pPr>
            <w:r>
              <w:rPr>
                <w:rFonts w:hint="eastAsia" w:ascii="仿宋" w:hAnsi="仿宋" w:eastAsia="仿宋" w:cs="仿宋"/>
                <w:color w:val="auto"/>
                <w:szCs w:val="21"/>
              </w:rPr>
              <w:t>付款条件</w:t>
            </w:r>
          </w:p>
        </w:tc>
        <w:tc>
          <w:tcPr>
            <w:tcW w:w="3936" w:type="pct"/>
            <w:gridSpan w:val="5"/>
            <w:tcBorders>
              <w:top w:val="single" w:color="auto" w:sz="4" w:space="0"/>
              <w:left w:val="single" w:color="auto" w:sz="4" w:space="0"/>
              <w:bottom w:val="single" w:color="auto" w:sz="4" w:space="0"/>
              <w:right w:val="single" w:color="auto" w:sz="4" w:space="0"/>
            </w:tcBorders>
            <w:noWrap/>
            <w:vAlign w:val="center"/>
          </w:tcPr>
          <w:p w14:paraId="25A8A6B4">
            <w:pPr>
              <w:keepNext w:val="0"/>
              <w:keepLines/>
              <w:pageBreakBefore w:val="0"/>
              <w:widowControl/>
              <w:numPr>
                <w:ilvl w:val="0"/>
                <w:numId w:val="0"/>
              </w:numPr>
              <w:kinsoku/>
              <w:wordWrap/>
              <w:overflowPunct/>
              <w:topLinePunct w:val="0"/>
              <w:autoSpaceDE/>
              <w:autoSpaceDN/>
              <w:bidi w:val="0"/>
              <w:adjustRightInd/>
              <w:snapToGrid/>
              <w:spacing w:line="400" w:lineRule="exact"/>
              <w:rPr>
                <w:rFonts w:hint="eastAsia" w:ascii="仿宋" w:hAnsi="仿宋" w:eastAsia="仿宋" w:cs="仿宋"/>
                <w:color w:val="auto"/>
                <w:szCs w:val="21"/>
              </w:rPr>
            </w:pPr>
            <w:r>
              <w:rPr>
                <w:rFonts w:hint="eastAsia" w:ascii="仿宋" w:hAnsi="仿宋" w:eastAsia="仿宋" w:cs="仿宋"/>
                <w:color w:val="auto"/>
                <w:szCs w:val="21"/>
              </w:rPr>
              <w:t>1、具体付款方式如下：</w:t>
            </w:r>
          </w:p>
          <w:p w14:paraId="1B683ABD">
            <w:pPr>
              <w:keepNext w:val="0"/>
              <w:keepLines/>
              <w:pageBreakBefore w:val="0"/>
              <w:widowControl/>
              <w:numPr>
                <w:ilvl w:val="0"/>
                <w:numId w:val="0"/>
              </w:numPr>
              <w:kinsoku/>
              <w:wordWrap/>
              <w:overflowPunct/>
              <w:topLinePunct w:val="0"/>
              <w:autoSpaceDE/>
              <w:autoSpaceDN/>
              <w:bidi w:val="0"/>
              <w:adjustRightInd/>
              <w:snapToGrid/>
              <w:spacing w:line="400" w:lineRule="exact"/>
              <w:rPr>
                <w:rFonts w:hint="eastAsia" w:ascii="仿宋" w:hAnsi="仿宋" w:eastAsia="仿宋" w:cs="仿宋"/>
                <w:color w:val="auto"/>
                <w:szCs w:val="21"/>
              </w:rPr>
            </w:pPr>
            <w:r>
              <w:rPr>
                <w:rFonts w:hint="eastAsia" w:ascii="仿宋" w:hAnsi="仿宋" w:eastAsia="仿宋" w:cs="仿宋"/>
                <w:color w:val="auto"/>
                <w:szCs w:val="21"/>
              </w:rPr>
              <w:t>①预付款：签订合同之日起10个工作日内，</w:t>
            </w:r>
            <w:r>
              <w:rPr>
                <w:rFonts w:hint="eastAsia" w:ascii="仿宋" w:hAnsi="仿宋" w:eastAsia="仿宋" w:cs="仿宋"/>
                <w:color w:val="auto"/>
                <w:szCs w:val="21"/>
                <w:lang w:eastAsia="zh-CN"/>
              </w:rPr>
              <w:t>中标供应商</w:t>
            </w:r>
            <w:r>
              <w:rPr>
                <w:rFonts w:hint="eastAsia" w:ascii="仿宋" w:hAnsi="仿宋" w:eastAsia="仿宋" w:cs="仿宋"/>
                <w:color w:val="auto"/>
                <w:szCs w:val="21"/>
              </w:rPr>
              <w:t xml:space="preserve">开具合同总价款的 </w:t>
            </w:r>
            <w:r>
              <w:rPr>
                <w:rFonts w:hint="eastAsia" w:ascii="仿宋" w:hAnsi="仿宋" w:eastAsia="仿宋" w:cs="仿宋"/>
                <w:color w:val="auto"/>
                <w:szCs w:val="21"/>
                <w:lang w:val="en-US" w:eastAsia="zh-CN"/>
              </w:rPr>
              <w:t>5</w:t>
            </w:r>
            <w:r>
              <w:rPr>
                <w:rFonts w:hint="eastAsia" w:ascii="仿宋" w:hAnsi="仿宋" w:eastAsia="仿宋" w:cs="仿宋"/>
                <w:color w:val="auto"/>
                <w:szCs w:val="21"/>
              </w:rPr>
              <w:t>0%的等额价值保函(</w:t>
            </w:r>
            <w:r>
              <w:rPr>
                <w:rFonts w:hint="eastAsia" w:ascii="仿宋" w:hAnsi="仿宋" w:eastAsia="仿宋" w:cs="仿宋"/>
                <w:color w:val="auto"/>
                <w:szCs w:val="21"/>
                <w:highlight w:val="none"/>
              </w:rPr>
              <w:t>保函有效期应</w:t>
            </w:r>
            <w:r>
              <w:rPr>
                <w:rFonts w:hint="eastAsia" w:ascii="仿宋" w:hAnsi="仿宋" w:eastAsia="仿宋" w:cs="仿宋"/>
                <w:color w:val="auto"/>
                <w:szCs w:val="21"/>
                <w:highlight w:val="none"/>
                <w:lang w:val="en-US" w:eastAsia="zh-CN"/>
              </w:rPr>
              <w:t>与投标有效期一致</w:t>
            </w:r>
            <w:r>
              <w:rPr>
                <w:rFonts w:hint="eastAsia" w:ascii="仿宋" w:hAnsi="仿宋" w:eastAsia="仿宋" w:cs="仿宋"/>
                <w:color w:val="auto"/>
                <w:szCs w:val="21"/>
              </w:rPr>
              <w:t>)给采购人后，采购人支付合同总价款的</w:t>
            </w:r>
            <w:r>
              <w:rPr>
                <w:rFonts w:hint="eastAsia" w:ascii="仿宋" w:hAnsi="仿宋" w:eastAsia="仿宋" w:cs="仿宋"/>
                <w:color w:val="auto"/>
                <w:szCs w:val="21"/>
                <w:lang w:val="en-US" w:eastAsia="zh-CN"/>
              </w:rPr>
              <w:t>5</w:t>
            </w:r>
            <w:r>
              <w:rPr>
                <w:rFonts w:hint="eastAsia" w:ascii="仿宋" w:hAnsi="仿宋" w:eastAsia="仿宋" w:cs="仿宋"/>
                <w:color w:val="auto"/>
                <w:szCs w:val="21"/>
              </w:rPr>
              <w:t>0%作为预付款。</w:t>
            </w:r>
          </w:p>
          <w:p w14:paraId="22871811">
            <w:pPr>
              <w:keepNext w:val="0"/>
              <w:keepLines/>
              <w:pageBreakBefore w:val="0"/>
              <w:widowControl/>
              <w:numPr>
                <w:ilvl w:val="0"/>
                <w:numId w:val="0"/>
              </w:numPr>
              <w:kinsoku/>
              <w:wordWrap/>
              <w:overflowPunct/>
              <w:topLinePunct w:val="0"/>
              <w:autoSpaceDE/>
              <w:autoSpaceDN/>
              <w:bidi w:val="0"/>
              <w:adjustRightInd/>
              <w:snapToGrid/>
              <w:spacing w:line="400" w:lineRule="exact"/>
              <w:rPr>
                <w:rFonts w:hint="eastAsia" w:ascii="仿宋" w:hAnsi="仿宋" w:eastAsia="仿宋" w:cs="仿宋"/>
                <w:color w:val="auto"/>
                <w:szCs w:val="21"/>
              </w:rPr>
            </w:pPr>
            <w:r>
              <w:rPr>
                <w:rFonts w:hint="eastAsia" w:ascii="仿宋" w:hAnsi="仿宋" w:eastAsia="仿宋" w:cs="仿宋"/>
                <w:color w:val="auto"/>
                <w:szCs w:val="21"/>
              </w:rPr>
              <w:t>②进度款：所有货物安装调试完成、试运行正常且验收合格，并经采购人确认后，在十个工作日内向</w:t>
            </w:r>
            <w:r>
              <w:rPr>
                <w:rFonts w:hint="eastAsia" w:ascii="仿宋" w:hAnsi="仿宋" w:eastAsia="仿宋" w:cs="仿宋"/>
                <w:color w:val="auto"/>
                <w:szCs w:val="21"/>
                <w:lang w:eastAsia="zh-CN"/>
              </w:rPr>
              <w:t>中标供应商</w:t>
            </w:r>
            <w:r>
              <w:rPr>
                <w:rFonts w:hint="eastAsia" w:ascii="仿宋" w:hAnsi="仿宋" w:eastAsia="仿宋" w:cs="仿宋"/>
                <w:color w:val="auto"/>
                <w:szCs w:val="21"/>
              </w:rPr>
              <w:t>支付合同价款的</w:t>
            </w:r>
            <w:r>
              <w:rPr>
                <w:rFonts w:hint="eastAsia" w:ascii="仿宋" w:hAnsi="仿宋" w:eastAsia="仿宋" w:cs="仿宋"/>
                <w:color w:val="auto"/>
                <w:szCs w:val="21"/>
                <w:lang w:val="en-US" w:eastAsia="zh-CN"/>
              </w:rPr>
              <w:t>5</w:t>
            </w:r>
            <w:r>
              <w:rPr>
                <w:rFonts w:hint="eastAsia" w:ascii="仿宋" w:hAnsi="仿宋" w:eastAsia="仿宋" w:cs="仿宋"/>
                <w:color w:val="auto"/>
                <w:szCs w:val="21"/>
              </w:rPr>
              <w:t>0%.</w:t>
            </w:r>
          </w:p>
          <w:p w14:paraId="68630F1F">
            <w:pPr>
              <w:keepNext w:val="0"/>
              <w:keepLines/>
              <w:pageBreakBefore w:val="0"/>
              <w:widowControl/>
              <w:numPr>
                <w:ilvl w:val="0"/>
                <w:numId w:val="0"/>
              </w:numPr>
              <w:kinsoku/>
              <w:wordWrap/>
              <w:overflowPunct/>
              <w:topLinePunct w:val="0"/>
              <w:autoSpaceDE/>
              <w:autoSpaceDN/>
              <w:bidi w:val="0"/>
              <w:adjustRightInd/>
              <w:snapToGrid/>
              <w:spacing w:line="400" w:lineRule="exact"/>
              <w:rPr>
                <w:rFonts w:hint="eastAsia" w:ascii="仿宋" w:hAnsi="仿宋" w:eastAsia="仿宋" w:cs="仿宋"/>
                <w:color w:val="auto"/>
                <w:szCs w:val="21"/>
              </w:rPr>
            </w:pPr>
            <w:r>
              <w:rPr>
                <w:rFonts w:hint="eastAsia" w:ascii="仿宋" w:hAnsi="仿宋" w:eastAsia="仿宋" w:cs="仿宋"/>
                <w:color w:val="auto"/>
                <w:szCs w:val="21"/>
              </w:rPr>
              <w:t>2、以上各项付款所需凭证将在签订合同时做具体规定。</w:t>
            </w:r>
          </w:p>
        </w:tc>
      </w:tr>
      <w:tr w14:paraId="4EBA04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63" w:type="pct"/>
            <w:gridSpan w:val="2"/>
            <w:tcBorders>
              <w:top w:val="single" w:color="auto" w:sz="4" w:space="0"/>
              <w:left w:val="single" w:color="auto" w:sz="4" w:space="0"/>
              <w:bottom w:val="single" w:color="auto" w:sz="4" w:space="0"/>
              <w:right w:val="single" w:color="auto" w:sz="4" w:space="0"/>
            </w:tcBorders>
            <w:noWrap/>
            <w:vAlign w:val="center"/>
          </w:tcPr>
          <w:p w14:paraId="25CDBECD">
            <w:pPr>
              <w:keepNext w:val="0"/>
              <w:keepLines/>
              <w:pageBreakBefore w:val="0"/>
              <w:widowControl/>
              <w:kinsoku/>
              <w:wordWrap/>
              <w:overflowPunct/>
              <w:topLinePunct w:val="0"/>
              <w:autoSpaceDE/>
              <w:autoSpaceDN/>
              <w:bidi w:val="0"/>
              <w:adjustRightInd/>
              <w:snapToGrid/>
              <w:spacing w:line="400" w:lineRule="exact"/>
              <w:rPr>
                <w:rFonts w:ascii="仿宋" w:hAnsi="仿宋" w:eastAsia="仿宋" w:cs="仿宋"/>
                <w:color w:val="auto"/>
                <w:szCs w:val="21"/>
              </w:rPr>
            </w:pPr>
            <w:r>
              <w:rPr>
                <w:rFonts w:hint="eastAsia" w:ascii="仿宋" w:hAnsi="仿宋" w:eastAsia="仿宋" w:cs="仿宋"/>
                <w:color w:val="auto"/>
                <w:szCs w:val="21"/>
              </w:rPr>
              <w:t>售后服务</w:t>
            </w:r>
          </w:p>
        </w:tc>
        <w:tc>
          <w:tcPr>
            <w:tcW w:w="3936" w:type="pct"/>
            <w:gridSpan w:val="5"/>
            <w:tcBorders>
              <w:top w:val="single" w:color="auto" w:sz="4" w:space="0"/>
              <w:left w:val="single" w:color="auto" w:sz="4" w:space="0"/>
              <w:bottom w:val="single" w:color="auto" w:sz="4" w:space="0"/>
              <w:right w:val="single" w:color="auto" w:sz="4" w:space="0"/>
            </w:tcBorders>
            <w:noWrap/>
            <w:vAlign w:val="center"/>
          </w:tcPr>
          <w:p w14:paraId="3972C7D3">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Cs w:val="21"/>
              </w:rPr>
            </w:pPr>
            <w:r>
              <w:rPr>
                <w:rFonts w:hint="eastAsia" w:ascii="仿宋" w:hAnsi="仿宋" w:eastAsia="仿宋" w:cs="仿宋"/>
                <w:color w:val="auto"/>
                <w:szCs w:val="21"/>
              </w:rPr>
              <w:t>1</w:t>
            </w:r>
            <w:r>
              <w:rPr>
                <w:rFonts w:hint="eastAsia" w:ascii="仿宋" w:hAnsi="仿宋" w:eastAsia="仿宋" w:cs="仿宋"/>
                <w:color w:val="auto"/>
                <w:szCs w:val="21"/>
                <w:lang w:eastAsia="zh-CN"/>
              </w:rPr>
              <w:t>、</w:t>
            </w:r>
            <w:r>
              <w:rPr>
                <w:rFonts w:hint="eastAsia" w:ascii="仿宋" w:hAnsi="仿宋" w:eastAsia="仿宋" w:cs="仿宋"/>
                <w:color w:val="auto"/>
                <w:szCs w:val="21"/>
              </w:rPr>
              <w:t>保修年限</w:t>
            </w:r>
          </w:p>
          <w:p w14:paraId="01DE1044">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Cs w:val="21"/>
              </w:rPr>
            </w:pPr>
            <w:r>
              <w:rPr>
                <w:rFonts w:hint="eastAsia" w:ascii="仿宋" w:hAnsi="仿宋" w:eastAsia="仿宋" w:cs="仿宋"/>
                <w:color w:val="auto"/>
                <w:szCs w:val="21"/>
              </w:rPr>
              <w:t>货物维保期（自交付并验收合格之日起计算）：按国家有关产品“三包”规定执行“三包”，所有货物维保期从最终验收合格之日起计算不少于</w:t>
            </w:r>
            <w:r>
              <w:rPr>
                <w:rFonts w:hint="eastAsia" w:ascii="仿宋" w:hAnsi="仿宋" w:eastAsia="仿宋" w:cs="仿宋"/>
                <w:color w:val="auto"/>
                <w:szCs w:val="21"/>
                <w:highlight w:val="none"/>
                <w:lang w:val="en-US" w:eastAsia="zh-CN"/>
              </w:rPr>
              <w:t>一</w:t>
            </w:r>
            <w:r>
              <w:rPr>
                <w:rFonts w:hint="eastAsia" w:ascii="仿宋" w:hAnsi="仿宋" w:eastAsia="仿宋" w:cs="仿宋"/>
                <w:color w:val="auto"/>
                <w:szCs w:val="21"/>
                <w:highlight w:val="none"/>
              </w:rPr>
              <w:t>年（含</w:t>
            </w:r>
            <w:r>
              <w:rPr>
                <w:rFonts w:hint="eastAsia" w:ascii="仿宋" w:hAnsi="仿宋" w:eastAsia="仿宋" w:cs="仿宋"/>
                <w:color w:val="auto"/>
                <w:szCs w:val="21"/>
                <w:highlight w:val="none"/>
                <w:lang w:val="en-US" w:eastAsia="zh-CN"/>
              </w:rPr>
              <w:t>一</w:t>
            </w:r>
            <w:r>
              <w:rPr>
                <w:rFonts w:hint="eastAsia" w:ascii="仿宋" w:hAnsi="仿宋" w:eastAsia="仿宋" w:cs="仿宋"/>
                <w:color w:val="auto"/>
                <w:szCs w:val="21"/>
                <w:highlight w:val="none"/>
              </w:rPr>
              <w:t>年）</w:t>
            </w:r>
            <w:r>
              <w:rPr>
                <w:rFonts w:hint="eastAsia" w:ascii="仿宋" w:hAnsi="仿宋" w:eastAsia="仿宋" w:cs="仿宋"/>
                <w:color w:val="auto"/>
                <w:szCs w:val="21"/>
              </w:rPr>
              <w:t>，如在本项目“货物参数”有专项要求的，从其规定。</w:t>
            </w:r>
          </w:p>
          <w:p w14:paraId="61C21EAB">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Cs w:val="21"/>
              </w:rPr>
            </w:pPr>
            <w:r>
              <w:rPr>
                <w:rFonts w:hint="eastAsia" w:ascii="仿宋" w:hAnsi="仿宋" w:eastAsia="仿宋" w:cs="仿宋"/>
                <w:color w:val="auto"/>
                <w:szCs w:val="21"/>
              </w:rPr>
              <w:t>2</w:t>
            </w:r>
            <w:r>
              <w:rPr>
                <w:rFonts w:hint="eastAsia" w:ascii="仿宋" w:hAnsi="仿宋" w:eastAsia="仿宋" w:cs="仿宋"/>
                <w:color w:val="auto"/>
                <w:szCs w:val="21"/>
                <w:lang w:eastAsia="zh-CN"/>
              </w:rPr>
              <w:t>、</w:t>
            </w:r>
            <w:r>
              <w:rPr>
                <w:rFonts w:hint="eastAsia" w:ascii="仿宋" w:hAnsi="仿宋" w:eastAsia="仿宋" w:cs="仿宋"/>
                <w:color w:val="auto"/>
                <w:szCs w:val="21"/>
              </w:rPr>
              <w:t>售后服务</w:t>
            </w:r>
          </w:p>
          <w:p w14:paraId="4ED62C58">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Cs w:val="21"/>
              </w:rPr>
            </w:pPr>
            <w:r>
              <w:rPr>
                <w:rFonts w:hint="eastAsia" w:ascii="仿宋" w:hAnsi="仿宋" w:eastAsia="仿宋" w:cs="仿宋"/>
                <w:color w:val="auto"/>
                <w:szCs w:val="21"/>
                <w:lang w:eastAsia="zh-CN"/>
              </w:rPr>
              <w:t>（</w:t>
            </w:r>
            <w:r>
              <w:rPr>
                <w:rFonts w:hint="eastAsia" w:ascii="仿宋" w:hAnsi="仿宋" w:eastAsia="仿宋" w:cs="仿宋"/>
                <w:color w:val="auto"/>
                <w:szCs w:val="21"/>
                <w:lang w:val="en-US" w:eastAsia="zh-CN"/>
              </w:rPr>
              <w:t>1</w:t>
            </w:r>
            <w:r>
              <w:rPr>
                <w:rFonts w:hint="eastAsia" w:ascii="仿宋" w:hAnsi="仿宋" w:eastAsia="仿宋" w:cs="仿宋"/>
                <w:color w:val="auto"/>
                <w:szCs w:val="21"/>
                <w:lang w:eastAsia="zh-CN"/>
              </w:rPr>
              <w:t>）</w:t>
            </w:r>
            <w:r>
              <w:rPr>
                <w:rFonts w:hint="eastAsia" w:ascii="仿宋" w:hAnsi="仿宋" w:eastAsia="仿宋" w:cs="仿宋"/>
                <w:color w:val="auto"/>
                <w:szCs w:val="21"/>
              </w:rPr>
              <w:t>负责送货上门，负责安装调试合格，安装完成后</w:t>
            </w:r>
            <w:r>
              <w:rPr>
                <w:rFonts w:hint="eastAsia" w:ascii="仿宋" w:hAnsi="仿宋" w:eastAsia="仿宋" w:cs="仿宋"/>
                <w:color w:val="auto"/>
                <w:szCs w:val="21"/>
                <w:lang w:eastAsia="zh-CN"/>
              </w:rPr>
              <w:t>中标供应商</w:t>
            </w:r>
            <w:r>
              <w:rPr>
                <w:rFonts w:hint="eastAsia" w:ascii="仿宋" w:hAnsi="仿宋" w:eastAsia="仿宋" w:cs="仿宋"/>
                <w:color w:val="auto"/>
                <w:szCs w:val="21"/>
              </w:rPr>
              <w:t>负责清理产生的木箱等垃圾。安装、调试和培训所需的工具、器材以及差旅费、运费和相关税费，均由</w:t>
            </w:r>
            <w:r>
              <w:rPr>
                <w:rFonts w:hint="eastAsia" w:ascii="仿宋" w:hAnsi="仿宋" w:eastAsia="仿宋" w:cs="仿宋"/>
                <w:color w:val="auto"/>
                <w:szCs w:val="21"/>
                <w:lang w:eastAsia="zh-CN"/>
              </w:rPr>
              <w:t>中标供应商</w:t>
            </w:r>
            <w:r>
              <w:rPr>
                <w:rFonts w:hint="eastAsia" w:ascii="仿宋" w:hAnsi="仿宋" w:eastAsia="仿宋" w:cs="仿宋"/>
                <w:color w:val="auto"/>
                <w:szCs w:val="21"/>
              </w:rPr>
              <w:t>自理。</w:t>
            </w:r>
          </w:p>
          <w:p w14:paraId="73D5AEAD">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Cs w:val="21"/>
              </w:rPr>
            </w:pPr>
            <w:r>
              <w:rPr>
                <w:rFonts w:hint="eastAsia" w:ascii="仿宋" w:hAnsi="仿宋" w:eastAsia="仿宋" w:cs="仿宋"/>
                <w:color w:val="auto"/>
                <w:szCs w:val="21"/>
                <w:lang w:eastAsia="zh-CN"/>
              </w:rPr>
              <w:t>（</w:t>
            </w:r>
            <w:r>
              <w:rPr>
                <w:rFonts w:hint="eastAsia" w:ascii="仿宋" w:hAnsi="仿宋" w:eastAsia="仿宋" w:cs="仿宋"/>
                <w:color w:val="auto"/>
                <w:szCs w:val="21"/>
                <w:lang w:val="en-US" w:eastAsia="zh-CN"/>
              </w:rPr>
              <w:t>2</w:t>
            </w:r>
            <w:r>
              <w:rPr>
                <w:rFonts w:hint="eastAsia" w:ascii="仿宋" w:hAnsi="仿宋" w:eastAsia="仿宋" w:cs="仿宋"/>
                <w:color w:val="auto"/>
                <w:szCs w:val="21"/>
                <w:lang w:eastAsia="zh-CN"/>
              </w:rPr>
              <w:t>）</w:t>
            </w:r>
            <w:r>
              <w:rPr>
                <w:rFonts w:hint="eastAsia" w:ascii="仿宋" w:hAnsi="仿宋" w:eastAsia="仿宋" w:cs="仿宋"/>
                <w:color w:val="auto"/>
                <w:szCs w:val="21"/>
              </w:rPr>
              <w:t>质量服务要求</w:t>
            </w:r>
          </w:p>
          <w:p w14:paraId="47521BF9">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Cs w:val="21"/>
              </w:rPr>
            </w:pPr>
            <w:r>
              <w:rPr>
                <w:rFonts w:hint="eastAsia" w:ascii="微软雅黑" w:hAnsi="微软雅黑" w:eastAsia="微软雅黑" w:cs="微软雅黑"/>
                <w:color w:val="auto"/>
                <w:szCs w:val="21"/>
              </w:rPr>
              <w:t>①</w:t>
            </w:r>
            <w:r>
              <w:rPr>
                <w:rFonts w:hint="eastAsia" w:ascii="仿宋" w:hAnsi="仿宋" w:eastAsia="仿宋" w:cs="仿宋"/>
                <w:color w:val="auto"/>
                <w:szCs w:val="21"/>
              </w:rPr>
              <w:t>设备交货时须提供设备合格的检测报告，全套说明书并包括简易的中文操作说明和注意事项，及设备、生产厂家、供货商的相关资质证明。</w:t>
            </w:r>
          </w:p>
          <w:p w14:paraId="5F389B6D">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Cs w:val="21"/>
              </w:rPr>
            </w:pPr>
            <w:r>
              <w:rPr>
                <w:rFonts w:hint="eastAsia" w:ascii="微软雅黑" w:hAnsi="微软雅黑" w:eastAsia="微软雅黑" w:cs="微软雅黑"/>
                <w:color w:val="auto"/>
                <w:szCs w:val="21"/>
              </w:rPr>
              <w:t>②</w:t>
            </w:r>
            <w:r>
              <w:rPr>
                <w:rFonts w:hint="eastAsia" w:ascii="仿宋" w:hAnsi="仿宋" w:eastAsia="仿宋" w:cs="仿宋"/>
                <w:color w:val="auto"/>
                <w:szCs w:val="21"/>
              </w:rPr>
              <w:t>设备交付使用后，在质保期如设备发生故障时，如需更换配件，则小配件3个工作日内更换完毕，大配件5个工作日内更换完毕，当配件等待周期大于5个工作日时，</w:t>
            </w:r>
            <w:r>
              <w:rPr>
                <w:rFonts w:hint="eastAsia" w:ascii="仿宋" w:hAnsi="仿宋" w:eastAsia="仿宋" w:cs="仿宋"/>
                <w:color w:val="auto"/>
                <w:szCs w:val="21"/>
                <w:lang w:eastAsia="zh-CN"/>
              </w:rPr>
              <w:t>中标供应商</w:t>
            </w:r>
            <w:r>
              <w:rPr>
                <w:rFonts w:hint="eastAsia" w:ascii="仿宋" w:hAnsi="仿宋" w:eastAsia="仿宋" w:cs="仿宋"/>
                <w:color w:val="auto"/>
                <w:szCs w:val="21"/>
              </w:rPr>
              <w:t>应按照</w:t>
            </w:r>
            <w:r>
              <w:rPr>
                <w:rFonts w:hint="eastAsia" w:ascii="仿宋" w:hAnsi="仿宋" w:eastAsia="仿宋" w:cs="仿宋"/>
                <w:color w:val="auto"/>
                <w:szCs w:val="21"/>
                <w:lang w:eastAsia="zh-CN"/>
              </w:rPr>
              <w:t>学校</w:t>
            </w:r>
            <w:r>
              <w:rPr>
                <w:rFonts w:hint="eastAsia" w:ascii="仿宋" w:hAnsi="仿宋" w:eastAsia="仿宋" w:cs="仿宋"/>
                <w:color w:val="auto"/>
                <w:szCs w:val="21"/>
              </w:rPr>
              <w:t>要求提供备用机。配件最后调换，</w:t>
            </w:r>
            <w:r>
              <w:rPr>
                <w:rFonts w:hint="eastAsia" w:ascii="仿宋" w:hAnsi="仿宋" w:eastAsia="仿宋" w:cs="仿宋"/>
                <w:color w:val="auto"/>
                <w:szCs w:val="21"/>
                <w:lang w:eastAsia="zh-CN"/>
              </w:rPr>
              <w:t>中标供应商</w:t>
            </w:r>
            <w:r>
              <w:rPr>
                <w:rFonts w:hint="eastAsia" w:ascii="仿宋" w:hAnsi="仿宋" w:eastAsia="仿宋" w:cs="仿宋"/>
                <w:color w:val="auto"/>
                <w:szCs w:val="21"/>
              </w:rPr>
              <w:t>提供的质保从纠正之日起重新计算质保期。</w:t>
            </w:r>
          </w:p>
          <w:p w14:paraId="001812D6">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Cs w:val="21"/>
              </w:rPr>
            </w:pPr>
            <w:r>
              <w:rPr>
                <w:rFonts w:hint="eastAsia" w:ascii="微软雅黑" w:hAnsi="微软雅黑" w:eastAsia="微软雅黑" w:cs="微软雅黑"/>
                <w:color w:val="auto"/>
                <w:szCs w:val="21"/>
              </w:rPr>
              <w:t>③</w:t>
            </w:r>
            <w:r>
              <w:rPr>
                <w:rFonts w:hint="eastAsia" w:ascii="仿宋" w:hAnsi="仿宋" w:eastAsia="仿宋" w:cs="仿宋"/>
                <w:color w:val="auto"/>
                <w:szCs w:val="21"/>
              </w:rPr>
              <w:t>所供货设备不能涉及任何知识产权方面的法律纠纷。</w:t>
            </w:r>
          </w:p>
          <w:p w14:paraId="146E58D0">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Cs w:val="21"/>
              </w:rPr>
            </w:pPr>
            <w:r>
              <w:rPr>
                <w:rFonts w:hint="eastAsia" w:ascii="微软雅黑" w:hAnsi="微软雅黑" w:eastAsia="微软雅黑" w:cs="微软雅黑"/>
                <w:color w:val="auto"/>
                <w:szCs w:val="21"/>
              </w:rPr>
              <w:t>④</w:t>
            </w:r>
            <w:r>
              <w:rPr>
                <w:rFonts w:hint="eastAsia" w:ascii="仿宋" w:hAnsi="仿宋" w:eastAsia="仿宋" w:cs="仿宋"/>
                <w:color w:val="auto"/>
                <w:szCs w:val="21"/>
              </w:rPr>
              <w:t>售后服务：设备出现故障2小时内响应，8小时内到达现场维修，一般问题应在24小时内解决，重大问题或其它无法迅速解决的问题应在一周内解决（特殊配件更换除外）。</w:t>
            </w:r>
          </w:p>
          <w:p w14:paraId="6186C143">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Cs w:val="21"/>
              </w:rPr>
            </w:pPr>
            <w:r>
              <w:rPr>
                <w:rFonts w:hint="eastAsia" w:ascii="仿宋" w:hAnsi="仿宋" w:eastAsia="仿宋" w:cs="仿宋"/>
                <w:color w:val="auto"/>
                <w:szCs w:val="21"/>
                <w:lang w:eastAsia="zh-CN"/>
              </w:rPr>
              <w:t>（</w:t>
            </w:r>
            <w:r>
              <w:rPr>
                <w:rFonts w:hint="eastAsia" w:ascii="仿宋" w:hAnsi="仿宋" w:eastAsia="仿宋" w:cs="仿宋"/>
                <w:color w:val="auto"/>
                <w:szCs w:val="21"/>
                <w:lang w:val="en-US" w:eastAsia="zh-CN"/>
              </w:rPr>
              <w:t>3</w:t>
            </w:r>
            <w:r>
              <w:rPr>
                <w:rFonts w:hint="eastAsia" w:ascii="仿宋" w:hAnsi="仿宋" w:eastAsia="仿宋" w:cs="仿宋"/>
                <w:color w:val="auto"/>
                <w:szCs w:val="21"/>
                <w:lang w:eastAsia="zh-CN"/>
              </w:rPr>
              <w:t>）</w:t>
            </w:r>
            <w:r>
              <w:rPr>
                <w:rFonts w:hint="eastAsia" w:ascii="仿宋" w:hAnsi="仿宋" w:eastAsia="仿宋" w:cs="仿宋"/>
                <w:color w:val="auto"/>
                <w:szCs w:val="21"/>
              </w:rPr>
              <w:t>各项性能指标达到技术要求的，由供需双方共同签字认可，现场验收。</w:t>
            </w:r>
          </w:p>
          <w:p w14:paraId="17C1DA4F">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Cs w:val="21"/>
              </w:rPr>
            </w:pPr>
            <w:r>
              <w:rPr>
                <w:rFonts w:hint="eastAsia" w:ascii="仿宋" w:hAnsi="仿宋" w:eastAsia="仿宋" w:cs="仿宋"/>
                <w:color w:val="auto"/>
                <w:szCs w:val="21"/>
                <w:lang w:eastAsia="zh-CN"/>
              </w:rPr>
              <w:t>（</w:t>
            </w:r>
            <w:r>
              <w:rPr>
                <w:rFonts w:hint="eastAsia" w:ascii="仿宋" w:hAnsi="仿宋" w:eastAsia="仿宋" w:cs="仿宋"/>
                <w:color w:val="auto"/>
                <w:szCs w:val="21"/>
                <w:lang w:val="en-US" w:eastAsia="zh-CN"/>
              </w:rPr>
              <w:t>4</w:t>
            </w:r>
            <w:r>
              <w:rPr>
                <w:rFonts w:hint="eastAsia" w:ascii="仿宋" w:hAnsi="仿宋" w:eastAsia="仿宋" w:cs="仿宋"/>
                <w:color w:val="auto"/>
                <w:szCs w:val="21"/>
                <w:lang w:eastAsia="zh-CN"/>
              </w:rPr>
              <w:t>）</w:t>
            </w:r>
            <w:r>
              <w:rPr>
                <w:rFonts w:hint="eastAsia" w:ascii="仿宋" w:hAnsi="仿宋" w:eastAsia="仿宋" w:cs="仿宋"/>
                <w:color w:val="auto"/>
                <w:szCs w:val="21"/>
              </w:rPr>
              <w:t>定期回访以及对设备维护。</w:t>
            </w:r>
          </w:p>
          <w:p w14:paraId="6C16BA62">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Cs w:val="21"/>
              </w:rPr>
            </w:pPr>
            <w:r>
              <w:rPr>
                <w:rFonts w:hint="eastAsia" w:ascii="仿宋" w:hAnsi="仿宋" w:eastAsia="仿宋" w:cs="仿宋"/>
                <w:color w:val="auto"/>
                <w:szCs w:val="21"/>
                <w:lang w:eastAsia="zh-CN"/>
              </w:rPr>
              <w:t>（</w:t>
            </w:r>
            <w:r>
              <w:rPr>
                <w:rFonts w:hint="eastAsia" w:ascii="仿宋" w:hAnsi="仿宋" w:eastAsia="仿宋" w:cs="仿宋"/>
                <w:color w:val="auto"/>
                <w:szCs w:val="21"/>
                <w:lang w:val="en-US" w:eastAsia="zh-CN"/>
              </w:rPr>
              <w:t>5</w:t>
            </w:r>
            <w:r>
              <w:rPr>
                <w:rFonts w:hint="eastAsia" w:ascii="仿宋" w:hAnsi="仿宋" w:eastAsia="仿宋" w:cs="仿宋"/>
                <w:color w:val="auto"/>
                <w:szCs w:val="21"/>
                <w:lang w:eastAsia="zh-CN"/>
              </w:rPr>
              <w:t>）</w:t>
            </w:r>
            <w:r>
              <w:rPr>
                <w:rFonts w:hint="eastAsia" w:ascii="仿宋" w:hAnsi="仿宋" w:eastAsia="仿宋" w:cs="仿宋"/>
                <w:color w:val="auto"/>
                <w:szCs w:val="21"/>
              </w:rPr>
              <w:t>产品生产厂家在中国大陆境内设有可受理售后服务事务的全国统一的免费服务专线电话，如400或800服务电话等。</w:t>
            </w:r>
          </w:p>
          <w:p w14:paraId="0AF9D711">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Cs w:val="21"/>
              </w:rPr>
            </w:pPr>
            <w:r>
              <w:rPr>
                <w:rFonts w:hint="eastAsia" w:ascii="仿宋" w:hAnsi="仿宋" w:eastAsia="仿宋" w:cs="仿宋"/>
                <w:color w:val="auto"/>
                <w:szCs w:val="21"/>
                <w:lang w:eastAsia="zh-CN"/>
              </w:rPr>
              <w:t>（</w:t>
            </w:r>
            <w:r>
              <w:rPr>
                <w:rFonts w:hint="eastAsia" w:ascii="仿宋" w:hAnsi="仿宋" w:eastAsia="仿宋" w:cs="仿宋"/>
                <w:color w:val="auto"/>
                <w:szCs w:val="21"/>
                <w:lang w:val="en-US" w:eastAsia="zh-CN"/>
              </w:rPr>
              <w:t>6</w:t>
            </w:r>
            <w:r>
              <w:rPr>
                <w:rFonts w:hint="eastAsia" w:ascii="仿宋" w:hAnsi="仿宋" w:eastAsia="仿宋" w:cs="仿宋"/>
                <w:color w:val="auto"/>
                <w:szCs w:val="21"/>
                <w:lang w:eastAsia="zh-CN"/>
              </w:rPr>
              <w:t>）</w:t>
            </w:r>
            <w:r>
              <w:rPr>
                <w:rFonts w:hint="eastAsia" w:ascii="仿宋" w:hAnsi="仿宋" w:eastAsia="仿宋" w:cs="仿宋"/>
                <w:color w:val="auto"/>
                <w:szCs w:val="21"/>
              </w:rPr>
              <w:t>质保期内所有其它伴随服务的费用均应包含在合同价中，采购人不再另行支付任何费用。</w:t>
            </w:r>
          </w:p>
          <w:p w14:paraId="15B53997">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Cs w:val="21"/>
              </w:rPr>
            </w:pPr>
            <w:r>
              <w:rPr>
                <w:rFonts w:hint="eastAsia" w:ascii="仿宋" w:hAnsi="仿宋" w:eastAsia="仿宋" w:cs="仿宋"/>
                <w:color w:val="auto"/>
                <w:szCs w:val="21"/>
                <w:lang w:eastAsia="zh-CN"/>
              </w:rPr>
              <w:t>（</w:t>
            </w:r>
            <w:r>
              <w:rPr>
                <w:rFonts w:hint="eastAsia" w:ascii="仿宋" w:hAnsi="仿宋" w:eastAsia="仿宋" w:cs="仿宋"/>
                <w:color w:val="auto"/>
                <w:szCs w:val="21"/>
                <w:lang w:val="en-US" w:eastAsia="zh-CN"/>
              </w:rPr>
              <w:t>7</w:t>
            </w:r>
            <w:r>
              <w:rPr>
                <w:rFonts w:hint="eastAsia" w:ascii="仿宋" w:hAnsi="仿宋" w:eastAsia="仿宋" w:cs="仿宋"/>
                <w:color w:val="auto"/>
                <w:szCs w:val="21"/>
                <w:lang w:eastAsia="zh-CN"/>
              </w:rPr>
              <w:t>）中标供应商</w:t>
            </w:r>
            <w:r>
              <w:rPr>
                <w:rFonts w:hint="eastAsia" w:ascii="仿宋" w:hAnsi="仿宋" w:eastAsia="仿宋" w:cs="仿宋"/>
                <w:color w:val="auto"/>
                <w:szCs w:val="21"/>
              </w:rPr>
              <w:t>提供设备质保期内的所有售后服务，包括原厂商服务和非原厂商服务，其中硬件的售后服务包括但不限于硬件维护维修、配件更换、整机更换、提供替代品并承担相应费用；质保期内，售后服务所产生的费用均由</w:t>
            </w:r>
            <w:r>
              <w:rPr>
                <w:rFonts w:hint="eastAsia" w:ascii="仿宋" w:hAnsi="仿宋" w:eastAsia="仿宋" w:cs="仿宋"/>
                <w:color w:val="auto"/>
                <w:szCs w:val="21"/>
                <w:lang w:eastAsia="zh-CN"/>
              </w:rPr>
              <w:t>中标供应商</w:t>
            </w:r>
            <w:r>
              <w:rPr>
                <w:rFonts w:hint="eastAsia" w:ascii="仿宋" w:hAnsi="仿宋" w:eastAsia="仿宋" w:cs="仿宋"/>
                <w:color w:val="auto"/>
                <w:szCs w:val="21"/>
              </w:rPr>
              <w:t>承担。</w:t>
            </w:r>
          </w:p>
          <w:p w14:paraId="42D076A9">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Cs w:val="21"/>
              </w:rPr>
            </w:pPr>
            <w:r>
              <w:rPr>
                <w:rFonts w:hint="eastAsia" w:ascii="仿宋" w:hAnsi="仿宋" w:eastAsia="仿宋" w:cs="仿宋"/>
                <w:color w:val="auto"/>
                <w:szCs w:val="21"/>
                <w:lang w:eastAsia="zh-CN"/>
              </w:rPr>
              <w:t>（</w:t>
            </w:r>
            <w:r>
              <w:rPr>
                <w:rFonts w:hint="eastAsia" w:ascii="仿宋" w:hAnsi="仿宋" w:eastAsia="仿宋" w:cs="仿宋"/>
                <w:color w:val="auto"/>
                <w:szCs w:val="21"/>
                <w:lang w:val="en-US" w:eastAsia="zh-CN"/>
              </w:rPr>
              <w:t>8</w:t>
            </w:r>
            <w:r>
              <w:rPr>
                <w:rFonts w:hint="eastAsia" w:ascii="仿宋" w:hAnsi="仿宋" w:eastAsia="仿宋" w:cs="仿宋"/>
                <w:color w:val="auto"/>
                <w:szCs w:val="21"/>
                <w:lang w:eastAsia="zh-CN"/>
              </w:rPr>
              <w:t>）</w:t>
            </w:r>
            <w:r>
              <w:rPr>
                <w:rFonts w:hint="eastAsia" w:ascii="仿宋" w:hAnsi="仿宋" w:eastAsia="仿宋" w:cs="仿宋"/>
                <w:color w:val="auto"/>
                <w:szCs w:val="21"/>
              </w:rPr>
              <w:t>培训</w:t>
            </w:r>
          </w:p>
          <w:p w14:paraId="76A38E7B">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Cs w:val="21"/>
              </w:rPr>
            </w:pPr>
            <w:r>
              <w:rPr>
                <w:rFonts w:hint="eastAsia" w:ascii="仿宋" w:hAnsi="仿宋" w:eastAsia="仿宋" w:cs="仿宋"/>
                <w:color w:val="auto"/>
                <w:szCs w:val="21"/>
              </w:rPr>
              <w:t>设备装机验收后，</w:t>
            </w:r>
            <w:r>
              <w:rPr>
                <w:rFonts w:hint="eastAsia" w:ascii="仿宋" w:hAnsi="仿宋" w:eastAsia="仿宋" w:cs="仿宋"/>
                <w:color w:val="auto"/>
                <w:szCs w:val="21"/>
                <w:lang w:eastAsia="zh-CN"/>
              </w:rPr>
              <w:t>中标供应商</w:t>
            </w:r>
            <w:r>
              <w:rPr>
                <w:rFonts w:hint="eastAsia" w:ascii="仿宋" w:hAnsi="仿宋" w:eastAsia="仿宋" w:cs="仿宋"/>
                <w:color w:val="auto"/>
                <w:szCs w:val="21"/>
              </w:rPr>
              <w:t>应现场提供≥2次对采购人的基本培训，满足使用人员熟练掌握全部功能及基本维修，视采购人时间安排确定。</w:t>
            </w:r>
          </w:p>
        </w:tc>
      </w:tr>
      <w:tr w14:paraId="7408F3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63" w:type="pct"/>
            <w:gridSpan w:val="2"/>
            <w:tcBorders>
              <w:top w:val="single" w:color="auto" w:sz="4" w:space="0"/>
              <w:left w:val="single" w:color="auto" w:sz="4" w:space="0"/>
              <w:bottom w:val="single" w:color="auto" w:sz="4" w:space="0"/>
              <w:right w:val="single" w:color="auto" w:sz="4" w:space="0"/>
            </w:tcBorders>
            <w:noWrap/>
            <w:vAlign w:val="center"/>
          </w:tcPr>
          <w:p w14:paraId="5015EE32">
            <w:pPr>
              <w:keepNext w:val="0"/>
              <w:keepLines/>
              <w:pageBreakBefore w:val="0"/>
              <w:widowControl/>
              <w:kinsoku/>
              <w:wordWrap/>
              <w:overflowPunct/>
              <w:topLinePunct w:val="0"/>
              <w:autoSpaceDE/>
              <w:autoSpaceDN/>
              <w:bidi w:val="0"/>
              <w:adjustRightInd/>
              <w:snapToGrid/>
              <w:spacing w:line="400" w:lineRule="exact"/>
              <w:rPr>
                <w:rFonts w:ascii="仿宋" w:hAnsi="仿宋" w:eastAsia="仿宋" w:cs="仿宋"/>
                <w:color w:val="auto"/>
                <w:szCs w:val="21"/>
              </w:rPr>
            </w:pPr>
            <w:r>
              <w:rPr>
                <w:rFonts w:hint="eastAsia" w:ascii="仿宋" w:hAnsi="仿宋" w:eastAsia="仿宋" w:cs="仿宋"/>
                <w:color w:val="auto"/>
                <w:szCs w:val="21"/>
              </w:rPr>
              <w:t>投标报价要求</w:t>
            </w:r>
          </w:p>
        </w:tc>
        <w:tc>
          <w:tcPr>
            <w:tcW w:w="3936" w:type="pct"/>
            <w:gridSpan w:val="5"/>
            <w:tcBorders>
              <w:top w:val="single" w:color="auto" w:sz="4" w:space="0"/>
              <w:left w:val="single" w:color="auto" w:sz="4" w:space="0"/>
              <w:bottom w:val="single" w:color="auto" w:sz="4" w:space="0"/>
              <w:right w:val="single" w:color="auto" w:sz="4" w:space="0"/>
            </w:tcBorders>
            <w:noWrap/>
            <w:vAlign w:val="center"/>
          </w:tcPr>
          <w:p w14:paraId="2E67A7ED">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Cs w:val="21"/>
              </w:rPr>
            </w:pPr>
            <w:r>
              <w:rPr>
                <w:rFonts w:hint="eastAsia" w:ascii="仿宋" w:hAnsi="仿宋" w:eastAsia="仿宋" w:cs="仿宋"/>
                <w:color w:val="auto"/>
                <w:szCs w:val="21"/>
              </w:rPr>
              <w:t>1</w:t>
            </w:r>
            <w:r>
              <w:rPr>
                <w:rFonts w:hint="eastAsia" w:ascii="仿宋" w:hAnsi="仿宋" w:eastAsia="仿宋" w:cs="仿宋"/>
                <w:color w:val="auto"/>
                <w:szCs w:val="21"/>
                <w:lang w:eastAsia="zh-CN"/>
              </w:rPr>
              <w:t>、</w:t>
            </w:r>
            <w:r>
              <w:rPr>
                <w:rFonts w:hint="eastAsia" w:ascii="仿宋" w:hAnsi="仿宋" w:eastAsia="仿宋" w:cs="仿宋"/>
                <w:color w:val="auto"/>
                <w:szCs w:val="21"/>
              </w:rPr>
              <w:t>要求投标货物是全新的、未经改装的、合格的、满足本项目技术需求及要求的货物。所有零部件、配件必须是未经使用的全新的并符合国家有关质量安全标准的产品。</w:t>
            </w:r>
          </w:p>
          <w:p w14:paraId="339EB340">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Cs w:val="21"/>
              </w:rPr>
            </w:pPr>
            <w:r>
              <w:rPr>
                <w:rFonts w:hint="eastAsia" w:ascii="仿宋" w:hAnsi="仿宋" w:eastAsia="仿宋" w:cs="仿宋"/>
                <w:color w:val="auto"/>
                <w:szCs w:val="21"/>
              </w:rPr>
              <w:t>2</w:t>
            </w:r>
            <w:r>
              <w:rPr>
                <w:rFonts w:hint="eastAsia" w:ascii="仿宋" w:hAnsi="仿宋" w:eastAsia="仿宋" w:cs="仿宋"/>
                <w:color w:val="auto"/>
                <w:szCs w:val="21"/>
                <w:lang w:eastAsia="zh-CN"/>
              </w:rPr>
              <w:t>、</w:t>
            </w:r>
            <w:r>
              <w:rPr>
                <w:rFonts w:hint="eastAsia" w:ascii="仿宋" w:hAnsi="仿宋" w:eastAsia="仿宋" w:cs="仿宋"/>
                <w:color w:val="auto"/>
                <w:szCs w:val="21"/>
              </w:rPr>
              <w:t>投标报价包含设备及服务需求要求所需的一切费用总和，除另有约定外，中标价不因任何因素而调整：</w:t>
            </w:r>
          </w:p>
          <w:p w14:paraId="245E04DF">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Cs w:val="21"/>
              </w:rPr>
            </w:pPr>
            <w:r>
              <w:rPr>
                <w:rFonts w:hint="eastAsia" w:ascii="仿宋" w:hAnsi="仿宋" w:eastAsia="仿宋" w:cs="仿宋"/>
                <w:color w:val="auto"/>
                <w:szCs w:val="21"/>
              </w:rPr>
              <w:t>（1）货物采购包括货款、标准附件、备品备件、专用工具、包装、运输、装卸、保险、税金、货到就位以及安装、调试、培训、保修等一切税金和费用；</w:t>
            </w:r>
          </w:p>
          <w:p w14:paraId="2627DE16">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Cs w:val="21"/>
              </w:rPr>
            </w:pPr>
            <w:r>
              <w:rPr>
                <w:rFonts w:hint="eastAsia" w:ascii="仿宋" w:hAnsi="仿宋" w:eastAsia="仿宋" w:cs="仿宋"/>
                <w:color w:val="auto"/>
                <w:szCs w:val="21"/>
              </w:rPr>
              <w:t>（2）服务采购包括整体服务价格以及安装调试、培训、维护等一切税金和费用。</w:t>
            </w:r>
          </w:p>
          <w:p w14:paraId="72D6B3CE">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Cs w:val="21"/>
              </w:rPr>
            </w:pPr>
            <w:r>
              <w:rPr>
                <w:rFonts w:hint="eastAsia" w:ascii="仿宋" w:hAnsi="仿宋" w:eastAsia="仿宋" w:cs="仿宋"/>
                <w:color w:val="auto"/>
                <w:szCs w:val="21"/>
              </w:rPr>
              <w:t>（3）项目验收、人员服务等费用。</w:t>
            </w:r>
          </w:p>
        </w:tc>
      </w:tr>
      <w:tr w14:paraId="64D469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63" w:type="pct"/>
            <w:gridSpan w:val="2"/>
            <w:tcBorders>
              <w:top w:val="single" w:color="auto" w:sz="4" w:space="0"/>
              <w:left w:val="single" w:color="auto" w:sz="4" w:space="0"/>
              <w:bottom w:val="single" w:color="auto" w:sz="4" w:space="0"/>
              <w:right w:val="single" w:color="auto" w:sz="4" w:space="0"/>
            </w:tcBorders>
            <w:noWrap/>
            <w:vAlign w:val="center"/>
          </w:tcPr>
          <w:p w14:paraId="57DBAE88">
            <w:pPr>
              <w:keepNext w:val="0"/>
              <w:keepLines/>
              <w:pageBreakBefore w:val="0"/>
              <w:widowControl/>
              <w:kinsoku/>
              <w:wordWrap/>
              <w:overflowPunct/>
              <w:topLinePunct w:val="0"/>
              <w:autoSpaceDE/>
              <w:autoSpaceDN/>
              <w:bidi w:val="0"/>
              <w:adjustRightInd/>
              <w:snapToGrid/>
              <w:spacing w:line="400" w:lineRule="exact"/>
              <w:rPr>
                <w:rFonts w:ascii="仿宋" w:hAnsi="仿宋" w:eastAsia="仿宋" w:cs="仿宋"/>
                <w:color w:val="auto"/>
                <w:szCs w:val="21"/>
              </w:rPr>
            </w:pPr>
            <w:r>
              <w:rPr>
                <w:rFonts w:hint="eastAsia" w:ascii="仿宋" w:hAnsi="仿宋" w:eastAsia="仿宋" w:cs="仿宋"/>
                <w:color w:val="auto"/>
                <w:szCs w:val="21"/>
              </w:rPr>
              <w:t>验收标准及要求</w:t>
            </w:r>
          </w:p>
        </w:tc>
        <w:tc>
          <w:tcPr>
            <w:tcW w:w="3936" w:type="pct"/>
            <w:gridSpan w:val="5"/>
            <w:tcBorders>
              <w:top w:val="single" w:color="auto" w:sz="4" w:space="0"/>
              <w:left w:val="single" w:color="auto" w:sz="4" w:space="0"/>
              <w:bottom w:val="single" w:color="auto" w:sz="4" w:space="0"/>
              <w:right w:val="single" w:color="auto" w:sz="4" w:space="0"/>
            </w:tcBorders>
            <w:noWrap/>
            <w:vAlign w:val="center"/>
          </w:tcPr>
          <w:p w14:paraId="19B6C0B6">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Cs w:val="21"/>
              </w:rPr>
            </w:pPr>
            <w:r>
              <w:rPr>
                <w:rFonts w:hint="eastAsia" w:ascii="仿宋" w:hAnsi="仿宋" w:eastAsia="仿宋" w:cs="仿宋"/>
                <w:color w:val="auto"/>
                <w:szCs w:val="21"/>
              </w:rPr>
              <w:t>1</w:t>
            </w:r>
            <w:r>
              <w:rPr>
                <w:rFonts w:hint="eastAsia" w:ascii="仿宋" w:hAnsi="仿宋" w:eastAsia="仿宋" w:cs="仿宋"/>
                <w:color w:val="auto"/>
                <w:szCs w:val="21"/>
                <w:lang w:eastAsia="zh-CN"/>
              </w:rPr>
              <w:t>、</w:t>
            </w:r>
            <w:r>
              <w:rPr>
                <w:rFonts w:hint="eastAsia" w:ascii="仿宋" w:hAnsi="仿宋" w:eastAsia="仿宋" w:cs="仿宋"/>
                <w:color w:val="auto"/>
                <w:szCs w:val="21"/>
              </w:rPr>
              <w:t>货物均为全新未拆封，供货时须提供相应的供货证明函。</w:t>
            </w:r>
          </w:p>
          <w:p w14:paraId="42CD622D">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Cs w:val="21"/>
              </w:rPr>
            </w:pPr>
            <w:r>
              <w:rPr>
                <w:rFonts w:hint="eastAsia" w:ascii="仿宋" w:hAnsi="仿宋" w:eastAsia="仿宋" w:cs="仿宋"/>
                <w:color w:val="auto"/>
                <w:szCs w:val="21"/>
              </w:rPr>
              <w:t>2</w:t>
            </w:r>
            <w:r>
              <w:rPr>
                <w:rFonts w:hint="eastAsia" w:ascii="仿宋" w:hAnsi="仿宋" w:eastAsia="仿宋" w:cs="仿宋"/>
                <w:color w:val="auto"/>
                <w:szCs w:val="21"/>
                <w:lang w:eastAsia="zh-CN"/>
              </w:rPr>
              <w:t>、</w:t>
            </w:r>
            <w:r>
              <w:rPr>
                <w:rFonts w:hint="eastAsia" w:ascii="仿宋" w:hAnsi="仿宋" w:eastAsia="仿宋" w:cs="仿宋"/>
                <w:color w:val="auto"/>
                <w:szCs w:val="21"/>
              </w:rPr>
              <w:t>供应商需承担供货时产品质量抽样检测的相关费用以及项目验收时发生的一切费用。</w:t>
            </w:r>
          </w:p>
          <w:p w14:paraId="3187928A">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Cs w:val="21"/>
              </w:rPr>
            </w:pPr>
            <w:r>
              <w:rPr>
                <w:rFonts w:hint="eastAsia" w:ascii="仿宋" w:hAnsi="仿宋" w:eastAsia="仿宋" w:cs="仿宋"/>
                <w:color w:val="auto"/>
                <w:szCs w:val="21"/>
              </w:rPr>
              <w:t>3</w:t>
            </w:r>
            <w:r>
              <w:rPr>
                <w:rFonts w:hint="eastAsia" w:ascii="仿宋" w:hAnsi="仿宋" w:eastAsia="仿宋" w:cs="仿宋"/>
                <w:color w:val="auto"/>
                <w:szCs w:val="21"/>
                <w:lang w:eastAsia="zh-CN"/>
              </w:rPr>
              <w:t>、</w:t>
            </w:r>
            <w:r>
              <w:rPr>
                <w:rFonts w:hint="eastAsia" w:ascii="仿宋" w:hAnsi="仿宋" w:eastAsia="仿宋" w:cs="仿宋"/>
                <w:color w:val="auto"/>
                <w:szCs w:val="21"/>
              </w:rPr>
              <w:t>产品运到交货场地时，采购人与供应商或其指定的物流供应商仅核对到货的单位数量。具体验货在安装调试时，由供应商派出的相关技术人员到达产品使用现场后与最终使用方一起开箱验货（包括外观、附件完整性、配置匹配性检验）。</w:t>
            </w:r>
          </w:p>
          <w:p w14:paraId="528670A8">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Cs w:val="21"/>
              </w:rPr>
            </w:pPr>
            <w:r>
              <w:rPr>
                <w:rFonts w:hint="eastAsia" w:ascii="仿宋" w:hAnsi="仿宋" w:eastAsia="仿宋" w:cs="仿宋"/>
                <w:color w:val="auto"/>
                <w:szCs w:val="21"/>
              </w:rPr>
              <w:t>4</w:t>
            </w:r>
            <w:r>
              <w:rPr>
                <w:rFonts w:hint="eastAsia" w:ascii="仿宋" w:hAnsi="仿宋" w:eastAsia="仿宋" w:cs="仿宋"/>
                <w:color w:val="auto"/>
                <w:szCs w:val="21"/>
                <w:lang w:eastAsia="zh-CN"/>
              </w:rPr>
              <w:t>、</w:t>
            </w:r>
            <w:r>
              <w:rPr>
                <w:rFonts w:hint="eastAsia" w:ascii="仿宋" w:hAnsi="仿宋" w:eastAsia="仿宋" w:cs="仿宋"/>
                <w:color w:val="auto"/>
                <w:szCs w:val="21"/>
              </w:rPr>
              <w:t>采购人将依据采购文件上的技术要求和国家有关质量标准对</w:t>
            </w:r>
            <w:r>
              <w:rPr>
                <w:rFonts w:hint="eastAsia" w:ascii="仿宋" w:hAnsi="仿宋" w:eastAsia="仿宋" w:cs="仿宋"/>
                <w:color w:val="auto"/>
                <w:szCs w:val="21"/>
                <w:lang w:eastAsia="zh-CN"/>
              </w:rPr>
              <w:t>中标供应商</w:t>
            </w:r>
            <w:r>
              <w:rPr>
                <w:rFonts w:hint="eastAsia" w:ascii="仿宋" w:hAnsi="仿宋" w:eastAsia="仿宋" w:cs="仿宋"/>
                <w:color w:val="auto"/>
                <w:szCs w:val="21"/>
              </w:rPr>
              <w:t>提交的货物进行初步验收，初步验收不合格的，采购人有权不予签收；在本项目验收时，</w:t>
            </w:r>
            <w:r>
              <w:rPr>
                <w:rFonts w:hint="eastAsia" w:ascii="仿宋" w:hAnsi="仿宋" w:eastAsia="仿宋" w:cs="仿宋"/>
                <w:color w:val="auto"/>
                <w:szCs w:val="21"/>
                <w:lang w:eastAsia="zh-CN"/>
              </w:rPr>
              <w:t>中标供应商</w:t>
            </w:r>
            <w:r>
              <w:rPr>
                <w:rFonts w:hint="eastAsia" w:ascii="仿宋" w:hAnsi="仿宋" w:eastAsia="仿宋" w:cs="仿宋"/>
                <w:color w:val="auto"/>
                <w:szCs w:val="21"/>
              </w:rPr>
              <w:t>如提供不符合采购文件、响应文件和采购合同规定的货物，采购人有权拒绝接受，由此产生的一切损失均由</w:t>
            </w:r>
            <w:r>
              <w:rPr>
                <w:rFonts w:hint="eastAsia" w:ascii="仿宋" w:hAnsi="仿宋" w:eastAsia="仿宋" w:cs="仿宋"/>
                <w:color w:val="auto"/>
                <w:szCs w:val="21"/>
                <w:lang w:eastAsia="zh-CN"/>
              </w:rPr>
              <w:t>中标供应商</w:t>
            </w:r>
            <w:r>
              <w:rPr>
                <w:rFonts w:hint="eastAsia" w:ascii="仿宋" w:hAnsi="仿宋" w:eastAsia="仿宋" w:cs="仿宋"/>
                <w:color w:val="auto"/>
                <w:szCs w:val="21"/>
              </w:rPr>
              <w:t>自行承担。</w:t>
            </w:r>
          </w:p>
          <w:p w14:paraId="05F97753">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Cs w:val="21"/>
              </w:rPr>
            </w:pPr>
            <w:r>
              <w:rPr>
                <w:rFonts w:hint="eastAsia" w:ascii="仿宋" w:hAnsi="仿宋" w:eastAsia="仿宋" w:cs="仿宋"/>
                <w:color w:val="auto"/>
                <w:szCs w:val="21"/>
              </w:rPr>
              <w:t>5</w:t>
            </w:r>
            <w:r>
              <w:rPr>
                <w:rFonts w:hint="eastAsia" w:ascii="仿宋" w:hAnsi="仿宋" w:eastAsia="仿宋" w:cs="仿宋"/>
                <w:color w:val="auto"/>
                <w:szCs w:val="21"/>
                <w:lang w:eastAsia="zh-CN"/>
              </w:rPr>
              <w:t>、</w:t>
            </w:r>
            <w:r>
              <w:rPr>
                <w:rFonts w:hint="eastAsia" w:ascii="仿宋" w:hAnsi="仿宋" w:eastAsia="仿宋" w:cs="仿宋"/>
                <w:color w:val="auto"/>
                <w:szCs w:val="21"/>
              </w:rPr>
              <w:t>货到后，</w:t>
            </w:r>
            <w:r>
              <w:rPr>
                <w:rFonts w:hint="eastAsia" w:ascii="仿宋" w:hAnsi="仿宋" w:eastAsia="仿宋" w:cs="仿宋"/>
                <w:color w:val="auto"/>
                <w:szCs w:val="21"/>
                <w:lang w:eastAsia="zh-CN"/>
              </w:rPr>
              <w:t>中标供应商</w:t>
            </w:r>
            <w:r>
              <w:rPr>
                <w:rFonts w:hint="eastAsia" w:ascii="仿宋" w:hAnsi="仿宋" w:eastAsia="仿宋" w:cs="仿宋"/>
                <w:color w:val="auto"/>
                <w:szCs w:val="21"/>
              </w:rPr>
              <w:t>需负责安装并培训采购人的使用操作人员，并协助采购人一起调试，直到符合技术要求合同履行达到验收条件时，由</w:t>
            </w:r>
            <w:r>
              <w:rPr>
                <w:rFonts w:hint="eastAsia" w:ascii="仿宋" w:hAnsi="仿宋" w:eastAsia="仿宋" w:cs="仿宋"/>
                <w:color w:val="auto"/>
                <w:szCs w:val="21"/>
                <w:lang w:eastAsia="zh-CN"/>
              </w:rPr>
              <w:t>中标供应商</w:t>
            </w:r>
            <w:r>
              <w:rPr>
                <w:rFonts w:hint="eastAsia" w:ascii="仿宋" w:hAnsi="仿宋" w:eastAsia="仿宋" w:cs="仿宋"/>
                <w:color w:val="auto"/>
                <w:szCs w:val="21"/>
              </w:rPr>
              <w:t>向采购人提出项目竣工测试申请，并于验收前向采购人提供一切有关技术文件、安装实施方案、资料、图纸、操作手册、使用说明、维修指南（服务手册）和相关记录等竣工材料，并在竣工前7 个工作日通知采购人及有关部门准备验收。拟竣工项目的实施总体功能、性能符合采购人认可的技术设计方案及合同规定的，予以验收，并作出验收结果报告。</w:t>
            </w:r>
            <w:r>
              <w:rPr>
                <w:rFonts w:hint="eastAsia" w:ascii="仿宋" w:hAnsi="仿宋" w:eastAsia="仿宋" w:cs="仿宋"/>
                <w:color w:val="auto"/>
                <w:szCs w:val="21"/>
                <w:lang w:eastAsia="zh-CN"/>
              </w:rPr>
              <w:t>中标供应商</w:t>
            </w:r>
            <w:r>
              <w:rPr>
                <w:rFonts w:hint="eastAsia" w:ascii="仿宋" w:hAnsi="仿宋" w:eastAsia="仿宋" w:cs="仿宋"/>
                <w:color w:val="auto"/>
                <w:szCs w:val="21"/>
              </w:rPr>
              <w:t>与采购人双方签署项目验收报告，并自正式交付使用之日起，整体项目才视为接受，并开始计算维保期。对于技术参数复杂的设备，可适当延长验收时间。验收合格后由</w:t>
            </w:r>
            <w:r>
              <w:rPr>
                <w:rFonts w:hint="eastAsia" w:ascii="仿宋" w:hAnsi="仿宋" w:eastAsia="仿宋" w:cs="仿宋"/>
                <w:color w:val="auto"/>
                <w:szCs w:val="21"/>
                <w:lang w:eastAsia="zh-CN"/>
              </w:rPr>
              <w:t>中标供应商</w:t>
            </w:r>
            <w:r>
              <w:rPr>
                <w:rFonts w:hint="eastAsia" w:ascii="仿宋" w:hAnsi="仿宋" w:eastAsia="仿宋" w:cs="仿宋"/>
                <w:color w:val="auto"/>
                <w:szCs w:val="21"/>
              </w:rPr>
              <w:t>与采购人双方签署货物验收单并加盖采购人公章，</w:t>
            </w:r>
            <w:r>
              <w:rPr>
                <w:rFonts w:hint="eastAsia" w:ascii="仿宋" w:hAnsi="仿宋" w:eastAsia="仿宋" w:cs="仿宋"/>
                <w:color w:val="auto"/>
                <w:szCs w:val="21"/>
                <w:lang w:eastAsia="zh-CN"/>
              </w:rPr>
              <w:t>中标供应商</w:t>
            </w:r>
            <w:r>
              <w:rPr>
                <w:rFonts w:hint="eastAsia" w:ascii="仿宋" w:hAnsi="仿宋" w:eastAsia="仿宋" w:cs="仿宋"/>
                <w:color w:val="auto"/>
                <w:szCs w:val="21"/>
              </w:rPr>
              <w:t>与采购人双方各执一份。采购人对验收有异议的，在验收后 5 个工作日内以书面形式向</w:t>
            </w:r>
            <w:r>
              <w:rPr>
                <w:rFonts w:hint="eastAsia" w:ascii="仿宋" w:hAnsi="仿宋" w:eastAsia="仿宋" w:cs="仿宋"/>
                <w:color w:val="auto"/>
                <w:szCs w:val="21"/>
                <w:lang w:eastAsia="zh-CN"/>
              </w:rPr>
              <w:t>中标供应商</w:t>
            </w:r>
            <w:r>
              <w:rPr>
                <w:rFonts w:hint="eastAsia" w:ascii="仿宋" w:hAnsi="仿宋" w:eastAsia="仿宋" w:cs="仿宋"/>
                <w:color w:val="auto"/>
                <w:szCs w:val="21"/>
              </w:rPr>
              <w:t>提出整改，</w:t>
            </w:r>
            <w:r>
              <w:rPr>
                <w:rFonts w:hint="eastAsia" w:ascii="仿宋" w:hAnsi="仿宋" w:eastAsia="仿宋" w:cs="仿宋"/>
                <w:color w:val="auto"/>
                <w:szCs w:val="21"/>
                <w:lang w:eastAsia="zh-CN"/>
              </w:rPr>
              <w:t>中标供应商</w:t>
            </w:r>
            <w:r>
              <w:rPr>
                <w:rFonts w:hint="eastAsia" w:ascii="仿宋" w:hAnsi="仿宋" w:eastAsia="仿宋" w:cs="仿宋"/>
                <w:color w:val="auto"/>
                <w:szCs w:val="21"/>
              </w:rPr>
              <w:t>应自收到采购人书面异议后五日内及时予以解决。</w:t>
            </w:r>
            <w:r>
              <w:rPr>
                <w:rFonts w:hint="eastAsia" w:ascii="仿宋" w:hAnsi="仿宋" w:eastAsia="仿宋" w:cs="仿宋"/>
                <w:color w:val="auto"/>
                <w:szCs w:val="21"/>
                <w:lang w:eastAsia="zh-CN"/>
              </w:rPr>
              <w:t>中标供应商</w:t>
            </w:r>
            <w:r>
              <w:rPr>
                <w:rFonts w:hint="eastAsia" w:ascii="仿宋" w:hAnsi="仿宋" w:eastAsia="仿宋" w:cs="仿宋"/>
                <w:color w:val="auto"/>
                <w:szCs w:val="21"/>
              </w:rPr>
              <w:t>不按要求整改或拒不整改的，采购人有权终止合同并要求</w:t>
            </w:r>
            <w:r>
              <w:rPr>
                <w:rFonts w:hint="eastAsia" w:ascii="仿宋" w:hAnsi="仿宋" w:eastAsia="仿宋" w:cs="仿宋"/>
                <w:color w:val="auto"/>
                <w:szCs w:val="21"/>
                <w:lang w:eastAsia="zh-CN"/>
              </w:rPr>
              <w:t>中标供应商</w:t>
            </w:r>
            <w:r>
              <w:rPr>
                <w:rFonts w:hint="eastAsia" w:ascii="仿宋" w:hAnsi="仿宋" w:eastAsia="仿宋" w:cs="仿宋"/>
                <w:color w:val="auto"/>
                <w:szCs w:val="21"/>
              </w:rPr>
              <w:t>赔偿全部损失。</w:t>
            </w:r>
          </w:p>
          <w:p w14:paraId="18AE4248">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Cs w:val="21"/>
              </w:rPr>
            </w:pPr>
            <w:r>
              <w:rPr>
                <w:rFonts w:hint="eastAsia" w:ascii="仿宋" w:hAnsi="仿宋" w:eastAsia="仿宋" w:cs="仿宋"/>
                <w:color w:val="auto"/>
                <w:szCs w:val="21"/>
              </w:rPr>
              <w:t>6</w:t>
            </w:r>
            <w:r>
              <w:rPr>
                <w:rFonts w:hint="eastAsia" w:ascii="仿宋" w:hAnsi="仿宋" w:eastAsia="仿宋" w:cs="仿宋"/>
                <w:color w:val="auto"/>
                <w:szCs w:val="21"/>
                <w:lang w:eastAsia="zh-CN"/>
              </w:rPr>
              <w:t>、</w:t>
            </w:r>
            <w:r>
              <w:rPr>
                <w:rFonts w:hint="eastAsia" w:ascii="仿宋" w:hAnsi="仿宋" w:eastAsia="仿宋" w:cs="仿宋"/>
                <w:color w:val="auto"/>
                <w:szCs w:val="21"/>
              </w:rPr>
              <w:t>验收时供应商必须在现场，验收完毕后作出验收结果报告，验收费用由供应商负责。</w:t>
            </w:r>
          </w:p>
          <w:p w14:paraId="0AA7F84A">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Cs w:val="21"/>
              </w:rPr>
            </w:pPr>
            <w:r>
              <w:rPr>
                <w:rFonts w:hint="eastAsia" w:ascii="仿宋" w:hAnsi="仿宋" w:eastAsia="仿宋" w:cs="仿宋"/>
                <w:color w:val="auto"/>
                <w:szCs w:val="21"/>
              </w:rPr>
              <w:t>7</w:t>
            </w:r>
            <w:r>
              <w:rPr>
                <w:rFonts w:hint="eastAsia" w:ascii="仿宋" w:hAnsi="仿宋" w:eastAsia="仿宋" w:cs="仿宋"/>
                <w:color w:val="auto"/>
                <w:szCs w:val="21"/>
                <w:lang w:eastAsia="zh-CN"/>
              </w:rPr>
              <w:t>、</w:t>
            </w:r>
            <w:r>
              <w:rPr>
                <w:rFonts w:hint="eastAsia" w:ascii="仿宋" w:hAnsi="仿宋" w:eastAsia="仿宋" w:cs="仿宋"/>
                <w:color w:val="auto"/>
                <w:szCs w:val="21"/>
              </w:rPr>
              <w:t>验收依据：按合同要求及国家标准进行验收。</w:t>
            </w:r>
          </w:p>
          <w:p w14:paraId="3F615303">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Cs w:val="21"/>
              </w:rPr>
            </w:pPr>
            <w:r>
              <w:rPr>
                <w:rFonts w:hint="eastAsia" w:ascii="仿宋" w:hAnsi="仿宋" w:eastAsia="仿宋" w:cs="仿宋"/>
                <w:color w:val="auto"/>
                <w:szCs w:val="21"/>
              </w:rPr>
              <w:t>8</w:t>
            </w:r>
            <w:r>
              <w:rPr>
                <w:rFonts w:hint="eastAsia" w:ascii="仿宋" w:hAnsi="仿宋" w:eastAsia="仿宋" w:cs="仿宋"/>
                <w:color w:val="auto"/>
                <w:szCs w:val="21"/>
                <w:lang w:eastAsia="zh-CN"/>
              </w:rPr>
              <w:t>、</w:t>
            </w:r>
            <w:r>
              <w:rPr>
                <w:rFonts w:hint="eastAsia" w:ascii="仿宋" w:hAnsi="仿宋" w:eastAsia="仿宋" w:cs="仿宋"/>
                <w:color w:val="auto"/>
                <w:szCs w:val="21"/>
              </w:rPr>
              <w:t>验收标准</w:t>
            </w:r>
          </w:p>
          <w:p w14:paraId="2BF16641">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Cs w:val="21"/>
              </w:rPr>
            </w:pPr>
            <w:r>
              <w:rPr>
                <w:rFonts w:hint="eastAsia" w:ascii="仿宋" w:hAnsi="仿宋" w:eastAsia="仿宋" w:cs="仿宋"/>
                <w:color w:val="auto"/>
                <w:szCs w:val="21"/>
              </w:rPr>
              <w:t>（1）项目招标（采购）文件及</w:t>
            </w:r>
            <w:r>
              <w:rPr>
                <w:rFonts w:hint="eastAsia" w:ascii="仿宋" w:hAnsi="仿宋" w:eastAsia="仿宋" w:cs="仿宋"/>
                <w:color w:val="auto"/>
                <w:szCs w:val="21"/>
                <w:lang w:eastAsia="zh-CN"/>
              </w:rPr>
              <w:t>中标供应商</w:t>
            </w:r>
            <w:r>
              <w:rPr>
                <w:rFonts w:hint="eastAsia" w:ascii="仿宋" w:hAnsi="仿宋" w:eastAsia="仿宋" w:cs="仿宋"/>
                <w:color w:val="auto"/>
                <w:szCs w:val="21"/>
              </w:rPr>
              <w:t>投标（响应）文件中的“货物需求偏离表”，逐条验收；</w:t>
            </w:r>
          </w:p>
          <w:p w14:paraId="4331968F">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Cs w:val="21"/>
              </w:rPr>
            </w:pPr>
            <w:r>
              <w:rPr>
                <w:rFonts w:hint="eastAsia" w:ascii="仿宋" w:hAnsi="仿宋" w:eastAsia="仿宋" w:cs="仿宋"/>
                <w:color w:val="auto"/>
                <w:szCs w:val="21"/>
              </w:rPr>
              <w:t>（2）项目招标（采购）文件及</w:t>
            </w:r>
            <w:r>
              <w:rPr>
                <w:rFonts w:hint="eastAsia" w:ascii="仿宋" w:hAnsi="仿宋" w:eastAsia="仿宋" w:cs="仿宋"/>
                <w:color w:val="auto"/>
                <w:szCs w:val="21"/>
                <w:lang w:eastAsia="zh-CN"/>
              </w:rPr>
              <w:t>中标供应商</w:t>
            </w:r>
            <w:r>
              <w:rPr>
                <w:rFonts w:hint="eastAsia" w:ascii="仿宋" w:hAnsi="仿宋" w:eastAsia="仿宋" w:cs="仿宋"/>
                <w:color w:val="auto"/>
                <w:szCs w:val="21"/>
              </w:rPr>
              <w:t>投标（响应）文件中的“商务条款偏离表”，逐条验收；</w:t>
            </w:r>
          </w:p>
          <w:p w14:paraId="19A4DC63">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Cs w:val="21"/>
              </w:rPr>
            </w:pPr>
            <w:r>
              <w:rPr>
                <w:rFonts w:hint="eastAsia" w:ascii="仿宋" w:hAnsi="仿宋" w:eastAsia="仿宋" w:cs="仿宋"/>
                <w:color w:val="auto"/>
                <w:szCs w:val="21"/>
              </w:rPr>
              <w:t>（3）</w:t>
            </w:r>
            <w:r>
              <w:rPr>
                <w:rFonts w:hint="eastAsia" w:ascii="仿宋" w:hAnsi="仿宋" w:eastAsia="仿宋" w:cs="仿宋"/>
                <w:color w:val="auto"/>
                <w:szCs w:val="21"/>
                <w:lang w:eastAsia="zh-CN"/>
              </w:rPr>
              <w:t>中标供应商</w:t>
            </w:r>
            <w:r>
              <w:rPr>
                <w:rFonts w:hint="eastAsia" w:ascii="仿宋" w:hAnsi="仿宋" w:eastAsia="仿宋" w:cs="仿宋"/>
                <w:color w:val="auto"/>
                <w:szCs w:val="21"/>
              </w:rPr>
              <w:t>投标（响应）文件中其他技术、服务、商务性的说明、承诺事项，逐条验收。</w:t>
            </w:r>
          </w:p>
          <w:p w14:paraId="5F635CB7">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Cs w:val="21"/>
              </w:rPr>
            </w:pPr>
            <w:r>
              <w:rPr>
                <w:rFonts w:hint="eastAsia" w:ascii="仿宋" w:hAnsi="仿宋" w:eastAsia="仿宋" w:cs="仿宋"/>
                <w:color w:val="auto"/>
                <w:szCs w:val="21"/>
              </w:rPr>
              <w:t>（4）国家相关法律法规、标准和规范等。</w:t>
            </w:r>
          </w:p>
          <w:p w14:paraId="64CE07C5">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Cs w:val="21"/>
              </w:rPr>
            </w:pPr>
            <w:r>
              <w:rPr>
                <w:rFonts w:hint="eastAsia" w:ascii="仿宋" w:hAnsi="仿宋" w:eastAsia="仿宋" w:cs="仿宋"/>
                <w:color w:val="auto"/>
                <w:szCs w:val="21"/>
              </w:rPr>
              <w:t>（5）执行《关于印发广西壮族自治区政府采购项目履约验收管理办法的通知》（桂财采〔2015〕22 号），采用文中《广西壮族自治区政府采购项目合同验收书》格式文本等规范。</w:t>
            </w:r>
          </w:p>
        </w:tc>
      </w:tr>
      <w:tr w14:paraId="4A5F98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63" w:type="pct"/>
            <w:gridSpan w:val="2"/>
            <w:tcBorders>
              <w:top w:val="single" w:color="auto" w:sz="4" w:space="0"/>
              <w:left w:val="single" w:color="auto" w:sz="4" w:space="0"/>
              <w:bottom w:val="single" w:color="auto" w:sz="4" w:space="0"/>
              <w:right w:val="single" w:color="auto" w:sz="4" w:space="0"/>
            </w:tcBorders>
            <w:noWrap/>
            <w:vAlign w:val="center"/>
          </w:tcPr>
          <w:p w14:paraId="17BA2D13">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Cs w:val="21"/>
              </w:rPr>
            </w:pPr>
            <w:r>
              <w:rPr>
                <w:rFonts w:hint="eastAsia" w:ascii="仿宋" w:hAnsi="仿宋" w:eastAsia="仿宋" w:cs="仿宋"/>
                <w:color w:val="auto"/>
                <w:szCs w:val="21"/>
              </w:rPr>
              <w:t>验收要求</w:t>
            </w:r>
          </w:p>
        </w:tc>
        <w:tc>
          <w:tcPr>
            <w:tcW w:w="3936" w:type="pct"/>
            <w:gridSpan w:val="5"/>
            <w:tcBorders>
              <w:top w:val="single" w:color="auto" w:sz="4" w:space="0"/>
              <w:left w:val="single" w:color="auto" w:sz="4" w:space="0"/>
              <w:bottom w:val="single" w:color="auto" w:sz="4" w:space="0"/>
              <w:right w:val="single" w:color="auto" w:sz="4" w:space="0"/>
            </w:tcBorders>
            <w:noWrap/>
            <w:vAlign w:val="center"/>
          </w:tcPr>
          <w:p w14:paraId="14A77EB0">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Cs w:val="21"/>
              </w:rPr>
            </w:pPr>
            <w:r>
              <w:rPr>
                <w:rFonts w:hint="eastAsia" w:ascii="仿宋" w:hAnsi="仿宋" w:eastAsia="仿宋" w:cs="仿宋"/>
                <w:color w:val="auto"/>
                <w:szCs w:val="21"/>
              </w:rPr>
              <w:t>1</w:t>
            </w:r>
            <w:r>
              <w:rPr>
                <w:rFonts w:hint="eastAsia" w:ascii="仿宋" w:hAnsi="仿宋" w:eastAsia="仿宋" w:cs="仿宋"/>
                <w:color w:val="auto"/>
                <w:szCs w:val="21"/>
                <w:lang w:eastAsia="zh-CN"/>
              </w:rPr>
              <w:t>、</w:t>
            </w:r>
            <w:r>
              <w:rPr>
                <w:rFonts w:hint="eastAsia" w:ascii="仿宋" w:hAnsi="仿宋" w:eastAsia="仿宋" w:cs="仿宋"/>
                <w:color w:val="auto"/>
                <w:szCs w:val="21"/>
              </w:rPr>
              <w:t>验收小组以项目采购文件及采购合同为验收依据，对供货产品技术参数核对检验，如不符合技术参数要求的，</w:t>
            </w:r>
            <w:r>
              <w:rPr>
                <w:rFonts w:hint="eastAsia" w:ascii="仿宋" w:hAnsi="仿宋" w:eastAsia="仿宋" w:cs="仿宋"/>
                <w:color w:val="auto"/>
                <w:szCs w:val="21"/>
                <w:lang w:eastAsia="zh-CN"/>
              </w:rPr>
              <w:t>中标供应商</w:t>
            </w:r>
            <w:r>
              <w:rPr>
                <w:rFonts w:hint="eastAsia" w:ascii="仿宋" w:hAnsi="仿宋" w:eastAsia="仿宋" w:cs="仿宋"/>
                <w:color w:val="auto"/>
                <w:szCs w:val="21"/>
              </w:rPr>
              <w:t>承担所有责任和费用。采购人保留进一步追究责任的权利。</w:t>
            </w:r>
          </w:p>
          <w:p w14:paraId="66C67AF2">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Cs w:val="21"/>
              </w:rPr>
            </w:pPr>
            <w:r>
              <w:rPr>
                <w:rFonts w:hint="eastAsia" w:ascii="仿宋" w:hAnsi="仿宋" w:eastAsia="仿宋" w:cs="仿宋"/>
                <w:color w:val="auto"/>
                <w:szCs w:val="21"/>
              </w:rPr>
              <w:t>2</w:t>
            </w:r>
            <w:r>
              <w:rPr>
                <w:rFonts w:hint="eastAsia" w:ascii="仿宋" w:hAnsi="仿宋" w:eastAsia="仿宋" w:cs="仿宋"/>
                <w:color w:val="auto"/>
                <w:szCs w:val="21"/>
                <w:lang w:eastAsia="zh-CN"/>
              </w:rPr>
              <w:t>、</w:t>
            </w:r>
            <w:r>
              <w:rPr>
                <w:rFonts w:hint="eastAsia" w:ascii="仿宋" w:hAnsi="仿宋" w:eastAsia="仿宋" w:cs="仿宋"/>
                <w:color w:val="auto"/>
                <w:szCs w:val="21"/>
              </w:rPr>
              <w:t>如</w:t>
            </w:r>
            <w:r>
              <w:rPr>
                <w:rFonts w:hint="eastAsia" w:ascii="仿宋" w:hAnsi="仿宋" w:eastAsia="仿宋" w:cs="仿宋"/>
                <w:color w:val="auto"/>
                <w:szCs w:val="21"/>
                <w:lang w:eastAsia="zh-CN"/>
              </w:rPr>
              <w:t>中标供应商</w:t>
            </w:r>
            <w:r>
              <w:rPr>
                <w:rFonts w:hint="eastAsia" w:ascii="仿宋" w:hAnsi="仿宋" w:eastAsia="仿宋" w:cs="仿宋"/>
                <w:color w:val="auto"/>
                <w:szCs w:val="21"/>
              </w:rPr>
              <w:t>提供虚假材料的，除按相关规定做违约处理外，采购人依据相关法律规定追究</w:t>
            </w:r>
            <w:r>
              <w:rPr>
                <w:rFonts w:hint="eastAsia" w:ascii="仿宋" w:hAnsi="仿宋" w:eastAsia="仿宋" w:cs="仿宋"/>
                <w:color w:val="auto"/>
                <w:szCs w:val="21"/>
                <w:lang w:eastAsia="zh-CN"/>
              </w:rPr>
              <w:t>中标供应商</w:t>
            </w:r>
            <w:r>
              <w:rPr>
                <w:rFonts w:hint="eastAsia" w:ascii="仿宋" w:hAnsi="仿宋" w:eastAsia="仿宋" w:cs="仿宋"/>
                <w:color w:val="auto"/>
                <w:szCs w:val="21"/>
              </w:rPr>
              <w:t>的责任，由此带来的一切责任及损失由</w:t>
            </w:r>
            <w:r>
              <w:rPr>
                <w:rFonts w:hint="eastAsia" w:ascii="仿宋" w:hAnsi="仿宋" w:eastAsia="仿宋" w:cs="仿宋"/>
                <w:color w:val="auto"/>
                <w:szCs w:val="21"/>
                <w:lang w:eastAsia="zh-CN"/>
              </w:rPr>
              <w:t>中标供应商</w:t>
            </w:r>
            <w:r>
              <w:rPr>
                <w:rFonts w:hint="eastAsia" w:ascii="仿宋" w:hAnsi="仿宋" w:eastAsia="仿宋" w:cs="仿宋"/>
                <w:color w:val="auto"/>
                <w:szCs w:val="21"/>
              </w:rPr>
              <w:t>自行承担。</w:t>
            </w:r>
          </w:p>
          <w:p w14:paraId="16BEA66D">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Cs w:val="21"/>
              </w:rPr>
            </w:pPr>
            <w:r>
              <w:rPr>
                <w:rFonts w:hint="eastAsia" w:ascii="仿宋" w:hAnsi="仿宋" w:eastAsia="仿宋" w:cs="仿宋"/>
                <w:color w:val="auto"/>
                <w:szCs w:val="21"/>
              </w:rPr>
              <w:t>3</w:t>
            </w:r>
            <w:r>
              <w:rPr>
                <w:rFonts w:hint="eastAsia" w:ascii="仿宋" w:hAnsi="仿宋" w:eastAsia="仿宋" w:cs="仿宋"/>
                <w:color w:val="auto"/>
                <w:szCs w:val="21"/>
                <w:lang w:eastAsia="zh-CN"/>
              </w:rPr>
              <w:t>、</w:t>
            </w:r>
            <w:r>
              <w:rPr>
                <w:rFonts w:hint="eastAsia" w:ascii="仿宋" w:hAnsi="仿宋" w:eastAsia="仿宋" w:cs="仿宋"/>
                <w:color w:val="auto"/>
                <w:szCs w:val="21"/>
              </w:rPr>
              <w:t>在项目验收过程中，如项目验收不合格，有关返工、再行验收产生相关成本费用，以及给采购人造成的损失等费用由</w:t>
            </w:r>
            <w:r>
              <w:rPr>
                <w:rFonts w:hint="eastAsia" w:ascii="仿宋" w:hAnsi="仿宋" w:eastAsia="仿宋" w:cs="仿宋"/>
                <w:color w:val="auto"/>
                <w:szCs w:val="21"/>
                <w:lang w:eastAsia="zh-CN"/>
              </w:rPr>
              <w:t>中标供应商</w:t>
            </w:r>
            <w:r>
              <w:rPr>
                <w:rFonts w:hint="eastAsia" w:ascii="仿宋" w:hAnsi="仿宋" w:eastAsia="仿宋" w:cs="仿宋"/>
                <w:color w:val="auto"/>
                <w:szCs w:val="21"/>
              </w:rPr>
              <w:t>承担。连续两次项目验收不合格的，或弄虚作假的行为，采购人将不予验收，采购人有权解除合同，并追究</w:t>
            </w:r>
            <w:r>
              <w:rPr>
                <w:rFonts w:hint="eastAsia" w:ascii="仿宋" w:hAnsi="仿宋" w:eastAsia="仿宋" w:cs="仿宋"/>
                <w:color w:val="auto"/>
                <w:szCs w:val="21"/>
                <w:lang w:eastAsia="zh-CN"/>
              </w:rPr>
              <w:t>中标供应商</w:t>
            </w:r>
            <w:r>
              <w:rPr>
                <w:rFonts w:hint="eastAsia" w:ascii="仿宋" w:hAnsi="仿宋" w:eastAsia="仿宋" w:cs="仿宋"/>
                <w:color w:val="auto"/>
                <w:szCs w:val="21"/>
              </w:rPr>
              <w:t>的责任，由此带来的一切责任由</w:t>
            </w:r>
            <w:r>
              <w:rPr>
                <w:rFonts w:hint="eastAsia" w:ascii="仿宋" w:hAnsi="仿宋" w:eastAsia="仿宋" w:cs="仿宋"/>
                <w:color w:val="auto"/>
                <w:szCs w:val="21"/>
                <w:lang w:eastAsia="zh-CN"/>
              </w:rPr>
              <w:t>中标供应商</w:t>
            </w:r>
            <w:r>
              <w:rPr>
                <w:rFonts w:hint="eastAsia" w:ascii="仿宋" w:hAnsi="仿宋" w:eastAsia="仿宋" w:cs="仿宋"/>
                <w:color w:val="auto"/>
                <w:szCs w:val="21"/>
              </w:rPr>
              <w:t>自行承担。</w:t>
            </w:r>
          </w:p>
        </w:tc>
      </w:tr>
      <w:tr w14:paraId="0424BC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63" w:type="pct"/>
            <w:gridSpan w:val="2"/>
            <w:tcBorders>
              <w:top w:val="single" w:color="auto" w:sz="4" w:space="0"/>
              <w:left w:val="single" w:color="auto" w:sz="4" w:space="0"/>
              <w:bottom w:val="single" w:color="auto" w:sz="4" w:space="0"/>
              <w:right w:val="single" w:color="auto" w:sz="4" w:space="0"/>
            </w:tcBorders>
            <w:noWrap/>
            <w:vAlign w:val="center"/>
          </w:tcPr>
          <w:p w14:paraId="25407B18">
            <w:pPr>
              <w:keepNext w:val="0"/>
              <w:keepLines/>
              <w:pageBreakBefore w:val="0"/>
              <w:widowControl/>
              <w:kinsoku/>
              <w:wordWrap/>
              <w:overflowPunct/>
              <w:topLinePunct w:val="0"/>
              <w:autoSpaceDE/>
              <w:autoSpaceDN/>
              <w:bidi w:val="0"/>
              <w:adjustRightInd/>
              <w:snapToGrid/>
              <w:spacing w:line="400" w:lineRule="exact"/>
              <w:rPr>
                <w:rFonts w:ascii="仿宋" w:hAnsi="仿宋" w:eastAsia="仿宋" w:cs="仿宋"/>
                <w:color w:val="auto"/>
                <w:szCs w:val="21"/>
              </w:rPr>
            </w:pPr>
            <w:r>
              <w:rPr>
                <w:rFonts w:hint="eastAsia" w:ascii="仿宋" w:hAnsi="仿宋" w:eastAsia="仿宋" w:cs="仿宋"/>
                <w:color w:val="auto"/>
                <w:szCs w:val="21"/>
              </w:rPr>
              <w:t>其他要求</w:t>
            </w:r>
          </w:p>
        </w:tc>
        <w:tc>
          <w:tcPr>
            <w:tcW w:w="3936" w:type="pct"/>
            <w:gridSpan w:val="5"/>
            <w:tcBorders>
              <w:top w:val="single" w:color="auto" w:sz="4" w:space="0"/>
              <w:left w:val="single" w:color="auto" w:sz="4" w:space="0"/>
              <w:bottom w:val="single" w:color="auto" w:sz="4" w:space="0"/>
              <w:right w:val="single" w:color="auto" w:sz="4" w:space="0"/>
            </w:tcBorders>
            <w:noWrap/>
            <w:vAlign w:val="center"/>
          </w:tcPr>
          <w:p w14:paraId="100AB6E4">
            <w:pPr>
              <w:keepNext w:val="0"/>
              <w:keepLines/>
              <w:pageBreakBefore w:val="0"/>
              <w:widowControl/>
              <w:kinsoku/>
              <w:wordWrap/>
              <w:overflowPunct/>
              <w:topLinePunct w:val="0"/>
              <w:autoSpaceDE/>
              <w:autoSpaceDN/>
              <w:bidi w:val="0"/>
              <w:adjustRightInd/>
              <w:snapToGrid/>
              <w:spacing w:line="400" w:lineRule="exact"/>
              <w:textAlignment w:val="center"/>
              <w:rPr>
                <w:rFonts w:ascii="仿宋" w:hAnsi="仿宋" w:eastAsia="仿宋" w:cs="仿宋"/>
                <w:color w:val="auto"/>
                <w:szCs w:val="21"/>
              </w:rPr>
            </w:pPr>
            <w:r>
              <w:rPr>
                <w:rFonts w:hint="eastAsia" w:ascii="仿宋" w:hAnsi="仿宋" w:eastAsia="仿宋" w:cs="仿宋"/>
                <w:color w:val="auto"/>
                <w:szCs w:val="21"/>
              </w:rPr>
              <w:t>1、</w:t>
            </w:r>
            <w:r>
              <w:rPr>
                <w:rFonts w:hint="eastAsia" w:ascii="仿宋" w:hAnsi="仿宋" w:eastAsia="仿宋" w:cs="仿宋"/>
                <w:color w:val="auto"/>
                <w:szCs w:val="21"/>
                <w:lang w:eastAsia="zh-CN"/>
              </w:rPr>
              <w:t>投标人</w:t>
            </w:r>
            <w:r>
              <w:rPr>
                <w:rFonts w:hint="eastAsia" w:ascii="仿宋" w:hAnsi="仿宋" w:eastAsia="仿宋" w:cs="仿宋"/>
                <w:color w:val="auto"/>
                <w:szCs w:val="21"/>
              </w:rPr>
              <w:t xml:space="preserve">中标后，采购人在货物验收阶段发现货物的技术参数指标达不到招标文件该货物技术参数要求的，属虚假应标行为，采购人将终止合同拒收货物，追究该中标单位违约责任，赔偿采购人因采购时间延长造成采购人经济等方面损失，视情况采购人将违约情况上报监督管理部门。 </w:t>
            </w:r>
          </w:p>
          <w:p w14:paraId="3305A7A3">
            <w:pPr>
              <w:keepNext w:val="0"/>
              <w:keepLines/>
              <w:pageBreakBefore w:val="0"/>
              <w:widowControl/>
              <w:kinsoku/>
              <w:wordWrap/>
              <w:overflowPunct/>
              <w:topLinePunct w:val="0"/>
              <w:autoSpaceDE/>
              <w:autoSpaceDN/>
              <w:bidi w:val="0"/>
              <w:adjustRightInd/>
              <w:snapToGrid/>
              <w:spacing w:line="400" w:lineRule="exact"/>
              <w:textAlignment w:val="center"/>
              <w:rPr>
                <w:rFonts w:ascii="仿宋" w:hAnsi="仿宋" w:eastAsia="仿宋" w:cs="仿宋"/>
                <w:color w:val="auto"/>
                <w:szCs w:val="21"/>
              </w:rPr>
            </w:pPr>
            <w:r>
              <w:rPr>
                <w:rFonts w:hint="eastAsia" w:ascii="仿宋" w:hAnsi="仿宋" w:eastAsia="仿宋" w:cs="仿宋"/>
                <w:color w:val="auto"/>
                <w:szCs w:val="21"/>
              </w:rPr>
              <w:t xml:space="preserve">2、货物必须是全新的；货物到货后，中标人和招标人应在现场进行清点；清点过程中如果发现因包装或运输不当引起的外观或内部的损坏，中标人应负责更换；若发现错发/漏发情况，中标人应负责更换和补发。 </w:t>
            </w:r>
          </w:p>
          <w:p w14:paraId="1FAF7DBB">
            <w:pPr>
              <w:keepNext w:val="0"/>
              <w:keepLines/>
              <w:pageBreakBefore w:val="0"/>
              <w:widowControl/>
              <w:kinsoku/>
              <w:wordWrap/>
              <w:overflowPunct/>
              <w:topLinePunct w:val="0"/>
              <w:autoSpaceDE/>
              <w:autoSpaceDN/>
              <w:bidi w:val="0"/>
              <w:adjustRightInd/>
              <w:snapToGrid/>
              <w:spacing w:line="400" w:lineRule="exact"/>
              <w:textAlignment w:val="center"/>
              <w:rPr>
                <w:rFonts w:ascii="仿宋" w:hAnsi="仿宋" w:eastAsia="仿宋" w:cs="仿宋"/>
                <w:color w:val="auto"/>
                <w:szCs w:val="21"/>
              </w:rPr>
            </w:pPr>
            <w:r>
              <w:rPr>
                <w:rFonts w:hint="eastAsia" w:ascii="仿宋" w:hAnsi="仿宋" w:eastAsia="仿宋" w:cs="仿宋"/>
                <w:color w:val="auto"/>
                <w:szCs w:val="21"/>
              </w:rPr>
              <w:t>3、供应商所提供的仪器、设备、资料等主要货物需执行的国家标准、行业标准、地方标准或者其他标准、规范。多项标准的，按最新标准或较高标准执行。</w:t>
            </w:r>
          </w:p>
          <w:p w14:paraId="001FDEF6">
            <w:pPr>
              <w:keepNext w:val="0"/>
              <w:keepLines/>
              <w:pageBreakBefore w:val="0"/>
              <w:widowControl/>
              <w:kinsoku/>
              <w:wordWrap/>
              <w:overflowPunct/>
              <w:topLinePunct w:val="0"/>
              <w:autoSpaceDE/>
              <w:autoSpaceDN/>
              <w:bidi w:val="0"/>
              <w:adjustRightInd/>
              <w:snapToGrid/>
              <w:spacing w:line="400" w:lineRule="exact"/>
              <w:textAlignment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4、中标供应商在设备安装、调试前，必须与采购人充分沟通并共同协商确定详细安装实施方案，经采购人书面确认后方可实施。</w:t>
            </w:r>
          </w:p>
          <w:p w14:paraId="2ACBE283">
            <w:pPr>
              <w:pStyle w:val="2"/>
              <w:ind w:left="0" w:leftChars="0" w:firstLine="0" w:firstLineChars="0"/>
              <w:rPr>
                <w:rFonts w:hint="default" w:ascii="仿宋" w:hAnsi="仿宋" w:eastAsia="仿宋" w:cs="仿宋"/>
                <w:b w:val="0"/>
                <w:color w:val="auto"/>
                <w:kern w:val="2"/>
                <w:sz w:val="21"/>
                <w:szCs w:val="21"/>
                <w:lang w:val="en-US" w:eastAsia="zh-CN" w:bidi="ar-SA"/>
              </w:rPr>
            </w:pPr>
            <w:r>
              <w:rPr>
                <w:rFonts w:hint="eastAsia" w:ascii="仿宋" w:hAnsi="仿宋" w:eastAsia="仿宋" w:cs="仿宋"/>
                <w:b w:val="0"/>
                <w:color w:val="auto"/>
                <w:kern w:val="2"/>
                <w:sz w:val="21"/>
                <w:szCs w:val="21"/>
                <w:lang w:val="en-US" w:eastAsia="zh-CN" w:bidi="ar-SA"/>
              </w:rPr>
              <w:t>5、采购人在中华人民共和国境内使用中标供应商提供的产品及服务时免受第三方提出的侵犯其专利权或其它知识产权的起诉。如果第三方提出侵权指控，中标供应商应承担由此而引起的一切法律责任和费用。</w:t>
            </w:r>
          </w:p>
          <w:p w14:paraId="59D031E9">
            <w:pPr>
              <w:keepNext w:val="0"/>
              <w:keepLines/>
              <w:pageBreakBefore w:val="0"/>
              <w:widowControl/>
              <w:kinsoku/>
              <w:wordWrap/>
              <w:overflowPunct/>
              <w:topLinePunct w:val="0"/>
              <w:autoSpaceDE/>
              <w:autoSpaceDN/>
              <w:bidi w:val="0"/>
              <w:adjustRightInd/>
              <w:snapToGrid/>
              <w:spacing w:line="400" w:lineRule="exact"/>
              <w:textAlignment w:val="center"/>
              <w:rPr>
                <w:rFonts w:ascii="仿宋" w:hAnsi="仿宋" w:eastAsia="仿宋" w:cs="仿宋"/>
                <w:color w:val="auto"/>
                <w:szCs w:val="21"/>
              </w:rPr>
            </w:pPr>
            <w:r>
              <w:rPr>
                <w:rFonts w:hint="eastAsia" w:ascii="仿宋" w:hAnsi="仿宋" w:eastAsia="仿宋" w:cs="仿宋"/>
                <w:color w:val="auto"/>
                <w:szCs w:val="21"/>
                <w:lang w:val="en-US" w:eastAsia="zh-CN"/>
              </w:rPr>
              <w:t>6</w:t>
            </w:r>
            <w:r>
              <w:rPr>
                <w:rFonts w:hint="eastAsia" w:ascii="仿宋" w:hAnsi="仿宋" w:eastAsia="仿宋" w:cs="仿宋"/>
                <w:color w:val="auto"/>
                <w:szCs w:val="21"/>
              </w:rPr>
              <w:t>、其余按第五章《政府采购合同文本》要求。</w:t>
            </w:r>
          </w:p>
          <w:p w14:paraId="62B58E81">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、供应商可根据招标文件及评分办法的要求，在投标文件中提供产品性能、项目实施方案、售后服务方案、信誉、人员配备等证明材料。</w:t>
            </w:r>
          </w:p>
        </w:tc>
      </w:tr>
      <w:tr w14:paraId="728B34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tcPr>
          <w:p w14:paraId="2DF90187">
            <w:pPr>
              <w:keepNext w:val="0"/>
              <w:keepLines/>
              <w:pageBreakBefore w:val="0"/>
              <w:widowControl/>
              <w:kinsoku/>
              <w:wordWrap/>
              <w:overflowPunct/>
              <w:topLinePunct w:val="0"/>
              <w:autoSpaceDE/>
              <w:autoSpaceDN/>
              <w:bidi w:val="0"/>
              <w:adjustRightInd/>
              <w:snapToGrid/>
              <w:spacing w:line="400" w:lineRule="exact"/>
              <w:textAlignment w:val="center"/>
              <w:rPr>
                <w:rFonts w:hint="eastAsia" w:ascii="仿宋" w:hAnsi="仿宋" w:eastAsia="仿宋" w:cs="仿宋"/>
                <w:color w:val="auto"/>
                <w:szCs w:val="21"/>
              </w:rPr>
            </w:pPr>
            <w:r>
              <w:rPr>
                <w:rFonts w:hint="eastAsia" w:ascii="仿宋" w:hAnsi="仿宋" w:eastAsia="仿宋" w:cs="仿宋"/>
                <w:color w:val="auto"/>
                <w:szCs w:val="21"/>
              </w:rPr>
              <w:t>第三部分 进口产品说明</w:t>
            </w:r>
          </w:p>
        </w:tc>
      </w:tr>
      <w:tr w14:paraId="1840F7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tcPr>
          <w:p w14:paraId="5A715157">
            <w:pPr>
              <w:keepNext w:val="0"/>
              <w:keepLines/>
              <w:pageBreakBefore w:val="0"/>
              <w:widowControl/>
              <w:kinsoku/>
              <w:wordWrap/>
              <w:overflowPunct/>
              <w:topLinePunct w:val="0"/>
              <w:autoSpaceDE/>
              <w:autoSpaceDN/>
              <w:bidi w:val="0"/>
              <w:adjustRightInd/>
              <w:snapToGrid/>
              <w:spacing w:line="400" w:lineRule="exact"/>
              <w:textAlignment w:val="center"/>
              <w:rPr>
                <w:rFonts w:hint="eastAsia" w:ascii="仿宋" w:hAnsi="仿宋" w:eastAsia="仿宋" w:cs="仿宋"/>
                <w:color w:val="auto"/>
                <w:szCs w:val="21"/>
              </w:rPr>
            </w:pPr>
            <w:r>
              <w:rPr>
                <w:rFonts w:hint="eastAsia" w:ascii="仿宋" w:hAnsi="仿宋" w:eastAsia="仿宋" w:cs="仿宋"/>
                <w:color w:val="auto"/>
                <w:szCs w:val="21"/>
              </w:rPr>
              <w:t>本分标中所有产品均不接受进口产品投标。</w:t>
            </w:r>
            <w:r>
              <w:rPr>
                <w:rFonts w:hint="eastAsia" w:ascii="仿宋" w:hAnsi="仿宋" w:eastAsia="仿宋" w:cs="仿宋"/>
                <w:b/>
                <w:bCs/>
                <w:color w:val="auto"/>
                <w:szCs w:val="21"/>
              </w:rPr>
              <w:t>进口产品投标的，投标无效。</w:t>
            </w:r>
          </w:p>
        </w:tc>
      </w:tr>
      <w:tr w14:paraId="686266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7"/>
            <w:tcBorders>
              <w:top w:val="single" w:color="auto" w:sz="4" w:space="0"/>
              <w:left w:val="single" w:color="auto" w:sz="4" w:space="0"/>
              <w:bottom w:val="single" w:color="auto" w:sz="4" w:space="0"/>
              <w:right w:val="single" w:color="auto" w:sz="4" w:space="0"/>
            </w:tcBorders>
            <w:noWrap/>
          </w:tcPr>
          <w:p w14:paraId="30BE9686">
            <w:pPr>
              <w:keepNext w:val="0"/>
              <w:keepLines/>
              <w:pageBreakBefore w:val="0"/>
              <w:widowControl/>
              <w:kinsoku/>
              <w:wordWrap/>
              <w:overflowPunct/>
              <w:topLinePunct w:val="0"/>
              <w:autoSpaceDE/>
              <w:autoSpaceDN/>
              <w:bidi w:val="0"/>
              <w:adjustRightInd/>
              <w:snapToGrid/>
              <w:spacing w:line="400" w:lineRule="exact"/>
              <w:textAlignment w:val="center"/>
              <w:rPr>
                <w:rFonts w:hint="eastAsia" w:ascii="仿宋" w:hAnsi="仿宋" w:eastAsia="仿宋" w:cs="仿宋"/>
                <w:color w:val="auto"/>
                <w:szCs w:val="21"/>
              </w:rPr>
            </w:pPr>
            <w:r>
              <w:rPr>
                <w:rFonts w:hint="eastAsia" w:ascii="仿宋" w:hAnsi="仿宋" w:eastAsia="仿宋" w:cs="仿宋"/>
                <w:color w:val="auto"/>
                <w:szCs w:val="21"/>
              </w:rPr>
              <w:t>第四部分 核心产品</w:t>
            </w:r>
          </w:p>
        </w:tc>
      </w:tr>
      <w:tr w14:paraId="19AAE8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tcPr>
          <w:p w14:paraId="48F2A660">
            <w:pPr>
              <w:keepNext w:val="0"/>
              <w:keepLines/>
              <w:pageBreakBefore w:val="0"/>
              <w:widowControl/>
              <w:kinsoku/>
              <w:wordWrap/>
              <w:overflowPunct/>
              <w:topLinePunct w:val="0"/>
              <w:autoSpaceDE/>
              <w:autoSpaceDN/>
              <w:bidi w:val="0"/>
              <w:adjustRightInd/>
              <w:snapToGrid/>
              <w:spacing w:line="400" w:lineRule="exact"/>
              <w:textAlignment w:val="center"/>
              <w:rPr>
                <w:rFonts w:ascii="仿宋" w:hAnsi="仿宋" w:eastAsia="仿宋" w:cs="仿宋"/>
                <w:color w:val="auto"/>
                <w:szCs w:val="21"/>
                <w:highlight w:val="none"/>
              </w:rPr>
            </w:pPr>
            <w:r>
              <w:rPr>
                <w:rFonts w:hint="eastAsia" w:ascii="仿宋" w:hAnsi="仿宋" w:eastAsia="仿宋" w:cs="仿宋"/>
                <w:color w:val="auto"/>
                <w:szCs w:val="21"/>
                <w:highlight w:val="none"/>
              </w:rPr>
              <w:t>本分标核心产品为第</w:t>
            </w:r>
            <w:r>
              <w:rPr>
                <w:rFonts w:hint="eastAsia" w:ascii="仿宋" w:hAnsi="仿宋" w:eastAsia="仿宋" w:cs="仿宋"/>
                <w:color w:val="auto"/>
                <w:szCs w:val="21"/>
                <w:highlight w:val="none"/>
                <w:lang w:val="en-US" w:eastAsia="zh-CN"/>
              </w:rPr>
              <w:t xml:space="preserve"> 5</w:t>
            </w:r>
            <w:r>
              <w:rPr>
                <w:rFonts w:hint="eastAsia" w:ascii="仿宋" w:hAnsi="仿宋" w:eastAsia="仿宋" w:cs="仿宋"/>
                <w:color w:val="auto"/>
                <w:szCs w:val="21"/>
                <w:highlight w:val="none"/>
              </w:rPr>
              <w:t>项产品</w:t>
            </w:r>
            <w:r>
              <w:rPr>
                <w:rFonts w:hint="eastAsia" w:ascii="仿宋" w:hAnsi="仿宋" w:eastAsia="仿宋" w:cs="仿宋"/>
                <w:b/>
                <w:bCs/>
                <w:color w:val="auto"/>
                <w:szCs w:val="21"/>
                <w:highlight w:val="none"/>
              </w:rPr>
              <w:t>“</w:t>
            </w:r>
            <w:r>
              <w:rPr>
                <w:rFonts w:hint="eastAsia" w:ascii="仿宋" w:hAnsi="仿宋" w:eastAsia="仿宋" w:cs="仿宋"/>
                <w:i w:val="0"/>
                <w:iCs w:val="0"/>
                <w:color w:val="auto"/>
                <w:kern w:val="0"/>
                <w:sz w:val="21"/>
                <w:szCs w:val="21"/>
                <w:highlight w:val="none"/>
                <w:u w:val="none"/>
                <w:lang w:val="en-US" w:eastAsia="zh-CN" w:bidi="ar"/>
              </w:rPr>
              <w:t>多媒体云终端</w:t>
            </w:r>
            <w:r>
              <w:rPr>
                <w:rFonts w:hint="eastAsia" w:ascii="仿宋" w:hAnsi="仿宋" w:eastAsia="仿宋" w:cs="仿宋"/>
                <w:b/>
                <w:bCs/>
                <w:color w:val="auto"/>
                <w:szCs w:val="21"/>
                <w:highlight w:val="none"/>
              </w:rPr>
              <w:t>”</w:t>
            </w:r>
            <w:r>
              <w:rPr>
                <w:rFonts w:hint="eastAsia" w:ascii="仿宋" w:hAnsi="仿宋" w:eastAsia="仿宋" w:cs="仿宋"/>
                <w:color w:val="auto"/>
                <w:szCs w:val="21"/>
                <w:highlight w:val="none"/>
              </w:rPr>
              <w:t>，核心产品品牌相同的，视为提供同品牌产品。</w:t>
            </w:r>
          </w:p>
          <w:p w14:paraId="5A000332">
            <w:pPr>
              <w:keepNext w:val="0"/>
              <w:keepLines/>
              <w:pageBreakBefore w:val="0"/>
              <w:widowControl/>
              <w:kinsoku/>
              <w:wordWrap/>
              <w:overflowPunct/>
              <w:topLinePunct w:val="0"/>
              <w:autoSpaceDE/>
              <w:autoSpaceDN/>
              <w:bidi w:val="0"/>
              <w:adjustRightInd/>
              <w:snapToGrid/>
              <w:spacing w:line="400" w:lineRule="exact"/>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提供相同品牌产品且通过资格审查、符合性审查的不同投标人参加同一合同项下投标的，按一家投标人计算，评审后得分最高的同品牌投标人获得中标人推荐资格（评审得分相同的，以投标报价由低到高顺序排列；得分相同且投标报价相同的，按技术分由高到低的顺序排列），其他同品牌投标人不作为中标候选人。</w:t>
            </w:r>
          </w:p>
        </w:tc>
      </w:tr>
    </w:tbl>
    <w:p w14:paraId="0644BE82">
      <w:pPr>
        <w:rPr>
          <w:rFonts w:hint="eastAsia" w:ascii="仿宋" w:hAnsi="仿宋" w:eastAsia="仿宋" w:cs="仿宋"/>
          <w:color w:val="auto"/>
          <w:sz w:val="24"/>
        </w:rPr>
      </w:pPr>
    </w:p>
    <w:p w14:paraId="509EF85D">
      <w:pPr>
        <w:rPr>
          <w:rFonts w:hint="eastAsia" w:ascii="仿宋" w:hAnsi="仿宋" w:eastAsia="仿宋" w:cs="仿宋"/>
          <w:color w:val="auto"/>
          <w:sz w:val="24"/>
        </w:rPr>
      </w:pPr>
    </w:p>
    <w:p w14:paraId="10575D3E">
      <w:pPr>
        <w:rPr>
          <w:rFonts w:hint="eastAsia" w:ascii="仿宋" w:hAnsi="仿宋" w:eastAsia="仿宋" w:cs="仿宋"/>
          <w:color w:val="auto"/>
          <w:sz w:val="24"/>
          <w:lang w:val="en-US" w:eastAsia="zh-CN"/>
        </w:rPr>
      </w:pPr>
    </w:p>
    <w:p w14:paraId="163922AC">
      <w:pP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br w:type="page"/>
      </w:r>
    </w:p>
    <w:p w14:paraId="2A5F13C7">
      <w:pPr>
        <w:rPr>
          <w:rFonts w:ascii="仿宋" w:hAnsi="仿宋" w:eastAsia="仿宋" w:cs="仿宋"/>
          <w:color w:val="auto"/>
          <w:sz w:val="24"/>
        </w:rPr>
      </w:pPr>
      <w:r>
        <w:rPr>
          <w:rFonts w:hint="eastAsia" w:ascii="仿宋" w:hAnsi="仿宋" w:eastAsia="仿宋" w:cs="仿宋"/>
          <w:color w:val="auto"/>
          <w:sz w:val="24"/>
          <w:lang w:val="en-US" w:eastAsia="zh-CN"/>
        </w:rPr>
        <w:t>2分标：广西机电工程学校产教融合园AI乡村振兴电商产业基地项目</w:t>
      </w:r>
    </w:p>
    <w:tbl>
      <w:tblPr>
        <w:tblStyle w:val="47"/>
        <w:tblW w:w="979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6"/>
        <w:gridCol w:w="1405"/>
        <w:gridCol w:w="161"/>
        <w:gridCol w:w="631"/>
        <w:gridCol w:w="763"/>
        <w:gridCol w:w="5108"/>
        <w:gridCol w:w="1139"/>
      </w:tblGrid>
      <w:tr w14:paraId="53396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9793" w:type="dxa"/>
            <w:gridSpan w:val="7"/>
            <w:noWrap/>
            <w:vAlign w:val="center"/>
          </w:tcPr>
          <w:p w14:paraId="284857F2">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 w:val="21"/>
                <w:szCs w:val="21"/>
              </w:rPr>
            </w:pPr>
            <w:r>
              <w:rPr>
                <w:rFonts w:hint="eastAsia" w:ascii="仿宋" w:hAnsi="仿宋" w:eastAsia="仿宋" w:cs="仿宋"/>
                <w:color w:val="auto"/>
                <w:sz w:val="21"/>
                <w:szCs w:val="21"/>
              </w:rPr>
              <w:t>第一部分 技术要求</w:t>
            </w:r>
          </w:p>
        </w:tc>
      </w:tr>
      <w:tr w14:paraId="19C51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586" w:type="dxa"/>
            <w:noWrap/>
            <w:vAlign w:val="center"/>
          </w:tcPr>
          <w:p w14:paraId="16E439EB">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 w:val="21"/>
                <w:szCs w:val="21"/>
              </w:rPr>
            </w:pPr>
            <w:r>
              <w:rPr>
                <w:rFonts w:hint="eastAsia" w:ascii="仿宋" w:hAnsi="仿宋" w:eastAsia="仿宋" w:cs="仿宋"/>
                <w:color w:val="auto"/>
                <w:sz w:val="21"/>
                <w:szCs w:val="21"/>
              </w:rPr>
              <w:t>序号</w:t>
            </w:r>
          </w:p>
        </w:tc>
        <w:tc>
          <w:tcPr>
            <w:tcW w:w="1566" w:type="dxa"/>
            <w:gridSpan w:val="2"/>
            <w:noWrap/>
            <w:vAlign w:val="center"/>
          </w:tcPr>
          <w:p w14:paraId="63BBC68C">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 w:val="21"/>
                <w:szCs w:val="21"/>
              </w:rPr>
            </w:pPr>
            <w:r>
              <w:rPr>
                <w:rFonts w:hint="eastAsia" w:ascii="仿宋" w:hAnsi="仿宋" w:eastAsia="仿宋" w:cs="仿宋"/>
                <w:color w:val="auto"/>
                <w:sz w:val="21"/>
                <w:szCs w:val="21"/>
              </w:rPr>
              <w:t>标的的名称</w:t>
            </w:r>
          </w:p>
        </w:tc>
        <w:tc>
          <w:tcPr>
            <w:tcW w:w="631" w:type="dxa"/>
            <w:noWrap/>
            <w:vAlign w:val="center"/>
          </w:tcPr>
          <w:p w14:paraId="12AF2D4E">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 w:val="21"/>
                <w:szCs w:val="21"/>
              </w:rPr>
            </w:pPr>
            <w:r>
              <w:rPr>
                <w:rFonts w:hint="eastAsia" w:ascii="仿宋" w:hAnsi="仿宋" w:eastAsia="仿宋" w:cs="仿宋"/>
                <w:color w:val="auto"/>
                <w:sz w:val="21"/>
                <w:szCs w:val="21"/>
              </w:rPr>
              <w:t>数量</w:t>
            </w:r>
          </w:p>
        </w:tc>
        <w:tc>
          <w:tcPr>
            <w:tcW w:w="763" w:type="dxa"/>
            <w:noWrap/>
            <w:vAlign w:val="center"/>
          </w:tcPr>
          <w:p w14:paraId="03478920">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 w:val="21"/>
                <w:szCs w:val="21"/>
              </w:rPr>
            </w:pPr>
            <w:r>
              <w:rPr>
                <w:rFonts w:hint="eastAsia" w:ascii="仿宋" w:hAnsi="仿宋" w:eastAsia="仿宋" w:cs="仿宋"/>
                <w:color w:val="auto"/>
                <w:sz w:val="21"/>
                <w:szCs w:val="21"/>
              </w:rPr>
              <w:t>单位</w:t>
            </w:r>
          </w:p>
        </w:tc>
        <w:tc>
          <w:tcPr>
            <w:tcW w:w="5108" w:type="dxa"/>
            <w:noWrap/>
            <w:vAlign w:val="center"/>
          </w:tcPr>
          <w:p w14:paraId="2A147B68">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 w:val="21"/>
                <w:szCs w:val="21"/>
              </w:rPr>
            </w:pPr>
            <w:r>
              <w:rPr>
                <w:rFonts w:hint="eastAsia" w:ascii="仿宋" w:hAnsi="仿宋" w:eastAsia="仿宋" w:cs="仿宋"/>
                <w:color w:val="auto"/>
                <w:sz w:val="21"/>
                <w:szCs w:val="21"/>
              </w:rPr>
              <w:t>技术要求</w:t>
            </w:r>
          </w:p>
        </w:tc>
        <w:tc>
          <w:tcPr>
            <w:tcW w:w="1139" w:type="dxa"/>
            <w:noWrap/>
            <w:vAlign w:val="center"/>
          </w:tcPr>
          <w:p w14:paraId="78BC431F">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 w:val="21"/>
                <w:szCs w:val="21"/>
              </w:rPr>
            </w:pPr>
            <w:r>
              <w:rPr>
                <w:rFonts w:hint="eastAsia" w:ascii="仿宋" w:hAnsi="仿宋" w:eastAsia="仿宋" w:cs="仿宋"/>
                <w:color w:val="auto"/>
                <w:szCs w:val="21"/>
              </w:rPr>
              <w:t>所属行业划分</w:t>
            </w:r>
          </w:p>
        </w:tc>
      </w:tr>
      <w:tr w14:paraId="21E73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9793" w:type="dxa"/>
            <w:gridSpan w:val="7"/>
            <w:noWrap/>
            <w:vAlign w:val="center"/>
          </w:tcPr>
          <w:p w14:paraId="686BE5B9">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一、</w:t>
            </w:r>
            <w:r>
              <w:rPr>
                <w:rFonts w:hint="eastAsia" w:ascii="仿宋" w:hAnsi="仿宋" w:eastAsia="仿宋" w:cs="仿宋"/>
                <w:color w:val="auto"/>
                <w:sz w:val="21"/>
                <w:szCs w:val="21"/>
              </w:rPr>
              <w:t>电商实训中心</w:t>
            </w:r>
          </w:p>
        </w:tc>
      </w:tr>
      <w:tr w14:paraId="20D5D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86" w:type="dxa"/>
            <w:noWrap/>
            <w:vAlign w:val="center"/>
          </w:tcPr>
          <w:p w14:paraId="51046031">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1566" w:type="dxa"/>
            <w:gridSpan w:val="2"/>
            <w:noWrap/>
            <w:vAlign w:val="center"/>
          </w:tcPr>
          <w:p w14:paraId="74E8BCCE">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工位布线</w:t>
            </w:r>
          </w:p>
        </w:tc>
        <w:tc>
          <w:tcPr>
            <w:tcW w:w="631" w:type="dxa"/>
            <w:noWrap/>
            <w:vAlign w:val="center"/>
          </w:tcPr>
          <w:p w14:paraId="603896DF">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133</w:t>
            </w:r>
          </w:p>
        </w:tc>
        <w:tc>
          <w:tcPr>
            <w:tcW w:w="763" w:type="dxa"/>
            <w:noWrap/>
            <w:vAlign w:val="center"/>
          </w:tcPr>
          <w:p w14:paraId="1AF51C6D">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点</w:t>
            </w:r>
          </w:p>
        </w:tc>
        <w:tc>
          <w:tcPr>
            <w:tcW w:w="5108" w:type="dxa"/>
            <w:noWrap/>
            <w:vAlign w:val="center"/>
          </w:tcPr>
          <w:p w14:paraId="4502E5F7">
            <w:pPr>
              <w:pStyle w:val="2"/>
              <w:ind w:left="0" w:leftChars="0" w:firstLine="0" w:firstLineChars="0"/>
              <w:rPr>
                <w:rFonts w:hint="default" w:ascii="仿宋" w:hAnsi="仿宋" w:eastAsia="仿宋" w:cs="仿宋"/>
                <w:sz w:val="21"/>
                <w:szCs w:val="21"/>
                <w:lang w:val="en-US" w:eastAsia="zh-CN"/>
              </w:rPr>
            </w:pPr>
            <w:r>
              <w:rPr>
                <w:rFonts w:hint="eastAsia" w:ascii="仿宋" w:hAnsi="仿宋" w:eastAsia="仿宋" w:cs="仿宋"/>
                <w:b w:val="0"/>
                <w:bCs/>
                <w:sz w:val="21"/>
                <w:szCs w:val="21"/>
                <w:lang w:val="en-US" w:eastAsia="zh-CN"/>
              </w:rPr>
              <w:t>每个工位布置一个3位15孔插座，25米6类网线</w:t>
            </w:r>
          </w:p>
        </w:tc>
        <w:tc>
          <w:tcPr>
            <w:tcW w:w="1139" w:type="dxa"/>
            <w:noWrap/>
            <w:vAlign w:val="center"/>
          </w:tcPr>
          <w:p w14:paraId="383C53DE">
            <w:pPr>
              <w:pStyle w:val="2"/>
              <w:ind w:left="0" w:leftChars="0" w:firstLine="0" w:firstLineChars="0"/>
              <w:rPr>
                <w:rFonts w:hint="eastAsia"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建筑业</w:t>
            </w:r>
          </w:p>
        </w:tc>
      </w:tr>
      <w:tr w14:paraId="63C1C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86" w:type="dxa"/>
            <w:noWrap/>
            <w:vAlign w:val="center"/>
          </w:tcPr>
          <w:p w14:paraId="7A314130">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1566" w:type="dxa"/>
            <w:gridSpan w:val="2"/>
            <w:noWrap/>
            <w:vAlign w:val="center"/>
          </w:tcPr>
          <w:p w14:paraId="398F93DB">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开门洞</w:t>
            </w:r>
          </w:p>
        </w:tc>
        <w:tc>
          <w:tcPr>
            <w:tcW w:w="631" w:type="dxa"/>
            <w:noWrap/>
            <w:vAlign w:val="center"/>
          </w:tcPr>
          <w:p w14:paraId="7D95E528">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2</w:t>
            </w:r>
          </w:p>
        </w:tc>
        <w:tc>
          <w:tcPr>
            <w:tcW w:w="763" w:type="dxa"/>
            <w:noWrap/>
            <w:vAlign w:val="center"/>
          </w:tcPr>
          <w:p w14:paraId="23339FB3">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项</w:t>
            </w:r>
          </w:p>
        </w:tc>
        <w:tc>
          <w:tcPr>
            <w:tcW w:w="5108" w:type="dxa"/>
            <w:noWrap/>
            <w:vAlign w:val="center"/>
          </w:tcPr>
          <w:p w14:paraId="689AA0DA">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人工拆除，施工时提供施工图</w:t>
            </w:r>
          </w:p>
        </w:tc>
        <w:tc>
          <w:tcPr>
            <w:tcW w:w="1139" w:type="dxa"/>
            <w:noWrap/>
            <w:vAlign w:val="center"/>
          </w:tcPr>
          <w:p w14:paraId="01FCDDA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val="0"/>
                <w:bCs/>
                <w:sz w:val="21"/>
                <w:szCs w:val="21"/>
                <w:lang w:val="en-US" w:eastAsia="zh-CN"/>
              </w:rPr>
              <w:t>建筑业</w:t>
            </w:r>
          </w:p>
        </w:tc>
      </w:tr>
      <w:tr w14:paraId="01601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86" w:type="dxa"/>
            <w:noWrap/>
            <w:vAlign w:val="center"/>
          </w:tcPr>
          <w:p w14:paraId="0ED2B117">
            <w:pPr>
              <w:keepNext w:val="0"/>
              <w:keepLines/>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3</w:t>
            </w:r>
          </w:p>
        </w:tc>
        <w:tc>
          <w:tcPr>
            <w:tcW w:w="1566" w:type="dxa"/>
            <w:gridSpan w:val="2"/>
            <w:noWrap/>
            <w:vAlign w:val="center"/>
          </w:tcPr>
          <w:p w14:paraId="66815D96">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直播间吸音隔墙制作</w:t>
            </w:r>
          </w:p>
        </w:tc>
        <w:tc>
          <w:tcPr>
            <w:tcW w:w="631" w:type="dxa"/>
            <w:noWrap/>
            <w:vAlign w:val="center"/>
          </w:tcPr>
          <w:p w14:paraId="3EDDF7C7">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61.5</w:t>
            </w:r>
          </w:p>
        </w:tc>
        <w:tc>
          <w:tcPr>
            <w:tcW w:w="763" w:type="dxa"/>
            <w:noWrap/>
            <w:vAlign w:val="center"/>
          </w:tcPr>
          <w:p w14:paraId="58C49BE1">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平方</w:t>
            </w:r>
          </w:p>
        </w:tc>
        <w:tc>
          <w:tcPr>
            <w:tcW w:w="5108" w:type="dxa"/>
            <w:noWrap/>
            <w:vAlign w:val="center"/>
          </w:tcPr>
          <w:p w14:paraId="16F75483">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轻钢龙骨制作骨架，9厘阻燃板作基础底板，内塞吸音绵，埃特板封面；</w:t>
            </w:r>
          </w:p>
        </w:tc>
        <w:tc>
          <w:tcPr>
            <w:tcW w:w="1139" w:type="dxa"/>
            <w:noWrap/>
            <w:vAlign w:val="center"/>
          </w:tcPr>
          <w:p w14:paraId="5EA43FE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val="0"/>
                <w:bCs/>
                <w:sz w:val="21"/>
                <w:szCs w:val="21"/>
                <w:lang w:val="en-US" w:eastAsia="zh-CN"/>
              </w:rPr>
              <w:t>建筑业</w:t>
            </w:r>
          </w:p>
        </w:tc>
      </w:tr>
      <w:tr w14:paraId="4FF2D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86" w:type="dxa"/>
            <w:noWrap/>
            <w:vAlign w:val="center"/>
          </w:tcPr>
          <w:p w14:paraId="670062C3">
            <w:pPr>
              <w:keepNext w:val="0"/>
              <w:keepLines/>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4</w:t>
            </w:r>
          </w:p>
        </w:tc>
        <w:tc>
          <w:tcPr>
            <w:tcW w:w="1566" w:type="dxa"/>
            <w:gridSpan w:val="2"/>
            <w:noWrap/>
            <w:vAlign w:val="center"/>
          </w:tcPr>
          <w:p w14:paraId="7A49EB02">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直播间背景墙制作</w:t>
            </w:r>
          </w:p>
        </w:tc>
        <w:tc>
          <w:tcPr>
            <w:tcW w:w="631" w:type="dxa"/>
            <w:noWrap/>
            <w:vAlign w:val="center"/>
          </w:tcPr>
          <w:p w14:paraId="55FB3CF3">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58.24</w:t>
            </w:r>
          </w:p>
        </w:tc>
        <w:tc>
          <w:tcPr>
            <w:tcW w:w="763" w:type="dxa"/>
            <w:noWrap/>
            <w:vAlign w:val="center"/>
          </w:tcPr>
          <w:p w14:paraId="0CFEB099">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平方</w:t>
            </w:r>
          </w:p>
        </w:tc>
        <w:tc>
          <w:tcPr>
            <w:tcW w:w="5108" w:type="dxa"/>
            <w:noWrap/>
            <w:vAlign w:val="center"/>
          </w:tcPr>
          <w:p w14:paraId="38135BFC">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木方料制作骨架，9厘阻燃板作基础底板，面封打孔木塑吸音板；</w:t>
            </w:r>
          </w:p>
        </w:tc>
        <w:tc>
          <w:tcPr>
            <w:tcW w:w="1139" w:type="dxa"/>
            <w:noWrap/>
            <w:vAlign w:val="center"/>
          </w:tcPr>
          <w:p w14:paraId="1CD3498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val="0"/>
                <w:bCs/>
                <w:sz w:val="21"/>
                <w:szCs w:val="21"/>
                <w:lang w:val="en-US" w:eastAsia="zh-CN"/>
              </w:rPr>
              <w:t>建筑业</w:t>
            </w:r>
          </w:p>
        </w:tc>
      </w:tr>
      <w:tr w14:paraId="46822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586" w:type="dxa"/>
            <w:noWrap/>
            <w:vAlign w:val="center"/>
          </w:tcPr>
          <w:p w14:paraId="1494C591">
            <w:pPr>
              <w:keepNext w:val="0"/>
              <w:keepLines/>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5</w:t>
            </w:r>
          </w:p>
        </w:tc>
        <w:tc>
          <w:tcPr>
            <w:tcW w:w="1566" w:type="dxa"/>
            <w:gridSpan w:val="2"/>
            <w:noWrap/>
            <w:vAlign w:val="center"/>
          </w:tcPr>
          <w:p w14:paraId="36DDFA14">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直播间天面吊顶</w:t>
            </w:r>
          </w:p>
        </w:tc>
        <w:tc>
          <w:tcPr>
            <w:tcW w:w="631" w:type="dxa"/>
            <w:noWrap/>
            <w:vAlign w:val="center"/>
          </w:tcPr>
          <w:p w14:paraId="288D44AC">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77</w:t>
            </w:r>
          </w:p>
        </w:tc>
        <w:tc>
          <w:tcPr>
            <w:tcW w:w="763" w:type="dxa"/>
            <w:noWrap/>
            <w:vAlign w:val="center"/>
          </w:tcPr>
          <w:p w14:paraId="649C0466">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平方</w:t>
            </w:r>
          </w:p>
        </w:tc>
        <w:tc>
          <w:tcPr>
            <w:tcW w:w="5108" w:type="dxa"/>
            <w:noWrap/>
            <w:vAlign w:val="center"/>
          </w:tcPr>
          <w:p w14:paraId="2FD0A694">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600</w:t>
            </w:r>
            <w:r>
              <w:rPr>
                <w:rFonts w:hint="eastAsia" w:ascii="仿宋" w:hAnsi="仿宋" w:eastAsia="仿宋" w:cs="仿宋"/>
                <w:sz w:val="21"/>
                <w:szCs w:val="21"/>
                <w:lang w:val="en-US" w:eastAsia="zh-CN"/>
              </w:rPr>
              <w:t>mm</w:t>
            </w:r>
            <w:r>
              <w:rPr>
                <w:rFonts w:hint="eastAsia" w:ascii="仿宋" w:hAnsi="仿宋" w:eastAsia="仿宋" w:cs="仿宋"/>
                <w:i w:val="0"/>
                <w:iCs w:val="0"/>
                <w:color w:val="000000"/>
                <w:kern w:val="0"/>
                <w:sz w:val="21"/>
                <w:szCs w:val="21"/>
                <w:u w:val="none"/>
                <w:lang w:val="en-US" w:eastAsia="zh-CN" w:bidi="ar"/>
              </w:rPr>
              <w:t>*600</w:t>
            </w:r>
            <w:r>
              <w:rPr>
                <w:rFonts w:hint="eastAsia" w:ascii="仿宋" w:hAnsi="仿宋" w:eastAsia="仿宋" w:cs="仿宋"/>
                <w:sz w:val="21"/>
                <w:szCs w:val="21"/>
                <w:lang w:val="en-US" w:eastAsia="zh-CN"/>
              </w:rPr>
              <w:t>mm</w:t>
            </w:r>
            <w:r>
              <w:rPr>
                <w:rFonts w:hint="eastAsia" w:ascii="仿宋" w:hAnsi="仿宋" w:eastAsia="仿宋" w:cs="仿宋"/>
                <w:i w:val="0"/>
                <w:iCs w:val="0"/>
                <w:color w:val="000000"/>
                <w:kern w:val="0"/>
                <w:sz w:val="21"/>
                <w:szCs w:val="21"/>
                <w:u w:val="none"/>
                <w:lang w:val="en-US" w:eastAsia="zh-CN" w:bidi="ar"/>
              </w:rPr>
              <w:t>硅钙板吊顶，含安装龙骨及其他辅材、人工安装费。</w:t>
            </w:r>
          </w:p>
        </w:tc>
        <w:tc>
          <w:tcPr>
            <w:tcW w:w="1139" w:type="dxa"/>
            <w:noWrap/>
            <w:vAlign w:val="center"/>
          </w:tcPr>
          <w:p w14:paraId="6D83043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val="0"/>
                <w:bCs/>
                <w:sz w:val="21"/>
                <w:szCs w:val="21"/>
                <w:lang w:val="en-US" w:eastAsia="zh-CN"/>
              </w:rPr>
              <w:t>建筑业</w:t>
            </w:r>
          </w:p>
        </w:tc>
      </w:tr>
      <w:tr w14:paraId="20210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6" w:hRule="atLeast"/>
        </w:trPr>
        <w:tc>
          <w:tcPr>
            <w:tcW w:w="586" w:type="dxa"/>
            <w:noWrap/>
            <w:vAlign w:val="center"/>
          </w:tcPr>
          <w:p w14:paraId="182BAE31">
            <w:pPr>
              <w:keepNext w:val="0"/>
              <w:keepLines/>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6</w:t>
            </w:r>
          </w:p>
        </w:tc>
        <w:tc>
          <w:tcPr>
            <w:tcW w:w="1566" w:type="dxa"/>
            <w:gridSpan w:val="2"/>
            <w:noWrap/>
            <w:vAlign w:val="center"/>
          </w:tcPr>
          <w:p w14:paraId="189E3900">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照明线路布线</w:t>
            </w:r>
          </w:p>
        </w:tc>
        <w:tc>
          <w:tcPr>
            <w:tcW w:w="631" w:type="dxa"/>
            <w:noWrap/>
            <w:vAlign w:val="center"/>
          </w:tcPr>
          <w:p w14:paraId="403AA471">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424</w:t>
            </w:r>
          </w:p>
        </w:tc>
        <w:tc>
          <w:tcPr>
            <w:tcW w:w="763" w:type="dxa"/>
            <w:noWrap/>
            <w:vAlign w:val="center"/>
          </w:tcPr>
          <w:p w14:paraId="0AFE5571">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平方</w:t>
            </w:r>
          </w:p>
        </w:tc>
        <w:tc>
          <w:tcPr>
            <w:tcW w:w="5108" w:type="dxa"/>
            <w:noWrap/>
            <w:vAlign w:val="center"/>
          </w:tcPr>
          <w:p w14:paraId="36AC7C2B">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人工施工费，不含线材及安装辅材</w:t>
            </w:r>
          </w:p>
        </w:tc>
        <w:tc>
          <w:tcPr>
            <w:tcW w:w="1139" w:type="dxa"/>
            <w:noWrap/>
            <w:vAlign w:val="center"/>
          </w:tcPr>
          <w:p w14:paraId="36A4A5B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val="0"/>
                <w:bCs/>
                <w:sz w:val="21"/>
                <w:szCs w:val="21"/>
                <w:lang w:val="en-US" w:eastAsia="zh-CN"/>
              </w:rPr>
              <w:t>建筑业</w:t>
            </w:r>
          </w:p>
        </w:tc>
      </w:tr>
      <w:tr w14:paraId="37F87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86" w:type="dxa"/>
            <w:noWrap/>
            <w:vAlign w:val="center"/>
          </w:tcPr>
          <w:p w14:paraId="169D32DF">
            <w:pPr>
              <w:keepNext w:val="0"/>
              <w:keepLines/>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7</w:t>
            </w:r>
          </w:p>
        </w:tc>
        <w:tc>
          <w:tcPr>
            <w:tcW w:w="1566" w:type="dxa"/>
            <w:gridSpan w:val="2"/>
            <w:noWrap/>
            <w:vAlign w:val="center"/>
          </w:tcPr>
          <w:p w14:paraId="62FB3A59">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光缆布线</w:t>
            </w:r>
          </w:p>
        </w:tc>
        <w:tc>
          <w:tcPr>
            <w:tcW w:w="631" w:type="dxa"/>
            <w:noWrap/>
            <w:vAlign w:val="center"/>
          </w:tcPr>
          <w:p w14:paraId="6460091B">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2</w:t>
            </w:r>
          </w:p>
        </w:tc>
        <w:tc>
          <w:tcPr>
            <w:tcW w:w="763" w:type="dxa"/>
            <w:noWrap/>
            <w:vAlign w:val="center"/>
          </w:tcPr>
          <w:p w14:paraId="54D1BF10">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组</w:t>
            </w:r>
          </w:p>
        </w:tc>
        <w:tc>
          <w:tcPr>
            <w:tcW w:w="5108" w:type="dxa"/>
            <w:noWrap/>
            <w:vAlign w:val="center"/>
          </w:tcPr>
          <w:p w14:paraId="3A87C4D6">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从101室布置一条皮纤及一条网线到106室楼梯底下机柜，一条皮纤布置到1楼电井。</w:t>
            </w:r>
          </w:p>
        </w:tc>
        <w:tc>
          <w:tcPr>
            <w:tcW w:w="1139" w:type="dxa"/>
            <w:noWrap/>
            <w:vAlign w:val="center"/>
          </w:tcPr>
          <w:p w14:paraId="29485EB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val="0"/>
                <w:bCs/>
                <w:sz w:val="21"/>
                <w:szCs w:val="21"/>
                <w:lang w:val="en-US" w:eastAsia="zh-CN"/>
              </w:rPr>
              <w:t>建筑业</w:t>
            </w:r>
          </w:p>
        </w:tc>
      </w:tr>
      <w:tr w14:paraId="37230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86" w:type="dxa"/>
            <w:noWrap/>
            <w:vAlign w:val="center"/>
          </w:tcPr>
          <w:p w14:paraId="390F6C72">
            <w:pPr>
              <w:keepNext w:val="0"/>
              <w:keepLines/>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8</w:t>
            </w:r>
          </w:p>
        </w:tc>
        <w:tc>
          <w:tcPr>
            <w:tcW w:w="1566" w:type="dxa"/>
            <w:gridSpan w:val="2"/>
            <w:noWrap/>
            <w:vAlign w:val="center"/>
          </w:tcPr>
          <w:p w14:paraId="7E0F742D">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吸音隔墙制作</w:t>
            </w:r>
          </w:p>
        </w:tc>
        <w:tc>
          <w:tcPr>
            <w:tcW w:w="631" w:type="dxa"/>
            <w:noWrap/>
            <w:vAlign w:val="center"/>
          </w:tcPr>
          <w:p w14:paraId="5B641BD2">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9</w:t>
            </w:r>
          </w:p>
        </w:tc>
        <w:tc>
          <w:tcPr>
            <w:tcW w:w="763" w:type="dxa"/>
            <w:noWrap/>
            <w:vAlign w:val="center"/>
          </w:tcPr>
          <w:p w14:paraId="24193FC9">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平方</w:t>
            </w:r>
          </w:p>
        </w:tc>
        <w:tc>
          <w:tcPr>
            <w:tcW w:w="5108" w:type="dxa"/>
            <w:noWrap/>
            <w:vAlign w:val="center"/>
          </w:tcPr>
          <w:p w14:paraId="38D2583F">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轻钢龙骨制作骨架，9厘阻燃板作基础底板，内塞吸音绵，埃特板封面</w:t>
            </w:r>
          </w:p>
        </w:tc>
        <w:tc>
          <w:tcPr>
            <w:tcW w:w="1139" w:type="dxa"/>
            <w:noWrap/>
            <w:vAlign w:val="center"/>
          </w:tcPr>
          <w:p w14:paraId="1B161DC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val="0"/>
                <w:bCs/>
                <w:sz w:val="21"/>
                <w:szCs w:val="21"/>
                <w:lang w:val="en-US" w:eastAsia="zh-CN"/>
              </w:rPr>
              <w:t>建筑业</w:t>
            </w:r>
          </w:p>
        </w:tc>
      </w:tr>
      <w:tr w14:paraId="176B7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86" w:type="dxa"/>
            <w:noWrap/>
            <w:vAlign w:val="center"/>
          </w:tcPr>
          <w:p w14:paraId="68AFC26D">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 w:val="21"/>
                <w:szCs w:val="21"/>
              </w:rPr>
            </w:pPr>
            <w:r>
              <w:rPr>
                <w:rFonts w:hint="eastAsia" w:ascii="仿宋" w:hAnsi="仿宋" w:eastAsia="仿宋" w:cs="仿宋"/>
                <w:color w:val="auto"/>
                <w:sz w:val="21"/>
                <w:szCs w:val="21"/>
              </w:rPr>
              <w:t>9</w:t>
            </w:r>
          </w:p>
        </w:tc>
        <w:tc>
          <w:tcPr>
            <w:tcW w:w="1566" w:type="dxa"/>
            <w:gridSpan w:val="2"/>
            <w:noWrap/>
            <w:vAlign w:val="center"/>
          </w:tcPr>
          <w:p w14:paraId="47CCA614">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天面铝扣板吊顶</w:t>
            </w:r>
          </w:p>
        </w:tc>
        <w:tc>
          <w:tcPr>
            <w:tcW w:w="631" w:type="dxa"/>
            <w:noWrap/>
            <w:vAlign w:val="center"/>
          </w:tcPr>
          <w:p w14:paraId="22D53B70">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64</w:t>
            </w:r>
          </w:p>
        </w:tc>
        <w:tc>
          <w:tcPr>
            <w:tcW w:w="763" w:type="dxa"/>
            <w:noWrap/>
            <w:vAlign w:val="center"/>
          </w:tcPr>
          <w:p w14:paraId="381AEF4B">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平方</w:t>
            </w:r>
          </w:p>
        </w:tc>
        <w:tc>
          <w:tcPr>
            <w:tcW w:w="5108" w:type="dxa"/>
            <w:noWrap/>
            <w:vAlign w:val="center"/>
          </w:tcPr>
          <w:p w14:paraId="37095D5E">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08厚600</w:t>
            </w:r>
            <w:r>
              <w:rPr>
                <w:rFonts w:hint="eastAsia" w:ascii="仿宋" w:hAnsi="仿宋" w:eastAsia="仿宋" w:cs="仿宋"/>
                <w:sz w:val="21"/>
                <w:szCs w:val="21"/>
                <w:lang w:val="en-US" w:eastAsia="zh-CN"/>
              </w:rPr>
              <w:t>mm</w:t>
            </w:r>
            <w:r>
              <w:rPr>
                <w:rFonts w:hint="eastAsia" w:ascii="仿宋" w:hAnsi="仿宋" w:eastAsia="仿宋" w:cs="仿宋"/>
                <w:i w:val="0"/>
                <w:iCs w:val="0"/>
                <w:color w:val="000000"/>
                <w:kern w:val="0"/>
                <w:sz w:val="21"/>
                <w:szCs w:val="21"/>
                <w:u w:val="none"/>
                <w:lang w:val="en-US" w:eastAsia="zh-CN" w:bidi="ar"/>
              </w:rPr>
              <w:t>*600</w:t>
            </w:r>
            <w:r>
              <w:rPr>
                <w:rFonts w:hint="eastAsia" w:ascii="仿宋" w:hAnsi="仿宋" w:eastAsia="仿宋" w:cs="仿宋"/>
                <w:sz w:val="21"/>
                <w:szCs w:val="21"/>
                <w:lang w:val="en-US" w:eastAsia="zh-CN"/>
              </w:rPr>
              <w:t>mm</w:t>
            </w:r>
            <w:r>
              <w:rPr>
                <w:rFonts w:hint="eastAsia" w:ascii="仿宋" w:hAnsi="仿宋" w:eastAsia="仿宋" w:cs="仿宋"/>
                <w:i w:val="0"/>
                <w:iCs w:val="0"/>
                <w:color w:val="000000"/>
                <w:kern w:val="0"/>
                <w:sz w:val="21"/>
                <w:szCs w:val="21"/>
                <w:u w:val="none"/>
                <w:lang w:val="en-US" w:eastAsia="zh-CN" w:bidi="ar"/>
              </w:rPr>
              <w:t>铝扣板集成吊顶</w:t>
            </w:r>
          </w:p>
        </w:tc>
        <w:tc>
          <w:tcPr>
            <w:tcW w:w="1139" w:type="dxa"/>
            <w:noWrap/>
            <w:vAlign w:val="center"/>
          </w:tcPr>
          <w:p w14:paraId="18A4B15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val="0"/>
                <w:bCs/>
                <w:sz w:val="21"/>
                <w:szCs w:val="21"/>
                <w:lang w:val="en-US" w:eastAsia="zh-CN"/>
              </w:rPr>
              <w:t>建筑业</w:t>
            </w:r>
          </w:p>
        </w:tc>
      </w:tr>
      <w:tr w14:paraId="708F9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86" w:type="dxa"/>
            <w:noWrap/>
            <w:vAlign w:val="center"/>
          </w:tcPr>
          <w:p w14:paraId="5D3BAADD">
            <w:pPr>
              <w:keepNext w:val="0"/>
              <w:keepLines/>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10</w:t>
            </w:r>
          </w:p>
        </w:tc>
        <w:tc>
          <w:tcPr>
            <w:tcW w:w="1566" w:type="dxa"/>
            <w:gridSpan w:val="2"/>
            <w:noWrap/>
            <w:vAlign w:val="center"/>
          </w:tcPr>
          <w:p w14:paraId="46E2E09E">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方通吊顶</w:t>
            </w:r>
          </w:p>
        </w:tc>
        <w:tc>
          <w:tcPr>
            <w:tcW w:w="631" w:type="dxa"/>
            <w:noWrap/>
            <w:vAlign w:val="center"/>
          </w:tcPr>
          <w:p w14:paraId="413478D1">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330</w:t>
            </w:r>
          </w:p>
        </w:tc>
        <w:tc>
          <w:tcPr>
            <w:tcW w:w="763" w:type="dxa"/>
            <w:noWrap/>
            <w:vAlign w:val="center"/>
          </w:tcPr>
          <w:p w14:paraId="420AEF2A">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平方</w:t>
            </w:r>
          </w:p>
        </w:tc>
        <w:tc>
          <w:tcPr>
            <w:tcW w:w="5108" w:type="dxa"/>
            <w:noWrap/>
            <w:vAlign w:val="center"/>
          </w:tcPr>
          <w:p w14:paraId="68A20AF3">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1、材质要求：优质铝合金基材，抗氧化、抗腐蚀，无变形、无杂质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2、配套要求：含全套安装辅材（龙骨、吊件、连接件、螺丝等）</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3、方通规格：常规款宽度 300mm（可定制）、高度 50mm（可定制），壁厚≥0.8mm，尺寸偏差≤±0.5mm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4、平直度：每米直线度偏差≤1mm，无弯曲、无翘边，拼接缝隙均匀≤1mm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5、龙骨配置：主龙骨为轻钢材质（壁厚≥1.0mm），副龙骨适配方通规格，承重稳定</w:t>
            </w:r>
          </w:p>
        </w:tc>
        <w:tc>
          <w:tcPr>
            <w:tcW w:w="1139" w:type="dxa"/>
            <w:noWrap/>
            <w:vAlign w:val="center"/>
          </w:tcPr>
          <w:p w14:paraId="6360054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val="0"/>
                <w:bCs/>
                <w:sz w:val="21"/>
                <w:szCs w:val="21"/>
                <w:lang w:val="en-US" w:eastAsia="zh-CN"/>
              </w:rPr>
              <w:t>建筑业</w:t>
            </w:r>
          </w:p>
        </w:tc>
      </w:tr>
      <w:tr w14:paraId="50119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86" w:type="dxa"/>
            <w:noWrap/>
            <w:vAlign w:val="center"/>
          </w:tcPr>
          <w:p w14:paraId="13C88774">
            <w:pPr>
              <w:keepNext w:val="0"/>
              <w:keepLines/>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11</w:t>
            </w:r>
          </w:p>
        </w:tc>
        <w:tc>
          <w:tcPr>
            <w:tcW w:w="1566" w:type="dxa"/>
            <w:gridSpan w:val="2"/>
            <w:noWrap/>
            <w:vAlign w:val="center"/>
          </w:tcPr>
          <w:p w14:paraId="33C2C4E7">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地面开挖地槽</w:t>
            </w:r>
          </w:p>
        </w:tc>
        <w:tc>
          <w:tcPr>
            <w:tcW w:w="631" w:type="dxa"/>
            <w:noWrap/>
            <w:vAlign w:val="center"/>
          </w:tcPr>
          <w:p w14:paraId="207DF67D">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37</w:t>
            </w:r>
          </w:p>
        </w:tc>
        <w:tc>
          <w:tcPr>
            <w:tcW w:w="763" w:type="dxa"/>
            <w:noWrap/>
            <w:vAlign w:val="center"/>
          </w:tcPr>
          <w:p w14:paraId="1F349BDB">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米</w:t>
            </w:r>
          </w:p>
        </w:tc>
        <w:tc>
          <w:tcPr>
            <w:tcW w:w="5108" w:type="dxa"/>
            <w:noWrap/>
            <w:vAlign w:val="center"/>
          </w:tcPr>
          <w:p w14:paraId="199E7FC0">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室内地面地槽开挖，宽度≥10cm、深度≥8cm</w:t>
            </w:r>
          </w:p>
        </w:tc>
        <w:tc>
          <w:tcPr>
            <w:tcW w:w="1139" w:type="dxa"/>
            <w:noWrap/>
            <w:vAlign w:val="center"/>
          </w:tcPr>
          <w:p w14:paraId="6504A4C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val="0"/>
                <w:bCs/>
                <w:sz w:val="21"/>
                <w:szCs w:val="21"/>
                <w:lang w:val="en-US" w:eastAsia="zh-CN"/>
              </w:rPr>
              <w:t>建筑业</w:t>
            </w:r>
          </w:p>
        </w:tc>
      </w:tr>
      <w:tr w14:paraId="5E2D5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86" w:type="dxa"/>
            <w:noWrap/>
            <w:vAlign w:val="center"/>
          </w:tcPr>
          <w:p w14:paraId="4B2319EB">
            <w:pPr>
              <w:keepNext w:val="0"/>
              <w:keepLines/>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12</w:t>
            </w:r>
          </w:p>
        </w:tc>
        <w:tc>
          <w:tcPr>
            <w:tcW w:w="1566" w:type="dxa"/>
            <w:gridSpan w:val="2"/>
            <w:noWrap/>
            <w:vAlign w:val="center"/>
          </w:tcPr>
          <w:p w14:paraId="668F7695">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不锈钢板</w:t>
            </w:r>
          </w:p>
        </w:tc>
        <w:tc>
          <w:tcPr>
            <w:tcW w:w="631" w:type="dxa"/>
            <w:noWrap/>
            <w:vAlign w:val="center"/>
          </w:tcPr>
          <w:p w14:paraId="7BC8E485">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37</w:t>
            </w:r>
          </w:p>
        </w:tc>
        <w:tc>
          <w:tcPr>
            <w:tcW w:w="763" w:type="dxa"/>
            <w:noWrap/>
            <w:vAlign w:val="center"/>
          </w:tcPr>
          <w:p w14:paraId="65F49669">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米</w:t>
            </w:r>
          </w:p>
        </w:tc>
        <w:tc>
          <w:tcPr>
            <w:tcW w:w="5108" w:type="dxa"/>
            <w:noWrap/>
            <w:vAlign w:val="center"/>
          </w:tcPr>
          <w:p w14:paraId="0B075E38">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冷轧不锈钢板，厚度规格：≥1.2mm（实际厚度偏差≤±0.05mm</w:t>
            </w:r>
          </w:p>
        </w:tc>
        <w:tc>
          <w:tcPr>
            <w:tcW w:w="1139" w:type="dxa"/>
            <w:noWrap/>
            <w:vAlign w:val="center"/>
          </w:tcPr>
          <w:p w14:paraId="145A034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val="0"/>
                <w:bCs/>
                <w:sz w:val="21"/>
                <w:szCs w:val="21"/>
                <w:lang w:val="en-US" w:eastAsia="zh-CN"/>
              </w:rPr>
              <w:t>建筑业</w:t>
            </w:r>
          </w:p>
        </w:tc>
      </w:tr>
      <w:tr w14:paraId="4FA21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86" w:type="dxa"/>
            <w:noWrap/>
            <w:vAlign w:val="center"/>
          </w:tcPr>
          <w:p w14:paraId="0C70940A">
            <w:pPr>
              <w:keepNext w:val="0"/>
              <w:keepLines/>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13</w:t>
            </w:r>
          </w:p>
        </w:tc>
        <w:tc>
          <w:tcPr>
            <w:tcW w:w="1566" w:type="dxa"/>
            <w:gridSpan w:val="2"/>
            <w:noWrap/>
            <w:vAlign w:val="center"/>
          </w:tcPr>
          <w:p w14:paraId="0C619547">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直播间网络布线</w:t>
            </w:r>
          </w:p>
        </w:tc>
        <w:tc>
          <w:tcPr>
            <w:tcW w:w="631" w:type="dxa"/>
            <w:noWrap/>
            <w:vAlign w:val="center"/>
          </w:tcPr>
          <w:p w14:paraId="7BA46B5F">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4</w:t>
            </w:r>
          </w:p>
        </w:tc>
        <w:tc>
          <w:tcPr>
            <w:tcW w:w="763" w:type="dxa"/>
            <w:noWrap/>
            <w:vAlign w:val="center"/>
          </w:tcPr>
          <w:p w14:paraId="222EA99A">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间</w:t>
            </w:r>
          </w:p>
        </w:tc>
        <w:tc>
          <w:tcPr>
            <w:tcW w:w="5108" w:type="dxa"/>
            <w:noWrap/>
            <w:vAlign w:val="center"/>
          </w:tcPr>
          <w:p w14:paraId="79DC3C7C">
            <w:pPr>
              <w:keepNext w:val="0"/>
              <w:keepLines w:val="0"/>
              <w:widowControl/>
              <w:suppressLineNumbers w:val="0"/>
              <w:jc w:val="both"/>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直播间的电源及网络布线</w:t>
            </w:r>
          </w:p>
        </w:tc>
        <w:tc>
          <w:tcPr>
            <w:tcW w:w="1139" w:type="dxa"/>
            <w:noWrap/>
            <w:vAlign w:val="center"/>
          </w:tcPr>
          <w:p w14:paraId="1DA803B7">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val="0"/>
                <w:bCs/>
                <w:sz w:val="21"/>
                <w:szCs w:val="21"/>
                <w:lang w:val="en-US" w:eastAsia="zh-CN"/>
              </w:rPr>
              <w:t>建筑业</w:t>
            </w:r>
          </w:p>
        </w:tc>
      </w:tr>
      <w:tr w14:paraId="3387D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86" w:type="dxa"/>
            <w:noWrap/>
            <w:vAlign w:val="center"/>
          </w:tcPr>
          <w:p w14:paraId="076754E4">
            <w:pPr>
              <w:keepNext w:val="0"/>
              <w:keepLines/>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14</w:t>
            </w:r>
          </w:p>
        </w:tc>
        <w:tc>
          <w:tcPr>
            <w:tcW w:w="1566" w:type="dxa"/>
            <w:gridSpan w:val="2"/>
            <w:noWrap/>
            <w:vAlign w:val="center"/>
          </w:tcPr>
          <w:p w14:paraId="3A6E9508">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刮腻子及上乳胶漆</w:t>
            </w:r>
          </w:p>
        </w:tc>
        <w:tc>
          <w:tcPr>
            <w:tcW w:w="631" w:type="dxa"/>
            <w:noWrap/>
            <w:vAlign w:val="center"/>
          </w:tcPr>
          <w:p w14:paraId="3D010393">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240</w:t>
            </w:r>
          </w:p>
        </w:tc>
        <w:tc>
          <w:tcPr>
            <w:tcW w:w="763" w:type="dxa"/>
            <w:noWrap/>
            <w:vAlign w:val="center"/>
          </w:tcPr>
          <w:p w14:paraId="23DCAB2D">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平方</w:t>
            </w:r>
          </w:p>
        </w:tc>
        <w:tc>
          <w:tcPr>
            <w:tcW w:w="5108" w:type="dxa"/>
            <w:noWrap/>
            <w:vAlign w:val="center"/>
          </w:tcPr>
          <w:p w14:paraId="61D2D2CD">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1、腻子粉</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类型：内墙耐水腻子粉，符合 GB/T 23455 标准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性能：粘结强度≥0.5MPa，耐水耐潮，无粉化、无开裂，环保等级 E0 级，无异味</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配套：含专用腻子胶粉，搅拌后施工，批刮顺滑，易打磨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2、乳胶漆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类型：内墙哑光乳胶漆（可按需指定颜色），符合 GB 18582 环保标准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性能：遮盖力≥240g/㎡，耐擦洗≥5000 次，附着力强，不易掉粉、泛黄，色彩均匀无色差</w:t>
            </w:r>
          </w:p>
        </w:tc>
        <w:tc>
          <w:tcPr>
            <w:tcW w:w="1139" w:type="dxa"/>
            <w:noWrap/>
            <w:vAlign w:val="center"/>
          </w:tcPr>
          <w:p w14:paraId="1BF98A1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val="0"/>
                <w:bCs/>
                <w:sz w:val="21"/>
                <w:szCs w:val="21"/>
                <w:lang w:val="en-US" w:eastAsia="zh-CN"/>
              </w:rPr>
              <w:t>建筑业</w:t>
            </w:r>
          </w:p>
        </w:tc>
      </w:tr>
      <w:tr w14:paraId="1B9BA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86" w:type="dxa"/>
            <w:noWrap/>
            <w:vAlign w:val="center"/>
          </w:tcPr>
          <w:p w14:paraId="7680E151">
            <w:pPr>
              <w:keepNext w:val="0"/>
              <w:keepLines/>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15</w:t>
            </w:r>
          </w:p>
        </w:tc>
        <w:tc>
          <w:tcPr>
            <w:tcW w:w="1566" w:type="dxa"/>
            <w:gridSpan w:val="2"/>
            <w:noWrap/>
            <w:vAlign w:val="center"/>
          </w:tcPr>
          <w:p w14:paraId="439789FF">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玻璃门</w:t>
            </w:r>
          </w:p>
        </w:tc>
        <w:tc>
          <w:tcPr>
            <w:tcW w:w="631" w:type="dxa"/>
            <w:noWrap/>
            <w:vAlign w:val="center"/>
          </w:tcPr>
          <w:p w14:paraId="2E872D01">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60</w:t>
            </w:r>
          </w:p>
        </w:tc>
        <w:tc>
          <w:tcPr>
            <w:tcW w:w="763" w:type="dxa"/>
            <w:noWrap/>
            <w:vAlign w:val="center"/>
          </w:tcPr>
          <w:p w14:paraId="7F496E86">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平方</w:t>
            </w:r>
          </w:p>
        </w:tc>
        <w:tc>
          <w:tcPr>
            <w:tcW w:w="5108" w:type="dxa"/>
            <w:noWrap/>
            <w:vAlign w:val="center"/>
          </w:tcPr>
          <w:p w14:paraId="20F92C1E">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6+12A+6 中空玻璃（双钢化中空），40×100mm铝合金边框</w:t>
            </w:r>
          </w:p>
        </w:tc>
        <w:tc>
          <w:tcPr>
            <w:tcW w:w="1139" w:type="dxa"/>
            <w:noWrap/>
            <w:vAlign w:val="center"/>
          </w:tcPr>
          <w:p w14:paraId="5E7832F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val="0"/>
                <w:bCs/>
                <w:sz w:val="21"/>
                <w:szCs w:val="21"/>
                <w:lang w:val="en-US" w:eastAsia="zh-CN"/>
              </w:rPr>
              <w:t>建筑业</w:t>
            </w:r>
          </w:p>
        </w:tc>
      </w:tr>
      <w:tr w14:paraId="5EAEB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86" w:type="dxa"/>
            <w:noWrap/>
            <w:vAlign w:val="center"/>
          </w:tcPr>
          <w:p w14:paraId="0C01E557">
            <w:pPr>
              <w:keepNext w:val="0"/>
              <w:keepLines/>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16</w:t>
            </w:r>
          </w:p>
        </w:tc>
        <w:tc>
          <w:tcPr>
            <w:tcW w:w="1566" w:type="dxa"/>
            <w:gridSpan w:val="2"/>
            <w:noWrap/>
            <w:vAlign w:val="center"/>
          </w:tcPr>
          <w:p w14:paraId="15714701">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电动门框架封板</w:t>
            </w:r>
          </w:p>
        </w:tc>
        <w:tc>
          <w:tcPr>
            <w:tcW w:w="631" w:type="dxa"/>
            <w:noWrap/>
            <w:vAlign w:val="center"/>
          </w:tcPr>
          <w:p w14:paraId="042D3797">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1</w:t>
            </w:r>
          </w:p>
        </w:tc>
        <w:tc>
          <w:tcPr>
            <w:tcW w:w="763" w:type="dxa"/>
            <w:noWrap/>
            <w:vAlign w:val="center"/>
          </w:tcPr>
          <w:p w14:paraId="0D443F35">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套</w:t>
            </w:r>
          </w:p>
        </w:tc>
        <w:tc>
          <w:tcPr>
            <w:tcW w:w="5108" w:type="dxa"/>
            <w:noWrap/>
            <w:vAlign w:val="center"/>
          </w:tcPr>
          <w:p w14:paraId="6CD54A97">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1、电动门框架封板≥13平方；</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2、门体采用钢化玻璃（厚度≥10mm）或铝合金框 + 玻璃，与整体装修风格统一，现场定制；</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3、直流无刷电机，运行平稳，噪音≤50dB；</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4、开门速度可调（0.3-0.6m/s），关门速度可调（0.2-0.5m/s）遇阻反弹功能，保障通行安全；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5、感应系统：微波/红外感应探头，感应距离可调（0.5-2m）支持手动/自动切换，断电时可手动推开，抗干扰能力强，无误触发、无延迟；</w:t>
            </w:r>
          </w:p>
        </w:tc>
        <w:tc>
          <w:tcPr>
            <w:tcW w:w="1139" w:type="dxa"/>
            <w:noWrap/>
            <w:vAlign w:val="center"/>
          </w:tcPr>
          <w:p w14:paraId="279B40D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val="0"/>
                <w:bCs/>
                <w:sz w:val="21"/>
                <w:szCs w:val="21"/>
                <w:lang w:val="en-US" w:eastAsia="zh-CN"/>
              </w:rPr>
              <w:t>建筑业</w:t>
            </w:r>
          </w:p>
        </w:tc>
      </w:tr>
      <w:tr w14:paraId="57B03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86" w:type="dxa"/>
            <w:noWrap/>
            <w:vAlign w:val="center"/>
          </w:tcPr>
          <w:p w14:paraId="58623DAD">
            <w:pPr>
              <w:keepNext w:val="0"/>
              <w:keepLines/>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17</w:t>
            </w:r>
          </w:p>
        </w:tc>
        <w:tc>
          <w:tcPr>
            <w:tcW w:w="1566" w:type="dxa"/>
            <w:gridSpan w:val="2"/>
            <w:noWrap/>
            <w:vAlign w:val="center"/>
          </w:tcPr>
          <w:p w14:paraId="6541315D">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楼梯底改机房隔墙（两面封板）</w:t>
            </w:r>
          </w:p>
        </w:tc>
        <w:tc>
          <w:tcPr>
            <w:tcW w:w="631" w:type="dxa"/>
            <w:noWrap/>
            <w:vAlign w:val="center"/>
          </w:tcPr>
          <w:p w14:paraId="2DFCF859">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15</w:t>
            </w:r>
          </w:p>
        </w:tc>
        <w:tc>
          <w:tcPr>
            <w:tcW w:w="763" w:type="dxa"/>
            <w:noWrap/>
            <w:vAlign w:val="center"/>
          </w:tcPr>
          <w:p w14:paraId="104CFD38">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平方</w:t>
            </w:r>
          </w:p>
        </w:tc>
        <w:tc>
          <w:tcPr>
            <w:tcW w:w="5108" w:type="dxa"/>
            <w:noWrap/>
            <w:vAlign w:val="center"/>
          </w:tcPr>
          <w:p w14:paraId="5EB8BC6D">
            <w:pPr>
              <w:keepNext w:val="0"/>
              <w:keepLines w:val="0"/>
              <w:widowControl/>
              <w:suppressLineNumbers w:val="0"/>
              <w:jc w:val="left"/>
              <w:textAlignment w:val="center"/>
              <w:rPr>
                <w:rFonts w:hint="eastAsia" w:ascii="仿宋" w:hAnsi="仿宋" w:eastAsia="仿宋" w:cs="仿宋"/>
                <w:color w:val="auto"/>
                <w:kern w:val="0"/>
                <w:sz w:val="21"/>
                <w:szCs w:val="21"/>
              </w:rPr>
            </w:pPr>
            <w:r>
              <w:rPr>
                <w:rFonts w:hint="eastAsia" w:ascii="仿宋" w:hAnsi="仿宋" w:eastAsia="仿宋" w:cs="仿宋"/>
                <w:i w:val="0"/>
                <w:iCs w:val="0"/>
                <w:color w:val="000000"/>
                <w:kern w:val="0"/>
                <w:sz w:val="21"/>
                <w:szCs w:val="21"/>
                <w:u w:val="none"/>
                <w:lang w:val="en-US" w:eastAsia="zh-CN" w:bidi="ar"/>
              </w:rPr>
              <w:t>1、双面采用≥9mm 厚阻燃埃特板 / 轻钢龙骨专用阻燃石膏板，防火等级≥B1 级，符合机房消防要求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2、辅材：板缝处贴专用防裂绷带，钉眼做防锈处理；所有与结构衔接处填充密封胶，做到防尘、隔音、防漏风</w:t>
            </w:r>
          </w:p>
        </w:tc>
        <w:tc>
          <w:tcPr>
            <w:tcW w:w="1139" w:type="dxa"/>
            <w:noWrap/>
            <w:vAlign w:val="center"/>
          </w:tcPr>
          <w:p w14:paraId="6D248D3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val="0"/>
                <w:bCs/>
                <w:sz w:val="21"/>
                <w:szCs w:val="21"/>
                <w:lang w:val="en-US" w:eastAsia="zh-CN"/>
              </w:rPr>
              <w:t>建筑业</w:t>
            </w:r>
          </w:p>
        </w:tc>
      </w:tr>
      <w:tr w14:paraId="1AA70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86" w:type="dxa"/>
            <w:noWrap/>
            <w:vAlign w:val="center"/>
          </w:tcPr>
          <w:p w14:paraId="5B1ED2EB">
            <w:pPr>
              <w:keepNext w:val="0"/>
              <w:keepLines/>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18</w:t>
            </w:r>
          </w:p>
        </w:tc>
        <w:tc>
          <w:tcPr>
            <w:tcW w:w="1566" w:type="dxa"/>
            <w:gridSpan w:val="2"/>
            <w:noWrap/>
            <w:vAlign w:val="center"/>
          </w:tcPr>
          <w:p w14:paraId="2E22F0AC">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门禁系统</w:t>
            </w:r>
          </w:p>
        </w:tc>
        <w:tc>
          <w:tcPr>
            <w:tcW w:w="631" w:type="dxa"/>
            <w:noWrap/>
            <w:vAlign w:val="center"/>
          </w:tcPr>
          <w:p w14:paraId="080FC63B">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1</w:t>
            </w:r>
          </w:p>
        </w:tc>
        <w:tc>
          <w:tcPr>
            <w:tcW w:w="763" w:type="dxa"/>
            <w:noWrap/>
            <w:vAlign w:val="center"/>
          </w:tcPr>
          <w:p w14:paraId="4FDC39F1">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套</w:t>
            </w:r>
          </w:p>
        </w:tc>
        <w:tc>
          <w:tcPr>
            <w:tcW w:w="5108" w:type="dxa"/>
            <w:noWrap/>
            <w:vAlign w:val="center"/>
          </w:tcPr>
          <w:p w14:paraId="1E1315D8">
            <w:pPr>
              <w:keepNext w:val="0"/>
              <w:keepLines w:val="0"/>
              <w:widowControl/>
              <w:suppressLineNumbers w:val="0"/>
              <w:jc w:val="left"/>
              <w:textAlignment w:val="center"/>
              <w:rPr>
                <w:rFonts w:hint="eastAsia" w:ascii="仿宋" w:hAnsi="仿宋" w:eastAsia="仿宋" w:cs="仿宋"/>
                <w:color w:val="auto"/>
                <w:kern w:val="0"/>
                <w:sz w:val="21"/>
                <w:szCs w:val="21"/>
              </w:rPr>
            </w:pPr>
            <w:r>
              <w:rPr>
                <w:rFonts w:hint="eastAsia" w:ascii="仿宋" w:hAnsi="仿宋" w:eastAsia="仿宋" w:cs="仿宋"/>
                <w:i w:val="0"/>
                <w:iCs w:val="0"/>
                <w:color w:val="000000"/>
                <w:kern w:val="0"/>
                <w:sz w:val="21"/>
                <w:szCs w:val="21"/>
                <w:u w:val="none"/>
                <w:lang w:val="en-US" w:eastAsia="zh-CN" w:bidi="ar"/>
              </w:rPr>
              <w:t>一、人脸识别门禁7台，参数要求：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1、系统配</w:t>
            </w:r>
            <w:r>
              <w:rPr>
                <w:rFonts w:hint="eastAsia" w:ascii="仿宋" w:hAnsi="仿宋" w:eastAsia="仿宋" w:cs="仿宋"/>
                <w:i w:val="0"/>
                <w:iCs w:val="0"/>
                <w:color w:val="auto"/>
                <w:kern w:val="0"/>
                <w:sz w:val="21"/>
                <w:szCs w:val="21"/>
                <w:u w:val="none"/>
                <w:lang w:val="en-US" w:eastAsia="zh-CN" w:bidi="ar"/>
              </w:rPr>
              <w:t>置不低于：</w:t>
            </w:r>
            <w:r>
              <w:rPr>
                <w:rFonts w:hint="eastAsia" w:ascii="仿宋" w:hAnsi="仿宋" w:eastAsia="仿宋" w:cs="仿宋"/>
                <w:i w:val="0"/>
                <w:iCs w:val="0"/>
                <w:color w:val="000000"/>
                <w:kern w:val="0"/>
                <w:sz w:val="21"/>
                <w:szCs w:val="21"/>
                <w:u w:val="none"/>
                <w:lang w:val="en-US" w:eastAsia="zh-CN" w:bidi="ar"/>
              </w:rPr>
              <w:t>CPU双核ARM处理器操作系统Linux，内存512MB，ROM4GB，显示屏5英寸IPS全视角LCD触摸屏，分辨率720*1280，摄像头双摄200万，支持星光宽动态，电源12V 1A</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2、刷卡：支持(TypeA/Type B非接触式IC13.65MHz)支持双向无线门铃，WIFI、网线</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3、3000张不支持指纹支持动态密码支持刷卡100000条，0.5-1.5米一次识别一人</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4、支持访客开门支持权限管理不防水</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二、门禁电源6个</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1、220V输入，足12V3A输出</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2、带延时调节功能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3、50W变压器，可提供足量电源</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4、可接常开、常闭各种电锁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三、磁力锁6个</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1、28OKG挂装磁力锁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2、开锁方式:通电上锁，断电开锁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3、电压:DC12V 工作电流:450mA 持续电流:300mA</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4、无残磁、防水、抗酸碱</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5、S280CA带信号反馈</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四、辅材</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出门开关，玻璃门夹等线材一批</w:t>
            </w:r>
          </w:p>
        </w:tc>
        <w:tc>
          <w:tcPr>
            <w:tcW w:w="1139" w:type="dxa"/>
            <w:noWrap/>
            <w:vAlign w:val="center"/>
          </w:tcPr>
          <w:p w14:paraId="1546EE6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val="0"/>
                <w:bCs/>
                <w:sz w:val="21"/>
                <w:szCs w:val="21"/>
                <w:lang w:val="en-US" w:eastAsia="zh-CN"/>
              </w:rPr>
              <w:t>建筑业</w:t>
            </w:r>
          </w:p>
        </w:tc>
      </w:tr>
      <w:tr w14:paraId="7759B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86" w:type="dxa"/>
            <w:noWrap/>
            <w:vAlign w:val="center"/>
          </w:tcPr>
          <w:p w14:paraId="523E3A20">
            <w:pPr>
              <w:keepNext w:val="0"/>
              <w:keepLines/>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19</w:t>
            </w:r>
          </w:p>
        </w:tc>
        <w:tc>
          <w:tcPr>
            <w:tcW w:w="1566" w:type="dxa"/>
            <w:gridSpan w:val="2"/>
            <w:noWrap/>
            <w:vAlign w:val="center"/>
          </w:tcPr>
          <w:p w14:paraId="0272DE61">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强电改造及系统集成部分</w:t>
            </w:r>
          </w:p>
        </w:tc>
        <w:tc>
          <w:tcPr>
            <w:tcW w:w="631" w:type="dxa"/>
            <w:noWrap/>
            <w:vAlign w:val="center"/>
          </w:tcPr>
          <w:p w14:paraId="5FB51947">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1</w:t>
            </w:r>
          </w:p>
        </w:tc>
        <w:tc>
          <w:tcPr>
            <w:tcW w:w="763" w:type="dxa"/>
            <w:noWrap/>
            <w:vAlign w:val="center"/>
          </w:tcPr>
          <w:p w14:paraId="622D91CC">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项</w:t>
            </w:r>
          </w:p>
        </w:tc>
        <w:tc>
          <w:tcPr>
            <w:tcW w:w="5108" w:type="dxa"/>
            <w:noWrap/>
            <w:vAlign w:val="center"/>
          </w:tcPr>
          <w:p w14:paraId="4E3B6681">
            <w:pPr>
              <w:keepNext w:val="0"/>
              <w:keepLines w:val="0"/>
              <w:widowControl/>
              <w:suppressLineNumbers w:val="0"/>
              <w:jc w:val="left"/>
              <w:textAlignment w:val="center"/>
              <w:rPr>
                <w:rFonts w:hint="eastAsia" w:ascii="仿宋" w:hAnsi="仿宋" w:eastAsia="仿宋" w:cs="仿宋"/>
                <w:color w:val="auto"/>
                <w:kern w:val="0"/>
                <w:sz w:val="21"/>
                <w:szCs w:val="21"/>
              </w:rPr>
            </w:pPr>
            <w:r>
              <w:rPr>
                <w:rFonts w:hint="eastAsia" w:ascii="仿宋" w:hAnsi="仿宋" w:eastAsia="仿宋" w:cs="仿宋"/>
                <w:i w:val="0"/>
                <w:iCs w:val="0"/>
                <w:color w:val="000000"/>
                <w:kern w:val="0"/>
                <w:sz w:val="21"/>
                <w:szCs w:val="21"/>
                <w:u w:val="none"/>
                <w:lang w:val="en-US" w:eastAsia="zh-CN" w:bidi="ar"/>
              </w:rPr>
              <w:t>包括项目用到的10平方铜芯电线，6平方电线及项目系统集成</w:t>
            </w:r>
          </w:p>
        </w:tc>
        <w:tc>
          <w:tcPr>
            <w:tcW w:w="1139" w:type="dxa"/>
            <w:noWrap/>
            <w:vAlign w:val="center"/>
          </w:tcPr>
          <w:p w14:paraId="6ED09D0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val="0"/>
                <w:bCs/>
                <w:sz w:val="21"/>
                <w:szCs w:val="21"/>
                <w:lang w:val="en-US" w:eastAsia="zh-CN"/>
              </w:rPr>
              <w:t>建筑业</w:t>
            </w:r>
          </w:p>
        </w:tc>
      </w:tr>
      <w:tr w14:paraId="5FC81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9793" w:type="dxa"/>
            <w:gridSpan w:val="7"/>
            <w:noWrap/>
            <w:vAlign w:val="center"/>
          </w:tcPr>
          <w:p w14:paraId="4F5ABD6D">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二、实训直播间设备</w:t>
            </w:r>
          </w:p>
        </w:tc>
      </w:tr>
      <w:tr w14:paraId="3C4BB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86" w:type="dxa"/>
            <w:noWrap/>
            <w:vAlign w:val="center"/>
          </w:tcPr>
          <w:p w14:paraId="4BE7E455">
            <w:pPr>
              <w:keepNext w:val="0"/>
              <w:keepLines/>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w:t>
            </w:r>
          </w:p>
        </w:tc>
        <w:tc>
          <w:tcPr>
            <w:tcW w:w="1566" w:type="dxa"/>
            <w:gridSpan w:val="2"/>
            <w:noWrap/>
            <w:vAlign w:val="center"/>
          </w:tcPr>
          <w:p w14:paraId="5118981A">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直播降噪麦克风</w:t>
            </w:r>
          </w:p>
        </w:tc>
        <w:tc>
          <w:tcPr>
            <w:tcW w:w="631" w:type="dxa"/>
            <w:noWrap/>
            <w:vAlign w:val="center"/>
          </w:tcPr>
          <w:p w14:paraId="037C9784">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5</w:t>
            </w:r>
          </w:p>
        </w:tc>
        <w:tc>
          <w:tcPr>
            <w:tcW w:w="763" w:type="dxa"/>
            <w:noWrap/>
            <w:vAlign w:val="center"/>
          </w:tcPr>
          <w:p w14:paraId="44C4F5DF">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块</w:t>
            </w:r>
          </w:p>
        </w:tc>
        <w:tc>
          <w:tcPr>
            <w:tcW w:w="5108" w:type="dxa"/>
            <w:noWrap/>
            <w:vAlign w:val="center"/>
          </w:tcPr>
          <w:p w14:paraId="22DD8E05">
            <w:pPr>
              <w:keepNext w:val="0"/>
              <w:keepLines w:val="0"/>
              <w:widowControl/>
              <w:suppressLineNumbers w:val="0"/>
              <w:jc w:val="left"/>
              <w:textAlignment w:val="center"/>
              <w:rPr>
                <w:rFonts w:hint="eastAsia" w:ascii="仿宋" w:hAnsi="仿宋" w:eastAsia="仿宋" w:cs="仿宋"/>
                <w:color w:val="auto"/>
                <w:kern w:val="0"/>
                <w:sz w:val="21"/>
                <w:szCs w:val="21"/>
              </w:rPr>
            </w:pPr>
            <w:r>
              <w:rPr>
                <w:rFonts w:hint="eastAsia" w:ascii="仿宋" w:hAnsi="仿宋" w:eastAsia="仿宋" w:cs="仿宋"/>
                <w:i w:val="0"/>
                <w:iCs w:val="0"/>
                <w:color w:val="000000"/>
                <w:kern w:val="0"/>
                <w:sz w:val="21"/>
                <w:szCs w:val="21"/>
                <w:u w:val="none"/>
                <w:lang w:val="en-US" w:eastAsia="zh-CN" w:bidi="ar"/>
              </w:rPr>
              <w:t>1、拾音模式：超心型指向</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2、频率响应：20Hz~20kHz</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3、灵敏度：-42dB±2dB</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4、信噪比：≥75dB</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5、最大声压级：≥120dB</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6、失真度：≤0.5%</w:t>
            </w:r>
          </w:p>
        </w:tc>
        <w:tc>
          <w:tcPr>
            <w:tcW w:w="1139" w:type="dxa"/>
            <w:noWrap/>
            <w:vAlign w:val="center"/>
          </w:tcPr>
          <w:p w14:paraId="4BDB8291">
            <w:pPr>
              <w:keepNext w:val="0"/>
              <w:keepLines w:val="0"/>
              <w:widowControl/>
              <w:suppressLineNumbers w:val="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工业</w:t>
            </w:r>
          </w:p>
        </w:tc>
      </w:tr>
      <w:tr w14:paraId="6D312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86" w:type="dxa"/>
            <w:noWrap/>
            <w:vAlign w:val="center"/>
          </w:tcPr>
          <w:p w14:paraId="232B1011">
            <w:pPr>
              <w:keepNext w:val="0"/>
              <w:keepLines/>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w:t>
            </w:r>
          </w:p>
        </w:tc>
        <w:tc>
          <w:tcPr>
            <w:tcW w:w="1566" w:type="dxa"/>
            <w:gridSpan w:val="2"/>
            <w:noWrap/>
            <w:vAlign w:val="center"/>
          </w:tcPr>
          <w:p w14:paraId="43D97B96">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4k直播摄像头</w:t>
            </w:r>
          </w:p>
        </w:tc>
        <w:tc>
          <w:tcPr>
            <w:tcW w:w="631" w:type="dxa"/>
            <w:noWrap/>
            <w:vAlign w:val="center"/>
          </w:tcPr>
          <w:p w14:paraId="53E18F5F">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5</w:t>
            </w:r>
          </w:p>
        </w:tc>
        <w:tc>
          <w:tcPr>
            <w:tcW w:w="763" w:type="dxa"/>
            <w:noWrap/>
            <w:vAlign w:val="center"/>
          </w:tcPr>
          <w:p w14:paraId="7B3AA7B3">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台</w:t>
            </w:r>
          </w:p>
        </w:tc>
        <w:tc>
          <w:tcPr>
            <w:tcW w:w="5108" w:type="dxa"/>
            <w:noWrap/>
            <w:vAlign w:val="center"/>
          </w:tcPr>
          <w:p w14:paraId="7685843D">
            <w:pPr>
              <w:keepNext w:val="0"/>
              <w:keepLines w:val="0"/>
              <w:widowControl/>
              <w:suppressLineNumbers w:val="0"/>
              <w:jc w:val="left"/>
              <w:textAlignment w:val="center"/>
              <w:rPr>
                <w:rFonts w:hint="eastAsia" w:ascii="仿宋" w:hAnsi="仿宋" w:eastAsia="仿宋" w:cs="仿宋"/>
                <w:color w:val="auto"/>
                <w:kern w:val="0"/>
                <w:sz w:val="21"/>
                <w:szCs w:val="21"/>
              </w:rPr>
            </w:pPr>
            <w:r>
              <w:rPr>
                <w:rFonts w:hint="eastAsia" w:ascii="仿宋" w:hAnsi="仿宋" w:eastAsia="仿宋" w:cs="仿宋"/>
                <w:i w:val="0"/>
                <w:iCs w:val="0"/>
                <w:color w:val="000000"/>
                <w:kern w:val="0"/>
                <w:sz w:val="21"/>
                <w:szCs w:val="21"/>
                <w:u w:val="none"/>
                <w:lang w:val="en-US" w:eastAsia="zh-CN" w:bidi="ar"/>
              </w:rPr>
              <w:t>1、分辨率：支持4K 超清（3840×2160） 主分辨率，向下兼容 2K/1080P/720P，画质输出细腻，色彩还原度≥95%，无偏色、拖影</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2、图像传感器：搭载 1/2.8 英寸高精度 CMOS 背照式图像传感器，有效像素≥800 万，感光灵敏度高，低光环境下画面无噪点</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3、帧速率：4K 分辨率下帧速≥30FPS，1080P 分辨率下帧速≥60FPS，直播画面流畅无卡顿，音画同步无延迟</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4、对焦功能：配备智能自动对焦，对焦响应时间≤0.5 秒，对焦范围 5cm 至无限远，移动拍摄时快速追焦，避免画面虚焦</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5、镜头参数：高清镀膜镜头，无畸变，水平视场角≥90°，支持画面视角微调，适配单人 / 双人直播场景</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6、画质优化：内置自动噪点修复、白平衡调节功能，支持手动调节亮度 / 对比度 / 饱和度，适配不同直播光线环境</w:t>
            </w:r>
          </w:p>
        </w:tc>
        <w:tc>
          <w:tcPr>
            <w:tcW w:w="1139" w:type="dxa"/>
            <w:noWrap/>
            <w:vAlign w:val="center"/>
          </w:tcPr>
          <w:p w14:paraId="0C21C07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工业</w:t>
            </w:r>
          </w:p>
        </w:tc>
      </w:tr>
      <w:tr w14:paraId="07DEB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86" w:type="dxa"/>
            <w:noWrap/>
            <w:vAlign w:val="center"/>
          </w:tcPr>
          <w:p w14:paraId="26FA4FC7">
            <w:pPr>
              <w:keepNext w:val="0"/>
              <w:keepLines/>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w:t>
            </w:r>
          </w:p>
        </w:tc>
        <w:tc>
          <w:tcPr>
            <w:tcW w:w="1566" w:type="dxa"/>
            <w:gridSpan w:val="2"/>
            <w:noWrap/>
            <w:vAlign w:val="center"/>
          </w:tcPr>
          <w:p w14:paraId="3A226AD0">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直播柔光灯</w:t>
            </w:r>
          </w:p>
        </w:tc>
        <w:tc>
          <w:tcPr>
            <w:tcW w:w="631" w:type="dxa"/>
            <w:noWrap/>
            <w:vAlign w:val="center"/>
          </w:tcPr>
          <w:p w14:paraId="1B2C8A54">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5</w:t>
            </w:r>
          </w:p>
        </w:tc>
        <w:tc>
          <w:tcPr>
            <w:tcW w:w="763" w:type="dxa"/>
            <w:noWrap/>
            <w:vAlign w:val="center"/>
          </w:tcPr>
          <w:p w14:paraId="6D1DA9C7">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只</w:t>
            </w:r>
          </w:p>
        </w:tc>
        <w:tc>
          <w:tcPr>
            <w:tcW w:w="5108" w:type="dxa"/>
            <w:noWrap/>
            <w:vAlign w:val="center"/>
          </w:tcPr>
          <w:p w14:paraId="6B9BF5D1">
            <w:pPr>
              <w:keepNext w:val="0"/>
              <w:keepLines w:val="0"/>
              <w:widowControl/>
              <w:suppressLineNumbers w:val="0"/>
              <w:jc w:val="left"/>
              <w:textAlignment w:val="center"/>
              <w:rPr>
                <w:rFonts w:hint="eastAsia" w:ascii="仿宋" w:hAnsi="仿宋" w:eastAsia="仿宋" w:cs="仿宋"/>
                <w:color w:val="auto"/>
                <w:kern w:val="0"/>
                <w:sz w:val="21"/>
                <w:szCs w:val="21"/>
              </w:rPr>
            </w:pPr>
            <w:r>
              <w:rPr>
                <w:rFonts w:hint="eastAsia" w:ascii="仿宋" w:hAnsi="仿宋" w:eastAsia="仿宋" w:cs="仿宋"/>
                <w:i w:val="0"/>
                <w:iCs w:val="0"/>
                <w:color w:val="000000"/>
                <w:kern w:val="0"/>
                <w:sz w:val="21"/>
                <w:szCs w:val="21"/>
                <w:u w:val="none"/>
                <w:lang w:val="en-US" w:eastAsia="zh-CN" w:bidi="ar"/>
              </w:rPr>
              <w:t>1、显色指数：CRI≥95，TLCI≥95</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2、色温调节：支持冷暖双色温无极调节，调节范围3200K（暖光）~6500K（冷光），可精准定位自然光（5500K）、暖白光等模式，适配不同直播布光需求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3、亮度调节：0~100% 无极调光，无档位跳变，最低亮度无频闪，最高亮度满足 3-5㎡直播间核心布光需求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4、发光角度：≥120°广角发光（平板灯）/360° 环形发光（环形灯），柔光覆盖无死角，人物面部打光均匀，无硬阴影、高光过曝</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5、照度指标：距离 1 米处中心照度≥1500Lux，距离 2 米处中心照度≥800Lux（最高亮度下），照度稳定无衰减</w:t>
            </w:r>
          </w:p>
        </w:tc>
        <w:tc>
          <w:tcPr>
            <w:tcW w:w="1139" w:type="dxa"/>
            <w:noWrap/>
            <w:vAlign w:val="center"/>
          </w:tcPr>
          <w:p w14:paraId="6C9E62B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工业</w:t>
            </w:r>
          </w:p>
        </w:tc>
      </w:tr>
      <w:tr w14:paraId="6898D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86" w:type="dxa"/>
            <w:noWrap/>
            <w:vAlign w:val="center"/>
          </w:tcPr>
          <w:p w14:paraId="00592F28">
            <w:pPr>
              <w:keepNext w:val="0"/>
              <w:keepLines/>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w:t>
            </w:r>
          </w:p>
        </w:tc>
        <w:tc>
          <w:tcPr>
            <w:tcW w:w="1566" w:type="dxa"/>
            <w:gridSpan w:val="2"/>
            <w:noWrap/>
            <w:vAlign w:val="center"/>
          </w:tcPr>
          <w:p w14:paraId="60C27835">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夹式床头手机支架</w:t>
            </w:r>
          </w:p>
        </w:tc>
        <w:tc>
          <w:tcPr>
            <w:tcW w:w="631" w:type="dxa"/>
            <w:noWrap/>
            <w:vAlign w:val="center"/>
          </w:tcPr>
          <w:p w14:paraId="5FA51075">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5</w:t>
            </w:r>
          </w:p>
        </w:tc>
        <w:tc>
          <w:tcPr>
            <w:tcW w:w="763" w:type="dxa"/>
            <w:noWrap/>
            <w:vAlign w:val="center"/>
          </w:tcPr>
          <w:p w14:paraId="6D272C47">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个</w:t>
            </w:r>
          </w:p>
        </w:tc>
        <w:tc>
          <w:tcPr>
            <w:tcW w:w="5108" w:type="dxa"/>
            <w:noWrap/>
            <w:vAlign w:val="center"/>
          </w:tcPr>
          <w:p w14:paraId="0943C0D0">
            <w:pPr>
              <w:keepNext w:val="0"/>
              <w:keepLines w:val="0"/>
              <w:widowControl/>
              <w:suppressLineNumbers w:val="0"/>
              <w:jc w:val="left"/>
              <w:textAlignment w:val="center"/>
              <w:rPr>
                <w:rFonts w:hint="eastAsia" w:ascii="仿宋" w:hAnsi="仿宋" w:eastAsia="仿宋" w:cs="仿宋"/>
                <w:color w:val="auto"/>
                <w:kern w:val="0"/>
                <w:sz w:val="21"/>
                <w:szCs w:val="21"/>
              </w:rPr>
            </w:pPr>
            <w:r>
              <w:rPr>
                <w:rFonts w:hint="eastAsia" w:ascii="仿宋" w:hAnsi="仿宋" w:eastAsia="仿宋" w:cs="仿宋"/>
                <w:i w:val="0"/>
                <w:iCs w:val="0"/>
                <w:color w:val="000000"/>
                <w:kern w:val="0"/>
                <w:sz w:val="21"/>
                <w:szCs w:val="21"/>
                <w:u w:val="none"/>
                <w:lang w:val="en-US" w:eastAsia="zh-CN" w:bidi="ar"/>
              </w:rPr>
              <w:t xml:space="preserve">1、夹持底座：采用双弹簧强力夹口设计，夹持厚度0-12cm，夹口内侧全覆盖加厚硅胶垫，防滑防刮，夹持牢固不松动，倾倒角度≥45°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2、伸缩支架：采用多节可伸缩金属伸缩杆，伸缩长度30-100cm，伸缩杆节数≥3节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3、旋转调节：①手机夹支持360°水平旋转；②关节处支持180°俯仰调节+360°万向旋转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4、关节阻尼：所有调节关节采用高强度阻尼轴承，调节后可牢牢固定角度，无松动、无自动回位，承重后角度偏差≤5°，使用寿命≥5000 次调节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5、手机夹设计：手机夹内侧带硅胶防滑条 + 侧边防撞垫，夹持手机无晃动、不压屏、不刮伤边框；夹口带弹性开合设计，取放手机便捷，夹持后手机无位移</w:t>
            </w:r>
          </w:p>
        </w:tc>
        <w:tc>
          <w:tcPr>
            <w:tcW w:w="1139" w:type="dxa"/>
            <w:noWrap/>
            <w:vAlign w:val="center"/>
          </w:tcPr>
          <w:p w14:paraId="3180CEE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工业</w:t>
            </w:r>
          </w:p>
        </w:tc>
      </w:tr>
      <w:tr w14:paraId="033D8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86" w:type="dxa"/>
            <w:noWrap/>
            <w:vAlign w:val="center"/>
          </w:tcPr>
          <w:p w14:paraId="14A50084">
            <w:pPr>
              <w:keepNext w:val="0"/>
              <w:keepLines/>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w:t>
            </w:r>
          </w:p>
        </w:tc>
        <w:tc>
          <w:tcPr>
            <w:tcW w:w="1566" w:type="dxa"/>
            <w:gridSpan w:val="2"/>
            <w:noWrap/>
            <w:vAlign w:val="center"/>
          </w:tcPr>
          <w:p w14:paraId="6FF3FD67">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蓝牙音箱</w:t>
            </w:r>
          </w:p>
        </w:tc>
        <w:tc>
          <w:tcPr>
            <w:tcW w:w="631" w:type="dxa"/>
            <w:noWrap/>
            <w:vAlign w:val="center"/>
          </w:tcPr>
          <w:p w14:paraId="0C8335EF">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5</w:t>
            </w:r>
          </w:p>
        </w:tc>
        <w:tc>
          <w:tcPr>
            <w:tcW w:w="763" w:type="dxa"/>
            <w:noWrap/>
            <w:vAlign w:val="center"/>
          </w:tcPr>
          <w:p w14:paraId="6235C759">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个</w:t>
            </w:r>
          </w:p>
        </w:tc>
        <w:tc>
          <w:tcPr>
            <w:tcW w:w="5108" w:type="dxa"/>
            <w:noWrap/>
            <w:vAlign w:val="center"/>
          </w:tcPr>
          <w:p w14:paraId="5366437F">
            <w:pPr>
              <w:keepNext w:val="0"/>
              <w:keepLines w:val="0"/>
              <w:widowControl/>
              <w:suppressLineNumbers w:val="0"/>
              <w:jc w:val="left"/>
              <w:textAlignment w:val="center"/>
              <w:rPr>
                <w:rFonts w:hint="eastAsia" w:ascii="仿宋" w:hAnsi="仿宋" w:eastAsia="仿宋" w:cs="仿宋"/>
                <w:color w:val="auto"/>
                <w:kern w:val="0"/>
                <w:sz w:val="21"/>
                <w:szCs w:val="21"/>
              </w:rPr>
            </w:pPr>
            <w:r>
              <w:rPr>
                <w:rFonts w:hint="eastAsia" w:ascii="仿宋" w:hAnsi="仿宋" w:eastAsia="仿宋" w:cs="仿宋"/>
                <w:i w:val="0"/>
                <w:iCs w:val="0"/>
                <w:color w:val="000000"/>
                <w:kern w:val="0"/>
                <w:sz w:val="21"/>
                <w:szCs w:val="21"/>
                <w:u w:val="none"/>
                <w:lang w:val="en-US" w:eastAsia="zh-CN" w:bidi="ar"/>
              </w:rPr>
              <w:t>1、发声单元：采用四单元立体发声系统，2 个 52mm 全频扬声器 + 2 个低音振膜，双声道环绕立体声，实现三频均衡输出，人声清晰、低音浑厚</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2、额定功率：5W×2，总额定功率≥10W，输出音量满足 10-20㎡空间听音需求，无失真、无破音</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3、频率响应：100Hz~18kHz，低频下潜深、高频通透，适配直播背景音、音乐播放、影视音效等多种音频场景</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4、声场设计：53° 仰角发声设计，声音向上投射，打造更广阔声场，避免桌面声音遮挡，听音覆盖范围更广</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5、无线连接：搭载蓝牙 5.3芯片，连接距离空旷环境≥10 米，低延迟（延迟≤80ms）、抗干扰强</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6、有线连接：标配 USB Type-C 一线通接口，充电 + 音频传输一体化，无需额外音频线，即插即用免驱动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7、有线供电：DC 5V/1A USB 供电，适配电脑、充电宝、插座适配器等主流供电设备</w:t>
            </w:r>
          </w:p>
        </w:tc>
        <w:tc>
          <w:tcPr>
            <w:tcW w:w="1139" w:type="dxa"/>
            <w:noWrap/>
            <w:vAlign w:val="center"/>
          </w:tcPr>
          <w:p w14:paraId="764B609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工业</w:t>
            </w:r>
          </w:p>
        </w:tc>
      </w:tr>
      <w:tr w14:paraId="087AE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86" w:type="dxa"/>
            <w:noWrap/>
            <w:vAlign w:val="center"/>
          </w:tcPr>
          <w:p w14:paraId="670095D5">
            <w:pPr>
              <w:keepNext w:val="0"/>
              <w:keepLines/>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6</w:t>
            </w:r>
          </w:p>
        </w:tc>
        <w:tc>
          <w:tcPr>
            <w:tcW w:w="1566" w:type="dxa"/>
            <w:gridSpan w:val="2"/>
            <w:noWrap/>
            <w:vAlign w:val="center"/>
          </w:tcPr>
          <w:p w14:paraId="60BB7603">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直播手机</w:t>
            </w:r>
          </w:p>
        </w:tc>
        <w:tc>
          <w:tcPr>
            <w:tcW w:w="631" w:type="dxa"/>
            <w:noWrap/>
            <w:vAlign w:val="center"/>
          </w:tcPr>
          <w:p w14:paraId="2379A622">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4</w:t>
            </w:r>
          </w:p>
        </w:tc>
        <w:tc>
          <w:tcPr>
            <w:tcW w:w="763" w:type="dxa"/>
            <w:noWrap/>
            <w:vAlign w:val="center"/>
          </w:tcPr>
          <w:p w14:paraId="19401319">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台</w:t>
            </w:r>
          </w:p>
        </w:tc>
        <w:tc>
          <w:tcPr>
            <w:tcW w:w="5108" w:type="dxa"/>
            <w:noWrap/>
            <w:vAlign w:val="center"/>
          </w:tcPr>
          <w:p w14:paraId="08A022A2">
            <w:pPr>
              <w:keepNext w:val="0"/>
              <w:keepLines w:val="0"/>
              <w:widowControl/>
              <w:suppressLineNumbers w:val="0"/>
              <w:jc w:val="left"/>
              <w:textAlignment w:val="center"/>
              <w:rPr>
                <w:rFonts w:hint="eastAsia" w:ascii="仿宋" w:hAnsi="仿宋" w:eastAsia="仿宋" w:cs="仿宋"/>
                <w:color w:val="auto"/>
                <w:kern w:val="0"/>
                <w:sz w:val="21"/>
                <w:szCs w:val="21"/>
              </w:rPr>
            </w:pPr>
            <w:r>
              <w:rPr>
                <w:rFonts w:hint="eastAsia" w:ascii="仿宋" w:hAnsi="仿宋" w:eastAsia="仿宋" w:cs="仿宋"/>
                <w:i w:val="0"/>
                <w:iCs w:val="0"/>
                <w:color w:val="000000"/>
                <w:kern w:val="0"/>
                <w:sz w:val="21"/>
                <w:szCs w:val="21"/>
                <w:u w:val="none"/>
                <w:lang w:val="en-US" w:eastAsia="zh-CN" w:bidi="ar"/>
              </w:rPr>
              <w:t>1、屏幕规格：≥6.1 英寸</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2、分辨率与像素密度：≥2532×1170 像素（1080P 高清），≥460ppi，显示细腻无颗粒感</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3、屏幕性能：对比度 ≥2000000:1，≥800 尼特典型亮度，≥1200 尼特 HDR 峰值亮度</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4、刷新率：≥60Hz，触控响应灵敏，无拖影，适配直播画面操作、视频播放</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5、后置摄像头：≥1200万像素主摄+1200万像素超广角，蓝宝石玻璃镜头表面，耐磨抗刮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6、前置原深感摄像头≥1200万像素，ƒ/2.2光圈，视网膜屏闪光灯</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7、存储配置：运行内存4GB+机身存储128GB</w:t>
            </w:r>
          </w:p>
        </w:tc>
        <w:tc>
          <w:tcPr>
            <w:tcW w:w="1139" w:type="dxa"/>
            <w:noWrap/>
            <w:vAlign w:val="center"/>
          </w:tcPr>
          <w:p w14:paraId="3DB403B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工业</w:t>
            </w:r>
          </w:p>
        </w:tc>
      </w:tr>
      <w:tr w14:paraId="698F2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86" w:type="dxa"/>
            <w:noWrap/>
            <w:vAlign w:val="center"/>
          </w:tcPr>
          <w:p w14:paraId="0FDE2981">
            <w:pPr>
              <w:keepNext w:val="0"/>
              <w:keepLines/>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7</w:t>
            </w:r>
          </w:p>
        </w:tc>
        <w:tc>
          <w:tcPr>
            <w:tcW w:w="1566" w:type="dxa"/>
            <w:gridSpan w:val="2"/>
            <w:noWrap/>
            <w:vAlign w:val="center"/>
          </w:tcPr>
          <w:p w14:paraId="2E2BB974">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直播间绿幕</w:t>
            </w:r>
          </w:p>
        </w:tc>
        <w:tc>
          <w:tcPr>
            <w:tcW w:w="631" w:type="dxa"/>
            <w:noWrap/>
            <w:vAlign w:val="center"/>
          </w:tcPr>
          <w:p w14:paraId="778ED6B6">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6</w:t>
            </w:r>
          </w:p>
        </w:tc>
        <w:tc>
          <w:tcPr>
            <w:tcW w:w="763" w:type="dxa"/>
            <w:noWrap/>
            <w:vAlign w:val="center"/>
          </w:tcPr>
          <w:p w14:paraId="6A00B822">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套</w:t>
            </w:r>
          </w:p>
        </w:tc>
        <w:tc>
          <w:tcPr>
            <w:tcW w:w="5108" w:type="dxa"/>
            <w:noWrap/>
            <w:vAlign w:val="center"/>
          </w:tcPr>
          <w:p w14:paraId="2212A3EF">
            <w:pPr>
              <w:keepNext w:val="0"/>
              <w:keepLines w:val="0"/>
              <w:widowControl/>
              <w:suppressLineNumbers w:val="0"/>
              <w:jc w:val="left"/>
              <w:textAlignment w:val="center"/>
              <w:rPr>
                <w:rFonts w:hint="eastAsia" w:ascii="仿宋" w:hAnsi="仿宋" w:eastAsia="仿宋" w:cs="仿宋"/>
                <w:color w:val="auto"/>
                <w:kern w:val="0"/>
                <w:sz w:val="21"/>
                <w:szCs w:val="21"/>
              </w:rPr>
            </w:pPr>
            <w:r>
              <w:rPr>
                <w:rFonts w:hint="eastAsia" w:ascii="仿宋" w:hAnsi="仿宋" w:eastAsia="仿宋" w:cs="仿宋"/>
                <w:i w:val="0"/>
                <w:iCs w:val="0"/>
                <w:color w:val="000000"/>
                <w:kern w:val="0"/>
                <w:sz w:val="21"/>
                <w:szCs w:val="21"/>
                <w:u w:val="none"/>
                <w:lang w:val="en-US" w:eastAsia="zh-CN" w:bidi="ar"/>
              </w:rPr>
              <w:t>一、绿幕规格</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1、标准尺寸：2 米（宽）×2 米（高），实际尺寸偏差≤±2cm，边角垂直无歪斜，可完全展开覆盖支架拍摄区域</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2、核心材质：高密加厚涤纶弹力布，克重≥280g/㎡，面料细腻无网格、无透光点，抗拉扯、不易起球</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二、三脚架规格</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1、伸缩尺寸：收缩后高度≤80cm，展开后标准高度 2 米、宽度 2 米，尺寸偏差≤±3cm，可微调高度（1.5-2米）/宽度（1.5-2 米），适配不同拍摄空间</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2、核心承重：整体承重≥8kg，绿布满挂 + 轻微拉扯无倾倒、无变形，支架底部放置稳定，无晃动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3、单杆规格：支架主杆为加厚金属管材，管径≥25mm，管壁厚度≥1.2mm，不易弯曲、无凹陷，支撑稳定性强</w:t>
            </w:r>
          </w:p>
        </w:tc>
        <w:tc>
          <w:tcPr>
            <w:tcW w:w="1139" w:type="dxa"/>
            <w:noWrap/>
            <w:vAlign w:val="center"/>
          </w:tcPr>
          <w:p w14:paraId="24764FA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工业</w:t>
            </w:r>
          </w:p>
        </w:tc>
      </w:tr>
      <w:tr w14:paraId="549BF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86" w:type="dxa"/>
            <w:noWrap/>
            <w:vAlign w:val="center"/>
          </w:tcPr>
          <w:p w14:paraId="6969745C">
            <w:pPr>
              <w:keepNext w:val="0"/>
              <w:keepLines/>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8</w:t>
            </w:r>
          </w:p>
        </w:tc>
        <w:tc>
          <w:tcPr>
            <w:tcW w:w="1566" w:type="dxa"/>
            <w:gridSpan w:val="2"/>
            <w:noWrap/>
            <w:vAlign w:val="center"/>
          </w:tcPr>
          <w:p w14:paraId="22E53B67">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接听设备</w:t>
            </w:r>
          </w:p>
        </w:tc>
        <w:tc>
          <w:tcPr>
            <w:tcW w:w="631" w:type="dxa"/>
            <w:noWrap/>
            <w:vAlign w:val="center"/>
          </w:tcPr>
          <w:p w14:paraId="67078FE4">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133</w:t>
            </w:r>
          </w:p>
        </w:tc>
        <w:tc>
          <w:tcPr>
            <w:tcW w:w="763" w:type="dxa"/>
            <w:noWrap/>
            <w:vAlign w:val="center"/>
          </w:tcPr>
          <w:p w14:paraId="02C18FA7">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套</w:t>
            </w:r>
          </w:p>
        </w:tc>
        <w:tc>
          <w:tcPr>
            <w:tcW w:w="5108" w:type="dxa"/>
            <w:noWrap/>
            <w:vAlign w:val="center"/>
          </w:tcPr>
          <w:p w14:paraId="7552A028">
            <w:pPr>
              <w:keepNext w:val="0"/>
              <w:keepLines w:val="0"/>
              <w:widowControl/>
              <w:suppressLineNumbers w:val="0"/>
              <w:jc w:val="left"/>
              <w:textAlignment w:val="center"/>
              <w:rPr>
                <w:rFonts w:hint="eastAsia" w:ascii="仿宋" w:hAnsi="仿宋" w:eastAsia="仿宋" w:cs="仿宋"/>
                <w:color w:val="auto"/>
                <w:kern w:val="0"/>
                <w:sz w:val="21"/>
                <w:szCs w:val="21"/>
              </w:rPr>
            </w:pPr>
            <w:r>
              <w:rPr>
                <w:rFonts w:hint="eastAsia" w:ascii="仿宋" w:hAnsi="仿宋" w:eastAsia="仿宋" w:cs="仿宋"/>
                <w:i w:val="0"/>
                <w:iCs w:val="0"/>
                <w:color w:val="000000"/>
                <w:kern w:val="0"/>
                <w:sz w:val="21"/>
                <w:szCs w:val="21"/>
                <w:u w:val="none"/>
                <w:lang w:val="en-US" w:eastAsia="zh-CN" w:bidi="ar"/>
              </w:rPr>
              <w:t>1、主流适配：3.5mm 双插头（音频+麦克风）</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2、线控配置：带调音+静音功能线控，线控模块集成音量调节滚轮 + 一键静音键，操作便捷，盲操作无压力</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3、线缆长度：≥2米，适配桌面、直播间等远距离使用场景，无空间限制</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4、降噪功能：支持自适应主动降噪，有效屏蔽环境噪音（键盘声、空调风、室内交谈声等），降噪后语音信噪比≥70dB，话务/直播沟通无背景杂音干扰</w:t>
            </w:r>
          </w:p>
        </w:tc>
        <w:tc>
          <w:tcPr>
            <w:tcW w:w="1139" w:type="dxa"/>
            <w:noWrap/>
            <w:vAlign w:val="center"/>
          </w:tcPr>
          <w:p w14:paraId="6504ECA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工业</w:t>
            </w:r>
          </w:p>
        </w:tc>
      </w:tr>
      <w:tr w14:paraId="504C9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86" w:type="dxa"/>
            <w:noWrap/>
            <w:vAlign w:val="center"/>
          </w:tcPr>
          <w:p w14:paraId="38B77B8C">
            <w:pPr>
              <w:keepNext w:val="0"/>
              <w:keepLines/>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9</w:t>
            </w:r>
          </w:p>
        </w:tc>
        <w:tc>
          <w:tcPr>
            <w:tcW w:w="1566" w:type="dxa"/>
            <w:gridSpan w:val="2"/>
            <w:noWrap/>
            <w:vAlign w:val="center"/>
          </w:tcPr>
          <w:p w14:paraId="43D0A2A9">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防火墙</w:t>
            </w:r>
          </w:p>
        </w:tc>
        <w:tc>
          <w:tcPr>
            <w:tcW w:w="631" w:type="dxa"/>
            <w:noWrap/>
            <w:vAlign w:val="center"/>
          </w:tcPr>
          <w:p w14:paraId="03B086B8">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1</w:t>
            </w:r>
          </w:p>
        </w:tc>
        <w:tc>
          <w:tcPr>
            <w:tcW w:w="763" w:type="dxa"/>
            <w:noWrap/>
            <w:vAlign w:val="center"/>
          </w:tcPr>
          <w:p w14:paraId="4B5B43E3">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套</w:t>
            </w:r>
          </w:p>
        </w:tc>
        <w:tc>
          <w:tcPr>
            <w:tcW w:w="5108" w:type="dxa"/>
            <w:noWrap/>
            <w:vAlign w:val="center"/>
          </w:tcPr>
          <w:p w14:paraId="6738C46D">
            <w:pPr>
              <w:keepNext w:val="0"/>
              <w:keepLines w:val="0"/>
              <w:widowControl/>
              <w:suppressLineNumbers w:val="0"/>
              <w:jc w:val="left"/>
              <w:textAlignment w:val="center"/>
              <w:rPr>
                <w:rFonts w:hint="eastAsia" w:ascii="仿宋" w:hAnsi="仿宋" w:eastAsia="仿宋" w:cs="仿宋"/>
                <w:color w:val="auto"/>
                <w:kern w:val="0"/>
                <w:sz w:val="21"/>
                <w:szCs w:val="21"/>
              </w:rPr>
            </w:pPr>
            <w:r>
              <w:rPr>
                <w:rFonts w:hint="eastAsia" w:ascii="仿宋" w:hAnsi="仿宋" w:eastAsia="仿宋" w:cs="仿宋"/>
                <w:color w:val="000000"/>
                <w:kern w:val="0"/>
                <w:sz w:val="21"/>
                <w:szCs w:val="21"/>
                <w:lang w:val="en-US" w:eastAsia="zh-CN"/>
              </w:rPr>
              <w:t>▲</w:t>
            </w:r>
            <w:r>
              <w:rPr>
                <w:rFonts w:hint="eastAsia" w:ascii="仿宋" w:hAnsi="仿宋" w:eastAsia="仿宋" w:cs="仿宋"/>
                <w:i w:val="0"/>
                <w:iCs w:val="0"/>
                <w:color w:val="000000"/>
                <w:kern w:val="0"/>
                <w:sz w:val="21"/>
                <w:szCs w:val="21"/>
                <w:u w:val="none"/>
                <w:lang w:val="en-US" w:eastAsia="zh-CN" w:bidi="ar"/>
              </w:rPr>
              <w:t>1、硬件架构：国产自研安全芯片，设备高度1U，支持可拔插交流电源模块≥2个，支持可插拔风扇模块≥1个；</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color w:val="000000"/>
                <w:kern w:val="0"/>
                <w:sz w:val="21"/>
                <w:szCs w:val="21"/>
                <w:lang w:val="en-US" w:eastAsia="zh-CN"/>
              </w:rPr>
              <w:t>▲</w:t>
            </w:r>
            <w:r>
              <w:rPr>
                <w:rFonts w:hint="eastAsia" w:ascii="仿宋" w:hAnsi="仿宋" w:eastAsia="仿宋" w:cs="仿宋"/>
                <w:i w:val="0"/>
                <w:iCs w:val="0"/>
                <w:color w:val="000000"/>
                <w:kern w:val="0"/>
                <w:sz w:val="21"/>
                <w:szCs w:val="21"/>
                <w:u w:val="none"/>
                <w:lang w:val="en-US" w:eastAsia="zh-CN" w:bidi="ar"/>
              </w:rPr>
              <w:t>2、性能要求：吞吐量≥2Gbps，最大并发连接数≥300万，每秒新建连接数≥7万，IPSec吞吐量≥2Gbps，IPS吞吐量≥1.5Gbps，IPSec VPN隧道≥4000；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color w:val="000000"/>
                <w:kern w:val="0"/>
                <w:sz w:val="21"/>
                <w:szCs w:val="21"/>
                <w:lang w:val="en-US" w:eastAsia="zh-CN"/>
              </w:rPr>
              <w:t>▲</w:t>
            </w:r>
            <w:r>
              <w:rPr>
                <w:rFonts w:hint="eastAsia" w:ascii="仿宋" w:hAnsi="仿宋" w:eastAsia="仿宋" w:cs="仿宋"/>
                <w:i w:val="0"/>
                <w:iCs w:val="0"/>
                <w:color w:val="000000"/>
                <w:kern w:val="0"/>
                <w:sz w:val="21"/>
                <w:szCs w:val="21"/>
                <w:u w:val="none"/>
                <w:lang w:val="en-US" w:eastAsia="zh-CN" w:bidi="ar"/>
              </w:rPr>
              <w:t>3、配置要求：千兆Combo接口≥8，万兆光口≥2，可插拔交流电源模块≥1个,可插拔风扇模块≥1个，SSL VPN并发数授权≥100个，虚拟防火墙数量≥50个；</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4、为适应机房部署规范，设备采用前后风道设计，提供设备图片证明；</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5、策略管控:能够基于时间、用户/用户组/安全组、应用层协议、地理位置、IP地址、端口、域名组、URL分类、接入类型、终端类型、设备组、内容安全统一界面进行安全策略配置；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6、策略管理：支持将基于端口的安全策略转换为基于应用的安全策略，分析设备策略风险，及冗余策略，提供安全策略优化建议；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入侵防御:基于特征检测，支持超过8000种特征的攻击检测和防御，支持对常见应用服务（HTTP、FTP、SSH、SMTP、IMAP）和数据库软件（MySQL、Oracle、MSSQL）的口令暴力破解防护功能，支持恶意域名过滤，实现对C&amp;C进行阻断。</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8、病毒防护：可以支持HTTP、FTP、SMTP、POP3、IMAP、NFS等协议的病毒防护；</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9、加密流量安全防护：支持对HTTPS、POP3S、SMTPS、IMAPS加密流量代理解密后，并进行内容过滤，审计，安全防护，支持加密流量解密后镜像给第三方设备做审计，安全检测；</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10、沙箱联动:支持与本地沙箱、云沙箱联动，实现对APT攻击的防御功能；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color w:val="000000"/>
                <w:kern w:val="0"/>
                <w:sz w:val="21"/>
                <w:szCs w:val="21"/>
                <w:lang w:val="en-US" w:eastAsia="zh-CN"/>
              </w:rPr>
              <w:t>▲</w:t>
            </w:r>
            <w:r>
              <w:rPr>
                <w:rFonts w:hint="eastAsia" w:ascii="仿宋" w:hAnsi="仿宋" w:eastAsia="仿宋" w:cs="仿宋"/>
                <w:i w:val="0"/>
                <w:iCs w:val="0"/>
                <w:color w:val="000000"/>
                <w:kern w:val="0"/>
                <w:sz w:val="21"/>
                <w:szCs w:val="21"/>
                <w:u w:val="none"/>
                <w:lang w:val="en-US" w:eastAsia="zh-CN" w:bidi="ar"/>
              </w:rPr>
              <w:t>11、智能威胁防御：支持网络安全智能分析系统联动，做态势感知，全网威胁展示，并能针对威胁生成阻断策略；</w:t>
            </w:r>
          </w:p>
        </w:tc>
        <w:tc>
          <w:tcPr>
            <w:tcW w:w="1139" w:type="dxa"/>
            <w:noWrap/>
            <w:vAlign w:val="center"/>
          </w:tcPr>
          <w:p w14:paraId="0A153E15">
            <w:pPr>
              <w:keepNext w:val="0"/>
              <w:keepLines w:val="0"/>
              <w:widowControl/>
              <w:suppressLineNumbers w:val="0"/>
              <w:jc w:val="left"/>
              <w:textAlignment w:val="center"/>
              <w:rPr>
                <w:rFonts w:hint="eastAsia" w:ascii="仿宋" w:hAnsi="仿宋" w:eastAsia="仿宋" w:cs="仿宋"/>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工业</w:t>
            </w:r>
          </w:p>
        </w:tc>
      </w:tr>
      <w:tr w14:paraId="755D1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86" w:type="dxa"/>
            <w:noWrap/>
            <w:vAlign w:val="center"/>
          </w:tcPr>
          <w:p w14:paraId="347F3C8D">
            <w:pPr>
              <w:keepNext w:val="0"/>
              <w:keepLines/>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10</w:t>
            </w:r>
          </w:p>
        </w:tc>
        <w:tc>
          <w:tcPr>
            <w:tcW w:w="1566" w:type="dxa"/>
            <w:gridSpan w:val="2"/>
            <w:noWrap/>
            <w:vAlign w:val="center"/>
          </w:tcPr>
          <w:p w14:paraId="28A22AD0">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核心交换机</w:t>
            </w:r>
          </w:p>
        </w:tc>
        <w:tc>
          <w:tcPr>
            <w:tcW w:w="631" w:type="dxa"/>
            <w:noWrap/>
            <w:vAlign w:val="center"/>
          </w:tcPr>
          <w:p w14:paraId="147F5FD4">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1</w:t>
            </w:r>
          </w:p>
        </w:tc>
        <w:tc>
          <w:tcPr>
            <w:tcW w:w="763" w:type="dxa"/>
            <w:noWrap/>
            <w:vAlign w:val="center"/>
          </w:tcPr>
          <w:p w14:paraId="3CB7CF24">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台</w:t>
            </w:r>
          </w:p>
        </w:tc>
        <w:tc>
          <w:tcPr>
            <w:tcW w:w="5108" w:type="dxa"/>
            <w:noWrap/>
            <w:vAlign w:val="center"/>
          </w:tcPr>
          <w:p w14:paraId="37630FDB">
            <w:pPr>
              <w:keepNext w:val="0"/>
              <w:keepLines w:val="0"/>
              <w:widowControl/>
              <w:suppressLineNumbers w:val="0"/>
              <w:jc w:val="left"/>
              <w:textAlignment w:val="center"/>
              <w:rPr>
                <w:rFonts w:hint="eastAsia" w:ascii="仿宋" w:hAnsi="仿宋" w:eastAsia="仿宋" w:cs="仿宋"/>
                <w:color w:val="auto"/>
                <w:kern w:val="0"/>
                <w:sz w:val="21"/>
                <w:szCs w:val="21"/>
              </w:rPr>
            </w:pPr>
            <w:r>
              <w:rPr>
                <w:rFonts w:hint="eastAsia" w:ascii="仿宋" w:hAnsi="仿宋" w:eastAsia="仿宋" w:cs="仿宋"/>
                <w:color w:val="000000"/>
                <w:kern w:val="0"/>
                <w:sz w:val="21"/>
                <w:szCs w:val="21"/>
                <w:lang w:val="en-US" w:eastAsia="zh-CN"/>
              </w:rPr>
              <w:t>▲</w:t>
            </w:r>
            <w:r>
              <w:rPr>
                <w:rFonts w:hint="eastAsia" w:ascii="仿宋" w:hAnsi="仿宋" w:eastAsia="仿宋" w:cs="仿宋"/>
                <w:i w:val="0"/>
                <w:iCs w:val="0"/>
                <w:color w:val="000000"/>
                <w:kern w:val="0"/>
                <w:sz w:val="21"/>
                <w:szCs w:val="21"/>
                <w:u w:val="none"/>
                <w:lang w:val="en-US" w:eastAsia="zh-CN" w:bidi="ar"/>
              </w:rPr>
              <w:t>1、固化SFP光口≥24个，固化1G/10G SFP+光接口≥4个，实配2个交流电电源。</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color w:val="000000"/>
                <w:kern w:val="0"/>
                <w:sz w:val="21"/>
                <w:szCs w:val="21"/>
                <w:lang w:val="en-US" w:eastAsia="zh-CN"/>
              </w:rPr>
              <w:t>▲</w:t>
            </w:r>
            <w:r>
              <w:rPr>
                <w:rFonts w:hint="eastAsia" w:ascii="仿宋" w:hAnsi="仿宋" w:eastAsia="仿宋" w:cs="仿宋"/>
                <w:i w:val="0"/>
                <w:iCs w:val="0"/>
                <w:color w:val="000000"/>
                <w:kern w:val="0"/>
                <w:sz w:val="21"/>
                <w:szCs w:val="21"/>
                <w:u w:val="none"/>
                <w:lang w:val="en-US" w:eastAsia="zh-CN" w:bidi="ar"/>
              </w:rPr>
              <w:t>2、交换容量≥672Gbps，包转发率≥228Mpps。</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color w:val="000000"/>
                <w:kern w:val="0"/>
                <w:sz w:val="21"/>
                <w:szCs w:val="21"/>
                <w:lang w:val="en-US" w:eastAsia="zh-CN"/>
              </w:rPr>
              <w:t>▲</w:t>
            </w:r>
            <w:r>
              <w:rPr>
                <w:rFonts w:hint="eastAsia" w:ascii="仿宋" w:hAnsi="仿宋" w:eastAsia="仿宋" w:cs="仿宋"/>
                <w:i w:val="0"/>
                <w:iCs w:val="0"/>
                <w:color w:val="000000"/>
                <w:kern w:val="0"/>
                <w:sz w:val="21"/>
                <w:szCs w:val="21"/>
                <w:u w:val="none"/>
                <w:lang w:val="en-US" w:eastAsia="zh-CN" w:bidi="ar"/>
              </w:rPr>
              <w:t>3、为保证设备在受到外界机械碰撞时能够正常运行，要求所投交换机IK防护测试级别至少达到IK05。</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4、支持生成树协议STP(IEEE 802.1d)，RSTP(IEEE 802.1w)和MSTP(IEEE 802.1s)。</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5、支持IPV4/IPV6静态路由，RIP、RIPng。</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6、支持CPU保护策略，对发往CPU的数据流，进行流区分和优先级队列分级处理，并根据需要实施带宽限速，充分保护CPU不被非法流量占用、恶意攻击和资源消耗。</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7、支持快速链路检测协议，可快速检测链路的通断和光纤链路的单向性，并支持端口下的环路检测功能，防止端口下因私接Hub等设备形成的环路而导致网络故障的现象。</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8、设备自带云管理功能，即插即用，可随时查看网络健康度，告警及时推送，有日记事件供回溯。</w:t>
            </w:r>
          </w:p>
        </w:tc>
        <w:tc>
          <w:tcPr>
            <w:tcW w:w="1139" w:type="dxa"/>
            <w:noWrap/>
            <w:vAlign w:val="center"/>
          </w:tcPr>
          <w:p w14:paraId="3FC95818">
            <w:pPr>
              <w:keepNext w:val="0"/>
              <w:keepLines w:val="0"/>
              <w:widowControl/>
              <w:suppressLineNumbers w:val="0"/>
              <w:jc w:val="left"/>
              <w:textAlignment w:val="center"/>
              <w:rPr>
                <w:rFonts w:hint="eastAsia" w:ascii="仿宋" w:hAnsi="仿宋" w:eastAsia="仿宋" w:cs="仿宋"/>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工业</w:t>
            </w:r>
          </w:p>
        </w:tc>
      </w:tr>
      <w:tr w14:paraId="3EB2A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86" w:type="dxa"/>
            <w:noWrap/>
            <w:vAlign w:val="center"/>
          </w:tcPr>
          <w:p w14:paraId="4FC170DE">
            <w:pPr>
              <w:keepNext w:val="0"/>
              <w:keepLines/>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11</w:t>
            </w:r>
          </w:p>
        </w:tc>
        <w:tc>
          <w:tcPr>
            <w:tcW w:w="1566" w:type="dxa"/>
            <w:gridSpan w:val="2"/>
            <w:noWrap/>
            <w:vAlign w:val="center"/>
          </w:tcPr>
          <w:p w14:paraId="4805C7E4">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24口接入交换</w:t>
            </w:r>
          </w:p>
        </w:tc>
        <w:tc>
          <w:tcPr>
            <w:tcW w:w="631" w:type="dxa"/>
            <w:noWrap/>
            <w:vAlign w:val="center"/>
          </w:tcPr>
          <w:p w14:paraId="2DF70BD3">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6</w:t>
            </w:r>
          </w:p>
        </w:tc>
        <w:tc>
          <w:tcPr>
            <w:tcW w:w="763" w:type="dxa"/>
            <w:noWrap/>
            <w:vAlign w:val="center"/>
          </w:tcPr>
          <w:p w14:paraId="35BA2A96">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台</w:t>
            </w:r>
          </w:p>
        </w:tc>
        <w:tc>
          <w:tcPr>
            <w:tcW w:w="5108" w:type="dxa"/>
            <w:noWrap/>
            <w:vAlign w:val="center"/>
          </w:tcPr>
          <w:p w14:paraId="44122DB0">
            <w:pPr>
              <w:keepNext w:val="0"/>
              <w:keepLines w:val="0"/>
              <w:widowControl/>
              <w:suppressLineNumbers w:val="0"/>
              <w:jc w:val="left"/>
              <w:textAlignment w:val="center"/>
              <w:rPr>
                <w:rFonts w:hint="eastAsia" w:ascii="仿宋" w:hAnsi="仿宋" w:eastAsia="仿宋" w:cs="仿宋"/>
                <w:color w:val="auto"/>
                <w:kern w:val="0"/>
                <w:sz w:val="21"/>
                <w:szCs w:val="21"/>
              </w:rPr>
            </w:pPr>
            <w:r>
              <w:rPr>
                <w:rFonts w:hint="eastAsia" w:ascii="仿宋" w:hAnsi="仿宋" w:eastAsia="仿宋" w:cs="仿宋"/>
                <w:color w:val="000000"/>
                <w:kern w:val="0"/>
                <w:sz w:val="21"/>
                <w:szCs w:val="21"/>
                <w:lang w:val="en-US" w:eastAsia="zh-CN"/>
              </w:rPr>
              <w:t>▲</w:t>
            </w:r>
            <w:r>
              <w:rPr>
                <w:rFonts w:hint="eastAsia" w:ascii="仿宋" w:hAnsi="仿宋" w:eastAsia="仿宋" w:cs="仿宋"/>
                <w:i w:val="0"/>
                <w:iCs w:val="0"/>
                <w:color w:val="000000"/>
                <w:kern w:val="0"/>
                <w:sz w:val="21"/>
                <w:szCs w:val="21"/>
                <w:u w:val="none"/>
                <w:lang w:val="en-US" w:eastAsia="zh-CN" w:bidi="ar"/>
              </w:rPr>
              <w:t>1、固化10/100/1000M以太网端口≥24，固化1G SFP光接口≥4个；</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color w:val="000000"/>
                <w:kern w:val="0"/>
                <w:sz w:val="21"/>
                <w:szCs w:val="21"/>
                <w:lang w:val="en-US" w:eastAsia="zh-CN"/>
              </w:rPr>
              <w:t>▲</w:t>
            </w:r>
            <w:r>
              <w:rPr>
                <w:rFonts w:hint="eastAsia" w:ascii="仿宋" w:hAnsi="仿宋" w:eastAsia="仿宋" w:cs="仿宋"/>
                <w:i w:val="0"/>
                <w:iCs w:val="0"/>
                <w:color w:val="000000"/>
                <w:kern w:val="0"/>
                <w:sz w:val="21"/>
                <w:szCs w:val="21"/>
                <w:u w:val="none"/>
                <w:lang w:val="en-US" w:eastAsia="zh-CN" w:bidi="ar"/>
              </w:rPr>
              <w:t>2、交换容量≥336Gbps，包转发率≥50Mpps；</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color w:val="000000"/>
                <w:kern w:val="0"/>
                <w:sz w:val="21"/>
                <w:szCs w:val="21"/>
                <w:lang w:val="en-US" w:eastAsia="zh-CN"/>
              </w:rPr>
              <w:t>▲</w:t>
            </w:r>
            <w:r>
              <w:rPr>
                <w:rFonts w:hint="eastAsia" w:ascii="仿宋" w:hAnsi="仿宋" w:eastAsia="仿宋" w:cs="仿宋"/>
                <w:i w:val="0"/>
                <w:iCs w:val="0"/>
                <w:color w:val="000000"/>
                <w:kern w:val="0"/>
                <w:sz w:val="21"/>
                <w:szCs w:val="21"/>
                <w:u w:val="none"/>
                <w:lang w:val="en-US" w:eastAsia="zh-CN" w:bidi="ar"/>
              </w:rPr>
              <w:t>3、为保证设备在受到外界机械碰撞时能够正常运行，要求所投交换机IK防护测试级别至少达到IK05。</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4、支持生成树协议STP(IEEE 802.1d)，RSTP(IEEE 802.1w)和MSTP(IEEE 802.1s)，完全保证快速收敛，提高容错能力，保证网络的稳定运行和链路的负载均衡，合理使用网络通道，提供冗余链路利用率。</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5、支持IPV4/IPV6静态路由，RIP、RIPng。</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6、支持特有的CPU保护策略，对发往CPU的数据流，进行流区分和优先级队列分级处理，并根据需要实施带宽限速，充分保护CPU不被非法流量占用、恶意攻击和资源消耗。</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7、支持快速链路检测协议，可快速检测链路的通断和光纤链路的单向性，并支持端口下的环路检测功能，防止端口下因私接Hub等设备形成的环路而导致网络故障的现象。</w:t>
            </w:r>
          </w:p>
        </w:tc>
        <w:tc>
          <w:tcPr>
            <w:tcW w:w="1139" w:type="dxa"/>
            <w:noWrap/>
            <w:vAlign w:val="center"/>
          </w:tcPr>
          <w:p w14:paraId="6791579F">
            <w:pPr>
              <w:keepNext w:val="0"/>
              <w:keepLines w:val="0"/>
              <w:widowControl/>
              <w:suppressLineNumbers w:val="0"/>
              <w:jc w:val="left"/>
              <w:textAlignment w:val="center"/>
              <w:rPr>
                <w:rFonts w:hint="eastAsia" w:ascii="仿宋" w:hAnsi="仿宋" w:eastAsia="仿宋" w:cs="仿宋"/>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工业</w:t>
            </w:r>
          </w:p>
        </w:tc>
      </w:tr>
      <w:tr w14:paraId="38884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86" w:type="dxa"/>
            <w:noWrap/>
            <w:vAlign w:val="center"/>
          </w:tcPr>
          <w:p w14:paraId="52C2E2FE">
            <w:pPr>
              <w:keepNext w:val="0"/>
              <w:keepLines/>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12</w:t>
            </w:r>
          </w:p>
        </w:tc>
        <w:tc>
          <w:tcPr>
            <w:tcW w:w="1566" w:type="dxa"/>
            <w:gridSpan w:val="2"/>
            <w:noWrap/>
            <w:vAlign w:val="center"/>
          </w:tcPr>
          <w:p w14:paraId="22D6C374">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24口POE交换机</w:t>
            </w:r>
          </w:p>
        </w:tc>
        <w:tc>
          <w:tcPr>
            <w:tcW w:w="631" w:type="dxa"/>
            <w:noWrap/>
            <w:vAlign w:val="center"/>
          </w:tcPr>
          <w:p w14:paraId="30373811">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6</w:t>
            </w:r>
          </w:p>
        </w:tc>
        <w:tc>
          <w:tcPr>
            <w:tcW w:w="763" w:type="dxa"/>
            <w:noWrap/>
            <w:vAlign w:val="center"/>
          </w:tcPr>
          <w:p w14:paraId="1ECE1177">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台</w:t>
            </w:r>
          </w:p>
        </w:tc>
        <w:tc>
          <w:tcPr>
            <w:tcW w:w="5108" w:type="dxa"/>
            <w:noWrap/>
            <w:vAlign w:val="center"/>
          </w:tcPr>
          <w:p w14:paraId="5F48CA1A">
            <w:pPr>
              <w:keepNext w:val="0"/>
              <w:keepLines w:val="0"/>
              <w:widowControl/>
              <w:suppressLineNumbers w:val="0"/>
              <w:jc w:val="left"/>
              <w:textAlignment w:val="center"/>
              <w:rPr>
                <w:rFonts w:hint="eastAsia" w:ascii="仿宋" w:hAnsi="仿宋" w:eastAsia="仿宋" w:cs="仿宋"/>
                <w:color w:val="auto"/>
                <w:kern w:val="0"/>
                <w:sz w:val="21"/>
                <w:szCs w:val="21"/>
              </w:rPr>
            </w:pPr>
            <w:r>
              <w:rPr>
                <w:rFonts w:hint="eastAsia" w:ascii="仿宋" w:hAnsi="仿宋" w:eastAsia="仿宋" w:cs="仿宋"/>
                <w:i w:val="0"/>
                <w:iCs w:val="0"/>
                <w:color w:val="000000"/>
                <w:kern w:val="0"/>
                <w:sz w:val="21"/>
                <w:szCs w:val="21"/>
                <w:u w:val="none"/>
                <w:lang w:val="en-US" w:eastAsia="zh-CN" w:bidi="ar"/>
              </w:rPr>
              <w:t>1、固化10/100/1000M以太网端口≥24，固化1G SFP光接口≥4个，支持POE和POE+,同时可POE供电端口≥24个，POE最大输出功率≥370W；</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color w:val="000000"/>
                <w:kern w:val="0"/>
                <w:sz w:val="21"/>
                <w:szCs w:val="21"/>
                <w:lang w:val="en-US" w:eastAsia="zh-CN"/>
              </w:rPr>
              <w:t>▲</w:t>
            </w:r>
            <w:r>
              <w:rPr>
                <w:rFonts w:hint="eastAsia" w:ascii="仿宋" w:hAnsi="仿宋" w:eastAsia="仿宋" w:cs="仿宋"/>
                <w:i w:val="0"/>
                <w:iCs w:val="0"/>
                <w:color w:val="000000"/>
                <w:kern w:val="0"/>
                <w:sz w:val="21"/>
                <w:szCs w:val="21"/>
                <w:u w:val="none"/>
                <w:lang w:val="en-US" w:eastAsia="zh-CN" w:bidi="ar"/>
              </w:rPr>
              <w:t>2、交换容量≥336Gbps，包转发率≥51Mpps；</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color w:val="000000"/>
                <w:kern w:val="0"/>
                <w:sz w:val="21"/>
                <w:szCs w:val="21"/>
                <w:lang w:val="en-US" w:eastAsia="zh-CN"/>
              </w:rPr>
              <w:t>▲</w:t>
            </w:r>
            <w:r>
              <w:rPr>
                <w:rFonts w:hint="eastAsia" w:ascii="仿宋" w:hAnsi="仿宋" w:eastAsia="仿宋" w:cs="仿宋"/>
                <w:i w:val="0"/>
                <w:iCs w:val="0"/>
                <w:color w:val="000000"/>
                <w:kern w:val="0"/>
                <w:sz w:val="21"/>
                <w:szCs w:val="21"/>
                <w:u w:val="none"/>
                <w:lang w:val="en-US" w:eastAsia="zh-CN" w:bidi="ar"/>
              </w:rPr>
              <w:t>3、保证设备在受到外界机械碰撞时能够正常运行，要求所投交换机IK防护测试级别至少达到IK05；</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4、支持生成树协议STP(IEEE 802.1d)，RSTP(IEEE 802.1w)和MSTP(IEEE 802.1s)，完全保证快速收敛，提高容错能力，保证网络的稳定运行和链路的负载均衡，合理使用网络通道，提供冗余链路利用率。</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5、支持IPV4/IPV6静态路由，RIP、RIPng</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color w:val="000000"/>
                <w:kern w:val="0"/>
                <w:sz w:val="21"/>
                <w:szCs w:val="21"/>
                <w:lang w:val="en-US" w:eastAsia="zh-CN"/>
              </w:rPr>
              <w:t>▲</w:t>
            </w:r>
            <w:r>
              <w:rPr>
                <w:rFonts w:hint="eastAsia" w:ascii="仿宋" w:hAnsi="仿宋" w:eastAsia="仿宋" w:cs="仿宋"/>
                <w:i w:val="0"/>
                <w:iCs w:val="0"/>
                <w:color w:val="000000"/>
                <w:kern w:val="0"/>
                <w:sz w:val="21"/>
                <w:szCs w:val="21"/>
                <w:u w:val="none"/>
                <w:lang w:val="en-US" w:eastAsia="zh-CN" w:bidi="ar"/>
              </w:rPr>
              <w:t>6、支持特有的CPU保护策略，对发往CPU的数据流，进行流区分和优先级队列分级处理，并根据需要实施带宽限速，充分保护CPU不被非法流量占用、恶意攻击和资源消耗</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7、支持快速链路检测协议RLDP，可快速检测链路的通断和光纤链路的单向性，并支持端口下的环路检测功能，防止端口下因私接Hub等设备形成的环路而导致网络故障的现象。</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color w:val="000000"/>
                <w:kern w:val="0"/>
                <w:sz w:val="21"/>
                <w:szCs w:val="21"/>
                <w:lang w:val="en-US" w:eastAsia="zh-CN"/>
              </w:rPr>
              <w:t>▲</w:t>
            </w:r>
            <w:r>
              <w:rPr>
                <w:rFonts w:hint="eastAsia" w:ascii="仿宋" w:hAnsi="仿宋" w:eastAsia="仿宋" w:cs="仿宋"/>
                <w:i w:val="0"/>
                <w:iCs w:val="0"/>
                <w:color w:val="000000"/>
                <w:kern w:val="0"/>
                <w:sz w:val="21"/>
                <w:szCs w:val="21"/>
                <w:u w:val="none"/>
                <w:lang w:val="en-US" w:eastAsia="zh-CN" w:bidi="ar"/>
              </w:rPr>
              <w:t>设备自带云管理功能，即插即用，可随时查看网络健康度，告警及时推送，有日记事件供回溯</w:t>
            </w:r>
          </w:p>
        </w:tc>
        <w:tc>
          <w:tcPr>
            <w:tcW w:w="1139" w:type="dxa"/>
            <w:noWrap/>
            <w:vAlign w:val="center"/>
          </w:tcPr>
          <w:p w14:paraId="5E1B167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工业</w:t>
            </w:r>
          </w:p>
        </w:tc>
      </w:tr>
      <w:tr w14:paraId="25829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86" w:type="dxa"/>
            <w:noWrap/>
            <w:vAlign w:val="center"/>
          </w:tcPr>
          <w:p w14:paraId="126928EA">
            <w:pPr>
              <w:keepNext w:val="0"/>
              <w:keepLines/>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13</w:t>
            </w:r>
          </w:p>
        </w:tc>
        <w:tc>
          <w:tcPr>
            <w:tcW w:w="1566" w:type="dxa"/>
            <w:gridSpan w:val="2"/>
            <w:noWrap/>
            <w:vAlign w:val="center"/>
          </w:tcPr>
          <w:p w14:paraId="00554AA4">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8口交换机</w:t>
            </w:r>
          </w:p>
        </w:tc>
        <w:tc>
          <w:tcPr>
            <w:tcW w:w="631" w:type="dxa"/>
            <w:noWrap/>
            <w:vAlign w:val="center"/>
          </w:tcPr>
          <w:p w14:paraId="2F60F7E2">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2</w:t>
            </w:r>
          </w:p>
        </w:tc>
        <w:tc>
          <w:tcPr>
            <w:tcW w:w="763" w:type="dxa"/>
            <w:noWrap/>
            <w:vAlign w:val="center"/>
          </w:tcPr>
          <w:p w14:paraId="0B729997">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台</w:t>
            </w:r>
          </w:p>
        </w:tc>
        <w:tc>
          <w:tcPr>
            <w:tcW w:w="5108" w:type="dxa"/>
            <w:noWrap/>
            <w:vAlign w:val="center"/>
          </w:tcPr>
          <w:p w14:paraId="03C1664B">
            <w:pPr>
              <w:keepNext w:val="0"/>
              <w:keepLines w:val="0"/>
              <w:widowControl/>
              <w:suppressLineNumbers w:val="0"/>
              <w:jc w:val="left"/>
              <w:textAlignment w:val="center"/>
              <w:rPr>
                <w:rFonts w:hint="eastAsia" w:ascii="仿宋" w:hAnsi="仿宋" w:eastAsia="仿宋" w:cs="仿宋"/>
                <w:color w:val="auto"/>
                <w:kern w:val="0"/>
                <w:sz w:val="21"/>
                <w:szCs w:val="21"/>
              </w:rPr>
            </w:pPr>
            <w:r>
              <w:rPr>
                <w:rFonts w:hint="eastAsia" w:ascii="仿宋" w:hAnsi="仿宋" w:eastAsia="仿宋" w:cs="仿宋"/>
                <w:i w:val="0"/>
                <w:iCs w:val="0"/>
                <w:color w:val="000000"/>
                <w:kern w:val="0"/>
                <w:sz w:val="21"/>
                <w:szCs w:val="21"/>
                <w:u w:val="none"/>
                <w:lang w:val="en-US" w:eastAsia="zh-CN" w:bidi="ar"/>
              </w:rPr>
              <w:t>1、固化10/100/1000M以太网电口≥8个，100/1000M SFP千兆光接口≥2个</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2、交换容量≥300Gbps，包转发率≥30Mpps</w:t>
            </w:r>
          </w:p>
        </w:tc>
        <w:tc>
          <w:tcPr>
            <w:tcW w:w="1139" w:type="dxa"/>
            <w:noWrap/>
            <w:vAlign w:val="center"/>
          </w:tcPr>
          <w:p w14:paraId="29837A8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工业</w:t>
            </w:r>
          </w:p>
        </w:tc>
      </w:tr>
      <w:tr w14:paraId="73A70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86" w:type="dxa"/>
            <w:noWrap/>
            <w:vAlign w:val="center"/>
          </w:tcPr>
          <w:p w14:paraId="34F645BB">
            <w:pPr>
              <w:keepNext w:val="0"/>
              <w:keepLines/>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14</w:t>
            </w:r>
          </w:p>
        </w:tc>
        <w:tc>
          <w:tcPr>
            <w:tcW w:w="1566" w:type="dxa"/>
            <w:gridSpan w:val="2"/>
            <w:noWrap/>
            <w:vAlign w:val="center"/>
          </w:tcPr>
          <w:p w14:paraId="4294E482">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400万半球摄像机</w:t>
            </w:r>
          </w:p>
        </w:tc>
        <w:tc>
          <w:tcPr>
            <w:tcW w:w="631" w:type="dxa"/>
            <w:noWrap/>
            <w:vAlign w:val="center"/>
          </w:tcPr>
          <w:p w14:paraId="2B2C9D1A">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5</w:t>
            </w:r>
          </w:p>
        </w:tc>
        <w:tc>
          <w:tcPr>
            <w:tcW w:w="763" w:type="dxa"/>
            <w:noWrap/>
            <w:vAlign w:val="center"/>
          </w:tcPr>
          <w:p w14:paraId="159107AE">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台</w:t>
            </w:r>
          </w:p>
        </w:tc>
        <w:tc>
          <w:tcPr>
            <w:tcW w:w="5108" w:type="dxa"/>
            <w:noWrap/>
            <w:vAlign w:val="center"/>
          </w:tcPr>
          <w:p w14:paraId="031045B4">
            <w:pPr>
              <w:keepNext w:val="0"/>
              <w:keepLines w:val="0"/>
              <w:widowControl/>
              <w:suppressLineNumbers w:val="0"/>
              <w:jc w:val="left"/>
              <w:textAlignment w:val="center"/>
              <w:rPr>
                <w:rFonts w:hint="eastAsia" w:ascii="仿宋" w:hAnsi="仿宋" w:eastAsia="仿宋" w:cs="仿宋"/>
                <w:color w:val="auto"/>
                <w:kern w:val="0"/>
                <w:sz w:val="21"/>
                <w:szCs w:val="21"/>
              </w:rPr>
            </w:pPr>
            <w:r>
              <w:rPr>
                <w:rFonts w:hint="eastAsia" w:ascii="仿宋" w:hAnsi="仿宋" w:eastAsia="仿宋" w:cs="仿宋"/>
                <w:i w:val="0"/>
                <w:iCs w:val="0"/>
                <w:color w:val="000000"/>
                <w:kern w:val="0"/>
                <w:sz w:val="21"/>
                <w:szCs w:val="21"/>
                <w:u w:val="none"/>
                <w:lang w:val="en-US" w:eastAsia="zh-CN" w:bidi="ar"/>
              </w:rPr>
              <w:t>1、400万红外海螺半球网络摄像机；</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 2、采用不低于1/3.0inch逐行扫描CMOS传感器，分辨率≥2560*1440；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 3、最低照度，彩色≤0.01lux，≤0lux（开启红外）；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 4、支持红外补光，红外补光距离≥30米，支持红外增透面板，提升红外透光率；</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color w:val="000000"/>
                <w:kern w:val="0"/>
                <w:sz w:val="21"/>
                <w:szCs w:val="21"/>
                <w:lang w:val="en-US" w:eastAsia="zh-CN"/>
              </w:rPr>
              <w:t>▲</w:t>
            </w:r>
            <w:r>
              <w:rPr>
                <w:rFonts w:hint="eastAsia" w:ascii="仿宋" w:hAnsi="仿宋" w:eastAsia="仿宋" w:cs="仿宋"/>
                <w:i w:val="0"/>
                <w:iCs w:val="0"/>
                <w:color w:val="000000"/>
                <w:kern w:val="0"/>
                <w:sz w:val="21"/>
                <w:szCs w:val="21"/>
                <w:u w:val="none"/>
                <w:lang w:val="en-US" w:eastAsia="zh-CN" w:bidi="ar"/>
              </w:rPr>
              <w:t xml:space="preserve"> 5、支持通过IE浏览器或客户端软件设置身份认证模式，包括不少于无、Basic和Digest三种；</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 6、支持昼夜模式、自动白平衡、自动增益、宽动态、3D降噪等功能，满足不同场景监控需求；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 7、支持H.265、H.264等多种视频编码方式，支持G.711A、G.711U等多种音频编码方式；</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 8、支持多码流，满足不同带宽及帧率的实时流、存储流需求；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color w:val="000000"/>
                <w:kern w:val="0"/>
                <w:sz w:val="21"/>
                <w:szCs w:val="21"/>
                <w:lang w:val="en-US" w:eastAsia="zh-CN"/>
              </w:rPr>
              <w:t>▲</w:t>
            </w:r>
            <w:r>
              <w:rPr>
                <w:rFonts w:hint="eastAsia" w:ascii="仿宋" w:hAnsi="仿宋" w:eastAsia="仿宋" w:cs="仿宋"/>
                <w:i w:val="0"/>
                <w:iCs w:val="0"/>
                <w:color w:val="000000"/>
                <w:kern w:val="0"/>
                <w:sz w:val="21"/>
                <w:szCs w:val="21"/>
                <w:u w:val="none"/>
                <w:lang w:val="en-US" w:eastAsia="zh-CN" w:bidi="ar"/>
              </w:rPr>
              <w:t xml:space="preserve"> 9、支持宽动态自动切换，在环境亮度变化时，可自动进行关闭/开启切换；</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 10、支持区域增强(ROI)，图片叠加OSD（可实现多种内容样式的自定义效果）；</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 11、支持运动检测，支持视频水印，防止数据篡改；</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color w:val="000000"/>
                <w:kern w:val="0"/>
                <w:sz w:val="21"/>
                <w:szCs w:val="21"/>
                <w:lang w:val="en-US" w:eastAsia="zh-CN"/>
              </w:rPr>
              <w:t>▲</w:t>
            </w:r>
            <w:r>
              <w:rPr>
                <w:rFonts w:hint="eastAsia" w:ascii="仿宋" w:hAnsi="仿宋" w:eastAsia="仿宋" w:cs="仿宋"/>
                <w:i w:val="0"/>
                <w:iCs w:val="0"/>
                <w:color w:val="000000"/>
                <w:kern w:val="0"/>
                <w:sz w:val="21"/>
                <w:szCs w:val="21"/>
                <w:u w:val="none"/>
                <w:lang w:val="en-US" w:eastAsia="zh-CN" w:bidi="ar"/>
              </w:rPr>
              <w:t xml:space="preserve"> 13、支持≥8行OSD，可滚动显示，可设置字体大小、颜色、描边、背景、空心等样式，可叠加图片格式的OSD；</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 14、具有不少于1个100M自适应网口，1个内置Mic；</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 15、支持ONVIF、API、GB/T28181等多种网络协议；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 16、供电方式：DC12V±25%;POE(IEEE802.3af)，支持防反接、过压保护；</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 17、防护等级：IP67；</w:t>
            </w:r>
          </w:p>
        </w:tc>
        <w:tc>
          <w:tcPr>
            <w:tcW w:w="1139" w:type="dxa"/>
            <w:noWrap/>
            <w:vAlign w:val="center"/>
          </w:tcPr>
          <w:p w14:paraId="4E9A7C5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工业</w:t>
            </w:r>
          </w:p>
        </w:tc>
      </w:tr>
      <w:tr w14:paraId="01914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86" w:type="dxa"/>
            <w:noWrap/>
            <w:vAlign w:val="center"/>
          </w:tcPr>
          <w:p w14:paraId="00D2D58E">
            <w:pPr>
              <w:keepNext w:val="0"/>
              <w:keepLines/>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15</w:t>
            </w:r>
          </w:p>
        </w:tc>
        <w:tc>
          <w:tcPr>
            <w:tcW w:w="1566" w:type="dxa"/>
            <w:gridSpan w:val="2"/>
            <w:noWrap/>
            <w:vAlign w:val="center"/>
          </w:tcPr>
          <w:p w14:paraId="34175101">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无线AP1</w:t>
            </w:r>
          </w:p>
        </w:tc>
        <w:tc>
          <w:tcPr>
            <w:tcW w:w="631" w:type="dxa"/>
            <w:noWrap/>
            <w:vAlign w:val="center"/>
          </w:tcPr>
          <w:p w14:paraId="44838B9D">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1</w:t>
            </w:r>
          </w:p>
        </w:tc>
        <w:tc>
          <w:tcPr>
            <w:tcW w:w="763" w:type="dxa"/>
            <w:noWrap/>
            <w:vAlign w:val="center"/>
          </w:tcPr>
          <w:p w14:paraId="235BE449">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台</w:t>
            </w:r>
          </w:p>
        </w:tc>
        <w:tc>
          <w:tcPr>
            <w:tcW w:w="5108" w:type="dxa"/>
            <w:noWrap/>
            <w:vAlign w:val="center"/>
          </w:tcPr>
          <w:p w14:paraId="73578AF9">
            <w:pPr>
              <w:keepNext w:val="0"/>
              <w:keepLines w:val="0"/>
              <w:widowControl/>
              <w:suppressLineNumbers w:val="0"/>
              <w:jc w:val="left"/>
              <w:textAlignment w:val="center"/>
              <w:rPr>
                <w:rFonts w:hint="eastAsia" w:ascii="仿宋" w:hAnsi="仿宋" w:eastAsia="仿宋" w:cs="仿宋"/>
                <w:color w:val="auto"/>
                <w:kern w:val="0"/>
                <w:sz w:val="21"/>
                <w:szCs w:val="21"/>
              </w:rPr>
            </w:pPr>
            <w:r>
              <w:rPr>
                <w:rFonts w:hint="eastAsia" w:ascii="仿宋" w:hAnsi="仿宋" w:eastAsia="仿宋" w:cs="仿宋"/>
                <w:color w:val="000000"/>
                <w:kern w:val="0"/>
                <w:sz w:val="21"/>
                <w:szCs w:val="21"/>
                <w:lang w:val="en-US" w:eastAsia="zh-CN"/>
              </w:rPr>
              <w:t>▲</w:t>
            </w:r>
            <w:r>
              <w:rPr>
                <w:rFonts w:hint="eastAsia" w:ascii="仿宋" w:hAnsi="仿宋" w:eastAsia="仿宋" w:cs="仿宋"/>
                <w:i w:val="0"/>
                <w:iCs w:val="0"/>
                <w:color w:val="000000"/>
                <w:kern w:val="0"/>
                <w:sz w:val="21"/>
                <w:szCs w:val="21"/>
                <w:u w:val="none"/>
                <w:lang w:val="en-US" w:eastAsia="zh-CN" w:bidi="ar"/>
              </w:rPr>
              <w:t>1、采用三路双频设计，一个2.4GHz/5GHz可变射频卡，两个5GHz射频卡；</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color w:val="000000"/>
                <w:kern w:val="0"/>
                <w:sz w:val="21"/>
                <w:szCs w:val="21"/>
                <w:lang w:val="en-US" w:eastAsia="zh-CN"/>
              </w:rPr>
              <w:t>▲</w:t>
            </w:r>
            <w:r>
              <w:rPr>
                <w:rFonts w:hint="eastAsia" w:ascii="仿宋" w:hAnsi="仿宋" w:eastAsia="仿宋" w:cs="仿宋"/>
                <w:i w:val="0"/>
                <w:iCs w:val="0"/>
                <w:color w:val="000000"/>
                <w:kern w:val="0"/>
                <w:sz w:val="21"/>
                <w:szCs w:val="21"/>
                <w:u w:val="none"/>
                <w:lang w:val="en-US" w:eastAsia="zh-CN" w:bidi="ar"/>
              </w:rPr>
              <w:t>2、支持802.11ac wave2标准，支持802.11ac MU-MIMO，整机最大10条空间流；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color w:val="000000"/>
                <w:kern w:val="0"/>
                <w:sz w:val="21"/>
                <w:szCs w:val="21"/>
                <w:lang w:val="en-US" w:eastAsia="zh-CN"/>
              </w:rPr>
              <w:t>▲</w:t>
            </w:r>
            <w:r>
              <w:rPr>
                <w:rFonts w:hint="eastAsia" w:ascii="仿宋" w:hAnsi="仿宋" w:eastAsia="仿宋" w:cs="仿宋"/>
                <w:i w:val="0"/>
                <w:iCs w:val="0"/>
                <w:color w:val="000000"/>
                <w:kern w:val="0"/>
                <w:sz w:val="21"/>
                <w:szCs w:val="21"/>
                <w:u w:val="none"/>
                <w:lang w:val="en-US" w:eastAsia="zh-CN" w:bidi="ar"/>
              </w:rPr>
              <w:t>3、2个100M/1000M/2.5G/5G以太网口，1个10/100/1000M以太网口 (LAN1/LAN2支持PoE受电，LAN3口支持PSE对外供电可扩展物联网)</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4、2.4G提供最高1.15Gbps的接入速率，5G提供最高4.8Gbps的接入速率。整机提供最高10.0Gbps的接入速率。</w:t>
            </w:r>
          </w:p>
        </w:tc>
        <w:tc>
          <w:tcPr>
            <w:tcW w:w="1139" w:type="dxa"/>
            <w:noWrap/>
            <w:vAlign w:val="center"/>
          </w:tcPr>
          <w:p w14:paraId="1729839F">
            <w:pPr>
              <w:keepNext w:val="0"/>
              <w:keepLines w:val="0"/>
              <w:widowControl/>
              <w:suppressLineNumbers w:val="0"/>
              <w:jc w:val="left"/>
              <w:textAlignment w:val="center"/>
              <w:rPr>
                <w:rFonts w:hint="eastAsia" w:ascii="仿宋" w:hAnsi="仿宋" w:eastAsia="仿宋" w:cs="仿宋"/>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工业</w:t>
            </w:r>
          </w:p>
        </w:tc>
      </w:tr>
      <w:tr w14:paraId="3E3D7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86" w:type="dxa"/>
            <w:noWrap/>
            <w:vAlign w:val="center"/>
          </w:tcPr>
          <w:p w14:paraId="2C72A427">
            <w:pPr>
              <w:keepNext w:val="0"/>
              <w:keepLines/>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16</w:t>
            </w:r>
          </w:p>
        </w:tc>
        <w:tc>
          <w:tcPr>
            <w:tcW w:w="1566" w:type="dxa"/>
            <w:gridSpan w:val="2"/>
            <w:noWrap/>
            <w:vAlign w:val="center"/>
          </w:tcPr>
          <w:p w14:paraId="25DB5601">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无线AP2</w:t>
            </w:r>
          </w:p>
        </w:tc>
        <w:tc>
          <w:tcPr>
            <w:tcW w:w="631" w:type="dxa"/>
            <w:noWrap/>
            <w:vAlign w:val="center"/>
          </w:tcPr>
          <w:p w14:paraId="466103C1">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1</w:t>
            </w:r>
          </w:p>
        </w:tc>
        <w:tc>
          <w:tcPr>
            <w:tcW w:w="763" w:type="dxa"/>
            <w:noWrap/>
            <w:vAlign w:val="center"/>
          </w:tcPr>
          <w:p w14:paraId="7234A64C">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台</w:t>
            </w:r>
          </w:p>
        </w:tc>
        <w:tc>
          <w:tcPr>
            <w:tcW w:w="5108" w:type="dxa"/>
            <w:noWrap/>
            <w:vAlign w:val="center"/>
          </w:tcPr>
          <w:p w14:paraId="7F59003D">
            <w:pPr>
              <w:keepNext w:val="0"/>
              <w:keepLines w:val="0"/>
              <w:widowControl/>
              <w:suppressLineNumbers w:val="0"/>
              <w:jc w:val="left"/>
              <w:textAlignment w:val="center"/>
              <w:rPr>
                <w:rFonts w:hint="eastAsia" w:ascii="仿宋" w:hAnsi="仿宋" w:eastAsia="仿宋" w:cs="仿宋"/>
                <w:color w:val="auto"/>
                <w:kern w:val="0"/>
                <w:sz w:val="21"/>
                <w:szCs w:val="21"/>
              </w:rPr>
            </w:pPr>
            <w:r>
              <w:rPr>
                <w:rFonts w:hint="eastAsia" w:ascii="仿宋" w:hAnsi="仿宋" w:eastAsia="仿宋" w:cs="仿宋"/>
                <w:color w:val="000000"/>
                <w:kern w:val="0"/>
                <w:sz w:val="21"/>
                <w:szCs w:val="21"/>
                <w:lang w:val="en-US" w:eastAsia="zh-CN"/>
              </w:rPr>
              <w:t>▲</w:t>
            </w:r>
            <w:r>
              <w:rPr>
                <w:rFonts w:hint="eastAsia" w:ascii="仿宋" w:hAnsi="仿宋" w:eastAsia="仿宋" w:cs="仿宋"/>
                <w:i w:val="0"/>
                <w:iCs w:val="0"/>
                <w:color w:val="000000"/>
                <w:kern w:val="0"/>
                <w:sz w:val="21"/>
                <w:szCs w:val="21"/>
                <w:u w:val="none"/>
                <w:lang w:val="en-US" w:eastAsia="zh-CN" w:bidi="ar"/>
              </w:rPr>
              <w:t>1、采用三路双频设计，一个2.4GHz/5GHz可变射频卡，两个5GHz射频卡；</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2、支持802.11ac wave2标准，支持802.11ac MU-MIMO，整机最大9条空间流；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color w:val="000000"/>
                <w:kern w:val="0"/>
                <w:sz w:val="21"/>
                <w:szCs w:val="21"/>
                <w:lang w:val="en-US" w:eastAsia="zh-CN"/>
              </w:rPr>
              <w:t>▲</w:t>
            </w:r>
            <w:r>
              <w:rPr>
                <w:rFonts w:hint="eastAsia" w:ascii="仿宋" w:hAnsi="仿宋" w:eastAsia="仿宋" w:cs="仿宋"/>
                <w:i w:val="0"/>
                <w:iCs w:val="0"/>
                <w:color w:val="000000"/>
                <w:kern w:val="0"/>
                <w:sz w:val="21"/>
                <w:szCs w:val="21"/>
                <w:u w:val="none"/>
                <w:lang w:val="en-US" w:eastAsia="zh-CN" w:bidi="ar"/>
              </w:rPr>
              <w:t>3、2个10/100/1000Base-T以太网上联端口（都支持PoE受电）</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color w:val="000000"/>
                <w:kern w:val="0"/>
                <w:sz w:val="21"/>
                <w:szCs w:val="21"/>
                <w:lang w:val="en-US" w:eastAsia="zh-CN"/>
              </w:rPr>
              <w:t>▲</w:t>
            </w:r>
            <w:r>
              <w:rPr>
                <w:rFonts w:hint="eastAsia" w:ascii="仿宋" w:hAnsi="仿宋" w:eastAsia="仿宋" w:cs="仿宋"/>
                <w:i w:val="0"/>
                <w:iCs w:val="0"/>
                <w:color w:val="000000"/>
                <w:kern w:val="0"/>
                <w:sz w:val="21"/>
                <w:szCs w:val="21"/>
                <w:u w:val="none"/>
                <w:lang w:val="en-US" w:eastAsia="zh-CN" w:bidi="ar"/>
              </w:rPr>
              <w:t>4、 射频卡最大提供1733Mbps、800Mbps和433Mbps接入速率</w:t>
            </w:r>
          </w:p>
        </w:tc>
        <w:tc>
          <w:tcPr>
            <w:tcW w:w="1139" w:type="dxa"/>
            <w:noWrap/>
            <w:vAlign w:val="center"/>
          </w:tcPr>
          <w:p w14:paraId="22184201">
            <w:pPr>
              <w:keepNext w:val="0"/>
              <w:keepLines w:val="0"/>
              <w:widowControl/>
              <w:suppressLineNumbers w:val="0"/>
              <w:jc w:val="left"/>
              <w:textAlignment w:val="center"/>
              <w:rPr>
                <w:rFonts w:hint="eastAsia" w:ascii="仿宋" w:hAnsi="仿宋" w:eastAsia="仿宋" w:cs="仿宋"/>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工业</w:t>
            </w:r>
          </w:p>
        </w:tc>
      </w:tr>
      <w:tr w14:paraId="2340C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86" w:type="dxa"/>
            <w:noWrap/>
            <w:vAlign w:val="center"/>
          </w:tcPr>
          <w:p w14:paraId="6398EB0B">
            <w:pPr>
              <w:keepNext w:val="0"/>
              <w:keepLines/>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17</w:t>
            </w:r>
          </w:p>
        </w:tc>
        <w:tc>
          <w:tcPr>
            <w:tcW w:w="1566" w:type="dxa"/>
            <w:gridSpan w:val="2"/>
            <w:noWrap/>
            <w:vAlign w:val="center"/>
          </w:tcPr>
          <w:p w14:paraId="138B4B35">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千兆多模光模块</w:t>
            </w:r>
          </w:p>
        </w:tc>
        <w:tc>
          <w:tcPr>
            <w:tcW w:w="631" w:type="dxa"/>
            <w:noWrap/>
            <w:vAlign w:val="center"/>
          </w:tcPr>
          <w:p w14:paraId="6FDC7C21">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24</w:t>
            </w:r>
          </w:p>
        </w:tc>
        <w:tc>
          <w:tcPr>
            <w:tcW w:w="763" w:type="dxa"/>
            <w:noWrap/>
            <w:vAlign w:val="center"/>
          </w:tcPr>
          <w:p w14:paraId="509B2FC4">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个</w:t>
            </w:r>
          </w:p>
        </w:tc>
        <w:tc>
          <w:tcPr>
            <w:tcW w:w="5108" w:type="dxa"/>
            <w:noWrap/>
            <w:vAlign w:val="center"/>
          </w:tcPr>
          <w:p w14:paraId="4531BE9D">
            <w:pPr>
              <w:keepNext w:val="0"/>
              <w:keepLines w:val="0"/>
              <w:widowControl/>
              <w:suppressLineNumbers w:val="0"/>
              <w:jc w:val="center"/>
              <w:textAlignment w:val="center"/>
              <w:rPr>
                <w:rFonts w:hint="eastAsia" w:ascii="仿宋" w:hAnsi="仿宋" w:eastAsia="仿宋" w:cs="仿宋"/>
                <w:color w:val="auto"/>
                <w:kern w:val="0"/>
                <w:sz w:val="21"/>
                <w:szCs w:val="21"/>
              </w:rPr>
            </w:pPr>
            <w:r>
              <w:rPr>
                <w:rFonts w:hint="eastAsia" w:ascii="仿宋" w:hAnsi="仿宋" w:eastAsia="仿宋" w:cs="仿宋"/>
                <w:i w:val="0"/>
                <w:iCs w:val="0"/>
                <w:color w:val="000000"/>
                <w:kern w:val="0"/>
                <w:sz w:val="21"/>
                <w:szCs w:val="21"/>
                <w:u w:val="none"/>
                <w:lang w:val="en-US" w:eastAsia="zh-CN" w:bidi="ar"/>
              </w:rPr>
              <w:t>1000BASE-SX mini GBIC转换模块（850nm），500m</w:t>
            </w:r>
          </w:p>
        </w:tc>
        <w:tc>
          <w:tcPr>
            <w:tcW w:w="1139" w:type="dxa"/>
            <w:noWrap/>
            <w:vAlign w:val="center"/>
          </w:tcPr>
          <w:p w14:paraId="111A73D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工业</w:t>
            </w:r>
          </w:p>
        </w:tc>
      </w:tr>
      <w:tr w14:paraId="5487D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9793" w:type="dxa"/>
            <w:gridSpan w:val="7"/>
            <w:noWrap/>
            <w:vAlign w:val="center"/>
          </w:tcPr>
          <w:p w14:paraId="13652CF3">
            <w:pPr>
              <w:keepNext w:val="0"/>
              <w:keepLines/>
              <w:pageBreakBefore w:val="0"/>
              <w:widowControl/>
              <w:tabs>
                <w:tab w:val="left" w:pos="1062"/>
              </w:tabs>
              <w:kinsoku/>
              <w:wordWrap/>
              <w:overflowPunct/>
              <w:topLinePunct w:val="0"/>
              <w:autoSpaceDE/>
              <w:autoSpaceDN/>
              <w:bidi w:val="0"/>
              <w:adjustRightInd/>
              <w:snapToGrid/>
              <w:spacing w:line="400" w:lineRule="exac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三、无人机维修套包</w:t>
            </w:r>
          </w:p>
        </w:tc>
      </w:tr>
      <w:tr w14:paraId="64E21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86" w:type="dxa"/>
            <w:noWrap/>
            <w:vAlign w:val="center"/>
          </w:tcPr>
          <w:p w14:paraId="2A5BD169">
            <w:pPr>
              <w:keepNext w:val="0"/>
              <w:keepLines w:val="0"/>
              <w:widowControl/>
              <w:suppressLineNumbers w:val="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1</w:t>
            </w:r>
          </w:p>
        </w:tc>
        <w:tc>
          <w:tcPr>
            <w:tcW w:w="1566" w:type="dxa"/>
            <w:gridSpan w:val="2"/>
            <w:noWrap/>
            <w:vAlign w:val="center"/>
          </w:tcPr>
          <w:p w14:paraId="04F32BB9">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数字万用表</w:t>
            </w:r>
          </w:p>
        </w:tc>
        <w:tc>
          <w:tcPr>
            <w:tcW w:w="631" w:type="dxa"/>
            <w:noWrap/>
            <w:vAlign w:val="center"/>
          </w:tcPr>
          <w:p w14:paraId="758B5A98">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10</w:t>
            </w:r>
          </w:p>
        </w:tc>
        <w:tc>
          <w:tcPr>
            <w:tcW w:w="763" w:type="dxa"/>
            <w:noWrap/>
            <w:vAlign w:val="center"/>
          </w:tcPr>
          <w:p w14:paraId="336D0ECB">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套</w:t>
            </w:r>
          </w:p>
        </w:tc>
        <w:tc>
          <w:tcPr>
            <w:tcW w:w="5108" w:type="dxa"/>
            <w:noWrap/>
            <w:vAlign w:val="center"/>
          </w:tcPr>
          <w:p w14:paraId="2D4ADBF9">
            <w:pPr>
              <w:keepNext w:val="0"/>
              <w:keepLines w:val="0"/>
              <w:widowControl/>
              <w:suppressLineNumbers w:val="0"/>
              <w:jc w:val="left"/>
              <w:textAlignment w:val="center"/>
              <w:rPr>
                <w:rFonts w:hint="eastAsia" w:ascii="仿宋" w:hAnsi="仿宋" w:eastAsia="仿宋" w:cs="仿宋"/>
                <w:color w:val="auto"/>
                <w:kern w:val="0"/>
                <w:sz w:val="21"/>
                <w:szCs w:val="21"/>
              </w:rPr>
            </w:pPr>
            <w:r>
              <w:rPr>
                <w:rFonts w:hint="eastAsia" w:ascii="仿宋" w:hAnsi="仿宋" w:eastAsia="仿宋" w:cs="仿宋"/>
                <w:i w:val="0"/>
                <w:iCs w:val="0"/>
                <w:color w:val="000000"/>
                <w:kern w:val="0"/>
                <w:sz w:val="21"/>
                <w:szCs w:val="21"/>
                <w:u w:val="none"/>
                <w:lang w:val="en-US" w:eastAsia="zh-CN" w:bidi="ar"/>
              </w:rPr>
              <w:t>1、具备背光显示功能，便于弱光环境读数；</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2、具备数据保持功能，可锁定测量数值；</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3、具备低电压提示功能，电量不足时告警；</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4、直流电压测量量程≥800V；</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5、交流电压测量量程≥700V；</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6、直流电流测量量程≥15A；</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7、交流电流测量量程≥15A；</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8、可完成电压、电流、电阻、通断测试等常规电气测量。</w:t>
            </w:r>
          </w:p>
        </w:tc>
        <w:tc>
          <w:tcPr>
            <w:tcW w:w="1139" w:type="dxa"/>
            <w:noWrap/>
            <w:vAlign w:val="center"/>
          </w:tcPr>
          <w:p w14:paraId="58836EE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工业</w:t>
            </w:r>
          </w:p>
        </w:tc>
      </w:tr>
      <w:tr w14:paraId="73D9A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86" w:type="dxa"/>
            <w:noWrap/>
            <w:vAlign w:val="center"/>
          </w:tcPr>
          <w:p w14:paraId="1CF0E4B1">
            <w:pPr>
              <w:keepNext w:val="0"/>
              <w:keepLines w:val="0"/>
              <w:widowControl/>
              <w:suppressLineNumbers w:val="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2</w:t>
            </w:r>
          </w:p>
        </w:tc>
        <w:tc>
          <w:tcPr>
            <w:tcW w:w="1566" w:type="dxa"/>
            <w:gridSpan w:val="2"/>
            <w:noWrap/>
            <w:vAlign w:val="center"/>
          </w:tcPr>
          <w:p w14:paraId="1B594E6C">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恒温电烙铁套装</w:t>
            </w:r>
          </w:p>
        </w:tc>
        <w:tc>
          <w:tcPr>
            <w:tcW w:w="631" w:type="dxa"/>
            <w:noWrap/>
            <w:vAlign w:val="center"/>
          </w:tcPr>
          <w:p w14:paraId="5C9CD747">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10</w:t>
            </w:r>
          </w:p>
        </w:tc>
        <w:tc>
          <w:tcPr>
            <w:tcW w:w="763" w:type="dxa"/>
            <w:noWrap/>
            <w:vAlign w:val="center"/>
          </w:tcPr>
          <w:p w14:paraId="5CC116D7">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套</w:t>
            </w:r>
          </w:p>
        </w:tc>
        <w:tc>
          <w:tcPr>
            <w:tcW w:w="5108" w:type="dxa"/>
            <w:noWrap/>
            <w:vAlign w:val="center"/>
          </w:tcPr>
          <w:p w14:paraId="62F72083">
            <w:pPr>
              <w:keepNext w:val="0"/>
              <w:keepLines w:val="0"/>
              <w:widowControl/>
              <w:suppressLineNumbers w:val="0"/>
              <w:jc w:val="left"/>
              <w:textAlignment w:val="center"/>
              <w:rPr>
                <w:rFonts w:hint="eastAsia" w:ascii="仿宋" w:hAnsi="仿宋" w:eastAsia="仿宋" w:cs="仿宋"/>
                <w:color w:val="auto"/>
                <w:kern w:val="0"/>
                <w:sz w:val="21"/>
                <w:szCs w:val="21"/>
              </w:rPr>
            </w:pPr>
            <w:r>
              <w:rPr>
                <w:rFonts w:hint="eastAsia" w:ascii="仿宋" w:hAnsi="仿宋" w:eastAsia="仿宋" w:cs="仿宋"/>
                <w:i w:val="0"/>
                <w:iCs w:val="0"/>
                <w:color w:val="000000"/>
                <w:kern w:val="0"/>
                <w:sz w:val="21"/>
                <w:szCs w:val="21"/>
                <w:u w:val="none"/>
                <w:lang w:val="en-US" w:eastAsia="zh-CN" w:bidi="ar"/>
              </w:rPr>
              <w:t>1、额定功率≥60W；</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2、适配输入电压：220V~230V，50Hz 工频交流电；</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3、最高工作温度≥430℃，支持温度可调；</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4、加热组件采用陶瓷芯，升温稳定、使用寿命长；</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5、套装含：电烙铁、烙铁架、高温海绵，配件齐全。</w:t>
            </w:r>
          </w:p>
        </w:tc>
        <w:tc>
          <w:tcPr>
            <w:tcW w:w="1139" w:type="dxa"/>
            <w:noWrap/>
            <w:vAlign w:val="center"/>
          </w:tcPr>
          <w:p w14:paraId="5104E50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工业</w:t>
            </w:r>
          </w:p>
        </w:tc>
      </w:tr>
      <w:tr w14:paraId="61FB1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86" w:type="dxa"/>
            <w:noWrap/>
            <w:vAlign w:val="center"/>
          </w:tcPr>
          <w:p w14:paraId="59BD48E3">
            <w:pPr>
              <w:keepNext w:val="0"/>
              <w:keepLines w:val="0"/>
              <w:widowControl/>
              <w:suppressLineNumbers w:val="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3</w:t>
            </w:r>
          </w:p>
        </w:tc>
        <w:tc>
          <w:tcPr>
            <w:tcW w:w="1566" w:type="dxa"/>
            <w:gridSpan w:val="2"/>
            <w:noWrap/>
            <w:vAlign w:val="center"/>
          </w:tcPr>
          <w:p w14:paraId="39AD9605">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焊锡丝</w:t>
            </w:r>
          </w:p>
        </w:tc>
        <w:tc>
          <w:tcPr>
            <w:tcW w:w="631" w:type="dxa"/>
            <w:noWrap/>
            <w:vAlign w:val="center"/>
          </w:tcPr>
          <w:p w14:paraId="3A95C47D">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20</w:t>
            </w:r>
          </w:p>
        </w:tc>
        <w:tc>
          <w:tcPr>
            <w:tcW w:w="763" w:type="dxa"/>
            <w:noWrap/>
            <w:vAlign w:val="center"/>
          </w:tcPr>
          <w:p w14:paraId="233642E7">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卷</w:t>
            </w:r>
          </w:p>
        </w:tc>
        <w:tc>
          <w:tcPr>
            <w:tcW w:w="5108" w:type="dxa"/>
            <w:noWrap/>
            <w:vAlign w:val="center"/>
          </w:tcPr>
          <w:p w14:paraId="32B7325E">
            <w:pPr>
              <w:keepNext w:val="0"/>
              <w:keepLines w:val="0"/>
              <w:widowControl/>
              <w:suppressLineNumbers w:val="0"/>
              <w:jc w:val="left"/>
              <w:textAlignment w:val="center"/>
              <w:rPr>
                <w:rFonts w:hint="eastAsia" w:ascii="仿宋" w:hAnsi="仿宋" w:eastAsia="仿宋" w:cs="仿宋"/>
                <w:color w:val="auto"/>
                <w:kern w:val="0"/>
                <w:sz w:val="21"/>
                <w:szCs w:val="21"/>
              </w:rPr>
            </w:pPr>
            <w:r>
              <w:rPr>
                <w:rFonts w:hint="eastAsia" w:ascii="仿宋" w:hAnsi="仿宋" w:eastAsia="仿宋" w:cs="仿宋"/>
                <w:i w:val="0"/>
                <w:iCs w:val="0"/>
                <w:color w:val="000000"/>
                <w:kern w:val="0"/>
                <w:sz w:val="21"/>
                <w:szCs w:val="21"/>
                <w:u w:val="none"/>
                <w:lang w:val="en-US" w:eastAsia="zh-CN" w:bidi="ar"/>
              </w:rPr>
              <w:t>1、单卷净重＞99g；</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2、锡含量≥60%，无铅环保型，符合环保要求；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3、线径 0.8mm，焊接流动性好、焊点光亮饱满。</w:t>
            </w:r>
          </w:p>
        </w:tc>
        <w:tc>
          <w:tcPr>
            <w:tcW w:w="1139" w:type="dxa"/>
            <w:noWrap/>
            <w:vAlign w:val="center"/>
          </w:tcPr>
          <w:p w14:paraId="0080F5D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工业</w:t>
            </w:r>
          </w:p>
        </w:tc>
      </w:tr>
      <w:tr w14:paraId="5003A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86" w:type="dxa"/>
            <w:noWrap/>
            <w:vAlign w:val="center"/>
          </w:tcPr>
          <w:p w14:paraId="2048D8AC">
            <w:pPr>
              <w:keepNext w:val="0"/>
              <w:keepLines w:val="0"/>
              <w:widowControl/>
              <w:suppressLineNumbers w:val="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4</w:t>
            </w:r>
          </w:p>
        </w:tc>
        <w:tc>
          <w:tcPr>
            <w:tcW w:w="1566" w:type="dxa"/>
            <w:gridSpan w:val="2"/>
            <w:noWrap/>
            <w:vAlign w:val="center"/>
          </w:tcPr>
          <w:p w14:paraId="0B969B3F">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松香 / 助焊剂</w:t>
            </w:r>
          </w:p>
        </w:tc>
        <w:tc>
          <w:tcPr>
            <w:tcW w:w="631" w:type="dxa"/>
            <w:noWrap/>
            <w:vAlign w:val="center"/>
          </w:tcPr>
          <w:p w14:paraId="04009FF8">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10</w:t>
            </w:r>
          </w:p>
        </w:tc>
        <w:tc>
          <w:tcPr>
            <w:tcW w:w="763" w:type="dxa"/>
            <w:noWrap/>
            <w:vAlign w:val="center"/>
          </w:tcPr>
          <w:p w14:paraId="675CD3C7">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盒</w:t>
            </w:r>
          </w:p>
        </w:tc>
        <w:tc>
          <w:tcPr>
            <w:tcW w:w="5108" w:type="dxa"/>
            <w:noWrap/>
            <w:vAlign w:val="center"/>
          </w:tcPr>
          <w:p w14:paraId="6FA91279">
            <w:pPr>
              <w:keepNext w:val="0"/>
              <w:keepLines w:val="0"/>
              <w:widowControl/>
              <w:suppressLineNumbers w:val="0"/>
              <w:jc w:val="left"/>
              <w:textAlignment w:val="center"/>
              <w:rPr>
                <w:rFonts w:hint="eastAsia" w:ascii="仿宋" w:hAnsi="仿宋" w:eastAsia="仿宋" w:cs="仿宋"/>
                <w:color w:val="auto"/>
                <w:kern w:val="0"/>
                <w:sz w:val="21"/>
                <w:szCs w:val="21"/>
              </w:rPr>
            </w:pPr>
            <w:r>
              <w:rPr>
                <w:rFonts w:hint="eastAsia" w:ascii="仿宋" w:hAnsi="仿宋" w:eastAsia="仿宋" w:cs="仿宋"/>
                <w:i w:val="0"/>
                <w:iCs w:val="0"/>
                <w:color w:val="000000"/>
                <w:kern w:val="0"/>
                <w:sz w:val="21"/>
                <w:szCs w:val="21"/>
                <w:u w:val="none"/>
                <w:lang w:val="en-US" w:eastAsia="zh-CN" w:bidi="ar"/>
              </w:rPr>
              <w:t>1、单盒净重≥50g；</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2、助焊性能优异，降低焊接氧化，适配电子元器件焊接使用。</w:t>
            </w:r>
          </w:p>
        </w:tc>
        <w:tc>
          <w:tcPr>
            <w:tcW w:w="1139" w:type="dxa"/>
            <w:noWrap/>
            <w:vAlign w:val="center"/>
          </w:tcPr>
          <w:p w14:paraId="57A88DB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工业</w:t>
            </w:r>
          </w:p>
        </w:tc>
      </w:tr>
      <w:tr w14:paraId="1B56A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86" w:type="dxa"/>
            <w:noWrap/>
            <w:vAlign w:val="center"/>
          </w:tcPr>
          <w:p w14:paraId="2041AA6A">
            <w:pPr>
              <w:keepNext w:val="0"/>
              <w:keepLines w:val="0"/>
              <w:widowControl/>
              <w:suppressLineNumbers w:val="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5</w:t>
            </w:r>
          </w:p>
        </w:tc>
        <w:tc>
          <w:tcPr>
            <w:tcW w:w="1566" w:type="dxa"/>
            <w:gridSpan w:val="2"/>
            <w:noWrap/>
            <w:vAlign w:val="center"/>
          </w:tcPr>
          <w:p w14:paraId="2604F3BC">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防静电镊子套装</w:t>
            </w:r>
          </w:p>
        </w:tc>
        <w:tc>
          <w:tcPr>
            <w:tcW w:w="631" w:type="dxa"/>
            <w:noWrap/>
            <w:vAlign w:val="center"/>
          </w:tcPr>
          <w:p w14:paraId="1ADAAC0F">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10</w:t>
            </w:r>
          </w:p>
        </w:tc>
        <w:tc>
          <w:tcPr>
            <w:tcW w:w="763" w:type="dxa"/>
            <w:noWrap/>
            <w:vAlign w:val="center"/>
          </w:tcPr>
          <w:p w14:paraId="17311E38">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套</w:t>
            </w:r>
          </w:p>
        </w:tc>
        <w:tc>
          <w:tcPr>
            <w:tcW w:w="5108" w:type="dxa"/>
            <w:noWrap/>
            <w:vAlign w:val="center"/>
          </w:tcPr>
          <w:p w14:paraId="085B074D">
            <w:pPr>
              <w:keepNext w:val="0"/>
              <w:keepLines w:val="0"/>
              <w:widowControl/>
              <w:suppressLineNumbers w:val="0"/>
              <w:jc w:val="left"/>
              <w:textAlignment w:val="center"/>
              <w:rPr>
                <w:rFonts w:hint="eastAsia" w:ascii="仿宋" w:hAnsi="仿宋" w:eastAsia="仿宋" w:cs="仿宋"/>
                <w:color w:val="auto"/>
                <w:kern w:val="0"/>
                <w:sz w:val="21"/>
                <w:szCs w:val="21"/>
              </w:rPr>
            </w:pPr>
            <w:r>
              <w:rPr>
                <w:rFonts w:hint="eastAsia" w:ascii="仿宋" w:hAnsi="仿宋" w:eastAsia="仿宋" w:cs="仿宋"/>
                <w:i w:val="0"/>
                <w:iCs w:val="0"/>
                <w:color w:val="000000"/>
                <w:kern w:val="0"/>
                <w:sz w:val="21"/>
                <w:szCs w:val="21"/>
                <w:u w:val="none"/>
                <w:lang w:val="en-US" w:eastAsia="zh-CN" w:bidi="ar"/>
              </w:rPr>
              <w:t>1、整体采用不锈钢材质，强度高、耐腐蚀；</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2、套装包含尖头、弯头、平头镊子各 1 把；</w:t>
            </w:r>
          </w:p>
        </w:tc>
        <w:tc>
          <w:tcPr>
            <w:tcW w:w="1139" w:type="dxa"/>
            <w:noWrap/>
            <w:vAlign w:val="center"/>
          </w:tcPr>
          <w:p w14:paraId="5F2F50A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工业</w:t>
            </w:r>
          </w:p>
        </w:tc>
      </w:tr>
      <w:tr w14:paraId="01300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86" w:type="dxa"/>
            <w:noWrap/>
            <w:vAlign w:val="center"/>
          </w:tcPr>
          <w:p w14:paraId="6953E627">
            <w:pPr>
              <w:keepNext w:val="0"/>
              <w:keepLines w:val="0"/>
              <w:widowControl/>
              <w:suppressLineNumbers w:val="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6</w:t>
            </w:r>
          </w:p>
        </w:tc>
        <w:tc>
          <w:tcPr>
            <w:tcW w:w="1566" w:type="dxa"/>
            <w:gridSpan w:val="2"/>
            <w:noWrap/>
            <w:vAlign w:val="center"/>
          </w:tcPr>
          <w:p w14:paraId="0F628ED1">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斜口钳</w:t>
            </w:r>
          </w:p>
        </w:tc>
        <w:tc>
          <w:tcPr>
            <w:tcW w:w="631" w:type="dxa"/>
            <w:noWrap/>
            <w:vAlign w:val="center"/>
          </w:tcPr>
          <w:p w14:paraId="1F07323C">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10</w:t>
            </w:r>
          </w:p>
        </w:tc>
        <w:tc>
          <w:tcPr>
            <w:tcW w:w="763" w:type="dxa"/>
            <w:noWrap/>
            <w:vAlign w:val="center"/>
          </w:tcPr>
          <w:p w14:paraId="4892C198">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把</w:t>
            </w:r>
          </w:p>
        </w:tc>
        <w:tc>
          <w:tcPr>
            <w:tcW w:w="5108" w:type="dxa"/>
            <w:noWrap/>
            <w:vAlign w:val="center"/>
          </w:tcPr>
          <w:p w14:paraId="2A84A149">
            <w:pPr>
              <w:keepNext w:val="0"/>
              <w:keepLines w:val="0"/>
              <w:widowControl/>
              <w:suppressLineNumbers w:val="0"/>
              <w:jc w:val="left"/>
              <w:textAlignment w:val="center"/>
              <w:rPr>
                <w:rFonts w:hint="eastAsia" w:ascii="仿宋" w:hAnsi="仿宋" w:eastAsia="仿宋" w:cs="仿宋"/>
                <w:color w:val="auto"/>
                <w:kern w:val="0"/>
                <w:sz w:val="21"/>
                <w:szCs w:val="21"/>
              </w:rPr>
            </w:pPr>
            <w:r>
              <w:rPr>
                <w:rFonts w:hint="eastAsia" w:ascii="仿宋" w:hAnsi="仿宋" w:eastAsia="仿宋" w:cs="仿宋"/>
                <w:i w:val="0"/>
                <w:iCs w:val="0"/>
                <w:color w:val="000000"/>
                <w:kern w:val="0"/>
                <w:sz w:val="21"/>
                <w:szCs w:val="21"/>
                <w:u w:val="none"/>
                <w:lang w:val="en-US" w:eastAsia="zh-CN" w:bidi="ar"/>
              </w:rPr>
              <w:t>1、产品刃口硬度≥50HRC，剪切强度高、耐用不易崩口；</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2、产品规格尺寸≥5 寸，适配电子元器件剪切作业。</w:t>
            </w:r>
          </w:p>
        </w:tc>
        <w:tc>
          <w:tcPr>
            <w:tcW w:w="1139" w:type="dxa"/>
            <w:noWrap/>
            <w:vAlign w:val="center"/>
          </w:tcPr>
          <w:p w14:paraId="39433F2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工业</w:t>
            </w:r>
          </w:p>
        </w:tc>
      </w:tr>
      <w:tr w14:paraId="32BF8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86" w:type="dxa"/>
            <w:noWrap/>
            <w:vAlign w:val="center"/>
          </w:tcPr>
          <w:p w14:paraId="639E294D">
            <w:pPr>
              <w:keepNext w:val="0"/>
              <w:keepLines w:val="0"/>
              <w:widowControl/>
              <w:suppressLineNumbers w:val="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7</w:t>
            </w:r>
          </w:p>
        </w:tc>
        <w:tc>
          <w:tcPr>
            <w:tcW w:w="1566" w:type="dxa"/>
            <w:gridSpan w:val="2"/>
            <w:noWrap/>
            <w:vAlign w:val="center"/>
          </w:tcPr>
          <w:p w14:paraId="108D111B">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剥线钳</w:t>
            </w:r>
          </w:p>
        </w:tc>
        <w:tc>
          <w:tcPr>
            <w:tcW w:w="631" w:type="dxa"/>
            <w:noWrap/>
            <w:vAlign w:val="center"/>
          </w:tcPr>
          <w:p w14:paraId="0FE7FA40">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10</w:t>
            </w:r>
          </w:p>
        </w:tc>
        <w:tc>
          <w:tcPr>
            <w:tcW w:w="763" w:type="dxa"/>
            <w:noWrap/>
            <w:vAlign w:val="center"/>
          </w:tcPr>
          <w:p w14:paraId="1ED6AEA4">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把</w:t>
            </w:r>
          </w:p>
        </w:tc>
        <w:tc>
          <w:tcPr>
            <w:tcW w:w="5108" w:type="dxa"/>
            <w:noWrap/>
            <w:vAlign w:val="center"/>
          </w:tcPr>
          <w:p w14:paraId="42E3F0D1">
            <w:pPr>
              <w:keepNext w:val="0"/>
              <w:keepLines w:val="0"/>
              <w:widowControl/>
              <w:suppressLineNumbers w:val="0"/>
              <w:jc w:val="left"/>
              <w:textAlignment w:val="center"/>
              <w:rPr>
                <w:rFonts w:hint="eastAsia" w:ascii="仿宋" w:hAnsi="仿宋" w:eastAsia="仿宋" w:cs="仿宋"/>
                <w:color w:val="auto"/>
                <w:kern w:val="0"/>
                <w:sz w:val="21"/>
                <w:szCs w:val="21"/>
              </w:rPr>
            </w:pPr>
            <w:r>
              <w:rPr>
                <w:rFonts w:hint="eastAsia" w:ascii="仿宋" w:hAnsi="仿宋" w:eastAsia="仿宋" w:cs="仿宋"/>
                <w:i w:val="0"/>
                <w:iCs w:val="0"/>
                <w:color w:val="000000"/>
                <w:kern w:val="0"/>
                <w:sz w:val="21"/>
                <w:szCs w:val="21"/>
                <w:u w:val="none"/>
                <w:lang w:val="en-US" w:eastAsia="zh-CN" w:bidi="ar"/>
              </w:rPr>
              <w:t>1、产品规格尺寸≥5 寸，握持舒适、操作便捷；</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2、主体材质采用高碳钢，强度高、耐磨性好、使用寿命长；</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3、具备多规格剥线档位，适配常规导线剥线作业。</w:t>
            </w:r>
          </w:p>
        </w:tc>
        <w:tc>
          <w:tcPr>
            <w:tcW w:w="1139" w:type="dxa"/>
            <w:noWrap/>
            <w:vAlign w:val="center"/>
          </w:tcPr>
          <w:p w14:paraId="784C79B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工业</w:t>
            </w:r>
          </w:p>
        </w:tc>
      </w:tr>
      <w:tr w14:paraId="18CC7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86" w:type="dxa"/>
            <w:noWrap/>
            <w:vAlign w:val="center"/>
          </w:tcPr>
          <w:p w14:paraId="3D525414">
            <w:pPr>
              <w:keepNext w:val="0"/>
              <w:keepLines w:val="0"/>
              <w:widowControl/>
              <w:suppressLineNumbers w:val="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8</w:t>
            </w:r>
          </w:p>
        </w:tc>
        <w:tc>
          <w:tcPr>
            <w:tcW w:w="1566" w:type="dxa"/>
            <w:gridSpan w:val="2"/>
            <w:noWrap/>
            <w:vAlign w:val="center"/>
          </w:tcPr>
          <w:p w14:paraId="1EFA3046">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内六角螺丝刀套装</w:t>
            </w:r>
          </w:p>
        </w:tc>
        <w:tc>
          <w:tcPr>
            <w:tcW w:w="631" w:type="dxa"/>
            <w:noWrap/>
            <w:vAlign w:val="center"/>
          </w:tcPr>
          <w:p w14:paraId="3B9BE501">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10</w:t>
            </w:r>
          </w:p>
        </w:tc>
        <w:tc>
          <w:tcPr>
            <w:tcW w:w="763" w:type="dxa"/>
            <w:noWrap/>
            <w:vAlign w:val="center"/>
          </w:tcPr>
          <w:p w14:paraId="5167EF0D">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套</w:t>
            </w:r>
          </w:p>
        </w:tc>
        <w:tc>
          <w:tcPr>
            <w:tcW w:w="5108" w:type="dxa"/>
            <w:noWrap/>
            <w:vAlign w:val="center"/>
          </w:tcPr>
          <w:p w14:paraId="38E6C8BF">
            <w:pPr>
              <w:keepNext w:val="0"/>
              <w:keepLines w:val="0"/>
              <w:widowControl/>
              <w:suppressLineNumbers w:val="0"/>
              <w:jc w:val="left"/>
              <w:textAlignment w:val="center"/>
              <w:rPr>
                <w:rFonts w:hint="eastAsia" w:ascii="仿宋" w:hAnsi="仿宋" w:eastAsia="仿宋" w:cs="仿宋"/>
                <w:color w:val="auto"/>
                <w:kern w:val="0"/>
                <w:sz w:val="21"/>
                <w:szCs w:val="21"/>
              </w:rPr>
            </w:pPr>
            <w:r>
              <w:rPr>
                <w:rFonts w:hint="eastAsia" w:ascii="仿宋" w:hAnsi="仿宋" w:eastAsia="仿宋" w:cs="仿宋"/>
                <w:i w:val="0"/>
                <w:iCs w:val="0"/>
                <w:color w:val="000000"/>
                <w:kern w:val="0"/>
                <w:sz w:val="21"/>
                <w:szCs w:val="21"/>
                <w:u w:val="none"/>
                <w:lang w:val="en-US" w:eastAsia="zh-CN" w:bidi="ar"/>
              </w:rPr>
              <w:t>1、套装配置包含：M1.5、M2.0、M2.5、M3.0 内六角批头、十字批头、一字批头；</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2、批头硬度达标，不易滑丝，适配电子设备、小型设备拆装。</w:t>
            </w:r>
          </w:p>
        </w:tc>
        <w:tc>
          <w:tcPr>
            <w:tcW w:w="1139" w:type="dxa"/>
            <w:noWrap/>
            <w:vAlign w:val="center"/>
          </w:tcPr>
          <w:p w14:paraId="2FA7782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工业</w:t>
            </w:r>
          </w:p>
        </w:tc>
      </w:tr>
      <w:tr w14:paraId="7E24A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86" w:type="dxa"/>
            <w:noWrap/>
            <w:vAlign w:val="center"/>
          </w:tcPr>
          <w:p w14:paraId="4BB36282">
            <w:pPr>
              <w:keepNext w:val="0"/>
              <w:keepLines w:val="0"/>
              <w:widowControl/>
              <w:suppressLineNumbers w:val="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9</w:t>
            </w:r>
          </w:p>
        </w:tc>
        <w:tc>
          <w:tcPr>
            <w:tcW w:w="1566" w:type="dxa"/>
            <w:gridSpan w:val="2"/>
            <w:noWrap/>
            <w:vAlign w:val="center"/>
          </w:tcPr>
          <w:p w14:paraId="4D1FCCA9">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套筒扳手</w:t>
            </w:r>
          </w:p>
        </w:tc>
        <w:tc>
          <w:tcPr>
            <w:tcW w:w="631" w:type="dxa"/>
            <w:noWrap/>
            <w:vAlign w:val="center"/>
          </w:tcPr>
          <w:p w14:paraId="123ED138">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10</w:t>
            </w:r>
          </w:p>
        </w:tc>
        <w:tc>
          <w:tcPr>
            <w:tcW w:w="763" w:type="dxa"/>
            <w:noWrap/>
            <w:vAlign w:val="center"/>
          </w:tcPr>
          <w:p w14:paraId="58E9317A">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套</w:t>
            </w:r>
          </w:p>
        </w:tc>
        <w:tc>
          <w:tcPr>
            <w:tcW w:w="5108" w:type="dxa"/>
            <w:noWrap/>
            <w:vAlign w:val="center"/>
          </w:tcPr>
          <w:p w14:paraId="1013654C">
            <w:pPr>
              <w:keepNext w:val="0"/>
              <w:keepLines w:val="0"/>
              <w:widowControl/>
              <w:suppressLineNumbers w:val="0"/>
              <w:jc w:val="left"/>
              <w:textAlignment w:val="center"/>
              <w:rPr>
                <w:rFonts w:hint="eastAsia" w:ascii="仿宋" w:hAnsi="仿宋" w:eastAsia="仿宋" w:cs="仿宋"/>
                <w:color w:val="auto"/>
                <w:kern w:val="0"/>
                <w:sz w:val="21"/>
                <w:szCs w:val="21"/>
              </w:rPr>
            </w:pPr>
            <w:r>
              <w:rPr>
                <w:rFonts w:hint="eastAsia" w:ascii="仿宋" w:hAnsi="仿宋" w:eastAsia="仿宋" w:cs="仿宋"/>
                <w:i w:val="0"/>
                <w:iCs w:val="0"/>
                <w:color w:val="000000"/>
                <w:kern w:val="0"/>
                <w:sz w:val="21"/>
                <w:szCs w:val="21"/>
                <w:u w:val="none"/>
                <w:lang w:val="en-US" w:eastAsia="zh-CN" w:bidi="ar"/>
              </w:rPr>
              <w:t>1、套筒规格为 5.5mm，适配对应规格紧固件；</w:t>
            </w:r>
          </w:p>
        </w:tc>
        <w:tc>
          <w:tcPr>
            <w:tcW w:w="1139" w:type="dxa"/>
            <w:noWrap/>
            <w:vAlign w:val="center"/>
          </w:tcPr>
          <w:p w14:paraId="4717E89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工业</w:t>
            </w:r>
          </w:p>
        </w:tc>
      </w:tr>
      <w:tr w14:paraId="410DE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86" w:type="dxa"/>
            <w:noWrap/>
            <w:vAlign w:val="center"/>
          </w:tcPr>
          <w:p w14:paraId="05751276">
            <w:pPr>
              <w:keepNext w:val="0"/>
              <w:keepLines w:val="0"/>
              <w:widowControl/>
              <w:suppressLineNumbers w:val="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10</w:t>
            </w:r>
          </w:p>
        </w:tc>
        <w:tc>
          <w:tcPr>
            <w:tcW w:w="1566" w:type="dxa"/>
            <w:gridSpan w:val="2"/>
            <w:noWrap/>
            <w:vAlign w:val="center"/>
          </w:tcPr>
          <w:p w14:paraId="376E579C">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3M 双面胶</w:t>
            </w:r>
          </w:p>
        </w:tc>
        <w:tc>
          <w:tcPr>
            <w:tcW w:w="631" w:type="dxa"/>
            <w:noWrap/>
            <w:vAlign w:val="center"/>
          </w:tcPr>
          <w:p w14:paraId="3AEA599A">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10</w:t>
            </w:r>
          </w:p>
        </w:tc>
        <w:tc>
          <w:tcPr>
            <w:tcW w:w="763" w:type="dxa"/>
            <w:noWrap/>
            <w:vAlign w:val="center"/>
          </w:tcPr>
          <w:p w14:paraId="41F47D0F">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卷</w:t>
            </w:r>
          </w:p>
        </w:tc>
        <w:tc>
          <w:tcPr>
            <w:tcW w:w="5108" w:type="dxa"/>
            <w:noWrap/>
            <w:vAlign w:val="center"/>
          </w:tcPr>
          <w:p w14:paraId="1F057ABC">
            <w:pPr>
              <w:keepNext w:val="0"/>
              <w:keepLines w:val="0"/>
              <w:widowControl/>
              <w:suppressLineNumbers w:val="0"/>
              <w:jc w:val="left"/>
              <w:textAlignment w:val="center"/>
              <w:rPr>
                <w:rFonts w:hint="eastAsia" w:ascii="仿宋" w:hAnsi="仿宋" w:eastAsia="仿宋" w:cs="仿宋"/>
                <w:color w:val="auto"/>
                <w:kern w:val="0"/>
                <w:sz w:val="21"/>
                <w:szCs w:val="21"/>
              </w:rPr>
            </w:pPr>
            <w:r>
              <w:rPr>
                <w:rFonts w:hint="eastAsia" w:ascii="仿宋" w:hAnsi="仿宋" w:eastAsia="仿宋" w:cs="仿宋"/>
                <w:i w:val="0"/>
                <w:iCs w:val="0"/>
                <w:color w:val="000000"/>
                <w:kern w:val="0"/>
                <w:sz w:val="21"/>
                <w:szCs w:val="21"/>
                <w:u w:val="none"/>
                <w:lang w:val="en-US" w:eastAsia="zh-CN" w:bidi="ar"/>
              </w:rPr>
              <w:t>1、胶带宽度≥10mm，厚度≥1mm，长度≥4m；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2、粘性稳定，防水耐温，适配电子实训、元器件固定使用。</w:t>
            </w:r>
          </w:p>
        </w:tc>
        <w:tc>
          <w:tcPr>
            <w:tcW w:w="1139" w:type="dxa"/>
            <w:noWrap/>
            <w:vAlign w:val="center"/>
          </w:tcPr>
          <w:p w14:paraId="42E5A16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工业</w:t>
            </w:r>
          </w:p>
        </w:tc>
      </w:tr>
      <w:tr w14:paraId="40C46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86" w:type="dxa"/>
            <w:noWrap/>
            <w:vAlign w:val="center"/>
          </w:tcPr>
          <w:p w14:paraId="1E7EBF74">
            <w:pPr>
              <w:keepNext w:val="0"/>
              <w:keepLines w:val="0"/>
              <w:widowControl/>
              <w:suppressLineNumbers w:val="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11</w:t>
            </w:r>
          </w:p>
        </w:tc>
        <w:tc>
          <w:tcPr>
            <w:tcW w:w="1566" w:type="dxa"/>
            <w:gridSpan w:val="2"/>
            <w:noWrap/>
            <w:vAlign w:val="center"/>
          </w:tcPr>
          <w:p w14:paraId="1B13323F">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调参数据线套装</w:t>
            </w:r>
          </w:p>
        </w:tc>
        <w:tc>
          <w:tcPr>
            <w:tcW w:w="631" w:type="dxa"/>
            <w:noWrap/>
            <w:vAlign w:val="center"/>
          </w:tcPr>
          <w:p w14:paraId="0EDD3483">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10</w:t>
            </w:r>
          </w:p>
        </w:tc>
        <w:tc>
          <w:tcPr>
            <w:tcW w:w="763" w:type="dxa"/>
            <w:noWrap/>
            <w:vAlign w:val="center"/>
          </w:tcPr>
          <w:p w14:paraId="575F9275">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套</w:t>
            </w:r>
          </w:p>
        </w:tc>
        <w:tc>
          <w:tcPr>
            <w:tcW w:w="5108" w:type="dxa"/>
            <w:noWrap/>
            <w:vAlign w:val="center"/>
          </w:tcPr>
          <w:p w14:paraId="461ADE7C">
            <w:pPr>
              <w:keepNext w:val="0"/>
              <w:keepLines w:val="0"/>
              <w:widowControl/>
              <w:suppressLineNumbers w:val="0"/>
              <w:jc w:val="left"/>
              <w:textAlignment w:val="center"/>
              <w:rPr>
                <w:rFonts w:hint="eastAsia" w:ascii="仿宋" w:hAnsi="仿宋" w:eastAsia="仿宋" w:cs="仿宋"/>
                <w:color w:val="auto"/>
                <w:kern w:val="0"/>
                <w:sz w:val="21"/>
                <w:szCs w:val="21"/>
              </w:rPr>
            </w:pPr>
            <w:r>
              <w:rPr>
                <w:rFonts w:hint="eastAsia" w:ascii="仿宋" w:hAnsi="仿宋" w:eastAsia="仿宋" w:cs="仿宋"/>
                <w:i w:val="0"/>
                <w:iCs w:val="0"/>
                <w:color w:val="000000"/>
                <w:kern w:val="0"/>
                <w:sz w:val="21"/>
                <w:szCs w:val="21"/>
                <w:u w:val="none"/>
                <w:lang w:val="en-US" w:eastAsia="zh-CN" w:bidi="ar"/>
              </w:rPr>
              <w:t>1、套装包含：USB 转 Micro</w:t>
            </w:r>
            <w:r>
              <w:rPr>
                <w:rFonts w:hint="eastAsia" w:ascii="仿宋" w:hAnsi="仿宋" w:eastAsia="仿宋" w:cs="仿宋"/>
                <w:i w:val="0"/>
                <w:iCs w:val="0"/>
                <w:color w:val="000000"/>
                <w:kern w:val="0"/>
                <w:sz w:val="21"/>
                <w:szCs w:val="21"/>
                <w:u w:val="none"/>
                <w:lang w:val="en-US" w:eastAsia="zh-CN" w:bidi="ar"/>
              </w:rPr>
              <w:noBreakHyphen/>
            </w:r>
            <w:r>
              <w:rPr>
                <w:rFonts w:hint="eastAsia" w:ascii="仿宋" w:hAnsi="仿宋" w:eastAsia="仿宋" w:cs="仿宋"/>
                <w:i w:val="0"/>
                <w:iCs w:val="0"/>
                <w:color w:val="000000"/>
                <w:kern w:val="0"/>
                <w:sz w:val="21"/>
                <w:szCs w:val="21"/>
                <w:u w:val="none"/>
                <w:lang w:val="en-US" w:eastAsia="zh-CN" w:bidi="ar"/>
              </w:rPr>
              <w:t>USB、USB 转 Type</w:t>
            </w:r>
            <w:r>
              <w:rPr>
                <w:rFonts w:hint="eastAsia" w:ascii="仿宋" w:hAnsi="仿宋" w:eastAsia="仿宋" w:cs="仿宋"/>
                <w:i w:val="0"/>
                <w:iCs w:val="0"/>
                <w:color w:val="000000"/>
                <w:kern w:val="0"/>
                <w:sz w:val="21"/>
                <w:szCs w:val="21"/>
                <w:u w:val="none"/>
                <w:lang w:val="en-US" w:eastAsia="zh-CN" w:bidi="ar"/>
              </w:rPr>
              <w:noBreakHyphen/>
            </w:r>
            <w:r>
              <w:rPr>
                <w:rFonts w:hint="eastAsia" w:ascii="仿宋" w:hAnsi="仿宋" w:eastAsia="仿宋" w:cs="仿宋"/>
                <w:i w:val="0"/>
                <w:iCs w:val="0"/>
                <w:color w:val="000000"/>
                <w:kern w:val="0"/>
                <w:sz w:val="21"/>
                <w:szCs w:val="21"/>
                <w:u w:val="none"/>
                <w:lang w:val="en-US" w:eastAsia="zh-CN" w:bidi="ar"/>
              </w:rPr>
              <w:t>C 数据线各 1 条；</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2、线束具备稳定数据传输功能，适配主流飞控设备调参、供电；</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3、线材抗弯折，接口牢固，适配无人机、航模等实训设备。</w:t>
            </w:r>
          </w:p>
        </w:tc>
        <w:tc>
          <w:tcPr>
            <w:tcW w:w="1139" w:type="dxa"/>
            <w:noWrap/>
            <w:vAlign w:val="center"/>
          </w:tcPr>
          <w:p w14:paraId="2525BB5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工业</w:t>
            </w:r>
          </w:p>
        </w:tc>
      </w:tr>
      <w:tr w14:paraId="0EDF5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86" w:type="dxa"/>
            <w:noWrap/>
            <w:vAlign w:val="center"/>
          </w:tcPr>
          <w:p w14:paraId="63F54526">
            <w:pPr>
              <w:keepNext w:val="0"/>
              <w:keepLines w:val="0"/>
              <w:widowControl/>
              <w:suppressLineNumbers w:val="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12</w:t>
            </w:r>
          </w:p>
        </w:tc>
        <w:tc>
          <w:tcPr>
            <w:tcW w:w="1566" w:type="dxa"/>
            <w:gridSpan w:val="2"/>
            <w:noWrap/>
            <w:vAlign w:val="center"/>
          </w:tcPr>
          <w:p w14:paraId="299AE4C8">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直钢尺</w:t>
            </w:r>
          </w:p>
        </w:tc>
        <w:tc>
          <w:tcPr>
            <w:tcW w:w="631" w:type="dxa"/>
            <w:noWrap/>
            <w:vAlign w:val="center"/>
          </w:tcPr>
          <w:p w14:paraId="59BCABCC">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10</w:t>
            </w:r>
          </w:p>
        </w:tc>
        <w:tc>
          <w:tcPr>
            <w:tcW w:w="763" w:type="dxa"/>
            <w:noWrap/>
            <w:vAlign w:val="center"/>
          </w:tcPr>
          <w:p w14:paraId="1B3D952B">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把</w:t>
            </w:r>
          </w:p>
        </w:tc>
        <w:tc>
          <w:tcPr>
            <w:tcW w:w="5108" w:type="dxa"/>
            <w:noWrap/>
            <w:vAlign w:val="center"/>
          </w:tcPr>
          <w:p w14:paraId="797C14DA">
            <w:pPr>
              <w:keepNext w:val="0"/>
              <w:keepLines w:val="0"/>
              <w:widowControl/>
              <w:suppressLineNumbers w:val="0"/>
              <w:jc w:val="left"/>
              <w:textAlignment w:val="center"/>
              <w:rPr>
                <w:rFonts w:hint="eastAsia" w:ascii="仿宋" w:hAnsi="仿宋" w:eastAsia="仿宋" w:cs="仿宋"/>
                <w:color w:val="auto"/>
                <w:kern w:val="0"/>
                <w:sz w:val="21"/>
                <w:szCs w:val="21"/>
              </w:rPr>
            </w:pPr>
            <w:r>
              <w:rPr>
                <w:rFonts w:hint="eastAsia" w:ascii="仿宋" w:hAnsi="仿宋" w:eastAsia="仿宋" w:cs="仿宋"/>
                <w:i w:val="0"/>
                <w:iCs w:val="0"/>
                <w:color w:val="000000"/>
                <w:kern w:val="0"/>
                <w:sz w:val="21"/>
                <w:szCs w:val="21"/>
                <w:u w:val="none"/>
                <w:lang w:val="en-US" w:eastAsia="zh-CN" w:bidi="ar"/>
              </w:rPr>
              <w:t>1、整体采用不锈钢材质，耐腐蚀、不易变形;</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2、最小刻度精度≤1mm，读数清晰;</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3、测量量程≥250mm，满足实训测量、划线作业需求。</w:t>
            </w:r>
          </w:p>
        </w:tc>
        <w:tc>
          <w:tcPr>
            <w:tcW w:w="1139" w:type="dxa"/>
            <w:noWrap/>
            <w:vAlign w:val="center"/>
          </w:tcPr>
          <w:p w14:paraId="2631194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工业</w:t>
            </w:r>
          </w:p>
        </w:tc>
      </w:tr>
      <w:tr w14:paraId="2482F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86" w:type="dxa"/>
            <w:noWrap/>
            <w:vAlign w:val="center"/>
          </w:tcPr>
          <w:p w14:paraId="755C90AF">
            <w:pPr>
              <w:keepNext w:val="0"/>
              <w:keepLines w:val="0"/>
              <w:widowControl/>
              <w:suppressLineNumbers w:val="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13</w:t>
            </w:r>
          </w:p>
        </w:tc>
        <w:tc>
          <w:tcPr>
            <w:tcW w:w="1566" w:type="dxa"/>
            <w:gridSpan w:val="2"/>
            <w:noWrap/>
            <w:vAlign w:val="center"/>
          </w:tcPr>
          <w:p w14:paraId="5D7F8F2B">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水平仪</w:t>
            </w:r>
          </w:p>
        </w:tc>
        <w:tc>
          <w:tcPr>
            <w:tcW w:w="631" w:type="dxa"/>
            <w:noWrap/>
            <w:vAlign w:val="center"/>
          </w:tcPr>
          <w:p w14:paraId="2B8C177D">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10</w:t>
            </w:r>
          </w:p>
        </w:tc>
        <w:tc>
          <w:tcPr>
            <w:tcW w:w="763" w:type="dxa"/>
            <w:noWrap/>
            <w:vAlign w:val="center"/>
          </w:tcPr>
          <w:p w14:paraId="3D825FC6">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个</w:t>
            </w:r>
          </w:p>
        </w:tc>
        <w:tc>
          <w:tcPr>
            <w:tcW w:w="5108" w:type="dxa"/>
            <w:noWrap/>
            <w:vAlign w:val="center"/>
          </w:tcPr>
          <w:p w14:paraId="4E0F2970">
            <w:pPr>
              <w:keepNext w:val="0"/>
              <w:keepLines w:val="0"/>
              <w:widowControl/>
              <w:suppressLineNumbers w:val="0"/>
              <w:jc w:val="left"/>
              <w:textAlignment w:val="center"/>
              <w:rPr>
                <w:rFonts w:hint="eastAsia" w:ascii="仿宋" w:hAnsi="仿宋" w:eastAsia="仿宋" w:cs="仿宋"/>
                <w:color w:val="auto"/>
                <w:kern w:val="0"/>
                <w:sz w:val="21"/>
                <w:szCs w:val="21"/>
              </w:rPr>
            </w:pPr>
            <w:r>
              <w:rPr>
                <w:rFonts w:hint="eastAsia" w:ascii="仿宋" w:hAnsi="仿宋" w:eastAsia="仿宋" w:cs="仿宋"/>
                <w:i w:val="0"/>
                <w:iCs w:val="0"/>
                <w:color w:val="000000"/>
                <w:kern w:val="0"/>
                <w:sz w:val="21"/>
                <w:szCs w:val="21"/>
                <w:u w:val="none"/>
                <w:lang w:val="en-US" w:eastAsia="zh-CN" w:bidi="ar"/>
              </w:rPr>
              <w:t>1、主体材质为铝合金，轻便坚固、不易变形;</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2、有效测量量程≥600mm;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3、具备多角度水平/垂直测量功能，气泡读数清晰，适配实训安装校准作业。</w:t>
            </w:r>
          </w:p>
        </w:tc>
        <w:tc>
          <w:tcPr>
            <w:tcW w:w="1139" w:type="dxa"/>
            <w:noWrap/>
            <w:vAlign w:val="center"/>
          </w:tcPr>
          <w:p w14:paraId="07CEB7B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工业</w:t>
            </w:r>
          </w:p>
        </w:tc>
      </w:tr>
      <w:tr w14:paraId="34765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86" w:type="dxa"/>
            <w:noWrap/>
            <w:vAlign w:val="center"/>
          </w:tcPr>
          <w:p w14:paraId="4C321980">
            <w:pPr>
              <w:keepNext w:val="0"/>
              <w:keepLines w:val="0"/>
              <w:widowControl/>
              <w:suppressLineNumbers w:val="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14</w:t>
            </w:r>
          </w:p>
        </w:tc>
        <w:tc>
          <w:tcPr>
            <w:tcW w:w="1566" w:type="dxa"/>
            <w:gridSpan w:val="2"/>
            <w:noWrap/>
            <w:vAlign w:val="center"/>
          </w:tcPr>
          <w:p w14:paraId="44E3377A">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防静电垫</w:t>
            </w:r>
          </w:p>
        </w:tc>
        <w:tc>
          <w:tcPr>
            <w:tcW w:w="631" w:type="dxa"/>
            <w:noWrap/>
            <w:vAlign w:val="center"/>
          </w:tcPr>
          <w:p w14:paraId="1CFAF867">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10</w:t>
            </w:r>
          </w:p>
        </w:tc>
        <w:tc>
          <w:tcPr>
            <w:tcW w:w="763" w:type="dxa"/>
            <w:noWrap/>
            <w:vAlign w:val="center"/>
          </w:tcPr>
          <w:p w14:paraId="7617DD08">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张</w:t>
            </w:r>
          </w:p>
        </w:tc>
        <w:tc>
          <w:tcPr>
            <w:tcW w:w="5108" w:type="dxa"/>
            <w:noWrap/>
            <w:vAlign w:val="center"/>
          </w:tcPr>
          <w:p w14:paraId="18C09B8A">
            <w:pPr>
              <w:keepNext w:val="0"/>
              <w:keepLines w:val="0"/>
              <w:widowControl/>
              <w:suppressLineNumbers w:val="0"/>
              <w:jc w:val="left"/>
              <w:textAlignment w:val="center"/>
              <w:rPr>
                <w:rFonts w:hint="eastAsia" w:ascii="仿宋" w:hAnsi="仿宋" w:eastAsia="仿宋" w:cs="仿宋"/>
                <w:color w:val="auto"/>
                <w:kern w:val="0"/>
                <w:sz w:val="21"/>
                <w:szCs w:val="21"/>
              </w:rPr>
            </w:pPr>
            <w:r>
              <w:rPr>
                <w:rFonts w:hint="eastAsia" w:ascii="仿宋" w:hAnsi="仿宋" w:eastAsia="仿宋" w:cs="仿宋"/>
                <w:i w:val="0"/>
                <w:iCs w:val="0"/>
                <w:color w:val="000000"/>
                <w:kern w:val="0"/>
                <w:sz w:val="21"/>
                <w:szCs w:val="21"/>
                <w:u w:val="none"/>
                <w:lang w:val="en-US" w:eastAsia="zh-CN" w:bidi="ar"/>
              </w:rPr>
              <w:t>1、整体厚度&gt;1.5mm，韧性强、耐磨耐刮;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2、尺寸规格≥600mmx400mm，可完整铺设于装调工作台;</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3、表面电阻&gt;90Q，防静电性能稳定，满足精密电子元器件操作防静电需求。</w:t>
            </w:r>
          </w:p>
        </w:tc>
        <w:tc>
          <w:tcPr>
            <w:tcW w:w="1139" w:type="dxa"/>
            <w:noWrap/>
            <w:vAlign w:val="center"/>
          </w:tcPr>
          <w:p w14:paraId="470037E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工业</w:t>
            </w:r>
          </w:p>
        </w:tc>
      </w:tr>
      <w:tr w14:paraId="377BF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86" w:type="dxa"/>
            <w:noWrap/>
            <w:vAlign w:val="center"/>
          </w:tcPr>
          <w:p w14:paraId="46545028">
            <w:pPr>
              <w:keepNext w:val="0"/>
              <w:keepLines w:val="0"/>
              <w:widowControl/>
              <w:suppressLineNumbers w:val="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15</w:t>
            </w:r>
          </w:p>
        </w:tc>
        <w:tc>
          <w:tcPr>
            <w:tcW w:w="1566" w:type="dxa"/>
            <w:gridSpan w:val="2"/>
            <w:noWrap/>
            <w:vAlign w:val="center"/>
          </w:tcPr>
          <w:p w14:paraId="32BCD8B5">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零件收纳盒</w:t>
            </w:r>
          </w:p>
        </w:tc>
        <w:tc>
          <w:tcPr>
            <w:tcW w:w="631" w:type="dxa"/>
            <w:noWrap/>
            <w:vAlign w:val="center"/>
          </w:tcPr>
          <w:p w14:paraId="31F1F2EA">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10</w:t>
            </w:r>
          </w:p>
        </w:tc>
        <w:tc>
          <w:tcPr>
            <w:tcW w:w="763" w:type="dxa"/>
            <w:noWrap/>
            <w:vAlign w:val="center"/>
          </w:tcPr>
          <w:p w14:paraId="25A85469">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个</w:t>
            </w:r>
          </w:p>
        </w:tc>
        <w:tc>
          <w:tcPr>
            <w:tcW w:w="5108" w:type="dxa"/>
            <w:noWrap/>
            <w:vAlign w:val="center"/>
          </w:tcPr>
          <w:p w14:paraId="24798C03">
            <w:pPr>
              <w:keepNext w:val="0"/>
              <w:keepLines w:val="0"/>
              <w:widowControl/>
              <w:suppressLineNumbers w:val="0"/>
              <w:jc w:val="left"/>
              <w:textAlignment w:val="center"/>
              <w:rPr>
                <w:rFonts w:hint="eastAsia" w:ascii="仿宋" w:hAnsi="仿宋" w:eastAsia="仿宋" w:cs="仿宋"/>
                <w:color w:val="auto"/>
                <w:kern w:val="0"/>
                <w:sz w:val="21"/>
                <w:szCs w:val="21"/>
              </w:rPr>
            </w:pPr>
            <w:r>
              <w:rPr>
                <w:rFonts w:hint="eastAsia" w:ascii="仿宋" w:hAnsi="仿宋" w:eastAsia="仿宋" w:cs="仿宋"/>
                <w:i w:val="0"/>
                <w:iCs w:val="0"/>
                <w:color w:val="000000"/>
                <w:kern w:val="0"/>
                <w:sz w:val="21"/>
                <w:szCs w:val="21"/>
                <w:u w:val="none"/>
                <w:lang w:val="en-US" w:eastAsia="zh-CN" w:bidi="ar"/>
              </w:rPr>
              <w:t>1、外部尺寸≥500mmx300mmx100mm;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 内部尺寸≥525mmx350mmx112mm;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3、分格数量≥24格，分区清晰，用于螺丝、螺母、小型元器件分类存放。</w:t>
            </w:r>
          </w:p>
        </w:tc>
        <w:tc>
          <w:tcPr>
            <w:tcW w:w="1139" w:type="dxa"/>
            <w:noWrap/>
            <w:vAlign w:val="center"/>
          </w:tcPr>
          <w:p w14:paraId="2745EDB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工业</w:t>
            </w:r>
          </w:p>
        </w:tc>
      </w:tr>
      <w:tr w14:paraId="6ABA6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86" w:type="dxa"/>
            <w:noWrap/>
            <w:vAlign w:val="center"/>
          </w:tcPr>
          <w:p w14:paraId="39613379">
            <w:pPr>
              <w:keepNext w:val="0"/>
              <w:keepLines w:val="0"/>
              <w:widowControl/>
              <w:suppressLineNumbers w:val="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16</w:t>
            </w:r>
          </w:p>
        </w:tc>
        <w:tc>
          <w:tcPr>
            <w:tcW w:w="1566" w:type="dxa"/>
            <w:gridSpan w:val="2"/>
            <w:noWrap/>
            <w:vAlign w:val="center"/>
          </w:tcPr>
          <w:p w14:paraId="46AED128">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多旋翼无人机套件</w:t>
            </w:r>
          </w:p>
        </w:tc>
        <w:tc>
          <w:tcPr>
            <w:tcW w:w="631" w:type="dxa"/>
            <w:noWrap/>
            <w:vAlign w:val="center"/>
          </w:tcPr>
          <w:p w14:paraId="008BAC75">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10</w:t>
            </w:r>
          </w:p>
        </w:tc>
        <w:tc>
          <w:tcPr>
            <w:tcW w:w="763" w:type="dxa"/>
            <w:noWrap/>
            <w:vAlign w:val="center"/>
          </w:tcPr>
          <w:p w14:paraId="1462867F">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套</w:t>
            </w:r>
          </w:p>
        </w:tc>
        <w:tc>
          <w:tcPr>
            <w:tcW w:w="5108" w:type="dxa"/>
            <w:noWrap/>
            <w:vAlign w:val="center"/>
          </w:tcPr>
          <w:p w14:paraId="4F7BF9C5">
            <w:pPr>
              <w:keepNext w:val="0"/>
              <w:keepLines w:val="0"/>
              <w:widowControl/>
              <w:suppressLineNumbers w:val="0"/>
              <w:jc w:val="left"/>
              <w:textAlignment w:val="center"/>
              <w:rPr>
                <w:rFonts w:hint="eastAsia" w:ascii="仿宋" w:hAnsi="仿宋" w:eastAsia="仿宋" w:cs="仿宋"/>
                <w:color w:val="auto"/>
                <w:kern w:val="0"/>
                <w:sz w:val="21"/>
                <w:szCs w:val="21"/>
              </w:rPr>
            </w:pPr>
            <w:r>
              <w:rPr>
                <w:rFonts w:hint="eastAsia" w:ascii="仿宋" w:hAnsi="仿宋" w:eastAsia="仿宋" w:cs="仿宋"/>
                <w:i w:val="0"/>
                <w:iCs w:val="0"/>
                <w:color w:val="000000"/>
                <w:kern w:val="0"/>
                <w:sz w:val="21"/>
                <w:szCs w:val="21"/>
                <w:u w:val="none"/>
                <w:lang w:val="en-US" w:eastAsia="zh-CN" w:bidi="ar"/>
              </w:rPr>
              <w:t>1、本体轴距&gt;400mm;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2、套装包含机臂、中心板、脚架，采用模块化结构，支持反复拆装;</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3、满足无人机实训组装、调试、教学使用。</w:t>
            </w:r>
          </w:p>
        </w:tc>
        <w:tc>
          <w:tcPr>
            <w:tcW w:w="1139" w:type="dxa"/>
            <w:noWrap/>
            <w:vAlign w:val="center"/>
          </w:tcPr>
          <w:p w14:paraId="10752BD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工业</w:t>
            </w:r>
          </w:p>
        </w:tc>
      </w:tr>
      <w:tr w14:paraId="325D9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86" w:type="dxa"/>
            <w:noWrap/>
            <w:vAlign w:val="center"/>
          </w:tcPr>
          <w:p w14:paraId="0CD44857">
            <w:pPr>
              <w:keepNext w:val="0"/>
              <w:keepLines w:val="0"/>
              <w:widowControl/>
              <w:suppressLineNumbers w:val="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17</w:t>
            </w:r>
          </w:p>
        </w:tc>
        <w:tc>
          <w:tcPr>
            <w:tcW w:w="1566" w:type="dxa"/>
            <w:gridSpan w:val="2"/>
            <w:noWrap/>
            <w:vAlign w:val="center"/>
          </w:tcPr>
          <w:p w14:paraId="08DB6D04">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智能平衡充电器</w:t>
            </w:r>
          </w:p>
        </w:tc>
        <w:tc>
          <w:tcPr>
            <w:tcW w:w="631" w:type="dxa"/>
            <w:noWrap/>
            <w:vAlign w:val="center"/>
          </w:tcPr>
          <w:p w14:paraId="76C71ABE">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5</w:t>
            </w:r>
          </w:p>
        </w:tc>
        <w:tc>
          <w:tcPr>
            <w:tcW w:w="763" w:type="dxa"/>
            <w:noWrap/>
            <w:vAlign w:val="center"/>
          </w:tcPr>
          <w:p w14:paraId="4D805173">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台</w:t>
            </w:r>
          </w:p>
        </w:tc>
        <w:tc>
          <w:tcPr>
            <w:tcW w:w="5108" w:type="dxa"/>
            <w:noWrap/>
            <w:vAlign w:val="center"/>
          </w:tcPr>
          <w:p w14:paraId="7258BC54">
            <w:pPr>
              <w:keepNext w:val="0"/>
              <w:keepLines w:val="0"/>
              <w:widowControl/>
              <w:suppressLineNumbers w:val="0"/>
              <w:jc w:val="left"/>
              <w:textAlignment w:val="center"/>
              <w:rPr>
                <w:rFonts w:hint="eastAsia" w:ascii="仿宋" w:hAnsi="仿宋" w:eastAsia="仿宋" w:cs="仿宋"/>
                <w:color w:val="auto"/>
                <w:kern w:val="0"/>
                <w:sz w:val="21"/>
                <w:szCs w:val="21"/>
              </w:rPr>
            </w:pPr>
            <w:r>
              <w:rPr>
                <w:rFonts w:hint="eastAsia" w:ascii="仿宋" w:hAnsi="仿宋" w:eastAsia="仿宋" w:cs="仿宋"/>
                <w:i w:val="0"/>
                <w:iCs w:val="0"/>
                <w:color w:val="000000"/>
                <w:kern w:val="0"/>
                <w:sz w:val="21"/>
                <w:szCs w:val="21"/>
                <w:u w:val="none"/>
                <w:lang w:val="en-US" w:eastAsia="zh-CN" w:bidi="ar"/>
              </w:rPr>
              <w:t>1、最大充电功率(外部放电)&gt;600W;</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2、最大输出电流&gt;25A;</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3、整机净重&lt;600g，便携性强;</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4、支持2-6S锂电池充放电，适配无人机动力电池实训充放电作业。</w:t>
            </w:r>
          </w:p>
        </w:tc>
        <w:tc>
          <w:tcPr>
            <w:tcW w:w="1139" w:type="dxa"/>
            <w:noWrap/>
            <w:vAlign w:val="center"/>
          </w:tcPr>
          <w:p w14:paraId="48ECC37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工业</w:t>
            </w:r>
          </w:p>
        </w:tc>
      </w:tr>
      <w:tr w14:paraId="77A1F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86" w:type="dxa"/>
            <w:noWrap/>
            <w:vAlign w:val="center"/>
          </w:tcPr>
          <w:p w14:paraId="0BDBAC1C">
            <w:pPr>
              <w:keepNext w:val="0"/>
              <w:keepLines w:val="0"/>
              <w:widowControl/>
              <w:suppressLineNumbers w:val="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18</w:t>
            </w:r>
          </w:p>
        </w:tc>
        <w:tc>
          <w:tcPr>
            <w:tcW w:w="1566" w:type="dxa"/>
            <w:gridSpan w:val="2"/>
            <w:noWrap/>
            <w:vAlign w:val="center"/>
          </w:tcPr>
          <w:p w14:paraId="13CD4ED6">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锂电池安全箱</w:t>
            </w:r>
          </w:p>
        </w:tc>
        <w:tc>
          <w:tcPr>
            <w:tcW w:w="631" w:type="dxa"/>
            <w:noWrap/>
            <w:vAlign w:val="center"/>
          </w:tcPr>
          <w:p w14:paraId="74AEB896">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5</w:t>
            </w:r>
          </w:p>
        </w:tc>
        <w:tc>
          <w:tcPr>
            <w:tcW w:w="763" w:type="dxa"/>
            <w:noWrap/>
            <w:vAlign w:val="center"/>
          </w:tcPr>
          <w:p w14:paraId="605CDC63">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个</w:t>
            </w:r>
          </w:p>
        </w:tc>
        <w:tc>
          <w:tcPr>
            <w:tcW w:w="5108" w:type="dxa"/>
            <w:noWrap/>
            <w:vAlign w:val="center"/>
          </w:tcPr>
          <w:p w14:paraId="7483CC95">
            <w:pPr>
              <w:keepNext w:val="0"/>
              <w:keepLines w:val="0"/>
              <w:widowControl/>
              <w:suppressLineNumbers w:val="0"/>
              <w:jc w:val="left"/>
              <w:textAlignment w:val="center"/>
              <w:rPr>
                <w:rFonts w:hint="eastAsia" w:ascii="仿宋" w:hAnsi="仿宋" w:eastAsia="仿宋" w:cs="仿宋"/>
                <w:color w:val="auto"/>
                <w:kern w:val="0"/>
                <w:sz w:val="21"/>
                <w:szCs w:val="21"/>
              </w:rPr>
            </w:pPr>
            <w:r>
              <w:rPr>
                <w:rFonts w:hint="eastAsia" w:ascii="仿宋" w:hAnsi="仿宋" w:eastAsia="仿宋" w:cs="仿宋"/>
                <w:i w:val="0"/>
                <w:iCs w:val="0"/>
                <w:color w:val="000000"/>
                <w:kern w:val="0"/>
                <w:sz w:val="21"/>
                <w:szCs w:val="21"/>
                <w:u w:val="none"/>
                <w:lang w:val="en-US" w:eastAsia="zh-CN" w:bidi="ar"/>
              </w:rPr>
              <w:t>1、外部尺寸≥长280mmx宽150mmx 高200mm;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2、防尘防水防护等级≥IP55;</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3、具备防火防爆性能，用于充电过程中锂电池安全存放。</w:t>
            </w:r>
          </w:p>
        </w:tc>
        <w:tc>
          <w:tcPr>
            <w:tcW w:w="1139" w:type="dxa"/>
            <w:noWrap/>
            <w:vAlign w:val="center"/>
          </w:tcPr>
          <w:p w14:paraId="760E9ED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工业</w:t>
            </w:r>
          </w:p>
        </w:tc>
      </w:tr>
      <w:tr w14:paraId="0CADD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86" w:type="dxa"/>
            <w:noWrap/>
            <w:vAlign w:val="center"/>
          </w:tcPr>
          <w:p w14:paraId="125C7E1B">
            <w:pPr>
              <w:keepNext w:val="0"/>
              <w:keepLines w:val="0"/>
              <w:widowControl/>
              <w:suppressLineNumbers w:val="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19</w:t>
            </w:r>
          </w:p>
        </w:tc>
        <w:tc>
          <w:tcPr>
            <w:tcW w:w="1566" w:type="dxa"/>
            <w:gridSpan w:val="2"/>
            <w:noWrap/>
            <w:vAlign w:val="center"/>
          </w:tcPr>
          <w:p w14:paraId="3C29BDC9">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螺旋桨静平衡仪</w:t>
            </w:r>
          </w:p>
        </w:tc>
        <w:tc>
          <w:tcPr>
            <w:tcW w:w="631" w:type="dxa"/>
            <w:noWrap/>
            <w:vAlign w:val="center"/>
          </w:tcPr>
          <w:p w14:paraId="29499D57">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2</w:t>
            </w:r>
          </w:p>
        </w:tc>
        <w:tc>
          <w:tcPr>
            <w:tcW w:w="763" w:type="dxa"/>
            <w:noWrap/>
            <w:vAlign w:val="center"/>
          </w:tcPr>
          <w:p w14:paraId="04B9DD07">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台</w:t>
            </w:r>
          </w:p>
        </w:tc>
        <w:tc>
          <w:tcPr>
            <w:tcW w:w="5108" w:type="dxa"/>
            <w:noWrap/>
            <w:vAlign w:val="center"/>
          </w:tcPr>
          <w:p w14:paraId="1E07FAC1">
            <w:pPr>
              <w:keepNext w:val="0"/>
              <w:keepLines w:val="0"/>
              <w:widowControl/>
              <w:suppressLineNumbers w:val="0"/>
              <w:jc w:val="left"/>
              <w:textAlignment w:val="center"/>
              <w:rPr>
                <w:rFonts w:hint="eastAsia" w:ascii="仿宋" w:hAnsi="仿宋" w:eastAsia="仿宋" w:cs="仿宋"/>
                <w:color w:val="auto"/>
                <w:kern w:val="0"/>
                <w:sz w:val="21"/>
                <w:szCs w:val="21"/>
              </w:rPr>
            </w:pPr>
            <w:r>
              <w:rPr>
                <w:rFonts w:hint="eastAsia" w:ascii="仿宋" w:hAnsi="仿宋" w:eastAsia="仿宋" w:cs="仿宋"/>
                <w:i w:val="0"/>
                <w:iCs w:val="0"/>
                <w:color w:val="000000"/>
                <w:kern w:val="0"/>
                <w:sz w:val="21"/>
                <w:szCs w:val="21"/>
                <w:u w:val="none"/>
                <w:lang w:val="en-US" w:eastAsia="zh-CN" w:bidi="ar"/>
              </w:rPr>
              <w:t>1、中心固定轴采用磁悬浮式结构，平衡精度高、摩擦阻力小;</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2、可适配60g以内各类规格螺旋桨，用于无人机奖叶静平衡测试。</w:t>
            </w:r>
          </w:p>
        </w:tc>
        <w:tc>
          <w:tcPr>
            <w:tcW w:w="1139" w:type="dxa"/>
            <w:noWrap/>
            <w:vAlign w:val="center"/>
          </w:tcPr>
          <w:p w14:paraId="28E5640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工业</w:t>
            </w:r>
          </w:p>
        </w:tc>
      </w:tr>
      <w:tr w14:paraId="477D6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86" w:type="dxa"/>
            <w:noWrap/>
            <w:vAlign w:val="center"/>
          </w:tcPr>
          <w:p w14:paraId="285D0105">
            <w:pPr>
              <w:keepNext w:val="0"/>
              <w:keepLines w:val="0"/>
              <w:widowControl/>
              <w:suppressLineNumbers w:val="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20</w:t>
            </w:r>
          </w:p>
        </w:tc>
        <w:tc>
          <w:tcPr>
            <w:tcW w:w="1566" w:type="dxa"/>
            <w:gridSpan w:val="2"/>
            <w:noWrap/>
            <w:vAlign w:val="center"/>
          </w:tcPr>
          <w:p w14:paraId="790FAA0A">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飞控系统</w:t>
            </w:r>
          </w:p>
        </w:tc>
        <w:tc>
          <w:tcPr>
            <w:tcW w:w="631" w:type="dxa"/>
            <w:noWrap/>
            <w:vAlign w:val="center"/>
          </w:tcPr>
          <w:p w14:paraId="67A6F4E6">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10</w:t>
            </w:r>
          </w:p>
        </w:tc>
        <w:tc>
          <w:tcPr>
            <w:tcW w:w="763" w:type="dxa"/>
            <w:noWrap/>
            <w:vAlign w:val="center"/>
          </w:tcPr>
          <w:p w14:paraId="2432B84F">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套</w:t>
            </w:r>
          </w:p>
        </w:tc>
        <w:tc>
          <w:tcPr>
            <w:tcW w:w="5108" w:type="dxa"/>
            <w:noWrap/>
            <w:vAlign w:val="center"/>
          </w:tcPr>
          <w:p w14:paraId="2461CDF9">
            <w:pPr>
              <w:keepNext w:val="0"/>
              <w:keepLines w:val="0"/>
              <w:widowControl/>
              <w:numPr>
                <w:ilvl w:val="0"/>
                <w:numId w:val="5"/>
              </w:numPr>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无人机飞控整机重量≤80g，轻量化设计，适配多旋翼无人机实训;</w:t>
            </w:r>
          </w:p>
          <w:p w14:paraId="349D9DD0">
            <w:pPr>
              <w:keepNext w:val="0"/>
              <w:keepLines w:val="0"/>
              <w:widowControl/>
              <w:numPr>
                <w:ilvl w:val="0"/>
                <w:numId w:val="0"/>
              </w:numPr>
              <w:suppressLineNumbers w:val="0"/>
              <w:jc w:val="left"/>
              <w:textAlignment w:val="center"/>
              <w:rPr>
                <w:rFonts w:hint="eastAsia" w:ascii="仿宋" w:hAnsi="仿宋" w:eastAsia="仿宋" w:cs="仿宋"/>
                <w:color w:val="auto"/>
                <w:kern w:val="0"/>
                <w:sz w:val="21"/>
                <w:szCs w:val="21"/>
              </w:rPr>
            </w:pPr>
            <w:r>
              <w:rPr>
                <w:rFonts w:hint="eastAsia" w:ascii="仿宋" w:hAnsi="仿宋" w:eastAsia="仿宋" w:cs="仿宋"/>
                <w:i w:val="0"/>
                <w:iCs w:val="0"/>
                <w:color w:val="000000"/>
                <w:kern w:val="0"/>
                <w:sz w:val="21"/>
                <w:szCs w:val="21"/>
                <w:u w:val="none"/>
                <w:lang w:val="en-US" w:eastAsia="zh-CN" w:bidi="ar"/>
              </w:rPr>
              <w:t>2、最大输入电压≥35V，适配多规格动力电池;</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3、支持2路及以上BEC供电输出，供电稳定;</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4、飞控处理器核心运行频率&gt;400MHz，运算处理速度快;</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5、集成加速度计、陀螺仪、磁罗盘，支持传感器校准，满足姿态解算与飞行控制需求。</w:t>
            </w:r>
          </w:p>
        </w:tc>
        <w:tc>
          <w:tcPr>
            <w:tcW w:w="1139" w:type="dxa"/>
            <w:noWrap/>
            <w:vAlign w:val="center"/>
          </w:tcPr>
          <w:p w14:paraId="529C7CCE">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工业</w:t>
            </w:r>
          </w:p>
        </w:tc>
      </w:tr>
      <w:tr w14:paraId="7BCCE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86" w:type="dxa"/>
            <w:noWrap/>
            <w:vAlign w:val="center"/>
          </w:tcPr>
          <w:p w14:paraId="032C5267">
            <w:pPr>
              <w:keepNext w:val="0"/>
              <w:keepLines w:val="0"/>
              <w:widowControl/>
              <w:suppressLineNumbers w:val="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21</w:t>
            </w:r>
          </w:p>
        </w:tc>
        <w:tc>
          <w:tcPr>
            <w:tcW w:w="1566" w:type="dxa"/>
            <w:gridSpan w:val="2"/>
            <w:noWrap/>
            <w:vAlign w:val="center"/>
          </w:tcPr>
          <w:p w14:paraId="26F1950F">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遥控器套装</w:t>
            </w:r>
          </w:p>
        </w:tc>
        <w:tc>
          <w:tcPr>
            <w:tcW w:w="631" w:type="dxa"/>
            <w:noWrap/>
            <w:vAlign w:val="center"/>
          </w:tcPr>
          <w:p w14:paraId="62AC0FA1">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10</w:t>
            </w:r>
          </w:p>
        </w:tc>
        <w:tc>
          <w:tcPr>
            <w:tcW w:w="763" w:type="dxa"/>
            <w:noWrap/>
            <w:vAlign w:val="center"/>
          </w:tcPr>
          <w:p w14:paraId="71DF4021">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套</w:t>
            </w:r>
          </w:p>
        </w:tc>
        <w:tc>
          <w:tcPr>
            <w:tcW w:w="5108" w:type="dxa"/>
            <w:noWrap/>
            <w:vAlign w:val="center"/>
          </w:tcPr>
          <w:p w14:paraId="07A6B483">
            <w:pPr>
              <w:keepNext w:val="0"/>
              <w:keepLines w:val="0"/>
              <w:widowControl/>
              <w:suppressLineNumbers w:val="0"/>
              <w:jc w:val="left"/>
              <w:textAlignment w:val="center"/>
              <w:rPr>
                <w:rFonts w:hint="eastAsia" w:ascii="仿宋" w:hAnsi="仿宋" w:eastAsia="仿宋" w:cs="仿宋"/>
                <w:color w:val="auto"/>
                <w:kern w:val="0"/>
                <w:sz w:val="21"/>
                <w:szCs w:val="21"/>
              </w:rPr>
            </w:pPr>
            <w:r>
              <w:rPr>
                <w:rFonts w:hint="eastAsia" w:ascii="仿宋" w:hAnsi="仿宋" w:eastAsia="仿宋" w:cs="仿宋"/>
                <w:i w:val="0"/>
                <w:iCs w:val="0"/>
                <w:color w:val="000000"/>
                <w:kern w:val="0"/>
                <w:sz w:val="21"/>
                <w:szCs w:val="21"/>
                <w:u w:val="none"/>
                <w:lang w:val="en-US" w:eastAsia="zh-CN" w:bidi="ar"/>
              </w:rPr>
              <w:t>1、有效遥控距离≥5km，信号覆盖范围广;</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2、具备自动跳频功能，抗干扰能力强;</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3、搭载中英文双语操作菜单，适配教学使用;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4、支持遥测数据实时回传，可实时监测飞行状态;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5、支持通道参数设置、舵量调整，满足无人机精细化操控调试。</w:t>
            </w:r>
          </w:p>
        </w:tc>
        <w:tc>
          <w:tcPr>
            <w:tcW w:w="1139" w:type="dxa"/>
            <w:noWrap/>
            <w:vAlign w:val="center"/>
          </w:tcPr>
          <w:p w14:paraId="02FD746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工业</w:t>
            </w:r>
          </w:p>
        </w:tc>
      </w:tr>
      <w:tr w14:paraId="374CF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86" w:type="dxa"/>
            <w:noWrap/>
            <w:vAlign w:val="center"/>
          </w:tcPr>
          <w:p w14:paraId="413400C9">
            <w:pPr>
              <w:keepNext w:val="0"/>
              <w:keepLines w:val="0"/>
              <w:widowControl/>
              <w:suppressLineNumbers w:val="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22</w:t>
            </w:r>
          </w:p>
        </w:tc>
        <w:tc>
          <w:tcPr>
            <w:tcW w:w="1566" w:type="dxa"/>
            <w:gridSpan w:val="2"/>
            <w:noWrap/>
            <w:vAlign w:val="center"/>
          </w:tcPr>
          <w:p w14:paraId="16E38278">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图传系统</w:t>
            </w:r>
          </w:p>
        </w:tc>
        <w:tc>
          <w:tcPr>
            <w:tcW w:w="631" w:type="dxa"/>
            <w:noWrap/>
            <w:vAlign w:val="center"/>
          </w:tcPr>
          <w:p w14:paraId="0E563F24">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5</w:t>
            </w:r>
          </w:p>
        </w:tc>
        <w:tc>
          <w:tcPr>
            <w:tcW w:w="763" w:type="dxa"/>
            <w:noWrap/>
            <w:vAlign w:val="center"/>
          </w:tcPr>
          <w:p w14:paraId="0C60BDDD">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套</w:t>
            </w:r>
          </w:p>
        </w:tc>
        <w:tc>
          <w:tcPr>
            <w:tcW w:w="5108" w:type="dxa"/>
            <w:noWrap/>
            <w:vAlign w:val="center"/>
          </w:tcPr>
          <w:p w14:paraId="38A97109">
            <w:pPr>
              <w:keepNext w:val="0"/>
              <w:keepLines w:val="0"/>
              <w:widowControl/>
              <w:suppressLineNumbers w:val="0"/>
              <w:jc w:val="left"/>
              <w:textAlignment w:val="center"/>
              <w:rPr>
                <w:rFonts w:hint="eastAsia" w:ascii="仿宋" w:hAnsi="仿宋" w:eastAsia="仿宋" w:cs="仿宋"/>
                <w:color w:val="auto"/>
                <w:kern w:val="0"/>
                <w:sz w:val="21"/>
                <w:szCs w:val="21"/>
              </w:rPr>
            </w:pPr>
            <w:r>
              <w:rPr>
                <w:rFonts w:hint="eastAsia" w:ascii="仿宋" w:hAnsi="仿宋" w:eastAsia="仿宋" w:cs="仿宋"/>
                <w:i w:val="0"/>
                <w:iCs w:val="0"/>
                <w:color w:val="000000"/>
                <w:kern w:val="0"/>
                <w:sz w:val="21"/>
                <w:szCs w:val="21"/>
                <w:u w:val="none"/>
                <w:lang w:val="en-US" w:eastAsia="zh-CN" w:bidi="ar"/>
              </w:rPr>
              <w:t>1、发射频点数量&gt;40个，频道选择丰富，规避信号干扰;</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2、兼容支持TBS协议，拓展性强;</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3、支持OSD参数调参，可实时查看、调整飞行相关参数;</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4、5.8G模拟传输，图传延迟低，适配无人机实时画面回传实训</w:t>
            </w:r>
          </w:p>
        </w:tc>
        <w:tc>
          <w:tcPr>
            <w:tcW w:w="1139" w:type="dxa"/>
            <w:noWrap/>
            <w:vAlign w:val="center"/>
          </w:tcPr>
          <w:p w14:paraId="2014FAE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工业</w:t>
            </w:r>
          </w:p>
        </w:tc>
      </w:tr>
      <w:tr w14:paraId="5FCED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86" w:type="dxa"/>
            <w:noWrap/>
            <w:vAlign w:val="center"/>
          </w:tcPr>
          <w:p w14:paraId="2A55B2A0">
            <w:pPr>
              <w:keepNext w:val="0"/>
              <w:keepLines w:val="0"/>
              <w:widowControl/>
              <w:suppressLineNumbers w:val="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23</w:t>
            </w:r>
          </w:p>
        </w:tc>
        <w:tc>
          <w:tcPr>
            <w:tcW w:w="1566" w:type="dxa"/>
            <w:gridSpan w:val="2"/>
            <w:noWrap/>
            <w:vAlign w:val="center"/>
          </w:tcPr>
          <w:p w14:paraId="1DA86977">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数传系统</w:t>
            </w:r>
          </w:p>
        </w:tc>
        <w:tc>
          <w:tcPr>
            <w:tcW w:w="631" w:type="dxa"/>
            <w:noWrap/>
            <w:vAlign w:val="center"/>
          </w:tcPr>
          <w:p w14:paraId="59CB4F87">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5</w:t>
            </w:r>
          </w:p>
        </w:tc>
        <w:tc>
          <w:tcPr>
            <w:tcW w:w="763" w:type="dxa"/>
            <w:noWrap/>
            <w:vAlign w:val="center"/>
          </w:tcPr>
          <w:p w14:paraId="09163B11">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套</w:t>
            </w:r>
          </w:p>
        </w:tc>
        <w:tc>
          <w:tcPr>
            <w:tcW w:w="5108" w:type="dxa"/>
            <w:noWrap/>
            <w:vAlign w:val="center"/>
          </w:tcPr>
          <w:p w14:paraId="7DC7648E">
            <w:pPr>
              <w:keepNext w:val="0"/>
              <w:keepLines w:val="0"/>
              <w:widowControl/>
              <w:suppressLineNumbers w:val="0"/>
              <w:jc w:val="left"/>
              <w:textAlignment w:val="center"/>
              <w:rPr>
                <w:rFonts w:hint="eastAsia" w:ascii="仿宋" w:hAnsi="仿宋" w:eastAsia="仿宋" w:cs="仿宋"/>
                <w:color w:val="auto"/>
                <w:kern w:val="0"/>
                <w:sz w:val="21"/>
                <w:szCs w:val="21"/>
              </w:rPr>
            </w:pPr>
            <w:r>
              <w:rPr>
                <w:rFonts w:hint="eastAsia" w:ascii="仿宋" w:hAnsi="仿宋" w:eastAsia="仿宋" w:cs="仿宋"/>
                <w:i w:val="0"/>
                <w:iCs w:val="0"/>
                <w:color w:val="000000"/>
                <w:kern w:val="0"/>
                <w:sz w:val="21"/>
                <w:szCs w:val="21"/>
                <w:u w:val="none"/>
                <w:lang w:val="en-US" w:eastAsia="zh-CN" w:bidi="ar"/>
              </w:rPr>
              <w:t>1、工作电压支持3.7V~6V DC，适配无人机常规供电;</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2、通信固定频率为433MHz，通信稳定、抗干扰性好;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3、整机重量≤50g，轻量化设计，便于无人机搭载;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4、支持波特率参数自定义设置，适配不同设备通信调试。</w:t>
            </w:r>
          </w:p>
        </w:tc>
        <w:tc>
          <w:tcPr>
            <w:tcW w:w="1139" w:type="dxa"/>
            <w:noWrap/>
            <w:vAlign w:val="center"/>
          </w:tcPr>
          <w:p w14:paraId="6DDA869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工业</w:t>
            </w:r>
          </w:p>
        </w:tc>
      </w:tr>
      <w:tr w14:paraId="0FA0F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86" w:type="dxa"/>
            <w:noWrap/>
            <w:vAlign w:val="center"/>
          </w:tcPr>
          <w:p w14:paraId="295DB4AD">
            <w:pPr>
              <w:keepNext w:val="0"/>
              <w:keepLines w:val="0"/>
              <w:widowControl/>
              <w:suppressLineNumbers w:val="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24</w:t>
            </w:r>
          </w:p>
        </w:tc>
        <w:tc>
          <w:tcPr>
            <w:tcW w:w="1566" w:type="dxa"/>
            <w:gridSpan w:val="2"/>
            <w:noWrap/>
            <w:vAlign w:val="center"/>
          </w:tcPr>
          <w:p w14:paraId="622413A3">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电机测试仪</w:t>
            </w:r>
          </w:p>
        </w:tc>
        <w:tc>
          <w:tcPr>
            <w:tcW w:w="631" w:type="dxa"/>
            <w:noWrap/>
            <w:vAlign w:val="center"/>
          </w:tcPr>
          <w:p w14:paraId="0623B85B">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2</w:t>
            </w:r>
          </w:p>
        </w:tc>
        <w:tc>
          <w:tcPr>
            <w:tcW w:w="763" w:type="dxa"/>
            <w:noWrap/>
            <w:vAlign w:val="center"/>
          </w:tcPr>
          <w:p w14:paraId="56E7BB14">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台</w:t>
            </w:r>
          </w:p>
        </w:tc>
        <w:tc>
          <w:tcPr>
            <w:tcW w:w="5108" w:type="dxa"/>
            <w:noWrap/>
            <w:vAlign w:val="center"/>
          </w:tcPr>
          <w:p w14:paraId="39CFD8AC">
            <w:pPr>
              <w:keepNext w:val="0"/>
              <w:keepLines w:val="0"/>
              <w:widowControl/>
              <w:suppressLineNumbers w:val="0"/>
              <w:jc w:val="left"/>
              <w:textAlignment w:val="center"/>
              <w:rPr>
                <w:rFonts w:hint="eastAsia" w:ascii="仿宋" w:hAnsi="仿宋" w:eastAsia="仿宋" w:cs="仿宋"/>
                <w:color w:val="auto"/>
                <w:kern w:val="0"/>
                <w:sz w:val="21"/>
                <w:szCs w:val="21"/>
              </w:rPr>
            </w:pPr>
            <w:r>
              <w:rPr>
                <w:rFonts w:hint="eastAsia" w:ascii="仿宋" w:hAnsi="仿宋" w:eastAsia="仿宋" w:cs="仿宋"/>
                <w:i w:val="0"/>
                <w:iCs w:val="0"/>
                <w:color w:val="000000"/>
                <w:kern w:val="0"/>
                <w:sz w:val="21"/>
                <w:szCs w:val="21"/>
                <w:u w:val="none"/>
                <w:lang w:val="en-US" w:eastAsia="zh-CN" w:bidi="ar"/>
              </w:rPr>
              <w:t>1、集成KV值测试、电压测试、转速测试、电流测试、进角测试、电机转向检测功能，功能全面;</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2、操作便捷，可完成无人机无刷电机性能全维度检测，适配实训电机调校、故障排查。</w:t>
            </w:r>
          </w:p>
        </w:tc>
        <w:tc>
          <w:tcPr>
            <w:tcW w:w="1139" w:type="dxa"/>
            <w:noWrap/>
            <w:vAlign w:val="center"/>
          </w:tcPr>
          <w:p w14:paraId="797B6D8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工业</w:t>
            </w:r>
          </w:p>
        </w:tc>
      </w:tr>
      <w:tr w14:paraId="3FEED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86" w:type="dxa"/>
            <w:noWrap/>
            <w:vAlign w:val="center"/>
          </w:tcPr>
          <w:p w14:paraId="4694CE08">
            <w:pPr>
              <w:keepNext w:val="0"/>
              <w:keepLines w:val="0"/>
              <w:widowControl/>
              <w:suppressLineNumbers w:val="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25</w:t>
            </w:r>
          </w:p>
        </w:tc>
        <w:tc>
          <w:tcPr>
            <w:tcW w:w="1566" w:type="dxa"/>
            <w:gridSpan w:val="2"/>
            <w:noWrap/>
            <w:vAlign w:val="center"/>
          </w:tcPr>
          <w:p w14:paraId="0534868A">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电调校准器</w:t>
            </w:r>
          </w:p>
        </w:tc>
        <w:tc>
          <w:tcPr>
            <w:tcW w:w="631" w:type="dxa"/>
            <w:noWrap/>
            <w:vAlign w:val="center"/>
          </w:tcPr>
          <w:p w14:paraId="6D987DA6">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2</w:t>
            </w:r>
          </w:p>
        </w:tc>
        <w:tc>
          <w:tcPr>
            <w:tcW w:w="763" w:type="dxa"/>
            <w:noWrap/>
            <w:vAlign w:val="center"/>
          </w:tcPr>
          <w:p w14:paraId="370001C1">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台</w:t>
            </w:r>
          </w:p>
        </w:tc>
        <w:tc>
          <w:tcPr>
            <w:tcW w:w="5108" w:type="dxa"/>
            <w:noWrap/>
            <w:vAlign w:val="center"/>
          </w:tcPr>
          <w:p w14:paraId="58F3D28D">
            <w:pPr>
              <w:keepNext w:val="0"/>
              <w:keepLines w:val="0"/>
              <w:widowControl/>
              <w:suppressLineNumbers w:val="0"/>
              <w:jc w:val="left"/>
              <w:textAlignment w:val="center"/>
              <w:rPr>
                <w:rFonts w:hint="eastAsia" w:ascii="仿宋" w:hAnsi="仿宋" w:eastAsia="仿宋" w:cs="仿宋"/>
                <w:color w:val="auto"/>
                <w:kern w:val="0"/>
                <w:sz w:val="21"/>
                <w:szCs w:val="21"/>
              </w:rPr>
            </w:pPr>
            <w:r>
              <w:rPr>
                <w:rFonts w:hint="eastAsia" w:ascii="仿宋" w:hAnsi="仿宋" w:eastAsia="仿宋" w:cs="仿宋"/>
                <w:i w:val="0"/>
                <w:iCs w:val="0"/>
                <w:color w:val="000000"/>
                <w:kern w:val="0"/>
                <w:sz w:val="21"/>
                <w:szCs w:val="21"/>
                <w:u w:val="none"/>
                <w:lang w:val="en-US" w:eastAsia="zh-CN" w:bidi="ar"/>
              </w:rPr>
              <w:t>1、支持电调单向/双向模式设置、电机启动电流大小调节、单向电调换向功能;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2、可完成电子调速器参数校准、功能调试，适配无人机动力系统实训校准作业。</w:t>
            </w:r>
          </w:p>
        </w:tc>
        <w:tc>
          <w:tcPr>
            <w:tcW w:w="1139" w:type="dxa"/>
            <w:noWrap/>
            <w:vAlign w:val="center"/>
          </w:tcPr>
          <w:p w14:paraId="66C1662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工业</w:t>
            </w:r>
          </w:p>
        </w:tc>
      </w:tr>
      <w:tr w14:paraId="682D1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86" w:type="dxa"/>
            <w:noWrap/>
            <w:vAlign w:val="center"/>
          </w:tcPr>
          <w:p w14:paraId="6309F78B">
            <w:pPr>
              <w:keepNext w:val="0"/>
              <w:keepLines w:val="0"/>
              <w:widowControl/>
              <w:suppressLineNumbers w:val="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26</w:t>
            </w:r>
          </w:p>
        </w:tc>
        <w:tc>
          <w:tcPr>
            <w:tcW w:w="1566" w:type="dxa"/>
            <w:gridSpan w:val="2"/>
            <w:noWrap/>
            <w:vAlign w:val="center"/>
          </w:tcPr>
          <w:p w14:paraId="33B6EC22">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示波器</w:t>
            </w:r>
          </w:p>
        </w:tc>
        <w:tc>
          <w:tcPr>
            <w:tcW w:w="631" w:type="dxa"/>
            <w:noWrap/>
            <w:vAlign w:val="center"/>
          </w:tcPr>
          <w:p w14:paraId="6A87F3CF">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2</w:t>
            </w:r>
          </w:p>
        </w:tc>
        <w:tc>
          <w:tcPr>
            <w:tcW w:w="763" w:type="dxa"/>
            <w:noWrap/>
            <w:vAlign w:val="center"/>
          </w:tcPr>
          <w:p w14:paraId="7C4592C1">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台</w:t>
            </w:r>
          </w:p>
        </w:tc>
        <w:tc>
          <w:tcPr>
            <w:tcW w:w="5108" w:type="dxa"/>
            <w:noWrap/>
            <w:vAlign w:val="center"/>
          </w:tcPr>
          <w:p w14:paraId="3ED61706">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lang w:val="en-US" w:eastAsia="zh-CN" w:bidi="ar"/>
              </w:rPr>
              <w:t>1、</w:t>
            </w:r>
            <w:r>
              <w:rPr>
                <w:rFonts w:hint="eastAsia" w:ascii="仿宋" w:hAnsi="仿宋" w:eastAsia="仿宋" w:cs="仿宋"/>
                <w:i w:val="0"/>
                <w:iCs w:val="0"/>
                <w:color w:val="000000"/>
                <w:kern w:val="0"/>
                <w:sz w:val="21"/>
                <w:szCs w:val="21"/>
                <w:u w:val="none"/>
                <w:lang w:val="en-US" w:eastAsia="zh-CN" w:bidi="ar"/>
              </w:rPr>
              <w:t>最高测试电压&gt;200V，满足高压信号测量安全要求;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2、支持波形滚动模式，适配低频长时信号观测;</w:t>
            </w:r>
          </w:p>
          <w:p w14:paraId="794CB2C5">
            <w:pPr>
              <w:keepNext w:val="0"/>
              <w:keepLines w:val="0"/>
              <w:widowControl/>
              <w:numPr>
                <w:ilvl w:val="0"/>
                <w:numId w:val="0"/>
              </w:numPr>
              <w:suppressLineNumbers w:val="0"/>
              <w:jc w:val="left"/>
              <w:textAlignment w:val="center"/>
              <w:rPr>
                <w:rFonts w:hint="eastAsia" w:ascii="仿宋" w:hAnsi="仿宋" w:eastAsia="仿宋" w:cs="仿宋"/>
                <w:color w:val="auto"/>
                <w:kern w:val="0"/>
                <w:sz w:val="21"/>
                <w:szCs w:val="21"/>
              </w:rPr>
            </w:pPr>
            <w:r>
              <w:rPr>
                <w:rFonts w:hint="eastAsia" w:ascii="仿宋" w:hAnsi="仿宋" w:eastAsia="仿宋" w:cs="仿宋"/>
                <w:i w:val="0"/>
                <w:iCs w:val="0"/>
                <w:color w:val="000000"/>
                <w:kern w:val="0"/>
                <w:sz w:val="21"/>
                <w:szCs w:val="21"/>
                <w:u w:val="none"/>
                <w:lang w:val="en-US" w:eastAsia="zh-CN" w:bidi="ar"/>
              </w:rPr>
              <w:t>3、通道数量≥2通道，可同时观测多路信号;</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4、时基调节范围:50s~10ns，覆盖高低速信号测量;</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5、带宽100MHz，用于无人机、电子电路信号采集与分析。</w:t>
            </w:r>
          </w:p>
        </w:tc>
        <w:tc>
          <w:tcPr>
            <w:tcW w:w="1139" w:type="dxa"/>
            <w:noWrap/>
            <w:vAlign w:val="center"/>
          </w:tcPr>
          <w:p w14:paraId="5A6D6C41">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工业</w:t>
            </w:r>
          </w:p>
        </w:tc>
      </w:tr>
      <w:tr w14:paraId="2204F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86" w:type="dxa"/>
            <w:noWrap/>
            <w:vAlign w:val="center"/>
          </w:tcPr>
          <w:p w14:paraId="7EBAF165">
            <w:pPr>
              <w:keepNext w:val="0"/>
              <w:keepLines w:val="0"/>
              <w:widowControl/>
              <w:suppressLineNumbers w:val="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27</w:t>
            </w:r>
          </w:p>
        </w:tc>
        <w:tc>
          <w:tcPr>
            <w:tcW w:w="1566" w:type="dxa"/>
            <w:gridSpan w:val="2"/>
            <w:noWrap/>
            <w:vAlign w:val="center"/>
          </w:tcPr>
          <w:p w14:paraId="2459342E">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直流稳压电源</w:t>
            </w:r>
          </w:p>
        </w:tc>
        <w:tc>
          <w:tcPr>
            <w:tcW w:w="631" w:type="dxa"/>
            <w:noWrap/>
            <w:vAlign w:val="center"/>
          </w:tcPr>
          <w:p w14:paraId="00FC28B8">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2</w:t>
            </w:r>
          </w:p>
        </w:tc>
        <w:tc>
          <w:tcPr>
            <w:tcW w:w="763" w:type="dxa"/>
            <w:noWrap/>
            <w:vAlign w:val="center"/>
          </w:tcPr>
          <w:p w14:paraId="4A60A964">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台</w:t>
            </w:r>
          </w:p>
        </w:tc>
        <w:tc>
          <w:tcPr>
            <w:tcW w:w="5108" w:type="dxa"/>
            <w:noWrap/>
            <w:vAlign w:val="center"/>
          </w:tcPr>
          <w:p w14:paraId="3DAE036A">
            <w:pPr>
              <w:keepNext w:val="0"/>
              <w:keepLines w:val="0"/>
              <w:widowControl/>
              <w:suppressLineNumbers w:val="0"/>
              <w:jc w:val="left"/>
              <w:textAlignment w:val="center"/>
              <w:rPr>
                <w:rFonts w:hint="eastAsia" w:ascii="仿宋" w:hAnsi="仿宋" w:eastAsia="仿宋" w:cs="仿宋"/>
                <w:color w:val="auto"/>
                <w:kern w:val="0"/>
                <w:sz w:val="21"/>
                <w:szCs w:val="21"/>
              </w:rPr>
            </w:pPr>
            <w:r>
              <w:rPr>
                <w:rFonts w:hint="eastAsia" w:ascii="仿宋" w:hAnsi="仿宋" w:eastAsia="仿宋" w:cs="仿宋"/>
                <w:i w:val="0"/>
                <w:iCs w:val="0"/>
                <w:color w:val="000000"/>
                <w:kern w:val="0"/>
                <w:sz w:val="21"/>
                <w:szCs w:val="21"/>
                <w:u w:val="none"/>
                <w:lang w:val="en-US" w:eastAsia="zh-CN" w:bidi="ar"/>
              </w:rPr>
              <w:t>1、额定输出功率≥150W，供电功率充足;</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2、最大输出电压≥30V，连续可调;</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3、最大输出电流&gt;5A，电流稳定可调;</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4、具备稳压稳流功能，适配单板、无人机模块供电测试。</w:t>
            </w:r>
          </w:p>
        </w:tc>
        <w:tc>
          <w:tcPr>
            <w:tcW w:w="1139" w:type="dxa"/>
            <w:noWrap/>
            <w:vAlign w:val="center"/>
          </w:tcPr>
          <w:p w14:paraId="585E8D5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工业</w:t>
            </w:r>
          </w:p>
        </w:tc>
      </w:tr>
      <w:tr w14:paraId="3E9D2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86" w:type="dxa"/>
            <w:noWrap/>
            <w:vAlign w:val="center"/>
          </w:tcPr>
          <w:p w14:paraId="1EF3B975">
            <w:pPr>
              <w:keepNext w:val="0"/>
              <w:keepLines w:val="0"/>
              <w:widowControl/>
              <w:suppressLineNumbers w:val="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28</w:t>
            </w:r>
          </w:p>
        </w:tc>
        <w:tc>
          <w:tcPr>
            <w:tcW w:w="1566" w:type="dxa"/>
            <w:gridSpan w:val="2"/>
            <w:noWrap/>
            <w:vAlign w:val="center"/>
          </w:tcPr>
          <w:p w14:paraId="3E0FDF21">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热风枪</w:t>
            </w:r>
          </w:p>
        </w:tc>
        <w:tc>
          <w:tcPr>
            <w:tcW w:w="631" w:type="dxa"/>
            <w:noWrap/>
            <w:vAlign w:val="center"/>
          </w:tcPr>
          <w:p w14:paraId="475CFA57">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2</w:t>
            </w:r>
          </w:p>
        </w:tc>
        <w:tc>
          <w:tcPr>
            <w:tcW w:w="763" w:type="dxa"/>
            <w:noWrap/>
            <w:vAlign w:val="center"/>
          </w:tcPr>
          <w:p w14:paraId="31F86085">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台</w:t>
            </w:r>
          </w:p>
        </w:tc>
        <w:tc>
          <w:tcPr>
            <w:tcW w:w="5108" w:type="dxa"/>
            <w:noWrap/>
            <w:vAlign w:val="center"/>
          </w:tcPr>
          <w:p w14:paraId="774E6D6E">
            <w:pPr>
              <w:keepNext w:val="0"/>
              <w:keepLines w:val="0"/>
              <w:widowControl/>
              <w:suppressLineNumbers w:val="0"/>
              <w:jc w:val="left"/>
              <w:textAlignment w:val="center"/>
              <w:rPr>
                <w:rFonts w:hint="eastAsia" w:ascii="仿宋" w:hAnsi="仿宋" w:eastAsia="仿宋" w:cs="仿宋"/>
                <w:color w:val="auto"/>
                <w:kern w:val="0"/>
                <w:sz w:val="21"/>
                <w:szCs w:val="21"/>
              </w:rPr>
            </w:pPr>
            <w:r>
              <w:rPr>
                <w:rFonts w:hint="eastAsia" w:ascii="仿宋" w:hAnsi="仿宋" w:eastAsia="仿宋" w:cs="仿宋"/>
                <w:i w:val="0"/>
                <w:iCs w:val="0"/>
                <w:color w:val="000000"/>
                <w:kern w:val="0"/>
                <w:sz w:val="21"/>
                <w:szCs w:val="21"/>
                <w:u w:val="none"/>
                <w:lang w:val="en-US" w:eastAsia="zh-CN" w:bidi="ar"/>
              </w:rPr>
              <w:t>1、风流量≥100L/min，出风稳定;</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2、出风口最高温度&gt;400°C，满足芯片、贴片元器件拆焊维修;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3、支持温度、风量可调，适配无人机电路板、芯片级维修实训。</w:t>
            </w:r>
          </w:p>
        </w:tc>
        <w:tc>
          <w:tcPr>
            <w:tcW w:w="1139" w:type="dxa"/>
            <w:noWrap/>
            <w:vAlign w:val="center"/>
          </w:tcPr>
          <w:p w14:paraId="17D2C01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工业</w:t>
            </w:r>
          </w:p>
        </w:tc>
      </w:tr>
      <w:tr w14:paraId="68812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86" w:type="dxa"/>
            <w:noWrap/>
            <w:vAlign w:val="center"/>
          </w:tcPr>
          <w:p w14:paraId="777E2FCF">
            <w:pPr>
              <w:keepNext w:val="0"/>
              <w:keepLines w:val="0"/>
              <w:widowControl/>
              <w:suppressLineNumbers w:val="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29</w:t>
            </w:r>
          </w:p>
        </w:tc>
        <w:tc>
          <w:tcPr>
            <w:tcW w:w="1566" w:type="dxa"/>
            <w:gridSpan w:val="2"/>
            <w:noWrap/>
            <w:vAlign w:val="center"/>
          </w:tcPr>
          <w:p w14:paraId="1C735E3C">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无刷电机</w:t>
            </w:r>
          </w:p>
        </w:tc>
        <w:tc>
          <w:tcPr>
            <w:tcW w:w="631" w:type="dxa"/>
            <w:noWrap/>
            <w:vAlign w:val="center"/>
          </w:tcPr>
          <w:p w14:paraId="17A9FF5B">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10</w:t>
            </w:r>
          </w:p>
        </w:tc>
        <w:tc>
          <w:tcPr>
            <w:tcW w:w="763" w:type="dxa"/>
            <w:noWrap/>
            <w:vAlign w:val="center"/>
          </w:tcPr>
          <w:p w14:paraId="76D27344">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套</w:t>
            </w:r>
          </w:p>
        </w:tc>
        <w:tc>
          <w:tcPr>
            <w:tcW w:w="5108" w:type="dxa"/>
            <w:noWrap/>
            <w:vAlign w:val="center"/>
          </w:tcPr>
          <w:p w14:paraId="491DB67F">
            <w:pPr>
              <w:keepNext w:val="0"/>
              <w:keepLines w:val="0"/>
              <w:widowControl/>
              <w:suppressLineNumbers w:val="0"/>
              <w:jc w:val="left"/>
              <w:textAlignment w:val="center"/>
              <w:rPr>
                <w:rFonts w:hint="eastAsia" w:ascii="仿宋" w:hAnsi="仿宋" w:eastAsia="仿宋" w:cs="仿宋"/>
                <w:color w:val="auto"/>
                <w:kern w:val="0"/>
                <w:sz w:val="21"/>
                <w:szCs w:val="21"/>
              </w:rPr>
            </w:pPr>
            <w:r>
              <w:rPr>
                <w:rFonts w:hint="eastAsia" w:ascii="仿宋" w:hAnsi="仿宋" w:eastAsia="仿宋" w:cs="仿宋"/>
                <w:i w:val="0"/>
                <w:iCs w:val="0"/>
                <w:color w:val="000000"/>
                <w:kern w:val="0"/>
                <w:sz w:val="21"/>
                <w:szCs w:val="21"/>
                <w:u w:val="none"/>
                <w:lang w:val="en-US" w:eastAsia="zh-CN" w:bidi="ar"/>
              </w:rPr>
              <w:t>1、单台电机最大拉力&gt;1000g，动力满足多旋翼无人机飞行需求;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2、定子外径≥22mm，定子高度≥12mm，结构强度达标;</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3、单台电机重量≤65g,轻量化设计;</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4、最大连续功率≥300W，适配F450等机型动力系统。</w:t>
            </w:r>
          </w:p>
        </w:tc>
        <w:tc>
          <w:tcPr>
            <w:tcW w:w="1139" w:type="dxa"/>
            <w:noWrap/>
            <w:vAlign w:val="center"/>
          </w:tcPr>
          <w:p w14:paraId="54BF49F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工业</w:t>
            </w:r>
          </w:p>
        </w:tc>
      </w:tr>
      <w:tr w14:paraId="7EA9F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86" w:type="dxa"/>
            <w:noWrap/>
            <w:vAlign w:val="center"/>
          </w:tcPr>
          <w:p w14:paraId="7562901A">
            <w:pPr>
              <w:keepNext w:val="0"/>
              <w:keepLines w:val="0"/>
              <w:widowControl/>
              <w:suppressLineNumbers w:val="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30</w:t>
            </w:r>
          </w:p>
        </w:tc>
        <w:tc>
          <w:tcPr>
            <w:tcW w:w="1566" w:type="dxa"/>
            <w:gridSpan w:val="2"/>
            <w:noWrap/>
            <w:vAlign w:val="center"/>
          </w:tcPr>
          <w:p w14:paraId="6C39B4FB">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电子调速器</w:t>
            </w:r>
          </w:p>
        </w:tc>
        <w:tc>
          <w:tcPr>
            <w:tcW w:w="631" w:type="dxa"/>
            <w:noWrap/>
            <w:vAlign w:val="center"/>
          </w:tcPr>
          <w:p w14:paraId="370DD4DB">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10</w:t>
            </w:r>
          </w:p>
        </w:tc>
        <w:tc>
          <w:tcPr>
            <w:tcW w:w="763" w:type="dxa"/>
            <w:noWrap/>
            <w:vAlign w:val="center"/>
          </w:tcPr>
          <w:p w14:paraId="5484C595">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套</w:t>
            </w:r>
          </w:p>
        </w:tc>
        <w:tc>
          <w:tcPr>
            <w:tcW w:w="5108" w:type="dxa"/>
            <w:noWrap/>
            <w:vAlign w:val="center"/>
          </w:tcPr>
          <w:p w14:paraId="7ED4067E">
            <w:pPr>
              <w:keepNext w:val="0"/>
              <w:keepLines w:val="0"/>
              <w:widowControl/>
              <w:suppressLineNumbers w:val="0"/>
              <w:jc w:val="left"/>
              <w:textAlignment w:val="center"/>
              <w:rPr>
                <w:rFonts w:hint="eastAsia" w:ascii="仿宋" w:hAnsi="仿宋" w:eastAsia="仿宋" w:cs="仿宋"/>
                <w:color w:val="auto"/>
                <w:kern w:val="0"/>
                <w:sz w:val="21"/>
                <w:szCs w:val="21"/>
              </w:rPr>
            </w:pPr>
            <w:r>
              <w:rPr>
                <w:rFonts w:hint="eastAsia" w:ascii="仿宋" w:hAnsi="仿宋" w:eastAsia="仿宋" w:cs="仿宋"/>
                <w:i w:val="0"/>
                <w:iCs w:val="0"/>
                <w:color w:val="000000"/>
                <w:kern w:val="0"/>
                <w:sz w:val="21"/>
                <w:szCs w:val="21"/>
                <w:u w:val="none"/>
                <w:lang w:val="en-US" w:eastAsia="zh-CN" w:bidi="ar"/>
              </w:rPr>
              <w:t>1、持续工作电流&gt;30A，稳定输出;</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2、瞬时峰值电流&gt;35A，抗过载能力强;</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3、工作电压范围:4V~16V DC，适配常规无人机动力电池</w:t>
            </w:r>
          </w:p>
        </w:tc>
        <w:tc>
          <w:tcPr>
            <w:tcW w:w="1139" w:type="dxa"/>
            <w:noWrap/>
            <w:vAlign w:val="center"/>
          </w:tcPr>
          <w:p w14:paraId="6693273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工业</w:t>
            </w:r>
          </w:p>
        </w:tc>
      </w:tr>
      <w:tr w14:paraId="439B6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86" w:type="dxa"/>
            <w:noWrap/>
            <w:vAlign w:val="center"/>
          </w:tcPr>
          <w:p w14:paraId="4A9EC379">
            <w:pPr>
              <w:keepNext w:val="0"/>
              <w:keepLines w:val="0"/>
              <w:widowControl/>
              <w:suppressLineNumbers w:val="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31</w:t>
            </w:r>
          </w:p>
        </w:tc>
        <w:tc>
          <w:tcPr>
            <w:tcW w:w="1566" w:type="dxa"/>
            <w:gridSpan w:val="2"/>
            <w:noWrap/>
            <w:vAlign w:val="center"/>
          </w:tcPr>
          <w:p w14:paraId="00A48BF0">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螺旋桨</w:t>
            </w:r>
          </w:p>
        </w:tc>
        <w:tc>
          <w:tcPr>
            <w:tcW w:w="631" w:type="dxa"/>
            <w:noWrap/>
            <w:vAlign w:val="center"/>
          </w:tcPr>
          <w:p w14:paraId="1B7163C0">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25</w:t>
            </w:r>
          </w:p>
        </w:tc>
        <w:tc>
          <w:tcPr>
            <w:tcW w:w="763" w:type="dxa"/>
            <w:noWrap/>
            <w:vAlign w:val="center"/>
          </w:tcPr>
          <w:p w14:paraId="0D0031C2">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套</w:t>
            </w:r>
          </w:p>
        </w:tc>
        <w:tc>
          <w:tcPr>
            <w:tcW w:w="5108" w:type="dxa"/>
            <w:noWrap/>
            <w:vAlign w:val="center"/>
          </w:tcPr>
          <w:p w14:paraId="7BCDCEBB">
            <w:pPr>
              <w:keepNext w:val="0"/>
              <w:keepLines w:val="0"/>
              <w:widowControl/>
              <w:suppressLineNumbers w:val="0"/>
              <w:jc w:val="left"/>
              <w:textAlignment w:val="center"/>
              <w:rPr>
                <w:rFonts w:hint="eastAsia" w:ascii="仿宋" w:hAnsi="仿宋" w:eastAsia="仿宋" w:cs="仿宋"/>
                <w:color w:val="auto"/>
                <w:kern w:val="0"/>
                <w:sz w:val="21"/>
                <w:szCs w:val="21"/>
              </w:rPr>
            </w:pPr>
            <w:r>
              <w:rPr>
                <w:rFonts w:hint="eastAsia" w:ascii="仿宋" w:hAnsi="仿宋" w:eastAsia="仿宋" w:cs="仿宋"/>
                <w:i w:val="0"/>
                <w:iCs w:val="0"/>
                <w:color w:val="000000"/>
                <w:kern w:val="0"/>
                <w:sz w:val="21"/>
                <w:szCs w:val="21"/>
                <w:u w:val="none"/>
                <w:lang w:val="en-US" w:eastAsia="zh-CN" w:bidi="ar"/>
              </w:rPr>
              <w:t>1、桨叶尺寸≥240mm，适配2212系列无刷电机;</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2、单支桨叶重量≤30g，轻量化、动平衡性能良好;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3、包含正反桨，满足四轴无人机装配使用。</w:t>
            </w:r>
          </w:p>
        </w:tc>
        <w:tc>
          <w:tcPr>
            <w:tcW w:w="1139" w:type="dxa"/>
            <w:noWrap/>
            <w:vAlign w:val="center"/>
          </w:tcPr>
          <w:p w14:paraId="75089F1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工业</w:t>
            </w:r>
          </w:p>
        </w:tc>
      </w:tr>
      <w:tr w14:paraId="49DBB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86" w:type="dxa"/>
            <w:noWrap/>
            <w:vAlign w:val="center"/>
          </w:tcPr>
          <w:p w14:paraId="2D930519">
            <w:pPr>
              <w:keepNext w:val="0"/>
              <w:keepLines w:val="0"/>
              <w:widowControl/>
              <w:suppressLineNumbers w:val="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32</w:t>
            </w:r>
          </w:p>
        </w:tc>
        <w:tc>
          <w:tcPr>
            <w:tcW w:w="1566" w:type="dxa"/>
            <w:gridSpan w:val="2"/>
            <w:noWrap/>
            <w:vAlign w:val="center"/>
          </w:tcPr>
          <w:p w14:paraId="06CCDEE6">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锂电池</w:t>
            </w:r>
          </w:p>
        </w:tc>
        <w:tc>
          <w:tcPr>
            <w:tcW w:w="631" w:type="dxa"/>
            <w:noWrap/>
            <w:vAlign w:val="center"/>
          </w:tcPr>
          <w:p w14:paraId="439E2C05">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10</w:t>
            </w:r>
          </w:p>
        </w:tc>
        <w:tc>
          <w:tcPr>
            <w:tcW w:w="763" w:type="dxa"/>
            <w:noWrap/>
            <w:vAlign w:val="center"/>
          </w:tcPr>
          <w:p w14:paraId="68EAA61B">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套</w:t>
            </w:r>
          </w:p>
        </w:tc>
        <w:tc>
          <w:tcPr>
            <w:tcW w:w="5108" w:type="dxa"/>
            <w:noWrap/>
            <w:vAlign w:val="center"/>
          </w:tcPr>
          <w:p w14:paraId="10AC8D79">
            <w:pPr>
              <w:keepNext w:val="0"/>
              <w:keepLines w:val="0"/>
              <w:widowControl/>
              <w:suppressLineNumbers w:val="0"/>
              <w:jc w:val="left"/>
              <w:textAlignment w:val="center"/>
              <w:rPr>
                <w:rFonts w:hint="eastAsia" w:ascii="仿宋" w:hAnsi="仿宋" w:eastAsia="仿宋" w:cs="仿宋"/>
                <w:color w:val="auto"/>
                <w:kern w:val="0"/>
                <w:sz w:val="21"/>
                <w:szCs w:val="21"/>
              </w:rPr>
            </w:pPr>
            <w:r>
              <w:rPr>
                <w:rFonts w:hint="eastAsia" w:ascii="仿宋" w:hAnsi="仿宋" w:eastAsia="仿宋" w:cs="仿宋"/>
                <w:i w:val="0"/>
                <w:iCs w:val="0"/>
                <w:color w:val="000000"/>
                <w:kern w:val="0"/>
                <w:sz w:val="21"/>
                <w:szCs w:val="21"/>
                <w:u w:val="none"/>
                <w:lang w:val="en-US" w:eastAsia="zh-CN" w:bidi="ar"/>
              </w:rPr>
              <w:t>1、额定容量≥2100mAh，续航充足;</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2、最大放电倍率&gt;20C，瞬时放电能力强;</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3、额定输出电压≥11V，适配多旋翼无人机飞控、电机供电;</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4、3S规格，适配主流无人机实训动力系统。</w:t>
            </w:r>
          </w:p>
        </w:tc>
        <w:tc>
          <w:tcPr>
            <w:tcW w:w="1139" w:type="dxa"/>
            <w:noWrap/>
            <w:vAlign w:val="center"/>
          </w:tcPr>
          <w:p w14:paraId="6A91685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工业</w:t>
            </w:r>
          </w:p>
        </w:tc>
      </w:tr>
      <w:tr w14:paraId="45404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86" w:type="dxa"/>
            <w:noWrap/>
            <w:vAlign w:val="center"/>
          </w:tcPr>
          <w:p w14:paraId="6A8D1729">
            <w:pPr>
              <w:keepNext w:val="0"/>
              <w:keepLines w:val="0"/>
              <w:widowControl/>
              <w:suppressLineNumbers w:val="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33</w:t>
            </w:r>
          </w:p>
        </w:tc>
        <w:tc>
          <w:tcPr>
            <w:tcW w:w="1566" w:type="dxa"/>
            <w:gridSpan w:val="2"/>
            <w:noWrap/>
            <w:vAlign w:val="center"/>
          </w:tcPr>
          <w:p w14:paraId="2980A62C">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连接线材</w:t>
            </w:r>
          </w:p>
        </w:tc>
        <w:tc>
          <w:tcPr>
            <w:tcW w:w="631" w:type="dxa"/>
            <w:noWrap/>
            <w:vAlign w:val="center"/>
          </w:tcPr>
          <w:p w14:paraId="28B9470A">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50</w:t>
            </w:r>
          </w:p>
        </w:tc>
        <w:tc>
          <w:tcPr>
            <w:tcW w:w="763" w:type="dxa"/>
            <w:noWrap/>
            <w:vAlign w:val="center"/>
          </w:tcPr>
          <w:p w14:paraId="37B2DAFA">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套</w:t>
            </w:r>
          </w:p>
        </w:tc>
        <w:tc>
          <w:tcPr>
            <w:tcW w:w="5108" w:type="dxa"/>
            <w:noWrap/>
            <w:vAlign w:val="center"/>
          </w:tcPr>
          <w:p w14:paraId="2A712C7D">
            <w:pPr>
              <w:keepNext w:val="0"/>
              <w:keepLines w:val="0"/>
              <w:widowControl/>
              <w:suppressLineNumbers w:val="0"/>
              <w:jc w:val="left"/>
              <w:textAlignment w:val="center"/>
              <w:rPr>
                <w:rFonts w:hint="eastAsia" w:ascii="仿宋" w:hAnsi="仿宋" w:eastAsia="仿宋" w:cs="仿宋"/>
                <w:color w:val="auto"/>
                <w:kern w:val="0"/>
                <w:sz w:val="21"/>
                <w:szCs w:val="21"/>
              </w:rPr>
            </w:pPr>
            <w:r>
              <w:rPr>
                <w:rFonts w:hint="eastAsia" w:ascii="仿宋" w:hAnsi="仿宋" w:eastAsia="仿宋" w:cs="仿宋"/>
                <w:i w:val="0"/>
                <w:iCs w:val="0"/>
                <w:color w:val="000000"/>
                <w:kern w:val="0"/>
                <w:sz w:val="21"/>
                <w:szCs w:val="21"/>
                <w:u w:val="none"/>
                <w:lang w:val="en-US" w:eastAsia="zh-CN" w:bidi="ar"/>
              </w:rPr>
              <w:t>1、每套包含XT30接头≥50个，适配无人机电池、设备供电连接;</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2、每套包含XT60接头≥50个，满足大功率供电接口使用;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3、每套包含硅胶线材总长度≥20米，耐高温、抗弯折，适配无人机动力线路接线实训。</w:t>
            </w:r>
          </w:p>
        </w:tc>
        <w:tc>
          <w:tcPr>
            <w:tcW w:w="1139" w:type="dxa"/>
            <w:noWrap/>
            <w:vAlign w:val="center"/>
          </w:tcPr>
          <w:p w14:paraId="39D7B9D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工业</w:t>
            </w:r>
          </w:p>
        </w:tc>
      </w:tr>
      <w:tr w14:paraId="11BEF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86" w:type="dxa"/>
            <w:noWrap/>
            <w:vAlign w:val="center"/>
          </w:tcPr>
          <w:p w14:paraId="4498AAA6">
            <w:pPr>
              <w:keepNext w:val="0"/>
              <w:keepLines w:val="0"/>
              <w:widowControl/>
              <w:suppressLineNumbers w:val="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34</w:t>
            </w:r>
          </w:p>
        </w:tc>
        <w:tc>
          <w:tcPr>
            <w:tcW w:w="1566" w:type="dxa"/>
            <w:gridSpan w:val="2"/>
            <w:noWrap/>
            <w:vAlign w:val="center"/>
          </w:tcPr>
          <w:p w14:paraId="65FA6C53">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螺丝螺母</w:t>
            </w:r>
          </w:p>
        </w:tc>
        <w:tc>
          <w:tcPr>
            <w:tcW w:w="631" w:type="dxa"/>
            <w:noWrap/>
            <w:vAlign w:val="center"/>
          </w:tcPr>
          <w:p w14:paraId="38DE13FC">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10</w:t>
            </w:r>
          </w:p>
        </w:tc>
        <w:tc>
          <w:tcPr>
            <w:tcW w:w="763" w:type="dxa"/>
            <w:noWrap/>
            <w:vAlign w:val="center"/>
          </w:tcPr>
          <w:p w14:paraId="5628DF09">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包</w:t>
            </w:r>
          </w:p>
        </w:tc>
        <w:tc>
          <w:tcPr>
            <w:tcW w:w="5108" w:type="dxa"/>
            <w:noWrap/>
            <w:vAlign w:val="center"/>
          </w:tcPr>
          <w:p w14:paraId="184491E6">
            <w:pPr>
              <w:keepNext w:val="0"/>
              <w:keepLines w:val="0"/>
              <w:widowControl/>
              <w:suppressLineNumbers w:val="0"/>
              <w:jc w:val="left"/>
              <w:textAlignment w:val="center"/>
              <w:rPr>
                <w:rFonts w:hint="eastAsia" w:ascii="仿宋" w:hAnsi="仿宋" w:eastAsia="仿宋" w:cs="仿宋"/>
                <w:color w:val="auto"/>
                <w:kern w:val="0"/>
                <w:sz w:val="21"/>
                <w:szCs w:val="21"/>
              </w:rPr>
            </w:pPr>
            <w:r>
              <w:rPr>
                <w:rFonts w:hint="eastAsia" w:ascii="仿宋" w:hAnsi="仿宋" w:eastAsia="仿宋" w:cs="仿宋"/>
                <w:i w:val="0"/>
                <w:iCs w:val="0"/>
                <w:color w:val="000000"/>
                <w:kern w:val="0"/>
                <w:sz w:val="21"/>
                <w:szCs w:val="21"/>
                <w:u w:val="none"/>
                <w:lang w:val="en-US" w:eastAsia="zh-CN" w:bidi="ar"/>
              </w:rPr>
              <w:t>1、每包包含M2、M3、M4全规格螺丝螺母合计≥200颗;</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2、适配无人机机架、飞控、电机等零部件拆装固定，满足实训装配需求。</w:t>
            </w:r>
          </w:p>
        </w:tc>
        <w:tc>
          <w:tcPr>
            <w:tcW w:w="1139" w:type="dxa"/>
            <w:noWrap/>
            <w:vAlign w:val="center"/>
          </w:tcPr>
          <w:p w14:paraId="5DEC512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工业</w:t>
            </w:r>
          </w:p>
        </w:tc>
      </w:tr>
      <w:tr w14:paraId="42DCA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86" w:type="dxa"/>
            <w:noWrap/>
            <w:vAlign w:val="center"/>
          </w:tcPr>
          <w:p w14:paraId="595DAFA2">
            <w:pPr>
              <w:keepNext w:val="0"/>
              <w:keepLines w:val="0"/>
              <w:widowControl/>
              <w:suppressLineNumbers w:val="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35</w:t>
            </w:r>
          </w:p>
        </w:tc>
        <w:tc>
          <w:tcPr>
            <w:tcW w:w="1566" w:type="dxa"/>
            <w:gridSpan w:val="2"/>
            <w:noWrap/>
            <w:vAlign w:val="center"/>
          </w:tcPr>
          <w:p w14:paraId="7219EDCC">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安全帽</w:t>
            </w:r>
          </w:p>
        </w:tc>
        <w:tc>
          <w:tcPr>
            <w:tcW w:w="631" w:type="dxa"/>
            <w:noWrap/>
            <w:vAlign w:val="center"/>
          </w:tcPr>
          <w:p w14:paraId="02EFBFB5">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20</w:t>
            </w:r>
          </w:p>
        </w:tc>
        <w:tc>
          <w:tcPr>
            <w:tcW w:w="763" w:type="dxa"/>
            <w:noWrap/>
            <w:vAlign w:val="center"/>
          </w:tcPr>
          <w:p w14:paraId="677EB28F">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顶</w:t>
            </w:r>
          </w:p>
        </w:tc>
        <w:tc>
          <w:tcPr>
            <w:tcW w:w="5108" w:type="dxa"/>
            <w:noWrap/>
            <w:vAlign w:val="center"/>
          </w:tcPr>
          <w:p w14:paraId="406655B1">
            <w:pPr>
              <w:keepNext w:val="0"/>
              <w:keepLines w:val="0"/>
              <w:widowControl/>
              <w:suppressLineNumbers w:val="0"/>
              <w:jc w:val="left"/>
              <w:textAlignment w:val="center"/>
              <w:rPr>
                <w:rFonts w:hint="eastAsia" w:ascii="仿宋" w:hAnsi="仿宋" w:eastAsia="仿宋" w:cs="仿宋"/>
                <w:color w:val="auto"/>
                <w:kern w:val="0"/>
                <w:sz w:val="21"/>
                <w:szCs w:val="21"/>
              </w:rPr>
            </w:pPr>
            <w:r>
              <w:rPr>
                <w:rFonts w:hint="eastAsia" w:ascii="仿宋" w:hAnsi="仿宋" w:eastAsia="仿宋" w:cs="仿宋"/>
                <w:i w:val="0"/>
                <w:iCs w:val="0"/>
                <w:color w:val="000000"/>
                <w:kern w:val="0"/>
                <w:sz w:val="21"/>
                <w:szCs w:val="21"/>
                <w:u w:val="none"/>
                <w:lang w:val="en-US" w:eastAsia="zh-CN" w:bidi="ar"/>
              </w:rPr>
              <w:t>1、产品性能符合GB2811-2019《头部防护安全帽》国家标准;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2、抗冲击、抗压性能达标，用于无人机飞行实训现场头部安全防护。</w:t>
            </w:r>
          </w:p>
        </w:tc>
        <w:tc>
          <w:tcPr>
            <w:tcW w:w="1139" w:type="dxa"/>
            <w:noWrap/>
            <w:vAlign w:val="center"/>
          </w:tcPr>
          <w:p w14:paraId="48F18DD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工业</w:t>
            </w:r>
          </w:p>
        </w:tc>
      </w:tr>
      <w:tr w14:paraId="3ECCF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86" w:type="dxa"/>
            <w:noWrap/>
            <w:vAlign w:val="center"/>
          </w:tcPr>
          <w:p w14:paraId="61DFC417">
            <w:pPr>
              <w:keepNext w:val="0"/>
              <w:keepLines w:val="0"/>
              <w:widowControl/>
              <w:suppressLineNumbers w:val="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36</w:t>
            </w:r>
          </w:p>
        </w:tc>
        <w:tc>
          <w:tcPr>
            <w:tcW w:w="1566" w:type="dxa"/>
            <w:gridSpan w:val="2"/>
            <w:noWrap/>
            <w:vAlign w:val="center"/>
          </w:tcPr>
          <w:p w14:paraId="33C32B83">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护目镜</w:t>
            </w:r>
          </w:p>
        </w:tc>
        <w:tc>
          <w:tcPr>
            <w:tcW w:w="631" w:type="dxa"/>
            <w:noWrap/>
            <w:vAlign w:val="center"/>
          </w:tcPr>
          <w:p w14:paraId="025B914B">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20</w:t>
            </w:r>
          </w:p>
        </w:tc>
        <w:tc>
          <w:tcPr>
            <w:tcW w:w="763" w:type="dxa"/>
            <w:noWrap/>
            <w:vAlign w:val="center"/>
          </w:tcPr>
          <w:p w14:paraId="614E4958">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副</w:t>
            </w:r>
          </w:p>
        </w:tc>
        <w:tc>
          <w:tcPr>
            <w:tcW w:w="5108" w:type="dxa"/>
            <w:noWrap/>
            <w:vAlign w:val="center"/>
          </w:tcPr>
          <w:p w14:paraId="39CF6437">
            <w:pPr>
              <w:keepNext w:val="0"/>
              <w:keepLines w:val="0"/>
              <w:widowControl/>
              <w:suppressLineNumbers w:val="0"/>
              <w:jc w:val="left"/>
              <w:textAlignment w:val="center"/>
              <w:rPr>
                <w:rFonts w:hint="eastAsia" w:ascii="仿宋" w:hAnsi="仿宋" w:eastAsia="仿宋" w:cs="仿宋"/>
                <w:color w:val="auto"/>
                <w:kern w:val="0"/>
                <w:sz w:val="21"/>
                <w:szCs w:val="21"/>
              </w:rPr>
            </w:pPr>
            <w:r>
              <w:rPr>
                <w:rFonts w:hint="eastAsia" w:ascii="仿宋" w:hAnsi="仿宋" w:eastAsia="仿宋" w:cs="仿宋"/>
                <w:i w:val="0"/>
                <w:iCs w:val="0"/>
                <w:color w:val="000000"/>
                <w:kern w:val="0"/>
                <w:sz w:val="21"/>
                <w:szCs w:val="21"/>
                <w:u w:val="none"/>
                <w:lang w:val="en-US" w:eastAsia="zh-CN" w:bidi="ar"/>
              </w:rPr>
              <w:t>1、镜片可视区域尺寸≥15cmx6cm，视野开阔;</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2、具备内外双面防雾功能，适配户外、实训场地多场景使用;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3、产品净重≤80g，佩戴轻便，可抵御碎屑、气流冲击，保障眼部安全。</w:t>
            </w:r>
          </w:p>
        </w:tc>
        <w:tc>
          <w:tcPr>
            <w:tcW w:w="1139" w:type="dxa"/>
            <w:noWrap/>
            <w:vAlign w:val="center"/>
          </w:tcPr>
          <w:p w14:paraId="4CF4BBA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工业</w:t>
            </w:r>
          </w:p>
        </w:tc>
      </w:tr>
      <w:tr w14:paraId="01075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86" w:type="dxa"/>
            <w:noWrap/>
            <w:vAlign w:val="center"/>
          </w:tcPr>
          <w:p w14:paraId="176E9AF0">
            <w:pPr>
              <w:keepNext w:val="0"/>
              <w:keepLines w:val="0"/>
              <w:widowControl/>
              <w:suppressLineNumbers w:val="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37</w:t>
            </w:r>
          </w:p>
        </w:tc>
        <w:tc>
          <w:tcPr>
            <w:tcW w:w="1566" w:type="dxa"/>
            <w:gridSpan w:val="2"/>
            <w:noWrap/>
            <w:vAlign w:val="center"/>
          </w:tcPr>
          <w:p w14:paraId="3496DC36">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绝缘手套</w:t>
            </w:r>
          </w:p>
        </w:tc>
        <w:tc>
          <w:tcPr>
            <w:tcW w:w="631" w:type="dxa"/>
            <w:noWrap/>
            <w:vAlign w:val="center"/>
          </w:tcPr>
          <w:p w14:paraId="38D9EE33">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10</w:t>
            </w:r>
          </w:p>
        </w:tc>
        <w:tc>
          <w:tcPr>
            <w:tcW w:w="763" w:type="dxa"/>
            <w:noWrap/>
            <w:vAlign w:val="center"/>
          </w:tcPr>
          <w:p w14:paraId="6B68E61B">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副</w:t>
            </w:r>
          </w:p>
        </w:tc>
        <w:tc>
          <w:tcPr>
            <w:tcW w:w="5108" w:type="dxa"/>
            <w:noWrap/>
            <w:vAlign w:val="center"/>
          </w:tcPr>
          <w:p w14:paraId="7BB47C1C">
            <w:pPr>
              <w:keepNext w:val="0"/>
              <w:keepLines w:val="0"/>
              <w:widowControl/>
              <w:suppressLineNumbers w:val="0"/>
              <w:jc w:val="left"/>
              <w:textAlignment w:val="center"/>
              <w:rPr>
                <w:rFonts w:hint="eastAsia" w:ascii="仿宋" w:hAnsi="仿宋" w:eastAsia="仿宋" w:cs="仿宋"/>
                <w:color w:val="auto"/>
                <w:kern w:val="0"/>
                <w:sz w:val="21"/>
                <w:szCs w:val="21"/>
              </w:rPr>
            </w:pPr>
            <w:r>
              <w:rPr>
                <w:rFonts w:hint="eastAsia" w:ascii="仿宋" w:hAnsi="仿宋" w:eastAsia="仿宋" w:cs="仿宋"/>
                <w:i w:val="0"/>
                <w:iCs w:val="0"/>
                <w:color w:val="000000"/>
                <w:kern w:val="0"/>
                <w:sz w:val="21"/>
                <w:szCs w:val="21"/>
                <w:u w:val="none"/>
                <w:lang w:val="en-US" w:eastAsia="zh-CN" w:bidi="ar"/>
              </w:rPr>
              <w:t>1、产品通过专业电气性能检测，绝缘性能合规;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2、适配无人机电路接线、带电设备调试作业，防范触电风险</w:t>
            </w:r>
          </w:p>
        </w:tc>
        <w:tc>
          <w:tcPr>
            <w:tcW w:w="1139" w:type="dxa"/>
            <w:noWrap/>
            <w:vAlign w:val="center"/>
          </w:tcPr>
          <w:p w14:paraId="4AB5416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工业</w:t>
            </w:r>
          </w:p>
        </w:tc>
      </w:tr>
      <w:tr w14:paraId="0FC6C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86" w:type="dxa"/>
            <w:noWrap/>
            <w:vAlign w:val="center"/>
          </w:tcPr>
          <w:p w14:paraId="06817AC0">
            <w:pPr>
              <w:keepNext w:val="0"/>
              <w:keepLines w:val="0"/>
              <w:widowControl/>
              <w:suppressLineNumbers w:val="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38</w:t>
            </w:r>
          </w:p>
        </w:tc>
        <w:tc>
          <w:tcPr>
            <w:tcW w:w="1566" w:type="dxa"/>
            <w:gridSpan w:val="2"/>
            <w:noWrap/>
            <w:vAlign w:val="center"/>
          </w:tcPr>
          <w:p w14:paraId="10BC5419">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防火毯</w:t>
            </w:r>
          </w:p>
        </w:tc>
        <w:tc>
          <w:tcPr>
            <w:tcW w:w="631" w:type="dxa"/>
            <w:noWrap/>
            <w:vAlign w:val="center"/>
          </w:tcPr>
          <w:p w14:paraId="5F3E5EF2">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5</w:t>
            </w:r>
          </w:p>
        </w:tc>
        <w:tc>
          <w:tcPr>
            <w:tcW w:w="763" w:type="dxa"/>
            <w:noWrap/>
            <w:vAlign w:val="center"/>
          </w:tcPr>
          <w:p w14:paraId="47F34D53">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张</w:t>
            </w:r>
          </w:p>
        </w:tc>
        <w:tc>
          <w:tcPr>
            <w:tcW w:w="5108" w:type="dxa"/>
            <w:noWrap/>
            <w:vAlign w:val="center"/>
          </w:tcPr>
          <w:p w14:paraId="529A65CA">
            <w:pPr>
              <w:keepNext w:val="0"/>
              <w:keepLines w:val="0"/>
              <w:widowControl/>
              <w:suppressLineNumbers w:val="0"/>
              <w:jc w:val="left"/>
              <w:textAlignment w:val="center"/>
              <w:rPr>
                <w:rFonts w:hint="eastAsia" w:ascii="仿宋" w:hAnsi="仿宋" w:eastAsia="仿宋" w:cs="仿宋"/>
                <w:color w:val="auto"/>
                <w:kern w:val="0"/>
                <w:sz w:val="21"/>
                <w:szCs w:val="21"/>
              </w:rPr>
            </w:pPr>
            <w:r>
              <w:rPr>
                <w:rFonts w:hint="eastAsia" w:ascii="仿宋" w:hAnsi="仿宋" w:eastAsia="仿宋" w:cs="仿宋"/>
                <w:i w:val="0"/>
                <w:iCs w:val="0"/>
                <w:color w:val="000000"/>
                <w:kern w:val="0"/>
                <w:sz w:val="21"/>
                <w:szCs w:val="21"/>
                <w:u w:val="none"/>
                <w:lang w:val="en-US" w:eastAsia="zh-CN" w:bidi="ar"/>
              </w:rPr>
              <w:t>1、防火熔点&gt;1000°C，耐高温性能优异;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2、燃烧性能达到A1级不燃标准;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3、用于无人机锂电池起火应急处置，适配实训场地安全防护</w:t>
            </w:r>
          </w:p>
        </w:tc>
        <w:tc>
          <w:tcPr>
            <w:tcW w:w="1139" w:type="dxa"/>
            <w:noWrap/>
            <w:vAlign w:val="center"/>
          </w:tcPr>
          <w:p w14:paraId="20FF801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工业</w:t>
            </w:r>
          </w:p>
        </w:tc>
      </w:tr>
      <w:tr w14:paraId="31E52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86" w:type="dxa"/>
            <w:noWrap/>
            <w:vAlign w:val="center"/>
          </w:tcPr>
          <w:p w14:paraId="7ACC9239">
            <w:pPr>
              <w:keepNext w:val="0"/>
              <w:keepLines w:val="0"/>
              <w:widowControl/>
              <w:suppressLineNumbers w:val="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39</w:t>
            </w:r>
          </w:p>
        </w:tc>
        <w:tc>
          <w:tcPr>
            <w:tcW w:w="1566" w:type="dxa"/>
            <w:gridSpan w:val="2"/>
            <w:noWrap/>
            <w:vAlign w:val="center"/>
          </w:tcPr>
          <w:p w14:paraId="7A6EA98B">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警示标识</w:t>
            </w:r>
          </w:p>
        </w:tc>
        <w:tc>
          <w:tcPr>
            <w:tcW w:w="631" w:type="dxa"/>
            <w:noWrap/>
            <w:vAlign w:val="center"/>
          </w:tcPr>
          <w:p w14:paraId="2AB93315">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1</w:t>
            </w:r>
          </w:p>
        </w:tc>
        <w:tc>
          <w:tcPr>
            <w:tcW w:w="763" w:type="dxa"/>
            <w:noWrap/>
            <w:vAlign w:val="center"/>
          </w:tcPr>
          <w:p w14:paraId="61C27DA5">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套</w:t>
            </w:r>
          </w:p>
        </w:tc>
        <w:tc>
          <w:tcPr>
            <w:tcW w:w="5108" w:type="dxa"/>
            <w:noWrap/>
            <w:vAlign w:val="center"/>
          </w:tcPr>
          <w:p w14:paraId="0B1D9563">
            <w:pPr>
              <w:keepNext w:val="0"/>
              <w:keepLines w:val="0"/>
              <w:widowControl/>
              <w:suppressLineNumbers w:val="0"/>
              <w:jc w:val="left"/>
              <w:textAlignment w:val="center"/>
              <w:rPr>
                <w:rFonts w:hint="eastAsia" w:ascii="仿宋" w:hAnsi="仿宋" w:eastAsia="仿宋" w:cs="仿宋"/>
                <w:color w:val="auto"/>
                <w:kern w:val="0"/>
                <w:sz w:val="21"/>
                <w:szCs w:val="21"/>
              </w:rPr>
            </w:pPr>
            <w:r>
              <w:rPr>
                <w:rFonts w:hint="eastAsia" w:ascii="仿宋" w:hAnsi="仿宋" w:eastAsia="仿宋" w:cs="仿宋"/>
                <w:i w:val="0"/>
                <w:iCs w:val="0"/>
                <w:color w:val="000000"/>
                <w:kern w:val="0"/>
                <w:sz w:val="21"/>
                <w:szCs w:val="21"/>
                <w:u w:val="none"/>
                <w:lang w:val="en-US" w:eastAsia="zh-CN" w:bidi="ar"/>
              </w:rPr>
              <w:t>1、每套包含:禁止入内、禁止吸烟、禁止烟火、必须佩戴安全帽、飞行区域禁止入内、当心触电警示标识各2张;</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2、单张标识尺寸≥30cmx40cm，醒目清晰，用于实训场地分区、安全警示。</w:t>
            </w:r>
          </w:p>
        </w:tc>
        <w:tc>
          <w:tcPr>
            <w:tcW w:w="1139" w:type="dxa"/>
            <w:noWrap/>
            <w:vAlign w:val="center"/>
          </w:tcPr>
          <w:p w14:paraId="25D2CC3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工业</w:t>
            </w:r>
          </w:p>
        </w:tc>
      </w:tr>
      <w:tr w14:paraId="542B6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86" w:type="dxa"/>
            <w:noWrap/>
            <w:vAlign w:val="center"/>
          </w:tcPr>
          <w:p w14:paraId="65C819D6">
            <w:pPr>
              <w:keepNext w:val="0"/>
              <w:keepLines w:val="0"/>
              <w:widowControl/>
              <w:suppressLineNumbers w:val="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40</w:t>
            </w:r>
          </w:p>
        </w:tc>
        <w:tc>
          <w:tcPr>
            <w:tcW w:w="1566" w:type="dxa"/>
            <w:gridSpan w:val="2"/>
            <w:noWrap/>
            <w:vAlign w:val="center"/>
          </w:tcPr>
          <w:p w14:paraId="2F12CFF7">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杜邦线</w:t>
            </w:r>
          </w:p>
        </w:tc>
        <w:tc>
          <w:tcPr>
            <w:tcW w:w="631" w:type="dxa"/>
            <w:noWrap/>
            <w:vAlign w:val="center"/>
          </w:tcPr>
          <w:p w14:paraId="18C52FEC">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1</w:t>
            </w:r>
          </w:p>
        </w:tc>
        <w:tc>
          <w:tcPr>
            <w:tcW w:w="763" w:type="dxa"/>
            <w:noWrap/>
            <w:vAlign w:val="center"/>
          </w:tcPr>
          <w:p w14:paraId="363EC13B">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套</w:t>
            </w:r>
          </w:p>
        </w:tc>
        <w:tc>
          <w:tcPr>
            <w:tcW w:w="5108" w:type="dxa"/>
            <w:noWrap/>
            <w:vAlign w:val="center"/>
          </w:tcPr>
          <w:p w14:paraId="266F91C9">
            <w:pPr>
              <w:keepNext w:val="0"/>
              <w:keepLines w:val="0"/>
              <w:widowControl/>
              <w:suppressLineNumbers w:val="0"/>
              <w:jc w:val="left"/>
              <w:textAlignment w:val="center"/>
              <w:rPr>
                <w:rFonts w:hint="eastAsia" w:ascii="仿宋" w:hAnsi="仿宋" w:eastAsia="仿宋" w:cs="仿宋"/>
                <w:color w:val="auto"/>
                <w:kern w:val="0"/>
                <w:sz w:val="21"/>
                <w:szCs w:val="21"/>
              </w:rPr>
            </w:pPr>
            <w:r>
              <w:rPr>
                <w:rFonts w:hint="eastAsia" w:ascii="仿宋" w:hAnsi="仿宋" w:eastAsia="仿宋" w:cs="仿宋"/>
                <w:i w:val="0"/>
                <w:iCs w:val="0"/>
                <w:color w:val="000000"/>
                <w:kern w:val="0"/>
                <w:sz w:val="21"/>
                <w:szCs w:val="21"/>
                <w:u w:val="none"/>
                <w:lang w:val="en-US" w:eastAsia="zh-CN" w:bidi="ar"/>
              </w:rPr>
              <w:t>1、套装包含:公对公、母对母、公对母规格，线长20cm;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2、每种规格1排40根，总计≥120根;</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3、用于飞控、传感器、模块之间电路连接调试，适配电子实训接线作业。</w:t>
            </w:r>
          </w:p>
        </w:tc>
        <w:tc>
          <w:tcPr>
            <w:tcW w:w="1139" w:type="dxa"/>
            <w:noWrap/>
            <w:vAlign w:val="center"/>
          </w:tcPr>
          <w:p w14:paraId="372EF74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工业</w:t>
            </w:r>
          </w:p>
        </w:tc>
      </w:tr>
      <w:tr w14:paraId="110AC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9793" w:type="dxa"/>
            <w:gridSpan w:val="7"/>
            <w:noWrap/>
            <w:vAlign w:val="center"/>
          </w:tcPr>
          <w:p w14:paraId="3ADA66C0">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四、</w:t>
            </w:r>
            <w:r>
              <w:rPr>
                <w:rFonts w:hint="eastAsia" w:ascii="仿宋" w:hAnsi="仿宋" w:eastAsia="仿宋" w:cs="仿宋"/>
                <w:color w:val="auto"/>
                <w:kern w:val="0"/>
                <w:sz w:val="21"/>
                <w:szCs w:val="21"/>
              </w:rPr>
              <w:t>生产线实训配套</w:t>
            </w:r>
          </w:p>
        </w:tc>
      </w:tr>
      <w:tr w14:paraId="3DBCB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86" w:type="dxa"/>
            <w:noWrap/>
            <w:vAlign w:val="center"/>
          </w:tcPr>
          <w:p w14:paraId="7FCBCD6D">
            <w:pPr>
              <w:keepNext w:val="0"/>
              <w:keepLines w:val="0"/>
              <w:widowControl/>
              <w:suppressLineNumbers w:val="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1</w:t>
            </w:r>
          </w:p>
        </w:tc>
        <w:tc>
          <w:tcPr>
            <w:tcW w:w="1566" w:type="dxa"/>
            <w:gridSpan w:val="2"/>
            <w:noWrap/>
            <w:vAlign w:val="center"/>
          </w:tcPr>
          <w:p w14:paraId="03C97B97">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液晶屏制造综合应用实训平台</w:t>
            </w:r>
          </w:p>
        </w:tc>
        <w:tc>
          <w:tcPr>
            <w:tcW w:w="631" w:type="dxa"/>
            <w:noWrap/>
            <w:vAlign w:val="center"/>
          </w:tcPr>
          <w:p w14:paraId="1C4EA879">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763" w:type="dxa"/>
            <w:noWrap/>
            <w:vAlign w:val="center"/>
          </w:tcPr>
          <w:p w14:paraId="777F2D17">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套</w:t>
            </w:r>
          </w:p>
        </w:tc>
        <w:tc>
          <w:tcPr>
            <w:tcW w:w="5108" w:type="dxa"/>
            <w:noWrap/>
            <w:vAlign w:val="center"/>
          </w:tcPr>
          <w:p w14:paraId="67966F3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智能制造综合应用实训平台</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一、总体描述</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（1）实训工作站描述</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智能制造综合应用实训平台，以协作型六轴机器人为核心，在操作平台的四周合理分布有多种不同工艺应用的实训模块，包含了搬运码垛工艺、HMI编程工艺、立体仓库工艺、装配工艺等工业机器人最典型应用，不仅满足了职业院校不同专业学生针对协作机器人的操作和编程的教学需求，完全来源于工业应用现场的特征也使该工作站更加适合于作为职业技能竞赛平台。</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二、机器人技术参数如下：</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桌面型六轴协作机器人：</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（一）机器人本体：</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1、负载：3kg。</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2、重量：≈10kg。</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3、工作半径：622mm。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4、重复定位精度：±0.05mm。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5、自由度数：6个旋转关节。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6、编程方式：支持拖拽编程。</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7、示教器类型：平板电脑/手机，需提供无线示教器APP安装包，支持机器人手动操纵、程序编写、 参数配置以及信息监控等功能。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8、动作范围及速度：</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（1）基座，±175°，最大速度±150°/s；</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（2）肩部，﹢85°/ 265°，最大速度不低于±150°/s；</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（3）肘部，±150°，最大速度不低于±150°/s；</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（4）腕部 1，﹢85°/﹣265°，最大速度不低于±180°/s；</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（5）腕部 2，0°~350°，最大速度不低于±180°/s；</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（6）腕部3，±175°，最大速度不低于±180°/s。</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9、防护等级：IP54。</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10、工具I/0电源：24V/1.5A。</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11、温度范围：0-45℃。</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12、设备材料：铝、钢。</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13、机器人安装：任意角度安装。</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14、底座直径：不高于125mm。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（二）底座控制参数：</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1、I/O端口：5个单独的IO接口</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2、I/O电源：24V/1.5A。</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3、标配通讯：I/O、TCP/IP、Modbus_TCP/RTU。</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4、安装方式：面板/镀锌板。</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5、供电电源：48V直流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二、软件要求：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功能描述</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1、用户可以查看机器人常用信息和事件日志。</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2、用户可以对机器人进行手动操纵。</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3、用户可以管理设置机器人的 I/O 模块。</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4、用户可以通过编写程序对机器人进行操纵。</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5、用户可以对机器人进行相关参数配置。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三、多功能实训平台：</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(1)采用工业铝型材搭建，钣金表面喷塑处理，带滚轮；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(2)单台尺寸：长≥400mm，宽≥700mm，高≥750mm；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（3）整体尺寸：长≥1200mm，宽≥700mm，高≥750mm；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(4)台面采用铝型材拼接而成，台面尺寸：长≥400mm，宽≥700mm；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(5)实训模块可任意组合放置与模块化固定。</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(6)底部安装有脚轮脚杯，方便移动和固定位置。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四、底座送料模块：</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功能：将迭放在管形料桶内的底座工件逐个推出。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模构组成：透明有机玻璃管形料桶，型材基体，方型地脚盘，门式井架，推料舌块，双轴气缸，电磁阀模块、传感器等。</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五、上盖送料模块：</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功能：将迭放在管形料桶内的上盖工件逐个推出。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模构组成：透明有机玻璃管形料桶，型材基体，方型地脚盘，门式井架，推料舌块，单杠气缸，电磁阀模块、传感器等。</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六、传动带模块：</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功能：可以实现工件的传送。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结构组成：直流电机、减速器，涨紧调节装置，带轮，输送皮带，型材机体，可调支架，电机控制器、光电传感器。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模块尺寸（长×宽×高）：约320*120*100mm，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输送带有效长度：约300mm；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输送带有效工作宽度：约90mm；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输送带电机功率：25W</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减速比：1：20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转速：1350转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七、工件装配模块：</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功能：底座工件定位与固定，便于机器人装配。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结构组成：型材基体，方型地脚盘,双轴气缸，电磁阀模块、传感器等。</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八、机器人夹具仓库模块：</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功能：存放机器人快换夹具。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结构组成：光电传感器，型材基体，方型地脚盘，配置快换公头1个、快换母头2个，分别为夹爪快换夹具与画笔夹具。</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额定负载：3KG、重复定位精度：±0.03mm、锁紧气压：0.8Mpa、       外形尺寸：Φ48*H36.5mm、重量：单个公盘：115g 母盘：45g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容许温度、温度范围：0~55°C、0~95%（不结露）、  材质：铝合金</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九、立体仓库模块：</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功能：原材料半成品及成品存放仓储。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组成：6仓位2层立体布局；库位采用阶梯布局，库位配置电容传感器，识别仓位状态。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主要技术参数：</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1）外形尺寸（长×宽×高）：约 300mm×300mm×400mm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2）仓储容量：≥6</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十、气源处理模块：</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功能：过滤压缩空气中的杂质，控制系统压力</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组成：空气过滤器、减压阀、油雾器等。</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最大工作压力：0.8–1.6 MPa（主流 1.0 MPa）</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排水方式：手动排水</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滤杯容量：60 mL</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分水效率：≥90%（标准工况）</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滤芯寿命：2000–4000 小时（或压差≥0.1 MPa 更换）</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最大使用压力：1.0 MPa（145 psi）</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保证耐压力：1.5 MPa（215 psi）</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给油方式：滴油式（可调）</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滴油调节范围：0–120 滴 / 分钟</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十一、声光报警模块</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由红蓝绿三色灯、报警蜂鸣器、等组成。</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主要技术参数：</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 外形尺寸（长×宽×高）： ≥直径50mm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（2）适配标准实训台定位安装</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（3）控制电压：DC-24V</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（4）蜂鸣音量：85分贝</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（5）材质：灯罩-ABS/外壳PC</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（6）接线方式：常亮或闪亮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十二、开关控制面板模块：</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功能：设备运行控制指令</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组成：按钮、开关、指示灯等。</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(1)提供实训平台启动、停止、模式控制和急停按钮，可实现对设备运行操作；</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(2)提供故障及设备运行状态指示灯；</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十三、电气控制板模块：</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1）开关电源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2）单相漏电保护开关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3)交流接触触器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4)熔断器溶体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5)继电器+底座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6）接线端子</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十四、移动电脑桌：</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采用工业铝型材搭建，钣金表面喷塑处理，带滚轮（带刹车功能），桌面采用木板，方便学员使用。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整体尺寸：约650*650*1100mm。平面高度：700mm。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十五、触摸屏模块：</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屏幕尺寸：7 英寸 TFT、</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背光类型：LED、</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显示色彩：262K 色（非 1677 万色）、</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分辨率：800 × 480 像素</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显示亮度：250 cd/㎡</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触摸类型：四线电阻式</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处理器：Cortex</w:t>
            </w:r>
            <w:r>
              <w:rPr>
                <w:rFonts w:hint="eastAsia" w:ascii="仿宋" w:hAnsi="仿宋" w:eastAsia="仿宋" w:cs="仿宋"/>
                <w:i w:val="0"/>
                <w:iCs w:val="0"/>
                <w:color w:val="000000"/>
                <w:kern w:val="0"/>
                <w:sz w:val="21"/>
                <w:szCs w:val="21"/>
                <w:u w:val="none"/>
                <w:lang w:val="en-US" w:eastAsia="zh-CN" w:bidi="ar"/>
              </w:rPr>
              <w:noBreakHyphen/>
            </w:r>
            <w:r>
              <w:rPr>
                <w:rFonts w:hint="eastAsia" w:ascii="仿宋" w:hAnsi="仿宋" w:eastAsia="仿宋" w:cs="仿宋"/>
                <w:i w:val="0"/>
                <w:iCs w:val="0"/>
                <w:color w:val="000000"/>
                <w:kern w:val="0"/>
                <w:sz w:val="21"/>
                <w:szCs w:val="21"/>
                <w:u w:val="none"/>
                <w:lang w:val="en-US" w:eastAsia="zh-CN" w:bidi="ar"/>
              </w:rPr>
              <w:t>A7 双核 800 MHz</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内存：128 MB</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系统存储：128 MB</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十六、可编程控制器模块：</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功能：通用性强，控制程序可变，使用方便</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I/O 点数：48 点（24 入 / 24 出）</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输出类型：晶体管（NPN 漏型）</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程序内存：内置 64K 步 RAM，支持选配内存卡</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处理速度：基本指令 0.065 μs / 步，应用指令 0.642 μs / 步</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内置端口：RS-422（编程口）</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可扩展：模拟量、温度、高速计数、定位、以太网、Modbus 等模块</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工作温度：0–55℃</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存储温度：-20–70℃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湿度：5–95% RH（无凝露</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重量：约 0.85 kg</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尺寸（W×H×D）：182×90×86 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十七、静音气泵</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采用纯铜电机，为平台提供气源供给；</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输入功率：550W</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排气压力：0.8MPa</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额定电压：220V</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排气量：106L/min</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产品重量：约22KG</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额定转速：1440rpm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气罐容积：30L</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十八、配套智能制造综合应用实训平台使用操作理论课程实训指导操作书，同时配套有版权书籍号的正规书籍。同时配套以下目录PPT课程目录：</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1、工业的发展现状</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2、工业的发展现状</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3、PLC的工作原理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4、三菱FX-3UPLC的选型</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5、三菱PLC输入输出端的接线</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6、三菱PLC的编程语言</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7、三菱PLC软元件的使用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8、人机界面的概念和功能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9、触摸屏组态软件的安装</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10、触摸屏通讯设置与页面设计</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11、常用元件项目应用实训</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12、PLC编程软件的使用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13、PLC基本逻辑控制</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14、PLC顺序控制</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15、 PLC循环控制</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16、步进顺控指令的使用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17、步进顺控案例应用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18、SFC编程语言讲解</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19、SFC编程语言讲解</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20、变频器工作原理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21、变频器主电路控制电路接线</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22、变频器参数设置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23、常用控制项目应用实训</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十九、虚拟仿真软件系统：</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软件为力图打破国外垄断的国产自主研发虚拟仿真软件，非国外仿真软件底座进行的二次开发软件，且应具备著作权证书等权属文件。</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一、模型库</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模型库中的总数模量不少于3000种，可参数化模型不少于600种，并且按照不同的模型种类进行分类，种类包括但不限于机器人、机器人工具、行走轴、变位机、供料装置、移料机构、传感器等，方便快速查找模型。</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2、模型具备收藏功能，点击模型左上方的收藏按钮，即可将模型加入收藏，可快速筛选收藏模型，方便快速查找模型。</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3、软件具备模型快速搜索功能，搜索框内输入模型型号或者名称，即可快速搜查到对应模型，每个模型带有唯一型号。</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▲4、模型具备介绍功能，鼠标移到对应模型上时，自动显示模型相关信息，以六轴机器人为例，显示内容包含：机器人品牌、机器人轴数、额定负载、可达范围、重量等。</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5、模型库分为公共库和个人库，公共库为共有模型，个人库为自有模型，且个人库具有模型上传和库管理功能，方便管理。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二、产线搭建</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1、软件整体采用拖拉拽的形式进行产线搭建，搭建完成后支持各个三维角度查看，也支持场景漫游查看，方便观察产线总体布局和细节布局。</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▲2、参数化模型软件中的输送线、模组机器人等模型可通过手动输入或滑动阈值范围的方式来对尺寸、类型、方向等参数进行模型适配。参数化不仅包括模型长宽高的变化，也包括结构形式的变化。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机器人末端工具拆装，内置常用模型组件的搭配关系，在进行诸如工具末端匹配，机器人与地台搭配的场景，软件会自适应的找到最佳组合位置，用户只需要拖拽到合适的位置就可以进行模型关系的组合动作。</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4、模型具备线性阵列和环形阵列功能，能快速阵列多个物体在指定位置。方便用户快速复用已有模型组合；软件具备点线面测量功能，可保证模型与模型间的组合精度测量。</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5、软件系统具备场景树功能，虚拟场景中产线构成的所有模块，可在场景树中按照模块展开进行分类，同时可以一键生成BOM清单并导出，BOM清单内容包括但不限于设备名称、设备型号、设备数量等信息。</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三、快速编程</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1、软件机器人示教编程面板可快速进行机器人示教，包含示教速度修改、复位、HOME点记录、笛卡尔设置、拖拽示教等设置模块。</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2、机器人程序编程指令包括运动指令、逻辑指令、文本指令、通讯指令，其中运动指令包含：MOVEL/MOVEJ等指令，逻辑指令包含SETIO/WAIT/DELAY/IF/WHILE/CALL/LOOP/STOP等指令。</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3、软件配备真实物理引擎，物料模型可选打开或关闭物理引擎，打开后可设置物料模型的阻力系数、动摩擦力、静摩擦力、弹性系数、摩擦力组合等内容</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4、软件支持0代码智能编程单机机器人、多机机器人等动作，包含快速抓取、物料堆叠、物料拆垛、连续轨迹等模块。</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无代码编程模块主要包括事件生成、自动关联、手动关联、逻辑剔除、初始化、逻辑添加、事件清空、程序生成等功能，通过直观的图形界面交互，在无需进行程序指令编写、模型连线操作的情况下快速生成场景仿真并编辑。</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通过空间工作点位的快速捕捉，自动生成机器人运动动作，无需编写机器人程序指令，其中点位捕捉方式包括坐标系、面、面中心、边、顶点等。机器人对应可选工艺包括搬运、装配、上下料、柴垛、码垛等。</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软件支持功能标签定义，包括机器人、异构机器人、输送线体、通用IO机构、PPU、旋转台、磁悬浮等类型，不同类型的模型资产，具有对应的运动周期，通过“事件生成”按钮，即可加载模型运行动作，且可进行运行参数的编辑调整。</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8、软件具备知识图谱数据，可以根据模型资产间的模型类型属性、空间位置关系、工作点位信息等，点击“自动关联”按钮自动建立运行逻辑，实现场景按照先后逻辑正确运行。</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9、可对知识图谱数据中未覆盖到的模型资产，进行运动逻辑的手动添加，以保证场景运行逻辑的完整性。通过点击“手动关联”按钮来实现，点击该按钮后，依次选择两个模型资产并按空格键确认，即可建立动作先后执行关系。</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10、可通过“逻辑查看”按钮进行逻辑观察。点击“逻辑查看”按钮后，按钮高亮，在图形界面选择资产事件，可高亮直观的显示和其建立了逻辑关系的其他资产事件。其中绿色高亮显示的为选中资产事件的前序事件、黄色高亮显示的为选中资产事件的后续序事件，粉色高亮显示的和选中资产事件互为相互事件。再次点击“逻辑查看”按钮，或者按esc退出该功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11、对于逻辑建立错误的部分，可通过“逻辑剔除”按钮实现逻辑的删除，点击“逻辑剔除”按钮后，按钮高亮，在图形界面依次选择两个建立了逻辑关系的资产事件，将自动解除关系。再次点击“逻辑剔除”按钮，或者按esc退出该功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12、关联资产事件的快速定位功能，在等待事件、赋值事件等功能面板中，通过点击面板中变量状态右侧的定位图标，可在图形界面区域高亮显示该变量所属的模型资产，便于场景运行状态的排查。</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▲13、无代码编程生成的仿真运动，可转化成ROCO语言，用于动作轨迹的精细化调整。通过点击“程序生成”按钮实现，生成的程序可进行再编辑，精细化调优。</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14、支持输送线模型的工作工位定义和自动生成。选中输送线资产，右键选择IO配置选项，在工作站配置界面进行输送线工位的定义，并且可以在该工位绑定与之配合的模型资产，绑定在工位上的模型资产，在生成事件的时候会自动建立对应的先后执行逻辑关系。</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▲15、支持模型资产运行参数的快速、实时调整，右键长按模型即可调出参数快捷调节轮盘面板，根据资产类型不同，可调节参数包括运行方向、距离、速度、角度、加速度、时间等。</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16、具有程序指针功能，可通过指针所处位置，快速查看场景当前运行节点，并根据指针所处位置是否异常来排查问题。</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四、产线优化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1、支持场景中的数据采集，如产能，状态，机器人，空间利用率，节拍等，用户可以依据需求拖入需要采集的内容，所有数据均支持导出。</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2、数据看板支持样式的设置，颜色和透明度都可以无级调节，可以对读取数据的机器人进行切换，有折线图和柱状图选择。</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3、软件具备报警记录看板，可以查看报警变量、资产名称、信号点位、报警内容等，所有记录均可导出。</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4、碰撞检测：软件中具备对机器人的防碰撞预警，可对其周围的模型进行碰撞检测。</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5、搭建和编程完成的产线，支持一键开始仿真，支持改变仿真速度，并且可以随时暂定仿真，观察各个阶段的产线效果。</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6、搭建和编程完成的产线，支持导出视频、导出照片、导出动画，导出布局。其中导出视频支持分辨率修改，宽高比修改、视频质量修改、帧率修改。</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▲7、搭建和编程完成的产线，支持调试模式，开启后各设备的程序即可进行暂停、继续、逐过程、逐语句、跳出等操作，实现精细化修改程序。</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五、产线案例</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▲1、软件附赠不少于20条已搭建且编程完成的工业产线案例，包含光伏、3C、电机、泵、锂电、汽车、仓储物流等各大行业的成熟产线案例：</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光伏：</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(1)光伏接线盒虚拟仿真教学场景</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(2)光伏排版机虚拟仿真教学场景</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(3)U型光伏硅片上下料产线虚拟仿真教学场景</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(4)光伏串焊机机虚拟仿真教学场景</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锂电：</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(5)锂膜包装线虚拟仿真教学场景</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(6)动力锂电池pack线虚拟仿真教学场景</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(7)圆柱电池pack生产线虚拟仿真教学场景</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3C：</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(8)摆渡磁悬浮虚拟仿真教学场景</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(9)涂胶锁附工作站虚拟仿真教学场景</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汽车：</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(10)车身侧围焊接搬运虚拟仿真教学场景</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(11)发动机去毛刺工作站虚拟仿真教学场景</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(12)汽车钣金焊接虚拟仿真教学场景</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(13)双机焊接虚拟仿真教学场景</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(14)汽车配件焊接工站虚拟仿真教学场景</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泵与电机：</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(15)叶轮站虚拟仿真教学场景</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(16)泵体装配线虚拟仿真教学场景</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(17)伺服电机总装线虚拟仿真教学场景</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(18)电机组装线虚拟仿真教学场景</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仓储物流：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(19)AGV搬运虚拟仿真教学场景</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(20)立体仓库虚拟仿真教学场景</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(21)穿梭车立体仓库虚拟仿真教学场景</w:t>
            </w:r>
          </w:p>
          <w:p w14:paraId="75ACEEC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六、为保证兼容性和服务便捷性，防止推诿，液晶屏制造综合应用实训平台需基于学校现有一、二生产线的全流程工艺进行模拟教学，完整复现液晶屏制造产线生产各核心工序（含物料输送、装配、检测、包装等），构建与工业生产场景高度一致的实训环境，并由具产线生产厂家联合学校专业骨干教师围绕液晶屏制造产线核心岗位（如设备操作、工艺调试、质量检测、产线运维等）进行共同开发及系统化设计，确保实训教学与岗位需求精准对接，符合职业技能等级标准与教学实训要求。投标时投标人需出具所投产品承诺函，并加盖公章。</w:t>
            </w:r>
          </w:p>
          <w:p w14:paraId="25122EFD">
            <w:pPr>
              <w:pStyle w:val="32"/>
              <w:rPr>
                <w:rFonts w:hint="eastAsia" w:eastAsia="宋体"/>
                <w:lang w:val="en-US" w:eastAsia="zh-CN"/>
              </w:rPr>
            </w:pPr>
          </w:p>
        </w:tc>
        <w:tc>
          <w:tcPr>
            <w:tcW w:w="1139" w:type="dxa"/>
            <w:noWrap/>
            <w:vAlign w:val="center"/>
          </w:tcPr>
          <w:p w14:paraId="486E469C">
            <w:pPr>
              <w:pStyle w:val="32"/>
              <w:rPr>
                <w:rFonts w:hint="eastAsia" w:eastAsia="宋体"/>
                <w:lang w:val="en-US" w:eastAsia="zh-CN"/>
              </w:rPr>
            </w:pPr>
            <w:r>
              <w:rPr>
                <w:rFonts w:hint="eastAsia" w:ascii="仿宋" w:hAnsi="仿宋" w:eastAsia="仿宋" w:cs="仿宋"/>
                <w:i w:val="0"/>
                <w:iCs w:val="0"/>
                <w:color w:val="000000"/>
                <w:kern w:val="0"/>
                <w:sz w:val="21"/>
                <w:szCs w:val="21"/>
                <w:u w:val="none"/>
                <w:lang w:val="en-US" w:eastAsia="zh-CN" w:bidi="ar"/>
              </w:rPr>
              <w:t>软件和信息技术服务业</w:t>
            </w:r>
          </w:p>
        </w:tc>
      </w:tr>
      <w:tr w14:paraId="73366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86" w:type="dxa"/>
            <w:noWrap/>
            <w:vAlign w:val="center"/>
          </w:tcPr>
          <w:p w14:paraId="57E34D55">
            <w:pPr>
              <w:keepNext w:val="0"/>
              <w:keepLines w:val="0"/>
              <w:widowControl/>
              <w:suppressLineNumbers w:val="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2</w:t>
            </w:r>
          </w:p>
        </w:tc>
        <w:tc>
          <w:tcPr>
            <w:tcW w:w="1566" w:type="dxa"/>
            <w:gridSpan w:val="2"/>
            <w:noWrap/>
            <w:vAlign w:val="center"/>
          </w:tcPr>
          <w:p w14:paraId="72A6F24D">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课程资源建设</w:t>
            </w:r>
          </w:p>
        </w:tc>
        <w:tc>
          <w:tcPr>
            <w:tcW w:w="631" w:type="dxa"/>
            <w:noWrap/>
            <w:vAlign w:val="center"/>
          </w:tcPr>
          <w:p w14:paraId="5B4525A4">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1</w:t>
            </w:r>
          </w:p>
        </w:tc>
        <w:tc>
          <w:tcPr>
            <w:tcW w:w="763" w:type="dxa"/>
            <w:noWrap/>
            <w:vAlign w:val="center"/>
          </w:tcPr>
          <w:p w14:paraId="467CBD40">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项</w:t>
            </w:r>
          </w:p>
        </w:tc>
        <w:tc>
          <w:tcPr>
            <w:tcW w:w="5108" w:type="dxa"/>
            <w:noWrap/>
            <w:vAlign w:val="center"/>
          </w:tcPr>
          <w:p w14:paraId="605709F6">
            <w:pPr>
              <w:keepNext w:val="0"/>
              <w:keepLines w:val="0"/>
              <w:widowControl/>
              <w:suppressLineNumbers w:val="0"/>
              <w:jc w:val="left"/>
              <w:textAlignment w:val="center"/>
              <w:rPr>
                <w:rFonts w:hint="eastAsia" w:ascii="仿宋" w:hAnsi="仿宋" w:eastAsia="仿宋" w:cs="仿宋"/>
                <w:color w:val="auto"/>
                <w:kern w:val="0"/>
                <w:sz w:val="21"/>
                <w:szCs w:val="21"/>
              </w:rPr>
            </w:pPr>
            <w:r>
              <w:rPr>
                <w:rFonts w:hint="eastAsia" w:ascii="仿宋" w:hAnsi="仿宋" w:eastAsia="仿宋" w:cs="仿宋"/>
                <w:i w:val="0"/>
                <w:iCs w:val="0"/>
                <w:color w:val="000000"/>
                <w:kern w:val="0"/>
                <w:sz w:val="21"/>
                <w:szCs w:val="21"/>
                <w:u w:val="none"/>
                <w:lang w:val="en-US" w:eastAsia="zh-CN" w:bidi="ar"/>
              </w:rPr>
              <w:t>为满足64课时“直播销售与运营实训”课程需求，系统化建设以下配套资源，覆盖农产品、家具用品、学生文具、3C数码、休闲零食五大类目：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实训指导操作书：按类目分设五个项目模块，每个模块包含选品分析、卖点提炼、场景搭建、话术脚本、违禁词规避、引流与转化策略及售后处理。每类目设计典型实训任务（如农产品溯源直播、家具场景化展示、文具开学季促销等），操作书总字数约2万字，附评分表与案例库。</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PPT课件：64课时同步课件，每课时15-20页。分为基础理论（平台规则、流量算法、人货场重构）和五大类目实战拆解。</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课程标准：明确课程性质、教学目标（知识/技能/素养）、64学时分配（理论24+实操40），考核采用“过程评价（50%）+类目直播实战（50%）”，对接真实岗位标准。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教案：64课时详案，每课时含教学环节、教师演示、学生分组实训（按类目轮换）、资源工具及课后拓展，突出“学—练—战”一体化，确保学生掌握全类目直播销售与运营核心技能。</w:t>
            </w:r>
          </w:p>
        </w:tc>
        <w:tc>
          <w:tcPr>
            <w:tcW w:w="1139" w:type="dxa"/>
            <w:noWrap/>
            <w:vAlign w:val="center"/>
          </w:tcPr>
          <w:p w14:paraId="21B5AC9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软件和信息技术服务业</w:t>
            </w:r>
          </w:p>
        </w:tc>
      </w:tr>
      <w:tr w14:paraId="07838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86" w:type="dxa"/>
            <w:noWrap/>
            <w:vAlign w:val="center"/>
          </w:tcPr>
          <w:p w14:paraId="1647C2BF">
            <w:pPr>
              <w:keepNext w:val="0"/>
              <w:keepLines w:val="0"/>
              <w:widowControl/>
              <w:suppressLineNumbers w:val="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3</w:t>
            </w:r>
          </w:p>
        </w:tc>
        <w:tc>
          <w:tcPr>
            <w:tcW w:w="1566" w:type="dxa"/>
            <w:gridSpan w:val="2"/>
            <w:noWrap/>
            <w:vAlign w:val="center"/>
          </w:tcPr>
          <w:p w14:paraId="54D4910D">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课程联合开发咨询服务</w:t>
            </w:r>
          </w:p>
        </w:tc>
        <w:tc>
          <w:tcPr>
            <w:tcW w:w="631" w:type="dxa"/>
            <w:noWrap/>
            <w:vAlign w:val="center"/>
          </w:tcPr>
          <w:p w14:paraId="50F92A50">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1</w:t>
            </w:r>
          </w:p>
        </w:tc>
        <w:tc>
          <w:tcPr>
            <w:tcW w:w="763" w:type="dxa"/>
            <w:noWrap/>
            <w:vAlign w:val="center"/>
          </w:tcPr>
          <w:p w14:paraId="007A19D9">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项</w:t>
            </w:r>
          </w:p>
        </w:tc>
        <w:tc>
          <w:tcPr>
            <w:tcW w:w="5108" w:type="dxa"/>
            <w:noWrap/>
            <w:vAlign w:val="center"/>
          </w:tcPr>
          <w:p w14:paraId="21744AF7">
            <w:pPr>
              <w:keepNext w:val="0"/>
              <w:keepLines w:val="0"/>
              <w:widowControl/>
              <w:suppressLineNumbers w:val="0"/>
              <w:jc w:val="left"/>
              <w:textAlignment w:val="center"/>
              <w:rPr>
                <w:rFonts w:hint="eastAsia" w:ascii="仿宋" w:hAnsi="仿宋" w:eastAsia="仿宋" w:cs="仿宋"/>
                <w:color w:val="auto"/>
                <w:kern w:val="0"/>
                <w:sz w:val="21"/>
                <w:szCs w:val="21"/>
              </w:rPr>
            </w:pPr>
            <w:r>
              <w:rPr>
                <w:rFonts w:hint="eastAsia" w:ascii="仿宋" w:hAnsi="仿宋" w:eastAsia="仿宋" w:cs="仿宋"/>
                <w:i w:val="0"/>
                <w:iCs w:val="0"/>
                <w:color w:val="000000"/>
                <w:kern w:val="0"/>
                <w:sz w:val="21"/>
                <w:szCs w:val="21"/>
                <w:u w:val="none"/>
                <w:lang w:val="en-US" w:eastAsia="zh-CN" w:bidi="ar"/>
              </w:rPr>
              <w:t>一、出版教材（覆盖五大类目）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教材分基础篇（平台规则、流量算法、人货场、数据复盘）与专精篇，内容包含农产品、家具用品、学生文具、3C数码、休闲零食等类目，体例：项目任务式，含团队组建、营销运营、选品逻辑、话术脚本、场景搭建、违禁词及售后策略。全书约20-25万字，配实训任务与评分标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二、AI智能体</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开发直播运营AI智能体，具备三大功能：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智能陪练：模拟真实观众提问、弹幕节奏、突发状况（差评/断货），实时评价学生应对并给出优化建议。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话术生成与优化：根据所选类目自动生成销售话术，支持学生改写并反馈效果。</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数据诊断：分析学生模拟直播数据（停留、转化、互动），推送个性化提升方案。</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三、视频资源</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制作五大类目实战教学视频，每类目包含：头部主播切片解析、场景搭建演示、违禁词案例、引流投流技巧。总时长不少于400分钟，配套字幕与章节测验。</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四、虚拟仿真动画</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交互式虚拟直播场景动画，覆盖五大类目。学生可自由切换灯光、背景、商品陈列，模拟镜头运镜与弹幕互动，训练临场反应。共20个核心交互场景，支持重复练习。</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五、新媒体平台年费，至少包含三大平台各三年的年费</w:t>
            </w:r>
          </w:p>
        </w:tc>
        <w:tc>
          <w:tcPr>
            <w:tcW w:w="1139" w:type="dxa"/>
            <w:noWrap/>
            <w:vAlign w:val="center"/>
          </w:tcPr>
          <w:p w14:paraId="7351BC4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软件和信息技术服务业</w:t>
            </w:r>
          </w:p>
        </w:tc>
      </w:tr>
      <w:tr w14:paraId="057B8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86" w:type="dxa"/>
            <w:noWrap/>
            <w:vAlign w:val="center"/>
          </w:tcPr>
          <w:p w14:paraId="2FD52772">
            <w:pPr>
              <w:keepNext w:val="0"/>
              <w:keepLines w:val="0"/>
              <w:widowControl/>
              <w:suppressLineNumbers w:val="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4</w:t>
            </w:r>
          </w:p>
        </w:tc>
        <w:tc>
          <w:tcPr>
            <w:tcW w:w="1566" w:type="dxa"/>
            <w:gridSpan w:val="2"/>
            <w:noWrap/>
            <w:vAlign w:val="center"/>
          </w:tcPr>
          <w:p w14:paraId="745FE82B">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学校旧设备系统改造</w:t>
            </w:r>
          </w:p>
        </w:tc>
        <w:tc>
          <w:tcPr>
            <w:tcW w:w="631" w:type="dxa"/>
            <w:noWrap/>
            <w:vAlign w:val="center"/>
          </w:tcPr>
          <w:p w14:paraId="789F8F54">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6</w:t>
            </w:r>
          </w:p>
        </w:tc>
        <w:tc>
          <w:tcPr>
            <w:tcW w:w="763" w:type="dxa"/>
            <w:noWrap/>
            <w:vAlign w:val="center"/>
          </w:tcPr>
          <w:p w14:paraId="1BA0D42B">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项</w:t>
            </w:r>
          </w:p>
        </w:tc>
        <w:tc>
          <w:tcPr>
            <w:tcW w:w="5108" w:type="dxa"/>
            <w:noWrap/>
            <w:vAlign w:val="center"/>
          </w:tcPr>
          <w:p w14:paraId="5A3B6151">
            <w:pPr>
              <w:keepNext w:val="0"/>
              <w:keepLines w:val="0"/>
              <w:widowControl/>
              <w:suppressLineNumbers w:val="0"/>
              <w:jc w:val="left"/>
              <w:textAlignment w:val="center"/>
              <w:rPr>
                <w:rFonts w:hint="eastAsia" w:ascii="仿宋" w:hAnsi="仿宋" w:eastAsia="仿宋" w:cs="仿宋"/>
                <w:color w:val="auto"/>
                <w:kern w:val="0"/>
                <w:sz w:val="21"/>
                <w:szCs w:val="21"/>
              </w:rPr>
            </w:pPr>
            <w:r>
              <w:rPr>
                <w:rFonts w:hint="eastAsia" w:ascii="仿宋" w:hAnsi="仿宋" w:eastAsia="仿宋" w:cs="仿宋"/>
                <w:i w:val="0"/>
                <w:iCs w:val="0"/>
                <w:color w:val="000000"/>
                <w:kern w:val="0"/>
                <w:sz w:val="21"/>
                <w:szCs w:val="21"/>
                <w:u w:val="none"/>
                <w:lang w:val="en-US" w:eastAsia="zh-CN" w:bidi="ar"/>
              </w:rPr>
              <w:t>学校旧设备系统改造：</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一、底座送料模块：</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功能：将迭放在管形料桶内的底座工件逐个推出。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模构组成：透明有机玻璃管形料桶，型材基体，方型地脚盘，门式井架，推料舌块，双轴气缸，电磁阀模块、传感器等。</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二、上盖送料模块：</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功能：将迭放在管形料桶内的上盖工件逐个推出。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模构组成：透明有机玻璃管形料桶，型材基体，方型地脚盘，门式井架，推料舌块，单杠气缸，电磁阀模块、传感器等。</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三、传动带模块：</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功能：可以实现工件的传送。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结构组成：直流电机、减速器，涨紧调节装置，带轮，输送皮带，型材机体，可调支架，电机控制器、光电传感器。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模块尺寸（长×宽×高）：约320*120*100mm，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输送带有效长度：约300mm；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输送带有效工作宽度：约90mm；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输送带电机功率：25W</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减速比：1：20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转速：1350转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四、工件装配模块：</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功能：底座工件定位与固定，便于机器人装配。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结构组成：型材基体，方型地脚盘,双轴气缸，电磁阀模块、传感器等。</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五、机器人夹具仓库模块：</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功能：存放机器人快换夹具。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结构组成：光电传感器，型材基体，方型地脚盘，配置快换公头1个、快换母头2个，分别为夹爪快换夹具与画笔夹具。</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额定负载：3KG、重复定位精度：±0.03mm、锁紧气压：0.8Mpa、       外形尺寸：Φ48*H36.5mm、重量：单个公盘：115g 母盘：45g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容许温度、温度范围：0~55°C、0~95%（不结露）、  材质：铝合金</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六、立体仓库模块：</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功能：原材料半成品及成品存放仓储。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组成：6仓位2层立体布局；库位采用阶梯布局，库位配置电容传感器，识别仓位状态。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主要技术参数：</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1）外形尺寸（长×宽×高）：约 300mm×300mm×400mm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2）仓储容量：≥6</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七、气源处理模块：</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功能：过滤压缩空气中的杂质，控制系统压力</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组成：空气过滤器、减压阀、油雾器等。</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最大工作压力：0.8–1.6 MPa（主流 1.0 MPa）</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排水方式：手动排水</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滤杯容量：60 mL</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分水效率：≥90%（标准工况）</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滤芯寿命：2000–4000 小时（或压差≥0.1 MPa 更换）</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最大使用压力：1.0 MPa（145 psi）</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保证耐压力：1.5 MPa（215 psi）</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给油方式：滴油式（可调）</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滴油调节范围：0–120 滴 / 分钟</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八、声光报警模块</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由红蓝绿三色灯、报警蜂鸣器、等组成。</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主要技术参数：</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 外形尺寸（长×宽×高）： ≥直径50mm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（2）适配标准实训台定位安装</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（3）控制电压：DC-24V</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（4）蜂鸣音量：85分贝</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（5）材质：灯罩-ABS/外壳PC</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（6）接线方式：常亮或闪亮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九、开关控制面板模块：</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功能：设备运行控制指令</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组成：按钮、开关、指示灯等。</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(1)提供实训平台启动、停止、模式控制和急停按钮，可实现对设备运行操作；</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(2)提供故障及设备运行状态指示灯；</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十、电气控制板模块：</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1）、开关电源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2）、单相漏电保护开关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3)、交流接触触器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4)、熔断器溶体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5)、继电器+底座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6）、接线端子</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十一、移动电脑桌：</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采用工业铝型材搭建，钣金表面喷塑处理，带滚轮（带刹车功能），桌面采用木板，方便学员使用。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整体尺寸：约650*650*1100mm。平面高度：700mm。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十二、触摸屏模块：</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屏幕尺寸：7 英寸 TFT、</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背光类型：LED、</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显示色彩：262K 色（非 1677 万色）、</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分辨率：800 × 480 像素</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显示亮度：250 cd/㎡</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触摸类型：四线电阻式</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处理器：Cortex</w:t>
            </w:r>
            <w:r>
              <w:rPr>
                <w:rFonts w:hint="eastAsia" w:ascii="仿宋" w:hAnsi="仿宋" w:eastAsia="仿宋" w:cs="仿宋"/>
                <w:i w:val="0"/>
                <w:iCs w:val="0"/>
                <w:color w:val="000000"/>
                <w:kern w:val="0"/>
                <w:sz w:val="21"/>
                <w:szCs w:val="21"/>
                <w:u w:val="none"/>
                <w:lang w:val="en-US" w:eastAsia="zh-CN" w:bidi="ar"/>
              </w:rPr>
              <w:noBreakHyphen/>
            </w:r>
            <w:r>
              <w:rPr>
                <w:rFonts w:hint="eastAsia" w:ascii="仿宋" w:hAnsi="仿宋" w:eastAsia="仿宋" w:cs="仿宋"/>
                <w:i w:val="0"/>
                <w:iCs w:val="0"/>
                <w:color w:val="000000"/>
                <w:kern w:val="0"/>
                <w:sz w:val="21"/>
                <w:szCs w:val="21"/>
                <w:u w:val="none"/>
                <w:lang w:val="en-US" w:eastAsia="zh-CN" w:bidi="ar"/>
              </w:rPr>
              <w:t>A7 双核 800 MHz</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内存：128 MB</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系统存储：128 MB</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十三、可编程控制器模块：</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功能：通用性强，控制程序可变，使用方便</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I/O 点数：48 点（24 入 / 24 出）</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输出类型：晶体管（NPN 漏型）</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程序内存：内置 64K 步 RAM，支持选配内存卡</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处理速度：基本指令 0.065 μs / 步，应用指令 0.642 μs / 步</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内置端口：RS-422（编程口）</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可扩展：模拟量、温度、高速计数、定位、以太网、Modbus 等模块</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工作温度：0–55℃</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存储温度：-20–70℃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湿度：5–95% RH（无凝露</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重量：约 0.85 kg</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尺寸（W×H×D）：182×90×86 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十四、静音气泵</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采用纯铜电机，为平台提供气源供给；</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输入功率：550W</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排气压力：0.8MPa</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额定电压：220V</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排气量：106L/min</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产品重量：约22KG</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额定转速：1440rpm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气罐容积：30L</w:t>
            </w:r>
          </w:p>
        </w:tc>
        <w:tc>
          <w:tcPr>
            <w:tcW w:w="1139" w:type="dxa"/>
            <w:noWrap/>
            <w:vAlign w:val="center"/>
          </w:tcPr>
          <w:p w14:paraId="5066229C">
            <w:pPr>
              <w:keepNext w:val="0"/>
              <w:keepLines w:val="0"/>
              <w:widowControl/>
              <w:suppressLineNumbers w:val="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工业</w:t>
            </w:r>
          </w:p>
        </w:tc>
      </w:tr>
      <w:tr w14:paraId="10BDC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86" w:type="dxa"/>
            <w:noWrap/>
            <w:vAlign w:val="center"/>
          </w:tcPr>
          <w:p w14:paraId="4375F6F1">
            <w:pPr>
              <w:keepNext w:val="0"/>
              <w:keepLines w:val="0"/>
              <w:widowControl/>
              <w:suppressLineNumbers w:val="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5</w:t>
            </w:r>
          </w:p>
        </w:tc>
        <w:tc>
          <w:tcPr>
            <w:tcW w:w="1566" w:type="dxa"/>
            <w:gridSpan w:val="2"/>
            <w:noWrap/>
            <w:vAlign w:val="center"/>
          </w:tcPr>
          <w:p w14:paraId="24D47880">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产线及实训室运维</w:t>
            </w:r>
          </w:p>
        </w:tc>
        <w:tc>
          <w:tcPr>
            <w:tcW w:w="631" w:type="dxa"/>
            <w:noWrap/>
            <w:vAlign w:val="center"/>
          </w:tcPr>
          <w:p w14:paraId="6A617585">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2</w:t>
            </w:r>
          </w:p>
        </w:tc>
        <w:tc>
          <w:tcPr>
            <w:tcW w:w="763" w:type="dxa"/>
            <w:noWrap/>
            <w:vAlign w:val="center"/>
          </w:tcPr>
          <w:p w14:paraId="41C59DAC">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年</w:t>
            </w:r>
          </w:p>
        </w:tc>
        <w:tc>
          <w:tcPr>
            <w:tcW w:w="5108" w:type="dxa"/>
            <w:noWrap/>
            <w:vAlign w:val="center"/>
          </w:tcPr>
          <w:p w14:paraId="2E4CBB05">
            <w:pPr>
              <w:keepNext w:val="0"/>
              <w:keepLines w:val="0"/>
              <w:widowControl/>
              <w:suppressLineNumbers w:val="0"/>
              <w:jc w:val="left"/>
              <w:textAlignment w:val="center"/>
              <w:rPr>
                <w:rFonts w:hint="eastAsia" w:ascii="仿宋" w:hAnsi="仿宋" w:eastAsia="仿宋" w:cs="仿宋"/>
                <w:color w:val="auto"/>
                <w:kern w:val="0"/>
                <w:sz w:val="21"/>
                <w:szCs w:val="21"/>
              </w:rPr>
            </w:pPr>
            <w:r>
              <w:rPr>
                <w:rFonts w:hint="eastAsia" w:ascii="仿宋" w:hAnsi="仿宋" w:eastAsia="仿宋" w:cs="仿宋"/>
                <w:i w:val="0"/>
                <w:iCs w:val="0"/>
                <w:color w:val="000000"/>
                <w:kern w:val="0"/>
                <w:sz w:val="21"/>
                <w:szCs w:val="21"/>
                <w:u w:val="none"/>
                <w:lang w:val="en-US" w:eastAsia="zh-CN" w:bidi="ar"/>
              </w:rPr>
              <w:t>1、人员保障：2 名驻场工程师固定在岗，生产线及实训场地驻场人员配合学校运维生产线及使用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2、技术支持：提供 7×24 小时技术支持，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3、质保要求：服务周期内，因运维不当造成的设备损坏，由供方免费维修 / 更换</w:t>
            </w:r>
          </w:p>
        </w:tc>
        <w:tc>
          <w:tcPr>
            <w:tcW w:w="1139" w:type="dxa"/>
            <w:noWrap/>
            <w:vAlign w:val="center"/>
          </w:tcPr>
          <w:p w14:paraId="5449493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其他未列明行业</w:t>
            </w:r>
          </w:p>
        </w:tc>
      </w:tr>
      <w:tr w14:paraId="5BAE4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86" w:type="dxa"/>
            <w:noWrap/>
            <w:vAlign w:val="center"/>
          </w:tcPr>
          <w:p w14:paraId="5E5CE025">
            <w:pPr>
              <w:keepNext w:val="0"/>
              <w:keepLines w:val="0"/>
              <w:widowControl/>
              <w:suppressLineNumbers w:val="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6</w:t>
            </w:r>
          </w:p>
        </w:tc>
        <w:tc>
          <w:tcPr>
            <w:tcW w:w="1566" w:type="dxa"/>
            <w:gridSpan w:val="2"/>
            <w:noWrap/>
            <w:vAlign w:val="center"/>
          </w:tcPr>
          <w:p w14:paraId="2AC7EB33">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课程存储设备</w:t>
            </w:r>
          </w:p>
        </w:tc>
        <w:tc>
          <w:tcPr>
            <w:tcW w:w="631" w:type="dxa"/>
            <w:noWrap/>
            <w:vAlign w:val="center"/>
          </w:tcPr>
          <w:p w14:paraId="04A15162">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3</w:t>
            </w:r>
          </w:p>
        </w:tc>
        <w:tc>
          <w:tcPr>
            <w:tcW w:w="763" w:type="dxa"/>
            <w:noWrap/>
            <w:vAlign w:val="center"/>
          </w:tcPr>
          <w:p w14:paraId="4DF3EA21">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套</w:t>
            </w:r>
          </w:p>
        </w:tc>
        <w:tc>
          <w:tcPr>
            <w:tcW w:w="5108" w:type="dxa"/>
            <w:noWrap/>
            <w:vAlign w:val="center"/>
          </w:tcPr>
          <w:p w14:paraId="5D3ACAE7">
            <w:pPr>
              <w:keepNext w:val="0"/>
              <w:keepLines w:val="0"/>
              <w:widowControl/>
              <w:suppressLineNumbers w:val="0"/>
              <w:jc w:val="left"/>
              <w:textAlignment w:val="center"/>
              <w:rPr>
                <w:rFonts w:hint="eastAsia" w:ascii="仿宋" w:hAnsi="仿宋" w:eastAsia="仿宋" w:cs="仿宋"/>
                <w:color w:val="auto"/>
                <w:kern w:val="0"/>
                <w:sz w:val="21"/>
                <w:szCs w:val="21"/>
              </w:rPr>
            </w:pPr>
            <w:r>
              <w:rPr>
                <w:rFonts w:hint="eastAsia" w:ascii="仿宋" w:hAnsi="仿宋" w:eastAsia="仿宋" w:cs="仿宋"/>
                <w:i w:val="0"/>
                <w:iCs w:val="0"/>
                <w:color w:val="000000"/>
                <w:kern w:val="0"/>
                <w:sz w:val="21"/>
                <w:szCs w:val="21"/>
                <w:u w:val="none"/>
                <w:lang w:val="en-US" w:eastAsia="zh-CN" w:bidi="ar"/>
              </w:rPr>
              <w:t>▲1、采用全对称式分布式架构设计，性能随节点数量的增加而近线性提升，提供多控制器负载均衡及故障自动切换功能。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2、硬件配置要求：本次配置≥3个存储节点；每个存储节点配置至少2颗 2.4GHz或以上的CPU，内存≥3*32GB，缓存空间≥2块3.84T SSD、系统空间≥2块480G SSD、存储空间≥6块12T SATA用于存储数据，每个存储节点配置至少2个千兆电口、4个10GE光口；支持SSD、SAS、NL-SAS、SATA类型硬盘混插；</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▲3、要求提供SAN、NAS+Object统一存储系统，一套系统并发提供iSCSI、NFS、CIFS、S3、Swift存储服务，可实现三节点情况下同时提供块、文件、对象存储服务，资源可灵活分配，统一管理。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4、提供统一容量授权，容量授权不区分块、文件、对象存储服务。要求可灵活分配容量授权到不同存储需求。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5、要求存储系统可提供纯软件版本，纯软件版本兼容主流服务器厂商的X86服务器。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支持数据自动重建机制，当主机或者磁盘故障后，系统将按照设置中预留的时间用于确认故障，超时将进行自动重建，快速恢复数据的冗余度，确保用户数据的可靠性和安全性；（投标时提供界面截图并加盖投标人公章）</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▲7、支持在不停机情况下，向集群中添加存储节点，实现业务不中断情况下扩充容量和性能。集群支持节点数不少于4096个。</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▲8、配置目录级快照功能，可按时间点策略进行快照，支持快照数≥1000个。支持快照重命名功能，支持删除快照链上任意快照点，支持文件数据回滚。</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9、文件存储要求配置目录配额管理功能，支持容量和文件数配额</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10、数据自动平衡，无需中断业务，支持在设定时间内自动进行数据热平衡，实现集群内各个磁盘容量可以均衡利用，同时支持智能限速，自动感知业务IO，智能调整非业务流量，保证业务正常运行。（投标时提供界面截图并加盖投标人公章）</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▲11、支持一键检测功能，支持用户自行检测系统运行状态、系统配置，检测包括CPU、内存、硬盘、网口等硬件健康问题，并针对问题能够提出解决推荐办法。（投标时提供界面截图并加盖投标人公章）</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12、支持对象行为审计功能，用于记录客户如上传、下载等常规对象操作行为</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▲13、支持以存储池或LUN为单位设置不同的条带数的条带化功能，以实现分布式raid0的磁盘并发写入的性能提升，提高写入速度。（投标时提供界面截图并加盖投标人公章）</w:t>
            </w:r>
          </w:p>
        </w:tc>
        <w:tc>
          <w:tcPr>
            <w:tcW w:w="1139" w:type="dxa"/>
            <w:noWrap/>
            <w:vAlign w:val="center"/>
          </w:tcPr>
          <w:p w14:paraId="377A5318">
            <w:pPr>
              <w:keepNext w:val="0"/>
              <w:keepLines w:val="0"/>
              <w:widowControl/>
              <w:suppressLineNumbers w:val="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工业</w:t>
            </w:r>
          </w:p>
        </w:tc>
      </w:tr>
      <w:tr w14:paraId="4F7C1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86" w:type="dxa"/>
            <w:noWrap/>
            <w:vAlign w:val="center"/>
          </w:tcPr>
          <w:p w14:paraId="619F5A71">
            <w:pPr>
              <w:keepNext w:val="0"/>
              <w:keepLines w:val="0"/>
              <w:widowControl/>
              <w:suppressLineNumbers w:val="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7</w:t>
            </w:r>
          </w:p>
        </w:tc>
        <w:tc>
          <w:tcPr>
            <w:tcW w:w="1566" w:type="dxa"/>
            <w:gridSpan w:val="2"/>
            <w:noWrap/>
            <w:vAlign w:val="center"/>
          </w:tcPr>
          <w:p w14:paraId="55161F64">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万兆存储交换机</w:t>
            </w:r>
          </w:p>
        </w:tc>
        <w:tc>
          <w:tcPr>
            <w:tcW w:w="631" w:type="dxa"/>
            <w:noWrap/>
            <w:vAlign w:val="center"/>
          </w:tcPr>
          <w:p w14:paraId="1024E583">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4</w:t>
            </w:r>
          </w:p>
        </w:tc>
        <w:tc>
          <w:tcPr>
            <w:tcW w:w="763" w:type="dxa"/>
            <w:noWrap/>
            <w:vAlign w:val="center"/>
          </w:tcPr>
          <w:p w14:paraId="7D9169A1">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台</w:t>
            </w:r>
          </w:p>
        </w:tc>
        <w:tc>
          <w:tcPr>
            <w:tcW w:w="5108" w:type="dxa"/>
            <w:noWrap/>
            <w:vAlign w:val="center"/>
          </w:tcPr>
          <w:p w14:paraId="2FA02508">
            <w:pPr>
              <w:keepNext w:val="0"/>
              <w:keepLines w:val="0"/>
              <w:widowControl/>
              <w:suppressLineNumbers w:val="0"/>
              <w:jc w:val="left"/>
              <w:textAlignment w:val="center"/>
              <w:rPr>
                <w:rFonts w:hint="eastAsia" w:ascii="仿宋" w:hAnsi="仿宋" w:eastAsia="仿宋" w:cs="仿宋"/>
                <w:color w:val="auto"/>
                <w:kern w:val="0"/>
                <w:sz w:val="21"/>
                <w:szCs w:val="21"/>
              </w:rPr>
            </w:pPr>
            <w:r>
              <w:rPr>
                <w:rFonts w:hint="eastAsia" w:ascii="仿宋" w:hAnsi="仿宋" w:eastAsia="仿宋" w:cs="仿宋"/>
                <w:i w:val="0"/>
                <w:iCs w:val="0"/>
                <w:color w:val="000000"/>
                <w:kern w:val="0"/>
                <w:sz w:val="21"/>
                <w:szCs w:val="21"/>
                <w:u w:val="none"/>
                <w:lang w:val="en-US" w:eastAsia="zh-CN" w:bidi="ar"/>
              </w:rPr>
              <w:t>▲1、固化≥24个1000M 自适应电口，≥8个1G/10G SFP+光口；实配2个交流电电源，6块万兆单模模块</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▲2、设备可提供1个业务扩展槽，支持100G端口扩展；</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▲3、交换容量≥2.56Tbps，包转发率≥660Mpps；</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4、产品自主可控，交换机采用国内厂商芯片和器件</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5、支持基于IPv4/IPv6五元组、基于源/目的MAC、基于VLAN、基于802.1P优先级的ACL；</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6、支持IGMP v1/v2/v3，PIM-SM等组播协议；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7、支持基础网络保护策略，限制用户向网络中发送ARP报文、ICMP请求报文、DHCP请求报文的数率，对超过限速阈值的报文进行丢弃处理，能够识别攻击行为，对有攻击行为的用户进行隔离</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8、支持硬件层级双boot，采用两个FLASH芯片存储boot软件（系统引导程序），实现硬件级boot冗余备份，避免因FLASH芯片故障导致交换机无法启动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9、支持RIPv2，OSPFv2/v3，BGP4/4+，IS-ISv4/v6；</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10、支持虚拟化功能，可将多台物理设备虚拟化为一台逻辑设备统一管理，并且链路故障的收敛时间达到毫秒级；</w:t>
            </w:r>
          </w:p>
        </w:tc>
        <w:tc>
          <w:tcPr>
            <w:tcW w:w="1139" w:type="dxa"/>
            <w:noWrap/>
            <w:vAlign w:val="center"/>
          </w:tcPr>
          <w:p w14:paraId="5695952C">
            <w:pPr>
              <w:keepNext w:val="0"/>
              <w:keepLines w:val="0"/>
              <w:widowControl/>
              <w:suppressLineNumbers w:val="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工业</w:t>
            </w:r>
          </w:p>
        </w:tc>
      </w:tr>
      <w:tr w14:paraId="725EC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86" w:type="dxa"/>
            <w:noWrap/>
            <w:vAlign w:val="center"/>
          </w:tcPr>
          <w:p w14:paraId="1B53CB92">
            <w:pPr>
              <w:keepNext w:val="0"/>
              <w:keepLines w:val="0"/>
              <w:widowControl/>
              <w:suppressLineNumbers w:val="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8</w:t>
            </w:r>
          </w:p>
        </w:tc>
        <w:tc>
          <w:tcPr>
            <w:tcW w:w="1566" w:type="dxa"/>
            <w:gridSpan w:val="2"/>
            <w:noWrap/>
            <w:vAlign w:val="center"/>
          </w:tcPr>
          <w:p w14:paraId="3624AE66">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会议室多功能视频设备</w:t>
            </w:r>
          </w:p>
        </w:tc>
        <w:tc>
          <w:tcPr>
            <w:tcW w:w="631" w:type="dxa"/>
            <w:noWrap/>
            <w:vAlign w:val="center"/>
          </w:tcPr>
          <w:p w14:paraId="070DF8B0">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1</w:t>
            </w:r>
          </w:p>
        </w:tc>
        <w:tc>
          <w:tcPr>
            <w:tcW w:w="763" w:type="dxa"/>
            <w:noWrap/>
            <w:vAlign w:val="center"/>
          </w:tcPr>
          <w:p w14:paraId="46A170A7">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台</w:t>
            </w:r>
          </w:p>
        </w:tc>
        <w:tc>
          <w:tcPr>
            <w:tcW w:w="5108" w:type="dxa"/>
            <w:noWrap/>
            <w:vAlign w:val="center"/>
          </w:tcPr>
          <w:p w14:paraId="45934A83">
            <w:pPr>
              <w:keepNext w:val="0"/>
              <w:keepLines w:val="0"/>
              <w:widowControl/>
              <w:suppressLineNumbers w:val="0"/>
              <w:jc w:val="left"/>
              <w:textAlignment w:val="center"/>
              <w:rPr>
                <w:rFonts w:hint="eastAsia" w:ascii="仿宋" w:hAnsi="仿宋" w:eastAsia="仿宋" w:cs="仿宋"/>
                <w:color w:val="auto"/>
                <w:kern w:val="0"/>
                <w:sz w:val="21"/>
                <w:szCs w:val="21"/>
              </w:rPr>
            </w:pPr>
            <w:r>
              <w:rPr>
                <w:rFonts w:hint="eastAsia" w:ascii="仿宋" w:hAnsi="仿宋" w:eastAsia="仿宋" w:cs="仿宋"/>
                <w:i w:val="0"/>
                <w:iCs w:val="0"/>
                <w:color w:val="000000"/>
                <w:kern w:val="0"/>
                <w:sz w:val="21"/>
                <w:szCs w:val="21"/>
                <w:u w:val="none"/>
                <w:lang w:val="en-US" w:eastAsia="zh-CN" w:bidi="ar"/>
              </w:rPr>
              <w:t>一、整机设计要求：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1、屏幕尺寸（对角线）≥98英寸，显示比例16:9，VRR刷新率≥144Hz，可视角度≥178°，分辨率≥3840×2160，对比度≥7000：1，色域DCI-P3≥95%，屏幕显示灰度等级≥1024灰阶。</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2、外观设计：三边无边框，全面屏设计</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▲3、整机OC 采用AG25% 防眩光OC</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▲4、亮度均匀性≥TYP60%（9点）。</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▲5、整机内置4阵列远场语音，≥8米有效拾音距离，快速实现远程会议。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▲6、整机内置一体化音响：整机内置一体化音响：下置向2个中高音发声单元扬声器，功率≥20W,后朝向2个低音发声单元扬声器，功率≥20W。。</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▲7、为方便教学、会议使用，整机有≥1路USB Type-C接口（非全功能），≥1路支持ARC功能HDMI接口；</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▲8、整机输入端子：RJ45≥1路、USB3.0≥1路、USB2.0≥3路、HDMI IN≥4路、SPDIF OUT ≥1路、Type-C≥1路。</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9、整机内置WiFi6+WIFI5双WiFi四通道（上网5G+2.4G+BT5.2,热点5G+2.4G）。</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▲10、遥控器要求支持一键开启腾讯视频会议、一键控制会议静音、一键开启会议摄像头，支持投屏后PPT翻页等应用功能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11、信源识别：接入HDMI、Type-C，可以自动跳转至对应的信源。</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10、标配附件:Type-C 4K投屏器投屏器:≥1，智能翻页笔：≥1，会议专属遥控器：≥1，</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二、嵌入式系统功能配置：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▲1、系统配置：系统配置：系统版本≥Android 11.0，内存（RAM）≥4G，存储空间（ROM）≥32G；</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2、文件管理：在安卓系统下可以对整机内存及外部USB设备读取的文档进行自动归类，可以按照文档类型进行快速查找，单击即可直接打开。；</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3、至少支持3种升级方式，满足不同场景的升级需求，包含OTA升级、U盘强刷、本地升级文件检索升级。</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▲4、会议专属UI:开机无广告，内置欢迎界面等多种小工具，快捷显示让会议更高效。</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嵌入式系统会议功能：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▲1、内置腾讯会议ROOMS遥控版，钉钉会议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2、产品硬编码能力支持≥4K@50fps H.264 HP / H.265 MP 多路硬编；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3、硬解码能力≥H.264 HP 4K@30fps / H.265 MP 4K@60fps 多路硬解；</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四、嵌入式系统投屏功能：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▲1、整机内置无线传屏接收器，支持移动端设备或外置电脑的无线投屏</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支持四个投屏内容同时四分屏显示</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3、支持4K分辨率投屏</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4、支持将屏幕拓展屏进行投屏</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五、其它要求：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1、为确保用户售后响应及服务，项目交付需提供厂家售后服务函原件，否则不予验收。</w:t>
            </w:r>
          </w:p>
        </w:tc>
        <w:tc>
          <w:tcPr>
            <w:tcW w:w="1139" w:type="dxa"/>
            <w:noWrap/>
            <w:vAlign w:val="center"/>
          </w:tcPr>
          <w:p w14:paraId="23A4D0B0">
            <w:pPr>
              <w:keepNext w:val="0"/>
              <w:keepLines w:val="0"/>
              <w:widowControl/>
              <w:suppressLineNumbers w:val="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工业</w:t>
            </w:r>
          </w:p>
        </w:tc>
      </w:tr>
      <w:tr w14:paraId="37FC7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86" w:type="dxa"/>
            <w:noWrap/>
            <w:vAlign w:val="center"/>
          </w:tcPr>
          <w:p w14:paraId="2C7C02F5">
            <w:pPr>
              <w:keepNext w:val="0"/>
              <w:keepLines w:val="0"/>
              <w:widowControl/>
              <w:suppressLineNumbers w:val="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9</w:t>
            </w:r>
          </w:p>
        </w:tc>
        <w:tc>
          <w:tcPr>
            <w:tcW w:w="1566" w:type="dxa"/>
            <w:gridSpan w:val="2"/>
            <w:noWrap/>
            <w:vAlign w:val="center"/>
          </w:tcPr>
          <w:p w14:paraId="6D3D7E7B">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大屏支架</w:t>
            </w:r>
          </w:p>
        </w:tc>
        <w:tc>
          <w:tcPr>
            <w:tcW w:w="631" w:type="dxa"/>
            <w:noWrap/>
            <w:vAlign w:val="center"/>
          </w:tcPr>
          <w:p w14:paraId="5B1DA851">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2</w:t>
            </w:r>
          </w:p>
        </w:tc>
        <w:tc>
          <w:tcPr>
            <w:tcW w:w="763" w:type="dxa"/>
            <w:noWrap/>
            <w:vAlign w:val="center"/>
          </w:tcPr>
          <w:p w14:paraId="242C3FA1">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个</w:t>
            </w:r>
          </w:p>
        </w:tc>
        <w:tc>
          <w:tcPr>
            <w:tcW w:w="5108" w:type="dxa"/>
            <w:noWrap/>
            <w:vAlign w:val="center"/>
          </w:tcPr>
          <w:p w14:paraId="3505E9CC">
            <w:pPr>
              <w:keepNext w:val="0"/>
              <w:keepLines w:val="0"/>
              <w:widowControl/>
              <w:suppressLineNumbers w:val="0"/>
              <w:jc w:val="left"/>
              <w:textAlignment w:val="center"/>
              <w:rPr>
                <w:rFonts w:hint="eastAsia" w:ascii="仿宋" w:hAnsi="仿宋" w:eastAsia="仿宋" w:cs="仿宋"/>
                <w:color w:val="auto"/>
                <w:kern w:val="0"/>
                <w:sz w:val="21"/>
                <w:szCs w:val="21"/>
              </w:rPr>
            </w:pPr>
            <w:r>
              <w:rPr>
                <w:rFonts w:hint="eastAsia" w:ascii="仿宋" w:hAnsi="仿宋" w:eastAsia="仿宋" w:cs="仿宋"/>
                <w:i w:val="0"/>
                <w:iCs w:val="0"/>
                <w:color w:val="000000"/>
                <w:kern w:val="0"/>
                <w:sz w:val="21"/>
                <w:szCs w:val="21"/>
                <w:u w:val="none"/>
                <w:lang w:val="en-US" w:eastAsia="zh-CN" w:bidi="ar"/>
              </w:rPr>
              <w:t>1、适配 75-98 寸商用 / 教学一体机专用移动支架</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2、主架材质：加厚冷轧钢材，主立柱壁厚≥2.0mm，横梁壁厚≥1.5mm，整体承重≥80kg，挂载一体机后无倾斜、无变形</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3、底座材质：加重型方管焊接底座，标配配重块，整机静态稳定性强，倾倒角度≥30° 不侧翻</w:t>
            </w:r>
          </w:p>
        </w:tc>
        <w:tc>
          <w:tcPr>
            <w:tcW w:w="1139" w:type="dxa"/>
            <w:noWrap/>
            <w:vAlign w:val="center"/>
          </w:tcPr>
          <w:p w14:paraId="5C5D6778">
            <w:pPr>
              <w:keepNext w:val="0"/>
              <w:keepLines w:val="0"/>
              <w:widowControl/>
              <w:suppressLineNumbers w:val="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工业</w:t>
            </w:r>
          </w:p>
        </w:tc>
      </w:tr>
      <w:tr w14:paraId="46116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86" w:type="dxa"/>
            <w:noWrap/>
            <w:vAlign w:val="center"/>
          </w:tcPr>
          <w:p w14:paraId="1C8092A2">
            <w:pPr>
              <w:keepNext w:val="0"/>
              <w:keepLines w:val="0"/>
              <w:widowControl/>
              <w:suppressLineNumbers w:val="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10</w:t>
            </w:r>
          </w:p>
        </w:tc>
        <w:tc>
          <w:tcPr>
            <w:tcW w:w="1566" w:type="dxa"/>
            <w:gridSpan w:val="2"/>
            <w:noWrap/>
            <w:vAlign w:val="center"/>
          </w:tcPr>
          <w:p w14:paraId="1C2E82D4">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手动叉车</w:t>
            </w:r>
          </w:p>
        </w:tc>
        <w:tc>
          <w:tcPr>
            <w:tcW w:w="631" w:type="dxa"/>
            <w:noWrap/>
            <w:vAlign w:val="center"/>
          </w:tcPr>
          <w:p w14:paraId="6E10B990">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2</w:t>
            </w:r>
          </w:p>
        </w:tc>
        <w:tc>
          <w:tcPr>
            <w:tcW w:w="763" w:type="dxa"/>
            <w:noWrap/>
            <w:vAlign w:val="center"/>
          </w:tcPr>
          <w:p w14:paraId="4491B81C">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辆</w:t>
            </w:r>
          </w:p>
        </w:tc>
        <w:tc>
          <w:tcPr>
            <w:tcW w:w="5108" w:type="dxa"/>
            <w:noWrap/>
            <w:vAlign w:val="center"/>
          </w:tcPr>
          <w:p w14:paraId="141368F0">
            <w:pPr>
              <w:keepNext w:val="0"/>
              <w:keepLines w:val="0"/>
              <w:widowControl/>
              <w:suppressLineNumbers w:val="0"/>
              <w:jc w:val="left"/>
              <w:textAlignment w:val="center"/>
              <w:rPr>
                <w:rFonts w:hint="eastAsia" w:ascii="仿宋" w:hAnsi="仿宋" w:eastAsia="仿宋" w:cs="仿宋"/>
                <w:color w:val="auto"/>
                <w:kern w:val="0"/>
                <w:sz w:val="21"/>
                <w:szCs w:val="21"/>
              </w:rPr>
            </w:pPr>
            <w:r>
              <w:rPr>
                <w:rFonts w:hint="eastAsia" w:ascii="仿宋" w:hAnsi="仿宋" w:eastAsia="仿宋" w:cs="仿宋"/>
                <w:i w:val="0"/>
                <w:iCs w:val="0"/>
                <w:color w:val="000000"/>
                <w:kern w:val="0"/>
                <w:sz w:val="21"/>
                <w:szCs w:val="21"/>
                <w:u w:val="none"/>
                <w:lang w:val="en-US" w:eastAsia="zh-CN" w:bidi="ar"/>
              </w:rPr>
              <w:t>1、货叉规格：长1220mm×宽685mm，货叉厚度≥20mm，偏差≤±2mm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2、货叉材质：高强度锰钢，整体锻造工艺，抗拉强度≥500MPa，耐磨抗弯折，无焊接拼接</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3、起升高度：最低高度≤85mm，最大起升高度≥1600mm，起升平稳无卡顿</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4、货叉间距：可微调，适配不同规格托盘（1100-1200mm 标准托盘），叉尖圆角设计，避免刮伤托盘</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5、额定载重：3000kg（3 吨），超载保护设计</w:t>
            </w:r>
          </w:p>
        </w:tc>
        <w:tc>
          <w:tcPr>
            <w:tcW w:w="1139" w:type="dxa"/>
            <w:noWrap/>
            <w:vAlign w:val="center"/>
          </w:tcPr>
          <w:p w14:paraId="4FDCB91C">
            <w:pPr>
              <w:keepNext w:val="0"/>
              <w:keepLines w:val="0"/>
              <w:widowControl/>
              <w:suppressLineNumbers w:val="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工业</w:t>
            </w:r>
          </w:p>
        </w:tc>
      </w:tr>
      <w:tr w14:paraId="3688B9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93" w:type="dxa"/>
            <w:gridSpan w:val="7"/>
            <w:tcBorders>
              <w:top w:val="single" w:color="auto" w:sz="4" w:space="0"/>
              <w:left w:val="single" w:color="auto" w:sz="4" w:space="0"/>
              <w:bottom w:val="single" w:color="auto" w:sz="4" w:space="0"/>
              <w:right w:val="single" w:color="auto" w:sz="4" w:space="0"/>
            </w:tcBorders>
            <w:noWrap/>
            <w:vAlign w:val="center"/>
          </w:tcPr>
          <w:p w14:paraId="035A8D47">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 w:val="21"/>
                <w:szCs w:val="21"/>
              </w:rPr>
            </w:pPr>
            <w:r>
              <w:rPr>
                <w:rFonts w:hint="eastAsia" w:ascii="仿宋" w:hAnsi="仿宋" w:eastAsia="仿宋" w:cs="仿宋"/>
                <w:color w:val="auto"/>
                <w:sz w:val="21"/>
                <w:szCs w:val="21"/>
              </w:rPr>
              <w:t>▲第二部分 商务要求</w:t>
            </w:r>
          </w:p>
        </w:tc>
      </w:tr>
      <w:tr w14:paraId="53C7F1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991" w:type="dxa"/>
            <w:gridSpan w:val="2"/>
            <w:tcBorders>
              <w:top w:val="single" w:color="auto" w:sz="4" w:space="0"/>
              <w:left w:val="single" w:color="auto" w:sz="4" w:space="0"/>
              <w:bottom w:val="single" w:color="auto" w:sz="4" w:space="0"/>
              <w:right w:val="single" w:color="auto" w:sz="4" w:space="0"/>
            </w:tcBorders>
            <w:noWrap/>
            <w:vAlign w:val="center"/>
          </w:tcPr>
          <w:p w14:paraId="1EC71613">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 w:val="21"/>
                <w:szCs w:val="21"/>
              </w:rPr>
            </w:pPr>
            <w:r>
              <w:rPr>
                <w:rFonts w:hint="eastAsia" w:ascii="仿宋" w:hAnsi="仿宋" w:eastAsia="仿宋" w:cs="仿宋"/>
                <w:color w:val="auto"/>
                <w:sz w:val="21"/>
                <w:szCs w:val="21"/>
              </w:rPr>
              <w:t>合同签订时间</w:t>
            </w:r>
          </w:p>
        </w:tc>
        <w:tc>
          <w:tcPr>
            <w:tcW w:w="7802" w:type="dxa"/>
            <w:gridSpan w:val="5"/>
            <w:tcBorders>
              <w:top w:val="single" w:color="auto" w:sz="4" w:space="0"/>
              <w:left w:val="single" w:color="auto" w:sz="4" w:space="0"/>
              <w:bottom w:val="single" w:color="auto" w:sz="4" w:space="0"/>
              <w:right w:val="single" w:color="auto" w:sz="4" w:space="0"/>
            </w:tcBorders>
            <w:noWrap/>
            <w:vAlign w:val="center"/>
          </w:tcPr>
          <w:p w14:paraId="45EC6BA2">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 w:val="21"/>
                <w:szCs w:val="21"/>
              </w:rPr>
            </w:pPr>
            <w:r>
              <w:rPr>
                <w:rFonts w:hint="eastAsia" w:ascii="仿宋" w:hAnsi="仿宋" w:eastAsia="仿宋" w:cs="仿宋"/>
                <w:color w:val="auto"/>
                <w:sz w:val="21"/>
                <w:szCs w:val="21"/>
              </w:rPr>
              <w:t>自中标通知书发出之日起25日内。</w:t>
            </w:r>
          </w:p>
        </w:tc>
      </w:tr>
      <w:tr w14:paraId="2C4C89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991" w:type="dxa"/>
            <w:gridSpan w:val="2"/>
            <w:tcBorders>
              <w:top w:val="single" w:color="auto" w:sz="4" w:space="0"/>
              <w:left w:val="single" w:color="auto" w:sz="4" w:space="0"/>
              <w:bottom w:val="single" w:color="auto" w:sz="4" w:space="0"/>
              <w:right w:val="single" w:color="auto" w:sz="4" w:space="0"/>
            </w:tcBorders>
            <w:noWrap/>
            <w:vAlign w:val="center"/>
          </w:tcPr>
          <w:p w14:paraId="18021059">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 w:val="21"/>
                <w:szCs w:val="21"/>
              </w:rPr>
            </w:pPr>
            <w:r>
              <w:rPr>
                <w:rFonts w:hint="eastAsia" w:ascii="仿宋" w:hAnsi="仿宋" w:eastAsia="仿宋" w:cs="仿宋"/>
                <w:color w:val="auto"/>
                <w:sz w:val="21"/>
                <w:szCs w:val="21"/>
              </w:rPr>
              <w:t>交付的时间和地点</w:t>
            </w:r>
          </w:p>
        </w:tc>
        <w:tc>
          <w:tcPr>
            <w:tcW w:w="7802" w:type="dxa"/>
            <w:gridSpan w:val="5"/>
            <w:tcBorders>
              <w:top w:val="single" w:color="auto" w:sz="4" w:space="0"/>
              <w:left w:val="single" w:color="auto" w:sz="4" w:space="0"/>
              <w:bottom w:val="single" w:color="auto" w:sz="4" w:space="0"/>
              <w:right w:val="single" w:color="auto" w:sz="4" w:space="0"/>
            </w:tcBorders>
            <w:noWrap/>
            <w:vAlign w:val="center"/>
          </w:tcPr>
          <w:p w14:paraId="3BD82D9A">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1、</w:t>
            </w:r>
            <w:r>
              <w:rPr>
                <w:rFonts w:hint="eastAsia" w:ascii="仿宋" w:hAnsi="仿宋" w:eastAsia="仿宋" w:cs="仿宋"/>
                <w:color w:val="auto"/>
                <w:sz w:val="21"/>
                <w:szCs w:val="21"/>
              </w:rPr>
              <w:t>交货时间：合同签订之日起 30 日历日内将货物运至交货地点并安装调试完毕且通过验收。供应商应将所提供货物的装箱清单、质量检验证明书、用户手册、原厂保修卡、随机资料、工具和备品、备件等附于货物内交付给采购人，如有缺失应及时补齐，否则视为逾期交货。</w:t>
            </w:r>
          </w:p>
          <w:p w14:paraId="4E754C39">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w:t>
            </w:r>
            <w:r>
              <w:rPr>
                <w:rFonts w:hint="eastAsia" w:ascii="仿宋" w:hAnsi="仿宋" w:eastAsia="仿宋" w:cs="仿宋"/>
                <w:color w:val="auto"/>
                <w:sz w:val="21"/>
                <w:szCs w:val="21"/>
              </w:rPr>
              <w:t>地点：广西南宁市广西机电工程学校（采购人指定地点）</w:t>
            </w:r>
          </w:p>
        </w:tc>
      </w:tr>
      <w:tr w14:paraId="260164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991" w:type="dxa"/>
            <w:gridSpan w:val="2"/>
            <w:tcBorders>
              <w:top w:val="single" w:color="auto" w:sz="4" w:space="0"/>
              <w:left w:val="single" w:color="auto" w:sz="4" w:space="0"/>
              <w:bottom w:val="single" w:color="auto" w:sz="4" w:space="0"/>
              <w:right w:val="single" w:color="auto" w:sz="4" w:space="0"/>
            </w:tcBorders>
            <w:noWrap/>
            <w:vAlign w:val="center"/>
          </w:tcPr>
          <w:p w14:paraId="346B3A4F">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 w:val="21"/>
                <w:szCs w:val="21"/>
              </w:rPr>
            </w:pPr>
            <w:r>
              <w:rPr>
                <w:rFonts w:hint="eastAsia" w:ascii="仿宋" w:hAnsi="仿宋" w:eastAsia="仿宋" w:cs="仿宋"/>
                <w:color w:val="auto"/>
                <w:sz w:val="21"/>
                <w:szCs w:val="21"/>
              </w:rPr>
              <w:t>付款条件</w:t>
            </w:r>
          </w:p>
        </w:tc>
        <w:tc>
          <w:tcPr>
            <w:tcW w:w="7802" w:type="dxa"/>
            <w:gridSpan w:val="5"/>
            <w:tcBorders>
              <w:top w:val="single" w:color="auto" w:sz="4" w:space="0"/>
              <w:left w:val="single" w:color="auto" w:sz="4" w:space="0"/>
              <w:bottom w:val="single" w:color="auto" w:sz="4" w:space="0"/>
              <w:right w:val="single" w:color="auto" w:sz="4" w:space="0"/>
            </w:tcBorders>
            <w:noWrap/>
            <w:vAlign w:val="center"/>
          </w:tcPr>
          <w:p w14:paraId="0DDACE4D">
            <w:pPr>
              <w:keepNext w:val="0"/>
              <w:keepLines/>
              <w:pageBreakBefore w:val="0"/>
              <w:widowControl/>
              <w:numPr>
                <w:ilvl w:val="0"/>
                <w:numId w:val="0"/>
              </w:numPr>
              <w:kinsoku/>
              <w:wordWrap/>
              <w:overflowPunct/>
              <w:topLinePunct w:val="0"/>
              <w:autoSpaceDE/>
              <w:autoSpaceDN/>
              <w:bidi w:val="0"/>
              <w:adjustRightInd/>
              <w:snapToGrid/>
              <w:spacing w:line="400" w:lineRule="exact"/>
              <w:rPr>
                <w:rFonts w:hint="eastAsia" w:ascii="仿宋" w:hAnsi="仿宋" w:eastAsia="仿宋" w:cs="仿宋"/>
                <w:color w:val="auto"/>
                <w:sz w:val="21"/>
                <w:szCs w:val="21"/>
              </w:rPr>
            </w:pPr>
            <w:r>
              <w:rPr>
                <w:rFonts w:hint="eastAsia" w:ascii="仿宋" w:hAnsi="仿宋" w:eastAsia="仿宋" w:cs="仿宋"/>
                <w:color w:val="auto"/>
                <w:sz w:val="21"/>
                <w:szCs w:val="21"/>
              </w:rPr>
              <w:t>1、具体付款方式如下：</w:t>
            </w:r>
          </w:p>
          <w:p w14:paraId="1F1777DC">
            <w:pPr>
              <w:keepNext w:val="0"/>
              <w:keepLines/>
              <w:pageBreakBefore w:val="0"/>
              <w:widowControl/>
              <w:numPr>
                <w:ilvl w:val="0"/>
                <w:numId w:val="0"/>
              </w:numPr>
              <w:kinsoku/>
              <w:wordWrap/>
              <w:overflowPunct/>
              <w:topLinePunct w:val="0"/>
              <w:autoSpaceDE/>
              <w:autoSpaceDN/>
              <w:bidi w:val="0"/>
              <w:adjustRightInd/>
              <w:snapToGrid/>
              <w:spacing w:line="400" w:lineRule="exact"/>
              <w:rPr>
                <w:rFonts w:hint="eastAsia" w:ascii="仿宋" w:hAnsi="仿宋" w:eastAsia="仿宋" w:cs="仿宋"/>
                <w:color w:val="auto"/>
                <w:sz w:val="21"/>
                <w:szCs w:val="21"/>
              </w:rPr>
            </w:pPr>
            <w:r>
              <w:rPr>
                <w:rFonts w:hint="eastAsia" w:ascii="仿宋" w:hAnsi="仿宋" w:eastAsia="仿宋" w:cs="仿宋"/>
                <w:color w:val="auto"/>
                <w:sz w:val="21"/>
                <w:szCs w:val="21"/>
              </w:rPr>
              <w:t>①预付款：签订合同之日起10个工作日内，</w:t>
            </w:r>
            <w:r>
              <w:rPr>
                <w:rFonts w:hint="eastAsia" w:ascii="仿宋" w:hAnsi="仿宋" w:eastAsia="仿宋" w:cs="仿宋"/>
                <w:color w:val="auto"/>
                <w:sz w:val="21"/>
                <w:szCs w:val="21"/>
                <w:lang w:eastAsia="zh-CN"/>
              </w:rPr>
              <w:t>中标供应商</w:t>
            </w:r>
            <w:r>
              <w:rPr>
                <w:rFonts w:hint="eastAsia" w:ascii="仿宋" w:hAnsi="仿宋" w:eastAsia="仿宋" w:cs="仿宋"/>
                <w:color w:val="auto"/>
                <w:sz w:val="21"/>
                <w:szCs w:val="21"/>
              </w:rPr>
              <w:t xml:space="preserve">开具合同总价款的 </w:t>
            </w:r>
            <w:r>
              <w:rPr>
                <w:rFonts w:hint="eastAsia" w:ascii="仿宋" w:hAnsi="仿宋" w:eastAsia="仿宋" w:cs="仿宋"/>
                <w:color w:val="auto"/>
                <w:sz w:val="21"/>
                <w:szCs w:val="21"/>
                <w:lang w:val="en-US" w:eastAsia="zh-CN"/>
              </w:rPr>
              <w:t>5</w:t>
            </w:r>
            <w:r>
              <w:rPr>
                <w:rFonts w:hint="eastAsia" w:ascii="仿宋" w:hAnsi="仿宋" w:eastAsia="仿宋" w:cs="仿宋"/>
                <w:color w:val="auto"/>
                <w:sz w:val="21"/>
                <w:szCs w:val="21"/>
              </w:rPr>
              <w:t>0%的等额价值保函(</w:t>
            </w:r>
            <w:r>
              <w:rPr>
                <w:rFonts w:hint="eastAsia" w:ascii="仿宋" w:hAnsi="仿宋" w:eastAsia="仿宋" w:cs="仿宋"/>
                <w:color w:val="auto"/>
                <w:szCs w:val="21"/>
                <w:highlight w:val="none"/>
              </w:rPr>
              <w:t>保函有效期应</w:t>
            </w:r>
            <w:r>
              <w:rPr>
                <w:rFonts w:hint="eastAsia" w:ascii="仿宋" w:hAnsi="仿宋" w:eastAsia="仿宋" w:cs="仿宋"/>
                <w:color w:val="auto"/>
                <w:szCs w:val="21"/>
                <w:highlight w:val="none"/>
                <w:lang w:val="en-US" w:eastAsia="zh-CN"/>
              </w:rPr>
              <w:t>与投标有效期一致</w:t>
            </w:r>
            <w:r>
              <w:rPr>
                <w:rFonts w:hint="eastAsia" w:ascii="仿宋" w:hAnsi="仿宋" w:eastAsia="仿宋" w:cs="仿宋"/>
                <w:color w:val="auto"/>
                <w:sz w:val="21"/>
                <w:szCs w:val="21"/>
              </w:rPr>
              <w:t>)给采购人后，采购人支付合同总价款的</w:t>
            </w:r>
            <w:r>
              <w:rPr>
                <w:rFonts w:hint="eastAsia" w:ascii="仿宋" w:hAnsi="仿宋" w:eastAsia="仿宋" w:cs="仿宋"/>
                <w:color w:val="auto"/>
                <w:sz w:val="21"/>
                <w:szCs w:val="21"/>
                <w:lang w:val="en-US" w:eastAsia="zh-CN"/>
              </w:rPr>
              <w:t>5</w:t>
            </w:r>
            <w:r>
              <w:rPr>
                <w:rFonts w:hint="eastAsia" w:ascii="仿宋" w:hAnsi="仿宋" w:eastAsia="仿宋" w:cs="仿宋"/>
                <w:color w:val="auto"/>
                <w:sz w:val="21"/>
                <w:szCs w:val="21"/>
              </w:rPr>
              <w:t>0%作为预付款。</w:t>
            </w:r>
          </w:p>
          <w:p w14:paraId="42A3BD4C">
            <w:pPr>
              <w:keepNext w:val="0"/>
              <w:keepLines/>
              <w:pageBreakBefore w:val="0"/>
              <w:widowControl/>
              <w:numPr>
                <w:ilvl w:val="0"/>
                <w:numId w:val="0"/>
              </w:numPr>
              <w:kinsoku/>
              <w:wordWrap/>
              <w:overflowPunct/>
              <w:topLinePunct w:val="0"/>
              <w:autoSpaceDE/>
              <w:autoSpaceDN/>
              <w:bidi w:val="0"/>
              <w:adjustRightInd/>
              <w:snapToGrid/>
              <w:spacing w:line="400" w:lineRule="exact"/>
              <w:rPr>
                <w:rFonts w:hint="eastAsia" w:ascii="仿宋" w:hAnsi="仿宋" w:eastAsia="仿宋" w:cs="仿宋"/>
                <w:color w:val="auto"/>
                <w:sz w:val="21"/>
                <w:szCs w:val="21"/>
              </w:rPr>
            </w:pPr>
            <w:r>
              <w:rPr>
                <w:rFonts w:hint="eastAsia" w:ascii="仿宋" w:hAnsi="仿宋" w:eastAsia="仿宋" w:cs="仿宋"/>
                <w:color w:val="auto"/>
                <w:sz w:val="21"/>
                <w:szCs w:val="21"/>
              </w:rPr>
              <w:t>②进度款：所有货物安装调试完成、试运行正常且验收合格，并经采购人确认后，在十个工作日内向</w:t>
            </w:r>
            <w:r>
              <w:rPr>
                <w:rFonts w:hint="eastAsia" w:ascii="仿宋" w:hAnsi="仿宋" w:eastAsia="仿宋" w:cs="仿宋"/>
                <w:color w:val="auto"/>
                <w:sz w:val="21"/>
                <w:szCs w:val="21"/>
                <w:lang w:eastAsia="zh-CN"/>
              </w:rPr>
              <w:t>中标供应商</w:t>
            </w:r>
            <w:r>
              <w:rPr>
                <w:rFonts w:hint="eastAsia" w:ascii="仿宋" w:hAnsi="仿宋" w:eastAsia="仿宋" w:cs="仿宋"/>
                <w:color w:val="auto"/>
                <w:sz w:val="21"/>
                <w:szCs w:val="21"/>
              </w:rPr>
              <w:t>支付合同价款的</w:t>
            </w:r>
            <w:r>
              <w:rPr>
                <w:rFonts w:hint="eastAsia" w:ascii="仿宋" w:hAnsi="仿宋" w:eastAsia="仿宋" w:cs="仿宋"/>
                <w:color w:val="auto"/>
                <w:sz w:val="21"/>
                <w:szCs w:val="21"/>
                <w:lang w:val="en-US" w:eastAsia="zh-CN"/>
              </w:rPr>
              <w:t>5</w:t>
            </w:r>
            <w:r>
              <w:rPr>
                <w:rFonts w:hint="eastAsia" w:ascii="仿宋" w:hAnsi="仿宋" w:eastAsia="仿宋" w:cs="仿宋"/>
                <w:color w:val="auto"/>
                <w:sz w:val="21"/>
                <w:szCs w:val="21"/>
              </w:rPr>
              <w:t>0%.</w:t>
            </w:r>
          </w:p>
          <w:p w14:paraId="1A2FCF7C">
            <w:pPr>
              <w:keepNext w:val="0"/>
              <w:keepLines/>
              <w:pageBreakBefore w:val="0"/>
              <w:widowControl/>
              <w:numPr>
                <w:ilvl w:val="0"/>
                <w:numId w:val="0"/>
              </w:numPr>
              <w:kinsoku/>
              <w:wordWrap/>
              <w:overflowPunct/>
              <w:topLinePunct w:val="0"/>
              <w:autoSpaceDE/>
              <w:autoSpaceDN/>
              <w:bidi w:val="0"/>
              <w:adjustRightInd/>
              <w:snapToGrid/>
              <w:spacing w:line="400" w:lineRule="exact"/>
              <w:rPr>
                <w:rFonts w:hint="eastAsia" w:ascii="仿宋" w:hAnsi="仿宋" w:eastAsia="仿宋" w:cs="仿宋"/>
                <w:color w:val="auto"/>
                <w:sz w:val="21"/>
                <w:szCs w:val="21"/>
              </w:rPr>
            </w:pPr>
            <w:r>
              <w:rPr>
                <w:rFonts w:hint="eastAsia" w:ascii="仿宋" w:hAnsi="仿宋" w:eastAsia="仿宋" w:cs="仿宋"/>
                <w:color w:val="auto"/>
                <w:sz w:val="21"/>
                <w:szCs w:val="21"/>
              </w:rPr>
              <w:t>2、以上各项付款所需凭证将在签订合同时做具体规定。</w:t>
            </w:r>
          </w:p>
        </w:tc>
      </w:tr>
      <w:tr w14:paraId="76B76B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991" w:type="dxa"/>
            <w:gridSpan w:val="2"/>
            <w:tcBorders>
              <w:top w:val="single" w:color="auto" w:sz="4" w:space="0"/>
              <w:left w:val="single" w:color="auto" w:sz="4" w:space="0"/>
              <w:bottom w:val="single" w:color="auto" w:sz="4" w:space="0"/>
              <w:right w:val="single" w:color="auto" w:sz="4" w:space="0"/>
            </w:tcBorders>
            <w:noWrap/>
            <w:vAlign w:val="center"/>
          </w:tcPr>
          <w:p w14:paraId="1BFCD876">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 w:val="21"/>
                <w:szCs w:val="21"/>
              </w:rPr>
            </w:pPr>
            <w:r>
              <w:rPr>
                <w:rFonts w:hint="eastAsia" w:ascii="仿宋" w:hAnsi="仿宋" w:eastAsia="仿宋" w:cs="仿宋"/>
                <w:color w:val="auto"/>
                <w:sz w:val="21"/>
                <w:szCs w:val="21"/>
              </w:rPr>
              <w:t>售后服务</w:t>
            </w:r>
          </w:p>
        </w:tc>
        <w:tc>
          <w:tcPr>
            <w:tcW w:w="7802" w:type="dxa"/>
            <w:gridSpan w:val="5"/>
            <w:tcBorders>
              <w:top w:val="single" w:color="auto" w:sz="4" w:space="0"/>
              <w:left w:val="single" w:color="auto" w:sz="4" w:space="0"/>
              <w:bottom w:val="single" w:color="auto" w:sz="4" w:space="0"/>
              <w:right w:val="single" w:color="auto" w:sz="4" w:space="0"/>
            </w:tcBorders>
            <w:noWrap/>
            <w:vAlign w:val="center"/>
          </w:tcPr>
          <w:p w14:paraId="7156E145">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 w:val="21"/>
                <w:szCs w:val="21"/>
              </w:rPr>
            </w:pPr>
            <w:r>
              <w:rPr>
                <w:rFonts w:hint="eastAsia" w:ascii="仿宋" w:hAnsi="仿宋" w:eastAsia="仿宋" w:cs="仿宋"/>
                <w:color w:val="auto"/>
                <w:sz w:val="21"/>
                <w:szCs w:val="21"/>
              </w:rPr>
              <w:t>1</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保修年限</w:t>
            </w:r>
          </w:p>
          <w:p w14:paraId="38D190AF">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货物维保期（自交付并验收合格之日起计算）：按国家有关产品“三包”规定执行“三包”，所有货物维保期从最终验收合格之日起计算不少于</w:t>
            </w:r>
            <w:r>
              <w:rPr>
                <w:rFonts w:hint="eastAsia" w:ascii="仿宋" w:hAnsi="仿宋" w:eastAsia="仿宋" w:cs="仿宋"/>
                <w:color w:val="auto"/>
                <w:sz w:val="21"/>
                <w:szCs w:val="21"/>
                <w:highlight w:val="none"/>
                <w:lang w:val="en-US" w:eastAsia="zh-CN"/>
              </w:rPr>
              <w:t>一</w:t>
            </w:r>
            <w:r>
              <w:rPr>
                <w:rFonts w:hint="eastAsia" w:ascii="仿宋" w:hAnsi="仿宋" w:eastAsia="仿宋" w:cs="仿宋"/>
                <w:color w:val="auto"/>
                <w:sz w:val="21"/>
                <w:szCs w:val="21"/>
                <w:highlight w:val="none"/>
              </w:rPr>
              <w:t>年（含</w:t>
            </w:r>
            <w:r>
              <w:rPr>
                <w:rFonts w:hint="eastAsia" w:ascii="仿宋" w:hAnsi="仿宋" w:eastAsia="仿宋" w:cs="仿宋"/>
                <w:color w:val="auto"/>
                <w:sz w:val="21"/>
                <w:szCs w:val="21"/>
                <w:highlight w:val="none"/>
                <w:lang w:val="en-US" w:eastAsia="zh-CN"/>
              </w:rPr>
              <w:t>一</w:t>
            </w:r>
            <w:r>
              <w:rPr>
                <w:rFonts w:hint="eastAsia" w:ascii="仿宋" w:hAnsi="仿宋" w:eastAsia="仿宋" w:cs="仿宋"/>
                <w:color w:val="auto"/>
                <w:sz w:val="21"/>
                <w:szCs w:val="21"/>
                <w:highlight w:val="none"/>
              </w:rPr>
              <w:t>年），如在本项目“货物参数”有专项要求的，从其规定。</w:t>
            </w:r>
          </w:p>
          <w:p w14:paraId="7A34C450">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 w:val="21"/>
                <w:szCs w:val="21"/>
              </w:rPr>
            </w:pPr>
            <w:r>
              <w:rPr>
                <w:rFonts w:hint="eastAsia" w:ascii="仿宋" w:hAnsi="仿宋" w:eastAsia="仿宋" w:cs="仿宋"/>
                <w:color w:val="auto"/>
                <w:sz w:val="21"/>
                <w:szCs w:val="21"/>
              </w:rPr>
              <w:t>2</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售后服务</w:t>
            </w:r>
          </w:p>
          <w:p w14:paraId="09A68AA9">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 w:val="21"/>
                <w:szCs w:val="21"/>
              </w:rPr>
            </w:pP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1</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负责送货上门，负责安装调试合格，安装完成后</w:t>
            </w:r>
            <w:r>
              <w:rPr>
                <w:rFonts w:hint="eastAsia" w:ascii="仿宋" w:hAnsi="仿宋" w:eastAsia="仿宋" w:cs="仿宋"/>
                <w:color w:val="auto"/>
                <w:sz w:val="21"/>
                <w:szCs w:val="21"/>
                <w:lang w:eastAsia="zh-CN"/>
              </w:rPr>
              <w:t>中标供应商</w:t>
            </w:r>
            <w:r>
              <w:rPr>
                <w:rFonts w:hint="eastAsia" w:ascii="仿宋" w:hAnsi="仿宋" w:eastAsia="仿宋" w:cs="仿宋"/>
                <w:color w:val="auto"/>
                <w:sz w:val="21"/>
                <w:szCs w:val="21"/>
              </w:rPr>
              <w:t>负责清理产生的木箱等垃圾。安装、调试和培训所需的工具、器材以及差旅费、运费和相关税费，均由</w:t>
            </w:r>
            <w:r>
              <w:rPr>
                <w:rFonts w:hint="eastAsia" w:ascii="仿宋" w:hAnsi="仿宋" w:eastAsia="仿宋" w:cs="仿宋"/>
                <w:color w:val="auto"/>
                <w:sz w:val="21"/>
                <w:szCs w:val="21"/>
                <w:lang w:eastAsia="zh-CN"/>
              </w:rPr>
              <w:t>中标供应商</w:t>
            </w:r>
            <w:r>
              <w:rPr>
                <w:rFonts w:hint="eastAsia" w:ascii="仿宋" w:hAnsi="仿宋" w:eastAsia="仿宋" w:cs="仿宋"/>
                <w:color w:val="auto"/>
                <w:sz w:val="21"/>
                <w:szCs w:val="21"/>
              </w:rPr>
              <w:t>自理。</w:t>
            </w:r>
          </w:p>
          <w:p w14:paraId="6229EBB4">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 w:val="21"/>
                <w:szCs w:val="21"/>
              </w:rPr>
            </w:pP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2</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质量服务要求</w:t>
            </w:r>
          </w:p>
          <w:p w14:paraId="31A0A111">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 w:val="21"/>
                <w:szCs w:val="21"/>
              </w:rPr>
            </w:pPr>
            <w:r>
              <w:rPr>
                <w:rFonts w:hint="eastAsia" w:ascii="仿宋" w:hAnsi="仿宋" w:eastAsia="仿宋" w:cs="仿宋"/>
                <w:color w:val="auto"/>
                <w:sz w:val="21"/>
                <w:szCs w:val="21"/>
              </w:rPr>
              <w:t>①设备交货时须提供设备合格的检测报告，全套说明书并包括简易的中文操作说明和注意事项，及设备、生产厂家、供货商的相关资质证明。</w:t>
            </w:r>
          </w:p>
          <w:p w14:paraId="3AE2EE65">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 w:val="21"/>
                <w:szCs w:val="21"/>
              </w:rPr>
            </w:pPr>
            <w:r>
              <w:rPr>
                <w:rFonts w:hint="eastAsia" w:ascii="仿宋" w:hAnsi="仿宋" w:eastAsia="仿宋" w:cs="仿宋"/>
                <w:color w:val="auto"/>
                <w:sz w:val="21"/>
                <w:szCs w:val="21"/>
              </w:rPr>
              <w:t>②设备交付使用后，在质保期如设备发生故障时，如需更换配件，则小配件3个工作日内更换完毕，大配件5个工作日内更换完毕，当配件等待周期大于5个工作日时，</w:t>
            </w:r>
            <w:r>
              <w:rPr>
                <w:rFonts w:hint="eastAsia" w:ascii="仿宋" w:hAnsi="仿宋" w:eastAsia="仿宋" w:cs="仿宋"/>
                <w:color w:val="auto"/>
                <w:sz w:val="21"/>
                <w:szCs w:val="21"/>
                <w:lang w:eastAsia="zh-CN"/>
              </w:rPr>
              <w:t>中标供应商</w:t>
            </w:r>
            <w:r>
              <w:rPr>
                <w:rFonts w:hint="eastAsia" w:ascii="仿宋" w:hAnsi="仿宋" w:eastAsia="仿宋" w:cs="仿宋"/>
                <w:color w:val="auto"/>
                <w:sz w:val="21"/>
                <w:szCs w:val="21"/>
              </w:rPr>
              <w:t>应按照</w:t>
            </w:r>
            <w:r>
              <w:rPr>
                <w:rFonts w:hint="eastAsia" w:ascii="仿宋" w:hAnsi="仿宋" w:eastAsia="仿宋" w:cs="仿宋"/>
                <w:color w:val="auto"/>
                <w:sz w:val="21"/>
                <w:szCs w:val="21"/>
                <w:lang w:eastAsia="zh-CN"/>
              </w:rPr>
              <w:t>学校</w:t>
            </w:r>
            <w:r>
              <w:rPr>
                <w:rFonts w:hint="eastAsia" w:ascii="仿宋" w:hAnsi="仿宋" w:eastAsia="仿宋" w:cs="仿宋"/>
                <w:color w:val="auto"/>
                <w:sz w:val="21"/>
                <w:szCs w:val="21"/>
              </w:rPr>
              <w:t>要求提供备用机。配件最后调换，</w:t>
            </w:r>
            <w:r>
              <w:rPr>
                <w:rFonts w:hint="eastAsia" w:ascii="仿宋" w:hAnsi="仿宋" w:eastAsia="仿宋" w:cs="仿宋"/>
                <w:color w:val="auto"/>
                <w:sz w:val="21"/>
                <w:szCs w:val="21"/>
                <w:lang w:eastAsia="zh-CN"/>
              </w:rPr>
              <w:t>中标供应商</w:t>
            </w:r>
            <w:r>
              <w:rPr>
                <w:rFonts w:hint="eastAsia" w:ascii="仿宋" w:hAnsi="仿宋" w:eastAsia="仿宋" w:cs="仿宋"/>
                <w:color w:val="auto"/>
                <w:sz w:val="21"/>
                <w:szCs w:val="21"/>
              </w:rPr>
              <w:t>提供的质保从纠正之日起重新计算质保期。</w:t>
            </w:r>
          </w:p>
          <w:p w14:paraId="173D055F">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 w:val="21"/>
                <w:szCs w:val="21"/>
              </w:rPr>
            </w:pPr>
            <w:r>
              <w:rPr>
                <w:rFonts w:hint="eastAsia" w:ascii="仿宋" w:hAnsi="仿宋" w:eastAsia="仿宋" w:cs="仿宋"/>
                <w:color w:val="auto"/>
                <w:sz w:val="21"/>
                <w:szCs w:val="21"/>
              </w:rPr>
              <w:t>③所供货设备不能涉及任何知识产权方面的法律纠纷。</w:t>
            </w:r>
          </w:p>
          <w:p w14:paraId="0B398104">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 w:val="21"/>
                <w:szCs w:val="21"/>
              </w:rPr>
            </w:pPr>
            <w:r>
              <w:rPr>
                <w:rFonts w:hint="eastAsia" w:ascii="仿宋" w:hAnsi="仿宋" w:eastAsia="仿宋" w:cs="仿宋"/>
                <w:color w:val="auto"/>
                <w:sz w:val="21"/>
                <w:szCs w:val="21"/>
              </w:rPr>
              <w:t>④售后服务：设备出现故障2小时内响应，8小时内到达现场维修，一般问题应在24小时内解决，重大问题或其它无法迅速解决的问题应在一周内解决（特殊配件更换除外）。</w:t>
            </w:r>
          </w:p>
          <w:p w14:paraId="3BFCC04D">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 w:val="21"/>
                <w:szCs w:val="21"/>
              </w:rPr>
            </w:pP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各项性能指标达到技术要求的，由供需双方共同签字认可，现场验收。</w:t>
            </w:r>
          </w:p>
          <w:p w14:paraId="258FC173">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 w:val="21"/>
                <w:szCs w:val="21"/>
              </w:rPr>
            </w:pP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4</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定期回访以及对设备维护。</w:t>
            </w:r>
          </w:p>
          <w:p w14:paraId="512D4822">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 w:val="21"/>
                <w:szCs w:val="21"/>
              </w:rPr>
            </w:pP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5</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产品生产厂家在中国大陆境内设有可受理售后服务事务的全国统一的免费服务专线电话，如400或800服务电话等。</w:t>
            </w:r>
          </w:p>
          <w:p w14:paraId="31429D35">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 w:val="21"/>
                <w:szCs w:val="21"/>
              </w:rPr>
            </w:pP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6</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质保期内所有其它伴随服务的费用均应包含在合同价中，采购人不再另行支付任何费用。</w:t>
            </w:r>
          </w:p>
          <w:p w14:paraId="6F18DAF2">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 w:val="21"/>
                <w:szCs w:val="21"/>
              </w:rPr>
            </w:pP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7</w:t>
            </w:r>
            <w:r>
              <w:rPr>
                <w:rFonts w:hint="eastAsia" w:ascii="仿宋" w:hAnsi="仿宋" w:eastAsia="仿宋" w:cs="仿宋"/>
                <w:color w:val="auto"/>
                <w:sz w:val="21"/>
                <w:szCs w:val="21"/>
                <w:lang w:eastAsia="zh-CN"/>
              </w:rPr>
              <w:t>）中标供应商</w:t>
            </w:r>
            <w:r>
              <w:rPr>
                <w:rFonts w:hint="eastAsia" w:ascii="仿宋" w:hAnsi="仿宋" w:eastAsia="仿宋" w:cs="仿宋"/>
                <w:color w:val="auto"/>
                <w:sz w:val="21"/>
                <w:szCs w:val="21"/>
              </w:rPr>
              <w:t>提供设备质保期内的所有售后服务，包括原厂商服务和非原厂商服务，其中硬件的售后服务包括但不限于硬件维护维修、配件更换、整机更换、提供替代品并承担相应费用；质保期内，售后服务所产生的费用均由</w:t>
            </w:r>
            <w:r>
              <w:rPr>
                <w:rFonts w:hint="eastAsia" w:ascii="仿宋" w:hAnsi="仿宋" w:eastAsia="仿宋" w:cs="仿宋"/>
                <w:color w:val="auto"/>
                <w:sz w:val="21"/>
                <w:szCs w:val="21"/>
                <w:lang w:eastAsia="zh-CN"/>
              </w:rPr>
              <w:t>中标供应商</w:t>
            </w:r>
            <w:r>
              <w:rPr>
                <w:rFonts w:hint="eastAsia" w:ascii="仿宋" w:hAnsi="仿宋" w:eastAsia="仿宋" w:cs="仿宋"/>
                <w:color w:val="auto"/>
                <w:sz w:val="21"/>
                <w:szCs w:val="21"/>
              </w:rPr>
              <w:t>承担。</w:t>
            </w:r>
          </w:p>
          <w:p w14:paraId="7D1C6916">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 w:val="21"/>
                <w:szCs w:val="21"/>
              </w:rPr>
            </w:pP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8</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培训</w:t>
            </w:r>
          </w:p>
          <w:p w14:paraId="03487603">
            <w:pPr>
              <w:keepNext w:val="0"/>
              <w:keepLines/>
              <w:pageBreakBefore w:val="0"/>
              <w:widowControl/>
              <w:kinsoku/>
              <w:wordWrap/>
              <w:overflowPunct/>
              <w:topLinePunct w:val="0"/>
              <w:autoSpaceDE/>
              <w:autoSpaceDN/>
              <w:bidi w:val="0"/>
              <w:adjustRightInd/>
              <w:snapToGrid/>
              <w:spacing w:line="400" w:lineRule="exact"/>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w:t>
            </w:r>
            <w:r>
              <w:rPr>
                <w:rFonts w:hint="eastAsia" w:ascii="仿宋" w:hAnsi="仿宋" w:eastAsia="仿宋" w:cs="仿宋"/>
                <w:color w:val="auto"/>
                <w:sz w:val="21"/>
                <w:szCs w:val="21"/>
              </w:rPr>
              <w:t>、中标人对其提供产品或服务的使用和操作应尽培训义务。中标人应对采购人在使用设备前进行必要的培训，使采购人使用人员熟练掌握所培训内容，熟练掌握全部功能</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培训次数≥2次。</w:t>
            </w:r>
          </w:p>
          <w:p w14:paraId="512F9BCF">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2</w:t>
            </w:r>
            <w:r>
              <w:rPr>
                <w:rFonts w:hint="eastAsia" w:ascii="仿宋" w:hAnsi="仿宋" w:eastAsia="仿宋" w:cs="仿宋"/>
                <w:color w:val="auto"/>
                <w:sz w:val="21"/>
                <w:szCs w:val="21"/>
              </w:rPr>
              <w:t>、受训人员:人数不限,以现场操作者及设备维修人员为主，培训后进行考核并通过。</w:t>
            </w:r>
          </w:p>
          <w:p w14:paraId="36A9DD3F">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、训练方式:以实际操作方式进行。</w:t>
            </w:r>
          </w:p>
          <w:p w14:paraId="7216FBCF">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w:t>
            </w:r>
            <w:r>
              <w:rPr>
                <w:rFonts w:hint="eastAsia" w:ascii="仿宋" w:hAnsi="仿宋" w:eastAsia="仿宋" w:cs="仿宋"/>
                <w:color w:val="auto"/>
                <w:sz w:val="21"/>
                <w:szCs w:val="21"/>
              </w:rPr>
              <w:t>、驻厂维修保养：验收前驻厂不少于</w:t>
            </w:r>
            <w:r>
              <w:rPr>
                <w:rFonts w:hint="eastAsia" w:ascii="仿宋" w:hAnsi="仿宋" w:eastAsia="仿宋" w:cs="仿宋"/>
                <w:color w:val="auto"/>
                <w:sz w:val="21"/>
                <w:szCs w:val="21"/>
                <w:lang w:val="en-US" w:eastAsia="zh-CN"/>
              </w:rPr>
              <w:t>2</w:t>
            </w:r>
            <w:r>
              <w:rPr>
                <w:rFonts w:hint="eastAsia" w:ascii="仿宋" w:hAnsi="仿宋" w:eastAsia="仿宋" w:cs="仿宋"/>
                <w:color w:val="auto"/>
                <w:sz w:val="21"/>
                <w:szCs w:val="21"/>
              </w:rPr>
              <w:t>人/单班跟线维护，验收后2人 20天维护交接。</w:t>
            </w:r>
          </w:p>
        </w:tc>
      </w:tr>
      <w:tr w14:paraId="1D4E3F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991" w:type="dxa"/>
            <w:gridSpan w:val="2"/>
            <w:tcBorders>
              <w:top w:val="single" w:color="auto" w:sz="4" w:space="0"/>
              <w:left w:val="single" w:color="auto" w:sz="4" w:space="0"/>
              <w:bottom w:val="single" w:color="auto" w:sz="4" w:space="0"/>
              <w:right w:val="single" w:color="auto" w:sz="4" w:space="0"/>
            </w:tcBorders>
            <w:noWrap/>
            <w:vAlign w:val="center"/>
          </w:tcPr>
          <w:p w14:paraId="7F6E71FE">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 w:val="21"/>
                <w:szCs w:val="21"/>
              </w:rPr>
            </w:pPr>
            <w:r>
              <w:rPr>
                <w:rFonts w:hint="eastAsia" w:ascii="仿宋" w:hAnsi="仿宋" w:eastAsia="仿宋" w:cs="仿宋"/>
                <w:color w:val="auto"/>
                <w:sz w:val="21"/>
                <w:szCs w:val="21"/>
              </w:rPr>
              <w:t>投标报价要求</w:t>
            </w:r>
          </w:p>
        </w:tc>
        <w:tc>
          <w:tcPr>
            <w:tcW w:w="7802" w:type="dxa"/>
            <w:gridSpan w:val="5"/>
            <w:tcBorders>
              <w:top w:val="single" w:color="auto" w:sz="4" w:space="0"/>
              <w:left w:val="single" w:color="auto" w:sz="4" w:space="0"/>
              <w:bottom w:val="single" w:color="auto" w:sz="4" w:space="0"/>
              <w:right w:val="single" w:color="auto" w:sz="4" w:space="0"/>
            </w:tcBorders>
            <w:noWrap/>
            <w:vAlign w:val="center"/>
          </w:tcPr>
          <w:p w14:paraId="5BB77F72">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 w:val="21"/>
                <w:szCs w:val="21"/>
              </w:rPr>
            </w:pPr>
            <w:r>
              <w:rPr>
                <w:rFonts w:hint="eastAsia" w:ascii="仿宋" w:hAnsi="仿宋" w:eastAsia="仿宋" w:cs="仿宋"/>
                <w:color w:val="auto"/>
                <w:sz w:val="21"/>
                <w:szCs w:val="21"/>
              </w:rPr>
              <w:t>1</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要求投标货物是全新的、未经改装的、合格的、满足本项目技术需求及要求的货物。所有零部件、配件必须是未经使用的全新的并符合国家有关质量安全标准的产品。</w:t>
            </w:r>
          </w:p>
          <w:p w14:paraId="16C38EF4">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 w:val="21"/>
                <w:szCs w:val="21"/>
              </w:rPr>
            </w:pPr>
            <w:r>
              <w:rPr>
                <w:rFonts w:hint="eastAsia" w:ascii="仿宋" w:hAnsi="仿宋" w:eastAsia="仿宋" w:cs="仿宋"/>
                <w:color w:val="auto"/>
                <w:sz w:val="21"/>
                <w:szCs w:val="21"/>
              </w:rPr>
              <w:t>2</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投标报价包含设备及服务需求要求所需的一切费用总和，除另有约定外，中标价不因任何因素而调整：</w:t>
            </w:r>
          </w:p>
          <w:p w14:paraId="66639A59">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 w:val="21"/>
                <w:szCs w:val="21"/>
              </w:rPr>
            </w:pPr>
            <w:r>
              <w:rPr>
                <w:rFonts w:hint="eastAsia" w:ascii="仿宋" w:hAnsi="仿宋" w:eastAsia="仿宋" w:cs="仿宋"/>
                <w:color w:val="auto"/>
                <w:sz w:val="21"/>
                <w:szCs w:val="21"/>
              </w:rPr>
              <w:t>（1）货物采购包括货款、标准附件、备品备件、专用工具、包装、运输、装卸、保险、税金、货到就位以及安装、调试、培训、保修等一切税金和费用；</w:t>
            </w:r>
          </w:p>
          <w:p w14:paraId="7293D61F">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 w:val="21"/>
                <w:szCs w:val="21"/>
              </w:rPr>
            </w:pPr>
            <w:r>
              <w:rPr>
                <w:rFonts w:hint="eastAsia" w:ascii="仿宋" w:hAnsi="仿宋" w:eastAsia="仿宋" w:cs="仿宋"/>
                <w:color w:val="auto"/>
                <w:sz w:val="21"/>
                <w:szCs w:val="21"/>
              </w:rPr>
              <w:t>（2）服务采购包括整体服务价格以及安装调试、培训、维护等一切税金和费用。</w:t>
            </w:r>
          </w:p>
          <w:p w14:paraId="7251A82D">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 w:val="21"/>
                <w:szCs w:val="21"/>
              </w:rPr>
            </w:pPr>
            <w:r>
              <w:rPr>
                <w:rFonts w:hint="eastAsia" w:ascii="仿宋" w:hAnsi="仿宋" w:eastAsia="仿宋" w:cs="仿宋"/>
                <w:color w:val="auto"/>
                <w:sz w:val="21"/>
                <w:szCs w:val="21"/>
              </w:rPr>
              <w:t>（3）项目验收、人员服务等费用。</w:t>
            </w:r>
          </w:p>
        </w:tc>
      </w:tr>
      <w:tr w14:paraId="33B8DA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991" w:type="dxa"/>
            <w:gridSpan w:val="2"/>
            <w:tcBorders>
              <w:top w:val="single" w:color="auto" w:sz="4" w:space="0"/>
              <w:left w:val="single" w:color="auto" w:sz="4" w:space="0"/>
              <w:bottom w:val="single" w:color="auto" w:sz="4" w:space="0"/>
              <w:right w:val="single" w:color="auto" w:sz="4" w:space="0"/>
            </w:tcBorders>
            <w:noWrap/>
            <w:vAlign w:val="center"/>
          </w:tcPr>
          <w:p w14:paraId="6355AD27">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 w:val="21"/>
                <w:szCs w:val="21"/>
              </w:rPr>
            </w:pPr>
            <w:r>
              <w:rPr>
                <w:rFonts w:hint="eastAsia" w:ascii="仿宋" w:hAnsi="仿宋" w:eastAsia="仿宋" w:cs="仿宋"/>
                <w:color w:val="auto"/>
                <w:sz w:val="21"/>
                <w:szCs w:val="21"/>
              </w:rPr>
              <w:t>验收标准及要求</w:t>
            </w:r>
          </w:p>
        </w:tc>
        <w:tc>
          <w:tcPr>
            <w:tcW w:w="7802" w:type="dxa"/>
            <w:gridSpan w:val="5"/>
            <w:tcBorders>
              <w:top w:val="single" w:color="auto" w:sz="4" w:space="0"/>
              <w:left w:val="single" w:color="auto" w:sz="4" w:space="0"/>
              <w:bottom w:val="single" w:color="auto" w:sz="4" w:space="0"/>
              <w:right w:val="single" w:color="auto" w:sz="4" w:space="0"/>
            </w:tcBorders>
            <w:noWrap/>
            <w:vAlign w:val="center"/>
          </w:tcPr>
          <w:p w14:paraId="4547E6FF">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 w:val="21"/>
                <w:szCs w:val="21"/>
              </w:rPr>
            </w:pPr>
            <w:r>
              <w:rPr>
                <w:rFonts w:hint="eastAsia" w:ascii="仿宋" w:hAnsi="仿宋" w:eastAsia="仿宋" w:cs="仿宋"/>
                <w:color w:val="auto"/>
                <w:sz w:val="21"/>
                <w:szCs w:val="21"/>
              </w:rPr>
              <w:t>1</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货物均为全新未拆封，供货时须提供相应的供货证明函。</w:t>
            </w:r>
          </w:p>
          <w:p w14:paraId="4E78D4CE">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 w:val="21"/>
                <w:szCs w:val="21"/>
              </w:rPr>
            </w:pPr>
            <w:r>
              <w:rPr>
                <w:rFonts w:hint="eastAsia" w:ascii="仿宋" w:hAnsi="仿宋" w:eastAsia="仿宋" w:cs="仿宋"/>
                <w:color w:val="auto"/>
                <w:sz w:val="21"/>
                <w:szCs w:val="21"/>
              </w:rPr>
              <w:t>2</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供应商需承担供货时产品质量抽样检测的相关费用以及项目验收时发生的一切费用。</w:t>
            </w:r>
          </w:p>
          <w:p w14:paraId="3CDC0A0B">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 w:val="21"/>
                <w:szCs w:val="21"/>
              </w:rPr>
            </w:pPr>
            <w:r>
              <w:rPr>
                <w:rFonts w:hint="eastAsia" w:ascii="仿宋" w:hAnsi="仿宋" w:eastAsia="仿宋" w:cs="仿宋"/>
                <w:color w:val="auto"/>
                <w:sz w:val="21"/>
                <w:szCs w:val="21"/>
              </w:rPr>
              <w:t>3</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产品运到交货场地时，采购人与供应商或其指定的物流供应商仅核对到货的单位数量。具体验货在安装调试时，由供应商派出的相关技术人员到达产品使用现场后与最终使用方一起开箱验货（包括外观、附件完整性、配置匹配性检验）。</w:t>
            </w:r>
          </w:p>
          <w:p w14:paraId="7441B913">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 w:val="21"/>
                <w:szCs w:val="21"/>
              </w:rPr>
            </w:pPr>
            <w:r>
              <w:rPr>
                <w:rFonts w:hint="eastAsia" w:ascii="仿宋" w:hAnsi="仿宋" w:eastAsia="仿宋" w:cs="仿宋"/>
                <w:color w:val="auto"/>
                <w:sz w:val="21"/>
                <w:szCs w:val="21"/>
              </w:rPr>
              <w:t>4</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采购人将依据采购文件上的技术要求和国家有关质量标准对</w:t>
            </w:r>
            <w:r>
              <w:rPr>
                <w:rFonts w:hint="eastAsia" w:ascii="仿宋" w:hAnsi="仿宋" w:eastAsia="仿宋" w:cs="仿宋"/>
                <w:color w:val="auto"/>
                <w:sz w:val="21"/>
                <w:szCs w:val="21"/>
                <w:lang w:eastAsia="zh-CN"/>
              </w:rPr>
              <w:t>中标供应商</w:t>
            </w:r>
            <w:r>
              <w:rPr>
                <w:rFonts w:hint="eastAsia" w:ascii="仿宋" w:hAnsi="仿宋" w:eastAsia="仿宋" w:cs="仿宋"/>
                <w:color w:val="auto"/>
                <w:sz w:val="21"/>
                <w:szCs w:val="21"/>
              </w:rPr>
              <w:t>提交的货物进行初步验收，初步验收不合格的，采购人有权不予签收；在本项目验收时，</w:t>
            </w:r>
            <w:r>
              <w:rPr>
                <w:rFonts w:hint="eastAsia" w:ascii="仿宋" w:hAnsi="仿宋" w:eastAsia="仿宋" w:cs="仿宋"/>
                <w:color w:val="auto"/>
                <w:sz w:val="21"/>
                <w:szCs w:val="21"/>
                <w:lang w:eastAsia="zh-CN"/>
              </w:rPr>
              <w:t>中标供应商</w:t>
            </w:r>
            <w:r>
              <w:rPr>
                <w:rFonts w:hint="eastAsia" w:ascii="仿宋" w:hAnsi="仿宋" w:eastAsia="仿宋" w:cs="仿宋"/>
                <w:color w:val="auto"/>
                <w:sz w:val="21"/>
                <w:szCs w:val="21"/>
              </w:rPr>
              <w:t>如提供不符合采购文件、响应文件和采购合同规定的货物，采购人有权拒绝接受，由此产生的一切损失均由</w:t>
            </w:r>
            <w:r>
              <w:rPr>
                <w:rFonts w:hint="eastAsia" w:ascii="仿宋" w:hAnsi="仿宋" w:eastAsia="仿宋" w:cs="仿宋"/>
                <w:color w:val="auto"/>
                <w:sz w:val="21"/>
                <w:szCs w:val="21"/>
                <w:lang w:eastAsia="zh-CN"/>
              </w:rPr>
              <w:t>中标供应商</w:t>
            </w:r>
            <w:r>
              <w:rPr>
                <w:rFonts w:hint="eastAsia" w:ascii="仿宋" w:hAnsi="仿宋" w:eastAsia="仿宋" w:cs="仿宋"/>
                <w:color w:val="auto"/>
                <w:sz w:val="21"/>
                <w:szCs w:val="21"/>
              </w:rPr>
              <w:t>自行承担。</w:t>
            </w:r>
          </w:p>
          <w:p w14:paraId="3950836D">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 w:val="21"/>
                <w:szCs w:val="21"/>
              </w:rPr>
            </w:pPr>
            <w:r>
              <w:rPr>
                <w:rFonts w:hint="eastAsia" w:ascii="仿宋" w:hAnsi="仿宋" w:eastAsia="仿宋" w:cs="仿宋"/>
                <w:color w:val="auto"/>
                <w:sz w:val="21"/>
                <w:szCs w:val="21"/>
              </w:rPr>
              <w:t>5</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货到后，</w:t>
            </w:r>
            <w:r>
              <w:rPr>
                <w:rFonts w:hint="eastAsia" w:ascii="仿宋" w:hAnsi="仿宋" w:eastAsia="仿宋" w:cs="仿宋"/>
                <w:color w:val="auto"/>
                <w:sz w:val="21"/>
                <w:szCs w:val="21"/>
                <w:lang w:eastAsia="zh-CN"/>
              </w:rPr>
              <w:t>中标供应商</w:t>
            </w:r>
            <w:r>
              <w:rPr>
                <w:rFonts w:hint="eastAsia" w:ascii="仿宋" w:hAnsi="仿宋" w:eastAsia="仿宋" w:cs="仿宋"/>
                <w:color w:val="auto"/>
                <w:sz w:val="21"/>
                <w:szCs w:val="21"/>
              </w:rPr>
              <w:t>需负责安装并培训采购人的使用操作人员，并协助采购人一起调试，直到符合技术要求合同履行达到验收条件时，由</w:t>
            </w:r>
            <w:r>
              <w:rPr>
                <w:rFonts w:hint="eastAsia" w:ascii="仿宋" w:hAnsi="仿宋" w:eastAsia="仿宋" w:cs="仿宋"/>
                <w:color w:val="auto"/>
                <w:sz w:val="21"/>
                <w:szCs w:val="21"/>
                <w:lang w:eastAsia="zh-CN"/>
              </w:rPr>
              <w:t>中标供应商</w:t>
            </w:r>
            <w:r>
              <w:rPr>
                <w:rFonts w:hint="eastAsia" w:ascii="仿宋" w:hAnsi="仿宋" w:eastAsia="仿宋" w:cs="仿宋"/>
                <w:color w:val="auto"/>
                <w:sz w:val="21"/>
                <w:szCs w:val="21"/>
              </w:rPr>
              <w:t>向采购人提出项目竣工测试申请，并于验收前向采购人提供一切有关技术文件、安装实施方案、资料、图纸、操作手册、使用说明、维修指南（服务手册）和相关记录等竣工材料，并在竣工前7 个工作日通知采购人及有关部门准备验收。拟竣工项目的实施总体功能、性能符合采购人认可的技术设计方案及合同规定的，予以验收，并作出验收结果报告。</w:t>
            </w:r>
            <w:r>
              <w:rPr>
                <w:rFonts w:hint="eastAsia" w:ascii="仿宋" w:hAnsi="仿宋" w:eastAsia="仿宋" w:cs="仿宋"/>
                <w:color w:val="auto"/>
                <w:sz w:val="21"/>
                <w:szCs w:val="21"/>
                <w:lang w:eastAsia="zh-CN"/>
              </w:rPr>
              <w:t>中标供应商</w:t>
            </w:r>
            <w:r>
              <w:rPr>
                <w:rFonts w:hint="eastAsia" w:ascii="仿宋" w:hAnsi="仿宋" w:eastAsia="仿宋" w:cs="仿宋"/>
                <w:color w:val="auto"/>
                <w:sz w:val="21"/>
                <w:szCs w:val="21"/>
              </w:rPr>
              <w:t>与采购人双方签署项目验收报告，并自正式交付使用之日起，整体项目才视为接受，并开始计算维保期。对于技术参数复杂的设备，可适当延长验收时间。验收合格后由</w:t>
            </w:r>
            <w:r>
              <w:rPr>
                <w:rFonts w:hint="eastAsia" w:ascii="仿宋" w:hAnsi="仿宋" w:eastAsia="仿宋" w:cs="仿宋"/>
                <w:color w:val="auto"/>
                <w:sz w:val="21"/>
                <w:szCs w:val="21"/>
                <w:lang w:eastAsia="zh-CN"/>
              </w:rPr>
              <w:t>中标供应商</w:t>
            </w:r>
            <w:r>
              <w:rPr>
                <w:rFonts w:hint="eastAsia" w:ascii="仿宋" w:hAnsi="仿宋" w:eastAsia="仿宋" w:cs="仿宋"/>
                <w:color w:val="auto"/>
                <w:sz w:val="21"/>
                <w:szCs w:val="21"/>
              </w:rPr>
              <w:t>与采购人双方签署货物验收单并加盖采购人公章，</w:t>
            </w:r>
            <w:r>
              <w:rPr>
                <w:rFonts w:hint="eastAsia" w:ascii="仿宋" w:hAnsi="仿宋" w:eastAsia="仿宋" w:cs="仿宋"/>
                <w:color w:val="auto"/>
                <w:sz w:val="21"/>
                <w:szCs w:val="21"/>
                <w:lang w:eastAsia="zh-CN"/>
              </w:rPr>
              <w:t>中标供应商</w:t>
            </w:r>
            <w:r>
              <w:rPr>
                <w:rFonts w:hint="eastAsia" w:ascii="仿宋" w:hAnsi="仿宋" w:eastAsia="仿宋" w:cs="仿宋"/>
                <w:color w:val="auto"/>
                <w:sz w:val="21"/>
                <w:szCs w:val="21"/>
              </w:rPr>
              <w:t>与采购人双方各执一份。采购人对验收有异议的，在验收后 5 个工作日内以书面形式向</w:t>
            </w:r>
            <w:r>
              <w:rPr>
                <w:rFonts w:hint="eastAsia" w:ascii="仿宋" w:hAnsi="仿宋" w:eastAsia="仿宋" w:cs="仿宋"/>
                <w:color w:val="auto"/>
                <w:sz w:val="21"/>
                <w:szCs w:val="21"/>
                <w:lang w:eastAsia="zh-CN"/>
              </w:rPr>
              <w:t>中标供应商</w:t>
            </w:r>
            <w:r>
              <w:rPr>
                <w:rFonts w:hint="eastAsia" w:ascii="仿宋" w:hAnsi="仿宋" w:eastAsia="仿宋" w:cs="仿宋"/>
                <w:color w:val="auto"/>
                <w:sz w:val="21"/>
                <w:szCs w:val="21"/>
              </w:rPr>
              <w:t>提出整改，</w:t>
            </w:r>
            <w:r>
              <w:rPr>
                <w:rFonts w:hint="eastAsia" w:ascii="仿宋" w:hAnsi="仿宋" w:eastAsia="仿宋" w:cs="仿宋"/>
                <w:color w:val="auto"/>
                <w:sz w:val="21"/>
                <w:szCs w:val="21"/>
                <w:lang w:eastAsia="zh-CN"/>
              </w:rPr>
              <w:t>中标供应商</w:t>
            </w:r>
            <w:r>
              <w:rPr>
                <w:rFonts w:hint="eastAsia" w:ascii="仿宋" w:hAnsi="仿宋" w:eastAsia="仿宋" w:cs="仿宋"/>
                <w:color w:val="auto"/>
                <w:sz w:val="21"/>
                <w:szCs w:val="21"/>
              </w:rPr>
              <w:t>应自收到采购人书面异议后五日内及时予以解决。</w:t>
            </w:r>
            <w:r>
              <w:rPr>
                <w:rFonts w:hint="eastAsia" w:ascii="仿宋" w:hAnsi="仿宋" w:eastAsia="仿宋" w:cs="仿宋"/>
                <w:color w:val="auto"/>
                <w:sz w:val="21"/>
                <w:szCs w:val="21"/>
                <w:lang w:eastAsia="zh-CN"/>
              </w:rPr>
              <w:t>中标供应商</w:t>
            </w:r>
            <w:r>
              <w:rPr>
                <w:rFonts w:hint="eastAsia" w:ascii="仿宋" w:hAnsi="仿宋" w:eastAsia="仿宋" w:cs="仿宋"/>
                <w:color w:val="auto"/>
                <w:sz w:val="21"/>
                <w:szCs w:val="21"/>
              </w:rPr>
              <w:t>不按要求整改或拒不整改的，采购人有权终止合同并要求</w:t>
            </w:r>
            <w:r>
              <w:rPr>
                <w:rFonts w:hint="eastAsia" w:ascii="仿宋" w:hAnsi="仿宋" w:eastAsia="仿宋" w:cs="仿宋"/>
                <w:color w:val="auto"/>
                <w:sz w:val="21"/>
                <w:szCs w:val="21"/>
                <w:lang w:eastAsia="zh-CN"/>
              </w:rPr>
              <w:t>中标供应商</w:t>
            </w:r>
            <w:r>
              <w:rPr>
                <w:rFonts w:hint="eastAsia" w:ascii="仿宋" w:hAnsi="仿宋" w:eastAsia="仿宋" w:cs="仿宋"/>
                <w:color w:val="auto"/>
                <w:sz w:val="21"/>
                <w:szCs w:val="21"/>
              </w:rPr>
              <w:t>赔偿全部损失。</w:t>
            </w:r>
          </w:p>
          <w:p w14:paraId="3F6A7D77">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 w:val="21"/>
                <w:szCs w:val="21"/>
              </w:rPr>
            </w:pPr>
            <w:r>
              <w:rPr>
                <w:rFonts w:hint="eastAsia" w:ascii="仿宋" w:hAnsi="仿宋" w:eastAsia="仿宋" w:cs="仿宋"/>
                <w:color w:val="auto"/>
                <w:sz w:val="21"/>
                <w:szCs w:val="21"/>
              </w:rPr>
              <w:t>6</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验收时供应商必须在现场，验收完毕后作出验收结果报告，验收费用由供应商负责。</w:t>
            </w:r>
          </w:p>
          <w:p w14:paraId="5B18A96C">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 w:val="21"/>
                <w:szCs w:val="21"/>
              </w:rPr>
            </w:pPr>
            <w:r>
              <w:rPr>
                <w:rFonts w:hint="eastAsia" w:ascii="仿宋" w:hAnsi="仿宋" w:eastAsia="仿宋" w:cs="仿宋"/>
                <w:color w:val="auto"/>
                <w:sz w:val="21"/>
                <w:szCs w:val="21"/>
              </w:rPr>
              <w:t>7</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验收依据：按合同要求及国家标准进行验收。</w:t>
            </w:r>
          </w:p>
          <w:p w14:paraId="0E1CC4D9">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 w:val="21"/>
                <w:szCs w:val="21"/>
              </w:rPr>
            </w:pPr>
            <w:r>
              <w:rPr>
                <w:rFonts w:hint="eastAsia" w:ascii="仿宋" w:hAnsi="仿宋" w:eastAsia="仿宋" w:cs="仿宋"/>
                <w:color w:val="auto"/>
                <w:sz w:val="21"/>
                <w:szCs w:val="21"/>
              </w:rPr>
              <w:t>8</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验收标准</w:t>
            </w:r>
          </w:p>
          <w:p w14:paraId="469E92A0">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 w:val="21"/>
                <w:szCs w:val="21"/>
              </w:rPr>
            </w:pPr>
            <w:r>
              <w:rPr>
                <w:rFonts w:hint="eastAsia" w:ascii="仿宋" w:hAnsi="仿宋" w:eastAsia="仿宋" w:cs="仿宋"/>
                <w:color w:val="auto"/>
                <w:sz w:val="21"/>
                <w:szCs w:val="21"/>
              </w:rPr>
              <w:t>（1）项目招标（采购）文件及</w:t>
            </w:r>
            <w:r>
              <w:rPr>
                <w:rFonts w:hint="eastAsia" w:ascii="仿宋" w:hAnsi="仿宋" w:eastAsia="仿宋" w:cs="仿宋"/>
                <w:color w:val="auto"/>
                <w:sz w:val="21"/>
                <w:szCs w:val="21"/>
                <w:lang w:eastAsia="zh-CN"/>
              </w:rPr>
              <w:t>中标供应商</w:t>
            </w:r>
            <w:r>
              <w:rPr>
                <w:rFonts w:hint="eastAsia" w:ascii="仿宋" w:hAnsi="仿宋" w:eastAsia="仿宋" w:cs="仿宋"/>
                <w:color w:val="auto"/>
                <w:sz w:val="21"/>
                <w:szCs w:val="21"/>
              </w:rPr>
              <w:t>投标（响应）文件中的“货物需求偏离表”，逐条验收；</w:t>
            </w:r>
          </w:p>
          <w:p w14:paraId="3672944A">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 w:val="21"/>
                <w:szCs w:val="21"/>
              </w:rPr>
            </w:pPr>
            <w:r>
              <w:rPr>
                <w:rFonts w:hint="eastAsia" w:ascii="仿宋" w:hAnsi="仿宋" w:eastAsia="仿宋" w:cs="仿宋"/>
                <w:color w:val="auto"/>
                <w:sz w:val="21"/>
                <w:szCs w:val="21"/>
              </w:rPr>
              <w:t>（2）项目招标（采购）文件及</w:t>
            </w:r>
            <w:r>
              <w:rPr>
                <w:rFonts w:hint="eastAsia" w:ascii="仿宋" w:hAnsi="仿宋" w:eastAsia="仿宋" w:cs="仿宋"/>
                <w:color w:val="auto"/>
                <w:sz w:val="21"/>
                <w:szCs w:val="21"/>
                <w:lang w:eastAsia="zh-CN"/>
              </w:rPr>
              <w:t>中标供应商</w:t>
            </w:r>
            <w:r>
              <w:rPr>
                <w:rFonts w:hint="eastAsia" w:ascii="仿宋" w:hAnsi="仿宋" w:eastAsia="仿宋" w:cs="仿宋"/>
                <w:color w:val="auto"/>
                <w:sz w:val="21"/>
                <w:szCs w:val="21"/>
              </w:rPr>
              <w:t>投标（响应）文件中的“商务条款偏离表”，逐条验收；</w:t>
            </w:r>
          </w:p>
          <w:p w14:paraId="2A6B370C">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 w:val="21"/>
                <w:szCs w:val="21"/>
              </w:rPr>
            </w:pPr>
            <w:r>
              <w:rPr>
                <w:rFonts w:hint="eastAsia" w:ascii="仿宋" w:hAnsi="仿宋" w:eastAsia="仿宋" w:cs="仿宋"/>
                <w:color w:val="auto"/>
                <w:sz w:val="21"/>
                <w:szCs w:val="21"/>
              </w:rPr>
              <w:t>（3）</w:t>
            </w:r>
            <w:r>
              <w:rPr>
                <w:rFonts w:hint="eastAsia" w:ascii="仿宋" w:hAnsi="仿宋" w:eastAsia="仿宋" w:cs="仿宋"/>
                <w:color w:val="auto"/>
                <w:sz w:val="21"/>
                <w:szCs w:val="21"/>
                <w:lang w:eastAsia="zh-CN"/>
              </w:rPr>
              <w:t>中标供应商</w:t>
            </w:r>
            <w:r>
              <w:rPr>
                <w:rFonts w:hint="eastAsia" w:ascii="仿宋" w:hAnsi="仿宋" w:eastAsia="仿宋" w:cs="仿宋"/>
                <w:color w:val="auto"/>
                <w:sz w:val="21"/>
                <w:szCs w:val="21"/>
              </w:rPr>
              <w:t>投标（响应）文件中其他技术、服务、商务性的说明、承诺事项，逐条验收。</w:t>
            </w:r>
          </w:p>
          <w:p w14:paraId="7F56ABD2">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 w:val="21"/>
                <w:szCs w:val="21"/>
              </w:rPr>
            </w:pPr>
            <w:r>
              <w:rPr>
                <w:rFonts w:hint="eastAsia" w:ascii="仿宋" w:hAnsi="仿宋" w:eastAsia="仿宋" w:cs="仿宋"/>
                <w:color w:val="auto"/>
                <w:sz w:val="21"/>
                <w:szCs w:val="21"/>
              </w:rPr>
              <w:t>（4）国家相关法律法规、标准和规范等。</w:t>
            </w:r>
          </w:p>
          <w:p w14:paraId="79C0C9ED">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 w:val="21"/>
                <w:szCs w:val="21"/>
              </w:rPr>
            </w:pPr>
            <w:r>
              <w:rPr>
                <w:rFonts w:hint="eastAsia" w:ascii="仿宋" w:hAnsi="仿宋" w:eastAsia="仿宋" w:cs="仿宋"/>
                <w:color w:val="auto"/>
                <w:sz w:val="21"/>
                <w:szCs w:val="21"/>
              </w:rPr>
              <w:t>（5）执行《关于印发广西壮族自治区政府采购项目履约验收管理办法的通知》（桂财采〔2015〕22 号），采用文中《广西壮族自治区政府采购项目合同验收书》格式文本等规范。</w:t>
            </w:r>
          </w:p>
        </w:tc>
      </w:tr>
      <w:tr w14:paraId="7C71A9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991" w:type="dxa"/>
            <w:gridSpan w:val="2"/>
            <w:tcBorders>
              <w:top w:val="single" w:color="auto" w:sz="4" w:space="0"/>
              <w:left w:val="single" w:color="auto" w:sz="4" w:space="0"/>
              <w:bottom w:val="single" w:color="auto" w:sz="4" w:space="0"/>
              <w:right w:val="single" w:color="auto" w:sz="4" w:space="0"/>
            </w:tcBorders>
            <w:noWrap/>
            <w:vAlign w:val="center"/>
          </w:tcPr>
          <w:p w14:paraId="1B319391">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 w:val="21"/>
                <w:szCs w:val="21"/>
              </w:rPr>
            </w:pPr>
            <w:r>
              <w:rPr>
                <w:rFonts w:hint="eastAsia" w:ascii="仿宋" w:hAnsi="仿宋" w:eastAsia="仿宋" w:cs="仿宋"/>
                <w:color w:val="auto"/>
                <w:sz w:val="21"/>
                <w:szCs w:val="21"/>
              </w:rPr>
              <w:t>验收要求</w:t>
            </w:r>
          </w:p>
        </w:tc>
        <w:tc>
          <w:tcPr>
            <w:tcW w:w="7802" w:type="dxa"/>
            <w:gridSpan w:val="5"/>
            <w:tcBorders>
              <w:top w:val="single" w:color="auto" w:sz="4" w:space="0"/>
              <w:left w:val="single" w:color="auto" w:sz="4" w:space="0"/>
              <w:bottom w:val="single" w:color="auto" w:sz="4" w:space="0"/>
              <w:right w:val="single" w:color="auto" w:sz="4" w:space="0"/>
            </w:tcBorders>
            <w:noWrap/>
            <w:vAlign w:val="center"/>
          </w:tcPr>
          <w:p w14:paraId="4E22CFA3">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 w:val="21"/>
                <w:szCs w:val="21"/>
              </w:rPr>
            </w:pPr>
            <w:r>
              <w:rPr>
                <w:rFonts w:hint="eastAsia" w:ascii="仿宋" w:hAnsi="仿宋" w:eastAsia="仿宋" w:cs="仿宋"/>
                <w:color w:val="auto"/>
                <w:sz w:val="21"/>
                <w:szCs w:val="21"/>
              </w:rPr>
              <w:t>1</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验收小组以项目采购文件及采购合同为验收依据，对供货产品技术参数核对检验，如不符合技术参数要求的，</w:t>
            </w:r>
            <w:r>
              <w:rPr>
                <w:rFonts w:hint="eastAsia" w:ascii="仿宋" w:hAnsi="仿宋" w:eastAsia="仿宋" w:cs="仿宋"/>
                <w:color w:val="auto"/>
                <w:sz w:val="21"/>
                <w:szCs w:val="21"/>
                <w:lang w:eastAsia="zh-CN"/>
              </w:rPr>
              <w:t>中标供应商</w:t>
            </w:r>
            <w:r>
              <w:rPr>
                <w:rFonts w:hint="eastAsia" w:ascii="仿宋" w:hAnsi="仿宋" w:eastAsia="仿宋" w:cs="仿宋"/>
                <w:color w:val="auto"/>
                <w:sz w:val="21"/>
                <w:szCs w:val="21"/>
              </w:rPr>
              <w:t>承担所有责任和费用。采购人保留进一步追究责任的权利。</w:t>
            </w:r>
          </w:p>
          <w:p w14:paraId="4F8C36BB">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 w:val="21"/>
                <w:szCs w:val="21"/>
              </w:rPr>
            </w:pPr>
            <w:r>
              <w:rPr>
                <w:rFonts w:hint="eastAsia" w:ascii="仿宋" w:hAnsi="仿宋" w:eastAsia="仿宋" w:cs="仿宋"/>
                <w:color w:val="auto"/>
                <w:sz w:val="21"/>
                <w:szCs w:val="21"/>
              </w:rPr>
              <w:t>2</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如</w:t>
            </w:r>
            <w:r>
              <w:rPr>
                <w:rFonts w:hint="eastAsia" w:ascii="仿宋" w:hAnsi="仿宋" w:eastAsia="仿宋" w:cs="仿宋"/>
                <w:color w:val="auto"/>
                <w:sz w:val="21"/>
                <w:szCs w:val="21"/>
                <w:lang w:eastAsia="zh-CN"/>
              </w:rPr>
              <w:t>中标供应商</w:t>
            </w:r>
            <w:r>
              <w:rPr>
                <w:rFonts w:hint="eastAsia" w:ascii="仿宋" w:hAnsi="仿宋" w:eastAsia="仿宋" w:cs="仿宋"/>
                <w:color w:val="auto"/>
                <w:sz w:val="21"/>
                <w:szCs w:val="21"/>
              </w:rPr>
              <w:t>提供虚假材料的，除按相关规定做违约处理外，采购人依据相关法律规定追究</w:t>
            </w:r>
            <w:r>
              <w:rPr>
                <w:rFonts w:hint="eastAsia" w:ascii="仿宋" w:hAnsi="仿宋" w:eastAsia="仿宋" w:cs="仿宋"/>
                <w:color w:val="auto"/>
                <w:sz w:val="21"/>
                <w:szCs w:val="21"/>
                <w:lang w:eastAsia="zh-CN"/>
              </w:rPr>
              <w:t>中标供应商</w:t>
            </w:r>
            <w:r>
              <w:rPr>
                <w:rFonts w:hint="eastAsia" w:ascii="仿宋" w:hAnsi="仿宋" w:eastAsia="仿宋" w:cs="仿宋"/>
                <w:color w:val="auto"/>
                <w:sz w:val="21"/>
                <w:szCs w:val="21"/>
              </w:rPr>
              <w:t>的责任，由此带来的一切责任及损失由</w:t>
            </w:r>
            <w:r>
              <w:rPr>
                <w:rFonts w:hint="eastAsia" w:ascii="仿宋" w:hAnsi="仿宋" w:eastAsia="仿宋" w:cs="仿宋"/>
                <w:color w:val="auto"/>
                <w:sz w:val="21"/>
                <w:szCs w:val="21"/>
                <w:lang w:eastAsia="zh-CN"/>
              </w:rPr>
              <w:t>中标供应商</w:t>
            </w:r>
            <w:r>
              <w:rPr>
                <w:rFonts w:hint="eastAsia" w:ascii="仿宋" w:hAnsi="仿宋" w:eastAsia="仿宋" w:cs="仿宋"/>
                <w:color w:val="auto"/>
                <w:sz w:val="21"/>
                <w:szCs w:val="21"/>
              </w:rPr>
              <w:t>自行承担。</w:t>
            </w:r>
          </w:p>
          <w:p w14:paraId="177BEB5A">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 w:val="21"/>
                <w:szCs w:val="21"/>
              </w:rPr>
            </w:pPr>
            <w:r>
              <w:rPr>
                <w:rFonts w:hint="eastAsia" w:ascii="仿宋" w:hAnsi="仿宋" w:eastAsia="仿宋" w:cs="仿宋"/>
                <w:color w:val="auto"/>
                <w:sz w:val="21"/>
                <w:szCs w:val="21"/>
              </w:rPr>
              <w:t>3</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在项目验收过程中，如项目验收不合格，有关返工、再行验收产生相关成本费用，以及给采购人造成的损失等费用由</w:t>
            </w:r>
            <w:r>
              <w:rPr>
                <w:rFonts w:hint="eastAsia" w:ascii="仿宋" w:hAnsi="仿宋" w:eastAsia="仿宋" w:cs="仿宋"/>
                <w:color w:val="auto"/>
                <w:sz w:val="21"/>
                <w:szCs w:val="21"/>
                <w:lang w:eastAsia="zh-CN"/>
              </w:rPr>
              <w:t>中标供应商</w:t>
            </w:r>
            <w:r>
              <w:rPr>
                <w:rFonts w:hint="eastAsia" w:ascii="仿宋" w:hAnsi="仿宋" w:eastAsia="仿宋" w:cs="仿宋"/>
                <w:color w:val="auto"/>
                <w:sz w:val="21"/>
                <w:szCs w:val="21"/>
              </w:rPr>
              <w:t>承担。连续两次项目验收不合格的，或弄虚作假的行为，采购人将不予验收，采购人有权解除合同，并追究</w:t>
            </w:r>
            <w:r>
              <w:rPr>
                <w:rFonts w:hint="eastAsia" w:ascii="仿宋" w:hAnsi="仿宋" w:eastAsia="仿宋" w:cs="仿宋"/>
                <w:color w:val="auto"/>
                <w:sz w:val="21"/>
                <w:szCs w:val="21"/>
                <w:lang w:eastAsia="zh-CN"/>
              </w:rPr>
              <w:t>中标供应商</w:t>
            </w:r>
            <w:r>
              <w:rPr>
                <w:rFonts w:hint="eastAsia" w:ascii="仿宋" w:hAnsi="仿宋" w:eastAsia="仿宋" w:cs="仿宋"/>
                <w:color w:val="auto"/>
                <w:sz w:val="21"/>
                <w:szCs w:val="21"/>
              </w:rPr>
              <w:t>的责任，由此带来的一切责任由</w:t>
            </w:r>
            <w:r>
              <w:rPr>
                <w:rFonts w:hint="eastAsia" w:ascii="仿宋" w:hAnsi="仿宋" w:eastAsia="仿宋" w:cs="仿宋"/>
                <w:color w:val="auto"/>
                <w:sz w:val="21"/>
                <w:szCs w:val="21"/>
                <w:lang w:eastAsia="zh-CN"/>
              </w:rPr>
              <w:t>中标供应商</w:t>
            </w:r>
            <w:r>
              <w:rPr>
                <w:rFonts w:hint="eastAsia" w:ascii="仿宋" w:hAnsi="仿宋" w:eastAsia="仿宋" w:cs="仿宋"/>
                <w:color w:val="auto"/>
                <w:sz w:val="21"/>
                <w:szCs w:val="21"/>
              </w:rPr>
              <w:t>自行承担。</w:t>
            </w:r>
          </w:p>
        </w:tc>
      </w:tr>
      <w:tr w14:paraId="63D490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991" w:type="dxa"/>
            <w:gridSpan w:val="2"/>
            <w:tcBorders>
              <w:top w:val="single" w:color="auto" w:sz="4" w:space="0"/>
              <w:left w:val="single" w:color="auto" w:sz="4" w:space="0"/>
              <w:bottom w:val="single" w:color="auto" w:sz="4" w:space="0"/>
              <w:right w:val="single" w:color="auto" w:sz="4" w:space="0"/>
            </w:tcBorders>
            <w:noWrap/>
            <w:vAlign w:val="center"/>
          </w:tcPr>
          <w:p w14:paraId="142E8B35">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 w:val="21"/>
                <w:szCs w:val="21"/>
              </w:rPr>
            </w:pPr>
            <w:r>
              <w:rPr>
                <w:rFonts w:hint="eastAsia" w:ascii="仿宋" w:hAnsi="仿宋" w:eastAsia="仿宋" w:cs="仿宋"/>
                <w:color w:val="auto"/>
                <w:sz w:val="21"/>
                <w:szCs w:val="21"/>
              </w:rPr>
              <w:t>其他要求</w:t>
            </w:r>
          </w:p>
        </w:tc>
        <w:tc>
          <w:tcPr>
            <w:tcW w:w="7802" w:type="dxa"/>
            <w:gridSpan w:val="5"/>
            <w:tcBorders>
              <w:top w:val="single" w:color="auto" w:sz="4" w:space="0"/>
              <w:left w:val="single" w:color="auto" w:sz="4" w:space="0"/>
              <w:bottom w:val="single" w:color="auto" w:sz="4" w:space="0"/>
              <w:right w:val="single" w:color="auto" w:sz="4" w:space="0"/>
            </w:tcBorders>
            <w:noWrap/>
            <w:vAlign w:val="center"/>
          </w:tcPr>
          <w:p w14:paraId="6BB8683D">
            <w:pPr>
              <w:keepNext w:val="0"/>
              <w:keepLines/>
              <w:pageBreakBefore w:val="0"/>
              <w:widowControl/>
              <w:kinsoku/>
              <w:wordWrap/>
              <w:overflowPunct/>
              <w:topLinePunct w:val="0"/>
              <w:autoSpaceDE/>
              <w:autoSpaceDN/>
              <w:bidi w:val="0"/>
              <w:adjustRightInd/>
              <w:snapToGrid/>
              <w:spacing w:line="400" w:lineRule="exact"/>
              <w:textAlignment w:val="center"/>
              <w:rPr>
                <w:rFonts w:hint="eastAsia" w:ascii="仿宋" w:hAnsi="仿宋" w:eastAsia="仿宋" w:cs="仿宋"/>
                <w:color w:val="auto"/>
                <w:sz w:val="21"/>
                <w:szCs w:val="21"/>
              </w:rPr>
            </w:pPr>
            <w:r>
              <w:rPr>
                <w:rFonts w:hint="eastAsia" w:ascii="仿宋" w:hAnsi="仿宋" w:eastAsia="仿宋" w:cs="仿宋"/>
                <w:color w:val="auto"/>
                <w:sz w:val="21"/>
                <w:szCs w:val="21"/>
              </w:rPr>
              <w:t>1、</w:t>
            </w:r>
            <w:r>
              <w:rPr>
                <w:rFonts w:hint="eastAsia" w:ascii="仿宋" w:hAnsi="仿宋" w:eastAsia="仿宋" w:cs="仿宋"/>
                <w:color w:val="auto"/>
                <w:sz w:val="21"/>
                <w:szCs w:val="21"/>
                <w:lang w:eastAsia="zh-CN"/>
              </w:rPr>
              <w:t>投标人</w:t>
            </w:r>
            <w:r>
              <w:rPr>
                <w:rFonts w:hint="eastAsia" w:ascii="仿宋" w:hAnsi="仿宋" w:eastAsia="仿宋" w:cs="仿宋"/>
                <w:color w:val="auto"/>
                <w:sz w:val="21"/>
                <w:szCs w:val="21"/>
              </w:rPr>
              <w:t xml:space="preserve">中标后，采购人在货物验收阶段发现货物的技术参数指标达不到招标文件该货物技术参数要求的，属虚假应标行为，采购人将终止合同拒收货物，追究该中标单位违约责任，赔偿采购人因采购时间延长造成采购人经济等方面损失，视情况采购人将违约情况上报监督管理部门。 </w:t>
            </w:r>
          </w:p>
          <w:p w14:paraId="6A025324">
            <w:pPr>
              <w:keepNext w:val="0"/>
              <w:keepLines/>
              <w:pageBreakBefore w:val="0"/>
              <w:widowControl/>
              <w:kinsoku/>
              <w:wordWrap/>
              <w:overflowPunct/>
              <w:topLinePunct w:val="0"/>
              <w:autoSpaceDE/>
              <w:autoSpaceDN/>
              <w:bidi w:val="0"/>
              <w:adjustRightInd/>
              <w:snapToGrid/>
              <w:spacing w:line="400" w:lineRule="exact"/>
              <w:textAlignment w:val="center"/>
              <w:rPr>
                <w:rFonts w:hint="eastAsia" w:ascii="仿宋" w:hAnsi="仿宋" w:eastAsia="仿宋" w:cs="仿宋"/>
                <w:color w:val="auto"/>
                <w:sz w:val="21"/>
                <w:szCs w:val="21"/>
              </w:rPr>
            </w:pPr>
            <w:r>
              <w:rPr>
                <w:rFonts w:hint="eastAsia" w:ascii="仿宋" w:hAnsi="仿宋" w:eastAsia="仿宋" w:cs="仿宋"/>
                <w:color w:val="auto"/>
                <w:sz w:val="21"/>
                <w:szCs w:val="21"/>
              </w:rPr>
              <w:t xml:space="preserve">2、货物必须是全新的；货物到货后，中标人和招标人应在现场进行清点；清点过程中如果发现因包装或运输不当引起的外观或内部的损坏，中标人应负责更换；若发现错发/漏发情况，中标人应负责更换和补发。 </w:t>
            </w:r>
          </w:p>
          <w:p w14:paraId="33AEAE02">
            <w:pPr>
              <w:keepNext w:val="0"/>
              <w:keepLines/>
              <w:pageBreakBefore w:val="0"/>
              <w:widowControl/>
              <w:kinsoku/>
              <w:wordWrap/>
              <w:overflowPunct/>
              <w:topLinePunct w:val="0"/>
              <w:autoSpaceDE/>
              <w:autoSpaceDN/>
              <w:bidi w:val="0"/>
              <w:adjustRightInd/>
              <w:snapToGrid/>
              <w:spacing w:line="400" w:lineRule="exact"/>
              <w:textAlignment w:val="center"/>
              <w:rPr>
                <w:rFonts w:hint="eastAsia" w:ascii="仿宋" w:hAnsi="仿宋" w:eastAsia="仿宋" w:cs="仿宋"/>
                <w:color w:val="auto"/>
                <w:sz w:val="21"/>
                <w:szCs w:val="21"/>
              </w:rPr>
            </w:pPr>
            <w:r>
              <w:rPr>
                <w:rFonts w:hint="eastAsia" w:ascii="仿宋" w:hAnsi="仿宋" w:eastAsia="仿宋" w:cs="仿宋"/>
                <w:color w:val="auto"/>
                <w:sz w:val="21"/>
                <w:szCs w:val="21"/>
              </w:rPr>
              <w:t>3、供应商所提供的仪器、设备、资料等主要货物需执行的国家标准、行业标准、地方标准或者其他标准、规范。多项标准的，按最新标准或较高标准执行。</w:t>
            </w:r>
          </w:p>
          <w:p w14:paraId="6FD47620">
            <w:pPr>
              <w:keepNext w:val="0"/>
              <w:keepLines/>
              <w:pageBreakBefore w:val="0"/>
              <w:widowControl/>
              <w:kinsoku/>
              <w:wordWrap/>
              <w:overflowPunct/>
              <w:topLinePunct w:val="0"/>
              <w:autoSpaceDE/>
              <w:autoSpaceDN/>
              <w:bidi w:val="0"/>
              <w:adjustRightInd/>
              <w:snapToGrid/>
              <w:spacing w:line="400" w:lineRule="exact"/>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4、中标供应商在设备安装、调试前，必须与采购人充分沟通并共同协商确定详细安装实施方案，经采购人书面确认后方可实施。</w:t>
            </w:r>
          </w:p>
          <w:p w14:paraId="63D286C1">
            <w:pPr>
              <w:pStyle w:val="2"/>
              <w:ind w:left="0" w:leftChars="0" w:firstLine="0" w:firstLineChars="0"/>
              <w:rPr>
                <w:rFonts w:hint="eastAsia" w:ascii="仿宋" w:hAnsi="仿宋" w:eastAsia="仿宋" w:cs="仿宋"/>
                <w:b w:val="0"/>
                <w:color w:val="auto"/>
                <w:kern w:val="2"/>
                <w:sz w:val="21"/>
                <w:szCs w:val="21"/>
                <w:lang w:val="en-US" w:eastAsia="zh-CN" w:bidi="ar-SA"/>
              </w:rPr>
            </w:pPr>
            <w:r>
              <w:rPr>
                <w:rFonts w:hint="eastAsia" w:ascii="仿宋" w:hAnsi="仿宋" w:eastAsia="仿宋" w:cs="仿宋"/>
                <w:b w:val="0"/>
                <w:color w:val="auto"/>
                <w:kern w:val="2"/>
                <w:sz w:val="21"/>
                <w:szCs w:val="21"/>
                <w:lang w:val="en-US" w:eastAsia="zh-CN" w:bidi="ar-SA"/>
              </w:rPr>
              <w:t>5、采购人在中华人民共和国境内使用中标供应商提供的产品及服务时免受第三方提出的侵犯其专利权或其它知识产权的起诉。如果第三方提出侵权指控，中标供应商应承担由此而引起的一切法律责任和费用。</w:t>
            </w:r>
          </w:p>
          <w:p w14:paraId="047F68B2">
            <w:pPr>
              <w:keepNext w:val="0"/>
              <w:keepLines/>
              <w:pageBreakBefore w:val="0"/>
              <w:widowControl/>
              <w:kinsoku/>
              <w:wordWrap/>
              <w:overflowPunct/>
              <w:topLinePunct w:val="0"/>
              <w:autoSpaceDE/>
              <w:autoSpaceDN/>
              <w:bidi w:val="0"/>
              <w:adjustRightInd/>
              <w:snapToGrid/>
              <w:spacing w:line="400" w:lineRule="exact"/>
              <w:textAlignment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6</w:t>
            </w:r>
            <w:r>
              <w:rPr>
                <w:rFonts w:hint="eastAsia" w:ascii="仿宋" w:hAnsi="仿宋" w:eastAsia="仿宋" w:cs="仿宋"/>
                <w:color w:val="auto"/>
                <w:sz w:val="21"/>
                <w:szCs w:val="21"/>
              </w:rPr>
              <w:t>、其余按第五章《政府采购合同文本》要求。</w:t>
            </w:r>
          </w:p>
          <w:p w14:paraId="43E50542">
            <w:pPr>
              <w:keepNext w:val="0"/>
              <w:keepLines/>
              <w:pageBreakBefore w:val="0"/>
              <w:widowControl/>
              <w:kinsoku/>
              <w:wordWrap/>
              <w:overflowPunct/>
              <w:topLinePunct w:val="0"/>
              <w:autoSpaceDE/>
              <w:autoSpaceDN/>
              <w:bidi w:val="0"/>
              <w:adjustRightInd/>
              <w:snapToGrid/>
              <w:spacing w:line="400" w:lineRule="exac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7</w:t>
            </w:r>
            <w:r>
              <w:rPr>
                <w:rFonts w:hint="eastAsia" w:ascii="仿宋" w:hAnsi="仿宋" w:eastAsia="仿宋" w:cs="仿宋"/>
                <w:color w:val="auto"/>
                <w:sz w:val="21"/>
                <w:szCs w:val="21"/>
              </w:rPr>
              <w:t>、供应商可根据招标文件及评分办法的要求，</w:t>
            </w:r>
            <w:r>
              <w:rPr>
                <w:rFonts w:hint="eastAsia" w:ascii="仿宋" w:hAnsi="仿宋" w:eastAsia="仿宋" w:cs="仿宋"/>
                <w:color w:val="auto"/>
                <w:sz w:val="21"/>
                <w:szCs w:val="21"/>
                <w:highlight w:val="none"/>
              </w:rPr>
              <w:t>在投标文件中提供产品性能、项目实施方案、售后服务方案、信誉、人员配备等证明材料。</w:t>
            </w:r>
          </w:p>
        </w:tc>
      </w:tr>
      <w:tr w14:paraId="339E0E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793" w:type="dxa"/>
            <w:gridSpan w:val="7"/>
            <w:tcBorders>
              <w:top w:val="single" w:color="auto" w:sz="4" w:space="0"/>
              <w:left w:val="single" w:color="auto" w:sz="4" w:space="0"/>
              <w:bottom w:val="single" w:color="auto" w:sz="4" w:space="0"/>
              <w:right w:val="single" w:color="auto" w:sz="4" w:space="0"/>
            </w:tcBorders>
            <w:noWrap/>
          </w:tcPr>
          <w:p w14:paraId="6DA9D9F3">
            <w:pPr>
              <w:keepNext w:val="0"/>
              <w:keepLines/>
              <w:pageBreakBefore w:val="0"/>
              <w:widowControl/>
              <w:kinsoku/>
              <w:wordWrap/>
              <w:overflowPunct/>
              <w:topLinePunct w:val="0"/>
              <w:autoSpaceDE/>
              <w:autoSpaceDN/>
              <w:bidi w:val="0"/>
              <w:adjustRightInd/>
              <w:snapToGrid/>
              <w:spacing w:line="400" w:lineRule="exact"/>
              <w:textAlignment w:val="center"/>
              <w:rPr>
                <w:rFonts w:hint="eastAsia" w:ascii="仿宋" w:hAnsi="仿宋" w:eastAsia="仿宋" w:cs="仿宋"/>
                <w:color w:val="auto"/>
                <w:sz w:val="21"/>
                <w:szCs w:val="21"/>
              </w:rPr>
            </w:pPr>
            <w:r>
              <w:rPr>
                <w:rFonts w:hint="eastAsia" w:ascii="仿宋" w:hAnsi="仿宋" w:eastAsia="仿宋" w:cs="仿宋"/>
                <w:color w:val="auto"/>
                <w:sz w:val="21"/>
                <w:szCs w:val="21"/>
              </w:rPr>
              <w:t>第三部分 进口产品说明</w:t>
            </w:r>
          </w:p>
        </w:tc>
      </w:tr>
      <w:tr w14:paraId="26FC1C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793" w:type="dxa"/>
            <w:gridSpan w:val="7"/>
            <w:tcBorders>
              <w:top w:val="single" w:color="auto" w:sz="4" w:space="0"/>
              <w:left w:val="single" w:color="auto" w:sz="4" w:space="0"/>
              <w:bottom w:val="single" w:color="auto" w:sz="4" w:space="0"/>
              <w:right w:val="single" w:color="auto" w:sz="4" w:space="0"/>
            </w:tcBorders>
            <w:noWrap/>
          </w:tcPr>
          <w:p w14:paraId="7FDFB00E">
            <w:pPr>
              <w:keepNext w:val="0"/>
              <w:keepLines/>
              <w:pageBreakBefore w:val="0"/>
              <w:widowControl/>
              <w:kinsoku/>
              <w:wordWrap/>
              <w:overflowPunct/>
              <w:topLinePunct w:val="0"/>
              <w:autoSpaceDE/>
              <w:autoSpaceDN/>
              <w:bidi w:val="0"/>
              <w:adjustRightInd/>
              <w:snapToGrid/>
              <w:spacing w:line="400" w:lineRule="exact"/>
              <w:textAlignment w:val="center"/>
              <w:rPr>
                <w:rFonts w:hint="eastAsia" w:ascii="仿宋" w:hAnsi="仿宋" w:eastAsia="仿宋" w:cs="仿宋"/>
                <w:color w:val="auto"/>
                <w:sz w:val="21"/>
                <w:szCs w:val="21"/>
              </w:rPr>
            </w:pPr>
            <w:r>
              <w:rPr>
                <w:rFonts w:hint="eastAsia" w:ascii="仿宋" w:hAnsi="仿宋" w:eastAsia="仿宋" w:cs="仿宋"/>
                <w:color w:val="auto"/>
                <w:sz w:val="21"/>
                <w:szCs w:val="21"/>
              </w:rPr>
              <w:t>本分标中所有产品均不接受进口产品投标。</w:t>
            </w:r>
            <w:r>
              <w:rPr>
                <w:rFonts w:hint="eastAsia" w:ascii="仿宋" w:hAnsi="仿宋" w:eastAsia="仿宋" w:cs="仿宋"/>
                <w:b/>
                <w:bCs/>
                <w:color w:val="auto"/>
                <w:sz w:val="21"/>
                <w:szCs w:val="21"/>
              </w:rPr>
              <w:t>进口产品投标的，投标无效。</w:t>
            </w:r>
          </w:p>
        </w:tc>
      </w:tr>
      <w:tr w14:paraId="3E3F3C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93" w:type="dxa"/>
            <w:gridSpan w:val="7"/>
            <w:tcBorders>
              <w:top w:val="single" w:color="auto" w:sz="4" w:space="0"/>
              <w:left w:val="single" w:color="auto" w:sz="4" w:space="0"/>
              <w:bottom w:val="single" w:color="auto" w:sz="4" w:space="0"/>
              <w:right w:val="single" w:color="auto" w:sz="4" w:space="0"/>
            </w:tcBorders>
            <w:noWrap/>
          </w:tcPr>
          <w:p w14:paraId="506F88D8">
            <w:pPr>
              <w:keepNext w:val="0"/>
              <w:keepLines/>
              <w:pageBreakBefore w:val="0"/>
              <w:widowControl/>
              <w:kinsoku/>
              <w:wordWrap/>
              <w:overflowPunct/>
              <w:topLinePunct w:val="0"/>
              <w:autoSpaceDE/>
              <w:autoSpaceDN/>
              <w:bidi w:val="0"/>
              <w:adjustRightInd/>
              <w:snapToGrid/>
              <w:spacing w:line="400" w:lineRule="exact"/>
              <w:textAlignment w:val="center"/>
              <w:rPr>
                <w:rFonts w:hint="eastAsia" w:ascii="仿宋" w:hAnsi="仿宋" w:eastAsia="仿宋" w:cs="仿宋"/>
                <w:color w:val="auto"/>
                <w:sz w:val="21"/>
                <w:szCs w:val="21"/>
              </w:rPr>
            </w:pPr>
            <w:r>
              <w:rPr>
                <w:rFonts w:hint="eastAsia" w:ascii="仿宋" w:hAnsi="仿宋" w:eastAsia="仿宋" w:cs="仿宋"/>
                <w:color w:val="auto"/>
                <w:sz w:val="21"/>
                <w:szCs w:val="21"/>
              </w:rPr>
              <w:t>第四部分 核心产品</w:t>
            </w:r>
          </w:p>
        </w:tc>
      </w:tr>
      <w:tr w14:paraId="6A0DFD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9793" w:type="dxa"/>
            <w:gridSpan w:val="7"/>
            <w:tcBorders>
              <w:top w:val="single" w:color="auto" w:sz="4" w:space="0"/>
              <w:left w:val="single" w:color="auto" w:sz="4" w:space="0"/>
              <w:bottom w:val="single" w:color="auto" w:sz="4" w:space="0"/>
              <w:right w:val="single" w:color="auto" w:sz="4" w:space="0"/>
            </w:tcBorders>
            <w:noWrap/>
          </w:tcPr>
          <w:p w14:paraId="5AE73AAE">
            <w:pPr>
              <w:keepNext w:val="0"/>
              <w:keepLines/>
              <w:pageBreakBefore w:val="0"/>
              <w:widowControl/>
              <w:kinsoku/>
              <w:wordWrap/>
              <w:overflowPunct/>
              <w:topLinePunct w:val="0"/>
              <w:autoSpaceDE/>
              <w:autoSpaceDN/>
              <w:bidi w:val="0"/>
              <w:adjustRightInd/>
              <w:snapToGrid/>
              <w:spacing w:line="400" w:lineRule="exact"/>
              <w:textAlignment w:val="center"/>
              <w:rPr>
                <w:rFonts w:hint="eastAsia" w:ascii="仿宋" w:hAnsi="仿宋" w:eastAsia="仿宋" w:cs="仿宋"/>
                <w:color w:val="auto"/>
                <w:sz w:val="21"/>
                <w:szCs w:val="21"/>
              </w:rPr>
            </w:pPr>
            <w:r>
              <w:rPr>
                <w:rFonts w:hint="eastAsia" w:ascii="仿宋" w:hAnsi="仿宋" w:eastAsia="仿宋" w:cs="仿宋"/>
                <w:color w:val="auto"/>
                <w:sz w:val="21"/>
                <w:szCs w:val="21"/>
              </w:rPr>
              <w:t>本分标核心产品为</w:t>
            </w:r>
            <w:r>
              <w:rPr>
                <w:rFonts w:hint="eastAsia" w:ascii="仿宋" w:hAnsi="仿宋" w:eastAsia="仿宋" w:cs="仿宋"/>
                <w:color w:val="auto"/>
                <w:kern w:val="0"/>
                <w:sz w:val="21"/>
                <w:szCs w:val="21"/>
              </w:rPr>
              <w:t>生产线实训配套</w:t>
            </w:r>
            <w:r>
              <w:rPr>
                <w:rFonts w:hint="eastAsia" w:ascii="仿宋" w:hAnsi="仿宋" w:eastAsia="仿宋" w:cs="仿宋"/>
                <w:color w:val="auto"/>
                <w:sz w:val="21"/>
                <w:szCs w:val="21"/>
                <w:highlight w:val="none"/>
              </w:rPr>
              <w:t>第</w:t>
            </w:r>
            <w:r>
              <w:rPr>
                <w:rFonts w:hint="eastAsia" w:ascii="仿宋" w:hAnsi="仿宋" w:eastAsia="仿宋" w:cs="仿宋"/>
                <w:color w:val="auto"/>
                <w:sz w:val="21"/>
                <w:szCs w:val="21"/>
                <w:highlight w:val="none"/>
                <w:lang w:val="en-US" w:eastAsia="zh-CN"/>
              </w:rPr>
              <w:t xml:space="preserve"> 1 </w:t>
            </w:r>
            <w:r>
              <w:rPr>
                <w:rFonts w:hint="eastAsia" w:ascii="仿宋" w:hAnsi="仿宋" w:eastAsia="仿宋" w:cs="仿宋"/>
                <w:color w:val="auto"/>
                <w:sz w:val="21"/>
                <w:szCs w:val="21"/>
                <w:highlight w:val="none"/>
              </w:rPr>
              <w:t>项产品</w:t>
            </w:r>
            <w:r>
              <w:rPr>
                <w:rFonts w:hint="eastAsia" w:ascii="仿宋" w:hAnsi="仿宋" w:eastAsia="仿宋" w:cs="仿宋"/>
                <w:b/>
                <w:bCs/>
                <w:color w:val="auto"/>
                <w:sz w:val="21"/>
                <w:szCs w:val="21"/>
                <w:highlight w:val="none"/>
              </w:rPr>
              <w:t>“</w:t>
            </w:r>
            <w:r>
              <w:rPr>
                <w:rFonts w:hint="eastAsia" w:ascii="仿宋" w:hAnsi="仿宋" w:eastAsia="仿宋" w:cs="仿宋"/>
                <w:i w:val="0"/>
                <w:iCs w:val="0"/>
                <w:color w:val="auto"/>
                <w:kern w:val="0"/>
                <w:sz w:val="21"/>
                <w:szCs w:val="21"/>
                <w:highlight w:val="none"/>
                <w:u w:val="none"/>
                <w:lang w:val="en-US" w:eastAsia="zh-CN" w:bidi="ar"/>
              </w:rPr>
              <w:t>液晶屏制造综合应用实训平台</w:t>
            </w:r>
            <w:r>
              <w:rPr>
                <w:rFonts w:hint="eastAsia" w:ascii="仿宋" w:hAnsi="仿宋" w:eastAsia="仿宋" w:cs="仿宋"/>
                <w:b/>
                <w:bCs/>
                <w:color w:val="auto"/>
                <w:sz w:val="21"/>
                <w:szCs w:val="21"/>
                <w:highlight w:val="none"/>
              </w:rPr>
              <w:t>”</w:t>
            </w:r>
            <w:r>
              <w:rPr>
                <w:rFonts w:hint="eastAsia" w:ascii="仿宋" w:hAnsi="仿宋" w:eastAsia="仿宋" w:cs="仿宋"/>
                <w:color w:val="auto"/>
                <w:sz w:val="21"/>
                <w:szCs w:val="21"/>
                <w:highlight w:val="none"/>
              </w:rPr>
              <w:t>，核心产品</w:t>
            </w:r>
            <w:r>
              <w:rPr>
                <w:rFonts w:hint="eastAsia" w:ascii="仿宋" w:hAnsi="仿宋" w:eastAsia="仿宋" w:cs="仿宋"/>
                <w:color w:val="auto"/>
                <w:sz w:val="21"/>
                <w:szCs w:val="21"/>
              </w:rPr>
              <w:t>品牌相同的，视为提供同品牌产品。</w:t>
            </w:r>
          </w:p>
          <w:p w14:paraId="0C70ADDB">
            <w:pPr>
              <w:keepNext w:val="0"/>
              <w:keepLines/>
              <w:pageBreakBefore w:val="0"/>
              <w:widowControl/>
              <w:kinsoku/>
              <w:wordWrap/>
              <w:overflowPunct/>
              <w:topLinePunct w:val="0"/>
              <w:autoSpaceDE/>
              <w:autoSpaceDN/>
              <w:bidi w:val="0"/>
              <w:adjustRightInd/>
              <w:snapToGrid/>
              <w:spacing w:line="400" w:lineRule="exact"/>
              <w:textAlignment w:val="center"/>
              <w:rPr>
                <w:rFonts w:hint="eastAsia" w:ascii="仿宋" w:hAnsi="仿宋" w:eastAsia="仿宋" w:cs="仿宋"/>
                <w:color w:val="auto"/>
                <w:sz w:val="21"/>
                <w:szCs w:val="21"/>
              </w:rPr>
            </w:pPr>
            <w:r>
              <w:rPr>
                <w:rFonts w:hint="eastAsia" w:ascii="仿宋" w:hAnsi="仿宋" w:eastAsia="仿宋" w:cs="仿宋"/>
                <w:color w:val="auto"/>
                <w:sz w:val="21"/>
                <w:szCs w:val="21"/>
              </w:rPr>
              <w:t>注：提供相同品牌产品且通过资格审查、符合性审查的不同投标人参加同一合同项下投标的，按一家投标人计算，评审后得分最高的同品牌投标人获得中标人推荐资格（评审得分相同的，以投标报价由低到高顺序排列；得分相同且投标报价相同的，按技术分由高到低的顺序排列），其他同品牌投标人不作为中标候选人。</w:t>
            </w:r>
          </w:p>
        </w:tc>
      </w:tr>
    </w:tbl>
    <w:p w14:paraId="183CE5F0">
      <w:pPr>
        <w:rPr>
          <w:color w:val="auto"/>
        </w:rPr>
      </w:pPr>
    </w:p>
    <w:p w14:paraId="41C7085A">
      <w:pPr>
        <w:pStyle w:val="19"/>
        <w:rPr>
          <w:color w:val="auto"/>
        </w:rPr>
      </w:pPr>
    </w:p>
    <w:p w14:paraId="4688F2C9">
      <w:pPr>
        <w:pStyle w:val="19"/>
        <w:rPr>
          <w:color w:val="auto"/>
        </w:rPr>
      </w:pPr>
    </w:p>
    <w:p w14:paraId="56852866">
      <w:pPr>
        <w:rPr>
          <w:rFonts w:ascii="仿宋" w:hAnsi="仿宋" w:eastAsia="仿宋" w:cs="仿宋"/>
          <w:color w:val="auto"/>
          <w:sz w:val="32"/>
          <w:szCs w:val="32"/>
        </w:rPr>
      </w:pPr>
      <w:bookmarkStart w:id="41" w:name="_Toc74320802"/>
      <w:r>
        <w:rPr>
          <w:rFonts w:hint="eastAsia" w:ascii="仿宋" w:hAnsi="仿宋" w:eastAsia="仿宋" w:cs="仿宋"/>
          <w:color w:val="auto"/>
          <w:sz w:val="32"/>
          <w:szCs w:val="32"/>
        </w:rPr>
        <w:br w:type="page"/>
      </w:r>
    </w:p>
    <w:p w14:paraId="27F1423A">
      <w:pPr>
        <w:spacing w:line="428" w:lineRule="exact"/>
        <w:ind w:left="119"/>
        <w:rPr>
          <w:rFonts w:ascii="仿宋" w:hAnsi="仿宋" w:eastAsia="仿宋" w:cs="仿宋"/>
          <w:color w:val="auto"/>
          <w:sz w:val="32"/>
          <w:szCs w:val="32"/>
        </w:rPr>
      </w:pPr>
      <w:r>
        <w:rPr>
          <w:rFonts w:hint="eastAsia" w:ascii="仿宋" w:hAnsi="仿宋" w:eastAsia="仿宋" w:cs="仿宋"/>
          <w:color w:val="auto"/>
          <w:sz w:val="32"/>
          <w:szCs w:val="32"/>
        </w:rPr>
        <w:t>附件：</w:t>
      </w:r>
    </w:p>
    <w:p w14:paraId="164BA74E">
      <w:pPr>
        <w:spacing w:before="7"/>
        <w:rPr>
          <w:rFonts w:ascii="仿宋" w:hAnsi="仿宋" w:eastAsia="仿宋" w:cs="仿宋"/>
          <w:color w:val="auto"/>
          <w:sz w:val="17"/>
          <w:szCs w:val="17"/>
        </w:rPr>
      </w:pPr>
    </w:p>
    <w:p w14:paraId="03C0D8F7">
      <w:pPr>
        <w:spacing w:line="528" w:lineRule="exact"/>
        <w:ind w:left="1871"/>
        <w:rPr>
          <w:rFonts w:ascii="仿宋" w:hAnsi="仿宋" w:eastAsia="仿宋" w:cs="仿宋"/>
          <w:color w:val="auto"/>
          <w:sz w:val="40"/>
          <w:szCs w:val="40"/>
        </w:rPr>
      </w:pPr>
      <w:r>
        <w:rPr>
          <w:rFonts w:hint="eastAsia" w:ascii="仿宋" w:hAnsi="仿宋" w:eastAsia="仿宋" w:cs="仿宋"/>
          <w:color w:val="auto"/>
          <w:sz w:val="40"/>
          <w:szCs w:val="40"/>
        </w:rPr>
        <w:t>节能产品政府采购品目清单</w:t>
      </w:r>
    </w:p>
    <w:tbl>
      <w:tblPr>
        <w:tblStyle w:val="47"/>
        <w:tblW w:w="9220" w:type="dxa"/>
        <w:tblInd w:w="93" w:type="dxa"/>
        <w:tblLayout w:type="autofit"/>
        <w:tblCellMar>
          <w:top w:w="0" w:type="dxa"/>
          <w:left w:w="108" w:type="dxa"/>
          <w:bottom w:w="0" w:type="dxa"/>
          <w:right w:w="108" w:type="dxa"/>
        </w:tblCellMar>
      </w:tblPr>
      <w:tblGrid>
        <w:gridCol w:w="641"/>
        <w:gridCol w:w="1116"/>
        <w:gridCol w:w="1516"/>
        <w:gridCol w:w="1612"/>
        <w:gridCol w:w="4335"/>
      </w:tblGrid>
      <w:tr w14:paraId="6D5F9B8C">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single" w:color="000000" w:sz="8" w:space="0"/>
              <w:right w:val="single" w:color="000000" w:sz="8" w:space="0"/>
            </w:tcBorders>
          </w:tcPr>
          <w:p w14:paraId="20509755">
            <w:pPr>
              <w:widowControl/>
              <w:jc w:val="center"/>
              <w:rPr>
                <w:rFonts w:ascii="仿宋" w:hAnsi="仿宋" w:eastAsia="仿宋" w:cs="仿宋"/>
                <w:b/>
                <w:bCs/>
                <w:color w:val="auto"/>
                <w:kern w:val="0"/>
                <w:sz w:val="22"/>
                <w:szCs w:val="22"/>
              </w:rPr>
            </w:pPr>
            <w:r>
              <w:rPr>
                <w:rFonts w:hint="eastAsia" w:ascii="仿宋" w:hAnsi="仿宋" w:eastAsia="仿宋" w:cs="仿宋"/>
                <w:b/>
                <w:bCs/>
                <w:color w:val="auto"/>
                <w:kern w:val="0"/>
                <w:sz w:val="22"/>
                <w:szCs w:val="22"/>
              </w:rPr>
              <w:t>品目序号</w:t>
            </w:r>
          </w:p>
        </w:tc>
        <w:tc>
          <w:tcPr>
            <w:tcW w:w="4020" w:type="dxa"/>
            <w:gridSpan w:val="3"/>
            <w:tcBorders>
              <w:top w:val="single" w:color="000000" w:sz="8" w:space="0"/>
              <w:left w:val="nil"/>
              <w:bottom w:val="single" w:color="000000" w:sz="8" w:space="0"/>
              <w:right w:val="single" w:color="000000" w:sz="8" w:space="0"/>
            </w:tcBorders>
            <w:vAlign w:val="center"/>
          </w:tcPr>
          <w:p w14:paraId="23CFFF75">
            <w:pPr>
              <w:widowControl/>
              <w:jc w:val="center"/>
              <w:rPr>
                <w:rFonts w:ascii="仿宋" w:hAnsi="仿宋" w:eastAsia="仿宋" w:cs="仿宋"/>
                <w:b/>
                <w:bCs/>
                <w:color w:val="auto"/>
                <w:kern w:val="0"/>
                <w:sz w:val="22"/>
                <w:szCs w:val="22"/>
              </w:rPr>
            </w:pPr>
            <w:r>
              <w:rPr>
                <w:rFonts w:hint="eastAsia" w:ascii="仿宋" w:hAnsi="仿宋" w:eastAsia="仿宋" w:cs="仿宋"/>
                <w:b/>
                <w:bCs/>
                <w:color w:val="auto"/>
                <w:kern w:val="0"/>
                <w:sz w:val="22"/>
                <w:szCs w:val="22"/>
              </w:rPr>
              <w:t>名称</w:t>
            </w:r>
          </w:p>
        </w:tc>
        <w:tc>
          <w:tcPr>
            <w:tcW w:w="4540" w:type="dxa"/>
            <w:tcBorders>
              <w:top w:val="single" w:color="000000" w:sz="8" w:space="0"/>
              <w:left w:val="nil"/>
              <w:bottom w:val="single" w:color="000000" w:sz="8" w:space="0"/>
              <w:right w:val="single" w:color="000000" w:sz="8" w:space="0"/>
            </w:tcBorders>
            <w:vAlign w:val="center"/>
          </w:tcPr>
          <w:p w14:paraId="4B39F0DA">
            <w:pPr>
              <w:widowControl/>
              <w:jc w:val="center"/>
              <w:rPr>
                <w:rFonts w:ascii="仿宋" w:hAnsi="仿宋" w:eastAsia="仿宋" w:cs="仿宋"/>
                <w:b/>
                <w:bCs/>
                <w:color w:val="auto"/>
                <w:kern w:val="0"/>
                <w:sz w:val="22"/>
                <w:szCs w:val="22"/>
              </w:rPr>
            </w:pPr>
            <w:r>
              <w:rPr>
                <w:rFonts w:hint="eastAsia" w:ascii="仿宋" w:hAnsi="仿宋" w:eastAsia="仿宋" w:cs="仿宋"/>
                <w:b/>
                <w:bCs/>
                <w:color w:val="auto"/>
                <w:kern w:val="0"/>
                <w:sz w:val="22"/>
                <w:szCs w:val="22"/>
              </w:rPr>
              <w:t>依据的标准</w:t>
            </w:r>
          </w:p>
        </w:tc>
      </w:tr>
      <w:tr w14:paraId="428F89AF">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29802C3E">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1</w:t>
            </w:r>
          </w:p>
        </w:tc>
        <w:tc>
          <w:tcPr>
            <w:tcW w:w="1080" w:type="dxa"/>
            <w:vMerge w:val="restart"/>
            <w:tcBorders>
              <w:top w:val="nil"/>
              <w:left w:val="single" w:color="000000" w:sz="8" w:space="0"/>
              <w:bottom w:val="single" w:color="000000" w:sz="8" w:space="0"/>
              <w:right w:val="single" w:color="000000" w:sz="8" w:space="0"/>
            </w:tcBorders>
            <w:vAlign w:val="center"/>
          </w:tcPr>
          <w:p w14:paraId="382CD32F">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A020101计算机设备</w:t>
            </w:r>
          </w:p>
        </w:tc>
        <w:tc>
          <w:tcPr>
            <w:tcW w:w="1320" w:type="dxa"/>
            <w:tcBorders>
              <w:top w:val="nil"/>
              <w:left w:val="nil"/>
              <w:bottom w:val="single" w:color="000000" w:sz="8" w:space="0"/>
              <w:right w:val="single" w:color="000000" w:sz="8" w:space="0"/>
            </w:tcBorders>
            <w:vAlign w:val="center"/>
          </w:tcPr>
          <w:p w14:paraId="2A980483">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★A02010104台式计算机</w:t>
            </w:r>
          </w:p>
        </w:tc>
        <w:tc>
          <w:tcPr>
            <w:tcW w:w="1620" w:type="dxa"/>
            <w:tcBorders>
              <w:top w:val="nil"/>
              <w:left w:val="nil"/>
              <w:bottom w:val="single" w:color="000000" w:sz="8" w:space="0"/>
              <w:right w:val="single" w:color="000000" w:sz="8" w:space="0"/>
            </w:tcBorders>
            <w:vAlign w:val="center"/>
          </w:tcPr>
          <w:p w14:paraId="46695529">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4540" w:type="dxa"/>
            <w:tcBorders>
              <w:top w:val="nil"/>
              <w:left w:val="nil"/>
              <w:bottom w:val="single" w:color="000000" w:sz="8" w:space="0"/>
              <w:right w:val="single" w:color="000000" w:sz="8" w:space="0"/>
            </w:tcBorders>
            <w:vAlign w:val="center"/>
          </w:tcPr>
          <w:p w14:paraId="111040CB">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《微型计算机能效限定值及能效等级》（GB28380）</w:t>
            </w:r>
          </w:p>
        </w:tc>
      </w:tr>
      <w:tr w14:paraId="23610D89">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63D02456">
            <w:pPr>
              <w:widowControl/>
              <w:jc w:val="left"/>
              <w:rPr>
                <w:rFonts w:ascii="仿宋" w:hAnsi="仿宋" w:eastAsia="仿宋" w:cs="仿宋"/>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698ABBAF">
            <w:pPr>
              <w:widowControl/>
              <w:jc w:val="left"/>
              <w:rPr>
                <w:rFonts w:ascii="仿宋" w:hAnsi="仿宋" w:eastAsia="仿宋" w:cs="仿宋"/>
                <w:color w:val="auto"/>
                <w:kern w:val="0"/>
                <w:sz w:val="20"/>
                <w:szCs w:val="20"/>
              </w:rPr>
            </w:pPr>
          </w:p>
        </w:tc>
        <w:tc>
          <w:tcPr>
            <w:tcW w:w="1320" w:type="dxa"/>
            <w:tcBorders>
              <w:top w:val="nil"/>
              <w:left w:val="nil"/>
              <w:bottom w:val="single" w:color="000000" w:sz="8" w:space="0"/>
              <w:right w:val="single" w:color="000000" w:sz="8" w:space="0"/>
            </w:tcBorders>
            <w:vAlign w:val="center"/>
          </w:tcPr>
          <w:p w14:paraId="3C851604">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★A02010105便携式计算机</w:t>
            </w:r>
          </w:p>
        </w:tc>
        <w:tc>
          <w:tcPr>
            <w:tcW w:w="1620" w:type="dxa"/>
            <w:tcBorders>
              <w:top w:val="nil"/>
              <w:left w:val="nil"/>
              <w:bottom w:val="single" w:color="000000" w:sz="8" w:space="0"/>
              <w:right w:val="single" w:color="000000" w:sz="8" w:space="0"/>
            </w:tcBorders>
            <w:vAlign w:val="center"/>
          </w:tcPr>
          <w:p w14:paraId="5AED6FD7">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4540" w:type="dxa"/>
            <w:tcBorders>
              <w:top w:val="nil"/>
              <w:left w:val="nil"/>
              <w:bottom w:val="single" w:color="000000" w:sz="8" w:space="0"/>
              <w:right w:val="single" w:color="000000" w:sz="8" w:space="0"/>
            </w:tcBorders>
            <w:vAlign w:val="center"/>
          </w:tcPr>
          <w:p w14:paraId="149226B3">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《微型计算机能效限定值及能效等级》（GB28380）</w:t>
            </w:r>
          </w:p>
        </w:tc>
      </w:tr>
      <w:tr w14:paraId="1BA2659F">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2E1241D3">
            <w:pPr>
              <w:widowControl/>
              <w:jc w:val="left"/>
              <w:rPr>
                <w:rFonts w:ascii="仿宋" w:hAnsi="仿宋" w:eastAsia="仿宋" w:cs="仿宋"/>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1F31CB8C">
            <w:pPr>
              <w:widowControl/>
              <w:jc w:val="left"/>
              <w:rPr>
                <w:rFonts w:ascii="仿宋" w:hAnsi="仿宋" w:eastAsia="仿宋" w:cs="仿宋"/>
                <w:color w:val="auto"/>
                <w:kern w:val="0"/>
                <w:sz w:val="20"/>
                <w:szCs w:val="20"/>
              </w:rPr>
            </w:pPr>
          </w:p>
        </w:tc>
        <w:tc>
          <w:tcPr>
            <w:tcW w:w="1320" w:type="dxa"/>
            <w:tcBorders>
              <w:top w:val="nil"/>
              <w:left w:val="nil"/>
              <w:bottom w:val="single" w:color="000000" w:sz="8" w:space="0"/>
              <w:right w:val="single" w:color="000000" w:sz="8" w:space="0"/>
            </w:tcBorders>
            <w:vAlign w:val="center"/>
          </w:tcPr>
          <w:p w14:paraId="76AD9D19">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★A02010107平板式微型计算机</w:t>
            </w:r>
          </w:p>
        </w:tc>
        <w:tc>
          <w:tcPr>
            <w:tcW w:w="1620" w:type="dxa"/>
            <w:tcBorders>
              <w:top w:val="nil"/>
              <w:left w:val="nil"/>
              <w:bottom w:val="single" w:color="000000" w:sz="8" w:space="0"/>
              <w:right w:val="single" w:color="000000" w:sz="8" w:space="0"/>
            </w:tcBorders>
            <w:vAlign w:val="center"/>
          </w:tcPr>
          <w:p w14:paraId="62336122">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4540" w:type="dxa"/>
            <w:tcBorders>
              <w:top w:val="nil"/>
              <w:left w:val="nil"/>
              <w:bottom w:val="single" w:color="000000" w:sz="8" w:space="0"/>
              <w:right w:val="single" w:color="000000" w:sz="8" w:space="0"/>
            </w:tcBorders>
            <w:vAlign w:val="center"/>
          </w:tcPr>
          <w:p w14:paraId="1D7BFE32">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《微型计算机能效限定值及能效等级》（GB28380）</w:t>
            </w:r>
          </w:p>
        </w:tc>
      </w:tr>
      <w:tr w14:paraId="48F780B1">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79DFF36F">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2</w:t>
            </w:r>
          </w:p>
        </w:tc>
        <w:tc>
          <w:tcPr>
            <w:tcW w:w="1080" w:type="dxa"/>
            <w:vMerge w:val="restart"/>
            <w:tcBorders>
              <w:top w:val="nil"/>
              <w:left w:val="single" w:color="000000" w:sz="8" w:space="0"/>
              <w:bottom w:val="single" w:color="000000" w:sz="8" w:space="0"/>
              <w:right w:val="single" w:color="000000" w:sz="8" w:space="0"/>
            </w:tcBorders>
            <w:vAlign w:val="center"/>
          </w:tcPr>
          <w:p w14:paraId="1513CD14">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A020106输入输出设备</w:t>
            </w:r>
          </w:p>
        </w:tc>
        <w:tc>
          <w:tcPr>
            <w:tcW w:w="1320" w:type="dxa"/>
            <w:vMerge w:val="restart"/>
            <w:tcBorders>
              <w:top w:val="nil"/>
              <w:left w:val="single" w:color="000000" w:sz="8" w:space="0"/>
              <w:bottom w:val="single" w:color="000000" w:sz="8" w:space="0"/>
              <w:right w:val="single" w:color="000000" w:sz="8" w:space="0"/>
            </w:tcBorders>
            <w:vAlign w:val="center"/>
          </w:tcPr>
          <w:p w14:paraId="716AAE92">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A02010601打印设备</w:t>
            </w:r>
          </w:p>
        </w:tc>
        <w:tc>
          <w:tcPr>
            <w:tcW w:w="1620" w:type="dxa"/>
            <w:tcBorders>
              <w:top w:val="nil"/>
              <w:left w:val="nil"/>
              <w:bottom w:val="single" w:color="000000" w:sz="8" w:space="0"/>
              <w:right w:val="single" w:color="000000" w:sz="8" w:space="0"/>
            </w:tcBorders>
            <w:vAlign w:val="center"/>
          </w:tcPr>
          <w:p w14:paraId="59D09F17">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A0201060101喷墨打印机</w:t>
            </w:r>
          </w:p>
        </w:tc>
        <w:tc>
          <w:tcPr>
            <w:tcW w:w="4540" w:type="dxa"/>
            <w:tcBorders>
              <w:top w:val="nil"/>
              <w:left w:val="nil"/>
              <w:bottom w:val="single" w:color="000000" w:sz="8" w:space="0"/>
              <w:right w:val="single" w:color="000000" w:sz="8" w:space="0"/>
            </w:tcBorders>
            <w:vAlign w:val="center"/>
          </w:tcPr>
          <w:p w14:paraId="0DEA5407">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《复印机、打印机和传真机能效限定值及能效等级》（GB21521）</w:t>
            </w:r>
          </w:p>
        </w:tc>
      </w:tr>
      <w:tr w14:paraId="36413E86">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6FF25E4B">
            <w:pPr>
              <w:widowControl/>
              <w:jc w:val="left"/>
              <w:rPr>
                <w:rFonts w:ascii="仿宋" w:hAnsi="仿宋" w:eastAsia="仿宋" w:cs="仿宋"/>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285C97B0">
            <w:pPr>
              <w:widowControl/>
              <w:jc w:val="left"/>
              <w:rPr>
                <w:rFonts w:ascii="仿宋" w:hAnsi="仿宋" w:eastAsia="仿宋" w:cs="仿宋"/>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75402D6C">
            <w:pPr>
              <w:widowControl/>
              <w:jc w:val="left"/>
              <w:rPr>
                <w:rFonts w:ascii="仿宋" w:hAnsi="仿宋" w:eastAsia="仿宋" w:cs="仿宋"/>
                <w:color w:val="auto"/>
                <w:kern w:val="0"/>
                <w:sz w:val="20"/>
                <w:szCs w:val="20"/>
              </w:rPr>
            </w:pPr>
          </w:p>
        </w:tc>
        <w:tc>
          <w:tcPr>
            <w:tcW w:w="1620" w:type="dxa"/>
            <w:tcBorders>
              <w:top w:val="nil"/>
              <w:left w:val="nil"/>
              <w:bottom w:val="single" w:color="000000" w:sz="8" w:space="0"/>
              <w:right w:val="single" w:color="000000" w:sz="8" w:space="0"/>
            </w:tcBorders>
            <w:vAlign w:val="center"/>
          </w:tcPr>
          <w:p w14:paraId="22861FCA">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★A0201060102激光打印机</w:t>
            </w:r>
          </w:p>
        </w:tc>
        <w:tc>
          <w:tcPr>
            <w:tcW w:w="4540" w:type="dxa"/>
            <w:tcBorders>
              <w:top w:val="nil"/>
              <w:left w:val="nil"/>
              <w:bottom w:val="single" w:color="000000" w:sz="8" w:space="0"/>
              <w:right w:val="single" w:color="000000" w:sz="8" w:space="0"/>
            </w:tcBorders>
            <w:vAlign w:val="center"/>
          </w:tcPr>
          <w:p w14:paraId="71214017">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《复印机、打印机和传真机能效限定值及能效等级》（GB21521）</w:t>
            </w:r>
          </w:p>
        </w:tc>
      </w:tr>
      <w:tr w14:paraId="51748C36">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250A65BA">
            <w:pPr>
              <w:widowControl/>
              <w:jc w:val="left"/>
              <w:rPr>
                <w:rFonts w:ascii="仿宋" w:hAnsi="仿宋" w:eastAsia="仿宋" w:cs="仿宋"/>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0F4A886F">
            <w:pPr>
              <w:widowControl/>
              <w:jc w:val="left"/>
              <w:rPr>
                <w:rFonts w:ascii="仿宋" w:hAnsi="仿宋" w:eastAsia="仿宋" w:cs="仿宋"/>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09BBE22D">
            <w:pPr>
              <w:widowControl/>
              <w:jc w:val="left"/>
              <w:rPr>
                <w:rFonts w:ascii="仿宋" w:hAnsi="仿宋" w:eastAsia="仿宋" w:cs="仿宋"/>
                <w:color w:val="auto"/>
                <w:kern w:val="0"/>
                <w:sz w:val="20"/>
                <w:szCs w:val="20"/>
              </w:rPr>
            </w:pPr>
          </w:p>
        </w:tc>
        <w:tc>
          <w:tcPr>
            <w:tcW w:w="1620" w:type="dxa"/>
            <w:tcBorders>
              <w:top w:val="nil"/>
              <w:left w:val="nil"/>
              <w:bottom w:val="single" w:color="000000" w:sz="8" w:space="0"/>
              <w:right w:val="single" w:color="000000" w:sz="8" w:space="0"/>
            </w:tcBorders>
            <w:vAlign w:val="center"/>
          </w:tcPr>
          <w:p w14:paraId="0DA6ABAD">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★A0201060104针式打印机</w:t>
            </w:r>
          </w:p>
        </w:tc>
        <w:tc>
          <w:tcPr>
            <w:tcW w:w="4540" w:type="dxa"/>
            <w:tcBorders>
              <w:top w:val="nil"/>
              <w:left w:val="nil"/>
              <w:bottom w:val="single" w:color="000000" w:sz="8" w:space="0"/>
              <w:right w:val="single" w:color="000000" w:sz="8" w:space="0"/>
            </w:tcBorders>
            <w:vAlign w:val="center"/>
          </w:tcPr>
          <w:p w14:paraId="08B6F52B">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《复印机、打印机和传真机能效限定值及能效等级》（GB21521）</w:t>
            </w:r>
          </w:p>
        </w:tc>
      </w:tr>
      <w:tr w14:paraId="4FDDE11A">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33CDF368">
            <w:pPr>
              <w:widowControl/>
              <w:jc w:val="left"/>
              <w:rPr>
                <w:rFonts w:ascii="仿宋" w:hAnsi="仿宋" w:eastAsia="仿宋" w:cs="仿宋"/>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65555744">
            <w:pPr>
              <w:widowControl/>
              <w:jc w:val="left"/>
              <w:rPr>
                <w:rFonts w:ascii="仿宋" w:hAnsi="仿宋" w:eastAsia="仿宋" w:cs="仿宋"/>
                <w:color w:val="auto"/>
                <w:kern w:val="0"/>
                <w:sz w:val="20"/>
                <w:szCs w:val="20"/>
              </w:rPr>
            </w:pPr>
          </w:p>
        </w:tc>
        <w:tc>
          <w:tcPr>
            <w:tcW w:w="1320" w:type="dxa"/>
            <w:tcBorders>
              <w:top w:val="nil"/>
              <w:left w:val="nil"/>
              <w:bottom w:val="single" w:color="000000" w:sz="8" w:space="0"/>
              <w:right w:val="single" w:color="000000" w:sz="8" w:space="0"/>
            </w:tcBorders>
            <w:vAlign w:val="center"/>
          </w:tcPr>
          <w:p w14:paraId="35F22337">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A02010604显示设备</w:t>
            </w:r>
          </w:p>
        </w:tc>
        <w:tc>
          <w:tcPr>
            <w:tcW w:w="1620" w:type="dxa"/>
            <w:tcBorders>
              <w:top w:val="nil"/>
              <w:left w:val="nil"/>
              <w:bottom w:val="single" w:color="000000" w:sz="8" w:space="0"/>
              <w:right w:val="single" w:color="000000" w:sz="8" w:space="0"/>
            </w:tcBorders>
            <w:vAlign w:val="center"/>
          </w:tcPr>
          <w:p w14:paraId="42337018">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★A0201060401液晶显示器</w:t>
            </w:r>
          </w:p>
        </w:tc>
        <w:tc>
          <w:tcPr>
            <w:tcW w:w="4540" w:type="dxa"/>
            <w:tcBorders>
              <w:top w:val="nil"/>
              <w:left w:val="nil"/>
              <w:bottom w:val="single" w:color="000000" w:sz="8" w:space="0"/>
              <w:right w:val="single" w:color="000000" w:sz="8" w:space="0"/>
            </w:tcBorders>
            <w:vAlign w:val="center"/>
          </w:tcPr>
          <w:p w14:paraId="20CA0FC1">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《计算机显示器能效限定值及能效等级》（GB21520）</w:t>
            </w:r>
          </w:p>
        </w:tc>
      </w:tr>
      <w:tr w14:paraId="4DB0C36D">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vAlign w:val="center"/>
          </w:tcPr>
          <w:p w14:paraId="0AF64B85">
            <w:pPr>
              <w:widowControl/>
              <w:jc w:val="left"/>
              <w:rPr>
                <w:rFonts w:ascii="仿宋" w:hAnsi="仿宋" w:eastAsia="仿宋" w:cs="仿宋"/>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2E2BD920">
            <w:pPr>
              <w:widowControl/>
              <w:jc w:val="left"/>
              <w:rPr>
                <w:rFonts w:ascii="仿宋" w:hAnsi="仿宋" w:eastAsia="仿宋" w:cs="仿宋"/>
                <w:color w:val="auto"/>
                <w:kern w:val="0"/>
                <w:sz w:val="20"/>
                <w:szCs w:val="20"/>
              </w:rPr>
            </w:pPr>
          </w:p>
        </w:tc>
        <w:tc>
          <w:tcPr>
            <w:tcW w:w="1320" w:type="dxa"/>
            <w:tcBorders>
              <w:top w:val="nil"/>
              <w:left w:val="nil"/>
              <w:bottom w:val="single" w:color="000000" w:sz="8" w:space="0"/>
              <w:right w:val="single" w:color="000000" w:sz="8" w:space="0"/>
            </w:tcBorders>
            <w:vAlign w:val="center"/>
          </w:tcPr>
          <w:p w14:paraId="1F51EA14">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A02010609图形图像输入设备</w:t>
            </w:r>
          </w:p>
        </w:tc>
        <w:tc>
          <w:tcPr>
            <w:tcW w:w="1620" w:type="dxa"/>
            <w:tcBorders>
              <w:top w:val="nil"/>
              <w:left w:val="nil"/>
              <w:bottom w:val="single" w:color="000000" w:sz="8" w:space="0"/>
              <w:right w:val="single" w:color="000000" w:sz="8" w:space="0"/>
            </w:tcBorders>
            <w:vAlign w:val="center"/>
          </w:tcPr>
          <w:p w14:paraId="501DE7CD">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A0201060901扫描仪</w:t>
            </w:r>
          </w:p>
        </w:tc>
        <w:tc>
          <w:tcPr>
            <w:tcW w:w="4540" w:type="dxa"/>
            <w:tcBorders>
              <w:top w:val="nil"/>
              <w:left w:val="nil"/>
              <w:bottom w:val="single" w:color="000000" w:sz="8" w:space="0"/>
              <w:right w:val="single" w:color="000000" w:sz="8" w:space="0"/>
            </w:tcBorders>
            <w:vAlign w:val="center"/>
          </w:tcPr>
          <w:p w14:paraId="21041301">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参照《复印机、打印机和传真机能效限定值及能效等级》（GB21521中打印速度为15页/分的针式打印机相关要求中打印速度为15页/分的针式打印机相关要求</w:t>
            </w:r>
          </w:p>
        </w:tc>
      </w:tr>
      <w:tr w14:paraId="52125558">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51491CEE">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3</w:t>
            </w:r>
          </w:p>
        </w:tc>
        <w:tc>
          <w:tcPr>
            <w:tcW w:w="1080" w:type="dxa"/>
            <w:tcBorders>
              <w:top w:val="nil"/>
              <w:left w:val="nil"/>
              <w:bottom w:val="single" w:color="000000" w:sz="8" w:space="0"/>
              <w:right w:val="single" w:color="000000" w:sz="8" w:space="0"/>
            </w:tcBorders>
            <w:vAlign w:val="center"/>
          </w:tcPr>
          <w:p w14:paraId="54F1C19E">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A020202投影仪</w:t>
            </w:r>
          </w:p>
        </w:tc>
        <w:tc>
          <w:tcPr>
            <w:tcW w:w="1320" w:type="dxa"/>
            <w:tcBorders>
              <w:top w:val="nil"/>
              <w:left w:val="nil"/>
              <w:bottom w:val="single" w:color="000000" w:sz="8" w:space="0"/>
              <w:right w:val="single" w:color="000000" w:sz="8" w:space="0"/>
            </w:tcBorders>
            <w:vAlign w:val="center"/>
          </w:tcPr>
          <w:p w14:paraId="17A47613">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1620" w:type="dxa"/>
            <w:tcBorders>
              <w:top w:val="nil"/>
              <w:left w:val="nil"/>
              <w:bottom w:val="single" w:color="000000" w:sz="8" w:space="0"/>
              <w:right w:val="single" w:color="000000" w:sz="8" w:space="0"/>
            </w:tcBorders>
            <w:vAlign w:val="center"/>
          </w:tcPr>
          <w:p w14:paraId="03734EBA">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4540" w:type="dxa"/>
            <w:tcBorders>
              <w:top w:val="nil"/>
              <w:left w:val="nil"/>
              <w:bottom w:val="single" w:color="000000" w:sz="8" w:space="0"/>
              <w:right w:val="single" w:color="000000" w:sz="8" w:space="0"/>
            </w:tcBorders>
            <w:vAlign w:val="center"/>
          </w:tcPr>
          <w:p w14:paraId="460AD907">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《投影机能效限定值及能效等级》（GB32028）</w:t>
            </w:r>
          </w:p>
        </w:tc>
      </w:tr>
      <w:tr w14:paraId="20ACD565">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2166D356">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4</w:t>
            </w:r>
          </w:p>
        </w:tc>
        <w:tc>
          <w:tcPr>
            <w:tcW w:w="1080" w:type="dxa"/>
            <w:tcBorders>
              <w:top w:val="nil"/>
              <w:left w:val="nil"/>
              <w:bottom w:val="single" w:color="000000" w:sz="8" w:space="0"/>
              <w:right w:val="single" w:color="000000" w:sz="8" w:space="0"/>
            </w:tcBorders>
            <w:vAlign w:val="center"/>
          </w:tcPr>
          <w:p w14:paraId="314AFAAE">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A020204多功能一体机</w:t>
            </w:r>
          </w:p>
        </w:tc>
        <w:tc>
          <w:tcPr>
            <w:tcW w:w="1320" w:type="dxa"/>
            <w:tcBorders>
              <w:top w:val="nil"/>
              <w:left w:val="nil"/>
              <w:bottom w:val="single" w:color="000000" w:sz="8" w:space="0"/>
              <w:right w:val="single" w:color="000000" w:sz="8" w:space="0"/>
            </w:tcBorders>
            <w:vAlign w:val="center"/>
          </w:tcPr>
          <w:p w14:paraId="51CB2AB4">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1620" w:type="dxa"/>
            <w:tcBorders>
              <w:top w:val="nil"/>
              <w:left w:val="nil"/>
              <w:bottom w:val="single" w:color="000000" w:sz="8" w:space="0"/>
              <w:right w:val="single" w:color="000000" w:sz="8" w:space="0"/>
            </w:tcBorders>
            <w:vAlign w:val="center"/>
          </w:tcPr>
          <w:p w14:paraId="4A339733">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4540" w:type="dxa"/>
            <w:tcBorders>
              <w:top w:val="nil"/>
              <w:left w:val="nil"/>
              <w:bottom w:val="single" w:color="000000" w:sz="8" w:space="0"/>
              <w:right w:val="single" w:color="000000" w:sz="8" w:space="0"/>
            </w:tcBorders>
            <w:vAlign w:val="center"/>
          </w:tcPr>
          <w:p w14:paraId="07CFDFBD">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《复印机、打印机和传真机能效限定值及能效等级》（GB21521）</w:t>
            </w:r>
          </w:p>
        </w:tc>
      </w:tr>
      <w:tr w14:paraId="1B128EA8">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4F3B263E">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5</w:t>
            </w:r>
          </w:p>
        </w:tc>
        <w:tc>
          <w:tcPr>
            <w:tcW w:w="1080" w:type="dxa"/>
            <w:tcBorders>
              <w:top w:val="nil"/>
              <w:left w:val="nil"/>
              <w:bottom w:val="single" w:color="000000" w:sz="8" w:space="0"/>
              <w:right w:val="single" w:color="000000" w:sz="8" w:space="0"/>
            </w:tcBorders>
            <w:vAlign w:val="center"/>
          </w:tcPr>
          <w:p w14:paraId="36094B9E">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A020519泵</w:t>
            </w:r>
          </w:p>
        </w:tc>
        <w:tc>
          <w:tcPr>
            <w:tcW w:w="1320" w:type="dxa"/>
            <w:tcBorders>
              <w:top w:val="nil"/>
              <w:left w:val="nil"/>
              <w:bottom w:val="single" w:color="000000" w:sz="8" w:space="0"/>
              <w:right w:val="single" w:color="000000" w:sz="8" w:space="0"/>
            </w:tcBorders>
            <w:vAlign w:val="center"/>
          </w:tcPr>
          <w:p w14:paraId="2011BC56">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A02051901离心泵</w:t>
            </w:r>
          </w:p>
        </w:tc>
        <w:tc>
          <w:tcPr>
            <w:tcW w:w="1620" w:type="dxa"/>
            <w:tcBorders>
              <w:top w:val="nil"/>
              <w:left w:val="nil"/>
              <w:bottom w:val="single" w:color="000000" w:sz="8" w:space="0"/>
              <w:right w:val="single" w:color="000000" w:sz="8" w:space="0"/>
            </w:tcBorders>
            <w:vAlign w:val="center"/>
          </w:tcPr>
          <w:p w14:paraId="711F7A7B">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4540" w:type="dxa"/>
            <w:tcBorders>
              <w:top w:val="nil"/>
              <w:left w:val="nil"/>
              <w:bottom w:val="single" w:color="000000" w:sz="8" w:space="0"/>
              <w:right w:val="single" w:color="000000" w:sz="8" w:space="0"/>
            </w:tcBorders>
            <w:vAlign w:val="center"/>
          </w:tcPr>
          <w:p w14:paraId="734C294A">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《清水离心泵能效限定值及节能评价值》（GB19762）</w:t>
            </w:r>
          </w:p>
        </w:tc>
      </w:tr>
      <w:tr w14:paraId="52476131">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vAlign w:val="center"/>
          </w:tcPr>
          <w:p w14:paraId="38D85984">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6</w:t>
            </w:r>
          </w:p>
        </w:tc>
        <w:tc>
          <w:tcPr>
            <w:tcW w:w="1080" w:type="dxa"/>
            <w:vMerge w:val="restart"/>
            <w:tcBorders>
              <w:top w:val="nil"/>
              <w:left w:val="single" w:color="000000" w:sz="8" w:space="0"/>
              <w:bottom w:val="single" w:color="000000" w:sz="8" w:space="0"/>
              <w:right w:val="single" w:color="000000" w:sz="8" w:space="0"/>
            </w:tcBorders>
            <w:vAlign w:val="center"/>
          </w:tcPr>
          <w:p w14:paraId="58A98067">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A020523制冷空调设备</w:t>
            </w:r>
          </w:p>
        </w:tc>
        <w:tc>
          <w:tcPr>
            <w:tcW w:w="1320" w:type="dxa"/>
            <w:vMerge w:val="restart"/>
            <w:tcBorders>
              <w:top w:val="nil"/>
              <w:left w:val="single" w:color="000000" w:sz="8" w:space="0"/>
              <w:bottom w:val="single" w:color="000000" w:sz="8" w:space="0"/>
              <w:right w:val="single" w:color="000000" w:sz="8" w:space="0"/>
            </w:tcBorders>
            <w:vAlign w:val="center"/>
          </w:tcPr>
          <w:p w14:paraId="41867BE3">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★A02052301制冷压缩机</w:t>
            </w:r>
          </w:p>
        </w:tc>
        <w:tc>
          <w:tcPr>
            <w:tcW w:w="1620" w:type="dxa"/>
            <w:tcBorders>
              <w:top w:val="nil"/>
              <w:left w:val="nil"/>
              <w:bottom w:val="single" w:color="000000" w:sz="8" w:space="0"/>
              <w:right w:val="single" w:color="000000" w:sz="8" w:space="0"/>
            </w:tcBorders>
            <w:vAlign w:val="center"/>
          </w:tcPr>
          <w:p w14:paraId="64C06406">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冷水机组</w:t>
            </w:r>
          </w:p>
        </w:tc>
        <w:tc>
          <w:tcPr>
            <w:tcW w:w="4540" w:type="dxa"/>
            <w:tcBorders>
              <w:top w:val="nil"/>
              <w:left w:val="nil"/>
              <w:bottom w:val="single" w:color="000000" w:sz="8" w:space="0"/>
              <w:right w:val="single" w:color="000000" w:sz="8" w:space="0"/>
            </w:tcBorders>
            <w:vAlign w:val="center"/>
          </w:tcPr>
          <w:p w14:paraId="04BF26B3">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《冷水机组能效限定值及能效等级》（GB19577），《低环境温度空气源热泵（冷水）机组能效限定值及能效等级》（GB37480）</w:t>
            </w:r>
          </w:p>
        </w:tc>
      </w:tr>
      <w:tr w14:paraId="799C57E4">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747C64A3">
            <w:pPr>
              <w:widowControl/>
              <w:jc w:val="left"/>
              <w:rPr>
                <w:rFonts w:ascii="仿宋" w:hAnsi="仿宋" w:eastAsia="仿宋" w:cs="仿宋"/>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4872E2DF">
            <w:pPr>
              <w:widowControl/>
              <w:jc w:val="left"/>
              <w:rPr>
                <w:rFonts w:ascii="仿宋" w:hAnsi="仿宋" w:eastAsia="仿宋" w:cs="仿宋"/>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6B49CA0C">
            <w:pPr>
              <w:widowControl/>
              <w:jc w:val="left"/>
              <w:rPr>
                <w:rFonts w:ascii="仿宋" w:hAnsi="仿宋" w:eastAsia="仿宋" w:cs="仿宋"/>
                <w:color w:val="auto"/>
                <w:kern w:val="0"/>
                <w:sz w:val="20"/>
                <w:szCs w:val="20"/>
              </w:rPr>
            </w:pPr>
          </w:p>
        </w:tc>
        <w:tc>
          <w:tcPr>
            <w:tcW w:w="1620" w:type="dxa"/>
            <w:tcBorders>
              <w:top w:val="nil"/>
              <w:left w:val="nil"/>
              <w:bottom w:val="single" w:color="000000" w:sz="8" w:space="0"/>
              <w:right w:val="single" w:color="000000" w:sz="8" w:space="0"/>
            </w:tcBorders>
            <w:vAlign w:val="center"/>
          </w:tcPr>
          <w:p w14:paraId="65A732F6">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水源热泵机组</w:t>
            </w:r>
          </w:p>
        </w:tc>
        <w:tc>
          <w:tcPr>
            <w:tcW w:w="4540" w:type="dxa"/>
            <w:tcBorders>
              <w:top w:val="nil"/>
              <w:left w:val="nil"/>
              <w:bottom w:val="single" w:color="000000" w:sz="8" w:space="0"/>
              <w:right w:val="single" w:color="000000" w:sz="8" w:space="0"/>
            </w:tcBorders>
            <w:vAlign w:val="center"/>
          </w:tcPr>
          <w:p w14:paraId="02F320D8">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《水（地）源热泵机组能效限定值及能效等级》（GB30721）</w:t>
            </w:r>
          </w:p>
        </w:tc>
      </w:tr>
      <w:tr w14:paraId="5388F4E8">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2A301F21">
            <w:pPr>
              <w:widowControl/>
              <w:jc w:val="left"/>
              <w:rPr>
                <w:rFonts w:ascii="仿宋" w:hAnsi="仿宋" w:eastAsia="仿宋" w:cs="仿宋"/>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35EC0D8F">
            <w:pPr>
              <w:widowControl/>
              <w:jc w:val="left"/>
              <w:rPr>
                <w:rFonts w:ascii="仿宋" w:hAnsi="仿宋" w:eastAsia="仿宋" w:cs="仿宋"/>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59B3AFAF">
            <w:pPr>
              <w:widowControl/>
              <w:jc w:val="left"/>
              <w:rPr>
                <w:rFonts w:ascii="仿宋" w:hAnsi="仿宋" w:eastAsia="仿宋" w:cs="仿宋"/>
                <w:color w:val="auto"/>
                <w:kern w:val="0"/>
                <w:sz w:val="20"/>
                <w:szCs w:val="20"/>
              </w:rPr>
            </w:pPr>
          </w:p>
        </w:tc>
        <w:tc>
          <w:tcPr>
            <w:tcW w:w="1620" w:type="dxa"/>
            <w:tcBorders>
              <w:top w:val="nil"/>
              <w:left w:val="nil"/>
              <w:bottom w:val="single" w:color="000000" w:sz="8" w:space="0"/>
              <w:right w:val="single" w:color="000000" w:sz="8" w:space="0"/>
            </w:tcBorders>
            <w:vAlign w:val="center"/>
          </w:tcPr>
          <w:p w14:paraId="45E98D06">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溴化锂吸收式冷水机组</w:t>
            </w:r>
          </w:p>
        </w:tc>
        <w:tc>
          <w:tcPr>
            <w:tcW w:w="4540" w:type="dxa"/>
            <w:tcBorders>
              <w:top w:val="nil"/>
              <w:left w:val="nil"/>
              <w:bottom w:val="single" w:color="000000" w:sz="8" w:space="0"/>
              <w:right w:val="single" w:color="000000" w:sz="8" w:space="0"/>
            </w:tcBorders>
            <w:vAlign w:val="center"/>
          </w:tcPr>
          <w:p w14:paraId="11B502CE">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《溴化锂吸收式冷水机组能效限定值及能效等级》（GB29540）</w:t>
            </w:r>
          </w:p>
        </w:tc>
      </w:tr>
      <w:tr w14:paraId="0A23FCC2">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7C7AB243">
            <w:pPr>
              <w:widowControl/>
              <w:jc w:val="left"/>
              <w:rPr>
                <w:rFonts w:ascii="仿宋" w:hAnsi="仿宋" w:eastAsia="仿宋" w:cs="仿宋"/>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4938CAE6">
            <w:pPr>
              <w:widowControl/>
              <w:jc w:val="left"/>
              <w:rPr>
                <w:rFonts w:ascii="仿宋" w:hAnsi="仿宋" w:eastAsia="仿宋" w:cs="仿宋"/>
                <w:color w:val="auto"/>
                <w:kern w:val="0"/>
                <w:sz w:val="20"/>
                <w:szCs w:val="20"/>
              </w:rPr>
            </w:pPr>
          </w:p>
        </w:tc>
        <w:tc>
          <w:tcPr>
            <w:tcW w:w="1320" w:type="dxa"/>
            <w:vMerge w:val="restart"/>
            <w:tcBorders>
              <w:top w:val="nil"/>
              <w:left w:val="single" w:color="000000" w:sz="8" w:space="0"/>
              <w:bottom w:val="single" w:color="000000" w:sz="8" w:space="0"/>
              <w:right w:val="single" w:color="000000" w:sz="8" w:space="0"/>
            </w:tcBorders>
            <w:vAlign w:val="center"/>
          </w:tcPr>
          <w:p w14:paraId="0F5F0F0E">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★A02052305空调机组</w:t>
            </w:r>
          </w:p>
        </w:tc>
        <w:tc>
          <w:tcPr>
            <w:tcW w:w="1620" w:type="dxa"/>
            <w:tcBorders>
              <w:top w:val="nil"/>
              <w:left w:val="nil"/>
              <w:bottom w:val="single" w:color="000000" w:sz="8" w:space="0"/>
              <w:right w:val="single" w:color="000000" w:sz="8" w:space="0"/>
            </w:tcBorders>
            <w:vAlign w:val="center"/>
          </w:tcPr>
          <w:p w14:paraId="73F68676">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多联式空调（热泵）机组(制冷量&gt;14000W)</w:t>
            </w:r>
          </w:p>
        </w:tc>
        <w:tc>
          <w:tcPr>
            <w:tcW w:w="4540" w:type="dxa"/>
            <w:tcBorders>
              <w:top w:val="nil"/>
              <w:left w:val="nil"/>
              <w:bottom w:val="single" w:color="000000" w:sz="8" w:space="0"/>
              <w:right w:val="single" w:color="000000" w:sz="8" w:space="0"/>
            </w:tcBorders>
            <w:vAlign w:val="center"/>
          </w:tcPr>
          <w:p w14:paraId="03CBDBA3">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《多联式空调（热泵）机组能效限定值及能源效率等级》（GB21454）</w:t>
            </w:r>
          </w:p>
        </w:tc>
      </w:tr>
      <w:tr w14:paraId="488D337E">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097773DD">
            <w:pPr>
              <w:widowControl/>
              <w:jc w:val="left"/>
              <w:rPr>
                <w:rFonts w:ascii="仿宋" w:hAnsi="仿宋" w:eastAsia="仿宋" w:cs="仿宋"/>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57C8AD57">
            <w:pPr>
              <w:widowControl/>
              <w:jc w:val="left"/>
              <w:rPr>
                <w:rFonts w:ascii="仿宋" w:hAnsi="仿宋" w:eastAsia="仿宋" w:cs="仿宋"/>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7EB008C1">
            <w:pPr>
              <w:widowControl/>
              <w:jc w:val="left"/>
              <w:rPr>
                <w:rFonts w:ascii="仿宋" w:hAnsi="仿宋" w:eastAsia="仿宋" w:cs="仿宋"/>
                <w:color w:val="auto"/>
                <w:kern w:val="0"/>
                <w:sz w:val="20"/>
                <w:szCs w:val="20"/>
              </w:rPr>
            </w:pPr>
          </w:p>
        </w:tc>
        <w:tc>
          <w:tcPr>
            <w:tcW w:w="1620" w:type="dxa"/>
            <w:tcBorders>
              <w:top w:val="nil"/>
              <w:left w:val="nil"/>
              <w:bottom w:val="single" w:color="000000" w:sz="8" w:space="0"/>
              <w:right w:val="single" w:color="000000" w:sz="8" w:space="0"/>
            </w:tcBorders>
            <w:vAlign w:val="center"/>
          </w:tcPr>
          <w:p w14:paraId="291A4B51">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单元式空气调节机(制冷量&gt;14000W</w:t>
            </w:r>
          </w:p>
        </w:tc>
        <w:tc>
          <w:tcPr>
            <w:tcW w:w="4540" w:type="dxa"/>
            <w:tcBorders>
              <w:top w:val="nil"/>
              <w:left w:val="nil"/>
              <w:bottom w:val="single" w:color="000000" w:sz="8" w:space="0"/>
              <w:right w:val="single" w:color="000000" w:sz="8" w:space="0"/>
            </w:tcBorders>
            <w:vAlign w:val="center"/>
          </w:tcPr>
          <w:p w14:paraId="7A5D1544">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《单元式空气调节机能效限定值及能效等级》（GB19576）《风管送风式空调机组能效限定值及能效等级》（GB37479）</w:t>
            </w:r>
          </w:p>
        </w:tc>
      </w:tr>
      <w:tr w14:paraId="3AC3E305">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74FF0359">
            <w:pPr>
              <w:widowControl/>
              <w:jc w:val="left"/>
              <w:rPr>
                <w:rFonts w:ascii="仿宋" w:hAnsi="仿宋" w:eastAsia="仿宋" w:cs="仿宋"/>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203FC167">
            <w:pPr>
              <w:widowControl/>
              <w:jc w:val="left"/>
              <w:rPr>
                <w:rFonts w:ascii="仿宋" w:hAnsi="仿宋" w:eastAsia="仿宋" w:cs="仿宋"/>
                <w:color w:val="auto"/>
                <w:kern w:val="0"/>
                <w:sz w:val="20"/>
                <w:szCs w:val="20"/>
              </w:rPr>
            </w:pPr>
          </w:p>
        </w:tc>
        <w:tc>
          <w:tcPr>
            <w:tcW w:w="1320" w:type="dxa"/>
            <w:tcBorders>
              <w:top w:val="nil"/>
              <w:left w:val="nil"/>
              <w:bottom w:val="single" w:color="000000" w:sz="8" w:space="0"/>
              <w:right w:val="single" w:color="000000" w:sz="8" w:space="0"/>
            </w:tcBorders>
            <w:vAlign w:val="center"/>
          </w:tcPr>
          <w:p w14:paraId="0555B89B">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★A02052309专用制冷、空调设备</w:t>
            </w:r>
          </w:p>
        </w:tc>
        <w:tc>
          <w:tcPr>
            <w:tcW w:w="1620" w:type="dxa"/>
            <w:tcBorders>
              <w:top w:val="nil"/>
              <w:left w:val="nil"/>
              <w:bottom w:val="single" w:color="000000" w:sz="8" w:space="0"/>
              <w:right w:val="single" w:color="000000" w:sz="8" w:space="0"/>
            </w:tcBorders>
            <w:vAlign w:val="center"/>
          </w:tcPr>
          <w:p w14:paraId="78B4DB29">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机房空调</w:t>
            </w:r>
          </w:p>
        </w:tc>
        <w:tc>
          <w:tcPr>
            <w:tcW w:w="4540" w:type="dxa"/>
            <w:tcBorders>
              <w:top w:val="nil"/>
              <w:left w:val="nil"/>
              <w:bottom w:val="single" w:color="000000" w:sz="8" w:space="0"/>
              <w:right w:val="single" w:color="000000" w:sz="8" w:space="0"/>
            </w:tcBorders>
            <w:vAlign w:val="center"/>
          </w:tcPr>
          <w:p w14:paraId="6CCCD171">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《单元式空气调节机能效限定值及能效等级》（GB19576）</w:t>
            </w:r>
          </w:p>
        </w:tc>
      </w:tr>
      <w:tr w14:paraId="4F43B634">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582FB970">
            <w:pPr>
              <w:widowControl/>
              <w:jc w:val="left"/>
              <w:rPr>
                <w:rFonts w:ascii="仿宋" w:hAnsi="仿宋" w:eastAsia="仿宋" w:cs="仿宋"/>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4C8A982C">
            <w:pPr>
              <w:widowControl/>
              <w:jc w:val="left"/>
              <w:rPr>
                <w:rFonts w:ascii="仿宋" w:hAnsi="仿宋" w:eastAsia="仿宋" w:cs="仿宋"/>
                <w:color w:val="auto"/>
                <w:kern w:val="0"/>
                <w:sz w:val="20"/>
                <w:szCs w:val="20"/>
              </w:rPr>
            </w:pPr>
          </w:p>
        </w:tc>
        <w:tc>
          <w:tcPr>
            <w:tcW w:w="1320" w:type="dxa"/>
            <w:tcBorders>
              <w:top w:val="nil"/>
              <w:left w:val="nil"/>
              <w:bottom w:val="single" w:color="000000" w:sz="8" w:space="0"/>
              <w:right w:val="single" w:color="000000" w:sz="8" w:space="0"/>
            </w:tcBorders>
            <w:vAlign w:val="center"/>
          </w:tcPr>
          <w:p w14:paraId="2941FF3C">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A02052399其他制冷空调设备</w:t>
            </w:r>
          </w:p>
        </w:tc>
        <w:tc>
          <w:tcPr>
            <w:tcW w:w="1620" w:type="dxa"/>
            <w:tcBorders>
              <w:top w:val="nil"/>
              <w:left w:val="nil"/>
              <w:bottom w:val="single" w:color="000000" w:sz="8" w:space="0"/>
              <w:right w:val="single" w:color="000000" w:sz="8" w:space="0"/>
            </w:tcBorders>
            <w:vAlign w:val="center"/>
          </w:tcPr>
          <w:p w14:paraId="5F6A864E">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冷却塔</w:t>
            </w:r>
          </w:p>
        </w:tc>
        <w:tc>
          <w:tcPr>
            <w:tcW w:w="4540" w:type="dxa"/>
            <w:tcBorders>
              <w:top w:val="nil"/>
              <w:left w:val="nil"/>
              <w:bottom w:val="single" w:color="000000" w:sz="8" w:space="0"/>
              <w:right w:val="single" w:color="000000" w:sz="8" w:space="0"/>
            </w:tcBorders>
            <w:vAlign w:val="center"/>
          </w:tcPr>
          <w:p w14:paraId="05ACD53A">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《机械通风冷却塔第1部分：中小型开式冷却塔》（GB/T7190.1）；《机械通风冷却塔第2部分：大型开式冷却塔》（GB/T7190.2）</w:t>
            </w:r>
          </w:p>
        </w:tc>
      </w:tr>
      <w:tr w14:paraId="60904CD3">
        <w:tblPrEx>
          <w:tblCellMar>
            <w:top w:w="0" w:type="dxa"/>
            <w:left w:w="108" w:type="dxa"/>
            <w:bottom w:w="0" w:type="dxa"/>
            <w:right w:w="108" w:type="dxa"/>
          </w:tblCellMar>
        </w:tblPrEx>
        <w:trPr>
          <w:trHeight w:val="495" w:hRule="atLeast"/>
        </w:trPr>
        <w:tc>
          <w:tcPr>
            <w:tcW w:w="660" w:type="dxa"/>
            <w:tcBorders>
              <w:top w:val="single" w:color="000000" w:sz="8" w:space="0"/>
              <w:left w:val="single" w:color="000000" w:sz="8" w:space="0"/>
              <w:bottom w:val="single" w:color="000000" w:sz="8" w:space="0"/>
              <w:right w:val="single" w:color="000000" w:sz="8" w:space="0"/>
            </w:tcBorders>
            <w:vAlign w:val="center"/>
          </w:tcPr>
          <w:p w14:paraId="2D657A63">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7</w:t>
            </w:r>
          </w:p>
        </w:tc>
        <w:tc>
          <w:tcPr>
            <w:tcW w:w="1080" w:type="dxa"/>
            <w:tcBorders>
              <w:top w:val="single" w:color="000000" w:sz="8" w:space="0"/>
              <w:left w:val="single" w:color="000000" w:sz="8" w:space="0"/>
              <w:bottom w:val="single" w:color="000000" w:sz="8" w:space="0"/>
              <w:right w:val="single" w:color="000000" w:sz="8" w:space="0"/>
            </w:tcBorders>
            <w:vAlign w:val="center"/>
          </w:tcPr>
          <w:p w14:paraId="76574D1F">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A020601电机</w:t>
            </w:r>
          </w:p>
        </w:tc>
        <w:tc>
          <w:tcPr>
            <w:tcW w:w="1320" w:type="dxa"/>
            <w:tcBorders>
              <w:top w:val="single" w:color="000000" w:sz="8" w:space="0"/>
              <w:left w:val="single" w:color="000000" w:sz="8" w:space="0"/>
              <w:bottom w:val="single" w:color="000000" w:sz="8" w:space="0"/>
              <w:right w:val="single" w:color="000000" w:sz="8" w:space="0"/>
            </w:tcBorders>
            <w:vAlign w:val="center"/>
          </w:tcPr>
          <w:p w14:paraId="76A9B02D">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1620" w:type="dxa"/>
            <w:tcBorders>
              <w:top w:val="single" w:color="000000" w:sz="8" w:space="0"/>
              <w:left w:val="single" w:color="000000" w:sz="8" w:space="0"/>
              <w:bottom w:val="single" w:color="000000" w:sz="8" w:space="0"/>
              <w:right w:val="single" w:color="000000" w:sz="8" w:space="0"/>
            </w:tcBorders>
            <w:vAlign w:val="center"/>
          </w:tcPr>
          <w:p w14:paraId="6FD5DF9C">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4540" w:type="dxa"/>
            <w:tcBorders>
              <w:top w:val="single" w:color="000000" w:sz="8" w:space="0"/>
              <w:left w:val="single" w:color="000000" w:sz="8" w:space="0"/>
              <w:bottom w:val="single" w:color="000000" w:sz="8" w:space="0"/>
              <w:right w:val="single" w:color="000000" w:sz="8" w:space="0"/>
            </w:tcBorders>
            <w:vAlign w:val="center"/>
          </w:tcPr>
          <w:p w14:paraId="68B01589">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《中小型三相异步电动机能效限定值及能效等级》（GB18613）</w:t>
            </w:r>
          </w:p>
        </w:tc>
      </w:tr>
      <w:tr w14:paraId="71B7EE70">
        <w:tblPrEx>
          <w:tblCellMar>
            <w:top w:w="0" w:type="dxa"/>
            <w:left w:w="108" w:type="dxa"/>
            <w:bottom w:w="0" w:type="dxa"/>
            <w:right w:w="108" w:type="dxa"/>
          </w:tblCellMar>
        </w:tblPrEx>
        <w:trPr>
          <w:trHeight w:val="495" w:hRule="atLeast"/>
        </w:trPr>
        <w:tc>
          <w:tcPr>
            <w:tcW w:w="660" w:type="dxa"/>
            <w:tcBorders>
              <w:top w:val="single" w:color="000000" w:sz="8" w:space="0"/>
              <w:left w:val="single" w:color="000000" w:sz="8" w:space="0"/>
              <w:bottom w:val="single" w:color="000000" w:sz="8" w:space="0"/>
              <w:right w:val="single" w:color="000000" w:sz="8" w:space="0"/>
            </w:tcBorders>
            <w:vAlign w:val="center"/>
          </w:tcPr>
          <w:p w14:paraId="421C9AFA">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8</w:t>
            </w:r>
          </w:p>
        </w:tc>
        <w:tc>
          <w:tcPr>
            <w:tcW w:w="1080" w:type="dxa"/>
            <w:tcBorders>
              <w:top w:val="single" w:color="000000" w:sz="8" w:space="0"/>
              <w:left w:val="nil"/>
              <w:bottom w:val="single" w:color="000000" w:sz="8" w:space="0"/>
              <w:right w:val="single" w:color="000000" w:sz="8" w:space="0"/>
            </w:tcBorders>
            <w:vAlign w:val="center"/>
          </w:tcPr>
          <w:p w14:paraId="2E347528">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A020602变压器</w:t>
            </w:r>
          </w:p>
        </w:tc>
        <w:tc>
          <w:tcPr>
            <w:tcW w:w="1320" w:type="dxa"/>
            <w:tcBorders>
              <w:top w:val="single" w:color="000000" w:sz="8" w:space="0"/>
              <w:left w:val="nil"/>
              <w:bottom w:val="single" w:color="000000" w:sz="8" w:space="0"/>
              <w:right w:val="single" w:color="000000" w:sz="8" w:space="0"/>
            </w:tcBorders>
            <w:vAlign w:val="center"/>
          </w:tcPr>
          <w:p w14:paraId="0C13281D">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配电变压器</w:t>
            </w:r>
          </w:p>
        </w:tc>
        <w:tc>
          <w:tcPr>
            <w:tcW w:w="1620" w:type="dxa"/>
            <w:tcBorders>
              <w:top w:val="single" w:color="000000" w:sz="8" w:space="0"/>
              <w:left w:val="nil"/>
              <w:bottom w:val="single" w:color="000000" w:sz="8" w:space="0"/>
              <w:right w:val="single" w:color="000000" w:sz="8" w:space="0"/>
            </w:tcBorders>
            <w:vAlign w:val="center"/>
          </w:tcPr>
          <w:p w14:paraId="0D100EC1">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4540" w:type="dxa"/>
            <w:tcBorders>
              <w:top w:val="single" w:color="000000" w:sz="8" w:space="0"/>
              <w:left w:val="nil"/>
              <w:bottom w:val="single" w:color="000000" w:sz="8" w:space="0"/>
              <w:right w:val="single" w:color="000000" w:sz="8" w:space="0"/>
            </w:tcBorders>
            <w:vAlign w:val="center"/>
          </w:tcPr>
          <w:p w14:paraId="5652DAC5">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《三相配电变压器能效限定值及能效等级》（GB20052）</w:t>
            </w:r>
          </w:p>
        </w:tc>
      </w:tr>
      <w:tr w14:paraId="46CE10EE">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473B76F8">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9</w:t>
            </w:r>
          </w:p>
        </w:tc>
        <w:tc>
          <w:tcPr>
            <w:tcW w:w="1080" w:type="dxa"/>
            <w:tcBorders>
              <w:top w:val="nil"/>
              <w:left w:val="nil"/>
              <w:bottom w:val="single" w:color="000000" w:sz="8" w:space="0"/>
              <w:right w:val="single" w:color="000000" w:sz="8" w:space="0"/>
            </w:tcBorders>
            <w:vAlign w:val="center"/>
          </w:tcPr>
          <w:p w14:paraId="0513623E">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★A020609镇流器</w:t>
            </w:r>
          </w:p>
        </w:tc>
        <w:tc>
          <w:tcPr>
            <w:tcW w:w="1320" w:type="dxa"/>
            <w:tcBorders>
              <w:top w:val="nil"/>
              <w:left w:val="nil"/>
              <w:bottom w:val="single" w:color="000000" w:sz="8" w:space="0"/>
              <w:right w:val="single" w:color="000000" w:sz="8" w:space="0"/>
            </w:tcBorders>
            <w:vAlign w:val="center"/>
          </w:tcPr>
          <w:p w14:paraId="04D321DA">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管型荧光灯镇流器</w:t>
            </w:r>
          </w:p>
        </w:tc>
        <w:tc>
          <w:tcPr>
            <w:tcW w:w="1620" w:type="dxa"/>
            <w:tcBorders>
              <w:top w:val="nil"/>
              <w:left w:val="nil"/>
              <w:bottom w:val="single" w:color="000000" w:sz="8" w:space="0"/>
              <w:right w:val="single" w:color="000000" w:sz="8" w:space="0"/>
            </w:tcBorders>
            <w:vAlign w:val="center"/>
          </w:tcPr>
          <w:p w14:paraId="2255A2EC">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4540" w:type="dxa"/>
            <w:tcBorders>
              <w:top w:val="nil"/>
              <w:left w:val="nil"/>
              <w:bottom w:val="single" w:color="000000" w:sz="8" w:space="0"/>
              <w:right w:val="single" w:color="000000" w:sz="8" w:space="0"/>
            </w:tcBorders>
            <w:vAlign w:val="center"/>
          </w:tcPr>
          <w:p w14:paraId="3E593D66">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《管形荧光灯镇流器能效限定值及能效等级》（GB17896）</w:t>
            </w:r>
          </w:p>
        </w:tc>
      </w:tr>
      <w:tr w14:paraId="3B8BB518">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33AA7FA5">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10</w:t>
            </w:r>
          </w:p>
        </w:tc>
        <w:tc>
          <w:tcPr>
            <w:tcW w:w="1080" w:type="dxa"/>
            <w:vMerge w:val="restart"/>
            <w:tcBorders>
              <w:top w:val="nil"/>
              <w:left w:val="single" w:color="000000" w:sz="8" w:space="0"/>
              <w:bottom w:val="single" w:color="000000" w:sz="8" w:space="0"/>
              <w:right w:val="single" w:color="000000" w:sz="8" w:space="0"/>
            </w:tcBorders>
            <w:vAlign w:val="center"/>
          </w:tcPr>
          <w:p w14:paraId="431AC707">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A020618生活用电器</w:t>
            </w:r>
          </w:p>
        </w:tc>
        <w:tc>
          <w:tcPr>
            <w:tcW w:w="1320" w:type="dxa"/>
            <w:tcBorders>
              <w:top w:val="nil"/>
              <w:left w:val="nil"/>
              <w:bottom w:val="single" w:color="000000" w:sz="8" w:space="0"/>
              <w:right w:val="single" w:color="000000" w:sz="8" w:space="0"/>
            </w:tcBorders>
            <w:vAlign w:val="center"/>
          </w:tcPr>
          <w:p w14:paraId="01378FB0">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A0206180101电冰箱</w:t>
            </w:r>
          </w:p>
        </w:tc>
        <w:tc>
          <w:tcPr>
            <w:tcW w:w="1620" w:type="dxa"/>
            <w:tcBorders>
              <w:top w:val="nil"/>
              <w:left w:val="nil"/>
              <w:bottom w:val="single" w:color="000000" w:sz="8" w:space="0"/>
              <w:right w:val="single" w:color="000000" w:sz="8" w:space="0"/>
            </w:tcBorders>
            <w:vAlign w:val="center"/>
          </w:tcPr>
          <w:p w14:paraId="46900EAE">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4540" w:type="dxa"/>
            <w:tcBorders>
              <w:top w:val="nil"/>
              <w:left w:val="nil"/>
              <w:bottom w:val="single" w:color="000000" w:sz="8" w:space="0"/>
              <w:right w:val="single" w:color="000000" w:sz="8" w:space="0"/>
            </w:tcBorders>
            <w:vAlign w:val="center"/>
          </w:tcPr>
          <w:p w14:paraId="6642E7C8">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《家用电冰箱耗电量限定值及能效等级》（GB 12021.2）</w:t>
            </w:r>
          </w:p>
        </w:tc>
      </w:tr>
      <w:tr w14:paraId="065FBE3E">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vAlign w:val="center"/>
          </w:tcPr>
          <w:p w14:paraId="4CC05B6F">
            <w:pPr>
              <w:widowControl/>
              <w:jc w:val="left"/>
              <w:rPr>
                <w:rFonts w:ascii="仿宋" w:hAnsi="仿宋" w:eastAsia="仿宋" w:cs="仿宋"/>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496F6643">
            <w:pPr>
              <w:widowControl/>
              <w:jc w:val="left"/>
              <w:rPr>
                <w:rFonts w:ascii="仿宋" w:hAnsi="仿宋" w:eastAsia="仿宋" w:cs="仿宋"/>
                <w:color w:val="auto"/>
                <w:kern w:val="0"/>
                <w:sz w:val="20"/>
                <w:szCs w:val="20"/>
              </w:rPr>
            </w:pPr>
          </w:p>
        </w:tc>
        <w:tc>
          <w:tcPr>
            <w:tcW w:w="1320" w:type="dxa"/>
            <w:vMerge w:val="restart"/>
            <w:tcBorders>
              <w:top w:val="nil"/>
              <w:left w:val="single" w:color="000000" w:sz="8" w:space="0"/>
              <w:bottom w:val="single" w:color="000000" w:sz="8" w:space="0"/>
              <w:right w:val="single" w:color="000000" w:sz="8" w:space="0"/>
            </w:tcBorders>
            <w:vAlign w:val="center"/>
          </w:tcPr>
          <w:p w14:paraId="4F696928">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★A0206180203空调机</w:t>
            </w:r>
          </w:p>
        </w:tc>
        <w:tc>
          <w:tcPr>
            <w:tcW w:w="1620" w:type="dxa"/>
            <w:tcBorders>
              <w:top w:val="nil"/>
              <w:left w:val="nil"/>
              <w:bottom w:val="single" w:color="000000" w:sz="8" w:space="0"/>
              <w:right w:val="single" w:color="000000" w:sz="8" w:space="0"/>
            </w:tcBorders>
            <w:vAlign w:val="center"/>
          </w:tcPr>
          <w:p w14:paraId="03055D64">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房间空气调节器</w:t>
            </w:r>
          </w:p>
        </w:tc>
        <w:tc>
          <w:tcPr>
            <w:tcW w:w="4540" w:type="dxa"/>
            <w:tcBorders>
              <w:top w:val="nil"/>
              <w:left w:val="nil"/>
              <w:bottom w:val="single" w:color="000000" w:sz="8" w:space="0"/>
              <w:right w:val="single" w:color="000000" w:sz="8" w:space="0"/>
            </w:tcBorders>
            <w:vAlign w:val="center"/>
          </w:tcPr>
          <w:p w14:paraId="3C72DBB8">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《转速可控型房间空气调节器能效限定值及能效等级》（GB21455-2013），待2019年修订发布后，按《房间空气调节器能效限定值及能效等级》（GB21455-2019实施。</w:t>
            </w:r>
          </w:p>
        </w:tc>
      </w:tr>
      <w:tr w14:paraId="66253AA1">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511CFEC6">
            <w:pPr>
              <w:widowControl/>
              <w:jc w:val="left"/>
              <w:rPr>
                <w:rFonts w:ascii="仿宋" w:hAnsi="仿宋" w:eastAsia="仿宋" w:cs="仿宋"/>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013E0F35">
            <w:pPr>
              <w:widowControl/>
              <w:jc w:val="left"/>
              <w:rPr>
                <w:rFonts w:ascii="仿宋" w:hAnsi="仿宋" w:eastAsia="仿宋" w:cs="仿宋"/>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09E8F876">
            <w:pPr>
              <w:widowControl/>
              <w:jc w:val="left"/>
              <w:rPr>
                <w:rFonts w:ascii="仿宋" w:hAnsi="仿宋" w:eastAsia="仿宋" w:cs="仿宋"/>
                <w:color w:val="auto"/>
                <w:kern w:val="0"/>
                <w:sz w:val="20"/>
                <w:szCs w:val="20"/>
              </w:rPr>
            </w:pPr>
          </w:p>
        </w:tc>
        <w:tc>
          <w:tcPr>
            <w:tcW w:w="1620" w:type="dxa"/>
            <w:tcBorders>
              <w:top w:val="nil"/>
              <w:left w:val="nil"/>
              <w:bottom w:val="single" w:color="000000" w:sz="8" w:space="0"/>
              <w:right w:val="single" w:color="000000" w:sz="8" w:space="0"/>
            </w:tcBorders>
            <w:vAlign w:val="center"/>
          </w:tcPr>
          <w:p w14:paraId="4229E3EB">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多联式空调（热泵）机组（制冷量≤ 14000W）</w:t>
            </w:r>
          </w:p>
        </w:tc>
        <w:tc>
          <w:tcPr>
            <w:tcW w:w="4540" w:type="dxa"/>
            <w:tcBorders>
              <w:top w:val="nil"/>
              <w:left w:val="nil"/>
              <w:bottom w:val="single" w:color="000000" w:sz="8" w:space="0"/>
              <w:right w:val="single" w:color="000000" w:sz="8" w:space="0"/>
            </w:tcBorders>
            <w:vAlign w:val="center"/>
          </w:tcPr>
          <w:p w14:paraId="0B10C81E">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《多联式空调（热泵）机组能效限定值及能源效率等级》（GB21454）</w:t>
            </w:r>
          </w:p>
        </w:tc>
      </w:tr>
      <w:tr w14:paraId="0792ED91">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51E60113">
            <w:pPr>
              <w:widowControl/>
              <w:jc w:val="left"/>
              <w:rPr>
                <w:rFonts w:ascii="仿宋" w:hAnsi="仿宋" w:eastAsia="仿宋" w:cs="仿宋"/>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59FADCB0">
            <w:pPr>
              <w:widowControl/>
              <w:jc w:val="left"/>
              <w:rPr>
                <w:rFonts w:ascii="仿宋" w:hAnsi="仿宋" w:eastAsia="仿宋" w:cs="仿宋"/>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37B55AFF">
            <w:pPr>
              <w:widowControl/>
              <w:jc w:val="left"/>
              <w:rPr>
                <w:rFonts w:ascii="仿宋" w:hAnsi="仿宋" w:eastAsia="仿宋" w:cs="仿宋"/>
                <w:color w:val="auto"/>
                <w:kern w:val="0"/>
                <w:sz w:val="20"/>
                <w:szCs w:val="20"/>
              </w:rPr>
            </w:pPr>
          </w:p>
        </w:tc>
        <w:tc>
          <w:tcPr>
            <w:tcW w:w="1620" w:type="dxa"/>
            <w:tcBorders>
              <w:top w:val="nil"/>
              <w:left w:val="nil"/>
              <w:bottom w:val="single" w:color="000000" w:sz="8" w:space="0"/>
              <w:right w:val="single" w:color="000000" w:sz="8" w:space="0"/>
            </w:tcBorders>
            <w:vAlign w:val="center"/>
          </w:tcPr>
          <w:p w14:paraId="7EA4E5EA">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单元式空气调节机(制冷量≤14000W)</w:t>
            </w:r>
          </w:p>
        </w:tc>
        <w:tc>
          <w:tcPr>
            <w:tcW w:w="4540" w:type="dxa"/>
            <w:tcBorders>
              <w:top w:val="nil"/>
              <w:left w:val="nil"/>
              <w:bottom w:val="single" w:color="000000" w:sz="8" w:space="0"/>
              <w:right w:val="single" w:color="000000" w:sz="8" w:space="0"/>
            </w:tcBorders>
            <w:vAlign w:val="center"/>
          </w:tcPr>
          <w:p w14:paraId="496120F5">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《单元式空气调节机能效限定值及能源效率等级》（GB19576）《风管送风式空调机组能效限定值及能效等级》（GB37479）</w:t>
            </w:r>
          </w:p>
        </w:tc>
      </w:tr>
      <w:tr w14:paraId="22077508">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61890525">
            <w:pPr>
              <w:widowControl/>
              <w:jc w:val="left"/>
              <w:rPr>
                <w:rFonts w:ascii="仿宋" w:hAnsi="仿宋" w:eastAsia="仿宋" w:cs="仿宋"/>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33DD3681">
            <w:pPr>
              <w:widowControl/>
              <w:jc w:val="left"/>
              <w:rPr>
                <w:rFonts w:ascii="仿宋" w:hAnsi="仿宋" w:eastAsia="仿宋" w:cs="仿宋"/>
                <w:color w:val="auto"/>
                <w:kern w:val="0"/>
                <w:sz w:val="20"/>
                <w:szCs w:val="20"/>
              </w:rPr>
            </w:pPr>
          </w:p>
        </w:tc>
        <w:tc>
          <w:tcPr>
            <w:tcW w:w="1320" w:type="dxa"/>
            <w:tcBorders>
              <w:top w:val="nil"/>
              <w:left w:val="nil"/>
              <w:bottom w:val="single" w:color="000000" w:sz="8" w:space="0"/>
              <w:right w:val="single" w:color="000000" w:sz="8" w:space="0"/>
            </w:tcBorders>
            <w:vAlign w:val="center"/>
          </w:tcPr>
          <w:p w14:paraId="04AB80AE">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A0206180301洗衣机</w:t>
            </w:r>
          </w:p>
        </w:tc>
        <w:tc>
          <w:tcPr>
            <w:tcW w:w="1620" w:type="dxa"/>
            <w:tcBorders>
              <w:top w:val="nil"/>
              <w:left w:val="nil"/>
              <w:bottom w:val="single" w:color="000000" w:sz="8" w:space="0"/>
              <w:right w:val="single" w:color="000000" w:sz="8" w:space="0"/>
            </w:tcBorders>
            <w:vAlign w:val="center"/>
          </w:tcPr>
          <w:p w14:paraId="070FC154">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4540" w:type="dxa"/>
            <w:tcBorders>
              <w:top w:val="nil"/>
              <w:left w:val="nil"/>
              <w:bottom w:val="single" w:color="000000" w:sz="8" w:space="0"/>
              <w:right w:val="single" w:color="000000" w:sz="8" w:space="0"/>
            </w:tcBorders>
            <w:vAlign w:val="center"/>
          </w:tcPr>
          <w:p w14:paraId="15887925">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《电动洗衣机能效水效限定值及等级》（GB12021.4）</w:t>
            </w:r>
          </w:p>
        </w:tc>
      </w:tr>
      <w:tr w14:paraId="5F752491">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21DFB0D2">
            <w:pPr>
              <w:widowControl/>
              <w:jc w:val="left"/>
              <w:rPr>
                <w:rFonts w:ascii="仿宋" w:hAnsi="仿宋" w:eastAsia="仿宋" w:cs="仿宋"/>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670EEE7C">
            <w:pPr>
              <w:widowControl/>
              <w:jc w:val="left"/>
              <w:rPr>
                <w:rFonts w:ascii="仿宋" w:hAnsi="仿宋" w:eastAsia="仿宋" w:cs="仿宋"/>
                <w:color w:val="auto"/>
                <w:kern w:val="0"/>
                <w:sz w:val="20"/>
                <w:szCs w:val="20"/>
              </w:rPr>
            </w:pPr>
          </w:p>
        </w:tc>
        <w:tc>
          <w:tcPr>
            <w:tcW w:w="1320" w:type="dxa"/>
            <w:vMerge w:val="restart"/>
            <w:tcBorders>
              <w:top w:val="nil"/>
              <w:left w:val="single" w:color="000000" w:sz="8" w:space="0"/>
              <w:bottom w:val="single" w:color="000000" w:sz="8" w:space="0"/>
              <w:right w:val="single" w:color="000000" w:sz="8" w:space="0"/>
            </w:tcBorders>
            <w:vAlign w:val="center"/>
          </w:tcPr>
          <w:p w14:paraId="6B1AE160">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A02061808热水器</w:t>
            </w:r>
          </w:p>
        </w:tc>
        <w:tc>
          <w:tcPr>
            <w:tcW w:w="1620" w:type="dxa"/>
            <w:tcBorders>
              <w:top w:val="nil"/>
              <w:left w:val="nil"/>
              <w:bottom w:val="single" w:color="000000" w:sz="8" w:space="0"/>
              <w:right w:val="single" w:color="000000" w:sz="8" w:space="0"/>
            </w:tcBorders>
            <w:vAlign w:val="center"/>
          </w:tcPr>
          <w:p w14:paraId="1A1BA332">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★电热水器</w:t>
            </w:r>
          </w:p>
        </w:tc>
        <w:tc>
          <w:tcPr>
            <w:tcW w:w="4540" w:type="dxa"/>
            <w:tcBorders>
              <w:top w:val="nil"/>
              <w:left w:val="nil"/>
              <w:bottom w:val="single" w:color="000000" w:sz="8" w:space="0"/>
              <w:right w:val="single" w:color="000000" w:sz="8" w:space="0"/>
            </w:tcBorders>
            <w:vAlign w:val="center"/>
          </w:tcPr>
          <w:p w14:paraId="716E6BEC">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《储水式电热水器能效限定值及能效等级》（GB21519）</w:t>
            </w:r>
          </w:p>
        </w:tc>
      </w:tr>
      <w:tr w14:paraId="4E99424C">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57DBFA66">
            <w:pPr>
              <w:widowControl/>
              <w:jc w:val="left"/>
              <w:rPr>
                <w:rFonts w:ascii="仿宋" w:hAnsi="仿宋" w:eastAsia="仿宋" w:cs="仿宋"/>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21AAC0EA">
            <w:pPr>
              <w:widowControl/>
              <w:jc w:val="left"/>
              <w:rPr>
                <w:rFonts w:ascii="仿宋" w:hAnsi="仿宋" w:eastAsia="仿宋" w:cs="仿宋"/>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7C8ADEA3">
            <w:pPr>
              <w:widowControl/>
              <w:jc w:val="left"/>
              <w:rPr>
                <w:rFonts w:ascii="仿宋" w:hAnsi="仿宋" w:eastAsia="仿宋" w:cs="仿宋"/>
                <w:color w:val="auto"/>
                <w:kern w:val="0"/>
                <w:sz w:val="20"/>
                <w:szCs w:val="20"/>
              </w:rPr>
            </w:pPr>
          </w:p>
        </w:tc>
        <w:tc>
          <w:tcPr>
            <w:tcW w:w="1620" w:type="dxa"/>
            <w:tcBorders>
              <w:top w:val="nil"/>
              <w:left w:val="nil"/>
              <w:bottom w:val="single" w:color="000000" w:sz="8" w:space="0"/>
              <w:right w:val="single" w:color="000000" w:sz="8" w:space="0"/>
            </w:tcBorders>
            <w:vAlign w:val="center"/>
          </w:tcPr>
          <w:p w14:paraId="3DECBEA3">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燃气热水器</w:t>
            </w:r>
          </w:p>
        </w:tc>
        <w:tc>
          <w:tcPr>
            <w:tcW w:w="4540" w:type="dxa"/>
            <w:tcBorders>
              <w:top w:val="nil"/>
              <w:left w:val="nil"/>
              <w:bottom w:val="single" w:color="000000" w:sz="8" w:space="0"/>
              <w:right w:val="single" w:color="000000" w:sz="8" w:space="0"/>
            </w:tcBorders>
            <w:vAlign w:val="center"/>
          </w:tcPr>
          <w:p w14:paraId="1262AB3C">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《家用燃气快速热水器和燃气采暖热水炉能效限定值及能效等级》（GB20665）</w:t>
            </w:r>
          </w:p>
        </w:tc>
      </w:tr>
      <w:tr w14:paraId="2AE78DD7">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4FC847DC">
            <w:pPr>
              <w:widowControl/>
              <w:jc w:val="left"/>
              <w:rPr>
                <w:rFonts w:ascii="仿宋" w:hAnsi="仿宋" w:eastAsia="仿宋" w:cs="仿宋"/>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15CD3A36">
            <w:pPr>
              <w:widowControl/>
              <w:jc w:val="left"/>
              <w:rPr>
                <w:rFonts w:ascii="仿宋" w:hAnsi="仿宋" w:eastAsia="仿宋" w:cs="仿宋"/>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4B45E14A">
            <w:pPr>
              <w:widowControl/>
              <w:jc w:val="left"/>
              <w:rPr>
                <w:rFonts w:ascii="仿宋" w:hAnsi="仿宋" w:eastAsia="仿宋" w:cs="仿宋"/>
                <w:color w:val="auto"/>
                <w:kern w:val="0"/>
                <w:sz w:val="20"/>
                <w:szCs w:val="20"/>
              </w:rPr>
            </w:pPr>
          </w:p>
        </w:tc>
        <w:tc>
          <w:tcPr>
            <w:tcW w:w="1620" w:type="dxa"/>
            <w:tcBorders>
              <w:top w:val="nil"/>
              <w:left w:val="nil"/>
              <w:bottom w:val="single" w:color="000000" w:sz="8" w:space="0"/>
              <w:right w:val="single" w:color="000000" w:sz="8" w:space="0"/>
            </w:tcBorders>
            <w:vAlign w:val="center"/>
          </w:tcPr>
          <w:p w14:paraId="5F61597C">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热泵热水器</w:t>
            </w:r>
          </w:p>
        </w:tc>
        <w:tc>
          <w:tcPr>
            <w:tcW w:w="4540" w:type="dxa"/>
            <w:tcBorders>
              <w:top w:val="nil"/>
              <w:left w:val="nil"/>
              <w:bottom w:val="single" w:color="000000" w:sz="8" w:space="0"/>
              <w:right w:val="single" w:color="000000" w:sz="8" w:space="0"/>
            </w:tcBorders>
            <w:vAlign w:val="center"/>
          </w:tcPr>
          <w:p w14:paraId="17A14AEC">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《热泵热水机（器）能效限定值及能效等级》（GB29541）</w:t>
            </w:r>
          </w:p>
        </w:tc>
      </w:tr>
      <w:tr w14:paraId="4286E6B0">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20F69EE5">
            <w:pPr>
              <w:widowControl/>
              <w:jc w:val="left"/>
              <w:rPr>
                <w:rFonts w:ascii="仿宋" w:hAnsi="仿宋" w:eastAsia="仿宋" w:cs="仿宋"/>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6295B17B">
            <w:pPr>
              <w:widowControl/>
              <w:jc w:val="left"/>
              <w:rPr>
                <w:rFonts w:ascii="仿宋" w:hAnsi="仿宋" w:eastAsia="仿宋" w:cs="仿宋"/>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04FCDBE1">
            <w:pPr>
              <w:widowControl/>
              <w:jc w:val="left"/>
              <w:rPr>
                <w:rFonts w:ascii="仿宋" w:hAnsi="仿宋" w:eastAsia="仿宋" w:cs="仿宋"/>
                <w:color w:val="auto"/>
                <w:kern w:val="0"/>
                <w:sz w:val="20"/>
                <w:szCs w:val="20"/>
              </w:rPr>
            </w:pPr>
          </w:p>
        </w:tc>
        <w:tc>
          <w:tcPr>
            <w:tcW w:w="1620" w:type="dxa"/>
            <w:tcBorders>
              <w:top w:val="nil"/>
              <w:left w:val="nil"/>
              <w:bottom w:val="single" w:color="000000" w:sz="8" w:space="0"/>
              <w:right w:val="single" w:color="000000" w:sz="8" w:space="0"/>
            </w:tcBorders>
            <w:vAlign w:val="center"/>
          </w:tcPr>
          <w:p w14:paraId="49E6A438">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太阳能热水系统</w:t>
            </w:r>
          </w:p>
        </w:tc>
        <w:tc>
          <w:tcPr>
            <w:tcW w:w="4540" w:type="dxa"/>
            <w:tcBorders>
              <w:top w:val="nil"/>
              <w:left w:val="nil"/>
              <w:bottom w:val="single" w:color="000000" w:sz="8" w:space="0"/>
              <w:right w:val="single" w:color="000000" w:sz="8" w:space="0"/>
            </w:tcBorders>
            <w:vAlign w:val="center"/>
          </w:tcPr>
          <w:p w14:paraId="04DA761E">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《家用太阳能热水系统能效限定值及能效等级》（GB26969）</w:t>
            </w:r>
          </w:p>
        </w:tc>
      </w:tr>
      <w:tr w14:paraId="1EC295CC">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5C8D46CF">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11</w:t>
            </w:r>
          </w:p>
        </w:tc>
        <w:tc>
          <w:tcPr>
            <w:tcW w:w="1080" w:type="dxa"/>
            <w:vMerge w:val="restart"/>
            <w:tcBorders>
              <w:top w:val="nil"/>
              <w:left w:val="single" w:color="000000" w:sz="8" w:space="0"/>
              <w:bottom w:val="single" w:color="000000" w:sz="8" w:space="0"/>
              <w:right w:val="single" w:color="000000" w:sz="8" w:space="0"/>
            </w:tcBorders>
            <w:vAlign w:val="center"/>
          </w:tcPr>
          <w:p w14:paraId="01BBD53C">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A020619照明设备</w:t>
            </w:r>
          </w:p>
        </w:tc>
        <w:tc>
          <w:tcPr>
            <w:tcW w:w="1320" w:type="dxa"/>
            <w:tcBorders>
              <w:top w:val="nil"/>
              <w:left w:val="nil"/>
              <w:bottom w:val="single" w:color="000000" w:sz="8" w:space="0"/>
              <w:right w:val="single" w:color="000000" w:sz="8" w:space="0"/>
            </w:tcBorders>
            <w:vAlign w:val="center"/>
          </w:tcPr>
          <w:p w14:paraId="2B18A02C">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★普通照明用双端荧光灯</w:t>
            </w:r>
          </w:p>
        </w:tc>
        <w:tc>
          <w:tcPr>
            <w:tcW w:w="1620" w:type="dxa"/>
            <w:tcBorders>
              <w:top w:val="nil"/>
              <w:left w:val="nil"/>
              <w:bottom w:val="single" w:color="000000" w:sz="8" w:space="0"/>
              <w:right w:val="single" w:color="000000" w:sz="8" w:space="0"/>
            </w:tcBorders>
            <w:vAlign w:val="center"/>
          </w:tcPr>
          <w:p w14:paraId="19A0F1BB">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4540" w:type="dxa"/>
            <w:tcBorders>
              <w:top w:val="nil"/>
              <w:left w:val="nil"/>
              <w:bottom w:val="single" w:color="000000" w:sz="8" w:space="0"/>
              <w:right w:val="single" w:color="000000" w:sz="8" w:space="0"/>
            </w:tcBorders>
            <w:vAlign w:val="center"/>
          </w:tcPr>
          <w:p w14:paraId="444C0327">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《普通照明用双端荧光灯能效限定值及能效等级》（GB19043）</w:t>
            </w:r>
          </w:p>
        </w:tc>
      </w:tr>
      <w:tr w14:paraId="0747BBE9">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18F30153">
            <w:pPr>
              <w:widowControl/>
              <w:jc w:val="left"/>
              <w:rPr>
                <w:rFonts w:ascii="仿宋" w:hAnsi="仿宋" w:eastAsia="仿宋" w:cs="仿宋"/>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1797D78E">
            <w:pPr>
              <w:widowControl/>
              <w:jc w:val="left"/>
              <w:rPr>
                <w:rFonts w:ascii="仿宋" w:hAnsi="仿宋" w:eastAsia="仿宋" w:cs="仿宋"/>
                <w:color w:val="auto"/>
                <w:kern w:val="0"/>
                <w:sz w:val="20"/>
                <w:szCs w:val="20"/>
              </w:rPr>
            </w:pPr>
          </w:p>
        </w:tc>
        <w:tc>
          <w:tcPr>
            <w:tcW w:w="1320" w:type="dxa"/>
            <w:tcBorders>
              <w:top w:val="nil"/>
              <w:left w:val="nil"/>
              <w:bottom w:val="single" w:color="000000" w:sz="8" w:space="0"/>
              <w:right w:val="single" w:color="000000" w:sz="8" w:space="0"/>
            </w:tcBorders>
            <w:vAlign w:val="center"/>
          </w:tcPr>
          <w:p w14:paraId="69B00501">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LED道路/隧道照明产品</w:t>
            </w:r>
          </w:p>
        </w:tc>
        <w:tc>
          <w:tcPr>
            <w:tcW w:w="1620" w:type="dxa"/>
            <w:tcBorders>
              <w:top w:val="nil"/>
              <w:left w:val="nil"/>
              <w:bottom w:val="single" w:color="000000" w:sz="8" w:space="0"/>
              <w:right w:val="single" w:color="000000" w:sz="8" w:space="0"/>
            </w:tcBorders>
            <w:vAlign w:val="center"/>
          </w:tcPr>
          <w:p w14:paraId="3BCB6A01">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4540" w:type="dxa"/>
            <w:tcBorders>
              <w:top w:val="nil"/>
              <w:left w:val="nil"/>
              <w:bottom w:val="single" w:color="000000" w:sz="8" w:space="0"/>
              <w:right w:val="single" w:color="000000" w:sz="8" w:space="0"/>
            </w:tcBorders>
            <w:vAlign w:val="center"/>
          </w:tcPr>
          <w:p w14:paraId="11D64506">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《道路和隧道照明用LED灯具能效限定值及能效等级》（GB37478）</w:t>
            </w:r>
          </w:p>
        </w:tc>
      </w:tr>
      <w:tr w14:paraId="41E4E0FE">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40679BCB">
            <w:pPr>
              <w:widowControl/>
              <w:jc w:val="left"/>
              <w:rPr>
                <w:rFonts w:ascii="仿宋" w:hAnsi="仿宋" w:eastAsia="仿宋" w:cs="仿宋"/>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7B22F5FA">
            <w:pPr>
              <w:widowControl/>
              <w:jc w:val="left"/>
              <w:rPr>
                <w:rFonts w:ascii="仿宋" w:hAnsi="仿宋" w:eastAsia="仿宋" w:cs="仿宋"/>
                <w:color w:val="auto"/>
                <w:kern w:val="0"/>
                <w:sz w:val="20"/>
                <w:szCs w:val="20"/>
              </w:rPr>
            </w:pPr>
          </w:p>
        </w:tc>
        <w:tc>
          <w:tcPr>
            <w:tcW w:w="1320" w:type="dxa"/>
            <w:tcBorders>
              <w:top w:val="nil"/>
              <w:left w:val="nil"/>
              <w:bottom w:val="single" w:color="000000" w:sz="8" w:space="0"/>
              <w:right w:val="single" w:color="000000" w:sz="8" w:space="0"/>
            </w:tcBorders>
            <w:vAlign w:val="center"/>
          </w:tcPr>
          <w:p w14:paraId="77E04688">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LED筒灯</w:t>
            </w:r>
          </w:p>
        </w:tc>
        <w:tc>
          <w:tcPr>
            <w:tcW w:w="1620" w:type="dxa"/>
            <w:tcBorders>
              <w:top w:val="nil"/>
              <w:left w:val="nil"/>
              <w:bottom w:val="single" w:color="000000" w:sz="8" w:space="0"/>
              <w:right w:val="single" w:color="000000" w:sz="8" w:space="0"/>
            </w:tcBorders>
            <w:vAlign w:val="center"/>
          </w:tcPr>
          <w:p w14:paraId="13278C88">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4540" w:type="dxa"/>
            <w:tcBorders>
              <w:top w:val="nil"/>
              <w:left w:val="nil"/>
              <w:bottom w:val="single" w:color="000000" w:sz="8" w:space="0"/>
              <w:right w:val="single" w:color="000000" w:sz="8" w:space="0"/>
            </w:tcBorders>
            <w:vAlign w:val="center"/>
          </w:tcPr>
          <w:p w14:paraId="4FDAB5A6">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《室内照明用LED产品能效限定值及能效等级》（GB30255）</w:t>
            </w:r>
          </w:p>
        </w:tc>
      </w:tr>
      <w:tr w14:paraId="7947FE84">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06B83ABA">
            <w:pPr>
              <w:widowControl/>
              <w:jc w:val="left"/>
              <w:rPr>
                <w:rFonts w:ascii="仿宋" w:hAnsi="仿宋" w:eastAsia="仿宋" w:cs="仿宋"/>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39369433">
            <w:pPr>
              <w:widowControl/>
              <w:jc w:val="left"/>
              <w:rPr>
                <w:rFonts w:ascii="仿宋" w:hAnsi="仿宋" w:eastAsia="仿宋" w:cs="仿宋"/>
                <w:color w:val="auto"/>
                <w:kern w:val="0"/>
                <w:sz w:val="20"/>
                <w:szCs w:val="20"/>
              </w:rPr>
            </w:pPr>
          </w:p>
        </w:tc>
        <w:tc>
          <w:tcPr>
            <w:tcW w:w="1320" w:type="dxa"/>
            <w:tcBorders>
              <w:top w:val="nil"/>
              <w:left w:val="nil"/>
              <w:bottom w:val="single" w:color="000000" w:sz="8" w:space="0"/>
              <w:right w:val="single" w:color="000000" w:sz="8" w:space="0"/>
            </w:tcBorders>
            <w:vAlign w:val="center"/>
          </w:tcPr>
          <w:p w14:paraId="45F32957">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普通照明用非定向自镇流LED灯</w:t>
            </w:r>
          </w:p>
        </w:tc>
        <w:tc>
          <w:tcPr>
            <w:tcW w:w="1620" w:type="dxa"/>
            <w:tcBorders>
              <w:top w:val="nil"/>
              <w:left w:val="nil"/>
              <w:bottom w:val="single" w:color="000000" w:sz="8" w:space="0"/>
              <w:right w:val="single" w:color="000000" w:sz="8" w:space="0"/>
            </w:tcBorders>
            <w:vAlign w:val="center"/>
          </w:tcPr>
          <w:p w14:paraId="2E5532EF">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4540" w:type="dxa"/>
            <w:tcBorders>
              <w:top w:val="nil"/>
              <w:left w:val="nil"/>
              <w:bottom w:val="single" w:color="000000" w:sz="8" w:space="0"/>
              <w:right w:val="single" w:color="000000" w:sz="8" w:space="0"/>
            </w:tcBorders>
            <w:vAlign w:val="center"/>
          </w:tcPr>
          <w:p w14:paraId="7930987B">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《室内照明用LED产品能效限定值及能效等级》（GB30255）</w:t>
            </w:r>
          </w:p>
        </w:tc>
      </w:tr>
      <w:tr w14:paraId="45BD4C1A">
        <w:tblPrEx>
          <w:tblCellMar>
            <w:top w:w="0" w:type="dxa"/>
            <w:left w:w="108" w:type="dxa"/>
            <w:bottom w:w="0" w:type="dxa"/>
            <w:right w:w="108" w:type="dxa"/>
          </w:tblCellMar>
        </w:tblPrEx>
        <w:trPr>
          <w:trHeight w:val="735" w:hRule="atLeast"/>
        </w:trPr>
        <w:tc>
          <w:tcPr>
            <w:tcW w:w="660" w:type="dxa"/>
            <w:tcBorders>
              <w:top w:val="nil"/>
              <w:left w:val="single" w:color="000000" w:sz="8" w:space="0"/>
              <w:bottom w:val="single" w:color="000000" w:sz="8" w:space="0"/>
              <w:right w:val="single" w:color="000000" w:sz="8" w:space="0"/>
            </w:tcBorders>
            <w:vAlign w:val="center"/>
          </w:tcPr>
          <w:p w14:paraId="20DCC83A">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12</w:t>
            </w:r>
          </w:p>
        </w:tc>
        <w:tc>
          <w:tcPr>
            <w:tcW w:w="1080" w:type="dxa"/>
            <w:tcBorders>
              <w:top w:val="nil"/>
              <w:left w:val="nil"/>
              <w:bottom w:val="single" w:color="000000" w:sz="8" w:space="0"/>
              <w:right w:val="single" w:color="000000" w:sz="8" w:space="0"/>
            </w:tcBorders>
            <w:vAlign w:val="center"/>
          </w:tcPr>
          <w:p w14:paraId="3B03E8A9">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★A020910电视设备</w:t>
            </w:r>
          </w:p>
        </w:tc>
        <w:tc>
          <w:tcPr>
            <w:tcW w:w="1320" w:type="dxa"/>
            <w:tcBorders>
              <w:top w:val="nil"/>
              <w:left w:val="nil"/>
              <w:bottom w:val="single" w:color="000000" w:sz="8" w:space="0"/>
              <w:right w:val="single" w:color="000000" w:sz="8" w:space="0"/>
            </w:tcBorders>
            <w:vAlign w:val="center"/>
          </w:tcPr>
          <w:p w14:paraId="34ED571A">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A02091001普通电视设备（电视机）</w:t>
            </w:r>
          </w:p>
        </w:tc>
        <w:tc>
          <w:tcPr>
            <w:tcW w:w="1620" w:type="dxa"/>
            <w:tcBorders>
              <w:top w:val="nil"/>
              <w:left w:val="nil"/>
              <w:bottom w:val="single" w:color="000000" w:sz="8" w:space="0"/>
              <w:right w:val="single" w:color="000000" w:sz="8" w:space="0"/>
            </w:tcBorders>
            <w:vAlign w:val="center"/>
          </w:tcPr>
          <w:p w14:paraId="175BA9D1">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4540" w:type="dxa"/>
            <w:tcBorders>
              <w:top w:val="nil"/>
              <w:left w:val="nil"/>
              <w:bottom w:val="single" w:color="000000" w:sz="8" w:space="0"/>
              <w:right w:val="single" w:color="000000" w:sz="8" w:space="0"/>
            </w:tcBorders>
            <w:vAlign w:val="center"/>
          </w:tcPr>
          <w:p w14:paraId="293A82A0">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《平板电视能效限定值及能效等级》（GB24850）</w:t>
            </w:r>
          </w:p>
        </w:tc>
      </w:tr>
      <w:tr w14:paraId="012D21D1">
        <w:tblPrEx>
          <w:tblCellMar>
            <w:top w:w="0" w:type="dxa"/>
            <w:left w:w="108" w:type="dxa"/>
            <w:bottom w:w="0" w:type="dxa"/>
            <w:right w:w="108" w:type="dxa"/>
          </w:tblCellMar>
        </w:tblPrEx>
        <w:trPr>
          <w:trHeight w:val="975" w:hRule="atLeast"/>
        </w:trPr>
        <w:tc>
          <w:tcPr>
            <w:tcW w:w="660" w:type="dxa"/>
            <w:tcBorders>
              <w:top w:val="nil"/>
              <w:left w:val="single" w:color="000000" w:sz="8" w:space="0"/>
              <w:bottom w:val="single" w:color="000000" w:sz="8" w:space="0"/>
              <w:right w:val="single" w:color="000000" w:sz="8" w:space="0"/>
            </w:tcBorders>
            <w:vAlign w:val="center"/>
          </w:tcPr>
          <w:p w14:paraId="4DEBCCA2">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13</w:t>
            </w:r>
          </w:p>
        </w:tc>
        <w:tc>
          <w:tcPr>
            <w:tcW w:w="1080" w:type="dxa"/>
            <w:tcBorders>
              <w:top w:val="nil"/>
              <w:left w:val="nil"/>
              <w:bottom w:val="single" w:color="000000" w:sz="8" w:space="0"/>
              <w:right w:val="single" w:color="000000" w:sz="8" w:space="0"/>
            </w:tcBorders>
            <w:vAlign w:val="center"/>
          </w:tcPr>
          <w:p w14:paraId="34DE705C">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★A020911视频设备</w:t>
            </w:r>
          </w:p>
        </w:tc>
        <w:tc>
          <w:tcPr>
            <w:tcW w:w="1320" w:type="dxa"/>
            <w:tcBorders>
              <w:top w:val="nil"/>
              <w:left w:val="nil"/>
              <w:bottom w:val="single" w:color="000000" w:sz="8" w:space="0"/>
              <w:right w:val="single" w:color="000000" w:sz="8" w:space="0"/>
            </w:tcBorders>
            <w:vAlign w:val="center"/>
          </w:tcPr>
          <w:p w14:paraId="43564DC6">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A02091107视频监控设备</w:t>
            </w:r>
          </w:p>
        </w:tc>
        <w:tc>
          <w:tcPr>
            <w:tcW w:w="1620" w:type="dxa"/>
            <w:tcBorders>
              <w:top w:val="nil"/>
              <w:left w:val="nil"/>
              <w:bottom w:val="single" w:color="000000" w:sz="8" w:space="0"/>
              <w:right w:val="single" w:color="000000" w:sz="8" w:space="0"/>
            </w:tcBorders>
            <w:vAlign w:val="center"/>
          </w:tcPr>
          <w:p w14:paraId="54D65F1B">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监视器</w:t>
            </w:r>
          </w:p>
        </w:tc>
        <w:tc>
          <w:tcPr>
            <w:tcW w:w="4540" w:type="dxa"/>
            <w:tcBorders>
              <w:top w:val="nil"/>
              <w:left w:val="nil"/>
              <w:bottom w:val="single" w:color="000000" w:sz="8" w:space="0"/>
              <w:right w:val="single" w:color="000000" w:sz="8" w:space="0"/>
            </w:tcBorders>
            <w:vAlign w:val="center"/>
          </w:tcPr>
          <w:p w14:paraId="2FD0713A">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以射频信号为主要信号输入的监视器应符合《平板电视能效限定值及能效等级》（GB24850），以数字信号为主要信号输入的监视器应符合《计算机显示器能效限定值及能效等级》（GB21520）</w:t>
            </w:r>
          </w:p>
        </w:tc>
      </w:tr>
      <w:tr w14:paraId="5B02037A">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68DA4FBA">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14</w:t>
            </w:r>
          </w:p>
        </w:tc>
        <w:tc>
          <w:tcPr>
            <w:tcW w:w="1080" w:type="dxa"/>
            <w:tcBorders>
              <w:top w:val="nil"/>
              <w:left w:val="nil"/>
              <w:bottom w:val="single" w:color="000000" w:sz="8" w:space="0"/>
              <w:right w:val="single" w:color="000000" w:sz="8" w:space="0"/>
            </w:tcBorders>
            <w:vAlign w:val="center"/>
          </w:tcPr>
          <w:p w14:paraId="680234FB">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A031210饮食炊事机械</w:t>
            </w:r>
          </w:p>
        </w:tc>
        <w:tc>
          <w:tcPr>
            <w:tcW w:w="1320" w:type="dxa"/>
            <w:tcBorders>
              <w:top w:val="nil"/>
              <w:left w:val="nil"/>
              <w:bottom w:val="single" w:color="000000" w:sz="8" w:space="0"/>
              <w:right w:val="single" w:color="000000" w:sz="8" w:space="0"/>
            </w:tcBorders>
            <w:vAlign w:val="center"/>
          </w:tcPr>
          <w:p w14:paraId="7DB546E3">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商用燃气灶具</w:t>
            </w:r>
          </w:p>
        </w:tc>
        <w:tc>
          <w:tcPr>
            <w:tcW w:w="1620" w:type="dxa"/>
            <w:tcBorders>
              <w:top w:val="nil"/>
              <w:left w:val="nil"/>
              <w:bottom w:val="single" w:color="000000" w:sz="8" w:space="0"/>
              <w:right w:val="single" w:color="000000" w:sz="8" w:space="0"/>
            </w:tcBorders>
            <w:vAlign w:val="center"/>
          </w:tcPr>
          <w:p w14:paraId="56E368FE">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4540" w:type="dxa"/>
            <w:tcBorders>
              <w:top w:val="nil"/>
              <w:left w:val="nil"/>
              <w:bottom w:val="single" w:color="000000" w:sz="8" w:space="0"/>
              <w:right w:val="single" w:color="000000" w:sz="8" w:space="0"/>
            </w:tcBorders>
            <w:vAlign w:val="center"/>
          </w:tcPr>
          <w:p w14:paraId="7D70BA53">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《商用燃气灶具能效限定值及能效等级》（GB30531）</w:t>
            </w:r>
          </w:p>
        </w:tc>
      </w:tr>
      <w:tr w14:paraId="3BA1938B">
        <w:tblPrEx>
          <w:tblCellMar>
            <w:top w:w="0" w:type="dxa"/>
            <w:left w:w="108" w:type="dxa"/>
            <w:bottom w:w="0" w:type="dxa"/>
            <w:right w:w="108" w:type="dxa"/>
          </w:tblCellMar>
        </w:tblPrEx>
        <w:trPr>
          <w:trHeight w:val="285" w:hRule="atLeast"/>
        </w:trPr>
        <w:tc>
          <w:tcPr>
            <w:tcW w:w="660" w:type="dxa"/>
            <w:vMerge w:val="restart"/>
            <w:tcBorders>
              <w:top w:val="nil"/>
              <w:left w:val="single" w:color="000000" w:sz="8" w:space="0"/>
              <w:bottom w:val="single" w:color="000000" w:sz="8" w:space="0"/>
              <w:right w:val="single" w:color="000000" w:sz="8" w:space="0"/>
            </w:tcBorders>
            <w:vAlign w:val="center"/>
          </w:tcPr>
          <w:p w14:paraId="61DAF833">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15</w:t>
            </w:r>
          </w:p>
        </w:tc>
        <w:tc>
          <w:tcPr>
            <w:tcW w:w="1080" w:type="dxa"/>
            <w:vMerge w:val="restart"/>
            <w:tcBorders>
              <w:top w:val="nil"/>
              <w:left w:val="single" w:color="000000" w:sz="8" w:space="0"/>
              <w:bottom w:val="single" w:color="000000" w:sz="8" w:space="0"/>
              <w:right w:val="single" w:color="000000" w:sz="8" w:space="0"/>
            </w:tcBorders>
            <w:vAlign w:val="center"/>
          </w:tcPr>
          <w:p w14:paraId="71AADDC3">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★A060805便器</w:t>
            </w:r>
          </w:p>
        </w:tc>
        <w:tc>
          <w:tcPr>
            <w:tcW w:w="1320" w:type="dxa"/>
            <w:tcBorders>
              <w:top w:val="nil"/>
              <w:left w:val="nil"/>
              <w:bottom w:val="single" w:color="000000" w:sz="8" w:space="0"/>
              <w:right w:val="single" w:color="000000" w:sz="8" w:space="0"/>
            </w:tcBorders>
            <w:vAlign w:val="center"/>
          </w:tcPr>
          <w:p w14:paraId="0D4C2104">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坐便器</w:t>
            </w:r>
          </w:p>
        </w:tc>
        <w:tc>
          <w:tcPr>
            <w:tcW w:w="1620" w:type="dxa"/>
            <w:tcBorders>
              <w:top w:val="nil"/>
              <w:left w:val="nil"/>
              <w:bottom w:val="single" w:color="000000" w:sz="8" w:space="0"/>
              <w:right w:val="single" w:color="000000" w:sz="8" w:space="0"/>
            </w:tcBorders>
            <w:vAlign w:val="center"/>
          </w:tcPr>
          <w:p w14:paraId="0EFFBD79">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4540" w:type="dxa"/>
            <w:tcBorders>
              <w:top w:val="nil"/>
              <w:left w:val="nil"/>
              <w:bottom w:val="single" w:color="000000" w:sz="8" w:space="0"/>
              <w:right w:val="single" w:color="000000" w:sz="8" w:space="0"/>
            </w:tcBorders>
            <w:vAlign w:val="center"/>
          </w:tcPr>
          <w:p w14:paraId="512A50BF">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《坐便器水效限定值及水效等级》（GB25502）</w:t>
            </w:r>
          </w:p>
        </w:tc>
      </w:tr>
      <w:tr w14:paraId="6125BB11">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45EEE55B">
            <w:pPr>
              <w:widowControl/>
              <w:jc w:val="left"/>
              <w:rPr>
                <w:rFonts w:ascii="仿宋" w:hAnsi="仿宋" w:eastAsia="仿宋" w:cs="仿宋"/>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3676E1A1">
            <w:pPr>
              <w:widowControl/>
              <w:jc w:val="left"/>
              <w:rPr>
                <w:rFonts w:ascii="仿宋" w:hAnsi="仿宋" w:eastAsia="仿宋" w:cs="仿宋"/>
                <w:color w:val="auto"/>
                <w:kern w:val="0"/>
                <w:sz w:val="20"/>
                <w:szCs w:val="20"/>
              </w:rPr>
            </w:pPr>
          </w:p>
        </w:tc>
        <w:tc>
          <w:tcPr>
            <w:tcW w:w="1320" w:type="dxa"/>
            <w:tcBorders>
              <w:top w:val="nil"/>
              <w:left w:val="nil"/>
              <w:bottom w:val="single" w:color="000000" w:sz="8" w:space="0"/>
              <w:right w:val="single" w:color="000000" w:sz="8" w:space="0"/>
            </w:tcBorders>
            <w:vAlign w:val="center"/>
          </w:tcPr>
          <w:p w14:paraId="2434D3D1">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蹲便器</w:t>
            </w:r>
          </w:p>
        </w:tc>
        <w:tc>
          <w:tcPr>
            <w:tcW w:w="1620" w:type="dxa"/>
            <w:tcBorders>
              <w:top w:val="nil"/>
              <w:left w:val="nil"/>
              <w:bottom w:val="single" w:color="000000" w:sz="8" w:space="0"/>
              <w:right w:val="single" w:color="000000" w:sz="8" w:space="0"/>
            </w:tcBorders>
            <w:vAlign w:val="center"/>
          </w:tcPr>
          <w:p w14:paraId="24BEBA39">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4540" w:type="dxa"/>
            <w:tcBorders>
              <w:top w:val="nil"/>
              <w:left w:val="nil"/>
              <w:bottom w:val="single" w:color="000000" w:sz="8" w:space="0"/>
              <w:right w:val="single" w:color="000000" w:sz="8" w:space="0"/>
            </w:tcBorders>
            <w:vAlign w:val="center"/>
          </w:tcPr>
          <w:p w14:paraId="3D9F0122">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《蹲便器用水效率限定值及用水效率等级》（GB30717）</w:t>
            </w:r>
          </w:p>
        </w:tc>
      </w:tr>
      <w:tr w14:paraId="7FD3EEBA">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6CBE6CEB">
            <w:pPr>
              <w:widowControl/>
              <w:jc w:val="left"/>
              <w:rPr>
                <w:rFonts w:ascii="仿宋" w:hAnsi="仿宋" w:eastAsia="仿宋" w:cs="仿宋"/>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12513A9A">
            <w:pPr>
              <w:widowControl/>
              <w:jc w:val="left"/>
              <w:rPr>
                <w:rFonts w:ascii="仿宋" w:hAnsi="仿宋" w:eastAsia="仿宋" w:cs="仿宋"/>
                <w:color w:val="auto"/>
                <w:kern w:val="0"/>
                <w:sz w:val="20"/>
                <w:szCs w:val="20"/>
              </w:rPr>
            </w:pPr>
          </w:p>
        </w:tc>
        <w:tc>
          <w:tcPr>
            <w:tcW w:w="1320" w:type="dxa"/>
            <w:tcBorders>
              <w:top w:val="nil"/>
              <w:left w:val="nil"/>
              <w:bottom w:val="single" w:color="000000" w:sz="8" w:space="0"/>
              <w:right w:val="single" w:color="000000" w:sz="8" w:space="0"/>
            </w:tcBorders>
            <w:vAlign w:val="center"/>
          </w:tcPr>
          <w:p w14:paraId="70262188">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小便器</w:t>
            </w:r>
          </w:p>
        </w:tc>
        <w:tc>
          <w:tcPr>
            <w:tcW w:w="1620" w:type="dxa"/>
            <w:tcBorders>
              <w:top w:val="nil"/>
              <w:left w:val="nil"/>
              <w:bottom w:val="single" w:color="000000" w:sz="8" w:space="0"/>
              <w:right w:val="single" w:color="000000" w:sz="8" w:space="0"/>
            </w:tcBorders>
            <w:vAlign w:val="center"/>
          </w:tcPr>
          <w:p w14:paraId="77D522EE">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4540" w:type="dxa"/>
            <w:tcBorders>
              <w:top w:val="nil"/>
              <w:left w:val="nil"/>
              <w:bottom w:val="single" w:color="000000" w:sz="8" w:space="0"/>
              <w:right w:val="single" w:color="000000" w:sz="8" w:space="0"/>
            </w:tcBorders>
            <w:vAlign w:val="center"/>
          </w:tcPr>
          <w:p w14:paraId="12030C3C">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《小便器用水效率限定值及用水效率等级》（GB28377）</w:t>
            </w:r>
          </w:p>
        </w:tc>
      </w:tr>
      <w:tr w14:paraId="233D37A0">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2DEC8D9E">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16</w:t>
            </w:r>
          </w:p>
        </w:tc>
        <w:tc>
          <w:tcPr>
            <w:tcW w:w="1080" w:type="dxa"/>
            <w:tcBorders>
              <w:top w:val="nil"/>
              <w:left w:val="nil"/>
              <w:bottom w:val="single" w:color="000000" w:sz="8" w:space="0"/>
              <w:right w:val="single" w:color="000000" w:sz="8" w:space="0"/>
            </w:tcBorders>
            <w:vAlign w:val="center"/>
          </w:tcPr>
          <w:p w14:paraId="2DC63B68">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★A060806水嘴</w:t>
            </w:r>
          </w:p>
        </w:tc>
        <w:tc>
          <w:tcPr>
            <w:tcW w:w="1320" w:type="dxa"/>
            <w:tcBorders>
              <w:top w:val="nil"/>
              <w:left w:val="nil"/>
              <w:bottom w:val="single" w:color="000000" w:sz="8" w:space="0"/>
              <w:right w:val="single" w:color="000000" w:sz="8" w:space="0"/>
            </w:tcBorders>
            <w:vAlign w:val="center"/>
          </w:tcPr>
          <w:p w14:paraId="3A1EA588">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1620" w:type="dxa"/>
            <w:tcBorders>
              <w:top w:val="nil"/>
              <w:left w:val="nil"/>
              <w:bottom w:val="single" w:color="000000" w:sz="8" w:space="0"/>
              <w:right w:val="single" w:color="000000" w:sz="8" w:space="0"/>
            </w:tcBorders>
            <w:vAlign w:val="center"/>
          </w:tcPr>
          <w:p w14:paraId="6872BC31">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4540" w:type="dxa"/>
            <w:tcBorders>
              <w:top w:val="nil"/>
              <w:left w:val="nil"/>
              <w:bottom w:val="single" w:color="000000" w:sz="8" w:space="0"/>
              <w:right w:val="single" w:color="000000" w:sz="8" w:space="0"/>
            </w:tcBorders>
            <w:vAlign w:val="center"/>
          </w:tcPr>
          <w:p w14:paraId="4BB32B6F">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《水嘴用水效率限定值及用水效率等级》（GB 25501）</w:t>
            </w:r>
          </w:p>
        </w:tc>
      </w:tr>
      <w:tr w14:paraId="61717C52">
        <w:tblPrEx>
          <w:tblCellMar>
            <w:top w:w="0" w:type="dxa"/>
            <w:left w:w="108" w:type="dxa"/>
            <w:bottom w:w="0" w:type="dxa"/>
            <w:right w:w="108" w:type="dxa"/>
          </w:tblCellMar>
        </w:tblPrEx>
        <w:trPr>
          <w:trHeight w:val="495" w:hRule="atLeast"/>
        </w:trPr>
        <w:tc>
          <w:tcPr>
            <w:tcW w:w="660" w:type="dxa"/>
            <w:tcBorders>
              <w:top w:val="single" w:color="000000" w:sz="8" w:space="0"/>
              <w:left w:val="single" w:color="000000" w:sz="8" w:space="0"/>
              <w:bottom w:val="single" w:color="000000" w:sz="8" w:space="0"/>
              <w:right w:val="single" w:color="000000" w:sz="8" w:space="0"/>
            </w:tcBorders>
            <w:vAlign w:val="center"/>
          </w:tcPr>
          <w:p w14:paraId="368B4231">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17</w:t>
            </w:r>
          </w:p>
        </w:tc>
        <w:tc>
          <w:tcPr>
            <w:tcW w:w="1080" w:type="dxa"/>
            <w:tcBorders>
              <w:top w:val="single" w:color="000000" w:sz="8" w:space="0"/>
              <w:left w:val="single" w:color="000000" w:sz="8" w:space="0"/>
              <w:bottom w:val="single" w:color="000000" w:sz="8" w:space="0"/>
              <w:right w:val="single" w:color="000000" w:sz="8" w:space="0"/>
            </w:tcBorders>
            <w:vAlign w:val="center"/>
          </w:tcPr>
          <w:p w14:paraId="3AF3A003">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A060807便器冲洗阀</w:t>
            </w:r>
          </w:p>
        </w:tc>
        <w:tc>
          <w:tcPr>
            <w:tcW w:w="1320" w:type="dxa"/>
            <w:tcBorders>
              <w:top w:val="single" w:color="000000" w:sz="8" w:space="0"/>
              <w:left w:val="single" w:color="000000" w:sz="8" w:space="0"/>
              <w:bottom w:val="single" w:color="000000" w:sz="8" w:space="0"/>
              <w:right w:val="single" w:color="000000" w:sz="8" w:space="0"/>
            </w:tcBorders>
            <w:vAlign w:val="center"/>
          </w:tcPr>
          <w:p w14:paraId="31BC2424">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1620" w:type="dxa"/>
            <w:tcBorders>
              <w:top w:val="single" w:color="000000" w:sz="8" w:space="0"/>
              <w:left w:val="single" w:color="000000" w:sz="8" w:space="0"/>
              <w:bottom w:val="single" w:color="000000" w:sz="8" w:space="0"/>
              <w:right w:val="single" w:color="000000" w:sz="8" w:space="0"/>
            </w:tcBorders>
            <w:vAlign w:val="center"/>
          </w:tcPr>
          <w:p w14:paraId="1B07DFE8">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4540" w:type="dxa"/>
            <w:tcBorders>
              <w:top w:val="single" w:color="000000" w:sz="8" w:space="0"/>
              <w:left w:val="single" w:color="000000" w:sz="8" w:space="0"/>
              <w:bottom w:val="single" w:color="000000" w:sz="8" w:space="0"/>
              <w:right w:val="single" w:color="000000" w:sz="8" w:space="0"/>
            </w:tcBorders>
            <w:vAlign w:val="center"/>
          </w:tcPr>
          <w:p w14:paraId="3FC80D83">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《便器冲洗阀用水效率限定值及用水效率等级》（GB28379）</w:t>
            </w:r>
          </w:p>
        </w:tc>
      </w:tr>
      <w:tr w14:paraId="422C3BE9">
        <w:tblPrEx>
          <w:tblCellMar>
            <w:top w:w="0" w:type="dxa"/>
            <w:left w:w="108" w:type="dxa"/>
            <w:bottom w:w="0" w:type="dxa"/>
            <w:right w:w="108" w:type="dxa"/>
          </w:tblCellMar>
        </w:tblPrEx>
        <w:trPr>
          <w:trHeight w:val="495" w:hRule="atLeast"/>
        </w:trPr>
        <w:tc>
          <w:tcPr>
            <w:tcW w:w="660" w:type="dxa"/>
            <w:tcBorders>
              <w:top w:val="single" w:color="000000" w:sz="8" w:space="0"/>
              <w:left w:val="single" w:color="000000" w:sz="8" w:space="0"/>
              <w:bottom w:val="single" w:color="000000" w:sz="8" w:space="0"/>
              <w:right w:val="single" w:color="000000" w:sz="8" w:space="0"/>
            </w:tcBorders>
            <w:vAlign w:val="center"/>
          </w:tcPr>
          <w:p w14:paraId="7A0C16CB">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18</w:t>
            </w:r>
          </w:p>
        </w:tc>
        <w:tc>
          <w:tcPr>
            <w:tcW w:w="1080" w:type="dxa"/>
            <w:tcBorders>
              <w:top w:val="single" w:color="000000" w:sz="8" w:space="0"/>
              <w:left w:val="nil"/>
              <w:bottom w:val="single" w:color="000000" w:sz="8" w:space="0"/>
              <w:right w:val="single" w:color="000000" w:sz="8" w:space="0"/>
            </w:tcBorders>
            <w:vAlign w:val="center"/>
          </w:tcPr>
          <w:p w14:paraId="75C7AD3C">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A060810淋浴器</w:t>
            </w:r>
          </w:p>
        </w:tc>
        <w:tc>
          <w:tcPr>
            <w:tcW w:w="1320" w:type="dxa"/>
            <w:tcBorders>
              <w:top w:val="single" w:color="000000" w:sz="8" w:space="0"/>
              <w:left w:val="nil"/>
              <w:bottom w:val="single" w:color="000000" w:sz="8" w:space="0"/>
              <w:right w:val="single" w:color="000000" w:sz="8" w:space="0"/>
            </w:tcBorders>
            <w:vAlign w:val="center"/>
          </w:tcPr>
          <w:p w14:paraId="59BE8198">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1620" w:type="dxa"/>
            <w:tcBorders>
              <w:top w:val="single" w:color="000000" w:sz="8" w:space="0"/>
              <w:left w:val="nil"/>
              <w:bottom w:val="single" w:color="000000" w:sz="8" w:space="0"/>
              <w:right w:val="single" w:color="000000" w:sz="8" w:space="0"/>
            </w:tcBorders>
            <w:vAlign w:val="center"/>
          </w:tcPr>
          <w:p w14:paraId="4CEE4CEB">
            <w:pPr>
              <w:widowControl/>
              <w:jc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4540" w:type="dxa"/>
            <w:tcBorders>
              <w:top w:val="single" w:color="000000" w:sz="8" w:space="0"/>
              <w:left w:val="nil"/>
              <w:bottom w:val="single" w:color="000000" w:sz="8" w:space="0"/>
              <w:right w:val="single" w:color="000000" w:sz="8" w:space="0"/>
            </w:tcBorders>
            <w:vAlign w:val="center"/>
          </w:tcPr>
          <w:p w14:paraId="3BBFCDE2">
            <w:pPr>
              <w:widowControl/>
              <w:jc w:val="left"/>
              <w:rPr>
                <w:rFonts w:ascii="仿宋" w:hAnsi="仿宋" w:eastAsia="仿宋" w:cs="仿宋"/>
                <w:color w:val="auto"/>
                <w:kern w:val="0"/>
                <w:sz w:val="20"/>
                <w:szCs w:val="20"/>
              </w:rPr>
            </w:pPr>
            <w:r>
              <w:rPr>
                <w:rFonts w:hint="eastAsia" w:ascii="仿宋" w:hAnsi="仿宋" w:eastAsia="仿宋" w:cs="仿宋"/>
                <w:color w:val="auto"/>
                <w:kern w:val="0"/>
                <w:sz w:val="20"/>
                <w:szCs w:val="20"/>
              </w:rPr>
              <w:t>《淋浴器用水效率限定值及用水效率等级》（GB28378）</w:t>
            </w:r>
          </w:p>
        </w:tc>
      </w:tr>
    </w:tbl>
    <w:p w14:paraId="20A5073E">
      <w:pPr>
        <w:pStyle w:val="19"/>
        <w:spacing w:line="360" w:lineRule="auto"/>
        <w:rPr>
          <w:rFonts w:ascii="仿宋" w:hAnsi="仿宋" w:eastAsia="仿宋" w:cs="仿宋"/>
          <w:color w:val="auto"/>
          <w:spacing w:val="-3"/>
          <w:szCs w:val="21"/>
        </w:rPr>
      </w:pPr>
    </w:p>
    <w:p w14:paraId="0A85CF66">
      <w:pPr>
        <w:pStyle w:val="19"/>
        <w:spacing w:line="360" w:lineRule="auto"/>
        <w:rPr>
          <w:rFonts w:ascii="仿宋" w:hAnsi="仿宋" w:eastAsia="仿宋" w:cs="仿宋"/>
          <w:color w:val="auto"/>
          <w:szCs w:val="21"/>
        </w:rPr>
      </w:pPr>
      <w:r>
        <w:rPr>
          <w:rFonts w:hint="eastAsia" w:ascii="仿宋" w:hAnsi="仿宋" w:eastAsia="仿宋" w:cs="仿宋"/>
          <w:color w:val="auto"/>
          <w:spacing w:val="-3"/>
          <w:szCs w:val="21"/>
        </w:rPr>
        <w:t>注：1.节能产品认证应依据相关国家标准的最新版本，依据国家标准中二级能效（水效）</w:t>
      </w:r>
      <w:r>
        <w:rPr>
          <w:rFonts w:hint="eastAsia" w:ascii="仿宋" w:hAnsi="仿宋" w:eastAsia="仿宋" w:cs="仿宋"/>
          <w:color w:val="auto"/>
          <w:szCs w:val="21"/>
        </w:rPr>
        <w:t>指标。</w:t>
      </w:r>
    </w:p>
    <w:p w14:paraId="4BADFA88">
      <w:pPr>
        <w:pStyle w:val="19"/>
        <w:spacing w:line="360" w:lineRule="auto"/>
        <w:rPr>
          <w:rFonts w:ascii="仿宋" w:hAnsi="仿宋" w:eastAsia="仿宋" w:cs="仿宋"/>
          <w:b/>
          <w:bCs/>
          <w:color w:val="auto"/>
          <w:szCs w:val="21"/>
        </w:rPr>
      </w:pPr>
      <w:r>
        <w:rPr>
          <w:rFonts w:hint="eastAsia" w:ascii="仿宋" w:hAnsi="仿宋" w:eastAsia="仿宋" w:cs="仿宋"/>
          <w:color w:val="auto"/>
          <w:szCs w:val="21"/>
        </w:rPr>
        <w:t xml:space="preserve">    2</w:t>
      </w:r>
      <w:r>
        <w:rPr>
          <w:rFonts w:hint="eastAsia" w:ascii="仿宋" w:hAnsi="仿宋" w:eastAsia="仿宋" w:cs="仿宋"/>
          <w:b/>
          <w:bCs/>
          <w:color w:val="auto"/>
          <w:szCs w:val="21"/>
        </w:rPr>
        <w:t>.以“★”标注的为政府强制采购产品。</w:t>
      </w:r>
    </w:p>
    <w:p w14:paraId="6866D94F">
      <w:pPr>
        <w:pStyle w:val="19"/>
        <w:spacing w:line="360" w:lineRule="auto"/>
        <w:rPr>
          <w:rFonts w:ascii="仿宋" w:hAnsi="仿宋" w:eastAsia="仿宋" w:cs="仿宋"/>
          <w:color w:val="auto"/>
          <w:szCs w:val="21"/>
        </w:rPr>
      </w:pPr>
    </w:p>
    <w:p w14:paraId="08EF26DC">
      <w:pPr>
        <w:widowControl/>
        <w:jc w:val="left"/>
        <w:rPr>
          <w:rFonts w:ascii="仿宋" w:hAnsi="仿宋" w:eastAsia="仿宋" w:cs="仿宋"/>
          <w:color w:val="auto"/>
          <w:sz w:val="20"/>
          <w:szCs w:val="20"/>
        </w:rPr>
      </w:pPr>
    </w:p>
    <w:p w14:paraId="163A91B0">
      <w:pPr>
        <w:rPr>
          <w:rFonts w:ascii="仿宋" w:hAnsi="仿宋" w:eastAsia="仿宋"/>
          <w:color w:val="auto"/>
        </w:rPr>
      </w:pPr>
      <w:r>
        <w:rPr>
          <w:rFonts w:hint="eastAsia" w:ascii="仿宋" w:hAnsi="仿宋" w:eastAsia="仿宋"/>
          <w:color w:val="auto"/>
        </w:rPr>
        <w:br w:type="page"/>
      </w:r>
    </w:p>
    <w:p w14:paraId="3AC9BFC7">
      <w:pPr>
        <w:pStyle w:val="3"/>
        <w:jc w:val="center"/>
        <w:rPr>
          <w:rFonts w:ascii="仿宋" w:hAnsi="仿宋" w:eastAsia="仿宋"/>
          <w:color w:val="auto"/>
        </w:rPr>
      </w:pPr>
      <w:r>
        <w:rPr>
          <w:rFonts w:hint="eastAsia" w:ascii="仿宋" w:hAnsi="仿宋" w:eastAsia="仿宋"/>
          <w:color w:val="auto"/>
        </w:rPr>
        <w:t>第三章  投标人须知</w:t>
      </w:r>
      <w:bookmarkEnd w:id="41"/>
    </w:p>
    <w:p w14:paraId="205885C0">
      <w:pPr>
        <w:jc w:val="center"/>
        <w:rPr>
          <w:rFonts w:ascii="仿宋" w:hAnsi="仿宋" w:eastAsia="仿宋"/>
          <w:color w:val="auto"/>
          <w:sz w:val="36"/>
          <w:szCs w:val="36"/>
        </w:rPr>
      </w:pPr>
      <w:bookmarkStart w:id="42" w:name="_Toc254970526"/>
      <w:bookmarkStart w:id="43" w:name="_Toc254970667"/>
      <w:r>
        <w:rPr>
          <w:rFonts w:hint="eastAsia" w:ascii="仿宋" w:hAnsi="仿宋" w:eastAsia="仿宋"/>
          <w:color w:val="auto"/>
          <w:sz w:val="36"/>
          <w:szCs w:val="36"/>
        </w:rPr>
        <w:t>投标人须知前附表</w:t>
      </w:r>
      <w:bookmarkEnd w:id="42"/>
      <w:bookmarkEnd w:id="43"/>
    </w:p>
    <w:p w14:paraId="7D111E9C">
      <w:pPr>
        <w:jc w:val="center"/>
        <w:rPr>
          <w:rFonts w:ascii="仿宋" w:hAnsi="仿宋" w:eastAsia="仿宋"/>
          <w:color w:val="auto"/>
          <w:sz w:val="36"/>
          <w:szCs w:val="36"/>
        </w:rPr>
      </w:pPr>
    </w:p>
    <w:tbl>
      <w:tblPr>
        <w:tblStyle w:val="47"/>
        <w:tblW w:w="96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708"/>
      </w:tblGrid>
      <w:tr w14:paraId="3199B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28D00118">
            <w:pPr>
              <w:snapToGrid w:val="0"/>
              <w:spacing w:line="400" w:lineRule="exact"/>
              <w:jc w:val="left"/>
              <w:rPr>
                <w:rFonts w:ascii="仿宋" w:hAnsi="仿宋" w:eastAsia="仿宋"/>
                <w:color w:val="auto"/>
                <w:szCs w:val="21"/>
              </w:rPr>
            </w:pPr>
            <w:r>
              <w:rPr>
                <w:rFonts w:hint="eastAsia" w:ascii="仿宋" w:hAnsi="仿宋" w:eastAsia="仿宋"/>
                <w:color w:val="auto"/>
                <w:szCs w:val="21"/>
              </w:rPr>
              <w:t>条款号</w:t>
            </w:r>
          </w:p>
        </w:tc>
        <w:tc>
          <w:tcPr>
            <w:tcW w:w="8708" w:type="dxa"/>
            <w:tcBorders>
              <w:top w:val="single" w:color="auto" w:sz="4" w:space="0"/>
              <w:left w:val="single" w:color="auto" w:sz="4" w:space="0"/>
              <w:bottom w:val="single" w:color="auto" w:sz="4" w:space="0"/>
              <w:right w:val="single" w:color="auto" w:sz="4" w:space="0"/>
            </w:tcBorders>
            <w:vAlign w:val="center"/>
          </w:tcPr>
          <w:p w14:paraId="35D9490D">
            <w:pPr>
              <w:snapToGrid w:val="0"/>
              <w:spacing w:line="400" w:lineRule="exact"/>
              <w:jc w:val="center"/>
              <w:rPr>
                <w:rFonts w:ascii="仿宋" w:hAnsi="仿宋" w:eastAsia="仿宋"/>
                <w:color w:val="auto"/>
                <w:szCs w:val="21"/>
              </w:rPr>
            </w:pPr>
            <w:r>
              <w:rPr>
                <w:rFonts w:hint="eastAsia" w:ascii="仿宋" w:hAnsi="仿宋" w:eastAsia="仿宋"/>
                <w:color w:val="auto"/>
                <w:szCs w:val="21"/>
              </w:rPr>
              <w:t>编列内容</w:t>
            </w:r>
          </w:p>
        </w:tc>
      </w:tr>
      <w:tr w14:paraId="5FD88E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3AD27F85">
            <w:pPr>
              <w:spacing w:line="400" w:lineRule="exact"/>
              <w:jc w:val="center"/>
              <w:rPr>
                <w:rFonts w:ascii="仿宋" w:hAnsi="仿宋" w:eastAsia="仿宋"/>
                <w:color w:val="auto"/>
                <w:szCs w:val="21"/>
              </w:rPr>
            </w:pPr>
            <w:r>
              <w:rPr>
                <w:rFonts w:hint="eastAsia" w:ascii="仿宋" w:hAnsi="仿宋" w:eastAsia="仿宋"/>
                <w:color w:val="auto"/>
                <w:szCs w:val="21"/>
              </w:rPr>
              <w:t>3</w:t>
            </w:r>
          </w:p>
        </w:tc>
        <w:tc>
          <w:tcPr>
            <w:tcW w:w="8708" w:type="dxa"/>
            <w:tcBorders>
              <w:top w:val="single" w:color="auto" w:sz="4" w:space="0"/>
              <w:left w:val="single" w:color="auto" w:sz="4" w:space="0"/>
              <w:bottom w:val="single" w:color="auto" w:sz="4" w:space="0"/>
              <w:right w:val="single" w:color="auto" w:sz="4" w:space="0"/>
            </w:tcBorders>
            <w:vAlign w:val="center"/>
          </w:tcPr>
          <w:p w14:paraId="3E3303F5">
            <w:pPr>
              <w:snapToGrid w:val="0"/>
              <w:spacing w:line="400" w:lineRule="exact"/>
              <w:jc w:val="left"/>
              <w:rPr>
                <w:rFonts w:ascii="仿宋" w:hAnsi="仿宋" w:eastAsia="仿宋"/>
                <w:color w:val="auto"/>
                <w:szCs w:val="21"/>
              </w:rPr>
            </w:pPr>
            <w:r>
              <w:rPr>
                <w:rFonts w:hint="eastAsia" w:ascii="仿宋" w:hAnsi="仿宋" w:eastAsia="仿宋"/>
                <w:color w:val="auto"/>
                <w:szCs w:val="21"/>
              </w:rPr>
              <w:t>投标人的资格要求：详见招标公告。</w:t>
            </w:r>
          </w:p>
        </w:tc>
      </w:tr>
      <w:tr w14:paraId="767FE5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682FEE0">
            <w:pPr>
              <w:spacing w:line="400" w:lineRule="exact"/>
              <w:jc w:val="center"/>
              <w:rPr>
                <w:rFonts w:ascii="仿宋" w:hAnsi="仿宋" w:eastAsia="仿宋"/>
                <w:color w:val="auto"/>
                <w:szCs w:val="21"/>
              </w:rPr>
            </w:pPr>
            <w:bookmarkStart w:id="44" w:name="_9.2"/>
            <w:bookmarkEnd w:id="44"/>
            <w:bookmarkStart w:id="45" w:name="_5"/>
            <w:bookmarkEnd w:id="45"/>
            <w:bookmarkStart w:id="46" w:name="_8.1"/>
            <w:bookmarkEnd w:id="46"/>
            <w:r>
              <w:rPr>
                <w:rFonts w:hint="eastAsia" w:ascii="仿宋" w:hAnsi="仿宋" w:eastAsia="仿宋"/>
                <w:color w:val="auto"/>
                <w:szCs w:val="21"/>
              </w:rPr>
              <w:t>6.1</w:t>
            </w:r>
          </w:p>
        </w:tc>
        <w:tc>
          <w:tcPr>
            <w:tcW w:w="8708" w:type="dxa"/>
            <w:tcBorders>
              <w:top w:val="single" w:color="auto" w:sz="4" w:space="0"/>
              <w:left w:val="single" w:color="auto" w:sz="4" w:space="0"/>
              <w:bottom w:val="single" w:color="auto" w:sz="4" w:space="0"/>
              <w:right w:val="single" w:color="auto" w:sz="4" w:space="0"/>
            </w:tcBorders>
            <w:vAlign w:val="center"/>
          </w:tcPr>
          <w:p w14:paraId="696063FF">
            <w:pPr>
              <w:pStyle w:val="17"/>
              <w:spacing w:line="400" w:lineRule="exact"/>
              <w:rPr>
                <w:rFonts w:ascii="仿宋" w:hAnsi="仿宋" w:eastAsia="仿宋"/>
                <w:color w:val="auto"/>
                <w:szCs w:val="21"/>
              </w:rPr>
            </w:pPr>
            <w:r>
              <w:rPr>
                <w:rFonts w:hint="eastAsia" w:ascii="仿宋" w:hAnsi="仿宋" w:eastAsia="仿宋"/>
                <w:color w:val="auto"/>
                <w:szCs w:val="21"/>
              </w:rPr>
              <w:t>本项目是否接受联合体投标：详见招标公告。</w:t>
            </w:r>
          </w:p>
        </w:tc>
      </w:tr>
      <w:tr w14:paraId="6CAA50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64D20BED">
            <w:pPr>
              <w:spacing w:line="400" w:lineRule="exact"/>
              <w:jc w:val="center"/>
              <w:rPr>
                <w:rFonts w:ascii="仿宋" w:hAnsi="仿宋" w:eastAsia="仿宋"/>
                <w:color w:val="auto"/>
                <w:szCs w:val="21"/>
              </w:rPr>
            </w:pPr>
            <w:r>
              <w:rPr>
                <w:rFonts w:ascii="仿宋" w:hAnsi="仿宋" w:eastAsia="仿宋"/>
                <w:color w:val="auto"/>
                <w:szCs w:val="21"/>
              </w:rPr>
              <w:t>6.2</w:t>
            </w:r>
          </w:p>
        </w:tc>
        <w:tc>
          <w:tcPr>
            <w:tcW w:w="8708" w:type="dxa"/>
            <w:tcBorders>
              <w:top w:val="single" w:color="auto" w:sz="4" w:space="0"/>
              <w:left w:val="single" w:color="auto" w:sz="4" w:space="0"/>
              <w:bottom w:val="single" w:color="auto" w:sz="4" w:space="0"/>
              <w:right w:val="single" w:color="auto" w:sz="4" w:space="0"/>
            </w:tcBorders>
            <w:vAlign w:val="center"/>
          </w:tcPr>
          <w:p w14:paraId="792A07F7">
            <w:pPr>
              <w:autoSpaceDE w:val="0"/>
              <w:autoSpaceDN w:val="0"/>
              <w:snapToGrid w:val="0"/>
              <w:spacing w:line="400" w:lineRule="exact"/>
              <w:textAlignment w:val="bottom"/>
              <w:rPr>
                <w:rFonts w:ascii="仿宋" w:hAnsi="仿宋" w:eastAsia="仿宋"/>
                <w:color w:val="auto"/>
                <w:szCs w:val="21"/>
              </w:rPr>
            </w:pPr>
            <w:bookmarkStart w:id="47" w:name="_Hlk54105293"/>
            <w:r>
              <w:rPr>
                <w:rFonts w:hint="eastAsia" w:ascii="仿宋" w:hAnsi="仿宋" w:eastAsia="仿宋"/>
                <w:color w:val="auto"/>
                <w:szCs w:val="21"/>
              </w:rPr>
              <w:t>如接受联合体投标，</w:t>
            </w:r>
            <w:bookmarkEnd w:id="47"/>
            <w:r>
              <w:rPr>
                <w:rFonts w:hint="eastAsia" w:ascii="仿宋" w:hAnsi="仿宋" w:eastAsia="仿宋"/>
                <w:color w:val="auto"/>
                <w:szCs w:val="21"/>
              </w:rPr>
              <w:t>联合体投标要求如下：</w:t>
            </w:r>
          </w:p>
          <w:p w14:paraId="0DF864A1">
            <w:pPr>
              <w:autoSpaceDE w:val="0"/>
              <w:autoSpaceDN w:val="0"/>
              <w:snapToGrid w:val="0"/>
              <w:spacing w:line="400" w:lineRule="exact"/>
              <w:textAlignment w:val="bottom"/>
              <w:rPr>
                <w:rFonts w:ascii="仿宋" w:hAnsi="仿宋" w:eastAsia="仿宋"/>
                <w:color w:val="auto"/>
                <w:szCs w:val="21"/>
              </w:rPr>
            </w:pPr>
            <w:r>
              <w:rPr>
                <w:rFonts w:hint="eastAsia" w:ascii="仿宋" w:hAnsi="仿宋" w:eastAsia="仿宋"/>
                <w:color w:val="auto"/>
                <w:szCs w:val="21"/>
              </w:rPr>
              <w:t>1、两个以上投标人可以组成一个投标联合体，以一个投标人的身份共同参加投标，联合体投标人的名称应统一按“XXX 公司与 XXX 公司的联合体”的规则填写。</w:t>
            </w:r>
            <w:r>
              <w:rPr>
                <w:rFonts w:hint="eastAsia" w:ascii="仿宋" w:hAnsi="仿宋" w:eastAsia="仿宋"/>
                <w:color w:val="auto"/>
                <w:szCs w:val="21"/>
              </w:rPr>
              <w:tab/>
            </w:r>
          </w:p>
          <w:p w14:paraId="74DD7DD3">
            <w:pPr>
              <w:autoSpaceDE w:val="0"/>
              <w:autoSpaceDN w:val="0"/>
              <w:snapToGrid w:val="0"/>
              <w:spacing w:line="400" w:lineRule="exact"/>
              <w:textAlignment w:val="bottom"/>
              <w:rPr>
                <w:rFonts w:ascii="仿宋" w:hAnsi="仿宋" w:eastAsia="仿宋"/>
                <w:color w:val="auto"/>
                <w:szCs w:val="21"/>
              </w:rPr>
            </w:pPr>
            <w:r>
              <w:rPr>
                <w:rFonts w:hint="eastAsia" w:ascii="仿宋" w:hAnsi="仿宋" w:eastAsia="仿宋"/>
                <w:color w:val="auto"/>
                <w:szCs w:val="21"/>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本项目招标公告“申请人的资格要求”第3点 “3、本项目的特定资格要求”的要求。</w:t>
            </w:r>
          </w:p>
          <w:p w14:paraId="3896DF64">
            <w:pPr>
              <w:autoSpaceDE w:val="0"/>
              <w:autoSpaceDN w:val="0"/>
              <w:snapToGrid w:val="0"/>
              <w:spacing w:line="400" w:lineRule="exact"/>
              <w:textAlignment w:val="bottom"/>
              <w:rPr>
                <w:rFonts w:ascii="仿宋" w:hAnsi="仿宋" w:eastAsia="仿宋"/>
                <w:color w:val="auto"/>
                <w:szCs w:val="21"/>
              </w:rPr>
            </w:pPr>
            <w:r>
              <w:rPr>
                <w:rFonts w:hint="eastAsia" w:ascii="仿宋" w:hAnsi="仿宋" w:eastAsia="仿宋"/>
                <w:color w:val="auto"/>
                <w:szCs w:val="21"/>
              </w:rPr>
              <w:t>3、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r>
              <w:rPr>
                <w:rFonts w:hint="eastAsia" w:ascii="仿宋" w:hAnsi="仿宋" w:eastAsia="仿宋"/>
                <w:color w:val="auto"/>
                <w:szCs w:val="21"/>
              </w:rPr>
              <w:tab/>
            </w:r>
          </w:p>
          <w:p w14:paraId="01709093">
            <w:pPr>
              <w:autoSpaceDE w:val="0"/>
              <w:autoSpaceDN w:val="0"/>
              <w:snapToGrid w:val="0"/>
              <w:spacing w:line="400" w:lineRule="exact"/>
              <w:textAlignment w:val="bottom"/>
              <w:rPr>
                <w:rFonts w:ascii="仿宋" w:hAnsi="仿宋" w:eastAsia="仿宋"/>
                <w:color w:val="auto"/>
                <w:szCs w:val="21"/>
              </w:rPr>
            </w:pPr>
            <w:r>
              <w:rPr>
                <w:rFonts w:hint="eastAsia" w:ascii="仿宋" w:hAnsi="仿宋" w:eastAsia="仿宋"/>
                <w:color w:val="auto"/>
                <w:szCs w:val="21"/>
              </w:rPr>
              <w:t>4、以联合体形式参加政府采购活动的，联合体各方不得再单独参加或者与其他投标人另外组成联合体参加同一合同项下的政府采购活动，否则与之相关的投标文件作废。</w:t>
            </w:r>
            <w:r>
              <w:rPr>
                <w:rFonts w:hint="eastAsia" w:ascii="仿宋" w:hAnsi="仿宋" w:eastAsia="仿宋"/>
                <w:color w:val="auto"/>
                <w:szCs w:val="21"/>
              </w:rPr>
              <w:tab/>
            </w:r>
            <w:r>
              <w:rPr>
                <w:rFonts w:hint="eastAsia" w:ascii="仿宋" w:hAnsi="仿宋" w:eastAsia="仿宋"/>
                <w:color w:val="auto"/>
                <w:szCs w:val="21"/>
              </w:rPr>
              <w:tab/>
            </w:r>
          </w:p>
          <w:p w14:paraId="48D07572">
            <w:pPr>
              <w:autoSpaceDE w:val="0"/>
              <w:autoSpaceDN w:val="0"/>
              <w:snapToGrid w:val="0"/>
              <w:spacing w:line="400" w:lineRule="exact"/>
              <w:textAlignment w:val="bottom"/>
              <w:rPr>
                <w:rFonts w:ascii="仿宋" w:hAnsi="仿宋" w:eastAsia="仿宋"/>
                <w:color w:val="auto"/>
                <w:szCs w:val="21"/>
              </w:rPr>
            </w:pPr>
            <w:r>
              <w:rPr>
                <w:rFonts w:hint="eastAsia" w:ascii="仿宋" w:hAnsi="仿宋" w:eastAsia="仿宋"/>
                <w:color w:val="auto"/>
                <w:szCs w:val="21"/>
              </w:rPr>
              <w:t>5、联合体中有同类资质的投标人按照联合体分工承担相同工作的，应当按照资质等级较低的投标人确定资质等级。</w:t>
            </w:r>
            <w:r>
              <w:rPr>
                <w:rFonts w:hint="eastAsia" w:ascii="仿宋" w:hAnsi="仿宋" w:eastAsia="仿宋"/>
                <w:color w:val="auto"/>
                <w:szCs w:val="21"/>
              </w:rPr>
              <w:tab/>
            </w:r>
            <w:r>
              <w:rPr>
                <w:rFonts w:hint="eastAsia" w:ascii="仿宋" w:hAnsi="仿宋" w:eastAsia="仿宋"/>
                <w:color w:val="auto"/>
                <w:szCs w:val="21"/>
              </w:rPr>
              <w:tab/>
            </w:r>
          </w:p>
          <w:p w14:paraId="490D4666">
            <w:pPr>
              <w:autoSpaceDE w:val="0"/>
              <w:autoSpaceDN w:val="0"/>
              <w:snapToGrid w:val="0"/>
              <w:spacing w:line="400" w:lineRule="exact"/>
              <w:textAlignment w:val="bottom"/>
              <w:rPr>
                <w:rFonts w:ascii="仿宋" w:hAnsi="仿宋" w:eastAsia="仿宋"/>
                <w:color w:val="auto"/>
                <w:szCs w:val="21"/>
              </w:rPr>
            </w:pPr>
            <w:r>
              <w:rPr>
                <w:rFonts w:hint="eastAsia" w:ascii="仿宋" w:hAnsi="仿宋" w:eastAsia="仿宋"/>
                <w:color w:val="auto"/>
                <w:szCs w:val="21"/>
              </w:rPr>
              <w:t>6、联合体投标业绩、履约能力按照联合体各方其中较高的一方认定并计算（招标文件另有规定的除外）。</w:t>
            </w:r>
            <w:r>
              <w:rPr>
                <w:rFonts w:hint="eastAsia" w:ascii="仿宋" w:hAnsi="仿宋" w:eastAsia="仿宋"/>
                <w:color w:val="auto"/>
                <w:szCs w:val="21"/>
              </w:rPr>
              <w:tab/>
            </w:r>
            <w:r>
              <w:rPr>
                <w:rFonts w:hint="eastAsia" w:ascii="仿宋" w:hAnsi="仿宋" w:eastAsia="仿宋"/>
                <w:color w:val="auto"/>
                <w:szCs w:val="21"/>
              </w:rPr>
              <w:tab/>
            </w:r>
            <w:r>
              <w:rPr>
                <w:rFonts w:hint="eastAsia" w:ascii="仿宋" w:hAnsi="仿宋" w:eastAsia="仿宋"/>
                <w:color w:val="auto"/>
                <w:szCs w:val="21"/>
              </w:rPr>
              <w:tab/>
            </w:r>
          </w:p>
          <w:p w14:paraId="10D0CFB1">
            <w:pPr>
              <w:autoSpaceDE w:val="0"/>
              <w:autoSpaceDN w:val="0"/>
              <w:snapToGrid w:val="0"/>
              <w:spacing w:line="400" w:lineRule="exact"/>
              <w:textAlignment w:val="bottom"/>
              <w:rPr>
                <w:rFonts w:ascii="仿宋" w:hAnsi="仿宋" w:eastAsia="仿宋"/>
                <w:color w:val="auto"/>
                <w:szCs w:val="21"/>
              </w:rPr>
            </w:pPr>
            <w:r>
              <w:rPr>
                <w:rFonts w:hint="eastAsia" w:ascii="仿宋" w:hAnsi="仿宋" w:eastAsia="仿宋"/>
                <w:color w:val="auto"/>
                <w:szCs w:val="21"/>
              </w:rPr>
              <w:t>7、联合体各方均应按照招标文件的规定提交资格证明文件。</w:t>
            </w:r>
          </w:p>
        </w:tc>
      </w:tr>
      <w:tr w14:paraId="030C6F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0CA69699">
            <w:pPr>
              <w:spacing w:line="400" w:lineRule="exact"/>
              <w:jc w:val="center"/>
              <w:rPr>
                <w:rFonts w:ascii="仿宋" w:hAnsi="仿宋" w:eastAsia="仿宋"/>
                <w:color w:val="auto"/>
                <w:szCs w:val="21"/>
              </w:rPr>
            </w:pPr>
            <w:r>
              <w:rPr>
                <w:rFonts w:hint="eastAsia" w:ascii="仿宋" w:hAnsi="仿宋" w:eastAsia="仿宋"/>
                <w:color w:val="auto"/>
                <w:szCs w:val="21"/>
              </w:rPr>
              <w:t>7.2</w:t>
            </w:r>
          </w:p>
        </w:tc>
        <w:tc>
          <w:tcPr>
            <w:tcW w:w="8708" w:type="dxa"/>
            <w:tcBorders>
              <w:top w:val="single" w:color="auto" w:sz="4" w:space="0"/>
              <w:left w:val="single" w:color="auto" w:sz="4" w:space="0"/>
              <w:bottom w:val="single" w:color="auto" w:sz="4" w:space="0"/>
              <w:right w:val="single" w:color="auto" w:sz="4" w:space="0"/>
            </w:tcBorders>
            <w:vAlign w:val="center"/>
          </w:tcPr>
          <w:p w14:paraId="58963334">
            <w:pPr>
              <w:pStyle w:val="17"/>
              <w:spacing w:line="400" w:lineRule="exact"/>
              <w:rPr>
                <w:rFonts w:ascii="仿宋" w:hAnsi="仿宋" w:eastAsia="仿宋"/>
                <w:color w:val="auto"/>
                <w:szCs w:val="21"/>
              </w:rPr>
            </w:pPr>
            <w:r>
              <w:rPr>
                <w:rFonts w:hint="eastAsia" w:ascii="宋体" w:hAnsi="宋体"/>
                <w:color w:val="auto"/>
                <w:szCs w:val="21"/>
              </w:rPr>
              <w:t>☑</w:t>
            </w:r>
            <w:r>
              <w:rPr>
                <w:rFonts w:hint="eastAsia" w:ascii="仿宋" w:hAnsi="仿宋" w:eastAsia="仿宋"/>
                <w:color w:val="auto"/>
                <w:szCs w:val="21"/>
              </w:rPr>
              <w:t>本项目不允许分包。</w:t>
            </w:r>
          </w:p>
          <w:p w14:paraId="18F164FD">
            <w:pPr>
              <w:pStyle w:val="17"/>
              <w:spacing w:line="400" w:lineRule="exact"/>
              <w:rPr>
                <w:rFonts w:ascii="仿宋" w:hAnsi="仿宋" w:eastAsia="仿宋"/>
                <w:color w:val="auto"/>
                <w:szCs w:val="21"/>
              </w:rPr>
            </w:pPr>
            <w:r>
              <w:rPr>
                <w:rFonts w:hint="eastAsia" w:ascii="宋体" w:hAnsi="宋体"/>
                <w:color w:val="auto"/>
                <w:szCs w:val="21"/>
              </w:rPr>
              <w:t>□</w:t>
            </w:r>
            <w:r>
              <w:rPr>
                <w:rFonts w:hint="eastAsia" w:ascii="仿宋" w:hAnsi="仿宋" w:eastAsia="仿宋"/>
                <w:color w:val="auto"/>
                <w:szCs w:val="21"/>
              </w:rPr>
              <w:t>本项目允许分包：</w:t>
            </w:r>
          </w:p>
          <w:p w14:paraId="4CC208ED">
            <w:pPr>
              <w:pStyle w:val="17"/>
              <w:spacing w:line="400" w:lineRule="exact"/>
              <w:rPr>
                <w:rFonts w:ascii="仿宋" w:hAnsi="仿宋" w:eastAsia="仿宋"/>
                <w:color w:val="auto"/>
                <w:szCs w:val="21"/>
                <w:u w:val="single"/>
              </w:rPr>
            </w:pPr>
            <w:r>
              <w:rPr>
                <w:rFonts w:hint="eastAsia" w:ascii="仿宋" w:hAnsi="仿宋" w:eastAsia="仿宋"/>
                <w:color w:val="auto"/>
                <w:szCs w:val="21"/>
              </w:rPr>
              <w:t>分包内容：</w:t>
            </w:r>
            <w:r>
              <w:rPr>
                <w:rFonts w:hint="eastAsia" w:ascii="仿宋" w:hAnsi="仿宋" w:eastAsia="仿宋"/>
                <w:color w:val="auto"/>
                <w:szCs w:val="21"/>
                <w:u w:val="single"/>
              </w:rPr>
              <w:t xml:space="preserve">                                     。</w:t>
            </w:r>
          </w:p>
          <w:p w14:paraId="64FD7026">
            <w:pPr>
              <w:pStyle w:val="17"/>
              <w:spacing w:line="400" w:lineRule="exact"/>
              <w:jc w:val="both"/>
              <w:rPr>
                <w:rFonts w:ascii="仿宋" w:hAnsi="仿宋" w:eastAsia="仿宋"/>
                <w:color w:val="auto"/>
                <w:szCs w:val="21"/>
                <w:u w:val="single"/>
              </w:rPr>
            </w:pPr>
            <w:r>
              <w:rPr>
                <w:rFonts w:hint="eastAsia" w:ascii="仿宋" w:hAnsi="仿宋" w:eastAsia="仿宋"/>
                <w:color w:val="auto"/>
                <w:szCs w:val="21"/>
              </w:rPr>
              <w:t>分包金额或者比例：</w:t>
            </w:r>
            <w:r>
              <w:rPr>
                <w:rFonts w:hint="eastAsia" w:ascii="仿宋" w:hAnsi="仿宋" w:eastAsia="仿宋"/>
                <w:color w:val="auto"/>
                <w:szCs w:val="21"/>
                <w:u w:val="single"/>
              </w:rPr>
              <w:t xml:space="preserve">                                     。</w:t>
            </w:r>
          </w:p>
        </w:tc>
      </w:tr>
      <w:tr w14:paraId="33EBFE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6"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0356AD15">
            <w:pPr>
              <w:spacing w:line="400" w:lineRule="exact"/>
              <w:jc w:val="center"/>
              <w:rPr>
                <w:rFonts w:ascii="仿宋" w:hAnsi="仿宋" w:eastAsia="仿宋"/>
                <w:color w:val="auto"/>
                <w:szCs w:val="21"/>
              </w:rPr>
            </w:pPr>
            <w:r>
              <w:rPr>
                <w:rFonts w:hint="eastAsia" w:ascii="仿宋" w:hAnsi="仿宋" w:eastAsia="仿宋"/>
                <w:color w:val="auto"/>
                <w:szCs w:val="21"/>
              </w:rPr>
              <w:t>8.1</w:t>
            </w:r>
          </w:p>
        </w:tc>
        <w:tc>
          <w:tcPr>
            <w:tcW w:w="8708" w:type="dxa"/>
            <w:tcBorders>
              <w:top w:val="single" w:color="auto" w:sz="4" w:space="0"/>
              <w:left w:val="single" w:color="auto" w:sz="4" w:space="0"/>
              <w:bottom w:val="single" w:color="auto" w:sz="4" w:space="0"/>
              <w:right w:val="single" w:color="auto" w:sz="4" w:space="0"/>
            </w:tcBorders>
            <w:vAlign w:val="center"/>
          </w:tcPr>
          <w:p w14:paraId="4DB03234">
            <w:pPr>
              <w:autoSpaceDE w:val="0"/>
              <w:autoSpaceDN w:val="0"/>
              <w:snapToGrid w:val="0"/>
              <w:spacing w:line="400" w:lineRule="exact"/>
              <w:textAlignment w:val="bottom"/>
              <w:rPr>
                <w:rFonts w:ascii="仿宋" w:hAnsi="仿宋" w:eastAsia="仿宋"/>
                <w:color w:val="auto"/>
                <w:szCs w:val="21"/>
              </w:rPr>
            </w:pPr>
            <w:r>
              <w:rPr>
                <w:rFonts w:hint="eastAsia" w:ascii="宋体" w:hAnsi="宋体"/>
                <w:color w:val="auto"/>
                <w:szCs w:val="21"/>
              </w:rPr>
              <w:t>□</w:t>
            </w:r>
            <w:r>
              <w:rPr>
                <w:rFonts w:hint="eastAsia" w:ascii="仿宋" w:hAnsi="仿宋" w:eastAsia="仿宋"/>
                <w:color w:val="auto"/>
                <w:szCs w:val="21"/>
              </w:rPr>
              <w:t>1、采用最低评标价法的采购项目，提供相同品牌产品（非单一产品采购项目的，指核心产品）的不同投标人评标价相同时，按照下列方式确定一个投标人获得中标人推荐资格：评标委员会随机抽取/按</w:t>
            </w:r>
            <w:r>
              <w:rPr>
                <w:rFonts w:ascii="仿宋" w:hAnsi="仿宋" w:eastAsia="仿宋"/>
                <w:color w:val="auto"/>
                <w:szCs w:val="21"/>
              </w:rPr>
              <w:t>投标报价低</w:t>
            </w:r>
            <w:r>
              <w:rPr>
                <w:rFonts w:hint="eastAsia" w:ascii="仿宋" w:hAnsi="仿宋" w:eastAsia="仿宋"/>
                <w:color w:val="auto"/>
                <w:szCs w:val="21"/>
              </w:rPr>
              <w:t>的原则确定，</w:t>
            </w:r>
            <w:r>
              <w:rPr>
                <w:rFonts w:ascii="仿宋" w:hAnsi="仿宋" w:eastAsia="仿宋"/>
                <w:color w:val="auto"/>
                <w:szCs w:val="21"/>
              </w:rPr>
              <w:t>投标报价相同的</w:t>
            </w:r>
            <w:r>
              <w:rPr>
                <w:rFonts w:hint="eastAsia" w:ascii="仿宋" w:hAnsi="仿宋" w:eastAsia="仿宋" w:cs="宋体"/>
                <w:color w:val="auto"/>
                <w:szCs w:val="21"/>
              </w:rPr>
              <w:t>按</w:t>
            </w:r>
            <w:r>
              <w:rPr>
                <w:rFonts w:ascii="仿宋" w:hAnsi="仿宋" w:eastAsia="仿宋"/>
                <w:color w:val="auto"/>
                <w:szCs w:val="21"/>
              </w:rPr>
              <w:t>节能环保优先、技术指标高优先、质保期长优先、交货期短优先、故障响应时间短优先的</w:t>
            </w:r>
            <w:r>
              <w:rPr>
                <w:rFonts w:hint="eastAsia" w:ascii="仿宋" w:hAnsi="仿宋" w:eastAsia="仿宋" w:cs="宋体"/>
                <w:color w:val="auto"/>
                <w:szCs w:val="21"/>
              </w:rPr>
              <w:t>顺序依次确定。</w:t>
            </w:r>
          </w:p>
          <w:p w14:paraId="35E383A9">
            <w:pPr>
              <w:autoSpaceDE w:val="0"/>
              <w:autoSpaceDN w:val="0"/>
              <w:snapToGrid w:val="0"/>
              <w:spacing w:line="400" w:lineRule="exact"/>
              <w:textAlignment w:val="bottom"/>
              <w:rPr>
                <w:rFonts w:ascii="仿宋" w:hAnsi="仿宋" w:eastAsia="仿宋"/>
                <w:color w:val="auto"/>
                <w:szCs w:val="21"/>
              </w:rPr>
            </w:pPr>
            <w:r>
              <w:rPr>
                <w:rFonts w:hint="eastAsia" w:ascii="宋体" w:hAnsi="宋体"/>
                <w:color w:val="auto"/>
                <w:szCs w:val="21"/>
              </w:rPr>
              <w:t>☑</w:t>
            </w:r>
            <w:r>
              <w:rPr>
                <w:rFonts w:hint="eastAsia" w:ascii="仿宋" w:hAnsi="仿宋" w:eastAsia="仿宋"/>
                <w:color w:val="auto"/>
                <w:szCs w:val="21"/>
              </w:rPr>
              <w:t>2、采用综合评分法的采购项目，提供相同品牌产品（非单一产品采购项目的，指核心产品）的不同投标人评审得分相同时，按照下列方式确定一个投标人获得中标人推荐资格：评标委员会随机抽取/按</w:t>
            </w:r>
            <w:r>
              <w:rPr>
                <w:rFonts w:ascii="仿宋" w:hAnsi="仿宋" w:eastAsia="仿宋"/>
                <w:color w:val="auto"/>
                <w:szCs w:val="21"/>
              </w:rPr>
              <w:t>投标报价低</w:t>
            </w:r>
            <w:r>
              <w:rPr>
                <w:rFonts w:hint="eastAsia" w:ascii="仿宋" w:hAnsi="仿宋" w:eastAsia="仿宋"/>
                <w:color w:val="auto"/>
                <w:szCs w:val="21"/>
              </w:rPr>
              <w:t>的原则确定，</w:t>
            </w:r>
            <w:r>
              <w:rPr>
                <w:rFonts w:ascii="仿宋" w:hAnsi="仿宋" w:eastAsia="仿宋"/>
                <w:color w:val="auto"/>
                <w:szCs w:val="21"/>
              </w:rPr>
              <w:t>投标报价相同的</w:t>
            </w:r>
            <w:r>
              <w:rPr>
                <w:rFonts w:hint="eastAsia" w:ascii="仿宋" w:hAnsi="仿宋" w:eastAsia="仿宋"/>
                <w:color w:val="auto"/>
                <w:szCs w:val="21"/>
              </w:rPr>
              <w:t>按综合评分中技术水平、售后服务、履约能力、政策功能得分高低依次确定。</w:t>
            </w:r>
          </w:p>
        </w:tc>
      </w:tr>
      <w:tr w14:paraId="6AE62F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2" w:hRule="atLeast"/>
          <w:jc w:val="center"/>
        </w:trPr>
        <w:tc>
          <w:tcPr>
            <w:tcW w:w="895" w:type="dxa"/>
            <w:vMerge w:val="restart"/>
            <w:tcBorders>
              <w:top w:val="single" w:color="auto" w:sz="4" w:space="0"/>
              <w:left w:val="single" w:color="auto" w:sz="4" w:space="0"/>
              <w:right w:val="single" w:color="auto" w:sz="4" w:space="0"/>
            </w:tcBorders>
            <w:vAlign w:val="center"/>
          </w:tcPr>
          <w:p w14:paraId="64A39A5B">
            <w:pPr>
              <w:spacing w:line="400" w:lineRule="exact"/>
              <w:jc w:val="center"/>
              <w:rPr>
                <w:rFonts w:ascii="仿宋" w:hAnsi="仿宋" w:eastAsia="仿宋"/>
                <w:color w:val="auto"/>
                <w:szCs w:val="21"/>
              </w:rPr>
            </w:pPr>
            <w:r>
              <w:rPr>
                <w:rFonts w:hint="eastAsia" w:ascii="仿宋" w:hAnsi="仿宋" w:eastAsia="仿宋"/>
                <w:color w:val="auto"/>
                <w:szCs w:val="21"/>
              </w:rPr>
              <w:t>1</w:t>
            </w:r>
            <w:r>
              <w:rPr>
                <w:rFonts w:ascii="仿宋" w:hAnsi="仿宋" w:eastAsia="仿宋"/>
                <w:color w:val="auto"/>
                <w:szCs w:val="21"/>
              </w:rPr>
              <w:t>1.</w:t>
            </w:r>
            <w:r>
              <w:rPr>
                <w:rFonts w:hint="eastAsia" w:ascii="仿宋" w:hAnsi="仿宋" w:eastAsia="仿宋"/>
                <w:color w:val="auto"/>
                <w:szCs w:val="21"/>
              </w:rPr>
              <w:t>5</w:t>
            </w:r>
          </w:p>
        </w:tc>
        <w:tc>
          <w:tcPr>
            <w:tcW w:w="8708" w:type="dxa"/>
            <w:tcBorders>
              <w:top w:val="single" w:color="auto" w:sz="4" w:space="0"/>
              <w:left w:val="single" w:color="auto" w:sz="4" w:space="0"/>
              <w:bottom w:val="single" w:color="auto" w:sz="4" w:space="0"/>
              <w:right w:val="single" w:color="auto" w:sz="4" w:space="0"/>
            </w:tcBorders>
            <w:vAlign w:val="center"/>
          </w:tcPr>
          <w:p w14:paraId="5FA52B48">
            <w:pPr>
              <w:snapToGrid w:val="0"/>
              <w:spacing w:line="400" w:lineRule="exact"/>
              <w:rPr>
                <w:rFonts w:ascii="仿宋" w:hAnsi="仿宋" w:eastAsia="仿宋"/>
                <w:color w:val="auto"/>
                <w:szCs w:val="21"/>
              </w:rPr>
            </w:pPr>
            <w:r>
              <w:rPr>
                <w:rFonts w:hint="eastAsia" w:ascii="仿宋" w:hAnsi="仿宋" w:eastAsia="仿宋"/>
                <w:color w:val="auto"/>
                <w:szCs w:val="21"/>
              </w:rPr>
              <w:t>本项目不组织现场考察。</w:t>
            </w:r>
          </w:p>
        </w:tc>
      </w:tr>
      <w:tr w14:paraId="2804B7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895" w:type="dxa"/>
            <w:vMerge w:val="continue"/>
            <w:tcBorders>
              <w:left w:val="single" w:color="auto" w:sz="4" w:space="0"/>
              <w:bottom w:val="single" w:color="auto" w:sz="4" w:space="0"/>
              <w:right w:val="single" w:color="auto" w:sz="4" w:space="0"/>
            </w:tcBorders>
            <w:vAlign w:val="center"/>
          </w:tcPr>
          <w:p w14:paraId="38F5510E">
            <w:pPr>
              <w:spacing w:line="400" w:lineRule="exact"/>
              <w:jc w:val="center"/>
              <w:rPr>
                <w:rFonts w:ascii="仿宋" w:hAnsi="仿宋" w:eastAsia="仿宋"/>
                <w:color w:val="auto"/>
                <w:szCs w:val="21"/>
              </w:rPr>
            </w:pPr>
          </w:p>
        </w:tc>
        <w:tc>
          <w:tcPr>
            <w:tcW w:w="8708" w:type="dxa"/>
            <w:tcBorders>
              <w:top w:val="single" w:color="auto" w:sz="4" w:space="0"/>
              <w:left w:val="single" w:color="auto" w:sz="4" w:space="0"/>
              <w:bottom w:val="single" w:color="auto" w:sz="4" w:space="0"/>
              <w:right w:val="single" w:color="auto" w:sz="4" w:space="0"/>
            </w:tcBorders>
            <w:vAlign w:val="center"/>
          </w:tcPr>
          <w:p w14:paraId="7C38F6CA">
            <w:pPr>
              <w:snapToGrid w:val="0"/>
              <w:spacing w:line="400" w:lineRule="exact"/>
              <w:rPr>
                <w:rFonts w:ascii="仿宋" w:hAnsi="仿宋" w:eastAsia="仿宋"/>
                <w:color w:val="auto"/>
                <w:szCs w:val="21"/>
              </w:rPr>
            </w:pPr>
            <w:r>
              <w:rPr>
                <w:rFonts w:hint="eastAsia" w:ascii="宋体" w:hAnsi="宋体"/>
                <w:color w:val="auto"/>
                <w:szCs w:val="21"/>
              </w:rPr>
              <w:t>☑</w:t>
            </w:r>
            <w:r>
              <w:rPr>
                <w:rFonts w:hint="eastAsia" w:ascii="仿宋" w:hAnsi="仿宋" w:eastAsia="仿宋"/>
                <w:color w:val="auto"/>
                <w:szCs w:val="21"/>
              </w:rPr>
              <w:t>本项目不组织召开开标前答疑会/</w:t>
            </w:r>
            <w:r>
              <w:rPr>
                <w:rFonts w:hint="eastAsia" w:ascii="宋体" w:hAnsi="宋体"/>
                <w:color w:val="auto"/>
                <w:szCs w:val="21"/>
              </w:rPr>
              <w:t>□</w:t>
            </w:r>
            <w:r>
              <w:rPr>
                <w:rFonts w:hint="eastAsia" w:ascii="仿宋" w:hAnsi="仿宋" w:eastAsia="仿宋"/>
                <w:color w:val="auto"/>
                <w:szCs w:val="21"/>
              </w:rPr>
              <w:t>组织召开开标前答疑会</w:t>
            </w:r>
          </w:p>
          <w:p w14:paraId="045B509E">
            <w:pPr>
              <w:snapToGrid w:val="0"/>
              <w:spacing w:line="400" w:lineRule="exact"/>
              <w:rPr>
                <w:rFonts w:ascii="仿宋" w:hAnsi="仿宋" w:eastAsia="仿宋"/>
                <w:color w:val="auto"/>
                <w:szCs w:val="21"/>
                <w:u w:val="single"/>
              </w:rPr>
            </w:pPr>
            <w:r>
              <w:rPr>
                <w:rFonts w:hint="eastAsia" w:ascii="仿宋" w:hAnsi="仿宋" w:eastAsia="仿宋"/>
                <w:color w:val="auto"/>
                <w:szCs w:val="21"/>
              </w:rPr>
              <w:t>会议开始时间：年月日 时</w:t>
            </w:r>
            <w:r>
              <w:rPr>
                <w:rFonts w:hint="eastAsia" w:ascii="仿宋" w:hAnsi="仿宋" w:eastAsia="仿宋"/>
                <w:color w:val="auto"/>
                <w:szCs w:val="21"/>
                <w:u w:val="single"/>
              </w:rPr>
              <w:t xml:space="preserve">  分</w:t>
            </w:r>
            <w:r>
              <w:rPr>
                <w:rFonts w:hint="eastAsia" w:ascii="仿宋" w:hAnsi="仿宋" w:eastAsia="仿宋"/>
                <w:color w:val="auto"/>
                <w:szCs w:val="21"/>
              </w:rPr>
              <w:t>，逾期后果自负。会议地点：</w:t>
            </w:r>
          </w:p>
          <w:p w14:paraId="04A0F2CF">
            <w:pPr>
              <w:snapToGrid w:val="0"/>
              <w:spacing w:line="400" w:lineRule="exact"/>
              <w:rPr>
                <w:rFonts w:ascii="仿宋" w:hAnsi="仿宋" w:eastAsia="仿宋"/>
                <w:color w:val="auto"/>
                <w:szCs w:val="21"/>
              </w:rPr>
            </w:pPr>
            <w:r>
              <w:rPr>
                <w:rFonts w:hint="eastAsia" w:ascii="仿宋" w:hAnsi="仿宋" w:eastAsia="仿宋"/>
                <w:color w:val="auto"/>
                <w:szCs w:val="21"/>
              </w:rPr>
              <w:t>联系人：</w:t>
            </w:r>
            <w:r>
              <w:rPr>
                <w:rFonts w:hint="eastAsia" w:ascii="仿宋" w:hAnsi="仿宋" w:eastAsia="仿宋"/>
                <w:color w:val="auto"/>
                <w:szCs w:val="21"/>
                <w:lang w:val="en-US" w:eastAsia="zh-CN"/>
              </w:rPr>
              <w:t xml:space="preserve">        </w:t>
            </w:r>
            <w:r>
              <w:rPr>
                <w:rFonts w:hint="eastAsia" w:ascii="仿宋" w:hAnsi="仿宋" w:eastAsia="仿宋"/>
                <w:color w:val="auto"/>
                <w:szCs w:val="21"/>
              </w:rPr>
              <w:t>；联系电话：</w:t>
            </w:r>
          </w:p>
        </w:tc>
      </w:tr>
      <w:tr w14:paraId="68A6EB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restart"/>
            <w:tcBorders>
              <w:top w:val="single" w:color="auto" w:sz="4" w:space="0"/>
              <w:left w:val="single" w:color="auto" w:sz="4" w:space="0"/>
              <w:right w:val="single" w:color="auto" w:sz="4" w:space="0"/>
            </w:tcBorders>
            <w:vAlign w:val="center"/>
          </w:tcPr>
          <w:p w14:paraId="4D81616B">
            <w:pPr>
              <w:spacing w:line="400" w:lineRule="exact"/>
              <w:jc w:val="center"/>
              <w:rPr>
                <w:rFonts w:ascii="仿宋" w:hAnsi="仿宋" w:eastAsia="仿宋"/>
                <w:color w:val="auto"/>
                <w:szCs w:val="21"/>
              </w:rPr>
            </w:pPr>
            <w:bookmarkStart w:id="48" w:name="_13.1"/>
            <w:bookmarkEnd w:id="48"/>
            <w:r>
              <w:rPr>
                <w:rFonts w:hint="eastAsia" w:ascii="仿宋" w:hAnsi="仿宋" w:eastAsia="仿宋"/>
                <w:color w:val="auto"/>
                <w:szCs w:val="21"/>
              </w:rPr>
              <w:t>13.</w:t>
            </w:r>
            <w:bookmarkStart w:id="49" w:name="_Hlt19632543"/>
            <w:r>
              <w:rPr>
                <w:rFonts w:hint="eastAsia" w:ascii="仿宋" w:hAnsi="仿宋" w:eastAsia="仿宋"/>
                <w:color w:val="auto"/>
                <w:szCs w:val="21"/>
              </w:rPr>
              <w:t>1</w:t>
            </w:r>
            <w:bookmarkEnd w:id="49"/>
          </w:p>
        </w:tc>
        <w:tc>
          <w:tcPr>
            <w:tcW w:w="8708" w:type="dxa"/>
            <w:tcBorders>
              <w:top w:val="single" w:color="auto" w:sz="4" w:space="0"/>
              <w:left w:val="single" w:color="auto" w:sz="4" w:space="0"/>
              <w:bottom w:val="single" w:color="auto" w:sz="4" w:space="0"/>
              <w:right w:val="single" w:color="auto" w:sz="4" w:space="0"/>
            </w:tcBorders>
            <w:vAlign w:val="center"/>
          </w:tcPr>
          <w:p w14:paraId="447A0883">
            <w:pPr>
              <w:snapToGrid w:val="0"/>
              <w:spacing w:line="400" w:lineRule="exact"/>
              <w:jc w:val="left"/>
              <w:rPr>
                <w:rFonts w:ascii="仿宋" w:hAnsi="仿宋" w:eastAsia="仿宋" w:cs="Courier New"/>
                <w:b/>
                <w:color w:val="auto"/>
                <w:szCs w:val="21"/>
              </w:rPr>
            </w:pPr>
            <w:r>
              <w:rPr>
                <w:rFonts w:hint="eastAsia" w:ascii="仿宋" w:hAnsi="仿宋" w:eastAsia="仿宋" w:cs="Courier New"/>
                <w:b/>
                <w:color w:val="auto"/>
                <w:szCs w:val="21"/>
              </w:rPr>
              <w:t>报价文件：</w:t>
            </w:r>
          </w:p>
          <w:p w14:paraId="2A008FD1">
            <w:pPr>
              <w:tabs>
                <w:tab w:val="left" w:pos="459"/>
              </w:tabs>
              <w:snapToGrid w:val="0"/>
              <w:spacing w:line="400" w:lineRule="exact"/>
              <w:jc w:val="left"/>
              <w:rPr>
                <w:rFonts w:ascii="仿宋" w:hAnsi="仿宋" w:eastAsia="仿宋"/>
                <w:color w:val="auto"/>
                <w:szCs w:val="21"/>
              </w:rPr>
            </w:pPr>
            <w:r>
              <w:rPr>
                <w:rFonts w:hint="eastAsia" w:ascii="仿宋" w:hAnsi="仿宋" w:eastAsia="仿宋"/>
                <w:color w:val="auto"/>
                <w:szCs w:val="21"/>
              </w:rPr>
              <w:t>1、投标函（格式后附）；</w:t>
            </w:r>
            <w:r>
              <w:rPr>
                <w:rFonts w:hint="eastAsia" w:ascii="仿宋" w:hAnsi="仿宋" w:eastAsia="仿宋"/>
                <w:b/>
                <w:color w:val="auto"/>
                <w:szCs w:val="21"/>
              </w:rPr>
              <w:t>（必须提供，否则按无效投标处理）</w:t>
            </w:r>
          </w:p>
          <w:p w14:paraId="5CACF59F">
            <w:pPr>
              <w:tabs>
                <w:tab w:val="left" w:pos="459"/>
              </w:tabs>
              <w:snapToGrid w:val="0"/>
              <w:spacing w:line="400" w:lineRule="exact"/>
              <w:jc w:val="left"/>
              <w:rPr>
                <w:rFonts w:ascii="仿宋" w:hAnsi="仿宋" w:eastAsia="仿宋"/>
                <w:color w:val="auto"/>
                <w:szCs w:val="21"/>
              </w:rPr>
            </w:pPr>
            <w:bookmarkStart w:id="50" w:name="_Hlk71299233"/>
            <w:r>
              <w:rPr>
                <w:rFonts w:hint="eastAsia" w:ascii="仿宋" w:hAnsi="仿宋" w:eastAsia="仿宋"/>
                <w:color w:val="auto"/>
                <w:szCs w:val="21"/>
              </w:rPr>
              <w:t>2、开标一览表</w:t>
            </w:r>
            <w:bookmarkEnd w:id="50"/>
            <w:r>
              <w:rPr>
                <w:rFonts w:hint="eastAsia" w:ascii="仿宋" w:hAnsi="仿宋" w:eastAsia="仿宋"/>
                <w:color w:val="auto"/>
                <w:szCs w:val="21"/>
              </w:rPr>
              <w:t>（格式后附）； （</w:t>
            </w:r>
            <w:r>
              <w:rPr>
                <w:rFonts w:hint="eastAsia" w:ascii="仿宋" w:hAnsi="仿宋" w:eastAsia="仿宋"/>
                <w:b/>
                <w:color w:val="auto"/>
                <w:szCs w:val="21"/>
              </w:rPr>
              <w:t>必须提供，否则按无效投标处理</w:t>
            </w:r>
            <w:r>
              <w:rPr>
                <w:rFonts w:hint="eastAsia" w:ascii="仿宋" w:hAnsi="仿宋" w:eastAsia="仿宋"/>
                <w:color w:val="auto"/>
                <w:szCs w:val="21"/>
              </w:rPr>
              <w:t>）</w:t>
            </w:r>
          </w:p>
          <w:p w14:paraId="6F88C824">
            <w:pPr>
              <w:tabs>
                <w:tab w:val="left" w:pos="459"/>
              </w:tabs>
              <w:snapToGrid w:val="0"/>
              <w:spacing w:line="400" w:lineRule="exact"/>
              <w:jc w:val="left"/>
              <w:rPr>
                <w:rFonts w:hint="eastAsia" w:ascii="仿宋" w:hAnsi="仿宋" w:eastAsia="仿宋"/>
                <w:b/>
                <w:color w:val="auto"/>
                <w:szCs w:val="21"/>
              </w:rPr>
            </w:pPr>
            <w:r>
              <w:rPr>
                <w:rFonts w:hint="eastAsia" w:ascii="仿宋" w:hAnsi="仿宋" w:eastAsia="仿宋"/>
                <w:color w:val="auto"/>
                <w:szCs w:val="21"/>
              </w:rPr>
              <w:t>3、中小企业或残疾企业或监狱企业申明函或残疾人福利声明函；</w:t>
            </w:r>
            <w:r>
              <w:rPr>
                <w:rFonts w:hint="eastAsia" w:ascii="仿宋" w:hAnsi="仿宋" w:eastAsia="仿宋"/>
                <w:b/>
                <w:color w:val="auto"/>
                <w:szCs w:val="21"/>
              </w:rPr>
              <w:t>(</w:t>
            </w:r>
            <w:r>
              <w:rPr>
                <w:rFonts w:hint="eastAsia" w:ascii="宋体" w:hAnsi="宋体" w:cs="宋体"/>
                <w:b/>
                <w:bCs/>
                <w:szCs w:val="21"/>
              </w:rPr>
              <w:t>如有请提供</w:t>
            </w:r>
            <w:r>
              <w:rPr>
                <w:rFonts w:hint="eastAsia" w:ascii="仿宋" w:hAnsi="仿宋" w:eastAsia="仿宋"/>
                <w:b/>
                <w:color w:val="auto"/>
                <w:szCs w:val="21"/>
              </w:rPr>
              <w:t>)</w:t>
            </w:r>
          </w:p>
          <w:p w14:paraId="42AC10EA">
            <w:pPr>
              <w:pStyle w:val="2"/>
              <w:ind w:left="0" w:leftChars="0" w:firstLine="0" w:firstLineChars="0"/>
              <w:rPr>
                <w:rFonts w:hint="eastAsia" w:eastAsia="仿宋"/>
                <w:lang w:val="en-US" w:eastAsia="zh-CN"/>
              </w:rPr>
            </w:pPr>
            <w:r>
              <w:rPr>
                <w:rFonts w:hint="eastAsia" w:ascii="仿宋" w:hAnsi="仿宋" w:eastAsia="仿宋" w:cs="Times New Roman"/>
                <w:b w:val="0"/>
                <w:color w:val="auto"/>
                <w:kern w:val="2"/>
                <w:sz w:val="21"/>
                <w:szCs w:val="21"/>
                <w:lang w:val="en-US" w:eastAsia="zh-CN" w:bidi="ar-SA"/>
              </w:rPr>
              <w:t>4、关于符合本国产品标准的声明函（格式后附）；</w:t>
            </w:r>
            <w:r>
              <w:rPr>
                <w:rFonts w:hint="eastAsia" w:ascii="宋体" w:hAnsi="宋体" w:cs="宋体"/>
                <w:b/>
                <w:bCs/>
                <w:szCs w:val="21"/>
              </w:rPr>
              <w:t>（如有请提供）</w:t>
            </w:r>
          </w:p>
          <w:p w14:paraId="140CAB23">
            <w:pPr>
              <w:tabs>
                <w:tab w:val="left" w:pos="459"/>
              </w:tabs>
              <w:snapToGrid w:val="0"/>
              <w:spacing w:line="400" w:lineRule="exact"/>
              <w:jc w:val="left"/>
              <w:rPr>
                <w:rFonts w:ascii="仿宋" w:hAnsi="仿宋" w:eastAsia="仿宋"/>
                <w:color w:val="auto"/>
                <w:szCs w:val="21"/>
              </w:rPr>
            </w:pPr>
            <w:r>
              <w:rPr>
                <w:rFonts w:hint="eastAsia" w:ascii="仿宋" w:hAnsi="仿宋" w:eastAsia="仿宋"/>
                <w:color w:val="auto"/>
                <w:szCs w:val="21"/>
                <w:lang w:val="en-US" w:eastAsia="zh-CN"/>
              </w:rPr>
              <w:t>5</w:t>
            </w:r>
            <w:r>
              <w:rPr>
                <w:rFonts w:hint="eastAsia" w:ascii="仿宋" w:hAnsi="仿宋" w:eastAsia="仿宋"/>
                <w:color w:val="auto"/>
                <w:szCs w:val="21"/>
              </w:rPr>
              <w:t>、投标人针对报价需要说明的其他文件和说明（格式自拟）。</w:t>
            </w:r>
          </w:p>
          <w:p w14:paraId="1F8F70E3">
            <w:pPr>
              <w:snapToGrid w:val="0"/>
              <w:spacing w:line="400" w:lineRule="exact"/>
              <w:ind w:firstLine="420"/>
              <w:jc w:val="left"/>
              <w:rPr>
                <w:rFonts w:ascii="仿宋" w:hAnsi="仿宋" w:eastAsia="仿宋"/>
                <w:color w:val="auto"/>
                <w:szCs w:val="21"/>
              </w:rPr>
            </w:pPr>
            <w:r>
              <w:rPr>
                <w:rFonts w:hint="eastAsia" w:ascii="仿宋" w:hAnsi="仿宋" w:eastAsia="仿宋"/>
                <w:b/>
                <w:bCs/>
                <w:color w:val="auto"/>
                <w:szCs w:val="21"/>
              </w:rPr>
              <w:t>注：投标函、开标一览表必须由法定代表人或者委托代理人在规定签章处逐一签字（章）并加盖投标人公章，否则按无效投标</w:t>
            </w:r>
            <w:r>
              <w:rPr>
                <w:rFonts w:hint="eastAsia" w:ascii="仿宋" w:hAnsi="仿宋" w:eastAsia="仿宋" w:cs="Courier New"/>
                <w:b/>
                <w:color w:val="auto"/>
                <w:szCs w:val="21"/>
              </w:rPr>
              <w:t>处理</w:t>
            </w:r>
            <w:r>
              <w:rPr>
                <w:rFonts w:hint="eastAsia" w:ascii="仿宋" w:hAnsi="仿宋" w:eastAsia="仿宋"/>
                <w:b/>
                <w:bCs/>
                <w:color w:val="auto"/>
                <w:szCs w:val="21"/>
              </w:rPr>
              <w:t>。</w:t>
            </w:r>
          </w:p>
        </w:tc>
      </w:tr>
      <w:tr w14:paraId="5B5A46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right w:val="single" w:color="auto" w:sz="4" w:space="0"/>
            </w:tcBorders>
            <w:vAlign w:val="center"/>
          </w:tcPr>
          <w:p w14:paraId="3559E236">
            <w:pPr>
              <w:spacing w:line="400" w:lineRule="exact"/>
              <w:rPr>
                <w:rFonts w:ascii="仿宋" w:hAnsi="仿宋" w:eastAsia="仿宋"/>
                <w:color w:val="auto"/>
                <w:szCs w:val="21"/>
              </w:rPr>
            </w:pPr>
            <w:bookmarkStart w:id="51" w:name="_13.2"/>
            <w:bookmarkEnd w:id="51"/>
          </w:p>
        </w:tc>
        <w:tc>
          <w:tcPr>
            <w:tcW w:w="8708" w:type="dxa"/>
            <w:tcBorders>
              <w:top w:val="single" w:color="auto" w:sz="4" w:space="0"/>
              <w:left w:val="single" w:color="auto" w:sz="4" w:space="0"/>
              <w:bottom w:val="single" w:color="auto" w:sz="4" w:space="0"/>
              <w:right w:val="single" w:color="auto" w:sz="4" w:space="0"/>
            </w:tcBorders>
            <w:vAlign w:val="center"/>
          </w:tcPr>
          <w:p w14:paraId="23494D63">
            <w:pPr>
              <w:snapToGrid w:val="0"/>
              <w:spacing w:line="400" w:lineRule="exact"/>
              <w:jc w:val="left"/>
              <w:rPr>
                <w:rFonts w:ascii="仿宋" w:hAnsi="仿宋" w:eastAsia="仿宋" w:cs="Courier New"/>
                <w:b/>
                <w:color w:val="auto"/>
                <w:szCs w:val="21"/>
              </w:rPr>
            </w:pPr>
            <w:r>
              <w:rPr>
                <w:rFonts w:hint="eastAsia" w:ascii="仿宋" w:hAnsi="仿宋" w:eastAsia="仿宋" w:cs="Courier New"/>
                <w:b/>
                <w:color w:val="auto"/>
                <w:szCs w:val="21"/>
              </w:rPr>
              <w:t>资格证明文件：</w:t>
            </w:r>
          </w:p>
          <w:p w14:paraId="3245C189">
            <w:pPr>
              <w:autoSpaceDE w:val="0"/>
              <w:autoSpaceDN w:val="0"/>
              <w:snapToGrid w:val="0"/>
              <w:spacing w:line="400" w:lineRule="exact"/>
              <w:textAlignment w:val="bottom"/>
              <w:rPr>
                <w:rFonts w:ascii="仿宋" w:hAnsi="仿宋" w:eastAsia="仿宋"/>
                <w:b/>
                <w:color w:val="auto"/>
                <w:szCs w:val="21"/>
              </w:rPr>
            </w:pPr>
            <w:r>
              <w:rPr>
                <w:rFonts w:hint="eastAsia" w:ascii="仿宋" w:hAnsi="仿宋" w:eastAsia="仿宋" w:cs="宋体"/>
                <w:color w:val="auto"/>
                <w:szCs w:val="21"/>
              </w:rPr>
              <w:t>1、供应商为法人或者其他组织的，</w:t>
            </w:r>
            <w:r>
              <w:rPr>
                <w:rFonts w:hint="eastAsia" w:ascii="仿宋" w:hAnsi="仿宋" w:eastAsia="仿宋"/>
                <w:color w:val="auto"/>
                <w:szCs w:val="21"/>
              </w:rPr>
              <w:t>证明文件为其营业执照复印件（如营业执照或者事业单位法人证书或者执业许可证等）；供应商为自然人的，证明文件为其身份证复印件；</w:t>
            </w:r>
            <w:r>
              <w:rPr>
                <w:rFonts w:hint="eastAsia" w:ascii="仿宋" w:hAnsi="仿宋" w:eastAsia="仿宋"/>
                <w:b/>
                <w:color w:val="auto"/>
                <w:szCs w:val="21"/>
              </w:rPr>
              <w:t>（必须提供，</w:t>
            </w:r>
            <w:r>
              <w:rPr>
                <w:rFonts w:hint="eastAsia" w:ascii="仿宋" w:hAnsi="仿宋" w:eastAsia="仿宋" w:cs="宋体"/>
                <w:b/>
                <w:color w:val="auto"/>
                <w:szCs w:val="21"/>
              </w:rPr>
              <w:t>否则按无效投标处理</w:t>
            </w:r>
            <w:r>
              <w:rPr>
                <w:rFonts w:ascii="仿宋" w:hAnsi="仿宋" w:eastAsia="仿宋"/>
                <w:b/>
                <w:color w:val="auto"/>
                <w:szCs w:val="21"/>
              </w:rPr>
              <w:t>）</w:t>
            </w:r>
          </w:p>
          <w:p w14:paraId="74BA0D9D">
            <w:pPr>
              <w:autoSpaceDE w:val="0"/>
              <w:autoSpaceDN w:val="0"/>
              <w:snapToGrid w:val="0"/>
              <w:spacing w:line="400" w:lineRule="exact"/>
              <w:textAlignment w:val="bottom"/>
              <w:rPr>
                <w:rFonts w:ascii="仿宋" w:hAnsi="仿宋" w:eastAsia="仿宋" w:cs="宋体"/>
                <w:b/>
                <w:color w:val="auto"/>
                <w:szCs w:val="21"/>
              </w:rPr>
            </w:pPr>
            <w:r>
              <w:rPr>
                <w:rFonts w:hint="eastAsia" w:ascii="仿宋" w:hAnsi="仿宋" w:eastAsia="仿宋" w:cs="宋体"/>
                <w:color w:val="auto"/>
                <w:szCs w:val="21"/>
              </w:rPr>
              <w:t>2、投标人依法缴纳税收的相关材料（</w:t>
            </w:r>
            <w:r>
              <w:rPr>
                <w:rFonts w:hint="eastAsia" w:ascii="仿宋" w:hAnsi="仿宋" w:eastAsia="仿宋" w:cs="宋体"/>
                <w:color w:val="auto"/>
                <w:szCs w:val="21"/>
                <w:lang w:eastAsia="zh-CN"/>
              </w:rPr>
              <w:t>投标截止之日起半年</w:t>
            </w:r>
            <w:r>
              <w:rPr>
                <w:rFonts w:hint="eastAsia" w:ascii="仿宋" w:hAnsi="仿宋" w:eastAsia="仿宋" w:cs="宋体"/>
                <w:color w:val="auto"/>
                <w:szCs w:val="21"/>
              </w:rPr>
              <w:t>内任意连续</w:t>
            </w:r>
            <w:r>
              <w:rPr>
                <w:rFonts w:ascii="仿宋" w:hAnsi="仿宋" w:eastAsia="仿宋" w:cs="宋体"/>
                <w:color w:val="auto"/>
                <w:szCs w:val="21"/>
              </w:rPr>
              <w:t>3</w:t>
            </w:r>
            <w:r>
              <w:rPr>
                <w:rFonts w:hint="eastAsia" w:ascii="仿宋" w:hAnsi="仿宋" w:eastAsia="仿宋" w:cs="宋体"/>
                <w:color w:val="auto"/>
                <w:szCs w:val="21"/>
              </w:rPr>
              <w:t>个月的依法缴纳税收的凭据复印件；依法免税的供应商，必须提供相应文件证明其依法免税。从</w:t>
            </w:r>
            <w:r>
              <w:rPr>
                <w:rFonts w:ascii="仿宋" w:hAnsi="仿宋" w:eastAsia="仿宋" w:cs="宋体"/>
                <w:color w:val="auto"/>
                <w:szCs w:val="21"/>
              </w:rPr>
              <w:t>成立</w:t>
            </w:r>
            <w:r>
              <w:rPr>
                <w:rFonts w:hint="eastAsia" w:ascii="仿宋" w:hAnsi="仿宋" w:eastAsia="仿宋" w:cs="宋体"/>
                <w:color w:val="auto"/>
                <w:szCs w:val="21"/>
              </w:rPr>
              <w:t>之日起到投标文件提交截止时间止不足要求月数的，只需提供从</w:t>
            </w:r>
            <w:r>
              <w:rPr>
                <w:rFonts w:ascii="仿宋" w:hAnsi="仿宋" w:eastAsia="仿宋" w:cs="宋体"/>
                <w:color w:val="auto"/>
                <w:szCs w:val="21"/>
              </w:rPr>
              <w:t>成立</w:t>
            </w:r>
            <w:r>
              <w:rPr>
                <w:rFonts w:hint="eastAsia" w:ascii="仿宋" w:hAnsi="仿宋" w:eastAsia="仿宋" w:cs="宋体"/>
                <w:color w:val="auto"/>
                <w:szCs w:val="21"/>
              </w:rPr>
              <w:t>之日起的依法缴纳税收相应证明文件）；</w:t>
            </w:r>
            <w:r>
              <w:rPr>
                <w:rFonts w:hint="eastAsia" w:ascii="仿宋" w:hAnsi="仿宋" w:eastAsia="仿宋" w:cs="宋体"/>
                <w:b/>
                <w:color w:val="auto"/>
                <w:szCs w:val="21"/>
              </w:rPr>
              <w:t>（必须提供，否则按无效投标处理）</w:t>
            </w:r>
          </w:p>
          <w:p w14:paraId="359ECDEE">
            <w:pPr>
              <w:autoSpaceDE w:val="0"/>
              <w:autoSpaceDN w:val="0"/>
              <w:snapToGrid w:val="0"/>
              <w:spacing w:line="400" w:lineRule="exact"/>
              <w:textAlignment w:val="bottom"/>
              <w:rPr>
                <w:rFonts w:ascii="仿宋" w:hAnsi="仿宋" w:eastAsia="仿宋" w:cs="宋体"/>
                <w:b/>
                <w:color w:val="auto"/>
                <w:szCs w:val="21"/>
              </w:rPr>
            </w:pPr>
            <w:r>
              <w:rPr>
                <w:rFonts w:hint="eastAsia" w:ascii="仿宋" w:hAnsi="仿宋" w:eastAsia="仿宋" w:cs="宋体"/>
                <w:color w:val="auto"/>
                <w:szCs w:val="21"/>
              </w:rPr>
              <w:t>3、投标人依法缴纳社会保障资金的相关材料[</w:t>
            </w:r>
            <w:r>
              <w:rPr>
                <w:rFonts w:hint="eastAsia" w:ascii="仿宋" w:hAnsi="仿宋" w:eastAsia="仿宋" w:cs="宋体"/>
                <w:color w:val="auto"/>
                <w:szCs w:val="21"/>
                <w:lang w:eastAsia="zh-CN"/>
              </w:rPr>
              <w:t>投标截止之日起半年内</w:t>
            </w:r>
            <w:r>
              <w:rPr>
                <w:rFonts w:hint="eastAsia" w:ascii="仿宋" w:hAnsi="仿宋" w:eastAsia="仿宋" w:cs="宋体"/>
                <w:color w:val="auto"/>
                <w:szCs w:val="21"/>
              </w:rPr>
              <w:t>任意连续</w:t>
            </w:r>
            <w:r>
              <w:rPr>
                <w:rFonts w:ascii="仿宋" w:hAnsi="仿宋" w:eastAsia="仿宋" w:cs="宋体"/>
                <w:color w:val="auto"/>
                <w:szCs w:val="21"/>
              </w:rPr>
              <w:t>3</w:t>
            </w:r>
            <w:r>
              <w:rPr>
                <w:rFonts w:hint="eastAsia" w:ascii="仿宋" w:hAnsi="仿宋" w:eastAsia="仿宋" w:cs="宋体"/>
                <w:color w:val="auto"/>
                <w:szCs w:val="21"/>
              </w:rPr>
              <w:t>个月的依法缴纳社会保障资金的缴费凭证（专用收据或者社会保险缴纳清单）复印件；依法不需要缴纳社会保障资金的供应商，必须提供相应文件证明不需要缴纳社会保障资金。从</w:t>
            </w:r>
            <w:r>
              <w:rPr>
                <w:rFonts w:ascii="仿宋" w:hAnsi="仿宋" w:eastAsia="仿宋" w:cs="宋体"/>
                <w:color w:val="auto"/>
                <w:szCs w:val="21"/>
              </w:rPr>
              <w:t>成立</w:t>
            </w:r>
            <w:r>
              <w:rPr>
                <w:rFonts w:hint="eastAsia" w:ascii="仿宋" w:hAnsi="仿宋" w:eastAsia="仿宋" w:cs="宋体"/>
                <w:color w:val="auto"/>
                <w:szCs w:val="21"/>
              </w:rPr>
              <w:t>之日起到投标文件提交截止时间止不足要求月数的只需提供从</w:t>
            </w:r>
            <w:r>
              <w:rPr>
                <w:rFonts w:ascii="仿宋" w:hAnsi="仿宋" w:eastAsia="仿宋" w:cs="宋体"/>
                <w:color w:val="auto"/>
                <w:szCs w:val="21"/>
              </w:rPr>
              <w:t>成立</w:t>
            </w:r>
            <w:r>
              <w:rPr>
                <w:rFonts w:hint="eastAsia" w:ascii="仿宋" w:hAnsi="仿宋" w:eastAsia="仿宋" w:cs="宋体"/>
                <w:color w:val="auto"/>
                <w:szCs w:val="21"/>
              </w:rPr>
              <w:t>之日起的依法缴纳社会保障资金的相应证明文件]；</w:t>
            </w:r>
            <w:r>
              <w:rPr>
                <w:rFonts w:hint="eastAsia" w:ascii="仿宋" w:hAnsi="仿宋" w:eastAsia="仿宋" w:cs="宋体"/>
                <w:b/>
                <w:color w:val="auto"/>
                <w:szCs w:val="21"/>
              </w:rPr>
              <w:t>（必须提供，否则按无效投标处理）</w:t>
            </w:r>
          </w:p>
          <w:p w14:paraId="4CB95760">
            <w:pPr>
              <w:snapToGrid w:val="0"/>
              <w:spacing w:line="400" w:lineRule="exact"/>
              <w:jc w:val="left"/>
              <w:rPr>
                <w:rFonts w:ascii="仿宋" w:hAnsi="仿宋" w:eastAsia="仿宋" w:cs="宋体"/>
                <w:b/>
                <w:color w:val="auto"/>
                <w:szCs w:val="21"/>
              </w:rPr>
            </w:pPr>
            <w:r>
              <w:rPr>
                <w:rFonts w:hint="eastAsia" w:ascii="仿宋" w:hAnsi="仿宋" w:eastAsia="仿宋" w:cs="宋体"/>
                <w:color w:val="auto"/>
                <w:szCs w:val="21"/>
              </w:rPr>
              <w:t>4、投标人财务状况报告（2024年度</w:t>
            </w:r>
            <w:r>
              <w:rPr>
                <w:rFonts w:hint="eastAsia" w:ascii="仿宋" w:hAnsi="仿宋" w:eastAsia="仿宋" w:cs="宋体"/>
                <w:color w:val="auto"/>
                <w:szCs w:val="21"/>
                <w:lang w:eastAsia="zh-CN"/>
              </w:rPr>
              <w:t>或</w:t>
            </w:r>
            <w:r>
              <w:rPr>
                <w:rFonts w:hint="eastAsia" w:ascii="仿宋" w:hAnsi="仿宋" w:eastAsia="仿宋" w:cs="宋体"/>
                <w:color w:val="auto"/>
                <w:szCs w:val="21"/>
                <w:lang w:val="en-US" w:eastAsia="zh-CN"/>
              </w:rPr>
              <w:t>2025年</w:t>
            </w:r>
            <w:r>
              <w:rPr>
                <w:rFonts w:hint="eastAsia" w:ascii="仿宋" w:hAnsi="仿宋" w:eastAsia="仿宋" w:cs="宋体"/>
                <w:color w:val="auto"/>
                <w:szCs w:val="21"/>
              </w:rPr>
              <w:t>度财务报表复印件或者银行出具的资信证明或提供资产负债表、利润表、现金流量表、所有者权益变动表（如有</w:t>
            </w:r>
            <w:r>
              <w:rPr>
                <w:rFonts w:ascii="仿宋" w:hAnsi="仿宋" w:eastAsia="仿宋" w:cs="宋体"/>
                <w:color w:val="auto"/>
                <w:szCs w:val="21"/>
              </w:rPr>
              <w:t>）</w:t>
            </w:r>
            <w:r>
              <w:rPr>
                <w:rFonts w:hint="eastAsia" w:ascii="宋体" w:hAnsi="宋体"/>
                <w:color w:val="auto"/>
                <w:szCs w:val="21"/>
              </w:rPr>
              <w:t>；</w:t>
            </w:r>
            <w:r>
              <w:rPr>
                <w:rFonts w:hint="eastAsia" w:ascii="仿宋" w:hAnsi="仿宋" w:eastAsia="仿宋" w:cs="宋体"/>
                <w:color w:val="auto"/>
                <w:szCs w:val="21"/>
              </w:rPr>
              <w:t>投标人属于成立</w:t>
            </w:r>
            <w:r>
              <w:rPr>
                <w:rFonts w:ascii="仿宋" w:hAnsi="仿宋" w:eastAsia="仿宋" w:cs="宋体"/>
                <w:color w:val="auto"/>
                <w:szCs w:val="21"/>
              </w:rPr>
              <w:t>时间</w:t>
            </w:r>
            <w:r>
              <w:rPr>
                <w:rFonts w:hint="eastAsia" w:ascii="仿宋" w:hAnsi="仿宋" w:eastAsia="仿宋" w:cs="宋体"/>
                <w:color w:val="auto"/>
                <w:szCs w:val="21"/>
              </w:rPr>
              <w:t>在规定年度之后</w:t>
            </w:r>
            <w:r>
              <w:rPr>
                <w:rFonts w:ascii="仿宋" w:hAnsi="仿宋" w:eastAsia="仿宋" w:cs="宋体"/>
                <w:color w:val="auto"/>
                <w:szCs w:val="21"/>
              </w:rPr>
              <w:t>的</w:t>
            </w:r>
            <w:r>
              <w:rPr>
                <w:rFonts w:hint="eastAsia" w:ascii="仿宋" w:hAnsi="仿宋" w:eastAsia="仿宋" w:cs="宋体"/>
                <w:color w:val="auto"/>
                <w:szCs w:val="21"/>
              </w:rPr>
              <w:t>法人或其他组织</w:t>
            </w:r>
            <w:r>
              <w:rPr>
                <w:rFonts w:ascii="仿宋" w:hAnsi="仿宋" w:eastAsia="仿宋" w:cs="宋体"/>
                <w:color w:val="auto"/>
                <w:szCs w:val="21"/>
              </w:rPr>
              <w:t>，需提供成立</w:t>
            </w:r>
            <w:r>
              <w:rPr>
                <w:rFonts w:hint="eastAsia" w:ascii="仿宋" w:hAnsi="仿宋" w:eastAsia="仿宋" w:cs="宋体"/>
                <w:color w:val="auto"/>
                <w:szCs w:val="21"/>
              </w:rPr>
              <w:t>之日起至投标截止时间前</w:t>
            </w:r>
            <w:r>
              <w:rPr>
                <w:rFonts w:ascii="仿宋" w:hAnsi="仿宋" w:eastAsia="仿宋" w:cs="宋体"/>
                <w:color w:val="auto"/>
                <w:szCs w:val="21"/>
              </w:rPr>
              <w:t>的月报表</w:t>
            </w:r>
            <w:r>
              <w:rPr>
                <w:rFonts w:hint="eastAsia" w:ascii="仿宋" w:hAnsi="仿宋" w:eastAsia="仿宋" w:cs="宋体"/>
                <w:color w:val="auto"/>
                <w:szCs w:val="21"/>
              </w:rPr>
              <w:t>或银行出具的资信证明；资信证明应在有效期内，未注明有效期的，银行出具时间至投标截止时间不超过一年）；</w:t>
            </w:r>
            <w:r>
              <w:rPr>
                <w:rFonts w:hint="eastAsia" w:ascii="仿宋" w:hAnsi="仿宋" w:eastAsia="仿宋" w:cs="宋体"/>
                <w:b/>
                <w:color w:val="auto"/>
                <w:szCs w:val="21"/>
              </w:rPr>
              <w:t>（除自然人外必须提供，否则按无效投标处理）</w:t>
            </w:r>
          </w:p>
          <w:p w14:paraId="605D00A3">
            <w:pPr>
              <w:autoSpaceDE w:val="0"/>
              <w:autoSpaceDN w:val="0"/>
              <w:snapToGrid w:val="0"/>
              <w:spacing w:line="400" w:lineRule="exact"/>
              <w:textAlignment w:val="bottom"/>
              <w:rPr>
                <w:rFonts w:ascii="仿宋" w:hAnsi="仿宋" w:eastAsia="仿宋" w:cs="宋体"/>
                <w:b/>
                <w:color w:val="auto"/>
                <w:szCs w:val="21"/>
              </w:rPr>
            </w:pPr>
            <w:r>
              <w:rPr>
                <w:rFonts w:hint="eastAsia" w:ascii="仿宋" w:hAnsi="仿宋" w:eastAsia="仿宋" w:cs="宋体"/>
                <w:color w:val="auto"/>
                <w:szCs w:val="21"/>
              </w:rPr>
              <w:t>5、投标人直接控股、管理关系信息表（格式后附）；</w:t>
            </w:r>
            <w:r>
              <w:rPr>
                <w:rFonts w:hint="eastAsia" w:ascii="仿宋" w:hAnsi="仿宋" w:eastAsia="仿宋" w:cs="宋体"/>
                <w:b/>
                <w:color w:val="auto"/>
                <w:szCs w:val="21"/>
              </w:rPr>
              <w:t>（必须提供，否则按无效投标处理）</w:t>
            </w:r>
          </w:p>
          <w:p w14:paraId="124E0565">
            <w:pPr>
              <w:autoSpaceDE w:val="0"/>
              <w:autoSpaceDN w:val="0"/>
              <w:snapToGrid w:val="0"/>
              <w:spacing w:line="400" w:lineRule="exact"/>
              <w:textAlignment w:val="bottom"/>
              <w:rPr>
                <w:rFonts w:ascii="仿宋" w:hAnsi="仿宋" w:eastAsia="仿宋" w:cs="宋体"/>
                <w:b/>
                <w:color w:val="auto"/>
                <w:szCs w:val="21"/>
              </w:rPr>
            </w:pPr>
            <w:r>
              <w:rPr>
                <w:rFonts w:hint="eastAsia" w:ascii="仿宋" w:hAnsi="仿宋" w:eastAsia="仿宋" w:cs="宋体"/>
                <w:color w:val="auto"/>
                <w:szCs w:val="21"/>
              </w:rPr>
              <w:t>6、投标声明（格式后附）；</w:t>
            </w:r>
            <w:r>
              <w:rPr>
                <w:rFonts w:hint="eastAsia" w:ascii="仿宋" w:hAnsi="仿宋" w:eastAsia="仿宋" w:cs="宋体"/>
                <w:b/>
                <w:color w:val="auto"/>
                <w:szCs w:val="21"/>
              </w:rPr>
              <w:t>（必须提供，否则按无效投标处理）</w:t>
            </w:r>
          </w:p>
          <w:p w14:paraId="4DF8B709">
            <w:pPr>
              <w:autoSpaceDE w:val="0"/>
              <w:autoSpaceDN w:val="0"/>
              <w:snapToGrid w:val="0"/>
              <w:spacing w:line="400" w:lineRule="exact"/>
              <w:textAlignment w:val="bottom"/>
              <w:rPr>
                <w:rFonts w:ascii="仿宋" w:hAnsi="仿宋" w:eastAsia="仿宋" w:cs="宋体"/>
                <w:b/>
                <w:color w:val="auto"/>
                <w:szCs w:val="21"/>
              </w:rPr>
            </w:pPr>
            <w:r>
              <w:rPr>
                <w:rFonts w:hint="eastAsia" w:ascii="仿宋" w:hAnsi="仿宋" w:eastAsia="仿宋" w:cs="宋体"/>
                <w:color w:val="auto"/>
                <w:szCs w:val="21"/>
              </w:rPr>
              <w:t>7、联合体协议书（格式后附）；</w:t>
            </w:r>
            <w:r>
              <w:rPr>
                <w:rFonts w:hint="eastAsia" w:ascii="仿宋" w:hAnsi="仿宋" w:eastAsia="仿宋" w:cs="宋体"/>
                <w:b/>
                <w:color w:val="auto"/>
                <w:szCs w:val="21"/>
              </w:rPr>
              <w:t>（联合体投标时必须提供，否则按无效投标处理）</w:t>
            </w:r>
          </w:p>
          <w:p w14:paraId="6DBADECD">
            <w:pPr>
              <w:autoSpaceDE w:val="0"/>
              <w:autoSpaceDN w:val="0"/>
              <w:snapToGrid w:val="0"/>
              <w:spacing w:line="400" w:lineRule="exact"/>
              <w:textAlignment w:val="bottom"/>
              <w:rPr>
                <w:rFonts w:ascii="仿宋" w:hAnsi="仿宋" w:eastAsia="仿宋" w:cs="宋体"/>
                <w:b/>
                <w:color w:val="auto"/>
                <w:szCs w:val="21"/>
              </w:rPr>
            </w:pPr>
            <w:r>
              <w:rPr>
                <w:rFonts w:hint="eastAsia" w:ascii="仿宋" w:hAnsi="仿宋" w:eastAsia="仿宋" w:cs="宋体"/>
                <w:color w:val="auto"/>
                <w:szCs w:val="21"/>
                <w:lang w:val="en-US" w:eastAsia="zh-CN"/>
              </w:rPr>
              <w:t>8</w:t>
            </w:r>
            <w:r>
              <w:rPr>
                <w:rFonts w:hint="eastAsia" w:ascii="仿宋" w:hAnsi="仿宋" w:eastAsia="仿宋" w:cs="宋体"/>
                <w:color w:val="auto"/>
                <w:szCs w:val="21"/>
              </w:rPr>
              <w:t>、</w:t>
            </w:r>
            <w:r>
              <w:rPr>
                <w:rFonts w:hint="eastAsia" w:ascii="仿宋" w:hAnsi="仿宋" w:eastAsia="仿宋" w:cs="仿宋"/>
                <w:color w:val="auto"/>
                <w:szCs w:val="21"/>
              </w:rPr>
              <w:t>根据公开招标公告对应的特定资格要求设置供应商提供的资格证明材料：无。</w:t>
            </w:r>
            <w:r>
              <w:rPr>
                <w:rFonts w:hint="eastAsia" w:ascii="仿宋" w:hAnsi="仿宋" w:eastAsia="仿宋" w:cs="宋体"/>
                <w:b/>
                <w:color w:val="auto"/>
                <w:szCs w:val="21"/>
              </w:rPr>
              <w:t>（有要求时必须提供，否则按无效投标处理）</w:t>
            </w:r>
          </w:p>
          <w:p w14:paraId="15C4EE53">
            <w:pPr>
              <w:autoSpaceDE w:val="0"/>
              <w:autoSpaceDN w:val="0"/>
              <w:snapToGrid w:val="0"/>
              <w:spacing w:line="400" w:lineRule="exact"/>
              <w:textAlignment w:val="bottom"/>
              <w:rPr>
                <w:rFonts w:ascii="仿宋" w:hAnsi="仿宋" w:eastAsia="仿宋" w:cs="宋体"/>
                <w:color w:val="auto"/>
                <w:szCs w:val="21"/>
              </w:rPr>
            </w:pPr>
            <w:r>
              <w:rPr>
                <w:rFonts w:hint="eastAsia" w:ascii="仿宋" w:hAnsi="仿宋" w:eastAsia="仿宋" w:cs="宋体"/>
                <w:color w:val="auto"/>
                <w:szCs w:val="21"/>
                <w:lang w:val="en-US" w:eastAsia="zh-CN"/>
              </w:rPr>
              <w:t>9</w:t>
            </w:r>
            <w:r>
              <w:rPr>
                <w:rFonts w:hint="eastAsia" w:ascii="仿宋" w:hAnsi="仿宋" w:eastAsia="仿宋" w:cs="宋体"/>
                <w:color w:val="auto"/>
                <w:szCs w:val="21"/>
              </w:rPr>
              <w:t>、除招标文件规定必须提供以外，投标人认为需要提供的其他证明材料。</w:t>
            </w:r>
          </w:p>
          <w:p w14:paraId="18BFCD44">
            <w:pPr>
              <w:snapToGrid w:val="0"/>
              <w:spacing w:line="400" w:lineRule="exact"/>
              <w:ind w:firstLine="422" w:firstLineChars="200"/>
              <w:jc w:val="left"/>
              <w:rPr>
                <w:rFonts w:ascii="仿宋" w:hAnsi="仿宋" w:eastAsia="仿宋"/>
                <w:b/>
                <w:bCs/>
                <w:color w:val="auto"/>
                <w:szCs w:val="21"/>
              </w:rPr>
            </w:pPr>
            <w:r>
              <w:rPr>
                <w:rFonts w:hint="eastAsia" w:ascii="仿宋" w:hAnsi="仿宋" w:eastAsia="仿宋"/>
                <w:b/>
                <w:bCs/>
                <w:color w:val="auto"/>
                <w:szCs w:val="21"/>
              </w:rPr>
              <w:t>注：</w:t>
            </w:r>
          </w:p>
          <w:p w14:paraId="363F6961">
            <w:pPr>
              <w:snapToGrid w:val="0"/>
              <w:spacing w:line="400" w:lineRule="exact"/>
              <w:ind w:firstLine="422" w:firstLineChars="200"/>
              <w:jc w:val="left"/>
              <w:rPr>
                <w:rFonts w:ascii="仿宋" w:hAnsi="仿宋" w:eastAsia="仿宋" w:cs="Courier New"/>
                <w:b/>
                <w:color w:val="auto"/>
                <w:szCs w:val="21"/>
              </w:rPr>
            </w:pPr>
            <w:r>
              <w:rPr>
                <w:rFonts w:hint="eastAsia" w:ascii="仿宋" w:hAnsi="仿宋" w:eastAsia="仿宋"/>
                <w:b/>
                <w:bCs/>
                <w:color w:val="auto"/>
                <w:szCs w:val="21"/>
              </w:rPr>
              <w:t>1、以上标明“必须提供”的材料属于复印件的，必须加盖投标人公章，否则按无效投标</w:t>
            </w:r>
            <w:r>
              <w:rPr>
                <w:rFonts w:hint="eastAsia" w:ascii="仿宋" w:hAnsi="仿宋" w:eastAsia="仿宋" w:cs="Courier New"/>
                <w:b/>
                <w:color w:val="auto"/>
                <w:szCs w:val="21"/>
              </w:rPr>
              <w:t>处理。</w:t>
            </w:r>
          </w:p>
          <w:p w14:paraId="4ABEE125">
            <w:pPr>
              <w:snapToGrid w:val="0"/>
              <w:spacing w:line="400" w:lineRule="exact"/>
              <w:ind w:firstLine="422" w:firstLineChars="200"/>
              <w:jc w:val="left"/>
              <w:rPr>
                <w:rFonts w:ascii="仿宋" w:hAnsi="仿宋" w:eastAsia="仿宋"/>
                <w:b/>
                <w:bCs/>
                <w:color w:val="auto"/>
                <w:szCs w:val="21"/>
              </w:rPr>
            </w:pPr>
            <w:r>
              <w:rPr>
                <w:rFonts w:hint="eastAsia" w:ascii="仿宋" w:hAnsi="仿宋" w:eastAsia="仿宋" w:cs="Courier New"/>
                <w:b/>
                <w:color w:val="auto"/>
                <w:szCs w:val="21"/>
              </w:rPr>
              <w:t>2、</w:t>
            </w:r>
            <w:r>
              <w:rPr>
                <w:rFonts w:hint="eastAsia" w:ascii="仿宋" w:hAnsi="仿宋" w:eastAsia="仿宋"/>
                <w:b/>
                <w:bCs/>
                <w:color w:val="auto"/>
                <w:szCs w:val="21"/>
              </w:rPr>
              <w:t>投标声明必须由法定代表人在规定签章处签章并加盖投标人公章，否则按无效投标处理。</w:t>
            </w:r>
          </w:p>
          <w:p w14:paraId="32DABC3B">
            <w:pPr>
              <w:snapToGrid w:val="0"/>
              <w:spacing w:line="400" w:lineRule="exact"/>
              <w:ind w:firstLine="422" w:firstLineChars="200"/>
              <w:jc w:val="left"/>
              <w:rPr>
                <w:rFonts w:ascii="仿宋" w:hAnsi="仿宋" w:eastAsia="仿宋"/>
                <w:b/>
                <w:bCs/>
                <w:color w:val="auto"/>
                <w:szCs w:val="21"/>
              </w:rPr>
            </w:pPr>
            <w:r>
              <w:rPr>
                <w:rFonts w:hint="eastAsia" w:ascii="仿宋" w:hAnsi="仿宋" w:eastAsia="仿宋"/>
                <w:b/>
                <w:bCs/>
                <w:color w:val="auto"/>
                <w:szCs w:val="21"/>
              </w:rPr>
              <w:t>3、投标人直接控股、管理关系信息表必须由法定代表人或者委托代理人在规定签章处签字并加盖投标人公章，否则按无效投标</w:t>
            </w:r>
            <w:r>
              <w:rPr>
                <w:rFonts w:hint="eastAsia" w:ascii="仿宋" w:hAnsi="仿宋" w:eastAsia="仿宋" w:cs="Courier New"/>
                <w:b/>
                <w:color w:val="auto"/>
                <w:szCs w:val="21"/>
              </w:rPr>
              <w:t>处理</w:t>
            </w:r>
            <w:r>
              <w:rPr>
                <w:rFonts w:hint="eastAsia" w:ascii="仿宋" w:hAnsi="仿宋" w:eastAsia="仿宋"/>
                <w:b/>
                <w:bCs/>
                <w:color w:val="auto"/>
                <w:szCs w:val="21"/>
              </w:rPr>
              <w:t>。</w:t>
            </w:r>
          </w:p>
          <w:p w14:paraId="355EF1B6">
            <w:pPr>
              <w:snapToGrid w:val="0"/>
              <w:spacing w:line="400" w:lineRule="exact"/>
              <w:ind w:firstLine="422" w:firstLineChars="200"/>
              <w:jc w:val="left"/>
              <w:rPr>
                <w:rFonts w:ascii="仿宋" w:hAnsi="仿宋" w:eastAsia="仿宋"/>
                <w:b/>
                <w:bCs/>
                <w:color w:val="auto"/>
                <w:szCs w:val="21"/>
              </w:rPr>
            </w:pPr>
            <w:r>
              <w:rPr>
                <w:rFonts w:hint="eastAsia" w:ascii="仿宋" w:hAnsi="仿宋" w:eastAsia="仿宋"/>
                <w:b/>
                <w:bCs/>
                <w:color w:val="auto"/>
                <w:szCs w:val="21"/>
              </w:rPr>
              <w:t>4、联合体投标时，第1-5项资格证明文件联合体各方均必须分别提供，联合体各方分别盖章和签字，否则按无效投标</w:t>
            </w:r>
            <w:r>
              <w:rPr>
                <w:rFonts w:hint="eastAsia" w:ascii="仿宋" w:hAnsi="仿宋" w:eastAsia="仿宋" w:cs="Courier New"/>
                <w:b/>
                <w:color w:val="auto"/>
                <w:szCs w:val="21"/>
              </w:rPr>
              <w:t>处理</w:t>
            </w:r>
            <w:r>
              <w:rPr>
                <w:rFonts w:hint="eastAsia" w:ascii="仿宋" w:hAnsi="仿宋" w:eastAsia="仿宋"/>
                <w:b/>
                <w:bCs/>
                <w:color w:val="auto"/>
                <w:szCs w:val="21"/>
              </w:rPr>
              <w:t>。</w:t>
            </w:r>
          </w:p>
          <w:p w14:paraId="43CEFA67">
            <w:pPr>
              <w:snapToGrid w:val="0"/>
              <w:spacing w:line="400" w:lineRule="exact"/>
              <w:ind w:firstLine="422" w:firstLineChars="200"/>
              <w:jc w:val="left"/>
              <w:rPr>
                <w:rFonts w:ascii="仿宋" w:hAnsi="仿宋" w:eastAsia="仿宋"/>
                <w:b/>
                <w:bCs/>
                <w:color w:val="auto"/>
                <w:szCs w:val="21"/>
              </w:rPr>
            </w:pPr>
            <w:r>
              <w:rPr>
                <w:rFonts w:hint="eastAsia" w:ascii="仿宋" w:hAnsi="仿宋" w:eastAsia="仿宋"/>
                <w:b/>
                <w:bCs/>
                <w:color w:val="auto"/>
                <w:szCs w:val="21"/>
              </w:rPr>
              <w:t>5、分公司参加投标的，应当取得总公司授权，否则按无效投标处理。</w:t>
            </w:r>
          </w:p>
        </w:tc>
      </w:tr>
      <w:tr w14:paraId="38269E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2" w:hRule="atLeast"/>
          <w:jc w:val="center"/>
        </w:trPr>
        <w:tc>
          <w:tcPr>
            <w:tcW w:w="895" w:type="dxa"/>
            <w:vMerge w:val="continue"/>
            <w:tcBorders>
              <w:left w:val="single" w:color="auto" w:sz="4" w:space="0"/>
              <w:right w:val="single" w:color="auto" w:sz="4" w:space="0"/>
            </w:tcBorders>
            <w:vAlign w:val="center"/>
          </w:tcPr>
          <w:p w14:paraId="13F83891">
            <w:pPr>
              <w:spacing w:line="400" w:lineRule="exact"/>
              <w:rPr>
                <w:rFonts w:ascii="仿宋" w:hAnsi="仿宋" w:eastAsia="仿宋"/>
                <w:color w:val="auto"/>
                <w:szCs w:val="21"/>
              </w:rPr>
            </w:pPr>
            <w:bookmarkStart w:id="52" w:name="_13.3"/>
            <w:bookmarkEnd w:id="52"/>
          </w:p>
        </w:tc>
        <w:tc>
          <w:tcPr>
            <w:tcW w:w="8708" w:type="dxa"/>
            <w:tcBorders>
              <w:top w:val="single" w:color="auto" w:sz="4" w:space="0"/>
              <w:left w:val="single" w:color="auto" w:sz="4" w:space="0"/>
              <w:bottom w:val="single" w:color="auto" w:sz="4" w:space="0"/>
              <w:right w:val="single" w:color="auto" w:sz="4" w:space="0"/>
            </w:tcBorders>
            <w:vAlign w:val="center"/>
          </w:tcPr>
          <w:p w14:paraId="1B831FC9">
            <w:pPr>
              <w:snapToGrid w:val="0"/>
              <w:spacing w:line="400" w:lineRule="exact"/>
              <w:jc w:val="left"/>
              <w:rPr>
                <w:rFonts w:ascii="仿宋" w:hAnsi="仿宋" w:eastAsia="仿宋" w:cs="Courier New"/>
                <w:b/>
                <w:color w:val="auto"/>
                <w:szCs w:val="21"/>
              </w:rPr>
            </w:pPr>
            <w:r>
              <w:rPr>
                <w:rFonts w:hint="eastAsia" w:ascii="仿宋" w:hAnsi="仿宋" w:eastAsia="仿宋" w:cs="Courier New"/>
                <w:b/>
                <w:color w:val="auto"/>
                <w:szCs w:val="21"/>
              </w:rPr>
              <w:t>商务</w:t>
            </w:r>
            <w:r>
              <w:rPr>
                <w:rFonts w:hint="eastAsia" w:ascii="仿宋" w:hAnsi="仿宋" w:eastAsia="仿宋" w:cs="Courier New"/>
                <w:b/>
                <w:color w:val="auto"/>
                <w:szCs w:val="21"/>
                <w:lang w:val="en-US" w:eastAsia="zh-CN"/>
              </w:rPr>
              <w:t>技术</w:t>
            </w:r>
            <w:r>
              <w:rPr>
                <w:rFonts w:hint="eastAsia" w:ascii="仿宋" w:hAnsi="仿宋" w:eastAsia="仿宋" w:cs="Courier New"/>
                <w:b/>
                <w:color w:val="auto"/>
                <w:szCs w:val="21"/>
              </w:rPr>
              <w:t>文件：</w:t>
            </w:r>
          </w:p>
          <w:p w14:paraId="4DC419EB">
            <w:pPr>
              <w:snapToGrid w:val="0"/>
              <w:spacing w:line="400" w:lineRule="exact"/>
              <w:jc w:val="left"/>
              <w:rPr>
                <w:rFonts w:ascii="仿宋" w:hAnsi="仿宋" w:eastAsia="仿宋"/>
                <w:color w:val="auto"/>
                <w:szCs w:val="21"/>
              </w:rPr>
            </w:pPr>
            <w:r>
              <w:rPr>
                <w:rFonts w:hint="eastAsia" w:ascii="仿宋" w:hAnsi="仿宋" w:eastAsia="仿宋"/>
                <w:color w:val="auto"/>
                <w:szCs w:val="21"/>
              </w:rPr>
              <w:t>1、无串通投标行为的承诺函（格式后附）；（</w:t>
            </w:r>
            <w:r>
              <w:rPr>
                <w:rFonts w:hint="eastAsia" w:ascii="仿宋" w:hAnsi="仿宋" w:eastAsia="仿宋"/>
                <w:b/>
                <w:color w:val="auto"/>
                <w:szCs w:val="21"/>
              </w:rPr>
              <w:t>必须提供，否则按无效投标处理</w:t>
            </w:r>
            <w:r>
              <w:rPr>
                <w:rFonts w:hint="eastAsia" w:ascii="仿宋" w:hAnsi="仿宋" w:eastAsia="仿宋"/>
                <w:color w:val="auto"/>
                <w:szCs w:val="21"/>
              </w:rPr>
              <w:t>）</w:t>
            </w:r>
          </w:p>
          <w:p w14:paraId="54423ABF">
            <w:pPr>
              <w:snapToGrid w:val="0"/>
              <w:spacing w:line="400" w:lineRule="exact"/>
              <w:jc w:val="left"/>
              <w:rPr>
                <w:rFonts w:ascii="仿宋" w:hAnsi="仿宋" w:eastAsia="仿宋"/>
                <w:color w:val="auto"/>
                <w:szCs w:val="21"/>
              </w:rPr>
            </w:pPr>
            <w:r>
              <w:rPr>
                <w:rFonts w:hint="eastAsia" w:ascii="仿宋" w:hAnsi="仿宋" w:eastAsia="仿宋"/>
                <w:color w:val="auto"/>
                <w:szCs w:val="21"/>
              </w:rPr>
              <w:t>2、投标人廉洁承诺（格式后附）；（</w:t>
            </w:r>
            <w:r>
              <w:rPr>
                <w:rFonts w:hint="eastAsia" w:ascii="仿宋" w:hAnsi="仿宋" w:eastAsia="仿宋"/>
                <w:b/>
                <w:color w:val="auto"/>
                <w:szCs w:val="21"/>
              </w:rPr>
              <w:t>必须提供，否则按无效投标处理</w:t>
            </w:r>
            <w:r>
              <w:rPr>
                <w:rFonts w:hint="eastAsia" w:ascii="仿宋" w:hAnsi="仿宋" w:eastAsia="仿宋"/>
                <w:color w:val="auto"/>
                <w:szCs w:val="21"/>
              </w:rPr>
              <w:t>）</w:t>
            </w:r>
          </w:p>
          <w:p w14:paraId="24192D5F">
            <w:pPr>
              <w:snapToGrid w:val="0"/>
              <w:spacing w:line="400" w:lineRule="exact"/>
              <w:jc w:val="left"/>
              <w:rPr>
                <w:rFonts w:ascii="仿宋" w:hAnsi="仿宋" w:eastAsia="仿宋"/>
                <w:color w:val="auto"/>
                <w:szCs w:val="21"/>
              </w:rPr>
            </w:pPr>
            <w:r>
              <w:rPr>
                <w:rFonts w:hint="eastAsia" w:ascii="仿宋" w:hAnsi="仿宋" w:eastAsia="仿宋"/>
                <w:color w:val="auto"/>
                <w:szCs w:val="21"/>
              </w:rPr>
              <w:t>3、投标保证金缴纳凭证复印件；（</w:t>
            </w:r>
            <w:r>
              <w:rPr>
                <w:rFonts w:hint="eastAsia" w:ascii="仿宋" w:hAnsi="仿宋" w:eastAsia="仿宋"/>
                <w:b/>
                <w:color w:val="auto"/>
                <w:szCs w:val="21"/>
              </w:rPr>
              <w:t>必须提供，否则按无效投标处理</w:t>
            </w:r>
            <w:r>
              <w:rPr>
                <w:rFonts w:hint="eastAsia" w:ascii="仿宋" w:hAnsi="仿宋" w:eastAsia="仿宋"/>
                <w:color w:val="auto"/>
                <w:szCs w:val="21"/>
              </w:rPr>
              <w:t>）</w:t>
            </w:r>
          </w:p>
          <w:p w14:paraId="7D93CB48">
            <w:pPr>
              <w:snapToGrid w:val="0"/>
              <w:spacing w:line="400" w:lineRule="exact"/>
              <w:jc w:val="left"/>
              <w:rPr>
                <w:rFonts w:ascii="仿宋" w:hAnsi="仿宋" w:eastAsia="仿宋"/>
                <w:color w:val="auto"/>
                <w:szCs w:val="21"/>
              </w:rPr>
            </w:pPr>
            <w:r>
              <w:rPr>
                <w:rFonts w:hint="eastAsia" w:ascii="仿宋" w:hAnsi="仿宋" w:eastAsia="仿宋"/>
                <w:color w:val="auto"/>
                <w:szCs w:val="21"/>
              </w:rPr>
              <w:t>4、法定代表人身份证明及法定代表人有效身份证正反面复印件（格式后附）；（</w:t>
            </w:r>
            <w:r>
              <w:rPr>
                <w:rFonts w:hint="eastAsia" w:ascii="仿宋" w:hAnsi="仿宋" w:eastAsia="仿宋" w:cs="宋体"/>
                <w:b/>
                <w:bCs/>
                <w:color w:val="auto"/>
                <w:szCs w:val="21"/>
              </w:rPr>
              <w:t>除自然人投标外</w:t>
            </w:r>
            <w:r>
              <w:rPr>
                <w:rFonts w:hint="eastAsia" w:ascii="仿宋" w:hAnsi="仿宋" w:eastAsia="仿宋"/>
                <w:b/>
                <w:color w:val="auto"/>
                <w:szCs w:val="21"/>
              </w:rPr>
              <w:t>必须提供，否则按无效投标处理</w:t>
            </w:r>
            <w:r>
              <w:rPr>
                <w:rFonts w:hint="eastAsia" w:ascii="仿宋" w:hAnsi="仿宋" w:eastAsia="仿宋"/>
                <w:color w:val="auto"/>
                <w:szCs w:val="21"/>
              </w:rPr>
              <w:t>）</w:t>
            </w:r>
          </w:p>
          <w:p w14:paraId="40AD7DE7">
            <w:pPr>
              <w:snapToGrid w:val="0"/>
              <w:spacing w:line="400" w:lineRule="exact"/>
              <w:jc w:val="left"/>
              <w:rPr>
                <w:rFonts w:ascii="仿宋" w:hAnsi="仿宋" w:eastAsia="仿宋"/>
                <w:color w:val="auto"/>
                <w:szCs w:val="21"/>
              </w:rPr>
            </w:pPr>
            <w:r>
              <w:rPr>
                <w:rFonts w:hint="eastAsia" w:ascii="仿宋" w:hAnsi="仿宋" w:eastAsia="仿宋"/>
                <w:color w:val="auto"/>
                <w:szCs w:val="21"/>
              </w:rPr>
              <w:t>5、授权委托书及委托代理人有效身份证正反面复印件（格式后附）；（</w:t>
            </w:r>
            <w:r>
              <w:rPr>
                <w:rFonts w:hint="eastAsia" w:ascii="仿宋" w:hAnsi="仿宋" w:eastAsia="仿宋"/>
                <w:b/>
                <w:color w:val="auto"/>
                <w:szCs w:val="21"/>
              </w:rPr>
              <w:t>委托时必须提供，否则按无效投标处理</w:t>
            </w:r>
            <w:r>
              <w:rPr>
                <w:rFonts w:hint="eastAsia" w:ascii="仿宋" w:hAnsi="仿宋" w:eastAsia="仿宋"/>
                <w:color w:val="auto"/>
                <w:szCs w:val="21"/>
              </w:rPr>
              <w:t>）</w:t>
            </w:r>
          </w:p>
          <w:p w14:paraId="6C55AF63">
            <w:pPr>
              <w:snapToGrid w:val="0"/>
              <w:spacing w:line="400" w:lineRule="exact"/>
              <w:jc w:val="left"/>
              <w:rPr>
                <w:rFonts w:ascii="仿宋" w:hAnsi="仿宋" w:eastAsia="仿宋"/>
                <w:color w:val="auto"/>
                <w:szCs w:val="21"/>
              </w:rPr>
            </w:pPr>
            <w:r>
              <w:rPr>
                <w:rFonts w:hint="eastAsia" w:ascii="仿宋" w:hAnsi="仿宋" w:eastAsia="仿宋"/>
                <w:color w:val="auto"/>
                <w:szCs w:val="21"/>
              </w:rPr>
              <w:t>6、商务要求偏离表（格式后附）；（</w:t>
            </w:r>
            <w:r>
              <w:rPr>
                <w:rFonts w:hint="eastAsia" w:ascii="仿宋" w:hAnsi="仿宋" w:eastAsia="仿宋"/>
                <w:b/>
                <w:color w:val="auto"/>
                <w:szCs w:val="21"/>
              </w:rPr>
              <w:t>必须提供，否则按无效投标处理</w:t>
            </w:r>
            <w:r>
              <w:rPr>
                <w:rFonts w:hint="eastAsia" w:ascii="仿宋" w:hAnsi="仿宋" w:eastAsia="仿宋"/>
                <w:color w:val="auto"/>
                <w:szCs w:val="21"/>
              </w:rPr>
              <w:t>）</w:t>
            </w:r>
          </w:p>
          <w:p w14:paraId="41F6FCBB">
            <w:pPr>
              <w:snapToGrid w:val="0"/>
              <w:spacing w:line="400" w:lineRule="exact"/>
              <w:jc w:val="left"/>
              <w:rPr>
                <w:rFonts w:ascii="仿宋" w:hAnsi="仿宋" w:eastAsia="仿宋"/>
                <w:color w:val="auto"/>
                <w:szCs w:val="21"/>
              </w:rPr>
            </w:pPr>
            <w:r>
              <w:rPr>
                <w:rFonts w:hint="eastAsia" w:ascii="仿宋" w:hAnsi="仿宋" w:eastAsia="仿宋"/>
                <w:color w:val="auto"/>
                <w:szCs w:val="21"/>
              </w:rPr>
              <w:t>7、售后服务承诺（格式自拟）；（</w:t>
            </w:r>
            <w:r>
              <w:rPr>
                <w:rFonts w:hint="eastAsia" w:ascii="仿宋" w:hAnsi="仿宋" w:eastAsia="仿宋"/>
                <w:b/>
                <w:bCs/>
                <w:color w:val="auto"/>
                <w:szCs w:val="21"/>
              </w:rPr>
              <w:t>售后服务承诺</w:t>
            </w:r>
            <w:r>
              <w:rPr>
                <w:rFonts w:hint="eastAsia" w:ascii="仿宋" w:hAnsi="仿宋" w:eastAsia="仿宋"/>
                <w:b/>
                <w:color w:val="auto"/>
                <w:szCs w:val="21"/>
              </w:rPr>
              <w:t>必须提供，否则按无效投标处理</w:t>
            </w:r>
            <w:r>
              <w:rPr>
                <w:rFonts w:hint="eastAsia" w:ascii="仿宋" w:hAnsi="仿宋" w:eastAsia="仿宋"/>
                <w:color w:val="auto"/>
                <w:szCs w:val="21"/>
              </w:rPr>
              <w:t>）</w:t>
            </w:r>
          </w:p>
          <w:p w14:paraId="014230C9">
            <w:pPr>
              <w:snapToGrid w:val="0"/>
              <w:spacing w:line="400" w:lineRule="exact"/>
              <w:jc w:val="left"/>
              <w:rPr>
                <w:rFonts w:hint="default" w:ascii="仿宋" w:hAnsi="仿宋" w:eastAsia="仿宋"/>
                <w:color w:val="auto"/>
                <w:szCs w:val="21"/>
                <w:lang w:val="en-US" w:eastAsia="zh-CN"/>
              </w:rPr>
            </w:pPr>
            <w:r>
              <w:rPr>
                <w:rFonts w:hint="eastAsia" w:ascii="仿宋" w:hAnsi="仿宋" w:eastAsia="仿宋"/>
                <w:color w:val="auto"/>
                <w:szCs w:val="21"/>
              </w:rPr>
              <w:t>8、投标人情况介绍（格式自拟）；</w:t>
            </w:r>
            <w:r>
              <w:rPr>
                <w:rFonts w:hint="eastAsia" w:ascii="仿宋" w:hAnsi="仿宋" w:eastAsia="仿宋"/>
                <w:color w:val="auto"/>
                <w:szCs w:val="21"/>
                <w:lang w:eastAsia="zh-CN"/>
              </w:rPr>
              <w:t>（</w:t>
            </w:r>
            <w:r>
              <w:rPr>
                <w:rFonts w:hint="eastAsia" w:ascii="仿宋" w:hAnsi="仿宋" w:eastAsia="仿宋"/>
                <w:color w:val="auto"/>
                <w:szCs w:val="21"/>
                <w:lang w:val="en-US" w:eastAsia="zh-CN"/>
              </w:rPr>
              <w:t>如有请提供）</w:t>
            </w:r>
          </w:p>
          <w:p w14:paraId="6905AD50">
            <w:pPr>
              <w:snapToGrid w:val="0"/>
              <w:spacing w:line="400" w:lineRule="exact"/>
              <w:jc w:val="left"/>
              <w:rPr>
                <w:rFonts w:hint="eastAsia" w:ascii="仿宋" w:hAnsi="仿宋" w:eastAsia="仿宋"/>
                <w:color w:val="auto"/>
                <w:szCs w:val="21"/>
              </w:rPr>
            </w:pPr>
            <w:r>
              <w:rPr>
                <w:rFonts w:hint="eastAsia" w:ascii="仿宋" w:hAnsi="仿宋" w:eastAsia="仿宋"/>
                <w:color w:val="auto"/>
                <w:szCs w:val="21"/>
              </w:rPr>
              <w:t>9、除招标文件规定必须提供以外，投标人认为需要提供的其他证明材料（格式自拟）。（投标人根据“第二章 采购需求”及“第四章 评标方法及评标标准”提供有关证明材料）。</w:t>
            </w:r>
          </w:p>
          <w:p w14:paraId="714DE527">
            <w:pPr>
              <w:snapToGrid w:val="0"/>
              <w:spacing w:line="400" w:lineRule="exact"/>
              <w:jc w:val="left"/>
              <w:rPr>
                <w:rFonts w:ascii="仿宋" w:hAnsi="仿宋" w:eastAsia="仿宋"/>
                <w:color w:val="auto"/>
                <w:szCs w:val="21"/>
              </w:rPr>
            </w:pPr>
            <w:r>
              <w:rPr>
                <w:rFonts w:hint="eastAsia" w:ascii="仿宋" w:hAnsi="仿宋" w:eastAsia="仿宋"/>
                <w:color w:val="auto"/>
                <w:szCs w:val="21"/>
              </w:rPr>
              <w:t>1</w:t>
            </w:r>
            <w:r>
              <w:rPr>
                <w:rFonts w:hint="eastAsia" w:ascii="仿宋" w:hAnsi="仿宋" w:eastAsia="仿宋"/>
                <w:color w:val="auto"/>
                <w:szCs w:val="21"/>
                <w:lang w:val="en-US" w:eastAsia="zh-CN"/>
              </w:rPr>
              <w:t>0</w:t>
            </w:r>
            <w:r>
              <w:rPr>
                <w:rFonts w:hint="eastAsia" w:ascii="仿宋" w:hAnsi="仿宋" w:eastAsia="仿宋"/>
                <w:color w:val="auto"/>
                <w:szCs w:val="21"/>
              </w:rPr>
              <w:t>、设备性能配置清单（格式后附）；（</w:t>
            </w:r>
            <w:r>
              <w:rPr>
                <w:rFonts w:hint="eastAsia" w:ascii="仿宋" w:hAnsi="仿宋" w:eastAsia="仿宋"/>
                <w:b/>
                <w:color w:val="auto"/>
                <w:szCs w:val="21"/>
              </w:rPr>
              <w:t>必须提供，否则按无效投标处理</w:t>
            </w:r>
            <w:r>
              <w:rPr>
                <w:rFonts w:hint="eastAsia" w:ascii="仿宋" w:hAnsi="仿宋" w:eastAsia="仿宋"/>
                <w:color w:val="auto"/>
                <w:szCs w:val="21"/>
              </w:rPr>
              <w:t>）</w:t>
            </w:r>
          </w:p>
          <w:p w14:paraId="563FD951">
            <w:pPr>
              <w:snapToGrid w:val="0"/>
              <w:spacing w:line="400" w:lineRule="exact"/>
              <w:jc w:val="left"/>
              <w:rPr>
                <w:rFonts w:ascii="仿宋" w:hAnsi="仿宋" w:eastAsia="仿宋"/>
                <w:color w:val="auto"/>
                <w:szCs w:val="21"/>
              </w:rPr>
            </w:pPr>
            <w:r>
              <w:rPr>
                <w:rFonts w:hint="eastAsia" w:ascii="仿宋" w:hAnsi="仿宋" w:eastAsia="仿宋"/>
                <w:color w:val="auto"/>
                <w:szCs w:val="21"/>
                <w:lang w:val="en-US" w:eastAsia="zh-CN"/>
              </w:rPr>
              <w:t>11</w:t>
            </w:r>
            <w:r>
              <w:rPr>
                <w:rFonts w:hint="eastAsia" w:ascii="仿宋" w:hAnsi="仿宋" w:eastAsia="仿宋"/>
                <w:color w:val="auto"/>
                <w:szCs w:val="21"/>
              </w:rPr>
              <w:t>、技术要求偏离表（格式后附）；（</w:t>
            </w:r>
            <w:r>
              <w:rPr>
                <w:rFonts w:hint="eastAsia" w:ascii="仿宋" w:hAnsi="仿宋" w:eastAsia="仿宋"/>
                <w:b/>
                <w:color w:val="auto"/>
                <w:szCs w:val="21"/>
              </w:rPr>
              <w:t>必须提供，否则按无效投标处理</w:t>
            </w:r>
            <w:r>
              <w:rPr>
                <w:rFonts w:hint="eastAsia" w:ascii="仿宋" w:hAnsi="仿宋" w:eastAsia="仿宋"/>
                <w:color w:val="auto"/>
                <w:szCs w:val="21"/>
              </w:rPr>
              <w:t>）</w:t>
            </w:r>
          </w:p>
          <w:p w14:paraId="36227348">
            <w:pPr>
              <w:snapToGrid w:val="0"/>
              <w:spacing w:line="400" w:lineRule="exact"/>
              <w:jc w:val="left"/>
              <w:rPr>
                <w:rFonts w:ascii="仿宋" w:hAnsi="仿宋" w:eastAsia="仿宋"/>
                <w:color w:val="auto"/>
                <w:szCs w:val="21"/>
              </w:rPr>
            </w:pPr>
            <w:r>
              <w:rPr>
                <w:rFonts w:hint="eastAsia" w:ascii="仿宋" w:hAnsi="仿宋" w:eastAsia="仿宋"/>
                <w:color w:val="auto"/>
                <w:szCs w:val="21"/>
                <w:lang w:val="en-US" w:eastAsia="zh-CN"/>
              </w:rPr>
              <w:t>12</w:t>
            </w:r>
            <w:r>
              <w:rPr>
                <w:rFonts w:hint="eastAsia" w:ascii="仿宋" w:hAnsi="仿宋" w:eastAsia="仿宋"/>
                <w:color w:val="auto"/>
                <w:szCs w:val="21"/>
              </w:rPr>
              <w:t>、项目实施方案（格式自拟）[</w:t>
            </w:r>
            <w:r>
              <w:rPr>
                <w:rFonts w:hint="eastAsia" w:ascii="仿宋" w:hAnsi="仿宋" w:eastAsia="仿宋" w:cs="仿宋"/>
                <w:color w:val="auto"/>
                <w:szCs w:val="21"/>
              </w:rPr>
              <w:t>工作的重点和难点；供货进度安排，能合理说明各个阶段工作安排和进度计划；质量控制措施；风险预见；安装调试方案；管理措施及实施团队</w:t>
            </w:r>
            <w:r>
              <w:rPr>
                <w:rFonts w:hint="eastAsia" w:ascii="仿宋" w:hAnsi="仿宋" w:eastAsia="仿宋"/>
                <w:color w:val="auto"/>
                <w:szCs w:val="21"/>
              </w:rPr>
              <w:t>（项目实施人员一览表（格式后附））]；</w:t>
            </w:r>
            <w:r>
              <w:rPr>
                <w:rFonts w:hint="eastAsia" w:ascii="仿宋" w:hAnsi="仿宋" w:eastAsia="仿宋"/>
                <w:color w:val="auto"/>
                <w:szCs w:val="21"/>
                <w:lang w:eastAsia="zh-CN"/>
              </w:rPr>
              <w:t>（</w:t>
            </w:r>
            <w:r>
              <w:rPr>
                <w:rFonts w:hint="eastAsia" w:ascii="仿宋" w:hAnsi="仿宋" w:eastAsia="仿宋"/>
                <w:color w:val="auto"/>
                <w:szCs w:val="21"/>
                <w:lang w:val="en-US" w:eastAsia="zh-CN"/>
              </w:rPr>
              <w:t>如有请提供）</w:t>
            </w:r>
          </w:p>
          <w:p w14:paraId="4A94181D">
            <w:pPr>
              <w:snapToGrid w:val="0"/>
              <w:spacing w:line="400" w:lineRule="exact"/>
              <w:jc w:val="left"/>
              <w:rPr>
                <w:rFonts w:ascii="仿宋" w:hAnsi="仿宋" w:eastAsia="仿宋"/>
                <w:color w:val="auto"/>
                <w:szCs w:val="21"/>
              </w:rPr>
            </w:pPr>
            <w:r>
              <w:rPr>
                <w:rFonts w:hint="eastAsia" w:ascii="仿宋" w:hAnsi="仿宋" w:eastAsia="仿宋"/>
                <w:color w:val="auto"/>
                <w:szCs w:val="21"/>
                <w:lang w:val="en-US" w:eastAsia="zh-CN"/>
              </w:rPr>
              <w:t>13</w:t>
            </w:r>
            <w:r>
              <w:rPr>
                <w:rFonts w:hint="eastAsia" w:ascii="仿宋" w:hAnsi="仿宋" w:eastAsia="仿宋"/>
                <w:color w:val="auto"/>
                <w:szCs w:val="21"/>
              </w:rPr>
              <w:t>、对本项目系统总体要求的理解。包括：功能说明、性能指标及设备选型说明（质量、性能、价格、外观、体积等方面进行比较和选择的理由及过程，格式自拟）；</w:t>
            </w:r>
            <w:r>
              <w:rPr>
                <w:rFonts w:hint="eastAsia" w:ascii="仿宋" w:hAnsi="仿宋" w:eastAsia="仿宋"/>
                <w:color w:val="auto"/>
                <w:szCs w:val="21"/>
                <w:lang w:eastAsia="zh-CN"/>
              </w:rPr>
              <w:t>（</w:t>
            </w:r>
            <w:r>
              <w:rPr>
                <w:rFonts w:hint="eastAsia" w:ascii="仿宋" w:hAnsi="仿宋" w:eastAsia="仿宋"/>
                <w:color w:val="auto"/>
                <w:szCs w:val="21"/>
                <w:lang w:val="en-US" w:eastAsia="zh-CN"/>
              </w:rPr>
              <w:t>如有请提供）</w:t>
            </w:r>
          </w:p>
          <w:p w14:paraId="673E9F9B">
            <w:pPr>
              <w:snapToGrid w:val="0"/>
              <w:spacing w:line="400" w:lineRule="exact"/>
              <w:jc w:val="left"/>
              <w:rPr>
                <w:rFonts w:ascii="仿宋" w:hAnsi="仿宋" w:eastAsia="仿宋"/>
                <w:color w:val="auto"/>
                <w:szCs w:val="21"/>
              </w:rPr>
            </w:pPr>
            <w:r>
              <w:rPr>
                <w:rFonts w:hint="eastAsia" w:ascii="仿宋" w:hAnsi="仿宋" w:eastAsia="仿宋"/>
                <w:color w:val="auto"/>
                <w:szCs w:val="21"/>
                <w:lang w:val="en-US" w:eastAsia="zh-CN"/>
              </w:rPr>
              <w:t>14</w:t>
            </w:r>
            <w:r>
              <w:rPr>
                <w:rFonts w:hint="eastAsia" w:ascii="仿宋" w:hAnsi="仿宋" w:eastAsia="仿宋"/>
                <w:color w:val="auto"/>
                <w:szCs w:val="21"/>
              </w:rPr>
              <w:t>、产品出厂标准、质量检测报告[其中有精度要求的仪器设备类政府采购项目，应当要求投标人提供精度数据（</w:t>
            </w:r>
            <w:r>
              <w:rPr>
                <w:rFonts w:ascii="仿宋" w:hAnsi="仿宋" w:eastAsia="仿宋"/>
                <w:color w:val="auto"/>
              </w:rPr>
              <w:t>国家认可的有资质的第三方检测机构出具的检测报告复印件</w:t>
            </w:r>
            <w:r>
              <w:rPr>
                <w:rFonts w:hint="eastAsia" w:ascii="仿宋" w:hAnsi="仿宋" w:eastAsia="仿宋"/>
                <w:color w:val="auto"/>
                <w:szCs w:val="21"/>
              </w:rPr>
              <w:t>或者由采购人在投标前组织的实测获得）]；（</w:t>
            </w:r>
            <w:r>
              <w:rPr>
                <w:rFonts w:hint="eastAsia" w:ascii="仿宋" w:hAnsi="仿宋" w:eastAsia="仿宋"/>
                <w:b/>
                <w:color w:val="auto"/>
                <w:szCs w:val="21"/>
              </w:rPr>
              <w:t>采购需求中要求必须提供时必须提供，否则按无效投标处理</w:t>
            </w:r>
            <w:r>
              <w:rPr>
                <w:rFonts w:hint="eastAsia" w:ascii="仿宋" w:hAnsi="仿宋" w:eastAsia="仿宋"/>
                <w:color w:val="auto"/>
                <w:szCs w:val="21"/>
              </w:rPr>
              <w:t>）</w:t>
            </w:r>
          </w:p>
          <w:p w14:paraId="07847409">
            <w:pPr>
              <w:snapToGrid w:val="0"/>
              <w:spacing w:line="400" w:lineRule="exact"/>
              <w:jc w:val="left"/>
              <w:rPr>
                <w:rFonts w:ascii="仿宋" w:hAnsi="仿宋" w:eastAsia="仿宋"/>
                <w:color w:val="auto"/>
                <w:szCs w:val="21"/>
              </w:rPr>
            </w:pPr>
            <w:r>
              <w:rPr>
                <w:rFonts w:hint="eastAsia" w:ascii="仿宋" w:hAnsi="仿宋" w:eastAsia="仿宋"/>
                <w:color w:val="auto"/>
                <w:szCs w:val="21"/>
                <w:lang w:val="en-US" w:eastAsia="zh-CN"/>
              </w:rPr>
              <w:t>15</w:t>
            </w:r>
            <w:r>
              <w:rPr>
                <w:rFonts w:hint="eastAsia" w:ascii="仿宋" w:hAnsi="仿宋" w:eastAsia="仿宋"/>
                <w:color w:val="auto"/>
                <w:szCs w:val="21"/>
              </w:rPr>
              <w:t>、优惠条件：投标人承诺给予招标人的各种优惠条件，包括售后服务、备品备件、专用耗材等方面的优惠；投标人不得给予赠品或者与采购无关的其他商品、服务；</w:t>
            </w:r>
            <w:r>
              <w:rPr>
                <w:rFonts w:hint="eastAsia" w:ascii="仿宋" w:hAnsi="仿宋" w:eastAsia="仿宋"/>
                <w:color w:val="auto"/>
                <w:szCs w:val="21"/>
                <w:lang w:eastAsia="zh-CN"/>
              </w:rPr>
              <w:t>（</w:t>
            </w:r>
            <w:r>
              <w:rPr>
                <w:rFonts w:hint="eastAsia" w:ascii="仿宋" w:hAnsi="仿宋" w:eastAsia="仿宋"/>
                <w:color w:val="auto"/>
                <w:szCs w:val="21"/>
                <w:lang w:val="en-US" w:eastAsia="zh-CN"/>
              </w:rPr>
              <w:t>如有请提供）</w:t>
            </w:r>
          </w:p>
          <w:p w14:paraId="1859C99B">
            <w:pPr>
              <w:snapToGrid w:val="0"/>
              <w:spacing w:line="400" w:lineRule="exact"/>
              <w:jc w:val="left"/>
              <w:rPr>
                <w:rFonts w:ascii="仿宋" w:hAnsi="仿宋" w:eastAsia="仿宋"/>
                <w:color w:val="auto"/>
                <w:szCs w:val="21"/>
              </w:rPr>
            </w:pPr>
            <w:r>
              <w:rPr>
                <w:rFonts w:hint="eastAsia" w:ascii="仿宋" w:hAnsi="仿宋" w:eastAsia="仿宋"/>
                <w:color w:val="auto"/>
                <w:szCs w:val="21"/>
                <w:lang w:val="en-US" w:eastAsia="zh-CN"/>
              </w:rPr>
              <w:t>16</w:t>
            </w:r>
            <w:r>
              <w:rPr>
                <w:rFonts w:hint="eastAsia" w:ascii="仿宋" w:hAnsi="仿宋" w:eastAsia="仿宋"/>
                <w:color w:val="auto"/>
                <w:szCs w:val="21"/>
              </w:rPr>
              <w:t>、投标人对本项目的合理化建议和改进措施（格式自拟）；</w:t>
            </w:r>
            <w:r>
              <w:rPr>
                <w:rFonts w:hint="eastAsia" w:ascii="仿宋" w:hAnsi="仿宋" w:eastAsia="仿宋"/>
                <w:color w:val="auto"/>
                <w:szCs w:val="21"/>
                <w:lang w:eastAsia="zh-CN"/>
              </w:rPr>
              <w:t>（</w:t>
            </w:r>
            <w:r>
              <w:rPr>
                <w:rFonts w:hint="eastAsia" w:ascii="仿宋" w:hAnsi="仿宋" w:eastAsia="仿宋"/>
                <w:color w:val="auto"/>
                <w:szCs w:val="21"/>
                <w:lang w:val="en-US" w:eastAsia="zh-CN"/>
              </w:rPr>
              <w:t>如有请提供）</w:t>
            </w:r>
          </w:p>
          <w:p w14:paraId="0E87C49E">
            <w:pPr>
              <w:pStyle w:val="2"/>
              <w:ind w:left="0" w:leftChars="0" w:firstLine="0" w:firstLineChars="0"/>
            </w:pPr>
            <w:r>
              <w:rPr>
                <w:rFonts w:hint="eastAsia" w:ascii="仿宋" w:hAnsi="仿宋" w:eastAsia="仿宋"/>
                <w:color w:val="auto"/>
                <w:szCs w:val="21"/>
                <w:lang w:val="en-US" w:eastAsia="zh-CN"/>
              </w:rPr>
              <w:t>17</w:t>
            </w:r>
            <w:r>
              <w:rPr>
                <w:rFonts w:hint="eastAsia" w:ascii="仿宋" w:hAnsi="仿宋" w:eastAsia="仿宋"/>
                <w:color w:val="auto"/>
                <w:szCs w:val="21"/>
              </w:rPr>
              <w:t>、除招标文件规定必须提供以外，投标人需要说明的其他文件和说明（格式自拟）。</w:t>
            </w:r>
            <w:r>
              <w:rPr>
                <w:rFonts w:hint="eastAsia" w:ascii="仿宋" w:hAnsi="仿宋" w:eastAsia="仿宋"/>
                <w:color w:val="auto"/>
                <w:szCs w:val="21"/>
                <w:lang w:eastAsia="zh-CN"/>
              </w:rPr>
              <w:t>（</w:t>
            </w:r>
            <w:r>
              <w:rPr>
                <w:rFonts w:hint="eastAsia" w:ascii="仿宋" w:hAnsi="仿宋" w:eastAsia="仿宋"/>
                <w:color w:val="auto"/>
                <w:szCs w:val="21"/>
                <w:lang w:val="en-US" w:eastAsia="zh-CN"/>
              </w:rPr>
              <w:t>如有请提供）</w:t>
            </w:r>
          </w:p>
          <w:p w14:paraId="5E843B5C">
            <w:pPr>
              <w:snapToGrid w:val="0"/>
              <w:spacing w:line="400" w:lineRule="exact"/>
              <w:ind w:firstLine="422" w:firstLineChars="200"/>
              <w:jc w:val="left"/>
              <w:rPr>
                <w:rFonts w:ascii="仿宋" w:hAnsi="仿宋" w:eastAsia="仿宋"/>
                <w:color w:val="auto"/>
                <w:szCs w:val="21"/>
              </w:rPr>
            </w:pPr>
            <w:r>
              <w:rPr>
                <w:rFonts w:hint="eastAsia" w:ascii="仿宋" w:hAnsi="仿宋" w:eastAsia="仿宋"/>
                <w:b/>
                <w:bCs/>
                <w:color w:val="auto"/>
                <w:szCs w:val="21"/>
              </w:rPr>
              <w:t>注：以上标明“必须提供”的材料属于复印件的，必须加盖投标人公章，否则按无效投标</w:t>
            </w:r>
            <w:r>
              <w:rPr>
                <w:rFonts w:hint="eastAsia" w:ascii="仿宋" w:hAnsi="仿宋" w:eastAsia="仿宋" w:cs="Courier New"/>
                <w:b/>
                <w:color w:val="auto"/>
                <w:szCs w:val="21"/>
              </w:rPr>
              <w:t>处理</w:t>
            </w:r>
            <w:r>
              <w:rPr>
                <w:rFonts w:hint="eastAsia" w:ascii="仿宋" w:hAnsi="仿宋" w:eastAsia="仿宋"/>
                <w:b/>
                <w:bCs/>
                <w:color w:val="auto"/>
                <w:szCs w:val="21"/>
              </w:rPr>
              <w:t>。</w:t>
            </w:r>
          </w:p>
        </w:tc>
      </w:tr>
      <w:tr w14:paraId="0B9B43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2E5AF566">
            <w:pPr>
              <w:spacing w:line="400" w:lineRule="exact"/>
              <w:jc w:val="center"/>
              <w:rPr>
                <w:rFonts w:ascii="仿宋" w:hAnsi="仿宋" w:eastAsia="仿宋"/>
                <w:color w:val="auto"/>
                <w:szCs w:val="21"/>
              </w:rPr>
            </w:pPr>
            <w:bookmarkStart w:id="53" w:name="_13.4"/>
            <w:bookmarkEnd w:id="53"/>
            <w:bookmarkStart w:id="54" w:name="_16.2"/>
            <w:bookmarkEnd w:id="54"/>
            <w:bookmarkStart w:id="55" w:name="_13.5"/>
            <w:bookmarkEnd w:id="55"/>
            <w:r>
              <w:rPr>
                <w:rFonts w:hint="eastAsia" w:ascii="仿宋" w:hAnsi="仿宋" w:eastAsia="仿宋"/>
                <w:color w:val="auto"/>
                <w:szCs w:val="21"/>
              </w:rPr>
              <w:t>16</w:t>
            </w:r>
            <w:bookmarkStart w:id="56" w:name="_Hlt19693759"/>
            <w:bookmarkStart w:id="57" w:name="_Hlt19194066"/>
            <w:bookmarkStart w:id="58" w:name="_Hlt19194067"/>
            <w:bookmarkStart w:id="59" w:name="_Hlt19693758"/>
            <w:r>
              <w:rPr>
                <w:rFonts w:hint="eastAsia" w:ascii="仿宋" w:hAnsi="仿宋" w:eastAsia="仿宋"/>
                <w:color w:val="auto"/>
                <w:szCs w:val="21"/>
              </w:rPr>
              <w:t>.</w:t>
            </w:r>
            <w:bookmarkEnd w:id="56"/>
            <w:bookmarkEnd w:id="57"/>
            <w:bookmarkEnd w:id="58"/>
            <w:bookmarkEnd w:id="59"/>
            <w:r>
              <w:rPr>
                <w:rFonts w:hint="eastAsia" w:ascii="仿宋" w:hAnsi="仿宋" w:eastAsia="仿宋"/>
                <w:color w:val="auto"/>
                <w:szCs w:val="21"/>
              </w:rPr>
              <w:t>2</w:t>
            </w:r>
          </w:p>
        </w:tc>
        <w:tc>
          <w:tcPr>
            <w:tcW w:w="8708" w:type="dxa"/>
            <w:tcBorders>
              <w:top w:val="single" w:color="auto" w:sz="4" w:space="0"/>
              <w:left w:val="single" w:color="auto" w:sz="4" w:space="0"/>
              <w:bottom w:val="single" w:color="auto" w:sz="4" w:space="0"/>
              <w:right w:val="single" w:color="auto" w:sz="4" w:space="0"/>
            </w:tcBorders>
            <w:vAlign w:val="center"/>
          </w:tcPr>
          <w:p w14:paraId="0E2EF3A7">
            <w:pPr>
              <w:snapToGrid w:val="0"/>
              <w:spacing w:line="400" w:lineRule="exact"/>
              <w:rPr>
                <w:rFonts w:ascii="仿宋" w:hAnsi="仿宋" w:eastAsia="仿宋"/>
                <w:b/>
                <w:color w:val="auto"/>
                <w:szCs w:val="21"/>
              </w:rPr>
            </w:pPr>
            <w:r>
              <w:rPr>
                <w:rFonts w:hint="eastAsia" w:ascii="仿宋" w:hAnsi="仿宋" w:eastAsia="仿宋"/>
                <w:color w:val="auto"/>
                <w:szCs w:val="21"/>
              </w:rPr>
              <w:t>投标报价是履行合同的最终价格，包括投标货物（包括备品备件、专用工具等）的价格，投标货物运输（含保险）、安装（如有）、调试、检验、技术服务、培训和招标文件要求提供的所有伴随服务、工程等费用和税费。</w:t>
            </w:r>
            <w:r>
              <w:rPr>
                <w:rFonts w:hint="eastAsia" w:ascii="仿宋" w:hAnsi="仿宋" w:eastAsia="仿宋"/>
                <w:b/>
                <w:color w:val="auto"/>
                <w:szCs w:val="21"/>
              </w:rPr>
              <w:t>（采购需求另有约定的，从其约定）</w:t>
            </w:r>
          </w:p>
        </w:tc>
      </w:tr>
      <w:tr w14:paraId="643581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3494C719">
            <w:pPr>
              <w:spacing w:line="400" w:lineRule="exact"/>
              <w:jc w:val="center"/>
              <w:rPr>
                <w:rFonts w:ascii="仿宋" w:hAnsi="仿宋" w:eastAsia="仿宋"/>
                <w:color w:val="auto"/>
                <w:szCs w:val="21"/>
              </w:rPr>
            </w:pPr>
            <w:bookmarkStart w:id="60" w:name="_17.1"/>
            <w:bookmarkEnd w:id="60"/>
            <w:r>
              <w:rPr>
                <w:rFonts w:hint="eastAsia" w:ascii="仿宋" w:hAnsi="仿宋" w:eastAsia="仿宋"/>
                <w:color w:val="auto"/>
                <w:szCs w:val="21"/>
              </w:rPr>
              <w:t>17.</w:t>
            </w:r>
            <w:r>
              <w:rPr>
                <w:rFonts w:ascii="仿宋" w:hAnsi="仿宋" w:eastAsia="仿宋"/>
                <w:color w:val="auto"/>
                <w:szCs w:val="21"/>
              </w:rPr>
              <w:t>2</w:t>
            </w:r>
          </w:p>
        </w:tc>
        <w:tc>
          <w:tcPr>
            <w:tcW w:w="8708" w:type="dxa"/>
            <w:tcBorders>
              <w:top w:val="single" w:color="auto" w:sz="4" w:space="0"/>
              <w:left w:val="single" w:color="auto" w:sz="4" w:space="0"/>
              <w:bottom w:val="single" w:color="auto" w:sz="4" w:space="0"/>
              <w:right w:val="single" w:color="auto" w:sz="4" w:space="0"/>
            </w:tcBorders>
            <w:vAlign w:val="center"/>
          </w:tcPr>
          <w:p w14:paraId="2124532C">
            <w:pPr>
              <w:snapToGrid w:val="0"/>
              <w:spacing w:line="400" w:lineRule="exact"/>
              <w:rPr>
                <w:rFonts w:ascii="仿宋" w:hAnsi="仿宋" w:eastAsia="仿宋"/>
                <w:color w:val="auto"/>
                <w:szCs w:val="21"/>
              </w:rPr>
            </w:pPr>
            <w:r>
              <w:rPr>
                <w:rFonts w:hint="eastAsia" w:ascii="仿宋" w:hAnsi="仿宋" w:eastAsia="仿宋"/>
                <w:color w:val="auto"/>
                <w:szCs w:val="21"/>
              </w:rPr>
              <w:t>投标有效期：投标截止之日起60天内。</w:t>
            </w:r>
          </w:p>
        </w:tc>
      </w:tr>
      <w:tr w14:paraId="41E07F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612D61D2">
            <w:pPr>
              <w:spacing w:line="400" w:lineRule="exact"/>
              <w:jc w:val="center"/>
              <w:rPr>
                <w:rFonts w:ascii="仿宋" w:hAnsi="仿宋" w:eastAsia="仿宋"/>
                <w:color w:val="auto"/>
                <w:szCs w:val="21"/>
              </w:rPr>
            </w:pPr>
            <w:bookmarkStart w:id="61" w:name="_18"/>
            <w:bookmarkEnd w:id="61"/>
            <w:r>
              <w:rPr>
                <w:rFonts w:hint="eastAsia" w:ascii="仿宋" w:hAnsi="仿宋" w:eastAsia="仿宋"/>
                <w:color w:val="auto"/>
                <w:szCs w:val="21"/>
              </w:rPr>
              <w:t>18</w:t>
            </w:r>
            <w:r>
              <w:rPr>
                <w:rFonts w:ascii="仿宋" w:hAnsi="仿宋" w:eastAsia="仿宋"/>
                <w:color w:val="auto"/>
                <w:szCs w:val="21"/>
              </w:rPr>
              <w:t>.1</w:t>
            </w:r>
          </w:p>
        </w:tc>
        <w:tc>
          <w:tcPr>
            <w:tcW w:w="8708" w:type="dxa"/>
            <w:tcBorders>
              <w:top w:val="single" w:color="auto" w:sz="4" w:space="0"/>
              <w:left w:val="single" w:color="auto" w:sz="4" w:space="0"/>
              <w:bottom w:val="single" w:color="auto" w:sz="4" w:space="0"/>
              <w:right w:val="single" w:color="auto" w:sz="4" w:space="0"/>
            </w:tcBorders>
            <w:vAlign w:val="center"/>
          </w:tcPr>
          <w:p w14:paraId="0970619E">
            <w:pPr>
              <w:snapToGrid w:val="0"/>
              <w:spacing w:line="400" w:lineRule="exact"/>
              <w:rPr>
                <w:rFonts w:ascii="仿宋" w:hAnsi="仿宋" w:eastAsia="仿宋"/>
                <w:color w:val="auto"/>
                <w:szCs w:val="21"/>
              </w:rPr>
            </w:pPr>
            <w:r>
              <w:rPr>
                <w:rFonts w:hint="eastAsia" w:ascii="仿宋" w:hAnsi="仿宋" w:eastAsia="仿宋"/>
                <w:color w:val="auto"/>
                <w:szCs w:val="21"/>
              </w:rPr>
              <w:sym w:font="Wingdings" w:char="00A8"/>
            </w:r>
            <w:r>
              <w:rPr>
                <w:rFonts w:hint="eastAsia" w:ascii="仿宋" w:hAnsi="仿宋" w:eastAsia="仿宋"/>
                <w:color w:val="auto"/>
                <w:szCs w:val="21"/>
              </w:rPr>
              <w:t>本项目不收取投标保证金；</w:t>
            </w:r>
          </w:p>
          <w:p w14:paraId="1459EAAB">
            <w:pPr>
              <w:snapToGrid w:val="0"/>
              <w:spacing w:line="400" w:lineRule="exact"/>
              <w:rPr>
                <w:rFonts w:ascii="仿宋" w:hAnsi="仿宋" w:eastAsia="仿宋"/>
                <w:color w:val="auto"/>
                <w:szCs w:val="21"/>
              </w:rPr>
            </w:pPr>
            <w:r>
              <w:rPr>
                <w:rFonts w:hint="eastAsia" w:ascii="仿宋" w:hAnsi="仿宋" w:eastAsia="仿宋"/>
                <w:color w:val="auto"/>
                <w:szCs w:val="21"/>
              </w:rPr>
              <w:sym w:font="Wingdings" w:char="00FE"/>
            </w:r>
            <w:r>
              <w:rPr>
                <w:rFonts w:hint="eastAsia" w:ascii="仿宋" w:hAnsi="仿宋" w:eastAsia="仿宋"/>
                <w:color w:val="auto"/>
                <w:szCs w:val="21"/>
              </w:rPr>
              <w:t>本项目收取投标保证金，具体规定如下：</w:t>
            </w:r>
          </w:p>
          <w:p w14:paraId="16BD879D">
            <w:pPr>
              <w:snapToGrid w:val="0"/>
              <w:spacing w:line="400" w:lineRule="exact"/>
              <w:rPr>
                <w:rFonts w:ascii="仿宋" w:hAnsi="仿宋" w:eastAsia="仿宋" w:cs="宋体"/>
                <w:color w:val="auto"/>
                <w:kern w:val="0"/>
                <w:szCs w:val="21"/>
              </w:rPr>
            </w:pPr>
            <w:r>
              <w:rPr>
                <w:rFonts w:hint="eastAsia" w:ascii="仿宋" w:hAnsi="仿宋" w:eastAsia="仿宋" w:cs="宋体"/>
                <w:color w:val="auto"/>
                <w:kern w:val="0"/>
                <w:szCs w:val="21"/>
              </w:rPr>
              <w:t>保证金金额：</w:t>
            </w:r>
            <w:r>
              <w:rPr>
                <w:rFonts w:hint="eastAsia" w:ascii="仿宋" w:hAnsi="仿宋" w:eastAsia="仿宋"/>
                <w:color w:val="auto"/>
                <w:szCs w:val="21"/>
              </w:rPr>
              <w:t>1分标：</w:t>
            </w:r>
            <w:r>
              <w:rPr>
                <w:rFonts w:hint="eastAsia" w:ascii="仿宋" w:hAnsi="仿宋" w:eastAsia="仿宋"/>
                <w:color w:val="auto"/>
                <w:szCs w:val="21"/>
                <w:lang w:val="en-US" w:eastAsia="zh-CN"/>
              </w:rPr>
              <w:t>2</w:t>
            </w:r>
            <w:r>
              <w:rPr>
                <w:rFonts w:hint="eastAsia" w:ascii="仿宋" w:hAnsi="仿宋" w:eastAsia="仿宋"/>
                <w:color w:val="auto"/>
                <w:szCs w:val="21"/>
              </w:rPr>
              <w:t>万元；2分标：</w:t>
            </w:r>
            <w:r>
              <w:rPr>
                <w:rFonts w:hint="eastAsia" w:ascii="仿宋" w:hAnsi="仿宋" w:eastAsia="仿宋"/>
                <w:color w:val="auto"/>
                <w:szCs w:val="21"/>
                <w:lang w:val="en-US" w:eastAsia="zh-CN"/>
              </w:rPr>
              <w:t>2</w:t>
            </w:r>
            <w:r>
              <w:rPr>
                <w:rFonts w:hint="eastAsia" w:ascii="仿宋" w:hAnsi="仿宋" w:eastAsia="仿宋"/>
                <w:color w:val="auto"/>
                <w:szCs w:val="21"/>
              </w:rPr>
              <w:t>万元；</w:t>
            </w:r>
            <w:r>
              <w:rPr>
                <w:rFonts w:hint="eastAsia" w:ascii="仿宋" w:hAnsi="仿宋" w:eastAsia="仿宋" w:cs="宋体"/>
                <w:color w:val="auto"/>
                <w:kern w:val="0"/>
                <w:szCs w:val="21"/>
              </w:rPr>
              <w:t>。</w:t>
            </w:r>
          </w:p>
          <w:p w14:paraId="26662FF1">
            <w:pPr>
              <w:snapToGrid w:val="0"/>
              <w:spacing w:line="400" w:lineRule="exact"/>
              <w:rPr>
                <w:rFonts w:ascii="仿宋" w:hAnsi="仿宋" w:eastAsia="仿宋"/>
                <w:color w:val="auto"/>
                <w:szCs w:val="21"/>
              </w:rPr>
            </w:pPr>
            <w:r>
              <w:rPr>
                <w:rFonts w:hint="eastAsia" w:ascii="仿宋" w:hAnsi="仿宋" w:eastAsia="仿宋" w:cs="宋体"/>
                <w:color w:val="auto"/>
                <w:kern w:val="0"/>
                <w:szCs w:val="21"/>
              </w:rPr>
              <w:t>投标保证金的交纳方式：银行转账、支票、汇票、本票或者金融、担保机构出具的保函，禁止采用现钞方式。采用银行转账方式的，在投标截止时间前交至指定账户并且到账（</w:t>
            </w:r>
            <w:r>
              <w:rPr>
                <w:rFonts w:hint="eastAsia" w:ascii="仿宋" w:hAnsi="仿宋" w:eastAsia="仿宋" w:cs="宋体"/>
                <w:b/>
                <w:color w:val="auto"/>
                <w:szCs w:val="21"/>
              </w:rPr>
              <w:t>开户名称：广西科文招标有限公司，开户银行：广西北部湾银行南宁分行营业部，银行账号：0101012090615689</w:t>
            </w:r>
            <w:r>
              <w:rPr>
                <w:rFonts w:hint="eastAsia" w:ascii="仿宋" w:hAnsi="仿宋" w:eastAsia="仿宋" w:cs="宋体"/>
                <w:color w:val="auto"/>
                <w:kern w:val="0"/>
                <w:szCs w:val="21"/>
              </w:rPr>
              <w:t>）；采用支票、汇票、本票或者保函等方式的，在投标截止时间前，投标人必须递交支票、汇票、本票或者保函原件。否则视为无效投标保证金。</w:t>
            </w:r>
          </w:p>
          <w:p w14:paraId="76B029AB">
            <w:pPr>
              <w:snapToGrid w:val="0"/>
              <w:spacing w:line="400" w:lineRule="exact"/>
              <w:rPr>
                <w:rFonts w:ascii="仿宋" w:hAnsi="仿宋" w:eastAsia="仿宋"/>
                <w:color w:val="auto"/>
                <w:szCs w:val="21"/>
              </w:rPr>
            </w:pPr>
            <w:r>
              <w:rPr>
                <w:rFonts w:hint="eastAsia" w:ascii="仿宋" w:hAnsi="仿宋" w:eastAsia="仿宋"/>
                <w:color w:val="auto"/>
                <w:szCs w:val="21"/>
              </w:rPr>
              <w:t>相关要求：</w:t>
            </w:r>
          </w:p>
          <w:p w14:paraId="2D1C0ABF">
            <w:pPr>
              <w:pStyle w:val="17"/>
              <w:spacing w:line="400" w:lineRule="exact"/>
              <w:rPr>
                <w:rFonts w:ascii="仿宋" w:hAnsi="仿宋" w:eastAsia="仿宋"/>
                <w:color w:val="auto"/>
                <w:szCs w:val="21"/>
              </w:rPr>
            </w:pPr>
            <w:r>
              <w:rPr>
                <w:rFonts w:hint="eastAsia" w:ascii="仿宋" w:hAnsi="仿宋" w:eastAsia="仿宋"/>
                <w:color w:val="auto"/>
                <w:szCs w:val="21"/>
              </w:rPr>
              <w:t>1、投标保证金采用银行转账交纳方式的，在投标截止时间前交至指定账户并且到账，投标人应将银行转账底单的复印件或截图作为投标保证金提交凭证，放置于商务文件中，</w:t>
            </w:r>
            <w:r>
              <w:rPr>
                <w:rFonts w:hint="eastAsia" w:ascii="仿宋" w:hAnsi="仿宋" w:eastAsia="仿宋"/>
                <w:b/>
                <w:color w:val="auto"/>
                <w:szCs w:val="21"/>
              </w:rPr>
              <w:t>否则投标无效</w:t>
            </w:r>
            <w:r>
              <w:rPr>
                <w:rFonts w:hint="eastAsia" w:ascii="仿宋" w:hAnsi="仿宋" w:eastAsia="仿宋"/>
                <w:color w:val="auto"/>
                <w:szCs w:val="21"/>
              </w:rPr>
              <w:t>。</w:t>
            </w:r>
          </w:p>
          <w:p w14:paraId="17584A7F">
            <w:pPr>
              <w:snapToGrid w:val="0"/>
              <w:spacing w:line="400" w:lineRule="exact"/>
              <w:rPr>
                <w:rFonts w:ascii="仿宋" w:hAnsi="仿宋" w:eastAsia="仿宋"/>
                <w:color w:val="auto"/>
                <w:szCs w:val="21"/>
              </w:rPr>
            </w:pPr>
            <w:r>
              <w:rPr>
                <w:rFonts w:hint="eastAsia" w:ascii="仿宋" w:hAnsi="仿宋" w:eastAsia="仿宋"/>
                <w:color w:val="auto"/>
                <w:szCs w:val="21"/>
              </w:rPr>
              <w:t>2、投标保证金采用支票、汇票、本票或者金融、担保机构出具的保函交纳方式的，投标人应将支票、汇票、本票或者金融、担保机构出具的保函的复印件作为投标保证金提交凭证，放置于商务文件中，</w:t>
            </w:r>
            <w:r>
              <w:rPr>
                <w:rFonts w:hint="eastAsia" w:ascii="仿宋" w:hAnsi="仿宋" w:eastAsia="仿宋"/>
                <w:b/>
                <w:color w:val="auto"/>
                <w:szCs w:val="21"/>
              </w:rPr>
              <w:t>否则投标无效</w:t>
            </w:r>
            <w:r>
              <w:rPr>
                <w:rFonts w:hint="eastAsia" w:ascii="仿宋" w:hAnsi="仿宋" w:eastAsia="仿宋"/>
                <w:color w:val="auto"/>
                <w:szCs w:val="21"/>
              </w:rPr>
              <w:t>。</w:t>
            </w:r>
            <w:r>
              <w:rPr>
                <w:rFonts w:hint="eastAsia" w:ascii="仿宋" w:hAnsi="仿宋" w:eastAsia="仿宋"/>
                <w:b/>
                <w:color w:val="auto"/>
                <w:szCs w:val="21"/>
              </w:rPr>
              <w:t>投标人必须在投标截止时间前将支票、汇票、本票或者金融、担保机构出具的保函原件提交给采购代理机构，由采购代理机构向投标人出具回执，并妥善保管。</w:t>
            </w:r>
          </w:p>
          <w:p w14:paraId="04C1AA71">
            <w:pPr>
              <w:snapToGrid w:val="0"/>
              <w:spacing w:line="400" w:lineRule="exact"/>
              <w:rPr>
                <w:rFonts w:ascii="仿宋" w:hAnsi="仿宋" w:eastAsia="仿宋"/>
                <w:color w:val="auto"/>
                <w:szCs w:val="21"/>
              </w:rPr>
            </w:pPr>
            <w:r>
              <w:rPr>
                <w:rFonts w:hint="eastAsia" w:ascii="仿宋" w:hAnsi="仿宋" w:eastAsia="仿宋" w:cs="宋体"/>
                <w:color w:val="auto"/>
                <w:szCs w:val="21"/>
              </w:rPr>
              <w:t>3、投标人为联合体的，可以由联合体中的一方或者多方共同交纳投标保证金，其交纳的保证金对联合体各方均具有约束力。</w:t>
            </w:r>
          </w:p>
          <w:p w14:paraId="75DA1946">
            <w:pPr>
              <w:snapToGrid w:val="0"/>
              <w:spacing w:line="400" w:lineRule="exact"/>
              <w:rPr>
                <w:rFonts w:ascii="仿宋" w:hAnsi="仿宋" w:eastAsia="仿宋"/>
                <w:b/>
                <w:color w:val="auto"/>
                <w:szCs w:val="21"/>
              </w:rPr>
            </w:pPr>
            <w:r>
              <w:rPr>
                <w:rFonts w:hint="eastAsia" w:ascii="仿宋" w:hAnsi="仿宋" w:eastAsia="仿宋"/>
                <w:b/>
                <w:color w:val="auto"/>
                <w:szCs w:val="21"/>
              </w:rPr>
              <w:t xml:space="preserve">备注： </w:t>
            </w:r>
          </w:p>
          <w:p w14:paraId="3CD964F8">
            <w:pPr>
              <w:snapToGrid w:val="0"/>
              <w:spacing w:line="400" w:lineRule="exact"/>
              <w:rPr>
                <w:rFonts w:ascii="仿宋" w:hAnsi="仿宋" w:eastAsia="仿宋"/>
                <w:b/>
                <w:color w:val="auto"/>
                <w:szCs w:val="21"/>
              </w:rPr>
            </w:pPr>
            <w:r>
              <w:rPr>
                <w:rFonts w:hint="eastAsia" w:ascii="仿宋" w:hAnsi="仿宋" w:eastAsia="仿宋"/>
                <w:b/>
                <w:color w:val="auto"/>
                <w:szCs w:val="21"/>
              </w:rPr>
              <w:t>1、投标保证金在投标截止时间后提交的，或者不按规定交纳方式交纳的，或者未足额交纳的（包含保函额度不足的），视为无效投标保证金。</w:t>
            </w:r>
          </w:p>
          <w:p w14:paraId="3C4124C3">
            <w:pPr>
              <w:snapToGrid w:val="0"/>
              <w:spacing w:line="400" w:lineRule="exact"/>
              <w:rPr>
                <w:rFonts w:ascii="仿宋" w:hAnsi="仿宋" w:eastAsia="仿宋"/>
                <w:b/>
                <w:color w:val="auto"/>
                <w:szCs w:val="21"/>
              </w:rPr>
            </w:pPr>
            <w:r>
              <w:rPr>
                <w:rFonts w:hint="eastAsia" w:ascii="仿宋" w:hAnsi="仿宋" w:eastAsia="仿宋"/>
                <w:b/>
                <w:color w:val="auto"/>
                <w:szCs w:val="21"/>
              </w:rPr>
              <w:t>2、投标人采用现钞方式或者从个人账户（自然人投标除外）转出的投标保证金，视为无效投标保证金。</w:t>
            </w:r>
          </w:p>
          <w:p w14:paraId="34EC598A">
            <w:pPr>
              <w:snapToGrid w:val="0"/>
              <w:spacing w:line="400" w:lineRule="exact"/>
              <w:rPr>
                <w:rFonts w:ascii="仿宋" w:hAnsi="仿宋" w:eastAsia="仿宋"/>
                <w:b/>
                <w:color w:val="auto"/>
                <w:szCs w:val="21"/>
              </w:rPr>
            </w:pPr>
            <w:r>
              <w:rPr>
                <w:rFonts w:hint="eastAsia" w:ascii="仿宋" w:hAnsi="仿宋" w:eastAsia="仿宋"/>
                <w:b/>
                <w:color w:val="auto"/>
                <w:szCs w:val="21"/>
              </w:rPr>
              <w:t>3、支票、汇票或者本票出现无效或者背书情形的，视为无效投标保证金。</w:t>
            </w:r>
          </w:p>
          <w:p w14:paraId="0B97F957">
            <w:pPr>
              <w:snapToGrid w:val="0"/>
              <w:spacing w:line="400" w:lineRule="exact"/>
              <w:rPr>
                <w:rFonts w:ascii="仿宋" w:hAnsi="仿宋" w:eastAsia="仿宋"/>
                <w:b/>
                <w:color w:val="auto"/>
                <w:szCs w:val="21"/>
              </w:rPr>
            </w:pPr>
            <w:r>
              <w:rPr>
                <w:rFonts w:hint="eastAsia" w:ascii="仿宋" w:hAnsi="仿宋" w:eastAsia="仿宋"/>
                <w:b/>
                <w:color w:val="auto"/>
                <w:szCs w:val="21"/>
              </w:rPr>
              <w:t>4、保函有效期低于投标有效期的，视为无效投标保证金。</w:t>
            </w:r>
          </w:p>
          <w:p w14:paraId="1CBD89D9">
            <w:pPr>
              <w:autoSpaceDE w:val="0"/>
              <w:autoSpaceDN w:val="0"/>
              <w:snapToGrid w:val="0"/>
              <w:spacing w:line="400" w:lineRule="exact"/>
              <w:textAlignment w:val="bottom"/>
              <w:rPr>
                <w:rFonts w:ascii="仿宋" w:hAnsi="仿宋" w:eastAsia="仿宋"/>
                <w:color w:val="auto"/>
                <w:szCs w:val="21"/>
              </w:rPr>
            </w:pPr>
            <w:r>
              <w:rPr>
                <w:rFonts w:hint="eastAsia" w:ascii="仿宋" w:hAnsi="仿宋" w:eastAsia="仿宋"/>
                <w:b/>
                <w:color w:val="auto"/>
                <w:szCs w:val="21"/>
              </w:rPr>
              <w:t>5、采用金融、担保机构出具保函的，必须为无条件保函，否则视为无效投标保证金。</w:t>
            </w:r>
          </w:p>
        </w:tc>
      </w:tr>
      <w:tr w14:paraId="59EEC4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4097AB2">
            <w:pPr>
              <w:spacing w:line="400" w:lineRule="exact"/>
              <w:jc w:val="center"/>
              <w:rPr>
                <w:rFonts w:ascii="仿宋" w:hAnsi="仿宋" w:eastAsia="仿宋"/>
                <w:color w:val="auto"/>
                <w:szCs w:val="21"/>
              </w:rPr>
            </w:pPr>
            <w:bookmarkStart w:id="62" w:name="_19.2"/>
            <w:bookmarkEnd w:id="62"/>
            <w:r>
              <w:rPr>
                <w:rFonts w:hint="eastAsia" w:ascii="仿宋" w:hAnsi="仿宋" w:eastAsia="仿宋"/>
                <w:color w:val="auto"/>
                <w:szCs w:val="21"/>
              </w:rPr>
              <w:t>19.2</w:t>
            </w:r>
          </w:p>
        </w:tc>
        <w:tc>
          <w:tcPr>
            <w:tcW w:w="8708" w:type="dxa"/>
            <w:tcBorders>
              <w:top w:val="single" w:color="auto" w:sz="4" w:space="0"/>
              <w:left w:val="single" w:color="auto" w:sz="4" w:space="0"/>
              <w:bottom w:val="single" w:color="auto" w:sz="4" w:space="0"/>
              <w:right w:val="single" w:color="auto" w:sz="4" w:space="0"/>
            </w:tcBorders>
            <w:vAlign w:val="center"/>
          </w:tcPr>
          <w:p w14:paraId="642C5FA4">
            <w:pPr>
              <w:autoSpaceDE w:val="0"/>
              <w:autoSpaceDN w:val="0"/>
              <w:snapToGrid w:val="0"/>
              <w:spacing w:line="400" w:lineRule="exact"/>
              <w:textAlignment w:val="bottom"/>
              <w:rPr>
                <w:rFonts w:ascii="仿宋" w:hAnsi="仿宋" w:eastAsia="仿宋"/>
                <w:color w:val="auto"/>
                <w:szCs w:val="21"/>
              </w:rPr>
            </w:pPr>
            <w:r>
              <w:rPr>
                <w:rFonts w:hint="eastAsia" w:ascii="仿宋" w:hAnsi="仿宋" w:eastAsia="仿宋"/>
                <w:color w:val="auto"/>
                <w:szCs w:val="21"/>
              </w:rPr>
              <w:t>投标文件应按报价文件、资格证明文件、商务文件、技术文件分别编制，</w:t>
            </w:r>
            <w:r>
              <w:rPr>
                <w:rFonts w:hint="eastAsia" w:ascii="仿宋" w:hAnsi="仿宋" w:eastAsia="仿宋" w:cs="宋体"/>
                <w:color w:val="auto"/>
                <w:szCs w:val="21"/>
              </w:rPr>
              <w:t>并按广西政府采购云平台的要求编制、加密、上传。</w:t>
            </w:r>
          </w:p>
        </w:tc>
      </w:tr>
      <w:tr w14:paraId="7D5E3C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C6E247B">
            <w:pPr>
              <w:spacing w:line="400" w:lineRule="exact"/>
              <w:jc w:val="center"/>
              <w:rPr>
                <w:rFonts w:ascii="仿宋" w:hAnsi="仿宋" w:eastAsia="仿宋"/>
                <w:color w:val="auto"/>
                <w:szCs w:val="21"/>
              </w:rPr>
            </w:pPr>
            <w:r>
              <w:rPr>
                <w:rFonts w:hint="eastAsia" w:ascii="仿宋" w:hAnsi="仿宋" w:eastAsia="仿宋"/>
                <w:color w:val="auto"/>
                <w:szCs w:val="21"/>
              </w:rPr>
              <w:t>20.1</w:t>
            </w:r>
          </w:p>
        </w:tc>
        <w:tc>
          <w:tcPr>
            <w:tcW w:w="8708" w:type="dxa"/>
            <w:tcBorders>
              <w:top w:val="single" w:color="auto" w:sz="4" w:space="0"/>
              <w:left w:val="single" w:color="auto" w:sz="4" w:space="0"/>
              <w:bottom w:val="single" w:color="auto" w:sz="4" w:space="0"/>
              <w:right w:val="single" w:color="auto" w:sz="4" w:space="0"/>
            </w:tcBorders>
            <w:vAlign w:val="center"/>
          </w:tcPr>
          <w:p w14:paraId="4B30B271">
            <w:pPr>
              <w:autoSpaceDE w:val="0"/>
              <w:autoSpaceDN w:val="0"/>
              <w:snapToGrid w:val="0"/>
              <w:spacing w:line="400" w:lineRule="exact"/>
              <w:textAlignment w:val="bottom"/>
              <w:rPr>
                <w:rFonts w:ascii="仿宋" w:hAnsi="仿宋" w:eastAsia="仿宋"/>
                <w:color w:val="auto"/>
                <w:szCs w:val="21"/>
              </w:rPr>
            </w:pPr>
            <w:r>
              <w:rPr>
                <w:rFonts w:hint="eastAsia" w:ascii="仿宋" w:hAnsi="仿宋" w:eastAsia="仿宋"/>
                <w:color w:val="auto"/>
                <w:szCs w:val="21"/>
              </w:rPr>
              <w:t>电子投标文件应在制作完成后，投标人应按广西政府采购云平台的要求进行加密，并在规定时间内解密，否则，由此产生的后果由投标人自行负责。</w:t>
            </w:r>
          </w:p>
        </w:tc>
      </w:tr>
      <w:tr w14:paraId="4C1371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17194577">
            <w:pPr>
              <w:spacing w:line="400" w:lineRule="exact"/>
              <w:jc w:val="center"/>
              <w:rPr>
                <w:rFonts w:ascii="仿宋" w:hAnsi="仿宋" w:eastAsia="仿宋"/>
                <w:color w:val="auto"/>
                <w:szCs w:val="21"/>
              </w:rPr>
            </w:pPr>
            <w:bookmarkStart w:id="63" w:name="_21.1"/>
            <w:bookmarkEnd w:id="63"/>
            <w:r>
              <w:rPr>
                <w:rFonts w:hint="eastAsia" w:ascii="仿宋" w:hAnsi="仿宋" w:eastAsia="仿宋"/>
                <w:color w:val="auto"/>
                <w:szCs w:val="21"/>
              </w:rPr>
              <w:t>21.1</w:t>
            </w:r>
          </w:p>
        </w:tc>
        <w:tc>
          <w:tcPr>
            <w:tcW w:w="8708" w:type="dxa"/>
            <w:tcBorders>
              <w:top w:val="single" w:color="auto" w:sz="4" w:space="0"/>
              <w:left w:val="single" w:color="auto" w:sz="4" w:space="0"/>
              <w:bottom w:val="single" w:color="auto" w:sz="4" w:space="0"/>
              <w:right w:val="single" w:color="auto" w:sz="4" w:space="0"/>
            </w:tcBorders>
            <w:vAlign w:val="center"/>
          </w:tcPr>
          <w:p w14:paraId="4DEE2508">
            <w:pPr>
              <w:snapToGrid w:val="0"/>
              <w:spacing w:line="400" w:lineRule="exact"/>
              <w:rPr>
                <w:rFonts w:ascii="仿宋" w:hAnsi="仿宋" w:eastAsia="仿宋"/>
                <w:color w:val="auto"/>
                <w:szCs w:val="21"/>
                <w:u w:val="single"/>
              </w:rPr>
            </w:pPr>
            <w:r>
              <w:rPr>
                <w:rFonts w:hint="eastAsia" w:ascii="仿宋" w:hAnsi="仿宋" w:eastAsia="仿宋"/>
                <w:color w:val="auto"/>
                <w:szCs w:val="21"/>
              </w:rPr>
              <w:t>1、投标截止时间：详见招标公告</w:t>
            </w:r>
          </w:p>
          <w:p w14:paraId="23D37983">
            <w:pPr>
              <w:snapToGrid w:val="0"/>
              <w:spacing w:line="400" w:lineRule="exact"/>
              <w:rPr>
                <w:rFonts w:ascii="仿宋" w:hAnsi="仿宋" w:eastAsia="仿宋"/>
                <w:color w:val="auto"/>
                <w:szCs w:val="21"/>
              </w:rPr>
            </w:pPr>
            <w:r>
              <w:rPr>
                <w:rFonts w:hint="eastAsia" w:ascii="仿宋" w:hAnsi="仿宋" w:eastAsia="仿宋"/>
                <w:color w:val="auto"/>
                <w:szCs w:val="21"/>
              </w:rPr>
              <w:t>2、投标地点：详见招标公告</w:t>
            </w:r>
          </w:p>
        </w:tc>
      </w:tr>
      <w:tr w14:paraId="4A4F69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725B9A1">
            <w:pPr>
              <w:spacing w:line="400" w:lineRule="exact"/>
              <w:jc w:val="center"/>
              <w:rPr>
                <w:rFonts w:ascii="仿宋" w:hAnsi="仿宋" w:eastAsia="仿宋"/>
                <w:color w:val="auto"/>
                <w:szCs w:val="21"/>
              </w:rPr>
            </w:pPr>
            <w:bookmarkStart w:id="64" w:name="_23"/>
            <w:bookmarkEnd w:id="64"/>
            <w:r>
              <w:rPr>
                <w:rFonts w:hint="eastAsia" w:ascii="仿宋" w:hAnsi="仿宋" w:eastAsia="仿宋"/>
                <w:color w:val="auto"/>
                <w:szCs w:val="21"/>
              </w:rPr>
              <w:t>23</w:t>
            </w:r>
          </w:p>
        </w:tc>
        <w:tc>
          <w:tcPr>
            <w:tcW w:w="8708" w:type="dxa"/>
            <w:tcBorders>
              <w:top w:val="single" w:color="auto" w:sz="4" w:space="0"/>
              <w:left w:val="single" w:color="auto" w:sz="4" w:space="0"/>
              <w:bottom w:val="single" w:color="auto" w:sz="4" w:space="0"/>
              <w:right w:val="single" w:color="auto" w:sz="4" w:space="0"/>
            </w:tcBorders>
            <w:vAlign w:val="center"/>
          </w:tcPr>
          <w:p w14:paraId="3DA6F994">
            <w:pPr>
              <w:snapToGrid w:val="0"/>
              <w:spacing w:line="400" w:lineRule="exact"/>
              <w:rPr>
                <w:rFonts w:ascii="仿宋" w:hAnsi="仿宋" w:eastAsia="仿宋"/>
                <w:color w:val="auto"/>
                <w:szCs w:val="21"/>
              </w:rPr>
            </w:pPr>
            <w:r>
              <w:rPr>
                <w:rFonts w:hint="eastAsia" w:ascii="仿宋" w:hAnsi="仿宋" w:eastAsia="仿宋"/>
                <w:color w:val="auto"/>
                <w:szCs w:val="21"/>
              </w:rPr>
              <w:t>1、开标时间：详见招标公告</w:t>
            </w:r>
          </w:p>
          <w:p w14:paraId="60E4C3F9">
            <w:pPr>
              <w:snapToGrid w:val="0"/>
              <w:spacing w:line="400" w:lineRule="exact"/>
              <w:rPr>
                <w:rFonts w:ascii="仿宋" w:hAnsi="仿宋" w:eastAsia="仿宋"/>
                <w:color w:val="auto"/>
                <w:szCs w:val="21"/>
              </w:rPr>
            </w:pPr>
            <w:r>
              <w:rPr>
                <w:rFonts w:hint="eastAsia" w:ascii="仿宋" w:hAnsi="仿宋" w:eastAsia="仿宋"/>
                <w:color w:val="auto"/>
                <w:szCs w:val="21"/>
              </w:rPr>
              <w:t>2、开标地点：详见招标公告</w:t>
            </w:r>
          </w:p>
        </w:tc>
      </w:tr>
      <w:tr w14:paraId="37CF8A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35AA8A96">
            <w:pPr>
              <w:spacing w:line="400" w:lineRule="exact"/>
              <w:jc w:val="center"/>
              <w:rPr>
                <w:rFonts w:ascii="仿宋" w:hAnsi="仿宋" w:eastAsia="仿宋"/>
                <w:color w:val="auto"/>
                <w:szCs w:val="21"/>
              </w:rPr>
            </w:pPr>
            <w:r>
              <w:rPr>
                <w:rFonts w:hint="eastAsia" w:ascii="仿宋" w:hAnsi="仿宋" w:eastAsia="仿宋"/>
                <w:bCs/>
                <w:color w:val="auto"/>
                <w:szCs w:val="21"/>
              </w:rPr>
              <w:t>24.2</w:t>
            </w:r>
          </w:p>
        </w:tc>
        <w:tc>
          <w:tcPr>
            <w:tcW w:w="8708" w:type="dxa"/>
            <w:tcBorders>
              <w:top w:val="single" w:color="auto" w:sz="4" w:space="0"/>
              <w:left w:val="single" w:color="auto" w:sz="4" w:space="0"/>
              <w:bottom w:val="single" w:color="auto" w:sz="4" w:space="0"/>
              <w:right w:val="single" w:color="auto" w:sz="4" w:space="0"/>
            </w:tcBorders>
            <w:vAlign w:val="center"/>
          </w:tcPr>
          <w:p w14:paraId="007B1F69">
            <w:pPr>
              <w:autoSpaceDE w:val="0"/>
              <w:autoSpaceDN w:val="0"/>
              <w:adjustRightInd w:val="0"/>
              <w:spacing w:line="400" w:lineRule="exact"/>
              <w:rPr>
                <w:rFonts w:ascii="仿宋" w:hAnsi="仿宋" w:eastAsia="仿宋"/>
                <w:color w:val="auto"/>
                <w:szCs w:val="21"/>
              </w:rPr>
            </w:pPr>
            <w:r>
              <w:rPr>
                <w:rFonts w:hint="eastAsia" w:ascii="仿宋" w:hAnsi="仿宋" w:eastAsia="仿宋"/>
                <w:bCs/>
                <w:color w:val="auto"/>
                <w:szCs w:val="21"/>
              </w:rPr>
              <w:t>广西政府采购云平台按开标时间自动提取所有投标文件。采购代理机构依托广西政府采购云平台向各投标人发出电子加密投标文件【开始解密】通知，由投标人进行投标文件解密。</w:t>
            </w:r>
            <w:r>
              <w:rPr>
                <w:rFonts w:hint="eastAsia" w:ascii="仿宋" w:hAnsi="仿宋" w:eastAsia="仿宋"/>
                <w:b/>
                <w:bCs/>
                <w:color w:val="auto"/>
                <w:szCs w:val="21"/>
              </w:rPr>
              <w:t>投标人的法定代表人或其委托代理人须携带加密时所用的CA锁准时登录到广西政府采购云平台电子开标大厅签到</w:t>
            </w:r>
            <w:r>
              <w:rPr>
                <w:rFonts w:hint="eastAsia" w:ascii="仿宋" w:hAnsi="仿宋" w:eastAsia="仿宋" w:cs="宋体"/>
                <w:b/>
                <w:color w:val="auto"/>
                <w:szCs w:val="21"/>
              </w:rPr>
              <w:t>并在发起解密</w:t>
            </w:r>
            <w:r>
              <w:rPr>
                <w:rFonts w:hint="eastAsia" w:ascii="仿宋" w:hAnsi="仿宋" w:eastAsia="仿宋"/>
                <w:b/>
                <w:bCs/>
                <w:color w:val="auto"/>
                <w:szCs w:val="21"/>
              </w:rPr>
              <w:t>通知</w:t>
            </w:r>
            <w:r>
              <w:rPr>
                <w:rFonts w:hint="eastAsia" w:ascii="仿宋" w:hAnsi="仿宋" w:eastAsia="仿宋" w:cs="宋体"/>
                <w:b/>
                <w:color w:val="auto"/>
                <w:szCs w:val="21"/>
              </w:rPr>
              <w:t>之时起30分钟内完成</w:t>
            </w:r>
            <w:r>
              <w:rPr>
                <w:rFonts w:hint="eastAsia" w:ascii="仿宋" w:hAnsi="仿宋" w:eastAsia="仿宋"/>
                <w:b/>
                <w:bCs/>
                <w:color w:val="auto"/>
                <w:szCs w:val="21"/>
              </w:rPr>
              <w:t>对电子投标文件解密。投标文件未按时解密的，视为无效投标。</w:t>
            </w:r>
          </w:p>
        </w:tc>
      </w:tr>
      <w:tr w14:paraId="5477F1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759E8758">
            <w:pPr>
              <w:spacing w:line="400" w:lineRule="exact"/>
              <w:jc w:val="center"/>
              <w:rPr>
                <w:rFonts w:ascii="仿宋" w:hAnsi="仿宋" w:eastAsia="仿宋"/>
                <w:color w:val="auto"/>
                <w:szCs w:val="21"/>
              </w:rPr>
            </w:pPr>
            <w:bookmarkStart w:id="65" w:name="_25.3"/>
            <w:bookmarkEnd w:id="65"/>
            <w:r>
              <w:rPr>
                <w:rFonts w:hint="eastAsia" w:ascii="仿宋" w:hAnsi="仿宋" w:eastAsia="仿宋"/>
                <w:color w:val="auto"/>
                <w:szCs w:val="21"/>
              </w:rPr>
              <w:t>25.3（3）</w:t>
            </w:r>
          </w:p>
        </w:tc>
        <w:tc>
          <w:tcPr>
            <w:tcW w:w="8708" w:type="dxa"/>
            <w:tcBorders>
              <w:top w:val="single" w:color="auto" w:sz="4" w:space="0"/>
              <w:left w:val="single" w:color="auto" w:sz="4" w:space="0"/>
              <w:bottom w:val="single" w:color="auto" w:sz="4" w:space="0"/>
              <w:right w:val="single" w:color="auto" w:sz="4" w:space="0"/>
            </w:tcBorders>
            <w:vAlign w:val="center"/>
          </w:tcPr>
          <w:p w14:paraId="1401E01D">
            <w:pPr>
              <w:snapToGrid w:val="0"/>
              <w:spacing w:line="400" w:lineRule="exact"/>
              <w:rPr>
                <w:rFonts w:ascii="仿宋" w:hAnsi="仿宋" w:eastAsia="仿宋"/>
                <w:color w:val="auto"/>
                <w:szCs w:val="21"/>
              </w:rPr>
            </w:pPr>
            <w:r>
              <w:rPr>
                <w:rFonts w:hint="eastAsia" w:ascii="仿宋" w:hAnsi="仿宋" w:eastAsia="仿宋"/>
                <w:color w:val="auto"/>
                <w:szCs w:val="21"/>
              </w:rPr>
              <w:t>采购人或者采购代理机构在资格审查结束前，对投标人进行信用查询。</w:t>
            </w:r>
          </w:p>
          <w:p w14:paraId="6748D9FB">
            <w:pPr>
              <w:snapToGrid w:val="0"/>
              <w:spacing w:line="400" w:lineRule="exact"/>
              <w:rPr>
                <w:rFonts w:ascii="仿宋" w:hAnsi="仿宋" w:eastAsia="仿宋"/>
                <w:color w:val="auto"/>
                <w:szCs w:val="21"/>
              </w:rPr>
            </w:pPr>
            <w:r>
              <w:rPr>
                <w:rFonts w:hint="eastAsia" w:ascii="仿宋" w:hAnsi="仿宋" w:eastAsia="仿宋"/>
                <w:color w:val="auto"/>
                <w:szCs w:val="21"/>
              </w:rPr>
              <w:t>查询渠道：</w:t>
            </w:r>
            <w:r>
              <w:rPr>
                <w:rFonts w:ascii="仿宋" w:hAnsi="仿宋" w:eastAsia="仿宋"/>
                <w:color w:val="auto"/>
                <w:szCs w:val="21"/>
              </w:rPr>
              <w:t>“信用中国”网站（www.creditchina.gov.cn）、中国政府采购网（</w:t>
            </w:r>
            <w:r>
              <w:rPr>
                <w:color w:val="auto"/>
              </w:rPr>
              <w:fldChar w:fldCharType="begin"/>
            </w:r>
            <w:r>
              <w:rPr>
                <w:color w:val="auto"/>
              </w:rPr>
              <w:instrText xml:space="preserve"> HYPERLINK "http://www.ccgp.gov.cn" </w:instrText>
            </w:r>
            <w:r>
              <w:rPr>
                <w:color w:val="auto"/>
              </w:rPr>
              <w:fldChar w:fldCharType="separate"/>
            </w:r>
            <w:r>
              <w:rPr>
                <w:rStyle w:val="54"/>
                <w:rFonts w:ascii="仿宋" w:hAnsi="仿宋" w:eastAsia="仿宋"/>
                <w:color w:val="auto"/>
                <w:szCs w:val="21"/>
              </w:rPr>
              <w:t>www.ccgp.gov.cn</w:t>
            </w:r>
            <w:r>
              <w:rPr>
                <w:rStyle w:val="54"/>
                <w:rFonts w:ascii="仿宋" w:hAnsi="仿宋" w:eastAsia="仿宋"/>
                <w:color w:val="auto"/>
                <w:szCs w:val="21"/>
              </w:rPr>
              <w:fldChar w:fldCharType="end"/>
            </w:r>
            <w:r>
              <w:rPr>
                <w:rFonts w:ascii="仿宋" w:hAnsi="仿宋" w:eastAsia="仿宋"/>
                <w:color w:val="auto"/>
                <w:szCs w:val="21"/>
              </w:rPr>
              <w:t>）</w:t>
            </w:r>
            <w:r>
              <w:rPr>
                <w:rFonts w:hint="eastAsia" w:ascii="仿宋" w:hAnsi="仿宋" w:eastAsia="仿宋"/>
                <w:color w:val="auto"/>
                <w:szCs w:val="21"/>
              </w:rPr>
              <w:t>。</w:t>
            </w:r>
          </w:p>
          <w:p w14:paraId="301F844F">
            <w:pPr>
              <w:snapToGrid w:val="0"/>
              <w:spacing w:line="400" w:lineRule="exact"/>
              <w:rPr>
                <w:rFonts w:ascii="仿宋" w:hAnsi="仿宋" w:eastAsia="仿宋"/>
                <w:color w:val="auto"/>
                <w:szCs w:val="21"/>
              </w:rPr>
            </w:pPr>
            <w:r>
              <w:rPr>
                <w:rFonts w:hint="eastAsia" w:ascii="仿宋" w:hAnsi="仿宋" w:eastAsia="仿宋"/>
                <w:color w:val="auto"/>
                <w:szCs w:val="21"/>
              </w:rPr>
              <w:t>信用查询截止时点：</w:t>
            </w:r>
            <w:r>
              <w:rPr>
                <w:rFonts w:ascii="仿宋" w:hAnsi="仿宋" w:eastAsia="仿宋" w:cs="宋体"/>
                <w:color w:val="auto"/>
                <w:szCs w:val="21"/>
              </w:rPr>
              <w:t>资格审查结束前</w:t>
            </w:r>
            <w:r>
              <w:rPr>
                <w:rFonts w:hint="eastAsia" w:ascii="仿宋" w:hAnsi="仿宋" w:eastAsia="仿宋" w:cs="宋体"/>
                <w:color w:val="auto"/>
                <w:szCs w:val="21"/>
              </w:rPr>
              <w:t>。</w:t>
            </w:r>
          </w:p>
          <w:p w14:paraId="5D2357E9">
            <w:pPr>
              <w:snapToGrid w:val="0"/>
              <w:spacing w:line="400" w:lineRule="exact"/>
              <w:rPr>
                <w:rFonts w:ascii="仿宋" w:hAnsi="仿宋" w:eastAsia="仿宋"/>
                <w:color w:val="auto"/>
                <w:szCs w:val="21"/>
              </w:rPr>
            </w:pPr>
            <w:r>
              <w:rPr>
                <w:rFonts w:hint="eastAsia" w:ascii="仿宋" w:hAnsi="仿宋" w:eastAsia="仿宋"/>
                <w:color w:val="auto"/>
                <w:szCs w:val="21"/>
              </w:rPr>
              <w:t>查询记录和证据留存方式：</w:t>
            </w:r>
            <w:r>
              <w:rPr>
                <w:rFonts w:hint="eastAsia" w:ascii="仿宋" w:hAnsi="仿宋" w:eastAsia="仿宋" w:cs="宋体"/>
                <w:color w:val="auto"/>
                <w:szCs w:val="21"/>
              </w:rPr>
              <w:t>将查询网站中的查询记录截图并作为评审资料保存。</w:t>
            </w:r>
          </w:p>
          <w:p w14:paraId="69AF5134">
            <w:pPr>
              <w:snapToGrid w:val="0"/>
              <w:spacing w:line="400" w:lineRule="exact"/>
              <w:rPr>
                <w:rFonts w:ascii="仿宋" w:hAnsi="仿宋" w:eastAsia="仿宋"/>
                <w:b/>
                <w:color w:val="auto"/>
                <w:szCs w:val="21"/>
              </w:rPr>
            </w:pPr>
            <w:r>
              <w:rPr>
                <w:rFonts w:hint="eastAsia" w:ascii="仿宋" w:hAnsi="仿宋" w:eastAsia="仿宋"/>
                <w:color w:val="auto"/>
                <w:szCs w:val="21"/>
              </w:rPr>
              <w:t>信用信息使用规则：根据财政部《关于在政府采购活动中查询及使用信用记录有关问题的通知》（财库〔2016〕125号）的规定，</w:t>
            </w:r>
            <w:r>
              <w:rPr>
                <w:rFonts w:hint="eastAsia" w:ascii="仿宋" w:hAnsi="仿宋" w:eastAsia="仿宋" w:cs="宋体"/>
                <w:color w:val="auto"/>
                <w:szCs w:val="21"/>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tc>
      </w:tr>
      <w:tr w14:paraId="3E5648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09FCAD0">
            <w:pPr>
              <w:spacing w:line="400" w:lineRule="exact"/>
              <w:jc w:val="center"/>
              <w:rPr>
                <w:rFonts w:ascii="仿宋" w:hAnsi="仿宋" w:eastAsia="仿宋"/>
                <w:color w:val="auto"/>
                <w:szCs w:val="21"/>
              </w:rPr>
            </w:pPr>
            <w:bookmarkStart w:id="66" w:name="_26"/>
            <w:bookmarkEnd w:id="66"/>
            <w:r>
              <w:rPr>
                <w:rFonts w:hint="eastAsia" w:ascii="仿宋" w:hAnsi="仿宋" w:eastAsia="仿宋"/>
                <w:color w:val="auto"/>
                <w:szCs w:val="21"/>
              </w:rPr>
              <w:t>26</w:t>
            </w:r>
          </w:p>
        </w:tc>
        <w:tc>
          <w:tcPr>
            <w:tcW w:w="8708" w:type="dxa"/>
            <w:tcBorders>
              <w:top w:val="single" w:color="auto" w:sz="4" w:space="0"/>
              <w:left w:val="single" w:color="auto" w:sz="4" w:space="0"/>
              <w:bottom w:val="single" w:color="auto" w:sz="4" w:space="0"/>
              <w:right w:val="single" w:color="auto" w:sz="4" w:space="0"/>
            </w:tcBorders>
            <w:vAlign w:val="center"/>
          </w:tcPr>
          <w:p w14:paraId="2F1BF36C">
            <w:pPr>
              <w:autoSpaceDE w:val="0"/>
              <w:autoSpaceDN w:val="0"/>
              <w:snapToGrid w:val="0"/>
              <w:spacing w:line="400" w:lineRule="exact"/>
              <w:textAlignment w:val="bottom"/>
              <w:rPr>
                <w:rFonts w:ascii="仿宋" w:hAnsi="仿宋" w:eastAsia="仿宋"/>
                <w:color w:val="auto"/>
                <w:szCs w:val="21"/>
              </w:rPr>
            </w:pPr>
            <w:r>
              <w:rPr>
                <w:rFonts w:hint="eastAsia" w:ascii="仿宋" w:hAnsi="仿宋" w:eastAsia="仿宋"/>
                <w:color w:val="auto"/>
                <w:szCs w:val="21"/>
              </w:rPr>
              <w:t>评标委员会的人数：</w:t>
            </w:r>
            <w:r>
              <w:rPr>
                <w:rFonts w:hint="eastAsia" w:ascii="仿宋" w:hAnsi="仿宋" w:eastAsia="仿宋"/>
                <w:color w:val="auto"/>
                <w:szCs w:val="21"/>
                <w:lang w:val="en-US" w:eastAsia="zh-CN"/>
              </w:rPr>
              <w:t>5</w:t>
            </w:r>
            <w:r>
              <w:rPr>
                <w:rFonts w:hint="eastAsia" w:ascii="仿宋" w:hAnsi="仿宋" w:eastAsia="仿宋"/>
                <w:color w:val="auto"/>
                <w:szCs w:val="21"/>
              </w:rPr>
              <w:t>人</w:t>
            </w:r>
            <w:r>
              <w:rPr>
                <w:rFonts w:hint="eastAsia" w:ascii="仿宋" w:hAnsi="仿宋" w:eastAsia="仿宋"/>
                <w:color w:val="auto"/>
              </w:rPr>
              <w:t>。</w:t>
            </w:r>
          </w:p>
        </w:tc>
      </w:tr>
      <w:tr w14:paraId="668402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BD333D5">
            <w:pPr>
              <w:spacing w:line="400" w:lineRule="exact"/>
              <w:jc w:val="center"/>
              <w:rPr>
                <w:rFonts w:ascii="仿宋" w:hAnsi="仿宋" w:eastAsia="仿宋"/>
                <w:color w:val="auto"/>
                <w:szCs w:val="21"/>
              </w:rPr>
            </w:pPr>
            <w:bookmarkStart w:id="67" w:name="_28.3"/>
            <w:bookmarkEnd w:id="67"/>
            <w:r>
              <w:rPr>
                <w:rFonts w:ascii="仿宋" w:hAnsi="仿宋" w:eastAsia="仿宋"/>
                <w:color w:val="auto"/>
                <w:szCs w:val="21"/>
              </w:rPr>
              <w:t>29.1</w:t>
            </w:r>
          </w:p>
        </w:tc>
        <w:tc>
          <w:tcPr>
            <w:tcW w:w="8708" w:type="dxa"/>
            <w:tcBorders>
              <w:top w:val="single" w:color="auto" w:sz="4" w:space="0"/>
              <w:left w:val="single" w:color="auto" w:sz="4" w:space="0"/>
              <w:bottom w:val="single" w:color="auto" w:sz="4" w:space="0"/>
              <w:right w:val="single" w:color="auto" w:sz="4" w:space="0"/>
            </w:tcBorders>
            <w:vAlign w:val="center"/>
          </w:tcPr>
          <w:p w14:paraId="001F5D3C">
            <w:pPr>
              <w:autoSpaceDE w:val="0"/>
              <w:autoSpaceDN w:val="0"/>
              <w:snapToGrid w:val="0"/>
              <w:spacing w:line="400" w:lineRule="exact"/>
              <w:textAlignment w:val="bottom"/>
              <w:rPr>
                <w:rFonts w:ascii="仿宋" w:hAnsi="仿宋" w:eastAsia="仿宋"/>
                <w:color w:val="auto"/>
                <w:szCs w:val="21"/>
              </w:rPr>
            </w:pPr>
            <w:r>
              <w:rPr>
                <w:rFonts w:hint="eastAsia" w:ascii="仿宋" w:hAnsi="仿宋" w:eastAsia="仿宋"/>
                <w:color w:val="auto"/>
                <w:szCs w:val="21"/>
              </w:rPr>
              <w:t>评标方法：</w:t>
            </w:r>
          </w:p>
          <w:p w14:paraId="7552A3A4">
            <w:pPr>
              <w:autoSpaceDE w:val="0"/>
              <w:autoSpaceDN w:val="0"/>
              <w:snapToGrid w:val="0"/>
              <w:spacing w:line="400" w:lineRule="exact"/>
              <w:textAlignment w:val="bottom"/>
              <w:rPr>
                <w:rFonts w:ascii="仿宋" w:hAnsi="仿宋" w:eastAsia="仿宋"/>
                <w:color w:val="auto"/>
                <w:szCs w:val="21"/>
              </w:rPr>
            </w:pPr>
            <w:r>
              <w:rPr>
                <w:rFonts w:hint="eastAsia" w:hAnsi="宋体"/>
                <w:color w:val="auto"/>
              </w:rPr>
              <w:t>☑</w:t>
            </w:r>
            <w:r>
              <w:rPr>
                <w:rFonts w:hint="eastAsia" w:ascii="仿宋" w:hAnsi="仿宋" w:eastAsia="仿宋"/>
                <w:color w:val="auto"/>
                <w:szCs w:val="21"/>
              </w:rPr>
              <w:t>综合评分法</w:t>
            </w:r>
          </w:p>
          <w:p w14:paraId="586CC8AB">
            <w:pPr>
              <w:autoSpaceDE w:val="0"/>
              <w:autoSpaceDN w:val="0"/>
              <w:snapToGrid w:val="0"/>
              <w:spacing w:line="400" w:lineRule="exact"/>
              <w:textAlignment w:val="bottom"/>
              <w:rPr>
                <w:rFonts w:ascii="仿宋" w:hAnsi="仿宋" w:eastAsia="仿宋"/>
                <w:color w:val="auto"/>
                <w:szCs w:val="21"/>
              </w:rPr>
            </w:pPr>
            <w:r>
              <w:rPr>
                <w:rFonts w:hint="eastAsia" w:hAnsi="宋体"/>
                <w:color w:val="auto"/>
              </w:rPr>
              <w:t>□</w:t>
            </w:r>
            <w:r>
              <w:rPr>
                <w:rFonts w:hint="eastAsia" w:ascii="仿宋" w:hAnsi="仿宋" w:eastAsia="仿宋"/>
                <w:color w:val="auto"/>
              </w:rPr>
              <w:t>最低评标价法</w:t>
            </w:r>
          </w:p>
        </w:tc>
      </w:tr>
      <w:tr w14:paraId="3259E1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66086EF7">
            <w:pPr>
              <w:spacing w:line="400" w:lineRule="exact"/>
              <w:jc w:val="center"/>
              <w:rPr>
                <w:rFonts w:ascii="仿宋" w:hAnsi="仿宋" w:eastAsia="仿宋"/>
                <w:color w:val="auto"/>
                <w:szCs w:val="21"/>
              </w:rPr>
            </w:pPr>
            <w:r>
              <w:rPr>
                <w:rFonts w:hint="eastAsia" w:ascii="仿宋" w:hAnsi="仿宋" w:eastAsia="仿宋"/>
                <w:color w:val="auto"/>
                <w:szCs w:val="21"/>
              </w:rPr>
              <w:t>29.2</w:t>
            </w:r>
          </w:p>
        </w:tc>
        <w:tc>
          <w:tcPr>
            <w:tcW w:w="8708" w:type="dxa"/>
            <w:tcBorders>
              <w:top w:val="single" w:color="auto" w:sz="4" w:space="0"/>
              <w:left w:val="single" w:color="auto" w:sz="4" w:space="0"/>
              <w:bottom w:val="single" w:color="auto" w:sz="4" w:space="0"/>
              <w:right w:val="single" w:color="auto" w:sz="4" w:space="0"/>
            </w:tcBorders>
            <w:vAlign w:val="center"/>
          </w:tcPr>
          <w:p w14:paraId="048749A5">
            <w:pPr>
              <w:autoSpaceDE w:val="0"/>
              <w:autoSpaceDN w:val="0"/>
              <w:snapToGrid w:val="0"/>
              <w:spacing w:line="400" w:lineRule="exact"/>
              <w:textAlignment w:val="bottom"/>
              <w:rPr>
                <w:rFonts w:ascii="仿宋" w:hAnsi="仿宋" w:eastAsia="仿宋"/>
                <w:color w:val="auto"/>
                <w:szCs w:val="21"/>
              </w:rPr>
            </w:pPr>
            <w:r>
              <w:rPr>
                <w:rFonts w:ascii="仿宋" w:hAnsi="仿宋" w:eastAsia="仿宋"/>
                <w:color w:val="auto"/>
              </w:rPr>
              <w:t>中标候选人推荐数量</w:t>
            </w:r>
            <w:r>
              <w:rPr>
                <w:rFonts w:hint="eastAsia" w:ascii="仿宋" w:hAnsi="仿宋" w:eastAsia="仿宋"/>
                <w:color w:val="auto"/>
              </w:rPr>
              <w:t>：3家</w:t>
            </w:r>
          </w:p>
        </w:tc>
      </w:tr>
      <w:tr w14:paraId="6D03DB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8" w:hRule="atLeast"/>
          <w:jc w:val="center"/>
        </w:trPr>
        <w:tc>
          <w:tcPr>
            <w:tcW w:w="895" w:type="dxa"/>
            <w:tcBorders>
              <w:top w:val="single" w:color="auto" w:sz="4" w:space="0"/>
              <w:left w:val="single" w:color="auto" w:sz="4" w:space="0"/>
              <w:right w:val="single" w:color="auto" w:sz="4" w:space="0"/>
            </w:tcBorders>
            <w:vAlign w:val="center"/>
          </w:tcPr>
          <w:p w14:paraId="6A49789C">
            <w:pPr>
              <w:spacing w:line="400" w:lineRule="exact"/>
              <w:jc w:val="center"/>
              <w:rPr>
                <w:rFonts w:ascii="仿宋" w:hAnsi="仿宋" w:eastAsia="仿宋"/>
                <w:color w:val="auto"/>
                <w:szCs w:val="21"/>
              </w:rPr>
            </w:pPr>
            <w:bookmarkStart w:id="68" w:name="_29.2.2（2）"/>
            <w:bookmarkEnd w:id="68"/>
            <w:r>
              <w:rPr>
                <w:rFonts w:hint="eastAsia" w:ascii="仿宋" w:hAnsi="仿宋" w:eastAsia="仿宋"/>
                <w:color w:val="auto"/>
                <w:szCs w:val="21"/>
              </w:rPr>
              <w:t>29</w:t>
            </w:r>
            <w:r>
              <w:rPr>
                <w:rFonts w:ascii="仿宋" w:hAnsi="仿宋" w:eastAsia="仿宋"/>
                <w:color w:val="auto"/>
                <w:szCs w:val="21"/>
              </w:rPr>
              <w:t>.</w:t>
            </w:r>
            <w:r>
              <w:rPr>
                <w:rFonts w:hint="eastAsia" w:ascii="仿宋" w:hAnsi="仿宋" w:eastAsia="仿宋"/>
                <w:color w:val="auto"/>
                <w:szCs w:val="21"/>
              </w:rPr>
              <w:t>3</w:t>
            </w:r>
          </w:p>
        </w:tc>
        <w:tc>
          <w:tcPr>
            <w:tcW w:w="8708" w:type="dxa"/>
            <w:tcBorders>
              <w:top w:val="single" w:color="auto" w:sz="4" w:space="0"/>
              <w:left w:val="single" w:color="auto" w:sz="4" w:space="0"/>
              <w:right w:val="single" w:color="auto" w:sz="4" w:space="0"/>
            </w:tcBorders>
            <w:vAlign w:val="center"/>
          </w:tcPr>
          <w:p w14:paraId="281498E3">
            <w:pPr>
              <w:rPr>
                <w:rFonts w:hint="eastAsia" w:ascii="仿宋" w:hAnsi="仿宋" w:eastAsia="仿宋" w:cs="宋体"/>
                <w:b/>
                <w:bCs/>
                <w:color w:val="auto"/>
                <w:sz w:val="21"/>
                <w:szCs w:val="21"/>
                <w:lang w:val="en-US" w:eastAsia="zh-CN"/>
              </w:rPr>
            </w:pPr>
            <w:r>
              <w:rPr>
                <w:rFonts w:hint="eastAsia" w:ascii="仿宋" w:hAnsi="仿宋" w:eastAsia="仿宋" w:cs="宋体"/>
                <w:b/>
                <w:bCs/>
                <w:color w:val="auto"/>
                <w:sz w:val="21"/>
                <w:szCs w:val="21"/>
                <w:lang w:val="en-US" w:eastAsia="zh-CN"/>
              </w:rPr>
              <w:t>1分标：</w:t>
            </w:r>
          </w:p>
          <w:p w14:paraId="6EFAD35E">
            <w:pPr>
              <w:rPr>
                <w:rFonts w:ascii="仿宋" w:hAnsi="仿宋" w:eastAsia="仿宋"/>
                <w:b/>
                <w:bCs/>
                <w:color w:val="auto"/>
                <w:sz w:val="21"/>
                <w:szCs w:val="21"/>
              </w:rPr>
            </w:pPr>
            <w:r>
              <w:rPr>
                <w:rFonts w:hint="eastAsia" w:ascii="仿宋" w:hAnsi="仿宋" w:eastAsia="仿宋" w:cs="宋体"/>
                <w:b/>
                <w:bCs/>
                <w:color w:val="auto"/>
                <w:sz w:val="21"/>
                <w:szCs w:val="21"/>
              </w:rPr>
              <w:t>商务要求</w:t>
            </w:r>
            <w:r>
              <w:rPr>
                <w:rFonts w:hint="eastAsia" w:ascii="仿宋" w:hAnsi="仿宋" w:eastAsia="仿宋"/>
                <w:b/>
                <w:bCs/>
                <w:color w:val="auto"/>
                <w:sz w:val="21"/>
                <w:szCs w:val="21"/>
              </w:rPr>
              <w:t>评审中允许负偏离的条款数为</w:t>
            </w:r>
            <w:r>
              <w:rPr>
                <w:rFonts w:hint="eastAsia" w:ascii="仿宋" w:hAnsi="仿宋" w:eastAsia="仿宋"/>
                <w:b/>
                <w:bCs/>
                <w:color w:val="auto"/>
                <w:sz w:val="21"/>
                <w:szCs w:val="21"/>
                <w:u w:val="single"/>
                <w:lang w:val="en-US" w:eastAsia="zh-CN"/>
              </w:rPr>
              <w:t>0</w:t>
            </w:r>
            <w:r>
              <w:rPr>
                <w:rFonts w:hint="eastAsia" w:ascii="仿宋" w:hAnsi="仿宋" w:eastAsia="仿宋"/>
                <w:b/>
                <w:bCs/>
                <w:color w:val="auto"/>
                <w:sz w:val="21"/>
                <w:szCs w:val="21"/>
              </w:rPr>
              <w:t>项。（按单个分标计算）</w:t>
            </w:r>
          </w:p>
          <w:p w14:paraId="329A725F">
            <w:pPr>
              <w:snapToGrid w:val="0"/>
              <w:spacing w:line="400" w:lineRule="exact"/>
              <w:rPr>
                <w:rFonts w:hint="eastAsia" w:ascii="仿宋" w:hAnsi="仿宋" w:eastAsia="仿宋"/>
                <w:b/>
                <w:bCs/>
                <w:color w:val="auto"/>
                <w:sz w:val="21"/>
                <w:szCs w:val="21"/>
              </w:rPr>
            </w:pPr>
            <w:r>
              <w:rPr>
                <w:rFonts w:hint="eastAsia" w:ascii="仿宋" w:hAnsi="仿宋" w:eastAsia="仿宋" w:cs="宋体"/>
                <w:b/>
                <w:bCs/>
                <w:color w:val="auto"/>
                <w:sz w:val="21"/>
                <w:szCs w:val="21"/>
              </w:rPr>
              <w:t>技术要求</w:t>
            </w:r>
            <w:r>
              <w:rPr>
                <w:rFonts w:hint="eastAsia" w:ascii="仿宋" w:hAnsi="仿宋" w:eastAsia="仿宋"/>
                <w:b/>
                <w:bCs/>
                <w:color w:val="auto"/>
                <w:sz w:val="21"/>
                <w:szCs w:val="21"/>
              </w:rPr>
              <w:t>评审中允许负偏离的条款数为</w:t>
            </w:r>
            <w:r>
              <w:rPr>
                <w:rFonts w:hint="eastAsia" w:eastAsia="仿宋"/>
                <w:color w:val="auto"/>
                <w:sz w:val="21"/>
                <w:szCs w:val="21"/>
                <w:u w:val="single"/>
              </w:rPr>
              <w:t>1</w:t>
            </w:r>
            <w:r>
              <w:rPr>
                <w:rFonts w:hint="eastAsia" w:eastAsia="仿宋"/>
                <w:color w:val="auto"/>
                <w:sz w:val="21"/>
                <w:szCs w:val="21"/>
                <w:u w:val="single"/>
                <w:lang w:val="en-US" w:eastAsia="zh-CN"/>
              </w:rPr>
              <w:t>0</w:t>
            </w:r>
            <w:r>
              <w:rPr>
                <w:rFonts w:hint="eastAsia"/>
                <w:color w:val="auto"/>
                <w:sz w:val="21"/>
                <w:szCs w:val="21"/>
              </w:rPr>
              <w:t>项</w:t>
            </w:r>
            <w:r>
              <w:rPr>
                <w:rFonts w:hint="eastAsia" w:ascii="仿宋" w:hAnsi="仿宋" w:eastAsia="仿宋"/>
                <w:b/>
                <w:bCs/>
                <w:color w:val="auto"/>
                <w:sz w:val="21"/>
                <w:szCs w:val="21"/>
              </w:rPr>
              <w:t>。（按单个分标计算）</w:t>
            </w:r>
          </w:p>
          <w:p w14:paraId="31104158">
            <w:pPr>
              <w:pStyle w:val="57"/>
              <w:rPr>
                <w:rFonts w:hint="eastAsia" w:ascii="仿宋" w:hAnsi="仿宋" w:eastAsia="仿宋"/>
                <w:b/>
                <w:bCs/>
                <w:color w:val="auto"/>
                <w:sz w:val="21"/>
                <w:szCs w:val="21"/>
                <w:lang w:val="en-US" w:eastAsia="zh-CN"/>
              </w:rPr>
            </w:pPr>
            <w:r>
              <w:rPr>
                <w:rFonts w:hint="eastAsia" w:ascii="仿宋" w:hAnsi="仿宋" w:eastAsia="仿宋"/>
                <w:b/>
                <w:bCs/>
                <w:color w:val="auto"/>
                <w:sz w:val="21"/>
                <w:szCs w:val="21"/>
                <w:lang w:val="en-US" w:eastAsia="zh-CN"/>
              </w:rPr>
              <w:t>2分标：</w:t>
            </w:r>
          </w:p>
          <w:p w14:paraId="2B614123">
            <w:pPr>
              <w:rPr>
                <w:rFonts w:ascii="仿宋" w:hAnsi="仿宋" w:eastAsia="仿宋"/>
                <w:b/>
                <w:bCs/>
                <w:color w:val="auto"/>
                <w:szCs w:val="21"/>
              </w:rPr>
            </w:pPr>
            <w:r>
              <w:rPr>
                <w:rFonts w:hint="eastAsia" w:ascii="仿宋" w:hAnsi="仿宋" w:eastAsia="仿宋" w:cs="宋体"/>
                <w:b/>
                <w:bCs/>
                <w:color w:val="auto"/>
                <w:szCs w:val="21"/>
              </w:rPr>
              <w:t>商务要求</w:t>
            </w:r>
            <w:r>
              <w:rPr>
                <w:rFonts w:hint="eastAsia" w:ascii="仿宋" w:hAnsi="仿宋" w:eastAsia="仿宋"/>
                <w:b/>
                <w:bCs/>
                <w:color w:val="auto"/>
                <w:szCs w:val="21"/>
              </w:rPr>
              <w:t>评审中允许负偏离的条款数为</w:t>
            </w:r>
            <w:r>
              <w:rPr>
                <w:rFonts w:hint="eastAsia" w:ascii="仿宋" w:hAnsi="仿宋" w:eastAsia="仿宋"/>
                <w:b/>
                <w:bCs/>
                <w:color w:val="auto"/>
                <w:szCs w:val="21"/>
                <w:u w:val="single"/>
                <w:lang w:val="en-US" w:eastAsia="zh-CN"/>
              </w:rPr>
              <w:t>0</w:t>
            </w:r>
            <w:r>
              <w:rPr>
                <w:rFonts w:hint="eastAsia" w:ascii="仿宋" w:hAnsi="仿宋" w:eastAsia="仿宋"/>
                <w:b/>
                <w:bCs/>
                <w:color w:val="auto"/>
                <w:szCs w:val="21"/>
              </w:rPr>
              <w:t>项。（按单个分标计算）</w:t>
            </w:r>
          </w:p>
          <w:p w14:paraId="30B25C9A">
            <w:pPr>
              <w:snapToGrid w:val="0"/>
              <w:spacing w:line="400" w:lineRule="exact"/>
              <w:rPr>
                <w:rFonts w:hint="default" w:ascii="仿宋" w:hAnsi="仿宋" w:eastAsia="仿宋"/>
                <w:b/>
                <w:bCs/>
                <w:color w:val="auto"/>
                <w:szCs w:val="21"/>
                <w:lang w:val="en-US" w:eastAsia="zh-CN"/>
              </w:rPr>
            </w:pPr>
            <w:r>
              <w:rPr>
                <w:rFonts w:hint="eastAsia" w:ascii="仿宋" w:hAnsi="仿宋" w:eastAsia="仿宋" w:cs="宋体"/>
                <w:b/>
                <w:bCs/>
                <w:color w:val="auto"/>
                <w:szCs w:val="21"/>
              </w:rPr>
              <w:t>技术要求</w:t>
            </w:r>
            <w:r>
              <w:rPr>
                <w:rFonts w:hint="eastAsia" w:ascii="仿宋" w:hAnsi="仿宋" w:eastAsia="仿宋"/>
                <w:b/>
                <w:bCs/>
                <w:color w:val="auto"/>
                <w:szCs w:val="21"/>
              </w:rPr>
              <w:t>评审中允许负偏离的条款数为</w:t>
            </w:r>
            <w:r>
              <w:rPr>
                <w:rFonts w:hint="eastAsia" w:eastAsia="仿宋"/>
                <w:color w:val="auto"/>
                <w:u w:val="single"/>
                <w:lang w:val="en-US" w:eastAsia="zh-CN"/>
              </w:rPr>
              <w:t>4</w:t>
            </w:r>
            <w:r>
              <w:rPr>
                <w:rFonts w:hint="eastAsia"/>
                <w:color w:val="auto"/>
              </w:rPr>
              <w:t>项</w:t>
            </w:r>
            <w:r>
              <w:rPr>
                <w:rFonts w:hint="eastAsia" w:ascii="仿宋" w:hAnsi="仿宋" w:eastAsia="仿宋"/>
                <w:b/>
                <w:bCs/>
                <w:color w:val="auto"/>
                <w:szCs w:val="21"/>
              </w:rPr>
              <w:t>。（按单个分标计算）</w:t>
            </w:r>
          </w:p>
        </w:tc>
      </w:tr>
      <w:tr w14:paraId="5D8CB9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0EF56EAE">
            <w:pPr>
              <w:spacing w:line="400" w:lineRule="exact"/>
              <w:jc w:val="center"/>
              <w:rPr>
                <w:rFonts w:ascii="仿宋" w:hAnsi="仿宋" w:eastAsia="仿宋"/>
                <w:color w:val="auto"/>
                <w:szCs w:val="21"/>
              </w:rPr>
            </w:pPr>
            <w:r>
              <w:rPr>
                <w:rFonts w:hint="eastAsia" w:ascii="仿宋" w:hAnsi="仿宋" w:eastAsia="仿宋"/>
                <w:color w:val="auto"/>
                <w:szCs w:val="21"/>
              </w:rPr>
              <w:t>30</w:t>
            </w:r>
            <w:r>
              <w:rPr>
                <w:rFonts w:ascii="仿宋" w:hAnsi="仿宋" w:eastAsia="仿宋"/>
                <w:color w:val="auto"/>
                <w:szCs w:val="21"/>
              </w:rPr>
              <w:t>.1</w:t>
            </w:r>
          </w:p>
        </w:tc>
        <w:tc>
          <w:tcPr>
            <w:tcW w:w="8708" w:type="dxa"/>
            <w:tcBorders>
              <w:top w:val="single" w:color="auto" w:sz="4" w:space="0"/>
              <w:left w:val="single" w:color="auto" w:sz="4" w:space="0"/>
              <w:bottom w:val="single" w:color="auto" w:sz="4" w:space="0"/>
              <w:right w:val="single" w:color="auto" w:sz="4" w:space="0"/>
            </w:tcBorders>
            <w:vAlign w:val="center"/>
          </w:tcPr>
          <w:p w14:paraId="00CFF61E">
            <w:pPr>
              <w:autoSpaceDE w:val="0"/>
              <w:autoSpaceDN w:val="0"/>
              <w:snapToGrid w:val="0"/>
              <w:spacing w:line="400" w:lineRule="exact"/>
              <w:textAlignment w:val="bottom"/>
              <w:rPr>
                <w:rFonts w:ascii="仿宋" w:hAnsi="仿宋" w:eastAsia="仿宋"/>
                <w:color w:val="auto"/>
                <w:szCs w:val="21"/>
              </w:rPr>
            </w:pPr>
            <w:r>
              <w:rPr>
                <w:rFonts w:hint="eastAsia" w:ascii="仿宋" w:hAnsi="仿宋" w:eastAsia="仿宋"/>
                <w:color w:val="auto"/>
                <w:szCs w:val="21"/>
              </w:rPr>
              <w:t>采用综合评分法的采购项目，采购人确定中标人时，出现中标候选人并列的情形，采购人按以下的方式确定中标人：按综合评分中技术水平、售后服务、履约能力、政策功能得分高低依次确定。</w:t>
            </w:r>
          </w:p>
        </w:tc>
      </w:tr>
      <w:tr w14:paraId="074844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705C68F3">
            <w:pPr>
              <w:spacing w:line="400" w:lineRule="exact"/>
              <w:jc w:val="center"/>
              <w:rPr>
                <w:rFonts w:ascii="仿宋" w:hAnsi="仿宋" w:eastAsia="仿宋"/>
                <w:color w:val="auto"/>
                <w:szCs w:val="21"/>
              </w:rPr>
            </w:pPr>
            <w:bookmarkStart w:id="69" w:name="_39.1"/>
            <w:bookmarkEnd w:id="69"/>
            <w:r>
              <w:rPr>
                <w:rFonts w:hint="eastAsia" w:ascii="仿宋" w:hAnsi="仿宋" w:eastAsia="仿宋"/>
                <w:color w:val="auto"/>
                <w:szCs w:val="21"/>
              </w:rPr>
              <w:t>35</w:t>
            </w:r>
            <w:r>
              <w:rPr>
                <w:rFonts w:ascii="仿宋" w:hAnsi="仿宋" w:eastAsia="仿宋"/>
                <w:color w:val="auto"/>
                <w:szCs w:val="21"/>
              </w:rPr>
              <w:t>.1</w:t>
            </w:r>
          </w:p>
        </w:tc>
        <w:tc>
          <w:tcPr>
            <w:tcW w:w="8708" w:type="dxa"/>
            <w:tcBorders>
              <w:top w:val="single" w:color="auto" w:sz="4" w:space="0"/>
              <w:left w:val="single" w:color="auto" w:sz="4" w:space="0"/>
              <w:bottom w:val="single" w:color="auto" w:sz="4" w:space="0"/>
              <w:right w:val="single" w:color="auto" w:sz="4" w:space="0"/>
            </w:tcBorders>
            <w:vAlign w:val="center"/>
          </w:tcPr>
          <w:p w14:paraId="02C90BF2">
            <w:pPr>
              <w:autoSpaceDE w:val="0"/>
              <w:autoSpaceDN w:val="0"/>
              <w:snapToGrid w:val="0"/>
              <w:spacing w:line="400" w:lineRule="exact"/>
              <w:textAlignment w:val="bottom"/>
              <w:rPr>
                <w:rFonts w:ascii="仿宋" w:hAnsi="仿宋" w:eastAsia="仿宋" w:cs="仿宋"/>
                <w:color w:val="auto"/>
                <w:szCs w:val="21"/>
              </w:rPr>
            </w:pPr>
            <w:r>
              <w:rPr>
                <w:rFonts w:hint="eastAsia" w:hAnsi="宋体" w:cs="宋体"/>
                <w:color w:val="auto"/>
              </w:rPr>
              <w:t>□</w:t>
            </w:r>
            <w:r>
              <w:rPr>
                <w:rFonts w:hint="eastAsia" w:ascii="仿宋" w:hAnsi="仿宋" w:eastAsia="仿宋" w:cs="仿宋"/>
                <w:color w:val="auto"/>
                <w:szCs w:val="21"/>
              </w:rPr>
              <w:t>本项目不收取履约保证金。</w:t>
            </w:r>
          </w:p>
          <w:p w14:paraId="21F7F773">
            <w:pPr>
              <w:autoSpaceDE w:val="0"/>
              <w:autoSpaceDN w:val="0"/>
              <w:snapToGrid w:val="0"/>
              <w:spacing w:line="400" w:lineRule="exact"/>
              <w:textAlignment w:val="bottom"/>
              <w:rPr>
                <w:rFonts w:ascii="仿宋" w:hAnsi="仿宋" w:eastAsia="仿宋" w:cs="仿宋"/>
                <w:color w:val="auto"/>
                <w:szCs w:val="21"/>
              </w:rPr>
            </w:pPr>
            <w:r>
              <w:rPr>
                <w:rFonts w:hint="eastAsia" w:hAnsi="宋体" w:cs="宋体"/>
                <w:color w:val="auto"/>
              </w:rPr>
              <w:t>☑</w:t>
            </w:r>
            <w:r>
              <w:rPr>
                <w:rFonts w:hint="eastAsia" w:ascii="仿宋" w:hAnsi="仿宋" w:eastAsia="仿宋" w:cs="仿宋"/>
                <w:color w:val="auto"/>
                <w:szCs w:val="21"/>
              </w:rPr>
              <w:t>本项目收取履约保证金，具体规定如下：</w:t>
            </w:r>
          </w:p>
          <w:p w14:paraId="45CB10EB">
            <w:pPr>
              <w:snapToGrid w:val="0"/>
              <w:spacing w:line="400" w:lineRule="exact"/>
              <w:contextualSpacing/>
              <w:rPr>
                <w:rFonts w:ascii="仿宋" w:hAnsi="仿宋" w:eastAsia="仿宋" w:cs="仿宋"/>
                <w:color w:val="auto"/>
                <w:szCs w:val="21"/>
              </w:rPr>
            </w:pPr>
            <w:r>
              <w:rPr>
                <w:rFonts w:hint="eastAsia" w:ascii="仿宋" w:hAnsi="仿宋" w:eastAsia="仿宋" w:cs="仿宋"/>
                <w:color w:val="auto"/>
                <w:szCs w:val="21"/>
              </w:rPr>
              <w:t>履约保证金金额：</w:t>
            </w:r>
            <w:r>
              <w:rPr>
                <w:rFonts w:hint="eastAsia" w:ascii="仿宋" w:hAnsi="仿宋" w:eastAsia="仿宋" w:cs="仿宋"/>
                <w:color w:val="auto"/>
              </w:rPr>
              <w:t>政府采购合同金额的</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2</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%（供应商为中小微企业的，履约保证金为</w:t>
            </w:r>
            <w:r>
              <w:rPr>
                <w:rFonts w:hint="eastAsia" w:ascii="仿宋" w:hAnsi="仿宋" w:eastAsia="仿宋" w:cs="仿宋"/>
                <w:color w:val="auto"/>
              </w:rPr>
              <w:t>政府采购合同金额的</w:t>
            </w:r>
            <w:r>
              <w:rPr>
                <w:rFonts w:hint="eastAsia" w:ascii="仿宋" w:hAnsi="仿宋" w:eastAsia="仿宋" w:cs="仿宋"/>
                <w:color w:val="auto"/>
                <w:szCs w:val="21"/>
              </w:rPr>
              <w:t>2%，供应商提供声明函或证明材料）。</w:t>
            </w:r>
          </w:p>
          <w:p w14:paraId="4454D69C">
            <w:pPr>
              <w:snapToGrid w:val="0"/>
              <w:spacing w:line="400" w:lineRule="exact"/>
              <w:contextualSpacing/>
              <w:rPr>
                <w:rFonts w:ascii="仿宋" w:hAnsi="仿宋" w:eastAsia="仿宋" w:cs="仿宋"/>
                <w:color w:val="auto"/>
                <w:szCs w:val="21"/>
              </w:rPr>
            </w:pPr>
            <w:r>
              <w:rPr>
                <w:rFonts w:hint="eastAsia" w:ascii="仿宋" w:hAnsi="仿宋" w:eastAsia="仿宋" w:cs="仿宋"/>
                <w:color w:val="auto"/>
                <w:szCs w:val="21"/>
              </w:rPr>
              <w:t>履约保证金提交方式：银行转账、支票、汇票、本票或者金融、担保机构出具的保函等非现金方式。</w:t>
            </w:r>
          </w:p>
          <w:p w14:paraId="3582774A">
            <w:pPr>
              <w:snapToGrid w:val="0"/>
              <w:spacing w:line="400" w:lineRule="exact"/>
              <w:contextualSpacing/>
              <w:rPr>
                <w:rFonts w:ascii="仿宋" w:hAnsi="仿宋" w:eastAsia="仿宋" w:cs="仿宋"/>
                <w:color w:val="auto"/>
                <w:szCs w:val="21"/>
              </w:rPr>
            </w:pPr>
            <w:r>
              <w:rPr>
                <w:rFonts w:hint="eastAsia" w:ascii="仿宋" w:hAnsi="仿宋" w:eastAsia="仿宋" w:cs="仿宋"/>
                <w:color w:val="auto"/>
                <w:szCs w:val="21"/>
              </w:rPr>
              <w:t>履约保证金退付方式、时间及条件：</w:t>
            </w:r>
            <w:r>
              <w:rPr>
                <w:rFonts w:hint="eastAsia" w:ascii="仿宋" w:hAnsi="仿宋" w:eastAsia="仿宋" w:cs="仿宋"/>
                <w:color w:val="auto"/>
                <w:szCs w:val="21"/>
                <w:u w:val="single"/>
              </w:rPr>
              <w:t>供应商若不能完全履行合同，履约保证金不返还；供应商若完全履行合同，按合同履行相关售后服务和配套服务，并对项目出现的质量及安全问题负责处理解决并承当一切费用，项目竣工验收合格质保期满后，供应商提交《广西壮族自治区政府采购项目合同验收书》及《政府采购项目履约保证金退付意见书》到采购人财务部门在收到合格材料后办理无息退还手续（不计利息）。</w:t>
            </w:r>
          </w:p>
          <w:p w14:paraId="7C718E97">
            <w:pPr>
              <w:snapToGrid w:val="0"/>
              <w:spacing w:line="400" w:lineRule="exact"/>
              <w:contextualSpacing/>
              <w:rPr>
                <w:rFonts w:ascii="仿宋" w:hAnsi="仿宋" w:eastAsia="仿宋" w:cs="仿宋"/>
                <w:color w:val="auto"/>
                <w:szCs w:val="21"/>
              </w:rPr>
            </w:pPr>
            <w:r>
              <w:rPr>
                <w:rFonts w:hint="eastAsia" w:ascii="仿宋" w:hAnsi="仿宋" w:eastAsia="仿宋" w:cs="仿宋"/>
                <w:color w:val="auto"/>
                <w:szCs w:val="21"/>
              </w:rPr>
              <w:t>履约保证金指定账户：</w:t>
            </w:r>
          </w:p>
          <w:p w14:paraId="1F5E8293">
            <w:pPr>
              <w:snapToGrid w:val="0"/>
              <w:spacing w:line="400" w:lineRule="exact"/>
              <w:contextualSpacing/>
              <w:rPr>
                <w:rFonts w:ascii="仿宋" w:hAnsi="仿宋" w:eastAsia="仿宋" w:cs="仿宋"/>
                <w:b/>
                <w:color w:val="auto"/>
                <w:szCs w:val="21"/>
              </w:rPr>
            </w:pPr>
            <w:r>
              <w:rPr>
                <w:rFonts w:hint="eastAsia" w:ascii="仿宋" w:hAnsi="仿宋" w:eastAsia="仿宋" w:cs="仿宋"/>
                <w:color w:val="auto"/>
                <w:szCs w:val="21"/>
                <w:u w:val="single"/>
              </w:rPr>
              <w:t>中标后提供</w:t>
            </w:r>
          </w:p>
          <w:p w14:paraId="503D0A7D">
            <w:pPr>
              <w:snapToGrid w:val="0"/>
              <w:spacing w:line="400" w:lineRule="exact"/>
              <w:contextualSpacing/>
              <w:rPr>
                <w:rFonts w:ascii="仿宋" w:hAnsi="仿宋" w:eastAsia="仿宋" w:cs="仿宋"/>
                <w:color w:val="auto"/>
                <w:szCs w:val="21"/>
              </w:rPr>
            </w:pPr>
            <w:r>
              <w:rPr>
                <w:rFonts w:hint="eastAsia" w:ascii="仿宋" w:hAnsi="仿宋" w:eastAsia="仿宋" w:cs="仿宋"/>
                <w:b/>
                <w:color w:val="auto"/>
                <w:szCs w:val="21"/>
              </w:rPr>
              <w:t>备注：</w:t>
            </w:r>
          </w:p>
          <w:p w14:paraId="7F1BFBEA">
            <w:pPr>
              <w:snapToGrid w:val="0"/>
              <w:spacing w:line="400" w:lineRule="exact"/>
              <w:contextualSpacing/>
              <w:rPr>
                <w:rFonts w:ascii="仿宋" w:hAnsi="仿宋" w:eastAsia="仿宋" w:cs="仿宋"/>
                <w:b/>
                <w:color w:val="auto"/>
                <w:szCs w:val="21"/>
              </w:rPr>
            </w:pPr>
            <w:r>
              <w:rPr>
                <w:rFonts w:hint="eastAsia" w:ascii="仿宋" w:hAnsi="仿宋" w:eastAsia="仿宋" w:cs="仿宋"/>
                <w:b/>
                <w:color w:val="auto"/>
                <w:szCs w:val="21"/>
              </w:rPr>
              <w:t>1、根据《广西壮族自治区财政厅关于贯彻落实政府采购优化营商环境百日攻坚行动方案的通知》（桂财采〔2020〕49号）规定，鼓励采购人在与中小微企业签订政府采购合同时，减少或免于收取履约保证金，有必要收取履约保证金的，收取的履约保证金不得超过政府采购合同金额的5%。</w:t>
            </w:r>
          </w:p>
          <w:p w14:paraId="31A54155">
            <w:pPr>
              <w:snapToGrid w:val="0"/>
              <w:spacing w:line="400" w:lineRule="exact"/>
              <w:contextualSpacing/>
              <w:rPr>
                <w:rFonts w:ascii="仿宋" w:hAnsi="仿宋" w:eastAsia="仿宋" w:cs="仿宋"/>
                <w:b/>
                <w:color w:val="auto"/>
                <w:szCs w:val="21"/>
              </w:rPr>
            </w:pPr>
            <w:r>
              <w:rPr>
                <w:rFonts w:hint="eastAsia" w:ascii="仿宋" w:hAnsi="仿宋" w:eastAsia="仿宋" w:cs="仿宋"/>
                <w:b/>
                <w:color w:val="auto"/>
                <w:szCs w:val="21"/>
              </w:rPr>
              <w:t>2、履约保证金不足额缴纳的，或者金融、担保机构出具的保函额度不足的或者保函有效期低于合同履行期限（即签订采购合同之日起至履行完合同约定的权利及义务之日止）的，不予签订合同。</w:t>
            </w:r>
          </w:p>
          <w:p w14:paraId="6D046372">
            <w:pPr>
              <w:snapToGrid w:val="0"/>
              <w:spacing w:line="400" w:lineRule="exact"/>
              <w:contextualSpacing/>
              <w:rPr>
                <w:rFonts w:ascii="仿宋" w:hAnsi="仿宋" w:eastAsia="仿宋" w:cs="仿宋"/>
                <w:b/>
                <w:color w:val="auto"/>
                <w:szCs w:val="21"/>
              </w:rPr>
            </w:pPr>
            <w:r>
              <w:rPr>
                <w:rFonts w:hint="eastAsia" w:ascii="仿宋" w:hAnsi="仿宋" w:eastAsia="仿宋" w:cs="仿宋"/>
                <w:b/>
                <w:color w:val="auto"/>
                <w:szCs w:val="21"/>
              </w:rPr>
              <w:t>3、采用金融、担保机构出具的保函的，必须为无条件保函，否则不予签订合同。</w:t>
            </w:r>
          </w:p>
          <w:p w14:paraId="5C1C58CE">
            <w:pPr>
              <w:snapToGrid w:val="0"/>
              <w:spacing w:line="400" w:lineRule="exact"/>
              <w:rPr>
                <w:rFonts w:ascii="仿宋" w:hAnsi="仿宋" w:eastAsia="仿宋"/>
                <w:color w:val="auto"/>
                <w:szCs w:val="21"/>
              </w:rPr>
            </w:pPr>
            <w:r>
              <w:rPr>
                <w:rFonts w:hint="eastAsia" w:ascii="仿宋" w:hAnsi="仿宋" w:eastAsia="仿宋" w:cs="仿宋"/>
                <w:b/>
                <w:color w:val="auto"/>
                <w:szCs w:val="21"/>
              </w:rPr>
              <w:t>4、供应商为联合体的，由联合体任意一方按规定提交的履约保证金，视为有效履约保证金。</w:t>
            </w:r>
          </w:p>
        </w:tc>
      </w:tr>
      <w:tr w14:paraId="0B4C41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142DDC6E">
            <w:pPr>
              <w:spacing w:line="400" w:lineRule="exact"/>
              <w:jc w:val="center"/>
              <w:rPr>
                <w:rFonts w:ascii="仿宋" w:hAnsi="仿宋" w:eastAsia="仿宋"/>
                <w:color w:val="auto"/>
                <w:szCs w:val="21"/>
              </w:rPr>
            </w:pPr>
            <w:bookmarkStart w:id="70" w:name="_40.1"/>
            <w:bookmarkEnd w:id="70"/>
            <w:r>
              <w:rPr>
                <w:rFonts w:hint="eastAsia" w:ascii="仿宋" w:hAnsi="仿宋" w:eastAsia="仿宋"/>
                <w:color w:val="auto"/>
                <w:szCs w:val="21"/>
              </w:rPr>
              <w:t>36.1</w:t>
            </w:r>
          </w:p>
        </w:tc>
        <w:tc>
          <w:tcPr>
            <w:tcW w:w="8708" w:type="dxa"/>
            <w:tcBorders>
              <w:top w:val="single" w:color="auto" w:sz="4" w:space="0"/>
              <w:left w:val="single" w:color="auto" w:sz="4" w:space="0"/>
              <w:bottom w:val="single" w:color="auto" w:sz="4" w:space="0"/>
              <w:right w:val="single" w:color="auto" w:sz="4" w:space="0"/>
            </w:tcBorders>
            <w:vAlign w:val="center"/>
          </w:tcPr>
          <w:p w14:paraId="48555DDE">
            <w:pPr>
              <w:autoSpaceDE w:val="0"/>
              <w:autoSpaceDN w:val="0"/>
              <w:snapToGrid w:val="0"/>
              <w:spacing w:line="400" w:lineRule="exact"/>
              <w:textAlignment w:val="bottom"/>
              <w:rPr>
                <w:rFonts w:ascii="仿宋" w:hAnsi="仿宋" w:eastAsia="仿宋"/>
                <w:color w:val="auto"/>
                <w:szCs w:val="21"/>
              </w:rPr>
            </w:pPr>
            <w:r>
              <w:rPr>
                <w:rFonts w:hint="eastAsia" w:ascii="仿宋" w:hAnsi="仿宋" w:eastAsia="仿宋"/>
                <w:color w:val="auto"/>
                <w:szCs w:val="21"/>
              </w:rPr>
              <w:t xml:space="preserve">签订合同携带的证明材料： </w:t>
            </w:r>
          </w:p>
          <w:p w14:paraId="343C902A">
            <w:pPr>
              <w:autoSpaceDE w:val="0"/>
              <w:autoSpaceDN w:val="0"/>
              <w:snapToGrid w:val="0"/>
              <w:spacing w:line="400" w:lineRule="exact"/>
              <w:textAlignment w:val="bottom"/>
              <w:rPr>
                <w:rFonts w:ascii="仿宋" w:hAnsi="仿宋" w:eastAsia="仿宋"/>
                <w:color w:val="auto"/>
                <w:szCs w:val="21"/>
              </w:rPr>
            </w:pPr>
            <w:r>
              <w:rPr>
                <w:rFonts w:hint="eastAsia" w:ascii="仿宋" w:hAnsi="仿宋" w:eastAsia="仿宋"/>
                <w:color w:val="auto"/>
                <w:szCs w:val="21"/>
              </w:rPr>
              <w:t>1、委托代理人负责签订合同的，须携带授权委托书及委托代理人身份证原件等其他资格证件。</w:t>
            </w:r>
          </w:p>
          <w:p w14:paraId="2ECE7404">
            <w:pPr>
              <w:autoSpaceDE w:val="0"/>
              <w:autoSpaceDN w:val="0"/>
              <w:snapToGrid w:val="0"/>
              <w:spacing w:line="400" w:lineRule="exact"/>
              <w:textAlignment w:val="bottom"/>
              <w:rPr>
                <w:rFonts w:ascii="仿宋" w:hAnsi="仿宋" w:eastAsia="仿宋"/>
                <w:color w:val="auto"/>
                <w:szCs w:val="21"/>
              </w:rPr>
            </w:pPr>
            <w:r>
              <w:rPr>
                <w:rFonts w:hint="eastAsia" w:ascii="仿宋" w:hAnsi="仿宋" w:eastAsia="仿宋"/>
                <w:color w:val="auto"/>
                <w:szCs w:val="21"/>
              </w:rPr>
              <w:t>2、法定代表人负责签订合同的，须携带法定代表人</w:t>
            </w:r>
            <w:r>
              <w:rPr>
                <w:rFonts w:ascii="仿宋" w:hAnsi="仿宋" w:eastAsia="仿宋"/>
                <w:color w:val="auto"/>
                <w:szCs w:val="21"/>
              </w:rPr>
              <w:t>身份证明原件</w:t>
            </w:r>
            <w:r>
              <w:rPr>
                <w:rFonts w:hint="eastAsia" w:ascii="仿宋" w:hAnsi="仿宋" w:eastAsia="仿宋"/>
                <w:color w:val="auto"/>
                <w:szCs w:val="21"/>
              </w:rPr>
              <w:t>及</w:t>
            </w:r>
            <w:r>
              <w:rPr>
                <w:rFonts w:ascii="仿宋" w:hAnsi="仿宋" w:eastAsia="仿宋"/>
                <w:color w:val="auto"/>
                <w:szCs w:val="21"/>
              </w:rPr>
              <w:t>身份证原件</w:t>
            </w:r>
            <w:r>
              <w:rPr>
                <w:rFonts w:hint="eastAsia" w:ascii="仿宋" w:hAnsi="仿宋" w:eastAsia="仿宋"/>
                <w:color w:val="auto"/>
                <w:szCs w:val="21"/>
              </w:rPr>
              <w:t>等其他证明材料。</w:t>
            </w:r>
          </w:p>
        </w:tc>
      </w:tr>
      <w:tr w14:paraId="33C1A3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10D26BD8">
            <w:pPr>
              <w:spacing w:line="400" w:lineRule="exact"/>
              <w:jc w:val="center"/>
              <w:rPr>
                <w:rFonts w:ascii="仿宋" w:hAnsi="仿宋" w:eastAsia="仿宋"/>
                <w:color w:val="auto"/>
                <w:szCs w:val="21"/>
              </w:rPr>
            </w:pPr>
            <w:r>
              <w:rPr>
                <w:rFonts w:hint="eastAsia" w:ascii="仿宋" w:hAnsi="仿宋" w:eastAsia="仿宋"/>
                <w:color w:val="auto"/>
                <w:szCs w:val="21"/>
              </w:rPr>
              <w:t>3</w:t>
            </w:r>
            <w:r>
              <w:rPr>
                <w:rFonts w:ascii="仿宋" w:hAnsi="仿宋" w:eastAsia="仿宋"/>
                <w:color w:val="auto"/>
                <w:szCs w:val="21"/>
              </w:rPr>
              <w:t>8.2</w:t>
            </w:r>
          </w:p>
        </w:tc>
        <w:tc>
          <w:tcPr>
            <w:tcW w:w="8708" w:type="dxa"/>
            <w:tcBorders>
              <w:top w:val="single" w:color="auto" w:sz="4" w:space="0"/>
              <w:left w:val="single" w:color="auto" w:sz="4" w:space="0"/>
              <w:bottom w:val="single" w:color="auto" w:sz="4" w:space="0"/>
              <w:right w:val="single" w:color="auto" w:sz="4" w:space="0"/>
            </w:tcBorders>
            <w:vAlign w:val="center"/>
          </w:tcPr>
          <w:p w14:paraId="1C2B78DA">
            <w:pPr>
              <w:snapToGrid w:val="0"/>
              <w:spacing w:line="400" w:lineRule="exact"/>
              <w:rPr>
                <w:rFonts w:ascii="仿宋" w:hAnsi="仿宋" w:eastAsia="仿宋"/>
                <w:color w:val="auto"/>
                <w:szCs w:val="21"/>
              </w:rPr>
            </w:pPr>
            <w:r>
              <w:rPr>
                <w:rFonts w:hint="eastAsia" w:ascii="仿宋" w:hAnsi="仿宋" w:eastAsia="仿宋"/>
                <w:color w:val="auto"/>
                <w:szCs w:val="21"/>
              </w:rPr>
              <w:t>接收质疑函方式：以纸质书面形式</w:t>
            </w:r>
          </w:p>
          <w:p w14:paraId="024CDD3E">
            <w:pPr>
              <w:snapToGrid w:val="0"/>
              <w:spacing w:line="400" w:lineRule="exact"/>
              <w:rPr>
                <w:rFonts w:ascii="仿宋" w:hAnsi="仿宋" w:eastAsia="仿宋"/>
                <w:color w:val="auto"/>
                <w:szCs w:val="21"/>
              </w:rPr>
            </w:pPr>
            <w:r>
              <w:rPr>
                <w:rFonts w:hint="eastAsia" w:ascii="仿宋" w:hAnsi="仿宋" w:eastAsia="仿宋"/>
                <w:color w:val="auto"/>
                <w:szCs w:val="21"/>
              </w:rPr>
              <w:t>质疑联系部门及联系方式：广西科文招标有限公司质量管理部，质疑联系人：</w:t>
            </w:r>
            <w:r>
              <w:rPr>
                <w:rFonts w:hint="eastAsia" w:ascii="仿宋" w:hAnsi="仿宋" w:eastAsia="仿宋"/>
                <w:color w:val="auto"/>
                <w:szCs w:val="21"/>
                <w:lang w:eastAsia="zh-CN"/>
              </w:rPr>
              <w:t>邹学荟</w:t>
            </w:r>
            <w:r>
              <w:rPr>
                <w:rFonts w:hint="eastAsia" w:ascii="仿宋" w:hAnsi="仿宋" w:eastAsia="仿宋"/>
                <w:color w:val="auto"/>
                <w:szCs w:val="21"/>
              </w:rPr>
              <w:t>；联系电话：0771-</w:t>
            </w:r>
            <w:r>
              <w:rPr>
                <w:rFonts w:hint="eastAsia" w:ascii="仿宋" w:hAnsi="仿宋" w:eastAsia="仿宋"/>
                <w:color w:val="auto"/>
                <w:szCs w:val="21"/>
                <w:lang w:eastAsia="zh-CN"/>
              </w:rPr>
              <w:t>2026103</w:t>
            </w:r>
            <w:r>
              <w:rPr>
                <w:rFonts w:hint="eastAsia" w:ascii="仿宋" w:hAnsi="仿宋" w:eastAsia="仿宋"/>
                <w:color w:val="auto"/>
                <w:szCs w:val="21"/>
              </w:rPr>
              <w:t>，</w:t>
            </w:r>
            <w:r>
              <w:rPr>
                <w:rFonts w:ascii="仿宋" w:hAnsi="仿宋" w:eastAsia="仿宋"/>
                <w:color w:val="auto"/>
                <w:szCs w:val="21"/>
              </w:rPr>
              <w:t>通讯地址</w:t>
            </w:r>
            <w:r>
              <w:rPr>
                <w:rFonts w:hint="eastAsia" w:ascii="仿宋" w:hAnsi="仿宋" w:eastAsia="仿宋" w:cs="Helvetica"/>
                <w:color w:val="auto"/>
                <w:szCs w:val="21"/>
              </w:rPr>
              <w:t>：</w:t>
            </w:r>
            <w:r>
              <w:rPr>
                <w:rFonts w:hint="eastAsia" w:ascii="仿宋" w:hAnsi="仿宋" w:eastAsia="仿宋"/>
                <w:color w:val="auto"/>
                <w:szCs w:val="21"/>
              </w:rPr>
              <w:t>广西南宁市民族大道141号中鼎万象东方D区五层</w:t>
            </w:r>
          </w:p>
          <w:p w14:paraId="0CEC4CD6">
            <w:pPr>
              <w:autoSpaceDE w:val="0"/>
              <w:autoSpaceDN w:val="0"/>
              <w:snapToGrid w:val="0"/>
              <w:spacing w:line="400" w:lineRule="exact"/>
              <w:textAlignment w:val="bottom"/>
              <w:rPr>
                <w:rFonts w:ascii="仿宋" w:hAnsi="仿宋" w:eastAsia="仿宋"/>
                <w:color w:val="auto"/>
                <w:szCs w:val="21"/>
              </w:rPr>
            </w:pPr>
            <w:r>
              <w:rPr>
                <w:rFonts w:hint="eastAsia" w:ascii="仿宋" w:hAnsi="仿宋" w:eastAsia="仿宋"/>
                <w:color w:val="auto"/>
              </w:rPr>
              <w:t>现场提交质疑办理业务时间：工作日，</w:t>
            </w:r>
            <w:r>
              <w:rPr>
                <w:rFonts w:hint="eastAsia" w:ascii="仿宋" w:hAnsi="仿宋" w:eastAsia="仿宋" w:cs="Arial"/>
                <w:color w:val="auto"/>
                <w:szCs w:val="21"/>
              </w:rPr>
              <w:t>上午8:00-12:00；下午1</w:t>
            </w:r>
            <w:r>
              <w:rPr>
                <w:rFonts w:hint="eastAsia" w:ascii="仿宋" w:hAnsi="仿宋" w:eastAsia="仿宋" w:cs="Arial"/>
                <w:color w:val="auto"/>
              </w:rPr>
              <w:t>5</w:t>
            </w:r>
            <w:r>
              <w:rPr>
                <w:rFonts w:hint="eastAsia" w:ascii="仿宋" w:hAnsi="仿宋" w:eastAsia="仿宋" w:cs="Arial"/>
                <w:color w:val="auto"/>
                <w:szCs w:val="21"/>
              </w:rPr>
              <w:t>:</w:t>
            </w:r>
            <w:r>
              <w:rPr>
                <w:rFonts w:hint="eastAsia" w:ascii="仿宋" w:hAnsi="仿宋" w:eastAsia="仿宋" w:cs="Arial"/>
                <w:color w:val="auto"/>
              </w:rPr>
              <w:t>00</w:t>
            </w:r>
            <w:r>
              <w:rPr>
                <w:rFonts w:hint="eastAsia" w:ascii="仿宋" w:hAnsi="仿宋" w:eastAsia="仿宋" w:cs="Arial"/>
                <w:color w:val="auto"/>
                <w:szCs w:val="21"/>
              </w:rPr>
              <w:t>-1</w:t>
            </w:r>
            <w:r>
              <w:rPr>
                <w:rFonts w:hint="eastAsia" w:ascii="仿宋" w:hAnsi="仿宋" w:eastAsia="仿宋" w:cs="Arial"/>
                <w:color w:val="auto"/>
              </w:rPr>
              <w:t>8</w:t>
            </w:r>
            <w:r>
              <w:rPr>
                <w:rFonts w:hint="eastAsia" w:ascii="仿宋" w:hAnsi="仿宋" w:eastAsia="仿宋" w:cs="Arial"/>
                <w:color w:val="auto"/>
                <w:szCs w:val="21"/>
              </w:rPr>
              <w:t>:</w:t>
            </w:r>
            <w:r>
              <w:rPr>
                <w:rFonts w:hint="eastAsia" w:ascii="仿宋" w:hAnsi="仿宋" w:eastAsia="仿宋" w:cs="Arial"/>
                <w:color w:val="auto"/>
              </w:rPr>
              <w:t>0</w:t>
            </w:r>
            <w:r>
              <w:rPr>
                <w:rFonts w:hint="eastAsia" w:ascii="仿宋" w:hAnsi="仿宋" w:eastAsia="仿宋" w:cs="Arial"/>
                <w:color w:val="auto"/>
                <w:szCs w:val="21"/>
              </w:rPr>
              <w:t>0（北京时间）</w:t>
            </w:r>
          </w:p>
        </w:tc>
      </w:tr>
      <w:tr w14:paraId="473E7D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9460311">
            <w:pPr>
              <w:spacing w:line="400" w:lineRule="exact"/>
              <w:jc w:val="center"/>
              <w:rPr>
                <w:rFonts w:ascii="仿宋" w:hAnsi="仿宋" w:eastAsia="仿宋"/>
                <w:color w:val="auto"/>
                <w:szCs w:val="21"/>
              </w:rPr>
            </w:pPr>
            <w:bookmarkStart w:id="71" w:name="_42"/>
            <w:bookmarkEnd w:id="71"/>
            <w:bookmarkStart w:id="72" w:name="_41"/>
            <w:bookmarkEnd w:id="72"/>
            <w:bookmarkStart w:id="73" w:name="_Hlt17709148"/>
            <w:r>
              <w:rPr>
                <w:rFonts w:hint="eastAsia" w:ascii="仿宋" w:hAnsi="仿宋" w:eastAsia="仿宋"/>
                <w:color w:val="auto"/>
                <w:szCs w:val="21"/>
              </w:rPr>
              <w:t>3</w:t>
            </w:r>
            <w:bookmarkEnd w:id="73"/>
            <w:r>
              <w:rPr>
                <w:rFonts w:ascii="仿宋" w:hAnsi="仿宋" w:eastAsia="仿宋"/>
                <w:color w:val="auto"/>
                <w:szCs w:val="21"/>
              </w:rPr>
              <w:t>9.1</w:t>
            </w:r>
          </w:p>
        </w:tc>
        <w:tc>
          <w:tcPr>
            <w:tcW w:w="8708" w:type="dxa"/>
            <w:tcBorders>
              <w:top w:val="single" w:color="auto" w:sz="4" w:space="0"/>
              <w:left w:val="single" w:color="auto" w:sz="4" w:space="0"/>
              <w:bottom w:val="single" w:color="auto" w:sz="4" w:space="0"/>
              <w:right w:val="single" w:color="auto" w:sz="4" w:space="0"/>
            </w:tcBorders>
            <w:vAlign w:val="center"/>
          </w:tcPr>
          <w:p w14:paraId="63A7116A">
            <w:pPr>
              <w:pStyle w:val="26"/>
              <w:snapToGrid w:val="0"/>
              <w:spacing w:line="400" w:lineRule="exact"/>
              <w:rPr>
                <w:rFonts w:ascii="仿宋" w:hAnsi="仿宋" w:eastAsia="仿宋" w:cs="宋体"/>
                <w:color w:val="auto"/>
                <w:sz w:val="21"/>
              </w:rPr>
            </w:pPr>
            <w:r>
              <w:rPr>
                <w:rFonts w:hint="eastAsia" w:ascii="仿宋" w:hAnsi="仿宋" w:eastAsia="仿宋" w:cs="宋体"/>
                <w:color w:val="auto"/>
                <w:sz w:val="21"/>
              </w:rPr>
              <w:t>1、采购代理服务费支付方式：</w:t>
            </w:r>
            <w:r>
              <w:rPr>
                <w:rFonts w:hint="eastAsia" w:ascii="仿宋" w:hAnsi="仿宋" w:eastAsia="仿宋"/>
                <w:color w:val="auto"/>
              </w:rPr>
              <w:t>本项目的招标代理服务费按以下收费标准向中标人收取，领取中标通知书前，中标人应向采购代理机构一次付清招标代理服务费，否则采购代理机构有权不予以办理。</w:t>
            </w:r>
          </w:p>
          <w:p w14:paraId="11C3BEB3">
            <w:pPr>
              <w:pStyle w:val="26"/>
              <w:snapToGrid w:val="0"/>
              <w:spacing w:line="400" w:lineRule="exact"/>
              <w:rPr>
                <w:rFonts w:ascii="仿宋" w:hAnsi="仿宋" w:eastAsia="仿宋" w:cs="宋体"/>
                <w:color w:val="auto"/>
                <w:sz w:val="21"/>
              </w:rPr>
            </w:pPr>
            <w:r>
              <w:rPr>
                <w:rFonts w:hint="eastAsia" w:ascii="仿宋" w:hAnsi="仿宋" w:eastAsia="仿宋" w:cs="宋体"/>
                <w:color w:val="auto"/>
                <w:sz w:val="21"/>
              </w:rPr>
              <w:t>2、采购代理服务费收取标准：</w:t>
            </w:r>
          </w:p>
          <w:p w14:paraId="7821927E">
            <w:pPr>
              <w:pStyle w:val="26"/>
              <w:snapToGrid w:val="0"/>
              <w:spacing w:line="400" w:lineRule="exact"/>
              <w:rPr>
                <w:rFonts w:ascii="仿宋" w:hAnsi="仿宋" w:eastAsia="仿宋" w:cs="宋体"/>
                <w:color w:val="auto"/>
                <w:sz w:val="21"/>
              </w:rPr>
            </w:pPr>
            <w:r>
              <w:rPr>
                <w:rFonts w:hint="eastAsia" w:ascii="仿宋" w:hAnsi="仿宋" w:eastAsia="仿宋" w:cs="宋体"/>
                <w:color w:val="auto"/>
                <w:sz w:val="21"/>
              </w:rPr>
              <w:t>以分标（中标金额）为计费金额，按本须知正文第</w:t>
            </w:r>
            <w:r>
              <w:rPr>
                <w:rFonts w:ascii="仿宋" w:hAnsi="仿宋" w:eastAsia="仿宋" w:cs="宋体"/>
                <w:color w:val="auto"/>
                <w:sz w:val="21"/>
              </w:rPr>
              <w:t>39</w:t>
            </w:r>
            <w:r>
              <w:rPr>
                <w:rFonts w:hint="eastAsia" w:ascii="仿宋" w:hAnsi="仿宋" w:eastAsia="仿宋" w:cs="宋体"/>
                <w:color w:val="auto"/>
                <w:sz w:val="21"/>
              </w:rPr>
              <w:t>.</w:t>
            </w:r>
            <w:r>
              <w:rPr>
                <w:rFonts w:ascii="仿宋" w:hAnsi="仿宋" w:eastAsia="仿宋" w:cs="宋体"/>
                <w:color w:val="auto"/>
                <w:sz w:val="21"/>
              </w:rPr>
              <w:t>2</w:t>
            </w:r>
            <w:r>
              <w:rPr>
                <w:rFonts w:hint="eastAsia" w:ascii="仿宋" w:hAnsi="仿宋" w:eastAsia="仿宋" w:cs="宋体"/>
                <w:color w:val="auto"/>
                <w:sz w:val="21"/>
              </w:rPr>
              <w:t>条规定的收费计算标准（货物招标）采用差额定率累进法计算出收费基准价格，采购代理服务费以收费基准价格收取。</w:t>
            </w:r>
          </w:p>
          <w:p w14:paraId="736A26A1">
            <w:pPr>
              <w:pStyle w:val="26"/>
              <w:snapToGrid w:val="0"/>
              <w:spacing w:line="400" w:lineRule="exact"/>
              <w:rPr>
                <w:rFonts w:ascii="仿宋" w:hAnsi="仿宋" w:eastAsia="仿宋" w:cs="宋体"/>
                <w:color w:val="auto"/>
                <w:sz w:val="21"/>
              </w:rPr>
            </w:pPr>
            <w:r>
              <w:rPr>
                <w:rFonts w:hint="eastAsia" w:ascii="仿宋" w:hAnsi="仿宋" w:eastAsia="仿宋" w:cs="宋体"/>
                <w:color w:val="auto"/>
                <w:sz w:val="21"/>
              </w:rPr>
              <w:t>3、采购代理费收取银行账户：</w:t>
            </w:r>
          </w:p>
          <w:p w14:paraId="32F2592C">
            <w:pPr>
              <w:pStyle w:val="26"/>
              <w:snapToGrid w:val="0"/>
              <w:spacing w:line="400" w:lineRule="exact"/>
              <w:rPr>
                <w:rFonts w:hint="eastAsia" w:ascii="仿宋" w:hAnsi="仿宋" w:eastAsia="仿宋" w:cs="仿宋"/>
                <w:color w:val="auto"/>
                <w:sz w:val="21"/>
                <w:lang w:eastAsia="zh-CN"/>
              </w:rPr>
            </w:pPr>
            <w:r>
              <w:rPr>
                <w:rFonts w:hint="eastAsia" w:ascii="仿宋" w:hAnsi="仿宋" w:eastAsia="仿宋" w:cs="仿宋"/>
                <w:color w:val="auto"/>
                <w:sz w:val="21"/>
              </w:rPr>
              <w:t>账户名称：</w:t>
            </w:r>
            <w:r>
              <w:rPr>
                <w:rFonts w:hint="eastAsia" w:ascii="仿宋" w:hAnsi="仿宋" w:eastAsia="仿宋" w:cs="仿宋"/>
                <w:color w:val="auto"/>
                <w:sz w:val="21"/>
                <w:lang w:eastAsia="zh-CN"/>
              </w:rPr>
              <w:t>广西科文招标有限公司南宁五分公司</w:t>
            </w:r>
          </w:p>
          <w:p w14:paraId="136B9AD1">
            <w:pPr>
              <w:pStyle w:val="26"/>
              <w:snapToGrid w:val="0"/>
              <w:spacing w:line="400" w:lineRule="exact"/>
              <w:rPr>
                <w:rFonts w:ascii="仿宋" w:hAnsi="仿宋" w:eastAsia="仿宋" w:cs="仿宋"/>
                <w:color w:val="auto"/>
                <w:sz w:val="21"/>
              </w:rPr>
            </w:pPr>
            <w:r>
              <w:rPr>
                <w:rFonts w:hint="eastAsia" w:ascii="仿宋" w:hAnsi="仿宋" w:eastAsia="仿宋" w:cs="仿宋"/>
                <w:color w:val="auto"/>
                <w:sz w:val="21"/>
              </w:rPr>
              <w:t>开户银行：广西北部湾银行股份有限公司南宁市云景支行</w:t>
            </w:r>
          </w:p>
          <w:p w14:paraId="052288DC">
            <w:pPr>
              <w:pStyle w:val="26"/>
              <w:snapToGrid w:val="0"/>
              <w:spacing w:line="400" w:lineRule="exact"/>
              <w:rPr>
                <w:rFonts w:hint="eastAsia" w:ascii="仿宋" w:hAnsi="仿宋" w:eastAsia="仿宋" w:cs="宋体"/>
                <w:color w:val="auto"/>
                <w:sz w:val="21"/>
                <w:lang w:eastAsia="zh-CN"/>
              </w:rPr>
            </w:pPr>
            <w:r>
              <w:rPr>
                <w:rFonts w:hint="eastAsia" w:ascii="仿宋" w:hAnsi="仿宋" w:eastAsia="仿宋" w:cs="仿宋"/>
                <w:color w:val="auto"/>
                <w:sz w:val="21"/>
              </w:rPr>
              <w:t>银行账号：</w:t>
            </w:r>
            <w:r>
              <w:rPr>
                <w:rFonts w:hint="eastAsia" w:ascii="仿宋" w:hAnsi="仿宋" w:eastAsia="仿宋" w:cs="仿宋"/>
                <w:color w:val="auto"/>
                <w:sz w:val="21"/>
                <w:lang w:eastAsia="zh-CN"/>
              </w:rPr>
              <w:t>8050 3022 0200 001</w:t>
            </w:r>
          </w:p>
        </w:tc>
      </w:tr>
      <w:tr w14:paraId="1050E6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A5AE0D4">
            <w:pPr>
              <w:snapToGrid w:val="0"/>
              <w:spacing w:line="400" w:lineRule="exact"/>
              <w:jc w:val="center"/>
              <w:rPr>
                <w:rFonts w:ascii="仿宋" w:hAnsi="仿宋" w:eastAsia="仿宋"/>
                <w:color w:val="auto"/>
                <w:szCs w:val="21"/>
              </w:rPr>
            </w:pPr>
            <w:r>
              <w:rPr>
                <w:rFonts w:ascii="仿宋" w:hAnsi="仿宋" w:eastAsia="仿宋"/>
                <w:color w:val="auto"/>
                <w:szCs w:val="21"/>
              </w:rPr>
              <w:t>40.1</w:t>
            </w:r>
          </w:p>
        </w:tc>
        <w:tc>
          <w:tcPr>
            <w:tcW w:w="8708" w:type="dxa"/>
            <w:tcBorders>
              <w:top w:val="single" w:color="auto" w:sz="4" w:space="0"/>
              <w:left w:val="single" w:color="auto" w:sz="4" w:space="0"/>
              <w:bottom w:val="single" w:color="auto" w:sz="4" w:space="0"/>
              <w:right w:val="single" w:color="auto" w:sz="4" w:space="0"/>
            </w:tcBorders>
            <w:vAlign w:val="center"/>
          </w:tcPr>
          <w:p w14:paraId="3B7C472E">
            <w:pPr>
              <w:snapToGrid w:val="0"/>
              <w:spacing w:line="400" w:lineRule="exact"/>
              <w:rPr>
                <w:rFonts w:ascii="仿宋" w:hAnsi="仿宋" w:eastAsia="仿宋"/>
                <w:color w:val="auto"/>
                <w:szCs w:val="21"/>
              </w:rPr>
            </w:pPr>
            <w:r>
              <w:rPr>
                <w:rFonts w:hint="eastAsia" w:ascii="仿宋" w:hAnsi="仿宋" w:eastAsia="仿宋"/>
                <w:color w:val="auto"/>
                <w:szCs w:val="21"/>
              </w:rPr>
              <w:t>解释：</w:t>
            </w:r>
            <w:r>
              <w:rPr>
                <w:rFonts w:ascii="仿宋" w:hAnsi="仿宋" w:eastAsia="仿宋"/>
                <w:color w:val="auto"/>
                <w:szCs w:val="21"/>
              </w:rPr>
              <w:t>构成本招标文件的各个组成文件应互为解释，互为说明；除招标文件中有特别规定外，仅适用于招标投标阶段的规定，按</w:t>
            </w:r>
            <w:r>
              <w:rPr>
                <w:rFonts w:hint="eastAsia" w:ascii="仿宋" w:hAnsi="仿宋" w:eastAsia="仿宋"/>
                <w:color w:val="auto"/>
                <w:szCs w:val="21"/>
              </w:rPr>
              <w:t>更正公告（澄清公告）</w:t>
            </w:r>
            <w:r>
              <w:rPr>
                <w:rFonts w:ascii="仿宋" w:hAnsi="仿宋" w:eastAsia="仿宋"/>
                <w:color w:val="auto"/>
                <w:szCs w:val="21"/>
              </w:rPr>
              <w:t>、招标公告、</w:t>
            </w:r>
            <w:r>
              <w:rPr>
                <w:rFonts w:hint="eastAsia" w:ascii="仿宋" w:hAnsi="仿宋" w:eastAsia="仿宋"/>
                <w:color w:val="auto"/>
                <w:szCs w:val="21"/>
              </w:rPr>
              <w:t>采购需求、</w:t>
            </w:r>
            <w:r>
              <w:rPr>
                <w:rFonts w:ascii="仿宋" w:hAnsi="仿宋" w:eastAsia="仿宋"/>
                <w:color w:val="auto"/>
                <w:szCs w:val="21"/>
              </w:rPr>
              <w:t>投标人须知、</w:t>
            </w:r>
            <w:r>
              <w:rPr>
                <w:rFonts w:hint="eastAsia" w:ascii="仿宋" w:hAnsi="仿宋" w:eastAsia="仿宋"/>
                <w:color w:val="auto"/>
                <w:szCs w:val="21"/>
              </w:rPr>
              <w:t>评标方法及评标标准</w:t>
            </w:r>
            <w:r>
              <w:rPr>
                <w:rFonts w:ascii="仿宋" w:hAnsi="仿宋" w:eastAsia="仿宋"/>
                <w:color w:val="auto"/>
                <w:szCs w:val="21"/>
              </w:rPr>
              <w:t>、</w:t>
            </w:r>
            <w:r>
              <w:rPr>
                <w:rFonts w:hint="eastAsia" w:ascii="仿宋" w:hAnsi="仿宋" w:eastAsia="仿宋"/>
                <w:color w:val="auto"/>
                <w:szCs w:val="21"/>
              </w:rPr>
              <w:t>拟签订的合同文本、</w:t>
            </w:r>
            <w:r>
              <w:rPr>
                <w:rFonts w:ascii="仿宋" w:hAnsi="仿宋" w:eastAsia="仿宋"/>
                <w:color w:val="auto"/>
                <w:szCs w:val="21"/>
              </w:rPr>
              <w:t>投标文件格式的先后顺序解释；同一组成文件中就同一事项的规定或者约定不一致的，以编排顺序在后者为准；同一组成文件不同版本之间有不一致的，以形成时间在后者为准；</w:t>
            </w:r>
            <w:r>
              <w:rPr>
                <w:rFonts w:hint="eastAsia" w:ascii="仿宋" w:hAnsi="仿宋" w:eastAsia="仿宋"/>
                <w:color w:val="auto"/>
                <w:szCs w:val="21"/>
              </w:rPr>
              <w:t>更正公告（澄清公告）</w:t>
            </w:r>
            <w:r>
              <w:rPr>
                <w:rFonts w:ascii="仿宋" w:hAnsi="仿宋" w:eastAsia="仿宋"/>
                <w:color w:val="auto"/>
                <w:szCs w:val="21"/>
              </w:rPr>
              <w:t>与同步更新的招标文件不一致时以</w:t>
            </w:r>
            <w:r>
              <w:rPr>
                <w:rFonts w:hint="eastAsia" w:ascii="仿宋" w:hAnsi="仿宋" w:eastAsia="仿宋"/>
                <w:color w:val="auto"/>
                <w:szCs w:val="21"/>
              </w:rPr>
              <w:t>更正公告（澄清公告）</w:t>
            </w:r>
            <w:r>
              <w:rPr>
                <w:rFonts w:ascii="仿宋" w:hAnsi="仿宋" w:eastAsia="仿宋"/>
                <w:color w:val="auto"/>
                <w:szCs w:val="21"/>
              </w:rPr>
              <w:t>为准。按本款前述规定仍不能形成结论的，由</w:t>
            </w:r>
            <w:r>
              <w:rPr>
                <w:rFonts w:hint="eastAsia" w:ascii="仿宋" w:hAnsi="仿宋" w:eastAsia="仿宋"/>
                <w:color w:val="auto"/>
                <w:szCs w:val="21"/>
              </w:rPr>
              <w:t>采购</w:t>
            </w:r>
            <w:r>
              <w:rPr>
                <w:rFonts w:ascii="仿宋" w:hAnsi="仿宋" w:eastAsia="仿宋"/>
                <w:color w:val="auto"/>
                <w:szCs w:val="21"/>
              </w:rPr>
              <w:t>人</w:t>
            </w:r>
            <w:r>
              <w:rPr>
                <w:rFonts w:hint="eastAsia" w:ascii="仿宋" w:hAnsi="仿宋" w:eastAsia="仿宋"/>
                <w:color w:val="auto"/>
                <w:szCs w:val="21"/>
              </w:rPr>
              <w:t>或者采购代理机构</w:t>
            </w:r>
            <w:r>
              <w:rPr>
                <w:rFonts w:ascii="仿宋" w:hAnsi="仿宋" w:eastAsia="仿宋"/>
                <w:color w:val="auto"/>
                <w:szCs w:val="21"/>
              </w:rPr>
              <w:t>负责解释。</w:t>
            </w:r>
          </w:p>
        </w:tc>
      </w:tr>
      <w:tr w14:paraId="6B08C3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F1843AB">
            <w:pPr>
              <w:snapToGrid w:val="0"/>
              <w:spacing w:line="400" w:lineRule="exact"/>
              <w:jc w:val="center"/>
              <w:rPr>
                <w:rFonts w:ascii="仿宋" w:hAnsi="仿宋" w:eastAsia="仿宋"/>
                <w:color w:val="auto"/>
                <w:szCs w:val="21"/>
              </w:rPr>
            </w:pPr>
            <w:r>
              <w:rPr>
                <w:rFonts w:ascii="仿宋" w:hAnsi="仿宋" w:eastAsia="仿宋"/>
                <w:color w:val="auto"/>
                <w:szCs w:val="21"/>
              </w:rPr>
              <w:t>40.2</w:t>
            </w:r>
          </w:p>
        </w:tc>
        <w:tc>
          <w:tcPr>
            <w:tcW w:w="8708" w:type="dxa"/>
            <w:tcBorders>
              <w:top w:val="single" w:color="auto" w:sz="4" w:space="0"/>
              <w:left w:val="single" w:color="auto" w:sz="4" w:space="0"/>
              <w:bottom w:val="single" w:color="auto" w:sz="4" w:space="0"/>
              <w:right w:val="single" w:color="auto" w:sz="4" w:space="0"/>
            </w:tcBorders>
            <w:vAlign w:val="center"/>
          </w:tcPr>
          <w:p w14:paraId="34EBA7CC">
            <w:pPr>
              <w:pStyle w:val="26"/>
              <w:snapToGrid w:val="0"/>
              <w:spacing w:line="400" w:lineRule="exact"/>
              <w:rPr>
                <w:rFonts w:ascii="仿宋" w:hAnsi="仿宋" w:eastAsia="仿宋" w:cs="宋体"/>
                <w:bCs/>
                <w:color w:val="auto"/>
                <w:sz w:val="21"/>
              </w:rPr>
            </w:pPr>
            <w:r>
              <w:rPr>
                <w:rFonts w:hint="eastAsia" w:ascii="仿宋" w:hAnsi="仿宋" w:eastAsia="仿宋" w:cs="宋体"/>
                <w:bCs/>
                <w:color w:val="auto"/>
                <w:sz w:val="21"/>
              </w:rPr>
              <w:t>1、本招标文件中描述投标人的“公章”是指根据我国对公章的管理规定，用投标人法定主体行为名称制作的印章</w:t>
            </w:r>
            <w:r>
              <w:rPr>
                <w:rFonts w:hint="eastAsia" w:ascii="仿宋" w:hAnsi="仿宋" w:eastAsia="仿宋" w:cs="宋体"/>
                <w:color w:val="auto"/>
                <w:sz w:val="21"/>
              </w:rPr>
              <w:t>（含电子印章）</w:t>
            </w:r>
            <w:r>
              <w:rPr>
                <w:rFonts w:hint="eastAsia" w:ascii="仿宋" w:hAnsi="仿宋" w:eastAsia="仿宋" w:cs="宋体"/>
                <w:bCs/>
                <w:color w:val="auto"/>
                <w:sz w:val="21"/>
              </w:rPr>
              <w:t>，除本招标文件有特殊规定外，投标人的财务章、部门章、分公司章、工会章、合同章、投标专用章、业务专用章及银行的转账章、现金收讫章、现金付讫章等其他形式印章均不能代替公章。</w:t>
            </w:r>
          </w:p>
          <w:p w14:paraId="7758AA89">
            <w:pPr>
              <w:pStyle w:val="26"/>
              <w:snapToGrid w:val="0"/>
              <w:spacing w:line="400" w:lineRule="exact"/>
              <w:rPr>
                <w:rFonts w:ascii="仿宋" w:hAnsi="仿宋" w:eastAsia="仿宋" w:cs="宋体"/>
                <w:bCs/>
                <w:color w:val="auto"/>
                <w:sz w:val="21"/>
              </w:rPr>
            </w:pPr>
            <w:r>
              <w:rPr>
                <w:rFonts w:hint="eastAsia" w:ascii="仿宋" w:hAnsi="仿宋" w:eastAsia="仿宋" w:cs="宋体"/>
                <w:bCs/>
                <w:color w:val="auto"/>
                <w:sz w:val="21"/>
              </w:rPr>
              <w:t>2、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58E6EE2D">
            <w:pPr>
              <w:pStyle w:val="26"/>
              <w:snapToGrid w:val="0"/>
              <w:spacing w:line="400" w:lineRule="exact"/>
              <w:rPr>
                <w:rFonts w:ascii="仿宋" w:hAnsi="仿宋" w:eastAsia="仿宋" w:cs="宋体"/>
                <w:bCs/>
                <w:color w:val="auto"/>
                <w:sz w:val="21"/>
              </w:rPr>
            </w:pPr>
            <w:r>
              <w:rPr>
                <w:rFonts w:hint="eastAsia" w:ascii="仿宋" w:hAnsi="仿宋" w:eastAsia="仿宋" w:cs="宋体"/>
                <w:bCs/>
                <w:color w:val="auto"/>
                <w:sz w:val="21"/>
              </w:rPr>
              <w:t>3、本招标文件中描述投标人的“签字”是指投标人的法定代表人或者委托代理人</w:t>
            </w:r>
            <w:r>
              <w:rPr>
                <w:rFonts w:hint="eastAsia" w:ascii="仿宋" w:hAnsi="仿宋" w:eastAsia="仿宋" w:cs="宋体"/>
                <w:color w:val="auto"/>
                <w:sz w:val="21"/>
              </w:rPr>
              <w:t>在文件规定签署处签名（含电子签名）的行为，私章、印鉴等其他形式均不能代替签字</w:t>
            </w:r>
            <w:r>
              <w:rPr>
                <w:rFonts w:hint="eastAsia" w:ascii="仿宋" w:hAnsi="仿宋" w:eastAsia="仿宋" w:cs="宋体"/>
                <w:bCs/>
                <w:color w:val="auto"/>
                <w:sz w:val="21"/>
              </w:rPr>
              <w:t>。</w:t>
            </w:r>
          </w:p>
          <w:p w14:paraId="1728434A">
            <w:pPr>
              <w:pStyle w:val="26"/>
              <w:snapToGrid w:val="0"/>
              <w:spacing w:line="400" w:lineRule="exact"/>
              <w:rPr>
                <w:rFonts w:ascii="仿宋" w:hAnsi="仿宋" w:eastAsia="仿宋" w:cs="宋体"/>
                <w:bCs/>
                <w:color w:val="auto"/>
                <w:sz w:val="21"/>
              </w:rPr>
            </w:pPr>
            <w:r>
              <w:rPr>
                <w:rFonts w:hint="eastAsia" w:ascii="仿宋" w:hAnsi="仿宋" w:eastAsia="仿宋" w:cs="宋体"/>
                <w:bCs/>
                <w:color w:val="auto"/>
                <w:sz w:val="21"/>
              </w:rPr>
              <w:t>4、自然人投标的，招标文件规定盖公章处由自然人摁手指指印。</w:t>
            </w:r>
          </w:p>
          <w:p w14:paraId="0ADEC3E0">
            <w:pPr>
              <w:spacing w:line="400" w:lineRule="exact"/>
              <w:jc w:val="left"/>
              <w:rPr>
                <w:rFonts w:ascii="仿宋" w:hAnsi="仿宋" w:eastAsia="仿宋"/>
                <w:color w:val="auto"/>
                <w:szCs w:val="21"/>
              </w:rPr>
            </w:pPr>
            <w:r>
              <w:rPr>
                <w:rFonts w:hint="eastAsia" w:ascii="仿宋" w:hAnsi="仿宋" w:eastAsia="仿宋" w:cs="宋体"/>
                <w:bCs/>
                <w:color w:val="auto"/>
                <w:szCs w:val="21"/>
              </w:rPr>
              <w:t>5、本招标文件所称的“以上”“以下”“以内”“届满”，包括本数；所称的“不满”“超过”“以外”，不包括本数。</w:t>
            </w:r>
          </w:p>
        </w:tc>
      </w:tr>
    </w:tbl>
    <w:p w14:paraId="0396F088">
      <w:pPr>
        <w:snapToGrid w:val="0"/>
        <w:rPr>
          <w:rFonts w:ascii="仿宋" w:hAnsi="仿宋" w:eastAsia="仿宋"/>
          <w:color w:val="auto"/>
          <w:sz w:val="24"/>
          <w:szCs w:val="20"/>
        </w:rPr>
      </w:pPr>
    </w:p>
    <w:p w14:paraId="6717F9B2">
      <w:pPr>
        <w:pStyle w:val="5"/>
        <w:keepNext w:val="0"/>
        <w:keepLines w:val="0"/>
        <w:jc w:val="center"/>
        <w:rPr>
          <w:rFonts w:ascii="仿宋" w:hAnsi="仿宋" w:eastAsia="仿宋"/>
          <w:color w:val="auto"/>
        </w:rPr>
      </w:pPr>
      <w:r>
        <w:rPr>
          <w:rFonts w:ascii="仿宋" w:hAnsi="仿宋" w:eastAsia="仿宋"/>
          <w:color w:val="auto"/>
        </w:rPr>
        <w:br w:type="page"/>
      </w:r>
      <w:r>
        <w:rPr>
          <w:rFonts w:hint="eastAsia" w:ascii="仿宋" w:hAnsi="仿宋" w:eastAsia="仿宋"/>
          <w:color w:val="auto"/>
        </w:rPr>
        <w:t>投标人须知正文</w:t>
      </w:r>
    </w:p>
    <w:p w14:paraId="084C5B1F">
      <w:pPr>
        <w:pStyle w:val="5"/>
        <w:keepNext w:val="0"/>
        <w:keepLines w:val="0"/>
        <w:jc w:val="center"/>
        <w:rPr>
          <w:rFonts w:ascii="仿宋" w:hAnsi="仿宋" w:eastAsia="仿宋"/>
          <w:color w:val="auto"/>
        </w:rPr>
      </w:pPr>
      <w:r>
        <w:rPr>
          <w:rFonts w:hint="eastAsia" w:ascii="仿宋" w:hAnsi="仿宋" w:eastAsia="仿宋"/>
          <w:color w:val="auto"/>
        </w:rPr>
        <w:t>一、总  则</w:t>
      </w:r>
    </w:p>
    <w:p w14:paraId="060E9E6F">
      <w:pPr>
        <w:pStyle w:val="7"/>
        <w:keepNext w:val="0"/>
        <w:keepLines w:val="0"/>
        <w:spacing w:before="0" w:after="0" w:line="360" w:lineRule="auto"/>
        <w:ind w:left="420" w:leftChars="200"/>
        <w:rPr>
          <w:rFonts w:ascii="仿宋" w:hAnsi="仿宋" w:eastAsia="仿宋"/>
          <w:color w:val="auto"/>
          <w:sz w:val="24"/>
        </w:rPr>
      </w:pPr>
      <w:bookmarkStart w:id="74" w:name="_Toc254970668"/>
      <w:bookmarkStart w:id="75" w:name="_Toc254970527"/>
      <w:r>
        <w:rPr>
          <w:rFonts w:hint="eastAsia" w:ascii="仿宋" w:hAnsi="仿宋" w:eastAsia="仿宋"/>
          <w:color w:val="auto"/>
          <w:sz w:val="24"/>
        </w:rPr>
        <w:t>1.适用范围</w:t>
      </w:r>
      <w:bookmarkEnd w:id="74"/>
      <w:bookmarkEnd w:id="75"/>
    </w:p>
    <w:p w14:paraId="41D50C1B">
      <w:pPr>
        <w:snapToGrid w:val="0"/>
        <w:spacing w:line="360" w:lineRule="auto"/>
        <w:ind w:firstLine="420" w:firstLineChars="200"/>
        <w:jc w:val="left"/>
        <w:rPr>
          <w:rFonts w:ascii="仿宋" w:hAnsi="仿宋" w:eastAsia="仿宋"/>
          <w:color w:val="auto"/>
          <w:szCs w:val="21"/>
        </w:rPr>
      </w:pPr>
      <w:r>
        <w:rPr>
          <w:rFonts w:hint="eastAsia" w:ascii="仿宋" w:hAnsi="仿宋" w:eastAsia="仿宋"/>
          <w:color w:val="auto"/>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1260C73D">
      <w:pPr>
        <w:snapToGrid w:val="0"/>
        <w:spacing w:line="360" w:lineRule="auto"/>
        <w:ind w:firstLine="420" w:firstLineChars="200"/>
        <w:jc w:val="left"/>
        <w:rPr>
          <w:rFonts w:ascii="仿宋" w:hAnsi="仿宋" w:eastAsia="仿宋"/>
          <w:color w:val="auto"/>
          <w:szCs w:val="21"/>
        </w:rPr>
      </w:pPr>
      <w:r>
        <w:rPr>
          <w:rFonts w:hint="eastAsia" w:ascii="仿宋" w:hAnsi="仿宋" w:eastAsia="仿宋"/>
          <w:color w:val="auto"/>
          <w:szCs w:val="21"/>
        </w:rPr>
        <w:t>1.2本招标文件</w:t>
      </w:r>
      <w:r>
        <w:rPr>
          <w:rFonts w:hint="eastAsia" w:ascii="仿宋" w:hAnsi="仿宋" w:eastAsia="仿宋" w:cs="宋体"/>
          <w:color w:val="auto"/>
          <w:spacing w:val="-6"/>
          <w:szCs w:val="21"/>
        </w:rPr>
        <w:t>适用于本项目的所有采购程序和环节（法律、法规另有规定的，从其规定）。</w:t>
      </w:r>
    </w:p>
    <w:p w14:paraId="602BFEC3">
      <w:pPr>
        <w:pStyle w:val="7"/>
        <w:keepNext w:val="0"/>
        <w:keepLines w:val="0"/>
        <w:spacing w:before="0" w:after="0" w:line="360" w:lineRule="auto"/>
        <w:ind w:left="420" w:leftChars="200"/>
        <w:rPr>
          <w:rFonts w:ascii="仿宋" w:hAnsi="仿宋" w:eastAsia="仿宋"/>
          <w:color w:val="auto"/>
          <w:sz w:val="24"/>
        </w:rPr>
      </w:pPr>
      <w:bookmarkStart w:id="76" w:name="_Toc254970528"/>
      <w:bookmarkStart w:id="77" w:name="_Toc254970669"/>
      <w:r>
        <w:rPr>
          <w:rFonts w:hint="eastAsia" w:ascii="仿宋" w:hAnsi="仿宋" w:eastAsia="仿宋"/>
          <w:color w:val="auto"/>
          <w:sz w:val="24"/>
        </w:rPr>
        <w:t>2.定义</w:t>
      </w:r>
      <w:bookmarkEnd w:id="76"/>
      <w:bookmarkEnd w:id="77"/>
    </w:p>
    <w:p w14:paraId="5CA42904">
      <w:pPr>
        <w:pStyle w:val="7"/>
        <w:keepNext w:val="0"/>
        <w:keepLines w:val="0"/>
        <w:spacing w:before="0" w:after="0" w:line="360" w:lineRule="auto"/>
        <w:ind w:left="420" w:leftChars="200"/>
        <w:rPr>
          <w:rFonts w:ascii="仿宋" w:hAnsi="仿宋" w:eastAsia="仿宋"/>
          <w:b w:val="0"/>
          <w:color w:val="auto"/>
          <w:sz w:val="21"/>
          <w:szCs w:val="21"/>
        </w:rPr>
      </w:pPr>
      <w:r>
        <w:rPr>
          <w:rFonts w:hint="eastAsia" w:ascii="仿宋" w:hAnsi="仿宋" w:eastAsia="仿宋"/>
          <w:b w:val="0"/>
          <w:color w:val="auto"/>
          <w:sz w:val="21"/>
          <w:szCs w:val="21"/>
        </w:rPr>
        <w:t>2.1“采购人”是指依法进行政府采购的国家机关、事业单位、团体组织。</w:t>
      </w:r>
    </w:p>
    <w:p w14:paraId="243B0A92">
      <w:pPr>
        <w:pStyle w:val="7"/>
        <w:keepNext w:val="0"/>
        <w:keepLines w:val="0"/>
        <w:spacing w:before="0" w:after="0" w:line="360" w:lineRule="auto"/>
        <w:ind w:left="420" w:leftChars="200"/>
        <w:rPr>
          <w:rFonts w:ascii="仿宋" w:hAnsi="仿宋" w:eastAsia="仿宋"/>
          <w:b w:val="0"/>
          <w:color w:val="auto"/>
          <w:sz w:val="21"/>
          <w:szCs w:val="21"/>
        </w:rPr>
      </w:pPr>
      <w:r>
        <w:rPr>
          <w:rFonts w:hint="eastAsia" w:ascii="仿宋" w:hAnsi="仿宋" w:eastAsia="仿宋"/>
          <w:b w:val="0"/>
          <w:color w:val="auto"/>
          <w:sz w:val="21"/>
          <w:szCs w:val="21"/>
        </w:rPr>
        <w:t>2.2“采购代理机构”是指政府采购集中采购机构和集中采购机构以外的采购代理机构。</w:t>
      </w:r>
    </w:p>
    <w:p w14:paraId="5C67E55C">
      <w:pPr>
        <w:pStyle w:val="7"/>
        <w:keepNext w:val="0"/>
        <w:keepLines w:val="0"/>
        <w:spacing w:before="0" w:after="0" w:line="360" w:lineRule="auto"/>
        <w:ind w:left="420" w:leftChars="200"/>
        <w:rPr>
          <w:rFonts w:ascii="仿宋" w:hAnsi="仿宋" w:eastAsia="仿宋"/>
          <w:b w:val="0"/>
          <w:color w:val="auto"/>
          <w:sz w:val="21"/>
          <w:szCs w:val="21"/>
        </w:rPr>
      </w:pPr>
      <w:r>
        <w:rPr>
          <w:rFonts w:hint="eastAsia" w:ascii="仿宋" w:hAnsi="仿宋" w:eastAsia="仿宋"/>
          <w:b w:val="0"/>
          <w:color w:val="auto"/>
          <w:sz w:val="21"/>
          <w:szCs w:val="21"/>
        </w:rPr>
        <w:t>2.3“供应商”是指向采购人提供货物、工程或者服务的法人、其他组织或者自然人。</w:t>
      </w:r>
    </w:p>
    <w:p w14:paraId="62C61E60">
      <w:pPr>
        <w:pStyle w:val="10"/>
        <w:spacing w:line="360" w:lineRule="auto"/>
        <w:rPr>
          <w:rFonts w:ascii="仿宋" w:hAnsi="仿宋" w:eastAsia="仿宋"/>
          <w:color w:val="auto"/>
          <w:szCs w:val="21"/>
        </w:rPr>
      </w:pPr>
      <w:r>
        <w:rPr>
          <w:rFonts w:hint="eastAsia" w:ascii="仿宋" w:hAnsi="仿宋" w:eastAsia="仿宋"/>
          <w:color w:val="auto"/>
          <w:szCs w:val="21"/>
        </w:rPr>
        <w:t>2.4“投标人”是指响应招标、参加投标竞争的法人、其他组织或者自然人。</w:t>
      </w:r>
    </w:p>
    <w:p w14:paraId="022DA65D">
      <w:pPr>
        <w:pStyle w:val="7"/>
        <w:keepNext w:val="0"/>
        <w:keepLines w:val="0"/>
        <w:spacing w:before="0" w:after="0" w:line="360" w:lineRule="auto"/>
        <w:ind w:firstLine="420" w:firstLineChars="200"/>
        <w:rPr>
          <w:rFonts w:ascii="仿宋" w:hAnsi="仿宋" w:eastAsia="仿宋"/>
          <w:b w:val="0"/>
          <w:color w:val="auto"/>
          <w:sz w:val="21"/>
          <w:szCs w:val="21"/>
        </w:rPr>
      </w:pPr>
      <w:r>
        <w:rPr>
          <w:rFonts w:hint="eastAsia" w:ascii="仿宋" w:hAnsi="仿宋" w:eastAsia="仿宋"/>
          <w:b w:val="0"/>
          <w:color w:val="auto"/>
          <w:sz w:val="21"/>
          <w:szCs w:val="21"/>
        </w:rPr>
        <w:t>2.5“货物”是指各种形态和种类的物品，包括原材料、燃料、设备、产品等。</w:t>
      </w:r>
    </w:p>
    <w:p w14:paraId="52DEA385">
      <w:pPr>
        <w:pStyle w:val="7"/>
        <w:keepNext w:val="0"/>
        <w:keepLines w:val="0"/>
        <w:spacing w:before="0" w:after="0" w:line="360" w:lineRule="auto"/>
        <w:ind w:firstLine="420" w:firstLineChars="200"/>
        <w:rPr>
          <w:rFonts w:ascii="仿宋" w:hAnsi="仿宋" w:eastAsia="仿宋"/>
          <w:b w:val="0"/>
          <w:color w:val="auto"/>
          <w:sz w:val="21"/>
          <w:szCs w:val="21"/>
        </w:rPr>
      </w:pPr>
      <w:r>
        <w:rPr>
          <w:rFonts w:hint="eastAsia" w:ascii="仿宋" w:hAnsi="仿宋" w:eastAsia="仿宋"/>
          <w:b w:val="0"/>
          <w:color w:val="auto"/>
          <w:sz w:val="21"/>
          <w:szCs w:val="21"/>
        </w:rPr>
        <w:t>2.6“售后服务” 是指商品出售以后所提供的各种服务，包含但不限于投标人须承担的备品备件、包装、运输、装卸、保险、货到就位以及安装、调试、培训、保修以及其他各种服务。</w:t>
      </w:r>
    </w:p>
    <w:p w14:paraId="7F9F4E48">
      <w:pPr>
        <w:pStyle w:val="7"/>
        <w:keepNext w:val="0"/>
        <w:keepLines w:val="0"/>
        <w:spacing w:before="0" w:after="0" w:line="360" w:lineRule="auto"/>
        <w:rPr>
          <w:rFonts w:ascii="仿宋" w:hAnsi="仿宋" w:eastAsia="仿宋"/>
          <w:b w:val="0"/>
          <w:color w:val="auto"/>
          <w:sz w:val="21"/>
          <w:szCs w:val="21"/>
        </w:rPr>
      </w:pPr>
      <w:r>
        <w:rPr>
          <w:rFonts w:hint="eastAsia" w:ascii="仿宋" w:hAnsi="仿宋" w:eastAsia="仿宋"/>
          <w:b w:val="0"/>
          <w:color w:val="auto"/>
          <w:sz w:val="21"/>
          <w:szCs w:val="21"/>
        </w:rPr>
        <w:t xml:space="preserve">    2.7“书面形式”是指合同书、信件和数据电文（包括电报、电传、传真、电子数据交换和电子邮件）等可以有形地表现所载内容的形式。</w:t>
      </w:r>
    </w:p>
    <w:p w14:paraId="5827A1B7">
      <w:pPr>
        <w:pStyle w:val="7"/>
        <w:keepNext w:val="0"/>
        <w:keepLines w:val="0"/>
        <w:spacing w:before="0" w:after="0" w:line="360" w:lineRule="auto"/>
        <w:ind w:firstLine="420" w:firstLineChars="200"/>
        <w:rPr>
          <w:rFonts w:ascii="仿宋" w:hAnsi="仿宋" w:eastAsia="仿宋"/>
          <w:b w:val="0"/>
          <w:color w:val="auto"/>
          <w:sz w:val="21"/>
          <w:szCs w:val="21"/>
        </w:rPr>
      </w:pPr>
      <w:r>
        <w:rPr>
          <w:rFonts w:hint="eastAsia" w:ascii="仿宋" w:hAnsi="仿宋" w:eastAsia="仿宋"/>
          <w:b w:val="0"/>
          <w:color w:val="auto"/>
          <w:sz w:val="21"/>
          <w:szCs w:val="21"/>
        </w:rPr>
        <w:t>2.8“实质性要求”是指招标文件中已经指明不满足则投标无效的条款，或者不能负偏离的条款，或者采购需求中带“▲”的条款。</w:t>
      </w:r>
    </w:p>
    <w:p w14:paraId="5FEE42AB">
      <w:pPr>
        <w:snapToGrid w:val="0"/>
        <w:spacing w:line="360" w:lineRule="auto"/>
        <w:ind w:firstLine="420" w:firstLineChars="200"/>
        <w:jc w:val="left"/>
        <w:rPr>
          <w:rFonts w:ascii="仿宋" w:hAnsi="仿宋" w:eastAsia="仿宋" w:cs="宋体"/>
          <w:color w:val="auto"/>
          <w:szCs w:val="21"/>
        </w:rPr>
      </w:pPr>
      <w:r>
        <w:rPr>
          <w:rFonts w:hint="eastAsia" w:ascii="仿宋" w:hAnsi="仿宋" w:eastAsia="仿宋"/>
          <w:color w:val="auto"/>
          <w:szCs w:val="21"/>
        </w:rPr>
        <w:t xml:space="preserve">2.9 </w:t>
      </w:r>
      <w:r>
        <w:rPr>
          <w:rFonts w:hint="eastAsia" w:ascii="仿宋" w:hAnsi="仿宋" w:eastAsia="仿宋" w:cs="宋体"/>
          <w:color w:val="auto"/>
          <w:szCs w:val="21"/>
        </w:rPr>
        <w:t>“正偏离”，是指投标文件对招标文件“采购需求”中有关条款作出的响应优于条款要求并有利于采购人的情形。</w:t>
      </w:r>
    </w:p>
    <w:p w14:paraId="6292E203">
      <w:pPr>
        <w:snapToGrid w:val="0"/>
        <w:spacing w:line="360" w:lineRule="auto"/>
        <w:ind w:firstLine="420" w:firstLineChars="200"/>
        <w:jc w:val="left"/>
        <w:rPr>
          <w:rFonts w:ascii="仿宋" w:hAnsi="仿宋" w:eastAsia="仿宋" w:cs="宋体"/>
          <w:color w:val="auto"/>
          <w:szCs w:val="21"/>
        </w:rPr>
      </w:pPr>
      <w:r>
        <w:rPr>
          <w:rFonts w:ascii="仿宋" w:hAnsi="仿宋" w:eastAsia="仿宋" w:cs="宋体"/>
          <w:color w:val="auto"/>
          <w:szCs w:val="21"/>
        </w:rPr>
        <w:t>2.10</w:t>
      </w:r>
      <w:r>
        <w:rPr>
          <w:rFonts w:hint="eastAsia" w:ascii="仿宋" w:hAnsi="仿宋" w:eastAsia="仿宋" w:cs="宋体"/>
          <w:color w:val="auto"/>
          <w:szCs w:val="21"/>
        </w:rPr>
        <w:t>“负偏离”，是指投标文件对招标文件“采购需求”中有关条款作出的响应不满足条款要求，导致采购人要求不能得到满足的情形。</w:t>
      </w:r>
    </w:p>
    <w:p w14:paraId="1E4E8900">
      <w:pPr>
        <w:snapToGrid w:val="0"/>
        <w:spacing w:line="360" w:lineRule="auto"/>
        <w:ind w:firstLine="420" w:firstLineChars="200"/>
        <w:jc w:val="left"/>
        <w:rPr>
          <w:rFonts w:ascii="仿宋" w:hAnsi="仿宋" w:eastAsia="仿宋" w:cs="宋体"/>
          <w:color w:val="auto"/>
          <w:szCs w:val="21"/>
        </w:rPr>
      </w:pPr>
      <w:r>
        <w:rPr>
          <w:rFonts w:hint="eastAsia" w:ascii="仿宋" w:hAnsi="仿宋" w:eastAsia="仿宋"/>
          <w:color w:val="auto"/>
          <w:szCs w:val="21"/>
        </w:rPr>
        <w:t>2.1</w:t>
      </w:r>
      <w:r>
        <w:rPr>
          <w:rFonts w:ascii="仿宋" w:hAnsi="仿宋" w:eastAsia="仿宋"/>
          <w:color w:val="auto"/>
          <w:szCs w:val="21"/>
        </w:rPr>
        <w:t>1</w:t>
      </w:r>
      <w:r>
        <w:rPr>
          <w:rFonts w:hint="eastAsia" w:ascii="仿宋" w:hAnsi="仿宋" w:eastAsia="仿宋" w:cs="宋体"/>
          <w:color w:val="auto"/>
          <w:szCs w:val="21"/>
        </w:rPr>
        <w:t>“允许负偏离的条款”是指采购需求中的不属于“实质性要求”的条款。</w:t>
      </w:r>
      <w:bookmarkStart w:id="78" w:name="_Toc254970670"/>
      <w:bookmarkStart w:id="79" w:name="_Toc254970529"/>
    </w:p>
    <w:p w14:paraId="40144237">
      <w:pPr>
        <w:pStyle w:val="7"/>
        <w:keepNext w:val="0"/>
        <w:keepLines w:val="0"/>
        <w:spacing w:before="0" w:after="0" w:line="360" w:lineRule="auto"/>
        <w:ind w:left="420" w:leftChars="200"/>
        <w:rPr>
          <w:rFonts w:ascii="仿宋" w:hAnsi="仿宋" w:eastAsia="仿宋"/>
          <w:color w:val="auto"/>
          <w:sz w:val="24"/>
        </w:rPr>
      </w:pPr>
      <w:r>
        <w:rPr>
          <w:rFonts w:hint="eastAsia" w:ascii="仿宋" w:hAnsi="仿宋" w:eastAsia="仿宋"/>
          <w:color w:val="auto"/>
          <w:sz w:val="24"/>
        </w:rPr>
        <w:t>3.</w:t>
      </w:r>
      <w:bookmarkEnd w:id="78"/>
      <w:bookmarkEnd w:id="79"/>
      <w:r>
        <w:rPr>
          <w:rFonts w:hint="eastAsia" w:ascii="仿宋" w:hAnsi="仿宋" w:eastAsia="仿宋"/>
          <w:color w:val="auto"/>
          <w:sz w:val="24"/>
        </w:rPr>
        <w:t>投标人的资格要求</w:t>
      </w:r>
    </w:p>
    <w:p w14:paraId="3BD5582D">
      <w:pPr>
        <w:snapToGrid w:val="0"/>
        <w:spacing w:line="360" w:lineRule="auto"/>
        <w:ind w:firstLine="420" w:firstLineChars="200"/>
        <w:jc w:val="left"/>
        <w:rPr>
          <w:rFonts w:ascii="仿宋" w:hAnsi="仿宋" w:eastAsia="仿宋"/>
          <w:color w:val="auto"/>
          <w:szCs w:val="21"/>
        </w:rPr>
      </w:pPr>
      <w:r>
        <w:rPr>
          <w:rFonts w:hint="eastAsia" w:ascii="仿宋" w:hAnsi="仿宋" w:eastAsia="仿宋"/>
          <w:color w:val="auto"/>
          <w:szCs w:val="21"/>
        </w:rPr>
        <w:t>投标人的资格要求详见“投标人须知前附表”。</w:t>
      </w:r>
    </w:p>
    <w:p w14:paraId="5583A821">
      <w:pPr>
        <w:pStyle w:val="7"/>
        <w:keepNext w:val="0"/>
        <w:keepLines w:val="0"/>
        <w:spacing w:before="0" w:after="0" w:line="360" w:lineRule="auto"/>
        <w:ind w:left="420" w:leftChars="200"/>
        <w:rPr>
          <w:rFonts w:ascii="仿宋" w:hAnsi="仿宋" w:eastAsia="仿宋"/>
          <w:color w:val="auto"/>
          <w:sz w:val="24"/>
        </w:rPr>
      </w:pPr>
      <w:bookmarkStart w:id="80" w:name="_Toc254970530"/>
      <w:bookmarkStart w:id="81" w:name="_Toc254970671"/>
      <w:r>
        <w:rPr>
          <w:rFonts w:hint="eastAsia" w:ascii="仿宋" w:hAnsi="仿宋" w:eastAsia="仿宋"/>
          <w:color w:val="auto"/>
          <w:sz w:val="24"/>
        </w:rPr>
        <w:t>4.投标委托</w:t>
      </w:r>
      <w:bookmarkEnd w:id="80"/>
      <w:bookmarkEnd w:id="81"/>
    </w:p>
    <w:p w14:paraId="110E7BD3">
      <w:pPr>
        <w:snapToGrid w:val="0"/>
        <w:spacing w:line="360" w:lineRule="auto"/>
        <w:ind w:firstLine="420" w:firstLineChars="200"/>
        <w:jc w:val="left"/>
        <w:rPr>
          <w:rFonts w:ascii="仿宋" w:hAnsi="仿宋" w:eastAsia="仿宋"/>
          <w:color w:val="auto"/>
          <w:szCs w:val="21"/>
        </w:rPr>
      </w:pPr>
      <w:r>
        <w:rPr>
          <w:rFonts w:hint="eastAsia" w:ascii="仿宋" w:hAnsi="仿宋" w:eastAsia="仿宋"/>
          <w:color w:val="auto"/>
          <w:szCs w:val="21"/>
        </w:rPr>
        <w:t>投标人代表参加投标活动过程中必须携带个人有效身份证件。如投标人代表不是法定代表人，须持有授权委托书（按第六章要求格式填写）。</w:t>
      </w:r>
    </w:p>
    <w:p w14:paraId="7C68EA23">
      <w:pPr>
        <w:pStyle w:val="7"/>
        <w:keepNext w:val="0"/>
        <w:keepLines w:val="0"/>
        <w:spacing w:before="0" w:after="0" w:line="360" w:lineRule="auto"/>
        <w:ind w:left="420" w:leftChars="200"/>
        <w:rPr>
          <w:rFonts w:ascii="仿宋" w:hAnsi="仿宋" w:eastAsia="仿宋"/>
          <w:color w:val="auto"/>
          <w:sz w:val="24"/>
        </w:rPr>
      </w:pPr>
      <w:bookmarkStart w:id="82" w:name="_5.投标费用"/>
      <w:bookmarkEnd w:id="82"/>
      <w:bookmarkStart w:id="83" w:name="_Toc254970531"/>
      <w:bookmarkStart w:id="84" w:name="_Toc254970672"/>
      <w:r>
        <w:rPr>
          <w:rFonts w:hint="eastAsia" w:ascii="仿宋" w:hAnsi="仿宋" w:eastAsia="仿宋"/>
          <w:color w:val="auto"/>
          <w:sz w:val="24"/>
        </w:rPr>
        <w:t>5.投标费用</w:t>
      </w:r>
      <w:bookmarkEnd w:id="83"/>
      <w:bookmarkEnd w:id="84"/>
    </w:p>
    <w:p w14:paraId="05BF2DE6">
      <w:pPr>
        <w:snapToGrid w:val="0"/>
        <w:spacing w:line="360" w:lineRule="auto"/>
        <w:ind w:firstLine="420" w:firstLineChars="200"/>
        <w:jc w:val="left"/>
        <w:rPr>
          <w:rFonts w:ascii="仿宋" w:hAnsi="仿宋" w:eastAsia="仿宋"/>
          <w:color w:val="auto"/>
          <w:szCs w:val="21"/>
        </w:rPr>
      </w:pPr>
      <w:r>
        <w:rPr>
          <w:rFonts w:hint="eastAsia" w:ascii="仿宋" w:hAnsi="仿宋" w:eastAsia="仿宋" w:cs="宋体"/>
          <w:color w:val="auto"/>
          <w:szCs w:val="21"/>
        </w:rPr>
        <w:t>投标费用：投标人应承担参与本次采购活动有关的所有费用，包括但不限于获取招标文件、勘查现场、编制和提交投标文件、参加澄清说明、签订合同等，不论投标结果如何，均应自行承担。</w:t>
      </w:r>
    </w:p>
    <w:p w14:paraId="37D915E4">
      <w:pPr>
        <w:pStyle w:val="7"/>
        <w:keepNext w:val="0"/>
        <w:keepLines w:val="0"/>
        <w:spacing w:before="0" w:after="0" w:line="360" w:lineRule="auto"/>
        <w:ind w:left="420" w:leftChars="200"/>
        <w:rPr>
          <w:rFonts w:ascii="仿宋" w:hAnsi="仿宋" w:eastAsia="仿宋"/>
          <w:color w:val="auto"/>
          <w:sz w:val="24"/>
        </w:rPr>
      </w:pPr>
      <w:r>
        <w:rPr>
          <w:rFonts w:hint="eastAsia" w:ascii="仿宋" w:hAnsi="仿宋" w:eastAsia="仿宋"/>
          <w:color w:val="auto"/>
          <w:sz w:val="24"/>
        </w:rPr>
        <w:t>6.联合体投标</w:t>
      </w:r>
    </w:p>
    <w:p w14:paraId="68DCB86B">
      <w:pPr>
        <w:snapToGrid w:val="0"/>
        <w:spacing w:line="360" w:lineRule="auto"/>
        <w:ind w:firstLine="420" w:firstLineChars="200"/>
        <w:jc w:val="left"/>
        <w:rPr>
          <w:rFonts w:ascii="仿宋" w:hAnsi="仿宋" w:eastAsia="仿宋"/>
          <w:color w:val="auto"/>
          <w:szCs w:val="21"/>
        </w:rPr>
      </w:pPr>
      <w:r>
        <w:rPr>
          <w:rFonts w:hint="eastAsia" w:ascii="仿宋" w:hAnsi="仿宋" w:eastAsia="仿宋"/>
          <w:color w:val="auto"/>
          <w:szCs w:val="21"/>
        </w:rPr>
        <w:t>6.1本项目是否接受联合体投标，详见“投标人须知前附表”。</w:t>
      </w:r>
    </w:p>
    <w:p w14:paraId="41ACF132">
      <w:pPr>
        <w:snapToGrid w:val="0"/>
        <w:spacing w:line="360" w:lineRule="auto"/>
        <w:ind w:firstLine="420" w:firstLineChars="200"/>
        <w:jc w:val="left"/>
        <w:rPr>
          <w:rFonts w:ascii="仿宋" w:hAnsi="仿宋" w:eastAsia="仿宋"/>
          <w:bCs/>
          <w:color w:val="auto"/>
          <w:szCs w:val="21"/>
        </w:rPr>
      </w:pPr>
      <w:r>
        <w:rPr>
          <w:rFonts w:hint="eastAsia" w:ascii="仿宋" w:hAnsi="仿宋" w:eastAsia="仿宋"/>
          <w:bCs/>
          <w:color w:val="auto"/>
          <w:szCs w:val="21"/>
        </w:rPr>
        <w:t>6.2如接受联合体投标，联合体投标要求详见“投标人须知前附表”。</w:t>
      </w:r>
    </w:p>
    <w:p w14:paraId="59634861">
      <w:pPr>
        <w:pStyle w:val="7"/>
        <w:keepNext w:val="0"/>
        <w:keepLines w:val="0"/>
        <w:spacing w:before="0" w:after="0" w:line="360" w:lineRule="auto"/>
        <w:ind w:firstLine="424" w:firstLineChars="202"/>
        <w:rPr>
          <w:rFonts w:ascii="仿宋" w:hAnsi="仿宋" w:eastAsia="仿宋"/>
          <w:color w:val="auto"/>
          <w:sz w:val="24"/>
        </w:rPr>
      </w:pPr>
      <w:r>
        <w:rPr>
          <w:rFonts w:hint="eastAsia" w:ascii="仿宋" w:hAnsi="仿宋" w:eastAsia="仿宋"/>
          <w:b w:val="0"/>
          <w:bCs/>
          <w:color w:val="auto"/>
          <w:sz w:val="21"/>
          <w:szCs w:val="21"/>
        </w:rPr>
        <w:t>6.3</w:t>
      </w:r>
      <w:bookmarkStart w:id="85" w:name="_Hlk65857072"/>
      <w:r>
        <w:rPr>
          <w:rFonts w:hint="eastAsia" w:ascii="仿宋" w:hAnsi="仿宋" w:eastAsia="仿宋"/>
          <w:b w:val="0"/>
          <w:bCs/>
          <w:color w:val="auto"/>
          <w:sz w:val="21"/>
          <w:szCs w:val="21"/>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85"/>
    </w:p>
    <w:p w14:paraId="06ED1FDF">
      <w:pPr>
        <w:pStyle w:val="7"/>
        <w:keepNext w:val="0"/>
        <w:keepLines w:val="0"/>
        <w:spacing w:before="0" w:after="0" w:line="360" w:lineRule="auto"/>
        <w:ind w:left="420" w:leftChars="200"/>
        <w:rPr>
          <w:rFonts w:ascii="仿宋" w:hAnsi="仿宋" w:eastAsia="仿宋"/>
          <w:color w:val="auto"/>
          <w:sz w:val="24"/>
        </w:rPr>
      </w:pPr>
      <w:r>
        <w:rPr>
          <w:rFonts w:hint="eastAsia" w:ascii="仿宋" w:hAnsi="仿宋" w:eastAsia="仿宋"/>
          <w:color w:val="auto"/>
          <w:sz w:val="24"/>
        </w:rPr>
        <w:t xml:space="preserve">7.转包与分包             </w:t>
      </w:r>
    </w:p>
    <w:p w14:paraId="150FEC18">
      <w:pPr>
        <w:pStyle w:val="7"/>
        <w:keepNext w:val="0"/>
        <w:keepLines w:val="0"/>
        <w:spacing w:before="0" w:after="0" w:line="360" w:lineRule="auto"/>
        <w:ind w:left="420" w:leftChars="200"/>
        <w:rPr>
          <w:rFonts w:ascii="仿宋" w:hAnsi="仿宋" w:eastAsia="仿宋"/>
          <w:b w:val="0"/>
          <w:color w:val="auto"/>
          <w:sz w:val="21"/>
          <w:szCs w:val="21"/>
        </w:rPr>
      </w:pPr>
      <w:r>
        <w:rPr>
          <w:rFonts w:hint="eastAsia" w:ascii="仿宋" w:hAnsi="仿宋" w:eastAsia="仿宋"/>
          <w:b w:val="0"/>
          <w:color w:val="auto"/>
          <w:sz w:val="21"/>
          <w:szCs w:val="21"/>
        </w:rPr>
        <w:t>7.1本项目不允许转包。</w:t>
      </w:r>
    </w:p>
    <w:p w14:paraId="2C5BD940">
      <w:pPr>
        <w:pStyle w:val="7"/>
        <w:keepNext w:val="0"/>
        <w:keepLines w:val="0"/>
        <w:spacing w:before="0" w:after="0" w:line="360" w:lineRule="auto"/>
        <w:ind w:firstLine="315" w:firstLineChars="150"/>
        <w:rPr>
          <w:rFonts w:ascii="仿宋" w:hAnsi="仿宋" w:eastAsia="仿宋"/>
          <w:b w:val="0"/>
          <w:color w:val="auto"/>
          <w:sz w:val="21"/>
          <w:szCs w:val="21"/>
        </w:rPr>
      </w:pPr>
      <w:r>
        <w:rPr>
          <w:rFonts w:hint="eastAsia" w:ascii="仿宋" w:hAnsi="仿宋" w:eastAsia="仿宋"/>
          <w:b w:val="0"/>
          <w:color w:val="auto"/>
          <w:sz w:val="21"/>
          <w:szCs w:val="21"/>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082354F1">
      <w:pPr>
        <w:pStyle w:val="7"/>
        <w:keepNext w:val="0"/>
        <w:keepLines w:val="0"/>
        <w:spacing w:before="0" w:after="0" w:line="360" w:lineRule="auto"/>
        <w:ind w:firstLine="315" w:firstLineChars="150"/>
        <w:rPr>
          <w:rFonts w:ascii="仿宋" w:hAnsi="仿宋" w:eastAsia="仿宋"/>
          <w:b w:val="0"/>
          <w:color w:val="auto"/>
          <w:sz w:val="21"/>
          <w:szCs w:val="21"/>
        </w:rPr>
      </w:pPr>
      <w:r>
        <w:rPr>
          <w:rFonts w:hint="eastAsia" w:ascii="仿宋" w:hAnsi="仿宋" w:eastAsia="仿宋"/>
          <w:b w:val="0"/>
          <w:color w:val="auto"/>
          <w:sz w:val="21"/>
          <w:szCs w:val="21"/>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3202018B">
      <w:pPr>
        <w:pStyle w:val="7"/>
        <w:keepNext w:val="0"/>
        <w:keepLines w:val="0"/>
        <w:spacing w:before="0" w:after="0" w:line="360" w:lineRule="auto"/>
        <w:ind w:left="420" w:leftChars="200"/>
        <w:rPr>
          <w:rFonts w:ascii="仿宋" w:hAnsi="仿宋" w:eastAsia="仿宋"/>
          <w:color w:val="auto"/>
          <w:sz w:val="24"/>
        </w:rPr>
      </w:pPr>
      <w:bookmarkStart w:id="86" w:name="_Toc254970532"/>
      <w:bookmarkStart w:id="87" w:name="_Toc254970673"/>
      <w:r>
        <w:rPr>
          <w:rFonts w:hint="eastAsia" w:ascii="仿宋" w:hAnsi="仿宋" w:eastAsia="仿宋"/>
          <w:color w:val="auto"/>
          <w:sz w:val="24"/>
        </w:rPr>
        <w:t>8.特别说明</w:t>
      </w:r>
      <w:bookmarkEnd w:id="86"/>
      <w:bookmarkEnd w:id="87"/>
    </w:p>
    <w:p w14:paraId="3F8DF60D">
      <w:pPr>
        <w:pStyle w:val="7"/>
        <w:keepNext w:val="0"/>
        <w:keepLines w:val="0"/>
        <w:spacing w:before="0" w:after="0" w:line="360" w:lineRule="auto"/>
        <w:ind w:firstLine="420" w:firstLineChars="200"/>
        <w:rPr>
          <w:rFonts w:ascii="仿宋" w:hAnsi="仿宋" w:eastAsia="仿宋"/>
          <w:b w:val="0"/>
          <w:color w:val="auto"/>
          <w:sz w:val="21"/>
          <w:szCs w:val="21"/>
        </w:rPr>
      </w:pPr>
      <w:bookmarkStart w:id="88" w:name="_8.1提供相同品牌产品且通过资格审查、符合性审查的不同投标人参加同一合"/>
      <w:bookmarkEnd w:id="88"/>
      <w:r>
        <w:rPr>
          <w:rFonts w:ascii="仿宋" w:hAnsi="仿宋" w:eastAsia="仿宋"/>
          <w:b w:val="0"/>
          <w:color w:val="auto"/>
          <w:sz w:val="21"/>
          <w:szCs w:val="21"/>
        </w:rPr>
        <w:fldChar w:fldCharType="begin"/>
      </w:r>
      <w:r>
        <w:rPr>
          <w:rFonts w:ascii="仿宋" w:hAnsi="仿宋" w:eastAsia="仿宋"/>
          <w:b w:val="0"/>
          <w:color w:val="auto"/>
          <w:sz w:val="21"/>
          <w:szCs w:val="21"/>
        </w:rPr>
        <w:instrText xml:space="preserve"> HYPERLINK  \l "_8.1"</w:instrText>
      </w:r>
      <w:r>
        <w:rPr>
          <w:rFonts w:ascii="仿宋" w:hAnsi="仿宋" w:eastAsia="仿宋"/>
          <w:b w:val="0"/>
          <w:color w:val="auto"/>
          <w:sz w:val="21"/>
          <w:szCs w:val="21"/>
        </w:rPr>
        <w:fldChar w:fldCharType="separate"/>
      </w:r>
      <w:r>
        <w:rPr>
          <w:rFonts w:hint="eastAsia" w:ascii="仿宋" w:hAnsi="仿宋" w:eastAsia="仿宋"/>
          <w:b w:val="0"/>
          <w:color w:val="auto"/>
          <w:sz w:val="21"/>
          <w:szCs w:val="21"/>
        </w:rPr>
        <w:t>8.1</w:t>
      </w:r>
      <w:r>
        <w:rPr>
          <w:rFonts w:ascii="仿宋" w:hAnsi="仿宋" w:eastAsia="仿宋"/>
          <w:b w:val="0"/>
          <w:color w:val="auto"/>
          <w:sz w:val="21"/>
          <w:szCs w:val="21"/>
        </w:rPr>
        <w:fldChar w:fldCharType="end"/>
      </w:r>
      <w:r>
        <w:rPr>
          <w:rFonts w:hint="eastAsia" w:ascii="仿宋" w:hAnsi="仿宋" w:eastAsia="仿宋"/>
          <w:b w:val="0"/>
          <w:color w:val="auto"/>
          <w:sz w:val="21"/>
          <w:szCs w:val="21"/>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仿宋" w:hAnsi="仿宋" w:eastAsia="仿宋"/>
          <w:color w:val="auto"/>
          <w:sz w:val="22"/>
          <w:szCs w:val="22"/>
        </w:rPr>
        <w:t>其他投标无效。</w:t>
      </w:r>
    </w:p>
    <w:p w14:paraId="164CEF18">
      <w:pPr>
        <w:pStyle w:val="7"/>
        <w:keepNext w:val="0"/>
        <w:keepLines w:val="0"/>
        <w:spacing w:before="0" w:after="0" w:line="360" w:lineRule="auto"/>
        <w:ind w:firstLine="420" w:firstLineChars="200"/>
        <w:rPr>
          <w:rFonts w:ascii="仿宋" w:hAnsi="仿宋" w:eastAsia="仿宋"/>
          <w:b w:val="0"/>
          <w:color w:val="auto"/>
          <w:sz w:val="21"/>
          <w:szCs w:val="21"/>
        </w:rPr>
      </w:pPr>
      <w:r>
        <w:rPr>
          <w:rFonts w:hint="eastAsia" w:ascii="仿宋" w:hAnsi="仿宋" w:eastAsia="仿宋"/>
          <w:b w:val="0"/>
          <w:color w:val="auto"/>
          <w:sz w:val="21"/>
          <w:szCs w:val="21"/>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237B0D1E">
      <w:pPr>
        <w:pStyle w:val="26"/>
        <w:snapToGrid w:val="0"/>
        <w:spacing w:line="360" w:lineRule="auto"/>
        <w:ind w:left="2" w:leftChars="1" w:firstLine="420" w:firstLineChars="200"/>
        <w:rPr>
          <w:rFonts w:ascii="仿宋" w:hAnsi="仿宋" w:eastAsia="仿宋"/>
          <w:color w:val="auto"/>
          <w:kern w:val="2"/>
          <w:sz w:val="21"/>
        </w:rPr>
      </w:pPr>
      <w:r>
        <w:rPr>
          <w:rFonts w:hint="eastAsia" w:ascii="仿宋" w:hAnsi="仿宋" w:eastAsia="仿宋"/>
          <w:color w:val="auto"/>
          <w:kern w:val="2"/>
          <w:sz w:val="21"/>
        </w:rPr>
        <w:t>非单一产品采购项目，多家投标人提供的核心产品品牌相同的，</w:t>
      </w:r>
      <w:r>
        <w:rPr>
          <w:rFonts w:hint="eastAsia" w:ascii="仿宋" w:hAnsi="仿宋" w:eastAsia="仿宋"/>
          <w:color w:val="auto"/>
          <w:sz w:val="22"/>
          <w:szCs w:val="22"/>
        </w:rPr>
        <w:t>按前两款规定处理</w:t>
      </w:r>
      <w:r>
        <w:rPr>
          <w:rFonts w:hint="eastAsia" w:ascii="仿宋" w:hAnsi="仿宋" w:eastAsia="仿宋"/>
          <w:color w:val="auto"/>
          <w:kern w:val="2"/>
          <w:sz w:val="21"/>
        </w:rPr>
        <w:t>。</w:t>
      </w:r>
    </w:p>
    <w:p w14:paraId="0D3DC570">
      <w:pPr>
        <w:pStyle w:val="7"/>
        <w:keepNext w:val="0"/>
        <w:keepLines w:val="0"/>
        <w:spacing w:before="0" w:after="0" w:line="360" w:lineRule="auto"/>
        <w:ind w:firstLine="367" w:firstLineChars="175"/>
        <w:rPr>
          <w:rFonts w:ascii="仿宋" w:hAnsi="仿宋" w:eastAsia="仿宋"/>
          <w:b w:val="0"/>
          <w:color w:val="auto"/>
          <w:sz w:val="21"/>
          <w:szCs w:val="21"/>
        </w:rPr>
      </w:pPr>
      <w:r>
        <w:rPr>
          <w:rFonts w:hint="eastAsia" w:ascii="仿宋" w:hAnsi="仿宋" w:eastAsia="仿宋"/>
          <w:b w:val="0"/>
          <w:color w:val="auto"/>
          <w:sz w:val="21"/>
          <w:szCs w:val="21"/>
        </w:rPr>
        <w:t xml:space="preserve"> 8.2如果本招标文件要求提供投标人或制造商的资格、信誉、荣誉、业绩与企业认证等材料的，资格、信誉、荣誉、业绩与企业认证等必须为投标人或者制造商所拥有或自身获得 。</w:t>
      </w:r>
    </w:p>
    <w:p w14:paraId="7F45C495">
      <w:pPr>
        <w:pStyle w:val="7"/>
        <w:keepNext w:val="0"/>
        <w:keepLines w:val="0"/>
        <w:spacing w:before="0" w:after="0" w:line="360" w:lineRule="auto"/>
        <w:ind w:firstLine="367" w:firstLineChars="175"/>
        <w:rPr>
          <w:rFonts w:ascii="仿宋" w:hAnsi="仿宋" w:eastAsia="仿宋"/>
          <w:b w:val="0"/>
          <w:color w:val="auto"/>
          <w:sz w:val="21"/>
          <w:szCs w:val="21"/>
        </w:rPr>
      </w:pPr>
      <w:r>
        <w:rPr>
          <w:rFonts w:hint="eastAsia" w:ascii="仿宋" w:hAnsi="仿宋" w:eastAsia="仿宋"/>
          <w:b w:val="0"/>
          <w:color w:val="auto"/>
          <w:sz w:val="21"/>
          <w:szCs w:val="21"/>
        </w:rPr>
        <w:t xml:space="preserve"> 8.3投标人应仔细阅读招标文件的所有内容，按照招标文件的要求提交投标文件，并对所提供的全部资料的真实性承担法律责任。</w:t>
      </w:r>
    </w:p>
    <w:p w14:paraId="30CA0143">
      <w:pPr>
        <w:pStyle w:val="7"/>
        <w:keepNext w:val="0"/>
        <w:keepLines w:val="0"/>
        <w:spacing w:before="0" w:after="0" w:line="360" w:lineRule="auto"/>
        <w:ind w:firstLine="367" w:firstLineChars="175"/>
        <w:rPr>
          <w:rFonts w:ascii="仿宋" w:hAnsi="仿宋" w:eastAsia="仿宋"/>
          <w:b w:val="0"/>
          <w:color w:val="auto"/>
          <w:sz w:val="21"/>
          <w:szCs w:val="21"/>
        </w:rPr>
      </w:pPr>
      <w:r>
        <w:rPr>
          <w:rFonts w:hint="eastAsia" w:ascii="仿宋" w:hAnsi="仿宋" w:eastAsia="仿宋"/>
          <w:b w:val="0"/>
          <w:color w:val="auto"/>
          <w:sz w:val="21"/>
          <w:szCs w:val="21"/>
        </w:rPr>
        <w:t xml:space="preserve"> 8.4投标人在投标活动中提供任何虚假材料，将报监管部门查处；中标后发现的，中标人须依法赔偿采购人，且民事赔偿并不免除违法投标人的行政与刑事责任。</w:t>
      </w:r>
    </w:p>
    <w:p w14:paraId="2167E911">
      <w:pPr>
        <w:pStyle w:val="7"/>
        <w:keepNext w:val="0"/>
        <w:keepLines w:val="0"/>
        <w:spacing w:before="0" w:after="0" w:line="360" w:lineRule="auto"/>
        <w:ind w:left="420" w:leftChars="200"/>
        <w:rPr>
          <w:rFonts w:ascii="仿宋" w:hAnsi="仿宋" w:eastAsia="仿宋"/>
          <w:color w:val="auto"/>
          <w:sz w:val="24"/>
        </w:rPr>
      </w:pPr>
      <w:r>
        <w:rPr>
          <w:rFonts w:ascii="仿宋" w:hAnsi="仿宋" w:eastAsia="仿宋"/>
          <w:color w:val="auto"/>
          <w:sz w:val="24"/>
        </w:rPr>
        <w:t>9.</w:t>
      </w:r>
      <w:r>
        <w:rPr>
          <w:rFonts w:hint="eastAsia" w:ascii="仿宋" w:hAnsi="仿宋" w:eastAsia="仿宋"/>
          <w:color w:val="auto"/>
          <w:sz w:val="24"/>
        </w:rPr>
        <w:t>回避与串通投标</w:t>
      </w:r>
    </w:p>
    <w:p w14:paraId="11B022EE">
      <w:pPr>
        <w:pStyle w:val="7"/>
        <w:keepNext w:val="0"/>
        <w:keepLines w:val="0"/>
        <w:spacing w:before="0" w:after="0" w:line="360" w:lineRule="auto"/>
        <w:ind w:firstLine="367" w:firstLineChars="175"/>
        <w:rPr>
          <w:rFonts w:ascii="仿宋" w:hAnsi="仿宋" w:eastAsia="仿宋"/>
          <w:b w:val="0"/>
          <w:color w:val="auto"/>
          <w:sz w:val="21"/>
          <w:szCs w:val="21"/>
        </w:rPr>
      </w:pPr>
      <w:r>
        <w:rPr>
          <w:rFonts w:hint="eastAsia" w:ascii="仿宋" w:hAnsi="仿宋" w:eastAsia="仿宋"/>
          <w:b w:val="0"/>
          <w:color w:val="auto"/>
          <w:sz w:val="21"/>
          <w:szCs w:val="21"/>
        </w:rPr>
        <w:t>9</w:t>
      </w:r>
      <w:r>
        <w:rPr>
          <w:rFonts w:ascii="仿宋" w:hAnsi="仿宋" w:eastAsia="仿宋"/>
          <w:b w:val="0"/>
          <w:color w:val="auto"/>
          <w:sz w:val="21"/>
          <w:szCs w:val="21"/>
        </w:rPr>
        <w:t>.1在政府采购活动中，采购人员及相关人员与</w:t>
      </w:r>
      <w:r>
        <w:rPr>
          <w:rFonts w:hint="eastAsia" w:ascii="仿宋" w:hAnsi="仿宋" w:eastAsia="仿宋"/>
          <w:b w:val="0"/>
          <w:color w:val="auto"/>
          <w:sz w:val="21"/>
          <w:szCs w:val="21"/>
        </w:rPr>
        <w:t>供应商</w:t>
      </w:r>
      <w:r>
        <w:rPr>
          <w:rFonts w:ascii="仿宋" w:hAnsi="仿宋" w:eastAsia="仿宋"/>
          <w:b w:val="0"/>
          <w:color w:val="auto"/>
          <w:sz w:val="21"/>
          <w:szCs w:val="21"/>
        </w:rPr>
        <w:t>有下列利害关系之一的，应当回避：</w:t>
      </w:r>
    </w:p>
    <w:p w14:paraId="6C13813B">
      <w:pPr>
        <w:pStyle w:val="26"/>
        <w:snapToGrid w:val="0"/>
        <w:spacing w:line="360" w:lineRule="auto"/>
        <w:ind w:left="2" w:leftChars="1" w:firstLine="420" w:firstLineChars="200"/>
        <w:rPr>
          <w:rFonts w:ascii="仿宋" w:hAnsi="仿宋" w:eastAsia="仿宋"/>
          <w:color w:val="auto"/>
          <w:kern w:val="2"/>
          <w:sz w:val="21"/>
        </w:rPr>
      </w:pPr>
      <w:r>
        <w:rPr>
          <w:rFonts w:ascii="仿宋" w:hAnsi="仿宋" w:eastAsia="仿宋"/>
          <w:color w:val="auto"/>
          <w:kern w:val="2"/>
          <w:sz w:val="21"/>
        </w:rPr>
        <w:t>（</w:t>
      </w:r>
      <w:r>
        <w:rPr>
          <w:rFonts w:hint="eastAsia" w:ascii="仿宋" w:hAnsi="仿宋" w:eastAsia="仿宋"/>
          <w:color w:val="auto"/>
          <w:kern w:val="2"/>
          <w:sz w:val="21"/>
        </w:rPr>
        <w:t>1</w:t>
      </w:r>
      <w:r>
        <w:rPr>
          <w:rFonts w:ascii="仿宋" w:hAnsi="仿宋" w:eastAsia="仿宋"/>
          <w:color w:val="auto"/>
          <w:kern w:val="2"/>
          <w:sz w:val="21"/>
        </w:rPr>
        <w:t>）参加采购活动前3年内与</w:t>
      </w:r>
      <w:r>
        <w:rPr>
          <w:rFonts w:hint="eastAsia" w:ascii="仿宋" w:hAnsi="仿宋" w:eastAsia="仿宋"/>
          <w:color w:val="auto"/>
          <w:kern w:val="2"/>
          <w:sz w:val="21"/>
        </w:rPr>
        <w:t>供应商</w:t>
      </w:r>
      <w:r>
        <w:rPr>
          <w:rFonts w:ascii="仿宋" w:hAnsi="仿宋" w:eastAsia="仿宋"/>
          <w:color w:val="auto"/>
          <w:kern w:val="2"/>
          <w:sz w:val="21"/>
        </w:rPr>
        <w:t>存在劳动关系；</w:t>
      </w:r>
    </w:p>
    <w:p w14:paraId="32D168B5">
      <w:pPr>
        <w:pStyle w:val="26"/>
        <w:snapToGrid w:val="0"/>
        <w:spacing w:line="360" w:lineRule="auto"/>
        <w:ind w:left="2" w:leftChars="1" w:firstLine="420" w:firstLineChars="200"/>
        <w:rPr>
          <w:rFonts w:ascii="仿宋" w:hAnsi="仿宋" w:eastAsia="仿宋"/>
          <w:color w:val="auto"/>
          <w:kern w:val="2"/>
          <w:sz w:val="21"/>
        </w:rPr>
      </w:pPr>
      <w:r>
        <w:rPr>
          <w:rFonts w:ascii="仿宋" w:hAnsi="仿宋" w:eastAsia="仿宋"/>
          <w:color w:val="auto"/>
          <w:kern w:val="2"/>
          <w:sz w:val="21"/>
        </w:rPr>
        <w:t>（</w:t>
      </w:r>
      <w:r>
        <w:rPr>
          <w:rFonts w:hint="eastAsia" w:ascii="仿宋" w:hAnsi="仿宋" w:eastAsia="仿宋"/>
          <w:color w:val="auto"/>
          <w:kern w:val="2"/>
          <w:sz w:val="21"/>
        </w:rPr>
        <w:t>2</w:t>
      </w:r>
      <w:r>
        <w:rPr>
          <w:rFonts w:ascii="仿宋" w:hAnsi="仿宋" w:eastAsia="仿宋"/>
          <w:color w:val="auto"/>
          <w:kern w:val="2"/>
          <w:sz w:val="21"/>
        </w:rPr>
        <w:t>）参加采购活动前3年内担任</w:t>
      </w:r>
      <w:r>
        <w:rPr>
          <w:rFonts w:hint="eastAsia" w:ascii="仿宋" w:hAnsi="仿宋" w:eastAsia="仿宋"/>
          <w:color w:val="auto"/>
          <w:kern w:val="2"/>
          <w:sz w:val="21"/>
        </w:rPr>
        <w:t>供应商</w:t>
      </w:r>
      <w:r>
        <w:rPr>
          <w:rFonts w:ascii="仿宋" w:hAnsi="仿宋" w:eastAsia="仿宋"/>
          <w:color w:val="auto"/>
          <w:kern w:val="2"/>
          <w:sz w:val="21"/>
        </w:rPr>
        <w:t>的董事、监事；</w:t>
      </w:r>
    </w:p>
    <w:p w14:paraId="0AC6798D">
      <w:pPr>
        <w:pStyle w:val="26"/>
        <w:snapToGrid w:val="0"/>
        <w:spacing w:line="360" w:lineRule="auto"/>
        <w:ind w:left="2" w:leftChars="1" w:firstLine="420" w:firstLineChars="200"/>
        <w:rPr>
          <w:rFonts w:ascii="仿宋" w:hAnsi="仿宋" w:eastAsia="仿宋"/>
          <w:color w:val="auto"/>
          <w:kern w:val="2"/>
          <w:sz w:val="21"/>
        </w:rPr>
      </w:pPr>
      <w:r>
        <w:rPr>
          <w:rFonts w:ascii="仿宋" w:hAnsi="仿宋" w:eastAsia="仿宋"/>
          <w:color w:val="auto"/>
          <w:kern w:val="2"/>
          <w:sz w:val="21"/>
        </w:rPr>
        <w:t>（</w:t>
      </w:r>
      <w:r>
        <w:rPr>
          <w:rFonts w:hint="eastAsia" w:ascii="仿宋" w:hAnsi="仿宋" w:eastAsia="仿宋"/>
          <w:color w:val="auto"/>
          <w:kern w:val="2"/>
          <w:sz w:val="21"/>
        </w:rPr>
        <w:t>3</w:t>
      </w:r>
      <w:r>
        <w:rPr>
          <w:rFonts w:ascii="仿宋" w:hAnsi="仿宋" w:eastAsia="仿宋"/>
          <w:color w:val="auto"/>
          <w:kern w:val="2"/>
          <w:sz w:val="21"/>
        </w:rPr>
        <w:t>）参加采购活动前3年内是</w:t>
      </w:r>
      <w:r>
        <w:rPr>
          <w:rFonts w:hint="eastAsia" w:ascii="仿宋" w:hAnsi="仿宋" w:eastAsia="仿宋"/>
          <w:color w:val="auto"/>
          <w:kern w:val="2"/>
          <w:sz w:val="21"/>
        </w:rPr>
        <w:t>供应商</w:t>
      </w:r>
      <w:r>
        <w:rPr>
          <w:rFonts w:ascii="仿宋" w:hAnsi="仿宋" w:eastAsia="仿宋"/>
          <w:color w:val="auto"/>
          <w:kern w:val="2"/>
          <w:sz w:val="21"/>
        </w:rPr>
        <w:t>的控股股东或者实际控制人；</w:t>
      </w:r>
    </w:p>
    <w:p w14:paraId="3730BE0D">
      <w:pPr>
        <w:pStyle w:val="26"/>
        <w:snapToGrid w:val="0"/>
        <w:spacing w:line="360" w:lineRule="auto"/>
        <w:ind w:left="2" w:leftChars="1" w:firstLine="420" w:firstLineChars="200"/>
        <w:rPr>
          <w:rFonts w:ascii="仿宋" w:hAnsi="仿宋" w:eastAsia="仿宋"/>
          <w:color w:val="auto"/>
          <w:kern w:val="2"/>
          <w:sz w:val="21"/>
        </w:rPr>
      </w:pPr>
      <w:r>
        <w:rPr>
          <w:rFonts w:ascii="仿宋" w:hAnsi="仿宋" w:eastAsia="仿宋"/>
          <w:color w:val="auto"/>
          <w:kern w:val="2"/>
          <w:sz w:val="21"/>
        </w:rPr>
        <w:t>（</w:t>
      </w:r>
      <w:r>
        <w:rPr>
          <w:rFonts w:hint="eastAsia" w:ascii="仿宋" w:hAnsi="仿宋" w:eastAsia="仿宋"/>
          <w:color w:val="auto"/>
          <w:kern w:val="2"/>
          <w:sz w:val="21"/>
        </w:rPr>
        <w:t>4</w:t>
      </w:r>
      <w:r>
        <w:rPr>
          <w:rFonts w:ascii="仿宋" w:hAnsi="仿宋" w:eastAsia="仿宋"/>
          <w:color w:val="auto"/>
          <w:kern w:val="2"/>
          <w:sz w:val="21"/>
        </w:rPr>
        <w:t>）与</w:t>
      </w:r>
      <w:r>
        <w:rPr>
          <w:rFonts w:hint="eastAsia" w:ascii="仿宋" w:hAnsi="仿宋" w:eastAsia="仿宋"/>
          <w:color w:val="auto"/>
          <w:kern w:val="2"/>
          <w:sz w:val="21"/>
        </w:rPr>
        <w:t>供应商</w:t>
      </w:r>
      <w:r>
        <w:rPr>
          <w:rFonts w:ascii="仿宋" w:hAnsi="仿宋" w:eastAsia="仿宋"/>
          <w:color w:val="auto"/>
          <w:kern w:val="2"/>
          <w:sz w:val="21"/>
        </w:rPr>
        <w:t>的法定代表人或者负责人有夫妻、直系血亲、三代以内旁系血亲或者近姻亲关系；</w:t>
      </w:r>
    </w:p>
    <w:p w14:paraId="29A3F071">
      <w:pPr>
        <w:pStyle w:val="26"/>
        <w:snapToGrid w:val="0"/>
        <w:spacing w:line="360" w:lineRule="auto"/>
        <w:ind w:left="2" w:leftChars="1" w:firstLine="420" w:firstLineChars="200"/>
        <w:rPr>
          <w:rFonts w:ascii="仿宋" w:hAnsi="仿宋" w:eastAsia="仿宋"/>
          <w:color w:val="auto"/>
          <w:kern w:val="2"/>
          <w:sz w:val="21"/>
        </w:rPr>
      </w:pPr>
      <w:r>
        <w:rPr>
          <w:rFonts w:ascii="仿宋" w:hAnsi="仿宋" w:eastAsia="仿宋"/>
          <w:color w:val="auto"/>
          <w:kern w:val="2"/>
          <w:sz w:val="21"/>
        </w:rPr>
        <w:t>（</w:t>
      </w:r>
      <w:r>
        <w:rPr>
          <w:rFonts w:hint="eastAsia" w:ascii="仿宋" w:hAnsi="仿宋" w:eastAsia="仿宋"/>
          <w:color w:val="auto"/>
          <w:kern w:val="2"/>
          <w:sz w:val="21"/>
        </w:rPr>
        <w:t>5</w:t>
      </w:r>
      <w:r>
        <w:rPr>
          <w:rFonts w:ascii="仿宋" w:hAnsi="仿宋" w:eastAsia="仿宋"/>
          <w:color w:val="auto"/>
          <w:kern w:val="2"/>
          <w:sz w:val="21"/>
        </w:rPr>
        <w:t>）与</w:t>
      </w:r>
      <w:r>
        <w:rPr>
          <w:rFonts w:hint="eastAsia" w:ascii="仿宋" w:hAnsi="仿宋" w:eastAsia="仿宋"/>
          <w:color w:val="auto"/>
          <w:kern w:val="2"/>
          <w:sz w:val="21"/>
        </w:rPr>
        <w:t>供应商</w:t>
      </w:r>
      <w:r>
        <w:rPr>
          <w:rFonts w:ascii="仿宋" w:hAnsi="仿宋" w:eastAsia="仿宋"/>
          <w:color w:val="auto"/>
          <w:kern w:val="2"/>
          <w:sz w:val="21"/>
        </w:rPr>
        <w:t>有其他可能影响政府采购活动公平、公正进行的关系。</w:t>
      </w:r>
    </w:p>
    <w:p w14:paraId="3960ADD1">
      <w:pPr>
        <w:pStyle w:val="26"/>
        <w:snapToGrid w:val="0"/>
        <w:spacing w:line="360" w:lineRule="auto"/>
        <w:ind w:left="2" w:leftChars="1" w:firstLine="420" w:firstLineChars="200"/>
        <w:rPr>
          <w:rFonts w:ascii="仿宋" w:hAnsi="仿宋" w:eastAsia="仿宋"/>
          <w:color w:val="auto"/>
          <w:kern w:val="2"/>
          <w:sz w:val="21"/>
        </w:rPr>
      </w:pPr>
      <w:r>
        <w:rPr>
          <w:rFonts w:hint="eastAsia" w:ascii="仿宋" w:hAnsi="仿宋" w:eastAsia="仿宋"/>
          <w:color w:val="auto"/>
          <w:kern w:val="2"/>
          <w:sz w:val="21"/>
        </w:rPr>
        <w:t>供应商</w:t>
      </w:r>
      <w:r>
        <w:rPr>
          <w:rFonts w:ascii="仿宋" w:hAnsi="仿宋" w:eastAsia="仿宋"/>
          <w:color w:val="auto"/>
          <w:kern w:val="2"/>
          <w:sz w:val="21"/>
        </w:rPr>
        <w:t>认为采购人员及相关人员与其他</w:t>
      </w:r>
      <w:r>
        <w:rPr>
          <w:rFonts w:hint="eastAsia" w:ascii="仿宋" w:hAnsi="仿宋" w:eastAsia="仿宋"/>
          <w:color w:val="auto"/>
          <w:kern w:val="2"/>
          <w:sz w:val="21"/>
        </w:rPr>
        <w:t>供应商</w:t>
      </w:r>
      <w:r>
        <w:rPr>
          <w:rFonts w:ascii="仿宋" w:hAnsi="仿宋" w:eastAsia="仿宋"/>
          <w:color w:val="auto"/>
          <w:kern w:val="2"/>
          <w:sz w:val="21"/>
        </w:rPr>
        <w:t>有利害关系的，可以向采购人或者采购代理机构书面提出回避申请，并说明理由。采购人或者采购代理机构应当及时询问被申请回避人员，有利害关系的被申请回避人员应当回避。</w:t>
      </w:r>
    </w:p>
    <w:p w14:paraId="738C6F57">
      <w:pPr>
        <w:pStyle w:val="7"/>
        <w:keepNext w:val="0"/>
        <w:keepLines w:val="0"/>
        <w:spacing w:before="0" w:after="0" w:line="360" w:lineRule="auto"/>
        <w:ind w:left="420" w:leftChars="200"/>
        <w:rPr>
          <w:rFonts w:ascii="仿宋" w:hAnsi="仿宋" w:eastAsia="仿宋"/>
          <w:b w:val="0"/>
          <w:bCs/>
          <w:color w:val="auto"/>
          <w:sz w:val="21"/>
          <w:szCs w:val="21"/>
        </w:rPr>
      </w:pPr>
      <w:r>
        <w:rPr>
          <w:rFonts w:ascii="仿宋" w:hAnsi="仿宋" w:eastAsia="仿宋"/>
          <w:b w:val="0"/>
          <w:bCs/>
          <w:color w:val="auto"/>
          <w:sz w:val="21"/>
          <w:szCs w:val="21"/>
        </w:rPr>
        <w:t>9.2</w:t>
      </w:r>
      <w:r>
        <w:rPr>
          <w:rFonts w:hint="eastAsia" w:ascii="仿宋" w:hAnsi="仿宋" w:eastAsia="仿宋"/>
          <w:b w:val="0"/>
          <w:bCs/>
          <w:color w:val="auto"/>
          <w:sz w:val="21"/>
          <w:szCs w:val="21"/>
        </w:rPr>
        <w:t>有下列情形之一的视为投标人相互串通投标，投标文件将被视为无效：</w:t>
      </w:r>
    </w:p>
    <w:p w14:paraId="6F689E0C">
      <w:pPr>
        <w:pStyle w:val="26"/>
        <w:snapToGrid w:val="0"/>
        <w:spacing w:line="360" w:lineRule="auto"/>
        <w:ind w:left="2" w:leftChars="1" w:firstLine="420" w:firstLineChars="200"/>
        <w:rPr>
          <w:rFonts w:ascii="仿宋" w:hAnsi="仿宋" w:eastAsia="仿宋"/>
          <w:bCs/>
          <w:color w:val="auto"/>
          <w:kern w:val="2"/>
          <w:sz w:val="21"/>
        </w:rPr>
      </w:pPr>
      <w:r>
        <w:rPr>
          <w:rFonts w:hint="eastAsia" w:ascii="仿宋" w:hAnsi="仿宋" w:eastAsia="仿宋"/>
          <w:bCs/>
          <w:color w:val="auto"/>
          <w:kern w:val="2"/>
          <w:sz w:val="21"/>
        </w:rPr>
        <w:t xml:space="preserve">（1）不同投标人的投标文件由同一单位或者个人编制； </w:t>
      </w:r>
    </w:p>
    <w:p w14:paraId="5A6FAF58">
      <w:pPr>
        <w:pStyle w:val="26"/>
        <w:snapToGrid w:val="0"/>
        <w:spacing w:line="360" w:lineRule="auto"/>
        <w:ind w:left="2" w:leftChars="1" w:firstLine="420" w:firstLineChars="200"/>
        <w:rPr>
          <w:rFonts w:ascii="仿宋" w:hAnsi="仿宋" w:eastAsia="仿宋"/>
          <w:bCs/>
          <w:color w:val="auto"/>
          <w:kern w:val="2"/>
          <w:sz w:val="21"/>
        </w:rPr>
      </w:pPr>
      <w:r>
        <w:rPr>
          <w:rFonts w:hint="eastAsia" w:ascii="仿宋" w:hAnsi="仿宋" w:eastAsia="仿宋"/>
          <w:bCs/>
          <w:color w:val="auto"/>
          <w:kern w:val="2"/>
          <w:sz w:val="21"/>
        </w:rPr>
        <w:t>（2）不同投标人委托同一单位或者个人办理投标事宜；</w:t>
      </w:r>
    </w:p>
    <w:p w14:paraId="71940E02">
      <w:pPr>
        <w:pStyle w:val="26"/>
        <w:snapToGrid w:val="0"/>
        <w:spacing w:line="360" w:lineRule="auto"/>
        <w:ind w:left="2" w:leftChars="1" w:firstLine="420" w:firstLineChars="200"/>
        <w:rPr>
          <w:rFonts w:ascii="仿宋" w:hAnsi="仿宋" w:eastAsia="仿宋"/>
          <w:bCs/>
          <w:color w:val="auto"/>
          <w:kern w:val="2"/>
          <w:sz w:val="21"/>
        </w:rPr>
      </w:pPr>
      <w:r>
        <w:rPr>
          <w:rFonts w:hint="eastAsia" w:ascii="仿宋" w:hAnsi="仿宋" w:eastAsia="仿宋"/>
          <w:bCs/>
          <w:color w:val="auto"/>
          <w:kern w:val="2"/>
          <w:sz w:val="21"/>
        </w:rPr>
        <w:t>（3）不同的投标人的投标文件载明的项目管理员为同一个人；</w:t>
      </w:r>
    </w:p>
    <w:p w14:paraId="31384A06">
      <w:pPr>
        <w:pStyle w:val="26"/>
        <w:snapToGrid w:val="0"/>
        <w:spacing w:line="360" w:lineRule="auto"/>
        <w:ind w:left="2" w:leftChars="1" w:firstLine="420" w:firstLineChars="200"/>
        <w:rPr>
          <w:rFonts w:ascii="仿宋" w:hAnsi="仿宋" w:eastAsia="仿宋"/>
          <w:bCs/>
          <w:color w:val="auto"/>
          <w:kern w:val="2"/>
          <w:sz w:val="21"/>
        </w:rPr>
      </w:pPr>
      <w:r>
        <w:rPr>
          <w:rFonts w:hint="eastAsia" w:ascii="仿宋" w:hAnsi="仿宋" w:eastAsia="仿宋"/>
          <w:bCs/>
          <w:color w:val="auto"/>
          <w:kern w:val="2"/>
          <w:sz w:val="21"/>
        </w:rPr>
        <w:t>（4）不同投标人的投标文件异常一致或者投标报价呈规律性差异；</w:t>
      </w:r>
    </w:p>
    <w:p w14:paraId="1E42710E">
      <w:pPr>
        <w:pStyle w:val="26"/>
        <w:snapToGrid w:val="0"/>
        <w:spacing w:line="360" w:lineRule="auto"/>
        <w:ind w:left="2" w:leftChars="1" w:firstLine="420" w:firstLineChars="200"/>
        <w:rPr>
          <w:rFonts w:ascii="仿宋" w:hAnsi="仿宋" w:eastAsia="仿宋"/>
          <w:bCs/>
          <w:color w:val="auto"/>
          <w:kern w:val="2"/>
          <w:sz w:val="21"/>
        </w:rPr>
      </w:pPr>
      <w:r>
        <w:rPr>
          <w:rFonts w:hint="eastAsia" w:ascii="仿宋" w:hAnsi="仿宋" w:eastAsia="仿宋"/>
          <w:bCs/>
          <w:color w:val="auto"/>
          <w:kern w:val="2"/>
          <w:sz w:val="21"/>
        </w:rPr>
        <w:t>（5）不同投标人的投标文件相互混装；</w:t>
      </w:r>
    </w:p>
    <w:p w14:paraId="054F93F2">
      <w:pPr>
        <w:pStyle w:val="26"/>
        <w:snapToGrid w:val="0"/>
        <w:spacing w:line="360" w:lineRule="auto"/>
        <w:ind w:left="2" w:leftChars="1" w:firstLine="420" w:firstLineChars="200"/>
        <w:rPr>
          <w:rFonts w:ascii="仿宋" w:hAnsi="仿宋" w:eastAsia="仿宋"/>
          <w:bCs/>
          <w:color w:val="auto"/>
          <w:kern w:val="2"/>
          <w:sz w:val="21"/>
        </w:rPr>
      </w:pPr>
      <w:r>
        <w:rPr>
          <w:rFonts w:hint="eastAsia" w:ascii="仿宋" w:hAnsi="仿宋" w:eastAsia="仿宋"/>
          <w:bCs/>
          <w:color w:val="auto"/>
          <w:kern w:val="2"/>
          <w:sz w:val="21"/>
        </w:rPr>
        <w:t>（6）不同投标人的投标保证金从同一单位或者个人账户转出。</w:t>
      </w:r>
    </w:p>
    <w:p w14:paraId="404C6EBB">
      <w:pPr>
        <w:pStyle w:val="7"/>
        <w:keepNext w:val="0"/>
        <w:keepLines w:val="0"/>
        <w:spacing w:before="0" w:after="0" w:line="360" w:lineRule="auto"/>
        <w:ind w:left="420" w:leftChars="200"/>
        <w:rPr>
          <w:rFonts w:ascii="仿宋" w:hAnsi="仿宋" w:eastAsia="仿宋"/>
          <w:b w:val="0"/>
          <w:color w:val="auto"/>
          <w:sz w:val="21"/>
          <w:szCs w:val="21"/>
        </w:rPr>
      </w:pPr>
      <w:r>
        <w:rPr>
          <w:rFonts w:ascii="仿宋" w:hAnsi="仿宋" w:eastAsia="仿宋"/>
          <w:b w:val="0"/>
          <w:color w:val="auto"/>
          <w:sz w:val="21"/>
          <w:szCs w:val="21"/>
        </w:rPr>
        <w:t>9.3</w:t>
      </w:r>
      <w:r>
        <w:rPr>
          <w:rFonts w:hint="eastAsia" w:ascii="仿宋" w:hAnsi="仿宋" w:eastAsia="仿宋"/>
          <w:b w:val="0"/>
          <w:color w:val="auto"/>
          <w:sz w:val="21"/>
          <w:szCs w:val="21"/>
        </w:rPr>
        <w:t>供应商有下列情形之一的，属于恶意串通行为，将报同级监督管理部门：</w:t>
      </w:r>
    </w:p>
    <w:p w14:paraId="4D2BF5A5">
      <w:pPr>
        <w:pStyle w:val="26"/>
        <w:snapToGrid w:val="0"/>
        <w:spacing w:line="360" w:lineRule="auto"/>
        <w:ind w:left="2" w:leftChars="1" w:firstLine="420" w:firstLineChars="200"/>
        <w:rPr>
          <w:rFonts w:ascii="仿宋" w:hAnsi="仿宋" w:eastAsia="仿宋"/>
          <w:color w:val="auto"/>
          <w:kern w:val="2"/>
          <w:sz w:val="21"/>
        </w:rPr>
      </w:pPr>
      <w:r>
        <w:rPr>
          <w:rFonts w:hint="eastAsia" w:ascii="仿宋" w:hAnsi="仿宋" w:eastAsia="仿宋"/>
          <w:color w:val="auto"/>
          <w:kern w:val="2"/>
          <w:sz w:val="21"/>
        </w:rPr>
        <w:t>（1）供应商直接或者间接从采购人或者采购代理机构处获得其他供应商的相关信息并修改其投标文件或者响应文件；</w:t>
      </w:r>
    </w:p>
    <w:p w14:paraId="0C769AE0">
      <w:pPr>
        <w:pStyle w:val="26"/>
        <w:snapToGrid w:val="0"/>
        <w:spacing w:line="360" w:lineRule="auto"/>
        <w:ind w:left="2" w:leftChars="1" w:firstLine="420" w:firstLineChars="200"/>
        <w:rPr>
          <w:rFonts w:ascii="仿宋" w:hAnsi="仿宋" w:eastAsia="仿宋"/>
          <w:color w:val="auto"/>
          <w:kern w:val="2"/>
          <w:sz w:val="21"/>
        </w:rPr>
      </w:pPr>
      <w:r>
        <w:rPr>
          <w:rFonts w:hint="eastAsia" w:ascii="仿宋" w:hAnsi="仿宋" w:eastAsia="仿宋"/>
          <w:color w:val="auto"/>
          <w:kern w:val="2"/>
          <w:sz w:val="21"/>
        </w:rPr>
        <w:t>（2）供应商按照采购人或者采购代理机构的授意撤换、修改投标文件或者响应文件；</w:t>
      </w:r>
    </w:p>
    <w:p w14:paraId="1843BB16">
      <w:pPr>
        <w:pStyle w:val="26"/>
        <w:snapToGrid w:val="0"/>
        <w:spacing w:line="360" w:lineRule="auto"/>
        <w:ind w:left="2" w:leftChars="1" w:firstLine="420" w:firstLineChars="200"/>
        <w:rPr>
          <w:rFonts w:ascii="仿宋" w:hAnsi="仿宋" w:eastAsia="仿宋"/>
          <w:color w:val="auto"/>
          <w:kern w:val="2"/>
          <w:sz w:val="21"/>
        </w:rPr>
      </w:pPr>
      <w:r>
        <w:rPr>
          <w:rFonts w:hint="eastAsia" w:ascii="仿宋" w:hAnsi="仿宋" w:eastAsia="仿宋"/>
          <w:color w:val="auto"/>
          <w:kern w:val="2"/>
          <w:sz w:val="21"/>
        </w:rPr>
        <w:t>（3）供应商之间协商报价、技术方案等投标文件或者响应文件的实质性内容；</w:t>
      </w:r>
    </w:p>
    <w:p w14:paraId="7DCD6BB6">
      <w:pPr>
        <w:pStyle w:val="26"/>
        <w:snapToGrid w:val="0"/>
        <w:spacing w:line="360" w:lineRule="auto"/>
        <w:ind w:left="2" w:leftChars="1" w:firstLine="420" w:firstLineChars="200"/>
        <w:rPr>
          <w:rFonts w:ascii="仿宋" w:hAnsi="仿宋" w:eastAsia="仿宋"/>
          <w:color w:val="auto"/>
          <w:kern w:val="2"/>
          <w:sz w:val="21"/>
        </w:rPr>
      </w:pPr>
      <w:r>
        <w:rPr>
          <w:rFonts w:hint="eastAsia" w:ascii="仿宋" w:hAnsi="仿宋" w:eastAsia="仿宋"/>
          <w:color w:val="auto"/>
          <w:kern w:val="2"/>
          <w:sz w:val="21"/>
        </w:rPr>
        <w:t>（4）属于同一集团、协会、商会等组织成员的供应商按照该组织要求协同参加政府采购活动；</w:t>
      </w:r>
    </w:p>
    <w:p w14:paraId="27DBCD2A">
      <w:pPr>
        <w:pStyle w:val="26"/>
        <w:snapToGrid w:val="0"/>
        <w:spacing w:line="360" w:lineRule="auto"/>
        <w:ind w:left="2" w:leftChars="1" w:firstLine="420" w:firstLineChars="200"/>
        <w:rPr>
          <w:rFonts w:ascii="仿宋" w:hAnsi="仿宋" w:eastAsia="仿宋"/>
          <w:color w:val="auto"/>
          <w:kern w:val="2"/>
          <w:sz w:val="21"/>
        </w:rPr>
      </w:pPr>
      <w:r>
        <w:rPr>
          <w:rFonts w:hint="eastAsia" w:ascii="仿宋" w:hAnsi="仿宋" w:eastAsia="仿宋"/>
          <w:color w:val="auto"/>
          <w:kern w:val="2"/>
          <w:sz w:val="21"/>
        </w:rPr>
        <w:t>（5）供应商之间事先约定一致抬高或者压低投标报价，或者在招标项目中事先约定轮流以高价位或者低价位中标，或者事先约定由某一特定供应商中标，然后再参加投标；</w:t>
      </w:r>
    </w:p>
    <w:p w14:paraId="2136F615">
      <w:pPr>
        <w:pStyle w:val="26"/>
        <w:snapToGrid w:val="0"/>
        <w:spacing w:line="360" w:lineRule="auto"/>
        <w:ind w:left="2" w:leftChars="1" w:firstLine="420" w:firstLineChars="200"/>
        <w:rPr>
          <w:rFonts w:ascii="仿宋" w:hAnsi="仿宋" w:eastAsia="仿宋"/>
          <w:color w:val="auto"/>
          <w:kern w:val="2"/>
          <w:sz w:val="21"/>
        </w:rPr>
      </w:pPr>
      <w:r>
        <w:rPr>
          <w:rFonts w:hint="eastAsia" w:ascii="仿宋" w:hAnsi="仿宋" w:eastAsia="仿宋"/>
          <w:color w:val="auto"/>
          <w:kern w:val="2"/>
          <w:sz w:val="21"/>
        </w:rPr>
        <w:t>（6）供应商之间商定部分供应商放弃参加政府采购活动或者放弃中标；</w:t>
      </w:r>
    </w:p>
    <w:p w14:paraId="1F158D38">
      <w:pPr>
        <w:pStyle w:val="26"/>
        <w:snapToGrid w:val="0"/>
        <w:spacing w:line="360" w:lineRule="auto"/>
        <w:ind w:left="2" w:leftChars="1" w:firstLine="420" w:firstLineChars="200"/>
        <w:rPr>
          <w:rFonts w:ascii="仿宋" w:hAnsi="仿宋" w:eastAsia="仿宋"/>
          <w:color w:val="auto"/>
          <w:kern w:val="2"/>
          <w:sz w:val="21"/>
        </w:rPr>
      </w:pPr>
      <w:r>
        <w:rPr>
          <w:rFonts w:hint="eastAsia" w:ascii="仿宋" w:hAnsi="仿宋" w:eastAsia="仿宋"/>
          <w:color w:val="auto"/>
          <w:kern w:val="2"/>
          <w:sz w:val="21"/>
        </w:rPr>
        <w:t>（7）供应商与采购人或者采购代理机构之间、供应商相互之间，为谋求特定供应商中标或者排斥其他供应商的其他串通行为。</w:t>
      </w:r>
    </w:p>
    <w:p w14:paraId="71EBB74B">
      <w:pPr>
        <w:pStyle w:val="26"/>
        <w:snapToGrid w:val="0"/>
        <w:spacing w:line="360" w:lineRule="auto"/>
        <w:ind w:left="2" w:leftChars="1" w:firstLine="422" w:firstLineChars="200"/>
        <w:rPr>
          <w:rFonts w:ascii="仿宋" w:hAnsi="仿宋" w:eastAsia="仿宋"/>
          <w:b/>
          <w:color w:val="auto"/>
          <w:kern w:val="2"/>
          <w:sz w:val="21"/>
        </w:rPr>
      </w:pPr>
    </w:p>
    <w:p w14:paraId="776A73DC">
      <w:pPr>
        <w:pStyle w:val="5"/>
        <w:keepNext w:val="0"/>
        <w:keepLines w:val="0"/>
        <w:jc w:val="center"/>
        <w:rPr>
          <w:rFonts w:ascii="仿宋" w:hAnsi="仿宋" w:eastAsia="仿宋"/>
          <w:color w:val="auto"/>
        </w:rPr>
      </w:pPr>
      <w:bookmarkStart w:id="89" w:name="_Toc254970534"/>
      <w:bookmarkStart w:id="90" w:name="_Toc254970675"/>
      <w:r>
        <w:rPr>
          <w:rFonts w:hint="eastAsia" w:ascii="仿宋" w:hAnsi="仿宋" w:eastAsia="仿宋"/>
          <w:color w:val="auto"/>
        </w:rPr>
        <w:t>二、招标文件</w:t>
      </w:r>
      <w:bookmarkEnd w:id="89"/>
      <w:bookmarkEnd w:id="90"/>
    </w:p>
    <w:p w14:paraId="217086EA">
      <w:pPr>
        <w:pStyle w:val="7"/>
        <w:keepNext w:val="0"/>
        <w:keepLines w:val="0"/>
        <w:spacing w:before="0" w:after="0" w:line="360" w:lineRule="auto"/>
        <w:ind w:left="420" w:leftChars="200"/>
        <w:rPr>
          <w:rFonts w:ascii="仿宋" w:hAnsi="仿宋" w:eastAsia="仿宋"/>
          <w:color w:val="auto"/>
          <w:sz w:val="24"/>
        </w:rPr>
      </w:pPr>
      <w:r>
        <w:rPr>
          <w:rFonts w:hint="eastAsia" w:ascii="仿宋" w:hAnsi="仿宋" w:eastAsia="仿宋"/>
          <w:color w:val="auto"/>
          <w:sz w:val="24"/>
        </w:rPr>
        <w:t>10.招标文件的组成</w:t>
      </w:r>
    </w:p>
    <w:p w14:paraId="310EF307">
      <w:pPr>
        <w:snapToGrid w:val="0"/>
        <w:spacing w:line="360" w:lineRule="auto"/>
        <w:ind w:firstLine="420"/>
        <w:jc w:val="left"/>
        <w:rPr>
          <w:rFonts w:ascii="仿宋" w:hAnsi="仿宋" w:eastAsia="仿宋"/>
          <w:color w:val="auto"/>
          <w:szCs w:val="21"/>
        </w:rPr>
      </w:pPr>
      <w:r>
        <w:rPr>
          <w:rFonts w:hint="eastAsia" w:ascii="仿宋" w:hAnsi="仿宋" w:eastAsia="仿宋"/>
          <w:color w:val="auto"/>
          <w:szCs w:val="21"/>
        </w:rPr>
        <w:t>（1）招标公告；</w:t>
      </w:r>
    </w:p>
    <w:p w14:paraId="5A34AE49">
      <w:pPr>
        <w:snapToGrid w:val="0"/>
        <w:spacing w:line="360" w:lineRule="auto"/>
        <w:ind w:firstLine="420"/>
        <w:jc w:val="left"/>
        <w:rPr>
          <w:rFonts w:ascii="仿宋" w:hAnsi="仿宋" w:eastAsia="仿宋"/>
          <w:color w:val="auto"/>
          <w:szCs w:val="21"/>
        </w:rPr>
      </w:pPr>
      <w:r>
        <w:rPr>
          <w:rFonts w:hint="eastAsia" w:ascii="仿宋" w:hAnsi="仿宋" w:eastAsia="仿宋"/>
          <w:color w:val="auto"/>
          <w:szCs w:val="21"/>
        </w:rPr>
        <w:t xml:space="preserve">（2）采购需求； </w:t>
      </w:r>
    </w:p>
    <w:p w14:paraId="05A5C1C0">
      <w:pPr>
        <w:snapToGrid w:val="0"/>
        <w:spacing w:line="360" w:lineRule="auto"/>
        <w:ind w:firstLine="420"/>
        <w:jc w:val="left"/>
        <w:rPr>
          <w:rFonts w:ascii="仿宋" w:hAnsi="仿宋" w:eastAsia="仿宋"/>
          <w:color w:val="auto"/>
          <w:szCs w:val="21"/>
        </w:rPr>
      </w:pPr>
      <w:r>
        <w:rPr>
          <w:rFonts w:hint="eastAsia" w:ascii="仿宋" w:hAnsi="仿宋" w:eastAsia="仿宋"/>
          <w:color w:val="auto"/>
          <w:szCs w:val="21"/>
        </w:rPr>
        <w:t>（3）投标人须知；</w:t>
      </w:r>
    </w:p>
    <w:p w14:paraId="6FF1B41C">
      <w:pPr>
        <w:snapToGrid w:val="0"/>
        <w:spacing w:line="360" w:lineRule="auto"/>
        <w:ind w:firstLine="420"/>
        <w:jc w:val="left"/>
        <w:rPr>
          <w:rFonts w:ascii="仿宋" w:hAnsi="仿宋" w:eastAsia="仿宋"/>
          <w:color w:val="auto"/>
          <w:szCs w:val="21"/>
        </w:rPr>
      </w:pPr>
      <w:r>
        <w:rPr>
          <w:rFonts w:hint="eastAsia" w:ascii="仿宋" w:hAnsi="仿宋" w:eastAsia="仿宋"/>
          <w:color w:val="auto"/>
          <w:szCs w:val="21"/>
        </w:rPr>
        <w:t>（4）评标方法及评标标准；</w:t>
      </w:r>
    </w:p>
    <w:p w14:paraId="5E9EFDF9">
      <w:pPr>
        <w:snapToGrid w:val="0"/>
        <w:spacing w:line="360" w:lineRule="auto"/>
        <w:ind w:firstLine="420"/>
        <w:jc w:val="left"/>
        <w:rPr>
          <w:rFonts w:ascii="仿宋" w:hAnsi="仿宋" w:eastAsia="仿宋"/>
          <w:color w:val="auto"/>
          <w:szCs w:val="21"/>
        </w:rPr>
      </w:pPr>
      <w:r>
        <w:rPr>
          <w:rFonts w:hint="eastAsia" w:ascii="仿宋" w:hAnsi="仿宋" w:eastAsia="仿宋"/>
          <w:color w:val="auto"/>
          <w:szCs w:val="21"/>
        </w:rPr>
        <w:t>（5）拟签订的合同文本；</w:t>
      </w:r>
    </w:p>
    <w:p w14:paraId="79C80806">
      <w:pPr>
        <w:snapToGrid w:val="0"/>
        <w:spacing w:line="360" w:lineRule="auto"/>
        <w:ind w:firstLine="420"/>
        <w:jc w:val="left"/>
        <w:rPr>
          <w:rFonts w:ascii="仿宋" w:hAnsi="仿宋" w:eastAsia="仿宋"/>
          <w:color w:val="auto"/>
          <w:szCs w:val="21"/>
        </w:rPr>
      </w:pPr>
      <w:r>
        <w:rPr>
          <w:rFonts w:hint="eastAsia" w:ascii="仿宋" w:hAnsi="仿宋" w:eastAsia="仿宋"/>
          <w:color w:val="auto"/>
          <w:szCs w:val="21"/>
        </w:rPr>
        <w:t>（6）投标文件格式。</w:t>
      </w:r>
    </w:p>
    <w:p w14:paraId="039B0F58">
      <w:pPr>
        <w:pStyle w:val="7"/>
        <w:keepNext w:val="0"/>
        <w:keepLines w:val="0"/>
        <w:spacing w:before="0" w:after="0" w:line="360" w:lineRule="auto"/>
        <w:ind w:left="420" w:leftChars="200"/>
        <w:rPr>
          <w:rFonts w:ascii="仿宋" w:hAnsi="仿宋" w:eastAsia="仿宋"/>
          <w:color w:val="auto"/>
          <w:sz w:val="24"/>
        </w:rPr>
      </w:pPr>
      <w:r>
        <w:rPr>
          <w:rFonts w:hint="eastAsia" w:ascii="仿宋" w:hAnsi="仿宋" w:eastAsia="仿宋"/>
          <w:color w:val="auto"/>
          <w:sz w:val="24"/>
        </w:rPr>
        <w:t>11.招标文件的澄清、修改 、现场考察和答疑会</w:t>
      </w:r>
    </w:p>
    <w:p w14:paraId="3CBD5B23">
      <w:pPr>
        <w:pStyle w:val="7"/>
        <w:keepNext w:val="0"/>
        <w:keepLines w:val="0"/>
        <w:spacing w:before="0" w:after="0" w:line="360" w:lineRule="auto"/>
        <w:ind w:firstLine="315" w:firstLineChars="150"/>
        <w:rPr>
          <w:rFonts w:ascii="仿宋" w:hAnsi="仿宋" w:eastAsia="仿宋"/>
          <w:b w:val="0"/>
          <w:color w:val="auto"/>
          <w:sz w:val="21"/>
          <w:szCs w:val="21"/>
        </w:rPr>
      </w:pPr>
      <w:r>
        <w:rPr>
          <w:rFonts w:hint="eastAsia" w:ascii="仿宋" w:hAnsi="仿宋" w:eastAsia="仿宋"/>
          <w:b w:val="0"/>
          <w:color w:val="auto"/>
          <w:sz w:val="21"/>
          <w:szCs w:val="21"/>
        </w:rPr>
        <w:t xml:space="preserve"> 11.1投标人应认真审阅本招标文件，如有疑问，或发现其中有误或有要求不合理的，应在招标公告公告期限届满之日起7个工作日内以纸质书面形式要求采购人或采购代理机构对招标文件予以澄清；否则，由此产生的后果由投标人自行负责。</w:t>
      </w:r>
    </w:p>
    <w:p w14:paraId="638B6DA7">
      <w:pPr>
        <w:pStyle w:val="7"/>
        <w:keepNext w:val="0"/>
        <w:keepLines w:val="0"/>
        <w:spacing w:before="0" w:after="0" w:line="360" w:lineRule="auto"/>
        <w:ind w:firstLine="420" w:firstLineChars="200"/>
        <w:rPr>
          <w:rFonts w:ascii="仿宋" w:hAnsi="仿宋" w:eastAsia="仿宋"/>
          <w:color w:val="auto"/>
        </w:rPr>
      </w:pPr>
      <w:r>
        <w:rPr>
          <w:rFonts w:hint="eastAsia" w:ascii="仿宋" w:hAnsi="仿宋" w:eastAsia="仿宋"/>
          <w:b w:val="0"/>
          <w:color w:val="auto"/>
          <w:sz w:val="21"/>
          <w:szCs w:val="21"/>
        </w:rPr>
        <w:t>11.2采购人或者采购代理机构可以对已发出的招标文件进行必要的澄清或者修改，但不得改变采购标的和资格条件。澄清或者修改将在原公告发布媒体上发布更正公告。澄清或者修改的内容为招标文件的组成部分。澄清或者修改的内容可能影响投标文件编制的，采购人或者采购代理机构应当在投标截止时间至少15日前，在原公告发布媒体上发布更正公告；不足15日的，采购人或者采购代理机构应当顺延提交投标文件的截止时间。</w:t>
      </w:r>
    </w:p>
    <w:p w14:paraId="51C9F65E">
      <w:pPr>
        <w:spacing w:line="360" w:lineRule="auto"/>
        <w:ind w:firstLine="420" w:firstLineChars="200"/>
        <w:rPr>
          <w:rFonts w:ascii="仿宋" w:hAnsi="仿宋" w:eastAsia="仿宋"/>
          <w:color w:val="auto"/>
          <w:szCs w:val="21"/>
        </w:rPr>
      </w:pPr>
      <w:r>
        <w:rPr>
          <w:rFonts w:hint="eastAsia" w:ascii="仿宋" w:hAnsi="仿宋" w:eastAsia="仿宋"/>
          <w:color w:val="auto"/>
        </w:rPr>
        <w:t>11.3采购人和采购代理机构可以视采购具体情况，变更投标截止时间和开标时间，并</w:t>
      </w:r>
      <w:r>
        <w:rPr>
          <w:rFonts w:hint="eastAsia" w:ascii="仿宋" w:hAnsi="仿宋" w:eastAsia="仿宋"/>
          <w:color w:val="auto"/>
          <w:szCs w:val="21"/>
        </w:rPr>
        <w:t>在原公告发布媒体上发布更正公告。</w:t>
      </w:r>
    </w:p>
    <w:p w14:paraId="24CF5A3B">
      <w:pPr>
        <w:spacing w:line="360" w:lineRule="auto"/>
        <w:ind w:firstLine="420" w:firstLineChars="200"/>
        <w:rPr>
          <w:rFonts w:ascii="仿宋" w:hAnsi="仿宋" w:eastAsia="仿宋"/>
          <w:color w:val="auto"/>
        </w:rPr>
      </w:pPr>
      <w:r>
        <w:rPr>
          <w:rFonts w:hint="eastAsia" w:ascii="仿宋" w:hAnsi="仿宋" w:eastAsia="仿宋"/>
          <w:color w:val="auto"/>
          <w:szCs w:val="21"/>
        </w:rPr>
        <w:t>11.4招标文件澄清、答复、修改、补充的内容为招标文件的组成部分。</w:t>
      </w:r>
      <w:r>
        <w:rPr>
          <w:rFonts w:hint="eastAsia" w:ascii="仿宋" w:hAnsi="仿宋" w:eastAsia="仿宋"/>
          <w:b/>
          <w:color w:val="auto"/>
          <w:szCs w:val="21"/>
        </w:rPr>
        <w:t>当招标文件与招标文件的澄清、答复、修改、补充通知就同一内容的表述不一致时，以最后发出的文件为准。</w:t>
      </w:r>
    </w:p>
    <w:p w14:paraId="03ED50EF">
      <w:pPr>
        <w:pStyle w:val="26"/>
        <w:snapToGrid w:val="0"/>
        <w:spacing w:line="360" w:lineRule="auto"/>
        <w:ind w:firstLine="420" w:firstLineChars="200"/>
        <w:rPr>
          <w:rFonts w:ascii="仿宋" w:hAnsi="仿宋" w:eastAsia="仿宋"/>
          <w:color w:val="auto"/>
          <w:sz w:val="21"/>
        </w:rPr>
      </w:pPr>
      <w:r>
        <w:rPr>
          <w:rFonts w:hint="eastAsia" w:ascii="仿宋" w:hAnsi="仿宋" w:eastAsia="仿宋"/>
          <w:color w:val="auto"/>
          <w:sz w:val="21"/>
        </w:rPr>
        <w:t>1</w:t>
      </w:r>
      <w:r>
        <w:rPr>
          <w:rFonts w:ascii="仿宋" w:hAnsi="仿宋" w:eastAsia="仿宋"/>
          <w:color w:val="auto"/>
          <w:sz w:val="21"/>
        </w:rPr>
        <w:t>1.</w:t>
      </w:r>
      <w:bookmarkStart w:id="91" w:name="_Hlk53134511"/>
      <w:r>
        <w:rPr>
          <w:rFonts w:hint="eastAsia" w:ascii="仿宋" w:hAnsi="仿宋" w:eastAsia="仿宋"/>
          <w:color w:val="auto"/>
          <w:sz w:val="21"/>
        </w:rPr>
        <w:t>5采购人或者采购代理机构可以在招标文件提供期限截止后，组织已获取招标文件的潜在投标人现场考察或者召开开标前答疑会，具体详见“投标人须知前附表”。</w:t>
      </w:r>
    </w:p>
    <w:p w14:paraId="7D5FE2D3">
      <w:pPr>
        <w:pStyle w:val="26"/>
        <w:snapToGrid w:val="0"/>
        <w:spacing w:line="360" w:lineRule="auto"/>
        <w:ind w:firstLine="420" w:firstLineChars="200"/>
        <w:rPr>
          <w:rFonts w:ascii="仿宋" w:hAnsi="仿宋" w:eastAsia="仿宋"/>
          <w:color w:val="auto"/>
          <w:sz w:val="21"/>
        </w:rPr>
      </w:pPr>
    </w:p>
    <w:bookmarkEnd w:id="91"/>
    <w:p w14:paraId="021D6F7B">
      <w:pPr>
        <w:pStyle w:val="5"/>
        <w:keepNext w:val="0"/>
        <w:keepLines w:val="0"/>
        <w:jc w:val="center"/>
        <w:rPr>
          <w:rFonts w:ascii="仿宋" w:hAnsi="仿宋" w:eastAsia="仿宋"/>
          <w:color w:val="auto"/>
        </w:rPr>
      </w:pPr>
      <w:bookmarkStart w:id="92" w:name="_Toc254970676"/>
      <w:bookmarkStart w:id="93" w:name="_Toc254970535"/>
      <w:r>
        <w:rPr>
          <w:rFonts w:hint="eastAsia" w:ascii="仿宋" w:hAnsi="仿宋" w:eastAsia="仿宋"/>
          <w:color w:val="auto"/>
        </w:rPr>
        <w:t>三、投标文件的编制</w:t>
      </w:r>
      <w:bookmarkEnd w:id="92"/>
      <w:bookmarkEnd w:id="93"/>
    </w:p>
    <w:p w14:paraId="30D4776B">
      <w:pPr>
        <w:pStyle w:val="7"/>
        <w:keepNext w:val="0"/>
        <w:keepLines w:val="0"/>
        <w:spacing w:before="0" w:after="0" w:line="360" w:lineRule="auto"/>
        <w:ind w:left="420" w:leftChars="200"/>
        <w:rPr>
          <w:rFonts w:ascii="仿宋" w:hAnsi="仿宋" w:eastAsia="仿宋"/>
          <w:color w:val="auto"/>
          <w:sz w:val="24"/>
        </w:rPr>
      </w:pPr>
      <w:bookmarkStart w:id="94" w:name="_Toc254970677"/>
      <w:bookmarkStart w:id="95" w:name="_Toc254970536"/>
      <w:r>
        <w:rPr>
          <w:rFonts w:hint="eastAsia" w:ascii="仿宋" w:hAnsi="仿宋" w:eastAsia="仿宋"/>
          <w:color w:val="auto"/>
          <w:sz w:val="24"/>
        </w:rPr>
        <w:t>12.投标文件的编制原则</w:t>
      </w:r>
    </w:p>
    <w:p w14:paraId="3DF0F6FD">
      <w:pPr>
        <w:snapToGrid w:val="0"/>
        <w:spacing w:line="360" w:lineRule="auto"/>
        <w:ind w:firstLine="420"/>
        <w:jc w:val="left"/>
        <w:rPr>
          <w:rFonts w:ascii="仿宋" w:hAnsi="仿宋" w:eastAsia="仿宋" w:cs="Courier New"/>
          <w:color w:val="auto"/>
          <w:szCs w:val="21"/>
        </w:rPr>
      </w:pPr>
      <w:r>
        <w:rPr>
          <w:rFonts w:ascii="仿宋" w:hAnsi="仿宋" w:eastAsia="仿宋"/>
          <w:color w:val="auto"/>
          <w:szCs w:val="21"/>
        </w:rPr>
        <w:t>投标人必须按照招标文件的要求编制投标文件。投标文件必须对招标文件提出的要求和条件作出明确响应。</w:t>
      </w:r>
    </w:p>
    <w:p w14:paraId="3DA8E630">
      <w:pPr>
        <w:pStyle w:val="7"/>
        <w:keepNext w:val="0"/>
        <w:keepLines w:val="0"/>
        <w:spacing w:before="0" w:after="0" w:line="360" w:lineRule="auto"/>
        <w:ind w:left="420" w:leftChars="200"/>
        <w:rPr>
          <w:rFonts w:ascii="仿宋" w:hAnsi="仿宋" w:eastAsia="仿宋"/>
          <w:color w:val="auto"/>
          <w:sz w:val="24"/>
        </w:rPr>
      </w:pPr>
      <w:r>
        <w:rPr>
          <w:rFonts w:hint="eastAsia" w:ascii="仿宋" w:hAnsi="仿宋" w:eastAsia="仿宋"/>
          <w:color w:val="auto"/>
          <w:sz w:val="24"/>
        </w:rPr>
        <w:t>13.投标文件的组成</w:t>
      </w:r>
      <w:bookmarkEnd w:id="94"/>
      <w:bookmarkEnd w:id="95"/>
    </w:p>
    <w:p w14:paraId="503878B3">
      <w:pPr>
        <w:snapToGrid w:val="0"/>
        <w:spacing w:line="360" w:lineRule="auto"/>
        <w:ind w:firstLine="420" w:firstLineChars="200"/>
        <w:jc w:val="left"/>
        <w:rPr>
          <w:rFonts w:ascii="仿宋" w:hAnsi="仿宋" w:eastAsia="仿宋"/>
          <w:color w:val="auto"/>
          <w:szCs w:val="21"/>
        </w:rPr>
      </w:pPr>
      <w:r>
        <w:rPr>
          <w:rFonts w:hint="eastAsia" w:ascii="仿宋" w:hAnsi="仿宋" w:eastAsia="仿宋"/>
          <w:color w:val="auto"/>
          <w:szCs w:val="21"/>
        </w:rPr>
        <w:t>1</w:t>
      </w:r>
      <w:r>
        <w:rPr>
          <w:rFonts w:ascii="仿宋" w:hAnsi="仿宋" w:eastAsia="仿宋"/>
          <w:color w:val="auto"/>
          <w:szCs w:val="21"/>
        </w:rPr>
        <w:t>3.1</w:t>
      </w:r>
      <w:r>
        <w:rPr>
          <w:rFonts w:hint="eastAsia" w:ascii="仿宋" w:hAnsi="仿宋" w:eastAsia="仿宋"/>
          <w:color w:val="auto"/>
          <w:szCs w:val="21"/>
        </w:rPr>
        <w:t>投标文件由报价文件、资格证明文件、商务文件、技术文件四部分组成。</w:t>
      </w:r>
    </w:p>
    <w:p w14:paraId="42E97114">
      <w:pPr>
        <w:pStyle w:val="7"/>
        <w:keepNext w:val="0"/>
        <w:keepLines w:val="0"/>
        <w:spacing w:before="0" w:after="0" w:line="360" w:lineRule="auto"/>
        <w:ind w:left="420" w:leftChars="200"/>
        <w:rPr>
          <w:rFonts w:ascii="仿宋" w:hAnsi="仿宋" w:eastAsia="仿宋"/>
          <w:b w:val="0"/>
          <w:color w:val="auto"/>
          <w:sz w:val="21"/>
          <w:szCs w:val="21"/>
        </w:rPr>
      </w:pPr>
      <w:bookmarkStart w:id="96" w:name="_13.1报价文件:_具体材料见“投标人须知前附表”。"/>
      <w:bookmarkEnd w:id="96"/>
      <w:r>
        <w:rPr>
          <w:rFonts w:hint="eastAsia" w:ascii="仿宋" w:hAnsi="仿宋" w:eastAsia="仿宋"/>
          <w:b w:val="0"/>
          <w:color w:val="auto"/>
          <w:sz w:val="21"/>
          <w:szCs w:val="21"/>
        </w:rPr>
        <w:t>（1）报价文件：</w:t>
      </w:r>
      <w:r>
        <w:rPr>
          <w:rFonts w:ascii="仿宋" w:hAnsi="仿宋" w:eastAsia="仿宋"/>
          <w:b w:val="0"/>
          <w:color w:val="auto"/>
          <w:sz w:val="21"/>
          <w:szCs w:val="21"/>
        </w:rPr>
        <w:t xml:space="preserve"> 具体材料见“投标人须知前附表”</w:t>
      </w:r>
      <w:r>
        <w:rPr>
          <w:rFonts w:hint="eastAsia" w:ascii="仿宋" w:hAnsi="仿宋" w:eastAsia="仿宋"/>
          <w:b w:val="0"/>
          <w:color w:val="auto"/>
          <w:sz w:val="21"/>
          <w:szCs w:val="21"/>
        </w:rPr>
        <w:t>。</w:t>
      </w:r>
    </w:p>
    <w:p w14:paraId="08FC2FAE">
      <w:pPr>
        <w:pStyle w:val="7"/>
        <w:keepNext w:val="0"/>
        <w:keepLines w:val="0"/>
        <w:spacing w:before="0" w:after="0" w:line="360" w:lineRule="auto"/>
        <w:ind w:left="420" w:leftChars="200"/>
        <w:rPr>
          <w:rFonts w:ascii="仿宋" w:hAnsi="仿宋" w:eastAsia="仿宋"/>
          <w:b w:val="0"/>
          <w:color w:val="auto"/>
          <w:sz w:val="21"/>
          <w:szCs w:val="21"/>
        </w:rPr>
      </w:pPr>
      <w:bookmarkStart w:id="97" w:name="_13.2资格证明文件：具体材料见“投标人须知前附表”。"/>
      <w:bookmarkEnd w:id="97"/>
      <w:r>
        <w:rPr>
          <w:rFonts w:hint="eastAsia" w:ascii="仿宋" w:hAnsi="仿宋" w:eastAsia="仿宋"/>
          <w:b w:val="0"/>
          <w:color w:val="auto"/>
          <w:sz w:val="21"/>
          <w:szCs w:val="21"/>
        </w:rPr>
        <w:t>（</w:t>
      </w:r>
      <w:r>
        <w:rPr>
          <w:rFonts w:ascii="仿宋" w:hAnsi="仿宋" w:eastAsia="仿宋"/>
          <w:b w:val="0"/>
          <w:color w:val="auto"/>
          <w:sz w:val="21"/>
          <w:szCs w:val="21"/>
        </w:rPr>
        <w:t>2</w:t>
      </w:r>
      <w:r>
        <w:rPr>
          <w:rFonts w:hint="eastAsia" w:ascii="仿宋" w:hAnsi="仿宋" w:eastAsia="仿宋"/>
          <w:b w:val="0"/>
          <w:color w:val="auto"/>
          <w:sz w:val="21"/>
          <w:szCs w:val="21"/>
        </w:rPr>
        <w:t>）资格证明文件：</w:t>
      </w:r>
      <w:r>
        <w:rPr>
          <w:rFonts w:ascii="仿宋" w:hAnsi="仿宋" w:eastAsia="仿宋"/>
          <w:b w:val="0"/>
          <w:color w:val="auto"/>
          <w:sz w:val="21"/>
          <w:szCs w:val="21"/>
        </w:rPr>
        <w:t>具体材料见“投标人须知前附表”</w:t>
      </w:r>
      <w:r>
        <w:rPr>
          <w:rFonts w:hint="eastAsia" w:ascii="仿宋" w:hAnsi="仿宋" w:eastAsia="仿宋"/>
          <w:b w:val="0"/>
          <w:color w:val="auto"/>
          <w:sz w:val="21"/>
          <w:szCs w:val="21"/>
        </w:rPr>
        <w:t>。</w:t>
      </w:r>
    </w:p>
    <w:p w14:paraId="67FC3531">
      <w:pPr>
        <w:pStyle w:val="7"/>
        <w:keepNext w:val="0"/>
        <w:keepLines w:val="0"/>
        <w:spacing w:before="0" w:after="0" w:line="360" w:lineRule="auto"/>
        <w:ind w:left="420" w:leftChars="200"/>
        <w:rPr>
          <w:rFonts w:ascii="仿宋" w:hAnsi="仿宋" w:eastAsia="仿宋"/>
          <w:b w:val="0"/>
          <w:color w:val="auto"/>
          <w:sz w:val="21"/>
          <w:szCs w:val="21"/>
        </w:rPr>
      </w:pPr>
      <w:bookmarkStart w:id="98" w:name="_13.3商务文件:_具体材料见“投标人须知前附表”。"/>
      <w:bookmarkEnd w:id="98"/>
      <w:r>
        <w:rPr>
          <w:rFonts w:hint="eastAsia" w:ascii="仿宋" w:hAnsi="仿宋" w:eastAsia="仿宋"/>
          <w:b w:val="0"/>
          <w:color w:val="auto"/>
          <w:sz w:val="21"/>
          <w:szCs w:val="21"/>
        </w:rPr>
        <w:t>（</w:t>
      </w:r>
      <w:r>
        <w:rPr>
          <w:rFonts w:ascii="仿宋" w:hAnsi="仿宋" w:eastAsia="仿宋"/>
          <w:b w:val="0"/>
          <w:color w:val="auto"/>
          <w:sz w:val="21"/>
          <w:szCs w:val="21"/>
        </w:rPr>
        <w:t>3</w:t>
      </w:r>
      <w:r>
        <w:rPr>
          <w:rFonts w:hint="eastAsia" w:ascii="仿宋" w:hAnsi="仿宋" w:eastAsia="仿宋"/>
          <w:b w:val="0"/>
          <w:color w:val="auto"/>
          <w:sz w:val="21"/>
          <w:szCs w:val="21"/>
        </w:rPr>
        <w:t>）商务文件：</w:t>
      </w:r>
      <w:r>
        <w:rPr>
          <w:rFonts w:ascii="仿宋" w:hAnsi="仿宋" w:eastAsia="仿宋"/>
          <w:b w:val="0"/>
          <w:color w:val="auto"/>
          <w:sz w:val="21"/>
          <w:szCs w:val="21"/>
        </w:rPr>
        <w:t>具体材料见“投标人须知前附表”</w:t>
      </w:r>
      <w:r>
        <w:rPr>
          <w:rFonts w:hint="eastAsia" w:ascii="仿宋" w:hAnsi="仿宋" w:eastAsia="仿宋"/>
          <w:b w:val="0"/>
          <w:color w:val="auto"/>
          <w:sz w:val="21"/>
          <w:szCs w:val="21"/>
        </w:rPr>
        <w:t>。</w:t>
      </w:r>
    </w:p>
    <w:p w14:paraId="0D9786C1">
      <w:pPr>
        <w:pStyle w:val="7"/>
        <w:keepNext w:val="0"/>
        <w:keepLines w:val="0"/>
        <w:spacing w:before="0" w:after="0" w:line="360" w:lineRule="auto"/>
        <w:ind w:left="420" w:leftChars="200"/>
        <w:rPr>
          <w:rFonts w:ascii="仿宋" w:hAnsi="仿宋" w:eastAsia="仿宋"/>
          <w:b w:val="0"/>
          <w:color w:val="auto"/>
          <w:sz w:val="21"/>
          <w:szCs w:val="21"/>
        </w:rPr>
      </w:pPr>
      <w:bookmarkStart w:id="99" w:name="_13.4技术文件：具体材料见“投标人须知前附表”。"/>
      <w:bookmarkEnd w:id="99"/>
      <w:r>
        <w:rPr>
          <w:rFonts w:hint="eastAsia" w:ascii="仿宋" w:hAnsi="仿宋" w:eastAsia="仿宋"/>
          <w:b w:val="0"/>
          <w:color w:val="auto"/>
          <w:sz w:val="21"/>
          <w:szCs w:val="21"/>
        </w:rPr>
        <w:t>（</w:t>
      </w:r>
      <w:r>
        <w:rPr>
          <w:rFonts w:ascii="仿宋" w:hAnsi="仿宋" w:eastAsia="仿宋"/>
          <w:b w:val="0"/>
          <w:color w:val="auto"/>
          <w:sz w:val="21"/>
          <w:szCs w:val="21"/>
        </w:rPr>
        <w:t>4</w:t>
      </w:r>
      <w:r>
        <w:rPr>
          <w:rFonts w:hint="eastAsia" w:ascii="仿宋" w:hAnsi="仿宋" w:eastAsia="仿宋"/>
          <w:b w:val="0"/>
          <w:color w:val="auto"/>
          <w:sz w:val="21"/>
          <w:szCs w:val="21"/>
        </w:rPr>
        <w:t>）技术文件：</w:t>
      </w:r>
      <w:r>
        <w:rPr>
          <w:rFonts w:ascii="仿宋" w:hAnsi="仿宋" w:eastAsia="仿宋"/>
          <w:b w:val="0"/>
          <w:color w:val="auto"/>
          <w:sz w:val="21"/>
          <w:szCs w:val="21"/>
        </w:rPr>
        <w:t>具体材料见“投标人须知前附表”</w:t>
      </w:r>
      <w:r>
        <w:rPr>
          <w:rFonts w:hint="eastAsia" w:ascii="仿宋" w:hAnsi="仿宋" w:eastAsia="仿宋"/>
          <w:b w:val="0"/>
          <w:color w:val="auto"/>
          <w:sz w:val="21"/>
          <w:szCs w:val="21"/>
        </w:rPr>
        <w:t>。</w:t>
      </w:r>
      <w:bookmarkStart w:id="100" w:name="_13.5投标文件电子版：具体材料见“投标人须知前附表”。"/>
      <w:bookmarkEnd w:id="100"/>
    </w:p>
    <w:p w14:paraId="7287651D">
      <w:pPr>
        <w:pStyle w:val="7"/>
        <w:keepNext w:val="0"/>
        <w:keepLines w:val="0"/>
        <w:spacing w:before="0" w:after="0" w:line="360" w:lineRule="auto"/>
        <w:ind w:left="420" w:leftChars="200"/>
        <w:rPr>
          <w:rFonts w:ascii="仿宋" w:hAnsi="仿宋" w:eastAsia="仿宋"/>
          <w:color w:val="auto"/>
          <w:sz w:val="24"/>
        </w:rPr>
      </w:pPr>
      <w:bookmarkStart w:id="101" w:name="_Toc254970537"/>
      <w:bookmarkStart w:id="102" w:name="_Toc254970678"/>
      <w:r>
        <w:rPr>
          <w:rFonts w:hint="eastAsia" w:ascii="仿宋" w:hAnsi="仿宋" w:eastAsia="仿宋"/>
          <w:color w:val="auto"/>
          <w:sz w:val="24"/>
        </w:rPr>
        <w:t>14.投标文件的语言及计量</w:t>
      </w:r>
      <w:bookmarkEnd w:id="101"/>
      <w:bookmarkEnd w:id="102"/>
    </w:p>
    <w:p w14:paraId="3FD57A98">
      <w:pPr>
        <w:pStyle w:val="7"/>
        <w:keepNext w:val="0"/>
        <w:keepLines w:val="0"/>
        <w:spacing w:before="0" w:after="0" w:line="360" w:lineRule="auto"/>
        <w:ind w:left="420" w:leftChars="200"/>
        <w:rPr>
          <w:rFonts w:ascii="仿宋" w:hAnsi="仿宋" w:eastAsia="仿宋"/>
          <w:b w:val="0"/>
          <w:color w:val="auto"/>
          <w:sz w:val="21"/>
          <w:szCs w:val="21"/>
        </w:rPr>
      </w:pPr>
      <w:r>
        <w:rPr>
          <w:rFonts w:hint="eastAsia" w:ascii="仿宋" w:hAnsi="仿宋" w:eastAsia="仿宋"/>
          <w:b w:val="0"/>
          <w:color w:val="auto"/>
          <w:sz w:val="21"/>
          <w:szCs w:val="21"/>
        </w:rPr>
        <w:t>14.1语言文字</w:t>
      </w:r>
    </w:p>
    <w:p w14:paraId="5C677F90">
      <w:pPr>
        <w:pStyle w:val="7"/>
        <w:keepNext w:val="0"/>
        <w:keepLines w:val="0"/>
        <w:spacing w:before="0" w:after="0" w:line="360" w:lineRule="auto"/>
        <w:ind w:firstLine="420" w:firstLineChars="200"/>
        <w:rPr>
          <w:rFonts w:ascii="仿宋" w:hAnsi="仿宋" w:eastAsia="仿宋"/>
          <w:b w:val="0"/>
          <w:color w:val="auto"/>
          <w:sz w:val="21"/>
          <w:szCs w:val="21"/>
        </w:rPr>
      </w:pPr>
      <w:r>
        <w:rPr>
          <w:rFonts w:hint="eastAsia" w:ascii="仿宋" w:hAnsi="仿宋" w:eastAsia="仿宋"/>
          <w:b w:val="0"/>
          <w:color w:val="auto"/>
          <w:sz w:val="21"/>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454CF105">
      <w:pPr>
        <w:pStyle w:val="7"/>
        <w:keepNext w:val="0"/>
        <w:keepLines w:val="0"/>
        <w:spacing w:before="0" w:after="0" w:line="360" w:lineRule="auto"/>
        <w:ind w:firstLine="420" w:firstLineChars="200"/>
        <w:rPr>
          <w:rFonts w:ascii="仿宋" w:hAnsi="仿宋" w:eastAsia="仿宋"/>
          <w:b w:val="0"/>
          <w:color w:val="auto"/>
          <w:sz w:val="21"/>
          <w:szCs w:val="21"/>
        </w:rPr>
      </w:pPr>
      <w:r>
        <w:rPr>
          <w:rFonts w:hint="eastAsia" w:ascii="仿宋" w:hAnsi="仿宋" w:eastAsia="仿宋"/>
          <w:b w:val="0"/>
          <w:color w:val="auto"/>
          <w:sz w:val="21"/>
          <w:szCs w:val="21"/>
        </w:rPr>
        <w:t>14.2投标计量单位</w:t>
      </w:r>
    </w:p>
    <w:p w14:paraId="2254AA63">
      <w:pPr>
        <w:pStyle w:val="7"/>
        <w:keepNext w:val="0"/>
        <w:keepLines w:val="0"/>
        <w:spacing w:before="0" w:after="0" w:line="360" w:lineRule="auto"/>
        <w:ind w:firstLine="420" w:firstLineChars="200"/>
        <w:rPr>
          <w:rFonts w:ascii="仿宋" w:hAnsi="仿宋" w:eastAsia="仿宋"/>
          <w:b w:val="0"/>
          <w:color w:val="auto"/>
          <w:sz w:val="21"/>
          <w:szCs w:val="21"/>
        </w:rPr>
      </w:pPr>
      <w:r>
        <w:rPr>
          <w:rFonts w:hint="eastAsia" w:ascii="仿宋" w:hAnsi="仿宋" w:eastAsia="仿宋"/>
          <w:b w:val="0"/>
          <w:color w:val="auto"/>
          <w:sz w:val="21"/>
          <w:szCs w:val="21"/>
        </w:rPr>
        <w:t>招标文件已有明确规定的，使用招标文件规定的计量单位；招标文件没有规定的，应采用中华人民共和国法定计量单位，货币种类为人民币，否则视同未响应。</w:t>
      </w:r>
    </w:p>
    <w:p w14:paraId="477930CF">
      <w:pPr>
        <w:pStyle w:val="7"/>
        <w:keepNext w:val="0"/>
        <w:keepLines w:val="0"/>
        <w:spacing w:before="0" w:after="0" w:line="360" w:lineRule="auto"/>
        <w:ind w:left="420" w:leftChars="200"/>
        <w:rPr>
          <w:rFonts w:ascii="仿宋" w:hAnsi="仿宋" w:eastAsia="仿宋"/>
          <w:color w:val="auto"/>
          <w:sz w:val="24"/>
        </w:rPr>
      </w:pPr>
      <w:r>
        <w:rPr>
          <w:rFonts w:hint="eastAsia" w:ascii="仿宋" w:hAnsi="仿宋" w:eastAsia="仿宋"/>
          <w:color w:val="auto"/>
          <w:sz w:val="24"/>
        </w:rPr>
        <w:t>15.投标的风险</w:t>
      </w:r>
    </w:p>
    <w:p w14:paraId="7B15DA42">
      <w:pPr>
        <w:pStyle w:val="26"/>
        <w:snapToGrid w:val="0"/>
        <w:spacing w:line="360" w:lineRule="auto"/>
        <w:ind w:firstLine="420" w:firstLineChars="200"/>
        <w:jc w:val="left"/>
        <w:rPr>
          <w:rFonts w:ascii="仿宋" w:hAnsi="仿宋" w:eastAsia="仿宋"/>
          <w:color w:val="auto"/>
          <w:sz w:val="21"/>
        </w:rPr>
      </w:pPr>
      <w:r>
        <w:rPr>
          <w:rFonts w:hint="eastAsia" w:ascii="仿宋" w:hAnsi="仿宋" w:eastAsia="仿宋"/>
          <w:color w:val="auto"/>
          <w:sz w:val="21"/>
        </w:rPr>
        <w:t>投标人没有按照招标文件要求提供全部资料，或者投标人没有对招标文件作出实质性响应是投标人的风险，并可能导致其投标被拒绝。</w:t>
      </w:r>
    </w:p>
    <w:p w14:paraId="38C41016">
      <w:pPr>
        <w:pStyle w:val="7"/>
        <w:keepNext w:val="0"/>
        <w:keepLines w:val="0"/>
        <w:spacing w:before="0" w:after="0" w:line="360" w:lineRule="auto"/>
        <w:ind w:left="420" w:leftChars="200"/>
        <w:rPr>
          <w:rFonts w:ascii="仿宋" w:hAnsi="仿宋" w:eastAsia="仿宋"/>
          <w:color w:val="auto"/>
          <w:sz w:val="24"/>
        </w:rPr>
      </w:pPr>
      <w:bookmarkStart w:id="103" w:name="_Toc254970538"/>
      <w:bookmarkStart w:id="104" w:name="_Toc254970679"/>
      <w:r>
        <w:rPr>
          <w:rFonts w:hint="eastAsia" w:ascii="仿宋" w:hAnsi="仿宋" w:eastAsia="仿宋"/>
          <w:color w:val="auto"/>
          <w:sz w:val="24"/>
        </w:rPr>
        <w:t>16.投标报价</w:t>
      </w:r>
      <w:bookmarkEnd w:id="103"/>
      <w:bookmarkEnd w:id="104"/>
    </w:p>
    <w:p w14:paraId="0F2601DF">
      <w:pPr>
        <w:pStyle w:val="7"/>
        <w:keepNext w:val="0"/>
        <w:keepLines w:val="0"/>
        <w:spacing w:before="0" w:after="0" w:line="360" w:lineRule="auto"/>
        <w:ind w:left="420" w:leftChars="200"/>
        <w:rPr>
          <w:rFonts w:ascii="仿宋" w:hAnsi="仿宋" w:eastAsia="仿宋"/>
          <w:b w:val="0"/>
          <w:color w:val="auto"/>
          <w:sz w:val="21"/>
          <w:szCs w:val="21"/>
        </w:rPr>
      </w:pPr>
      <w:r>
        <w:rPr>
          <w:rFonts w:hint="eastAsia" w:ascii="仿宋" w:hAnsi="仿宋" w:eastAsia="仿宋"/>
          <w:b w:val="0"/>
          <w:color w:val="auto"/>
          <w:sz w:val="21"/>
          <w:szCs w:val="21"/>
        </w:rPr>
        <w:t>16.1投标报价应按“第六章　投标文件格式”中“开标一览表”格式填写。</w:t>
      </w:r>
    </w:p>
    <w:p w14:paraId="110C3DA4">
      <w:pPr>
        <w:pStyle w:val="7"/>
        <w:keepNext w:val="0"/>
        <w:keepLines w:val="0"/>
        <w:spacing w:before="0" w:after="0" w:line="360" w:lineRule="auto"/>
        <w:ind w:left="420" w:leftChars="200"/>
        <w:rPr>
          <w:rFonts w:ascii="仿宋" w:hAnsi="仿宋" w:eastAsia="仿宋"/>
          <w:b w:val="0"/>
          <w:color w:val="auto"/>
          <w:sz w:val="21"/>
          <w:szCs w:val="21"/>
        </w:rPr>
      </w:pPr>
      <w:bookmarkStart w:id="105" w:name="_16.2投标报价具体定义见投标人须知前附表。"/>
      <w:bookmarkEnd w:id="105"/>
      <w:r>
        <w:rPr>
          <w:rFonts w:hint="eastAsia" w:ascii="仿宋" w:hAnsi="仿宋" w:eastAsia="仿宋"/>
          <w:b w:val="0"/>
          <w:color w:val="auto"/>
          <w:sz w:val="21"/>
          <w:szCs w:val="21"/>
        </w:rPr>
        <w:t>16.2投标报价具体包括内容详见“投标人须知前附表”。</w:t>
      </w:r>
    </w:p>
    <w:p w14:paraId="7502F6B0">
      <w:pPr>
        <w:pStyle w:val="7"/>
        <w:keepNext w:val="0"/>
        <w:keepLines w:val="0"/>
        <w:spacing w:before="0" w:after="0" w:line="360" w:lineRule="auto"/>
        <w:ind w:firstLine="420" w:firstLineChars="200"/>
        <w:rPr>
          <w:rFonts w:ascii="仿宋" w:hAnsi="仿宋" w:eastAsia="仿宋"/>
          <w:b w:val="0"/>
          <w:color w:val="auto"/>
          <w:sz w:val="21"/>
          <w:szCs w:val="21"/>
        </w:rPr>
      </w:pPr>
      <w:r>
        <w:rPr>
          <w:rFonts w:hint="eastAsia" w:ascii="仿宋" w:hAnsi="仿宋" w:eastAsia="仿宋"/>
          <w:b w:val="0"/>
          <w:color w:val="auto"/>
          <w:sz w:val="21"/>
          <w:szCs w:val="21"/>
        </w:rPr>
        <w:t>16.3投标人必须就所投每个分标的全部内容分别作完整唯一总价报价，不得存在漏项报价；投标人必须就所投分标的单项内容作唯一报价。</w:t>
      </w:r>
    </w:p>
    <w:p w14:paraId="7558A58B">
      <w:pPr>
        <w:pStyle w:val="7"/>
        <w:keepNext w:val="0"/>
        <w:keepLines w:val="0"/>
        <w:spacing w:before="0" w:after="0" w:line="360" w:lineRule="auto"/>
        <w:ind w:left="420" w:leftChars="200"/>
        <w:rPr>
          <w:rFonts w:ascii="仿宋" w:hAnsi="仿宋" w:eastAsia="仿宋"/>
          <w:color w:val="auto"/>
          <w:sz w:val="24"/>
        </w:rPr>
      </w:pPr>
      <w:r>
        <w:rPr>
          <w:rFonts w:hint="eastAsia" w:ascii="仿宋" w:hAnsi="仿宋" w:eastAsia="仿宋"/>
          <w:color w:val="auto"/>
          <w:sz w:val="24"/>
        </w:rPr>
        <w:t>17.投标有效期</w:t>
      </w:r>
    </w:p>
    <w:p w14:paraId="072862B8">
      <w:pPr>
        <w:pStyle w:val="7"/>
        <w:keepNext w:val="0"/>
        <w:keepLines w:val="0"/>
        <w:spacing w:before="0" w:after="0" w:line="360" w:lineRule="auto"/>
        <w:ind w:firstLine="420" w:firstLineChars="200"/>
        <w:rPr>
          <w:rFonts w:ascii="仿宋" w:hAnsi="仿宋" w:eastAsia="仿宋"/>
          <w:b w:val="0"/>
          <w:color w:val="auto"/>
          <w:sz w:val="21"/>
          <w:szCs w:val="21"/>
        </w:rPr>
      </w:pPr>
      <w:bookmarkStart w:id="106" w:name="_17.1投标有效期应按“投标人须知中的前附表”规定的期限。"/>
      <w:bookmarkEnd w:id="106"/>
      <w:r>
        <w:rPr>
          <w:rFonts w:hint="eastAsia" w:ascii="仿宋" w:hAnsi="仿宋" w:eastAsia="仿宋"/>
          <w:b w:val="0"/>
          <w:color w:val="auto"/>
          <w:sz w:val="21"/>
          <w:szCs w:val="21"/>
        </w:rPr>
        <w:t>17.1投标有效期是指为保证采购人有足够的时间在开标后完成评标、定标、合同签订等工作而要求投标人提交的投标文件在一定时间内保持有效的期限。</w:t>
      </w:r>
    </w:p>
    <w:p w14:paraId="1E46E14F">
      <w:pPr>
        <w:pStyle w:val="7"/>
        <w:keepNext w:val="0"/>
        <w:keepLines w:val="0"/>
        <w:spacing w:before="0" w:after="0" w:line="360" w:lineRule="auto"/>
        <w:ind w:left="420" w:leftChars="200"/>
        <w:rPr>
          <w:rFonts w:ascii="仿宋" w:hAnsi="仿宋" w:eastAsia="仿宋"/>
          <w:b w:val="0"/>
          <w:color w:val="auto"/>
          <w:sz w:val="21"/>
          <w:szCs w:val="21"/>
        </w:rPr>
      </w:pPr>
      <w:r>
        <w:rPr>
          <w:rFonts w:hint="eastAsia" w:ascii="仿宋" w:hAnsi="仿宋" w:eastAsia="仿宋"/>
          <w:b w:val="0"/>
          <w:color w:val="auto"/>
          <w:sz w:val="21"/>
          <w:szCs w:val="21"/>
        </w:rPr>
        <w:t>17.2</w:t>
      </w:r>
      <w:bookmarkStart w:id="107" w:name="_Toc254970540"/>
      <w:bookmarkStart w:id="108" w:name="_Toc254970681"/>
      <w:r>
        <w:rPr>
          <w:rFonts w:hint="eastAsia" w:ascii="仿宋" w:hAnsi="仿宋" w:eastAsia="仿宋"/>
          <w:b w:val="0"/>
          <w:color w:val="auto"/>
          <w:sz w:val="21"/>
          <w:szCs w:val="21"/>
        </w:rPr>
        <w:t xml:space="preserve"> 投标有效期应按规定的期限作出承诺，具体详见“投标人须知前附表”。</w:t>
      </w:r>
    </w:p>
    <w:p w14:paraId="0F4A4EC9">
      <w:pPr>
        <w:pStyle w:val="7"/>
        <w:keepNext w:val="0"/>
        <w:keepLines w:val="0"/>
        <w:spacing w:before="0" w:after="0" w:line="360" w:lineRule="auto"/>
        <w:ind w:left="420" w:leftChars="200"/>
        <w:rPr>
          <w:rFonts w:ascii="仿宋" w:hAnsi="仿宋" w:eastAsia="仿宋"/>
          <w:b w:val="0"/>
          <w:color w:val="auto"/>
          <w:sz w:val="21"/>
          <w:szCs w:val="21"/>
        </w:rPr>
      </w:pPr>
      <w:r>
        <w:rPr>
          <w:rFonts w:hint="eastAsia" w:ascii="仿宋" w:hAnsi="仿宋" w:eastAsia="仿宋"/>
          <w:b w:val="0"/>
          <w:color w:val="auto"/>
          <w:sz w:val="21"/>
          <w:szCs w:val="21"/>
        </w:rPr>
        <w:t>17.3投标人的投标文件在投标有效期内均保持有效。</w:t>
      </w:r>
      <w:bookmarkEnd w:id="107"/>
      <w:bookmarkEnd w:id="108"/>
    </w:p>
    <w:p w14:paraId="40FACAAB">
      <w:pPr>
        <w:pStyle w:val="7"/>
        <w:keepNext w:val="0"/>
        <w:keepLines w:val="0"/>
        <w:spacing w:before="0" w:after="0" w:line="360" w:lineRule="auto"/>
        <w:ind w:left="420" w:leftChars="200"/>
        <w:rPr>
          <w:rFonts w:ascii="仿宋" w:hAnsi="仿宋" w:eastAsia="仿宋"/>
          <w:color w:val="auto"/>
          <w:sz w:val="24"/>
        </w:rPr>
      </w:pPr>
      <w:bookmarkStart w:id="109" w:name="_18.投标保证金"/>
      <w:bookmarkEnd w:id="109"/>
      <w:bookmarkStart w:id="110" w:name="_Toc254970682"/>
      <w:bookmarkStart w:id="111" w:name="_Toc254970541"/>
      <w:r>
        <w:rPr>
          <w:rFonts w:hint="eastAsia" w:ascii="仿宋" w:hAnsi="仿宋" w:eastAsia="仿宋"/>
          <w:color w:val="auto"/>
          <w:sz w:val="24"/>
        </w:rPr>
        <w:t>18.投标保证金</w:t>
      </w:r>
      <w:bookmarkEnd w:id="110"/>
      <w:bookmarkEnd w:id="111"/>
    </w:p>
    <w:p w14:paraId="68B6E8FE">
      <w:pPr>
        <w:pStyle w:val="7"/>
        <w:keepNext w:val="0"/>
        <w:keepLines w:val="0"/>
        <w:spacing w:before="0" w:after="0" w:line="360" w:lineRule="auto"/>
        <w:ind w:left="420" w:leftChars="200"/>
        <w:rPr>
          <w:rFonts w:ascii="仿宋" w:hAnsi="仿宋" w:eastAsia="仿宋"/>
          <w:b w:val="0"/>
          <w:color w:val="auto"/>
          <w:sz w:val="21"/>
          <w:szCs w:val="21"/>
        </w:rPr>
      </w:pPr>
      <w:r>
        <w:rPr>
          <w:rFonts w:hint="eastAsia" w:ascii="仿宋" w:hAnsi="仿宋" w:eastAsia="仿宋"/>
          <w:b w:val="0"/>
          <w:color w:val="auto"/>
          <w:sz w:val="21"/>
          <w:szCs w:val="21"/>
        </w:rPr>
        <w:t>18.1投标人须按“投标人须知前附表” 的规定提交投标保证金。</w:t>
      </w:r>
    </w:p>
    <w:p w14:paraId="6EF4FFB1">
      <w:pPr>
        <w:pStyle w:val="7"/>
        <w:keepNext w:val="0"/>
        <w:keepLines w:val="0"/>
        <w:spacing w:before="0" w:after="0" w:line="360" w:lineRule="auto"/>
        <w:ind w:firstLine="420" w:firstLineChars="200"/>
        <w:rPr>
          <w:rFonts w:ascii="仿宋" w:hAnsi="仿宋" w:eastAsia="仿宋"/>
          <w:b w:val="0"/>
          <w:color w:val="auto"/>
          <w:sz w:val="21"/>
          <w:szCs w:val="21"/>
        </w:rPr>
      </w:pPr>
      <w:r>
        <w:rPr>
          <w:rFonts w:hint="eastAsia" w:ascii="仿宋" w:hAnsi="仿宋" w:eastAsia="仿宋"/>
          <w:b w:val="0"/>
          <w:color w:val="auto"/>
          <w:sz w:val="21"/>
          <w:szCs w:val="21"/>
        </w:rPr>
        <w:t>18.2投标保证金的退还</w:t>
      </w:r>
    </w:p>
    <w:p w14:paraId="52FAE7C2">
      <w:pPr>
        <w:pStyle w:val="7"/>
        <w:keepNext w:val="0"/>
        <w:keepLines w:val="0"/>
        <w:spacing w:before="0" w:after="0" w:line="360" w:lineRule="auto"/>
        <w:ind w:firstLine="420" w:firstLineChars="200"/>
        <w:rPr>
          <w:rFonts w:ascii="仿宋" w:hAnsi="仿宋" w:eastAsia="仿宋"/>
          <w:b w:val="0"/>
          <w:color w:val="auto"/>
          <w:sz w:val="21"/>
          <w:szCs w:val="21"/>
        </w:rPr>
      </w:pPr>
      <w:r>
        <w:rPr>
          <w:rFonts w:hint="eastAsia" w:ascii="仿宋" w:hAnsi="仿宋" w:eastAsia="仿宋"/>
          <w:b w:val="0"/>
          <w:color w:val="auto"/>
          <w:sz w:val="21"/>
          <w:szCs w:val="21"/>
        </w:rPr>
        <w:t xml:space="preserve">未中标人的投标保证金自中标通知书发出之日起5个工作日内退还；中标人的投标保证金自政府采购合同签订之日起5个工作日内退还。 </w:t>
      </w:r>
    </w:p>
    <w:p w14:paraId="2326DFA7">
      <w:pPr>
        <w:pStyle w:val="7"/>
        <w:keepNext w:val="0"/>
        <w:keepLines w:val="0"/>
        <w:spacing w:before="0" w:after="0" w:line="360" w:lineRule="auto"/>
        <w:ind w:left="420" w:leftChars="200"/>
        <w:rPr>
          <w:rFonts w:ascii="仿宋" w:hAnsi="仿宋" w:eastAsia="仿宋"/>
          <w:b w:val="0"/>
          <w:color w:val="auto"/>
          <w:sz w:val="21"/>
          <w:szCs w:val="21"/>
        </w:rPr>
      </w:pPr>
      <w:r>
        <w:rPr>
          <w:rFonts w:hint="eastAsia" w:ascii="仿宋" w:hAnsi="仿宋" w:eastAsia="仿宋"/>
          <w:b w:val="0"/>
          <w:color w:val="auto"/>
          <w:sz w:val="21"/>
          <w:szCs w:val="21"/>
        </w:rPr>
        <w:t>18.3除逾期退还投标保证金和终止招标的情形以外，投标保证金不计息。</w:t>
      </w:r>
    </w:p>
    <w:p w14:paraId="2FABD70C">
      <w:pPr>
        <w:pStyle w:val="7"/>
        <w:keepNext w:val="0"/>
        <w:keepLines w:val="0"/>
        <w:spacing w:before="0" w:after="0" w:line="360" w:lineRule="auto"/>
        <w:ind w:left="420" w:leftChars="200"/>
        <w:rPr>
          <w:rFonts w:ascii="仿宋" w:hAnsi="仿宋" w:eastAsia="仿宋"/>
          <w:b w:val="0"/>
          <w:color w:val="auto"/>
          <w:sz w:val="21"/>
          <w:szCs w:val="21"/>
        </w:rPr>
      </w:pPr>
      <w:r>
        <w:rPr>
          <w:rFonts w:hint="eastAsia" w:ascii="仿宋" w:hAnsi="仿宋" w:eastAsia="仿宋"/>
          <w:b w:val="0"/>
          <w:color w:val="auto"/>
          <w:sz w:val="21"/>
          <w:szCs w:val="21"/>
        </w:rPr>
        <w:t xml:space="preserve">18.4投标人有下列情形之一的，投标保证金将不予退还： </w:t>
      </w:r>
    </w:p>
    <w:p w14:paraId="122D8F7C">
      <w:pPr>
        <w:snapToGrid w:val="0"/>
        <w:spacing w:line="360" w:lineRule="auto"/>
        <w:ind w:firstLine="411" w:firstLineChars="196"/>
        <w:jc w:val="left"/>
        <w:rPr>
          <w:rFonts w:ascii="仿宋" w:hAnsi="仿宋" w:eastAsia="仿宋"/>
          <w:color w:val="auto"/>
          <w:szCs w:val="21"/>
        </w:rPr>
      </w:pPr>
      <w:r>
        <w:rPr>
          <w:rFonts w:hint="eastAsia" w:ascii="仿宋" w:hAnsi="仿宋" w:eastAsia="仿宋"/>
          <w:color w:val="auto"/>
          <w:szCs w:val="21"/>
        </w:rPr>
        <w:t>（1）投标人在投标有效期内撤销投标文件的；</w:t>
      </w:r>
    </w:p>
    <w:p w14:paraId="103A24CF">
      <w:pPr>
        <w:snapToGrid w:val="0"/>
        <w:spacing w:line="360" w:lineRule="auto"/>
        <w:ind w:firstLine="411" w:firstLineChars="196"/>
        <w:jc w:val="left"/>
        <w:rPr>
          <w:rFonts w:ascii="仿宋" w:hAnsi="仿宋" w:eastAsia="仿宋"/>
          <w:color w:val="auto"/>
          <w:szCs w:val="21"/>
        </w:rPr>
      </w:pPr>
      <w:r>
        <w:rPr>
          <w:rFonts w:hint="eastAsia" w:ascii="仿宋" w:hAnsi="仿宋" w:eastAsia="仿宋"/>
          <w:color w:val="auto"/>
          <w:szCs w:val="21"/>
        </w:rPr>
        <w:t>（2）未按规定提交履约保证金的；</w:t>
      </w:r>
    </w:p>
    <w:p w14:paraId="2E3016F1">
      <w:pPr>
        <w:snapToGrid w:val="0"/>
        <w:spacing w:line="360" w:lineRule="auto"/>
        <w:ind w:firstLine="411" w:firstLineChars="196"/>
        <w:jc w:val="left"/>
        <w:rPr>
          <w:rFonts w:ascii="仿宋" w:hAnsi="仿宋" w:eastAsia="仿宋"/>
          <w:color w:val="auto"/>
          <w:szCs w:val="21"/>
        </w:rPr>
      </w:pPr>
      <w:r>
        <w:rPr>
          <w:rFonts w:hint="eastAsia" w:ascii="仿宋" w:hAnsi="仿宋" w:eastAsia="仿宋"/>
          <w:color w:val="auto"/>
          <w:szCs w:val="21"/>
        </w:rPr>
        <w:t>（3）投标人在投标过程中弄虚作假，提供虚假材料的；</w:t>
      </w:r>
    </w:p>
    <w:p w14:paraId="12E349D9">
      <w:pPr>
        <w:snapToGrid w:val="0"/>
        <w:spacing w:line="360" w:lineRule="auto"/>
        <w:ind w:firstLine="411" w:firstLineChars="196"/>
        <w:rPr>
          <w:rFonts w:ascii="仿宋" w:hAnsi="仿宋" w:eastAsia="仿宋"/>
          <w:color w:val="auto"/>
          <w:szCs w:val="21"/>
        </w:rPr>
      </w:pPr>
      <w:r>
        <w:rPr>
          <w:rFonts w:hint="eastAsia" w:ascii="仿宋" w:hAnsi="仿宋" w:eastAsia="仿宋"/>
          <w:color w:val="auto"/>
          <w:szCs w:val="21"/>
        </w:rPr>
        <w:t>（4）中标人无正当理由不与采购人签订合同的；</w:t>
      </w:r>
    </w:p>
    <w:p w14:paraId="2E3C24F3">
      <w:pPr>
        <w:snapToGrid w:val="0"/>
        <w:spacing w:line="360" w:lineRule="auto"/>
        <w:ind w:firstLine="420" w:firstLineChars="200"/>
        <w:rPr>
          <w:rFonts w:ascii="仿宋" w:hAnsi="仿宋" w:eastAsia="仿宋"/>
          <w:color w:val="auto"/>
          <w:szCs w:val="21"/>
        </w:rPr>
      </w:pPr>
      <w:r>
        <w:rPr>
          <w:rFonts w:hint="eastAsia" w:ascii="仿宋" w:hAnsi="仿宋" w:eastAsia="仿宋"/>
          <w:color w:val="auto"/>
          <w:szCs w:val="21"/>
        </w:rPr>
        <w:t>（5）投标人出现本章第9.2、9.3情形的；</w:t>
      </w:r>
    </w:p>
    <w:p w14:paraId="4E0628B3">
      <w:pPr>
        <w:snapToGrid w:val="0"/>
        <w:spacing w:line="360" w:lineRule="auto"/>
        <w:ind w:firstLine="420" w:firstLineChars="200"/>
        <w:rPr>
          <w:rFonts w:ascii="仿宋" w:hAnsi="仿宋" w:eastAsia="仿宋"/>
          <w:color w:val="auto"/>
          <w:szCs w:val="21"/>
        </w:rPr>
      </w:pPr>
      <w:r>
        <w:rPr>
          <w:rFonts w:hint="eastAsia" w:ascii="仿宋" w:hAnsi="仿宋" w:eastAsia="仿宋"/>
          <w:color w:val="auto"/>
          <w:szCs w:val="21"/>
        </w:rPr>
        <w:t>（6）</w:t>
      </w:r>
      <w:r>
        <w:rPr>
          <w:rFonts w:hint="eastAsia" w:ascii="仿宋" w:hAnsi="仿宋" w:eastAsia="仿宋" w:cs="宋体"/>
          <w:color w:val="auto"/>
          <w:szCs w:val="21"/>
        </w:rPr>
        <w:t>法律法规规定的其他情形</w:t>
      </w:r>
      <w:r>
        <w:rPr>
          <w:rFonts w:hint="eastAsia" w:ascii="仿宋" w:hAnsi="仿宋" w:eastAsia="仿宋"/>
          <w:color w:val="auto"/>
          <w:szCs w:val="21"/>
        </w:rPr>
        <w:t>。</w:t>
      </w:r>
    </w:p>
    <w:p w14:paraId="575BC6FA">
      <w:pPr>
        <w:pStyle w:val="7"/>
        <w:keepNext w:val="0"/>
        <w:keepLines w:val="0"/>
        <w:spacing w:before="0" w:after="0" w:line="360" w:lineRule="auto"/>
        <w:ind w:left="420" w:leftChars="200"/>
        <w:rPr>
          <w:rFonts w:ascii="仿宋" w:hAnsi="仿宋" w:eastAsia="仿宋"/>
          <w:color w:val="auto"/>
          <w:sz w:val="24"/>
        </w:rPr>
      </w:pPr>
      <w:bookmarkStart w:id="112" w:name="_Toc254970542"/>
      <w:bookmarkStart w:id="113" w:name="_Toc254970683"/>
      <w:r>
        <w:rPr>
          <w:rFonts w:hint="eastAsia" w:ascii="仿宋" w:hAnsi="仿宋" w:eastAsia="仿宋"/>
          <w:color w:val="auto"/>
          <w:sz w:val="24"/>
        </w:rPr>
        <w:t>19.投标文件的</w:t>
      </w:r>
      <w:bookmarkEnd w:id="112"/>
      <w:bookmarkEnd w:id="113"/>
      <w:r>
        <w:rPr>
          <w:rFonts w:hint="eastAsia" w:ascii="仿宋" w:hAnsi="仿宋" w:eastAsia="仿宋"/>
          <w:color w:val="auto"/>
          <w:sz w:val="24"/>
        </w:rPr>
        <w:t>编制</w:t>
      </w:r>
    </w:p>
    <w:p w14:paraId="4652FBA4">
      <w:pPr>
        <w:pStyle w:val="7"/>
        <w:keepNext w:val="0"/>
        <w:keepLines w:val="0"/>
        <w:spacing w:before="0" w:after="0" w:line="360" w:lineRule="auto"/>
        <w:ind w:firstLine="315" w:firstLineChars="150"/>
        <w:rPr>
          <w:rFonts w:ascii="仿宋" w:hAnsi="仿宋" w:eastAsia="仿宋"/>
          <w:b w:val="0"/>
          <w:color w:val="auto"/>
          <w:sz w:val="21"/>
          <w:szCs w:val="21"/>
        </w:rPr>
      </w:pPr>
      <w:r>
        <w:rPr>
          <w:rFonts w:hint="eastAsia" w:ascii="仿宋" w:hAnsi="仿宋" w:eastAsia="仿宋"/>
          <w:b w:val="0"/>
          <w:color w:val="auto"/>
          <w:sz w:val="21"/>
          <w:szCs w:val="21"/>
        </w:rPr>
        <w:t xml:space="preserve"> 19.1投标人应按本招标文件规定的格式和顺序编制、装订投标文件并标注页码，投标文件内容不完整、编排混乱导致投标文件被误读、漏读或者查找不到相关内容的，由此引发的后果由投标人承担。</w:t>
      </w:r>
    </w:p>
    <w:p w14:paraId="0FF3AB1F">
      <w:pPr>
        <w:pStyle w:val="7"/>
        <w:keepNext w:val="0"/>
        <w:keepLines w:val="0"/>
        <w:spacing w:before="0" w:after="0" w:line="360" w:lineRule="auto"/>
        <w:ind w:firstLine="420" w:firstLineChars="200"/>
        <w:rPr>
          <w:rFonts w:ascii="仿宋" w:hAnsi="仿宋" w:eastAsia="仿宋"/>
          <w:b w:val="0"/>
          <w:color w:val="auto"/>
          <w:sz w:val="21"/>
          <w:szCs w:val="21"/>
        </w:rPr>
      </w:pPr>
      <w:bookmarkStart w:id="114" w:name="_19.2投标文件应按报价文件、资格证明文件、商务文件、技术文件分别编制"/>
      <w:bookmarkEnd w:id="114"/>
      <w:r>
        <w:rPr>
          <w:rFonts w:hint="eastAsia" w:ascii="仿宋" w:hAnsi="仿宋" w:eastAsia="仿宋"/>
          <w:b w:val="0"/>
          <w:color w:val="auto"/>
          <w:sz w:val="21"/>
          <w:szCs w:val="21"/>
        </w:rPr>
        <w:t>19.2投标文件应按报价文件、资格证明文件、商务文件、技术文件分别编制电子文件，并按广西政府采购云平台的要求编制、加密、上传。</w:t>
      </w:r>
    </w:p>
    <w:p w14:paraId="2AAAA46B">
      <w:pPr>
        <w:pStyle w:val="7"/>
        <w:keepNext w:val="0"/>
        <w:keepLines w:val="0"/>
        <w:spacing w:before="0" w:after="0" w:line="360" w:lineRule="auto"/>
        <w:ind w:firstLine="420" w:firstLineChars="200"/>
        <w:rPr>
          <w:rFonts w:ascii="仿宋" w:hAnsi="仿宋" w:eastAsia="仿宋"/>
          <w:b w:val="0"/>
          <w:color w:val="auto"/>
          <w:sz w:val="21"/>
          <w:szCs w:val="21"/>
        </w:rPr>
      </w:pPr>
      <w:r>
        <w:rPr>
          <w:rFonts w:hint="eastAsia" w:ascii="仿宋" w:hAnsi="仿宋" w:eastAsia="仿宋"/>
          <w:b w:val="0"/>
          <w:color w:val="auto"/>
          <w:sz w:val="21"/>
          <w:szCs w:val="21"/>
        </w:rPr>
        <w:t>19.</w:t>
      </w:r>
      <w:bookmarkStart w:id="115" w:name="_Hlk65832616"/>
      <w:r>
        <w:rPr>
          <w:rFonts w:hint="eastAsia" w:ascii="仿宋" w:hAnsi="仿宋" w:eastAsia="仿宋"/>
          <w:b w:val="0"/>
          <w:color w:val="auto"/>
          <w:sz w:val="21"/>
          <w:szCs w:val="21"/>
        </w:rPr>
        <w:t>3投标文件须由投标人在规定位置盖公章并签字</w:t>
      </w:r>
      <w:bookmarkStart w:id="116" w:name="_Hlk65832569"/>
      <w:r>
        <w:rPr>
          <w:rFonts w:hint="eastAsia" w:ascii="仿宋" w:hAnsi="仿宋" w:eastAsia="仿宋"/>
          <w:b w:val="0"/>
          <w:color w:val="auto"/>
          <w:sz w:val="21"/>
          <w:szCs w:val="21"/>
        </w:rPr>
        <w:t>（具体以投标人须知前附表或投标文件格式规定为准）</w:t>
      </w:r>
      <w:bookmarkEnd w:id="115"/>
      <w:bookmarkEnd w:id="116"/>
      <w:r>
        <w:rPr>
          <w:rFonts w:hint="eastAsia" w:ascii="仿宋" w:hAnsi="仿宋" w:eastAsia="仿宋"/>
          <w:b w:val="0"/>
          <w:color w:val="auto"/>
          <w:sz w:val="21"/>
          <w:szCs w:val="21"/>
        </w:rPr>
        <w:t>，</w:t>
      </w:r>
      <w:r>
        <w:rPr>
          <w:rFonts w:hint="eastAsia" w:ascii="仿宋" w:hAnsi="仿宋" w:eastAsia="仿宋"/>
          <w:bCs/>
          <w:color w:val="auto"/>
          <w:sz w:val="21"/>
          <w:szCs w:val="21"/>
        </w:rPr>
        <w:t>否则按无效投标处理</w:t>
      </w:r>
      <w:r>
        <w:rPr>
          <w:rFonts w:hint="eastAsia" w:ascii="仿宋" w:hAnsi="仿宋" w:eastAsia="仿宋"/>
          <w:b w:val="0"/>
          <w:color w:val="auto"/>
          <w:sz w:val="21"/>
          <w:szCs w:val="21"/>
        </w:rPr>
        <w:t>。</w:t>
      </w:r>
    </w:p>
    <w:p w14:paraId="0CC64E5A">
      <w:pPr>
        <w:pStyle w:val="7"/>
        <w:keepNext w:val="0"/>
        <w:keepLines w:val="0"/>
        <w:spacing w:before="0" w:after="0" w:line="360" w:lineRule="auto"/>
        <w:ind w:firstLine="315" w:firstLineChars="150"/>
        <w:rPr>
          <w:rFonts w:ascii="仿宋" w:hAnsi="仿宋" w:eastAsia="仿宋"/>
          <w:b w:val="0"/>
          <w:color w:val="auto"/>
          <w:sz w:val="21"/>
          <w:szCs w:val="21"/>
        </w:rPr>
      </w:pPr>
      <w:r>
        <w:rPr>
          <w:rFonts w:hint="eastAsia" w:ascii="仿宋" w:hAnsi="仿宋" w:eastAsia="仿宋"/>
          <w:b w:val="0"/>
          <w:color w:val="auto"/>
          <w:sz w:val="21"/>
          <w:szCs w:val="21"/>
        </w:rPr>
        <w:t xml:space="preserve"> 19.4投标文件中标注的投标人名称应与主体资格证明（如营业执照、事业单位法人证书、执业许可证、自然人身份证等）及公章一致，</w:t>
      </w:r>
      <w:r>
        <w:rPr>
          <w:rFonts w:hint="eastAsia" w:ascii="仿宋" w:hAnsi="仿宋" w:eastAsia="仿宋"/>
          <w:color w:val="auto"/>
          <w:sz w:val="21"/>
          <w:szCs w:val="21"/>
        </w:rPr>
        <w:t>否则按无效投标处理</w:t>
      </w:r>
      <w:r>
        <w:rPr>
          <w:rFonts w:hint="eastAsia" w:ascii="仿宋" w:hAnsi="仿宋" w:eastAsia="仿宋"/>
          <w:b w:val="0"/>
          <w:color w:val="auto"/>
          <w:sz w:val="21"/>
          <w:szCs w:val="21"/>
        </w:rPr>
        <w:t>。</w:t>
      </w:r>
    </w:p>
    <w:p w14:paraId="0B6FA60C">
      <w:pPr>
        <w:pStyle w:val="7"/>
        <w:keepNext w:val="0"/>
        <w:keepLines w:val="0"/>
        <w:spacing w:before="0" w:after="0" w:line="360" w:lineRule="auto"/>
        <w:ind w:firstLine="315" w:firstLineChars="150"/>
        <w:rPr>
          <w:rFonts w:ascii="仿宋" w:hAnsi="仿宋" w:eastAsia="仿宋"/>
          <w:b w:val="0"/>
          <w:color w:val="auto"/>
          <w:sz w:val="21"/>
          <w:szCs w:val="21"/>
        </w:rPr>
      </w:pPr>
      <w:r>
        <w:rPr>
          <w:rFonts w:hint="eastAsia" w:ascii="仿宋" w:hAnsi="仿宋" w:eastAsia="仿宋"/>
          <w:b w:val="0"/>
          <w:color w:val="auto"/>
          <w:sz w:val="21"/>
          <w:szCs w:val="21"/>
        </w:rPr>
        <w:t xml:space="preserve"> 19.5投标文件应尽量避免涂改、行间插字或者删除。如果出现上述情况，改动之处应由投标人的法定代表人或者其委托代理人签字或者加盖公章。投标文件因字迹潦草或者表达不清所引起的后果由投标人承担。</w:t>
      </w:r>
    </w:p>
    <w:p w14:paraId="55D3ECE0">
      <w:pPr>
        <w:pStyle w:val="7"/>
        <w:keepNext w:val="0"/>
        <w:keepLines w:val="0"/>
        <w:spacing w:before="0" w:after="0" w:line="360" w:lineRule="auto"/>
        <w:ind w:left="420" w:leftChars="200"/>
        <w:rPr>
          <w:rFonts w:ascii="仿宋" w:hAnsi="仿宋" w:eastAsia="仿宋"/>
          <w:color w:val="auto"/>
          <w:sz w:val="24"/>
        </w:rPr>
      </w:pPr>
      <w:r>
        <w:rPr>
          <w:rFonts w:hint="eastAsia" w:ascii="仿宋" w:hAnsi="仿宋" w:eastAsia="仿宋"/>
          <w:color w:val="auto"/>
          <w:sz w:val="24"/>
        </w:rPr>
        <w:t>20.投标文件的加密、解密</w:t>
      </w:r>
    </w:p>
    <w:p w14:paraId="0C6E9F78">
      <w:pPr>
        <w:pStyle w:val="7"/>
        <w:keepNext w:val="0"/>
        <w:keepLines w:val="0"/>
        <w:spacing w:before="0" w:after="0" w:line="360" w:lineRule="auto"/>
        <w:ind w:firstLine="315" w:firstLineChars="150"/>
        <w:rPr>
          <w:rFonts w:ascii="仿宋" w:hAnsi="仿宋" w:eastAsia="仿宋"/>
          <w:b w:val="0"/>
          <w:color w:val="auto"/>
          <w:sz w:val="21"/>
          <w:szCs w:val="21"/>
        </w:rPr>
      </w:pPr>
      <w:r>
        <w:rPr>
          <w:rFonts w:hint="eastAsia" w:ascii="仿宋" w:hAnsi="仿宋" w:eastAsia="仿宋"/>
          <w:b w:val="0"/>
          <w:color w:val="auto"/>
          <w:sz w:val="21"/>
          <w:szCs w:val="21"/>
        </w:rPr>
        <w:t xml:space="preserve"> 20.1电子投标文件编制完成后，投标人应按广西政府采购云平台的要求进行加密，并在规定时间内解密，否则，由此产生的后果由投标人自行负责。</w:t>
      </w:r>
    </w:p>
    <w:p w14:paraId="580D9772">
      <w:pPr>
        <w:pStyle w:val="7"/>
        <w:keepNext w:val="0"/>
        <w:keepLines w:val="0"/>
        <w:spacing w:before="0" w:after="0" w:line="360" w:lineRule="auto"/>
        <w:ind w:left="420" w:leftChars="200"/>
        <w:rPr>
          <w:rFonts w:ascii="仿宋" w:hAnsi="仿宋" w:eastAsia="仿宋"/>
          <w:color w:val="auto"/>
          <w:sz w:val="24"/>
        </w:rPr>
      </w:pPr>
      <w:r>
        <w:rPr>
          <w:rFonts w:hint="eastAsia" w:ascii="仿宋" w:hAnsi="仿宋" w:eastAsia="仿宋"/>
          <w:color w:val="auto"/>
          <w:sz w:val="24"/>
        </w:rPr>
        <w:t>21.投标文件的提交</w:t>
      </w:r>
    </w:p>
    <w:p w14:paraId="4FD88A40">
      <w:pPr>
        <w:pStyle w:val="7"/>
        <w:keepNext w:val="0"/>
        <w:keepLines w:val="0"/>
        <w:spacing w:before="0" w:after="0" w:line="360" w:lineRule="auto"/>
        <w:ind w:firstLine="420" w:firstLineChars="200"/>
        <w:rPr>
          <w:rFonts w:ascii="仿宋" w:hAnsi="仿宋" w:eastAsia="仿宋"/>
          <w:b w:val="0"/>
          <w:color w:val="auto"/>
          <w:sz w:val="21"/>
          <w:szCs w:val="21"/>
        </w:rPr>
      </w:pPr>
      <w:bookmarkStart w:id="117" w:name="_21.1投标人必须在“投标人须知中的前附表”规定的投标文件接收时间和投"/>
      <w:bookmarkEnd w:id="117"/>
      <w:r>
        <w:rPr>
          <w:rFonts w:hint="eastAsia" w:ascii="仿宋" w:hAnsi="仿宋" w:eastAsia="仿宋"/>
          <w:b w:val="0"/>
          <w:color w:val="auto"/>
          <w:sz w:val="21"/>
          <w:szCs w:val="21"/>
        </w:rPr>
        <w:t>21.1投标人必须在“投标人须知前附表”规定的投标文件接收时间和投标地点提交投标文件。</w:t>
      </w:r>
    </w:p>
    <w:p w14:paraId="6D4EE18F">
      <w:pPr>
        <w:pStyle w:val="7"/>
        <w:keepNext w:val="0"/>
        <w:keepLines w:val="0"/>
        <w:spacing w:before="0" w:after="0" w:line="360" w:lineRule="auto"/>
        <w:ind w:firstLine="420" w:firstLineChars="200"/>
        <w:rPr>
          <w:rFonts w:ascii="仿宋" w:hAnsi="仿宋" w:eastAsia="仿宋"/>
          <w:b w:val="0"/>
          <w:color w:val="auto"/>
          <w:sz w:val="21"/>
          <w:szCs w:val="21"/>
        </w:rPr>
      </w:pPr>
      <w:r>
        <w:rPr>
          <w:rFonts w:hint="eastAsia" w:ascii="仿宋" w:hAnsi="仿宋" w:eastAsia="仿宋"/>
          <w:b w:val="0"/>
          <w:color w:val="auto"/>
          <w:sz w:val="21"/>
          <w:szCs w:val="21"/>
        </w:rPr>
        <w:t>21.2本项目为全流程电子化政府采购项目，通过广西政府采购云平台（https://www.gcy.zfcg.gxzf.gov.cn/）实行在线电子投标。投标人必须在“投标人须知前附表”规定的投标文件接收时间内通过网络将电子投标文件上传至广西政府采购云平台，供应商在广西政府采购云平台提交电子版投标文件时，请填写参加远程开标活动经办人联系方式。</w:t>
      </w:r>
    </w:p>
    <w:p w14:paraId="3BA51AAA">
      <w:pPr>
        <w:pStyle w:val="7"/>
        <w:keepNext w:val="0"/>
        <w:keepLines w:val="0"/>
        <w:spacing w:before="0" w:after="0" w:line="360" w:lineRule="auto"/>
        <w:ind w:firstLine="420" w:firstLineChars="200"/>
        <w:jc w:val="left"/>
        <w:rPr>
          <w:rFonts w:ascii="仿宋" w:hAnsi="仿宋" w:eastAsia="仿宋"/>
          <w:b w:val="0"/>
          <w:color w:val="auto"/>
          <w:sz w:val="21"/>
          <w:szCs w:val="21"/>
        </w:rPr>
      </w:pPr>
      <w:r>
        <w:rPr>
          <w:rFonts w:hint="eastAsia" w:ascii="仿宋" w:hAnsi="仿宋" w:eastAsia="仿宋"/>
          <w:b w:val="0"/>
          <w:color w:val="auto"/>
          <w:sz w:val="21"/>
          <w:szCs w:val="21"/>
        </w:rPr>
        <w:t>21.3未在规定时间内上传或者未按广西政府采购云平台的要求编制、加密的电子投标文件，广西政府采购云平台将拒收。</w:t>
      </w:r>
    </w:p>
    <w:p w14:paraId="70D96337">
      <w:pPr>
        <w:pStyle w:val="10"/>
        <w:rPr>
          <w:rFonts w:ascii="仿宋" w:hAnsi="仿宋" w:eastAsia="仿宋"/>
          <w:color w:val="auto"/>
        </w:rPr>
      </w:pPr>
      <w:r>
        <w:rPr>
          <w:rFonts w:hint="eastAsia" w:ascii="仿宋" w:hAnsi="仿宋" w:eastAsia="仿宋"/>
          <w:color w:val="auto"/>
          <w:szCs w:val="21"/>
        </w:rPr>
        <w:t>21.4电子投标文件提交方式见“招标公告”中“四、提交投标文件截止时间、开标时间和地点”</w:t>
      </w:r>
    </w:p>
    <w:p w14:paraId="00CF4DE7">
      <w:pPr>
        <w:pStyle w:val="10"/>
        <w:rPr>
          <w:rFonts w:ascii="仿宋" w:hAnsi="仿宋" w:eastAsia="仿宋"/>
          <w:color w:val="auto"/>
        </w:rPr>
      </w:pPr>
    </w:p>
    <w:p w14:paraId="694B2067">
      <w:pPr>
        <w:pStyle w:val="7"/>
        <w:keepNext w:val="0"/>
        <w:keepLines w:val="0"/>
        <w:spacing w:before="0" w:after="0" w:line="360" w:lineRule="auto"/>
        <w:ind w:left="420" w:leftChars="200"/>
        <w:rPr>
          <w:rFonts w:ascii="仿宋" w:hAnsi="仿宋" w:eastAsia="仿宋"/>
          <w:color w:val="auto"/>
          <w:sz w:val="24"/>
        </w:rPr>
      </w:pPr>
      <w:r>
        <w:rPr>
          <w:rFonts w:hint="eastAsia" w:ascii="仿宋" w:hAnsi="仿宋" w:eastAsia="仿宋"/>
          <w:color w:val="auto"/>
          <w:sz w:val="24"/>
        </w:rPr>
        <w:t>22. 投标文件的补充、修改、撤回与退回</w:t>
      </w:r>
    </w:p>
    <w:p w14:paraId="3ECF3C2D">
      <w:pPr>
        <w:snapToGrid w:val="0"/>
        <w:spacing w:line="360" w:lineRule="auto"/>
        <w:ind w:firstLine="420"/>
        <w:jc w:val="left"/>
        <w:rPr>
          <w:rFonts w:ascii="仿宋" w:hAnsi="仿宋" w:eastAsia="仿宋"/>
          <w:color w:val="auto"/>
          <w:szCs w:val="21"/>
        </w:rPr>
      </w:pPr>
      <w:bookmarkStart w:id="118" w:name="_Toc254970543"/>
      <w:bookmarkStart w:id="119" w:name="_Toc254970684"/>
      <w:r>
        <w:rPr>
          <w:rFonts w:hint="eastAsia" w:ascii="仿宋" w:hAnsi="仿宋" w:eastAsia="仿宋"/>
          <w:color w:val="auto"/>
          <w:szCs w:val="21"/>
        </w:rPr>
        <w:t>2</w:t>
      </w:r>
      <w:r>
        <w:rPr>
          <w:rFonts w:ascii="仿宋" w:hAnsi="仿宋" w:eastAsia="仿宋"/>
          <w:color w:val="auto"/>
          <w:szCs w:val="21"/>
        </w:rPr>
        <w:t>2.1</w:t>
      </w:r>
      <w:r>
        <w:rPr>
          <w:rFonts w:hint="eastAsia" w:ascii="仿宋" w:hAnsi="仿宋" w:eastAsia="仿宋"/>
          <w:color w:val="auto"/>
          <w:szCs w:val="21"/>
        </w:rPr>
        <w:t>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bookmarkEnd w:id="118"/>
    <w:bookmarkEnd w:id="119"/>
    <w:p w14:paraId="178A4229">
      <w:pPr>
        <w:snapToGrid w:val="0"/>
        <w:spacing w:line="360" w:lineRule="auto"/>
        <w:ind w:firstLine="420"/>
        <w:jc w:val="left"/>
        <w:rPr>
          <w:rFonts w:ascii="仿宋" w:hAnsi="仿宋" w:eastAsia="仿宋"/>
          <w:color w:val="auto"/>
          <w:szCs w:val="21"/>
        </w:rPr>
      </w:pPr>
      <w:r>
        <w:rPr>
          <w:rFonts w:hint="eastAsia" w:ascii="仿宋" w:hAnsi="仿宋" w:eastAsia="仿宋"/>
          <w:color w:val="auto"/>
          <w:szCs w:val="21"/>
        </w:rPr>
        <w:t>22.</w:t>
      </w:r>
      <w:r>
        <w:rPr>
          <w:rFonts w:ascii="仿宋" w:hAnsi="仿宋" w:eastAsia="仿宋"/>
          <w:color w:val="auto"/>
          <w:szCs w:val="21"/>
        </w:rPr>
        <w:t>2</w:t>
      </w:r>
      <w:r>
        <w:rPr>
          <w:rFonts w:hint="eastAsia" w:ascii="仿宋" w:hAnsi="仿宋" w:eastAsia="仿宋"/>
          <w:color w:val="auto"/>
          <w:szCs w:val="21"/>
        </w:rPr>
        <w:t>在投标截止时间止提交投标文件的投标人不足3家时，不得开标，采购代理机构将根据广西政府采购云平台的操作将电子版投标文件退回，除此之外采购人和采购代理机构对已提交的投标文件概不退回。</w:t>
      </w:r>
    </w:p>
    <w:p w14:paraId="11565215">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2</w:t>
      </w:r>
      <w:r>
        <w:rPr>
          <w:rFonts w:ascii="仿宋" w:hAnsi="仿宋" w:eastAsia="仿宋" w:cs="宋体"/>
          <w:color w:val="auto"/>
          <w:szCs w:val="21"/>
        </w:rPr>
        <w:t>2.3</w:t>
      </w:r>
      <w:r>
        <w:rPr>
          <w:rFonts w:hint="eastAsia" w:ascii="仿宋" w:hAnsi="仿宋" w:eastAsia="仿宋" w:cs="宋体"/>
          <w:color w:val="auto"/>
          <w:szCs w:val="21"/>
        </w:rPr>
        <w:t xml:space="preserve"> 投标人在投标截止时间后书面通知采购人、采购代理机构撤销投标文件的，将根据本须知正文1</w:t>
      </w:r>
      <w:r>
        <w:rPr>
          <w:rFonts w:ascii="仿宋" w:hAnsi="仿宋" w:eastAsia="仿宋" w:cs="宋体"/>
          <w:color w:val="auto"/>
          <w:szCs w:val="21"/>
        </w:rPr>
        <w:t>8</w:t>
      </w:r>
      <w:r>
        <w:rPr>
          <w:rFonts w:hint="eastAsia" w:ascii="仿宋" w:hAnsi="仿宋" w:eastAsia="仿宋" w:cs="宋体"/>
          <w:color w:val="auto"/>
          <w:szCs w:val="21"/>
        </w:rPr>
        <w:t>.4的规定不予退还其投标保证金。</w:t>
      </w:r>
    </w:p>
    <w:p w14:paraId="1912DB5E">
      <w:pPr>
        <w:pStyle w:val="21"/>
        <w:snapToGrid w:val="0"/>
        <w:spacing w:line="360" w:lineRule="auto"/>
        <w:ind w:firstLine="739"/>
        <w:rPr>
          <w:rFonts w:ascii="仿宋" w:hAnsi="仿宋" w:eastAsia="仿宋"/>
          <w:snapToGrid w:val="0"/>
          <w:color w:val="auto"/>
          <w:sz w:val="21"/>
          <w:szCs w:val="21"/>
        </w:rPr>
      </w:pPr>
    </w:p>
    <w:p w14:paraId="0C9E3FA4">
      <w:pPr>
        <w:pStyle w:val="5"/>
        <w:keepNext w:val="0"/>
        <w:keepLines w:val="0"/>
        <w:jc w:val="center"/>
        <w:rPr>
          <w:rFonts w:ascii="仿宋" w:hAnsi="仿宋" w:eastAsia="仿宋"/>
          <w:color w:val="auto"/>
        </w:rPr>
      </w:pPr>
      <w:bookmarkStart w:id="120" w:name="_Toc254970685"/>
      <w:bookmarkStart w:id="121" w:name="_Toc254970544"/>
      <w:r>
        <w:rPr>
          <w:rFonts w:hint="eastAsia" w:ascii="仿宋" w:hAnsi="仿宋" w:eastAsia="仿宋"/>
          <w:color w:val="auto"/>
        </w:rPr>
        <w:t>四、开    标</w:t>
      </w:r>
      <w:bookmarkEnd w:id="120"/>
      <w:bookmarkEnd w:id="121"/>
    </w:p>
    <w:p w14:paraId="75178A86">
      <w:pPr>
        <w:pStyle w:val="7"/>
        <w:keepNext w:val="0"/>
        <w:keepLines w:val="0"/>
        <w:spacing w:before="0" w:after="0" w:line="360" w:lineRule="auto"/>
        <w:ind w:left="420" w:leftChars="200"/>
        <w:rPr>
          <w:rFonts w:ascii="仿宋" w:hAnsi="仿宋" w:eastAsia="仿宋"/>
          <w:color w:val="auto"/>
          <w:sz w:val="24"/>
        </w:rPr>
      </w:pPr>
      <w:bookmarkStart w:id="122" w:name="_23.开标时间和地点"/>
      <w:bookmarkEnd w:id="122"/>
      <w:r>
        <w:rPr>
          <w:rFonts w:hint="eastAsia" w:ascii="仿宋" w:hAnsi="仿宋" w:eastAsia="仿宋"/>
          <w:color w:val="auto"/>
          <w:sz w:val="24"/>
        </w:rPr>
        <w:t>23.开标时间和地点</w:t>
      </w:r>
    </w:p>
    <w:p w14:paraId="3D84AF8F">
      <w:pPr>
        <w:snapToGrid w:val="0"/>
        <w:spacing w:line="360" w:lineRule="auto"/>
        <w:ind w:firstLine="420"/>
        <w:jc w:val="left"/>
        <w:rPr>
          <w:rFonts w:ascii="仿宋" w:hAnsi="仿宋" w:eastAsia="仿宋"/>
          <w:color w:val="auto"/>
          <w:szCs w:val="21"/>
        </w:rPr>
      </w:pPr>
      <w:r>
        <w:rPr>
          <w:rFonts w:hint="eastAsia" w:ascii="仿宋" w:hAnsi="仿宋" w:eastAsia="仿宋"/>
          <w:color w:val="auto"/>
          <w:szCs w:val="21"/>
        </w:rPr>
        <w:t>23.1开标时间及地点详见“投标人须知前附表”</w:t>
      </w:r>
    </w:p>
    <w:p w14:paraId="3146A5FF">
      <w:pPr>
        <w:snapToGrid w:val="0"/>
        <w:spacing w:line="360" w:lineRule="auto"/>
        <w:ind w:firstLine="420"/>
        <w:jc w:val="left"/>
        <w:rPr>
          <w:rFonts w:ascii="仿宋" w:hAnsi="仿宋" w:eastAsia="仿宋"/>
          <w:color w:val="auto"/>
          <w:szCs w:val="21"/>
        </w:rPr>
      </w:pPr>
      <w:r>
        <w:rPr>
          <w:rFonts w:hint="eastAsia" w:ascii="仿宋" w:hAnsi="仿宋" w:eastAsia="仿宋"/>
          <w:color w:val="auto"/>
          <w:szCs w:val="21"/>
        </w:rPr>
        <w:t>23.2如投标人成功解密投标文件，但未在“广西政府采购云平台”电子开标大厅参加开标的，视同认可开标过程和结果，由此产生的后果由投标人自行负责。成功解密投标文件的投标人不足3家的，不得开标。</w:t>
      </w:r>
    </w:p>
    <w:p w14:paraId="5E8E0143">
      <w:pPr>
        <w:pStyle w:val="7"/>
        <w:keepNext w:val="0"/>
        <w:keepLines w:val="0"/>
        <w:spacing w:before="0" w:after="0" w:line="360" w:lineRule="auto"/>
        <w:ind w:left="420" w:leftChars="200"/>
        <w:rPr>
          <w:rFonts w:ascii="仿宋" w:hAnsi="仿宋" w:eastAsia="仿宋"/>
          <w:color w:val="auto"/>
          <w:sz w:val="24"/>
        </w:rPr>
      </w:pPr>
      <w:r>
        <w:rPr>
          <w:rFonts w:hint="eastAsia" w:ascii="仿宋" w:hAnsi="仿宋" w:eastAsia="仿宋"/>
          <w:color w:val="auto"/>
          <w:sz w:val="24"/>
        </w:rPr>
        <w:t>24.开标程序</w:t>
      </w:r>
    </w:p>
    <w:p w14:paraId="1EF1204E">
      <w:pPr>
        <w:autoSpaceDE w:val="0"/>
        <w:autoSpaceDN w:val="0"/>
        <w:adjustRightInd w:val="0"/>
        <w:spacing w:line="440" w:lineRule="exact"/>
        <w:ind w:firstLine="420" w:firstLineChars="200"/>
        <w:rPr>
          <w:rFonts w:ascii="仿宋" w:hAnsi="仿宋" w:eastAsia="仿宋"/>
          <w:color w:val="auto"/>
          <w:kern w:val="0"/>
          <w:szCs w:val="21"/>
        </w:rPr>
      </w:pPr>
      <w:r>
        <w:rPr>
          <w:rFonts w:hint="eastAsia" w:ascii="仿宋" w:hAnsi="仿宋" w:eastAsia="仿宋"/>
          <w:bCs/>
          <w:color w:val="auto"/>
          <w:szCs w:val="21"/>
        </w:rPr>
        <w:t>24.1</w:t>
      </w:r>
      <w:r>
        <w:rPr>
          <w:rFonts w:hint="eastAsia" w:ascii="仿宋" w:hAnsi="仿宋" w:eastAsia="仿宋"/>
          <w:color w:val="auto"/>
          <w:kern w:val="0"/>
          <w:szCs w:val="21"/>
        </w:rPr>
        <w:t>开标形式：</w:t>
      </w:r>
    </w:p>
    <w:p w14:paraId="1F145A9D">
      <w:pPr>
        <w:autoSpaceDE w:val="0"/>
        <w:autoSpaceDN w:val="0"/>
        <w:adjustRightInd w:val="0"/>
        <w:spacing w:line="440" w:lineRule="exact"/>
        <w:ind w:firstLine="420" w:firstLineChars="200"/>
        <w:rPr>
          <w:rFonts w:ascii="仿宋" w:hAnsi="仿宋" w:eastAsia="仿宋"/>
          <w:bCs/>
          <w:color w:val="auto"/>
          <w:szCs w:val="21"/>
        </w:rPr>
      </w:pPr>
      <w:r>
        <w:rPr>
          <w:rFonts w:hint="eastAsia" w:ascii="仿宋" w:hAnsi="仿宋" w:eastAsia="仿宋"/>
          <w:bCs/>
          <w:color w:val="auto"/>
          <w:szCs w:val="21"/>
        </w:rPr>
        <w:t>采购代理机构将按照招标文件规定的时间通过广西政府采购云平台组织线上开标活动、开启投标文件，所有供应商均应当准时在线参加。投标人</w:t>
      </w:r>
      <w:r>
        <w:rPr>
          <w:rFonts w:ascii="仿宋" w:hAnsi="仿宋" w:eastAsia="仿宋"/>
          <w:bCs/>
          <w:color w:val="auto"/>
          <w:szCs w:val="21"/>
        </w:rPr>
        <w:t>如不</w:t>
      </w:r>
      <w:r>
        <w:rPr>
          <w:rFonts w:hint="eastAsia" w:ascii="仿宋" w:hAnsi="仿宋" w:eastAsia="仿宋"/>
          <w:bCs/>
          <w:color w:val="auto"/>
          <w:szCs w:val="21"/>
        </w:rPr>
        <w:t>参加</w:t>
      </w:r>
      <w:r>
        <w:rPr>
          <w:rFonts w:ascii="仿宋" w:hAnsi="仿宋" w:eastAsia="仿宋"/>
          <w:bCs/>
          <w:color w:val="auto"/>
          <w:szCs w:val="21"/>
        </w:rPr>
        <w:t>开标大会的，</w:t>
      </w:r>
      <w:r>
        <w:rPr>
          <w:rFonts w:hint="eastAsia" w:ascii="仿宋" w:hAnsi="仿宋" w:eastAsia="仿宋"/>
          <w:bCs/>
          <w:color w:val="auto"/>
          <w:szCs w:val="21"/>
        </w:rPr>
        <w:t>视同认可开标结果，</w:t>
      </w:r>
      <w:r>
        <w:rPr>
          <w:rFonts w:ascii="仿宋" w:hAnsi="仿宋" w:eastAsia="仿宋"/>
          <w:bCs/>
          <w:color w:val="auto"/>
          <w:szCs w:val="21"/>
        </w:rPr>
        <w:t>事后不得对采购相关人员、开标过程和开标结果提出异议</w:t>
      </w:r>
      <w:r>
        <w:rPr>
          <w:rFonts w:hint="eastAsia" w:ascii="仿宋" w:hAnsi="仿宋" w:eastAsia="仿宋"/>
          <w:bCs/>
          <w:color w:val="auto"/>
          <w:szCs w:val="21"/>
        </w:rPr>
        <w:t>，同时投标人因未在线参加开标而导致投标文件无法按时解密等一切后果由投标人自己承担。</w:t>
      </w:r>
    </w:p>
    <w:p w14:paraId="500177BE">
      <w:pPr>
        <w:autoSpaceDE w:val="0"/>
        <w:autoSpaceDN w:val="0"/>
        <w:adjustRightInd w:val="0"/>
        <w:spacing w:line="440" w:lineRule="exact"/>
        <w:ind w:firstLine="420" w:firstLineChars="200"/>
        <w:rPr>
          <w:rFonts w:ascii="仿宋" w:hAnsi="仿宋" w:eastAsia="仿宋"/>
          <w:bCs/>
          <w:color w:val="auto"/>
          <w:szCs w:val="21"/>
        </w:rPr>
      </w:pPr>
      <w:r>
        <w:rPr>
          <w:rFonts w:hint="eastAsia" w:ascii="仿宋" w:hAnsi="仿宋" w:eastAsia="仿宋"/>
          <w:bCs/>
          <w:color w:val="auto"/>
          <w:szCs w:val="21"/>
        </w:rPr>
        <w:t>24.2</w:t>
      </w:r>
      <w:r>
        <w:rPr>
          <w:rFonts w:ascii="仿宋" w:hAnsi="仿宋" w:eastAsia="仿宋"/>
          <w:bCs/>
          <w:color w:val="auto"/>
          <w:szCs w:val="21"/>
        </w:rPr>
        <w:t>开</w:t>
      </w:r>
      <w:r>
        <w:rPr>
          <w:rFonts w:hint="eastAsia" w:ascii="仿宋" w:hAnsi="仿宋" w:eastAsia="仿宋"/>
          <w:bCs/>
          <w:color w:val="auto"/>
          <w:szCs w:val="21"/>
        </w:rPr>
        <w:t>标</w:t>
      </w:r>
      <w:r>
        <w:rPr>
          <w:rFonts w:ascii="仿宋" w:hAnsi="仿宋" w:eastAsia="仿宋"/>
          <w:bCs/>
          <w:color w:val="auto"/>
          <w:szCs w:val="21"/>
        </w:rPr>
        <w:t>程序：</w:t>
      </w:r>
    </w:p>
    <w:p w14:paraId="7BED1B41">
      <w:pPr>
        <w:autoSpaceDE w:val="0"/>
        <w:autoSpaceDN w:val="0"/>
        <w:adjustRightInd w:val="0"/>
        <w:spacing w:line="440" w:lineRule="exact"/>
        <w:ind w:firstLine="420" w:firstLineChars="200"/>
        <w:rPr>
          <w:rFonts w:ascii="仿宋" w:hAnsi="仿宋" w:eastAsia="仿宋"/>
          <w:bCs/>
          <w:color w:val="auto"/>
          <w:szCs w:val="21"/>
        </w:rPr>
      </w:pPr>
      <w:r>
        <w:rPr>
          <w:rFonts w:hint="eastAsia" w:ascii="仿宋" w:hAnsi="仿宋" w:eastAsia="仿宋"/>
          <w:bCs/>
          <w:color w:val="auto"/>
          <w:szCs w:val="21"/>
        </w:rPr>
        <w:t>（1）解密电子投标文件。广西政府采购云平台按开标时间自动提取所有投标文件。采购代理机构依托广西政府采购云平台向各投标人发出电子加密投标文件【开始解密】通知，由投标人进行投标文件解密。</w:t>
      </w:r>
      <w:r>
        <w:rPr>
          <w:rFonts w:hint="eastAsia" w:ascii="仿宋" w:hAnsi="仿宋" w:eastAsia="仿宋"/>
          <w:b/>
          <w:bCs/>
          <w:color w:val="auto"/>
          <w:szCs w:val="21"/>
        </w:rPr>
        <w:t>投标人的法定代表人或其委托代理人须携带加密时所用的CA锁准时登录到广西政府采购云平台电子开标大厅签到</w:t>
      </w:r>
      <w:r>
        <w:rPr>
          <w:rFonts w:hint="eastAsia" w:ascii="仿宋" w:hAnsi="仿宋" w:eastAsia="仿宋" w:cs="宋体"/>
          <w:b/>
          <w:color w:val="auto"/>
          <w:szCs w:val="21"/>
        </w:rPr>
        <w:t>并在发起解密</w:t>
      </w:r>
      <w:r>
        <w:rPr>
          <w:rFonts w:hint="eastAsia" w:ascii="仿宋" w:hAnsi="仿宋" w:eastAsia="仿宋"/>
          <w:b/>
          <w:bCs/>
          <w:color w:val="auto"/>
          <w:szCs w:val="21"/>
        </w:rPr>
        <w:t>通知</w:t>
      </w:r>
      <w:r>
        <w:rPr>
          <w:rFonts w:hint="eastAsia" w:ascii="仿宋" w:hAnsi="仿宋" w:eastAsia="仿宋" w:cs="宋体"/>
          <w:b/>
          <w:color w:val="auto"/>
          <w:szCs w:val="21"/>
        </w:rPr>
        <w:t>之时起30分钟内完成</w:t>
      </w:r>
      <w:r>
        <w:rPr>
          <w:rFonts w:hint="eastAsia" w:ascii="仿宋" w:hAnsi="仿宋" w:eastAsia="仿宋"/>
          <w:b/>
          <w:bCs/>
          <w:color w:val="auto"/>
          <w:szCs w:val="21"/>
        </w:rPr>
        <w:t>对电子投标文件解密。投标文件未按时解密的，视为无效投标。</w:t>
      </w:r>
      <w:r>
        <w:rPr>
          <w:rFonts w:hint="eastAsia" w:ascii="仿宋" w:hAnsi="仿宋" w:eastAsia="仿宋"/>
          <w:bCs/>
          <w:color w:val="auto"/>
          <w:szCs w:val="21"/>
        </w:rPr>
        <w:t>（解密异常情况处理：详见本章29.4 电子交易活动的中止。</w:t>
      </w:r>
    </w:p>
    <w:p w14:paraId="655BC7F1">
      <w:pPr>
        <w:autoSpaceDE w:val="0"/>
        <w:autoSpaceDN w:val="0"/>
        <w:adjustRightInd w:val="0"/>
        <w:spacing w:line="440" w:lineRule="exact"/>
        <w:ind w:firstLine="420" w:firstLineChars="200"/>
        <w:rPr>
          <w:rFonts w:ascii="仿宋" w:hAnsi="仿宋" w:eastAsia="仿宋"/>
          <w:bCs/>
          <w:color w:val="auto"/>
          <w:szCs w:val="21"/>
        </w:rPr>
      </w:pPr>
      <w:r>
        <w:rPr>
          <w:rFonts w:hint="eastAsia" w:ascii="仿宋" w:hAnsi="仿宋" w:eastAsia="仿宋"/>
          <w:bCs/>
          <w:color w:val="auto"/>
          <w:szCs w:val="21"/>
        </w:rPr>
        <w:t>（2）电子唱标。投标文件解密结束，各投标供应商报价均在广西政府采购云平台远程不见面开标大厅展示；</w:t>
      </w:r>
    </w:p>
    <w:p w14:paraId="72A7F01E">
      <w:pPr>
        <w:autoSpaceDE w:val="0"/>
        <w:autoSpaceDN w:val="0"/>
        <w:adjustRightInd w:val="0"/>
        <w:spacing w:line="440" w:lineRule="exact"/>
        <w:ind w:firstLine="420" w:firstLineChars="200"/>
        <w:rPr>
          <w:rFonts w:ascii="仿宋" w:hAnsi="仿宋" w:eastAsia="仿宋"/>
          <w:bCs/>
          <w:color w:val="auto"/>
          <w:szCs w:val="21"/>
        </w:rPr>
      </w:pPr>
      <w:r>
        <w:rPr>
          <w:rFonts w:hint="eastAsia" w:ascii="仿宋" w:hAnsi="仿宋" w:eastAsia="仿宋"/>
          <w:bCs/>
          <w:color w:val="auto"/>
          <w:szCs w:val="21"/>
        </w:rPr>
        <w:t>（3）签署电子《政府采购活动现场确认声明书》。通过邮件形式在远程不见面开标大厅发送各投标人签署电子《政府采购活动现场确认声明书》。</w:t>
      </w:r>
    </w:p>
    <w:p w14:paraId="4569E113">
      <w:pPr>
        <w:autoSpaceDE w:val="0"/>
        <w:autoSpaceDN w:val="0"/>
        <w:adjustRightInd w:val="0"/>
        <w:spacing w:line="440" w:lineRule="exact"/>
        <w:ind w:firstLine="420" w:firstLineChars="200"/>
        <w:rPr>
          <w:rFonts w:ascii="仿宋" w:hAnsi="仿宋" w:eastAsia="仿宋"/>
          <w:bCs/>
          <w:color w:val="auto"/>
          <w:szCs w:val="21"/>
        </w:rPr>
      </w:pPr>
      <w:r>
        <w:rPr>
          <w:rFonts w:hint="eastAsia" w:ascii="仿宋" w:hAnsi="仿宋" w:eastAsia="仿宋"/>
          <w:bCs/>
          <w:color w:val="auto"/>
          <w:szCs w:val="21"/>
        </w:rPr>
        <w:t>（4）开标过程由采购代理机构如实记录，并电子留痕，由参加电子开标的各投标人代表对电子开标记录在开标记录公布后15分钟内进行当场校核及勘误，并线上确认，未确认的视同认可开标结果。</w:t>
      </w:r>
    </w:p>
    <w:p w14:paraId="3FDBA70B">
      <w:pPr>
        <w:autoSpaceDE w:val="0"/>
        <w:autoSpaceDN w:val="0"/>
        <w:adjustRightInd w:val="0"/>
        <w:spacing w:line="440" w:lineRule="exact"/>
        <w:ind w:firstLine="420" w:firstLineChars="200"/>
        <w:rPr>
          <w:rFonts w:ascii="仿宋" w:hAnsi="仿宋" w:eastAsia="仿宋"/>
          <w:bCs/>
          <w:color w:val="auto"/>
          <w:szCs w:val="21"/>
        </w:rPr>
      </w:pPr>
      <w:r>
        <w:rPr>
          <w:rFonts w:hint="eastAsia" w:ascii="仿宋" w:hAnsi="仿宋" w:eastAsia="仿宋"/>
          <w:bCs/>
          <w:color w:val="auto"/>
          <w:szCs w:val="21"/>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25E3C37E">
      <w:pPr>
        <w:autoSpaceDE w:val="0"/>
        <w:autoSpaceDN w:val="0"/>
        <w:adjustRightInd w:val="0"/>
        <w:spacing w:line="440" w:lineRule="exact"/>
        <w:ind w:firstLine="420" w:firstLineChars="200"/>
        <w:rPr>
          <w:rFonts w:ascii="仿宋" w:hAnsi="仿宋" w:eastAsia="仿宋"/>
          <w:bCs/>
          <w:color w:val="auto"/>
          <w:szCs w:val="21"/>
        </w:rPr>
      </w:pPr>
      <w:r>
        <w:rPr>
          <w:rFonts w:hint="eastAsia" w:ascii="仿宋" w:hAnsi="仿宋" w:eastAsia="仿宋"/>
          <w:bCs/>
          <w:color w:val="auto"/>
          <w:szCs w:val="21"/>
        </w:rPr>
        <w:t>（6）开标结束。</w:t>
      </w:r>
    </w:p>
    <w:p w14:paraId="796937D5">
      <w:pPr>
        <w:autoSpaceDE w:val="0"/>
        <w:autoSpaceDN w:val="0"/>
        <w:adjustRightInd w:val="0"/>
        <w:spacing w:line="440" w:lineRule="exact"/>
        <w:ind w:firstLine="422" w:firstLineChars="200"/>
        <w:rPr>
          <w:rFonts w:ascii="仿宋" w:hAnsi="仿宋" w:eastAsia="仿宋"/>
          <w:b/>
          <w:bCs/>
          <w:color w:val="auto"/>
          <w:szCs w:val="21"/>
        </w:rPr>
      </w:pPr>
      <w:r>
        <w:rPr>
          <w:rFonts w:hint="eastAsia" w:ascii="仿宋" w:hAnsi="仿宋" w:eastAsia="仿宋"/>
          <w:b/>
          <w:bCs/>
          <w:color w:val="auto"/>
          <w:szCs w:val="21"/>
        </w:rPr>
        <w:t>特别说明：如遇广西政府采购云平台电子化开标或评审程序调整的，按调整后执行。</w:t>
      </w:r>
    </w:p>
    <w:p w14:paraId="2758C66B">
      <w:pPr>
        <w:pStyle w:val="26"/>
        <w:snapToGrid w:val="0"/>
        <w:spacing w:line="360" w:lineRule="auto"/>
        <w:ind w:left="689" w:leftChars="228" w:hanging="210" w:hangingChars="100"/>
        <w:rPr>
          <w:rFonts w:ascii="仿宋" w:hAnsi="仿宋" w:eastAsia="仿宋"/>
          <w:color w:val="auto"/>
          <w:sz w:val="21"/>
        </w:rPr>
      </w:pPr>
    </w:p>
    <w:p w14:paraId="684557BC">
      <w:pPr>
        <w:pStyle w:val="5"/>
        <w:keepNext w:val="0"/>
        <w:keepLines w:val="0"/>
        <w:jc w:val="center"/>
        <w:rPr>
          <w:rFonts w:ascii="仿宋" w:hAnsi="仿宋" w:eastAsia="仿宋"/>
          <w:color w:val="auto"/>
        </w:rPr>
      </w:pPr>
      <w:r>
        <w:rPr>
          <w:rFonts w:hint="eastAsia" w:ascii="仿宋" w:hAnsi="仿宋" w:eastAsia="仿宋"/>
          <w:color w:val="auto"/>
        </w:rPr>
        <w:t>五、资格审查</w:t>
      </w:r>
    </w:p>
    <w:p w14:paraId="6ED297FC">
      <w:pPr>
        <w:pStyle w:val="7"/>
        <w:keepNext w:val="0"/>
        <w:keepLines w:val="0"/>
        <w:spacing w:before="0" w:after="0" w:line="360" w:lineRule="auto"/>
        <w:ind w:left="420" w:leftChars="200"/>
        <w:rPr>
          <w:rFonts w:ascii="仿宋" w:hAnsi="仿宋" w:eastAsia="仿宋"/>
          <w:color w:val="auto"/>
          <w:sz w:val="24"/>
        </w:rPr>
      </w:pPr>
      <w:r>
        <w:rPr>
          <w:rFonts w:hint="eastAsia" w:ascii="仿宋" w:hAnsi="仿宋" w:eastAsia="仿宋"/>
          <w:color w:val="auto"/>
          <w:sz w:val="24"/>
        </w:rPr>
        <w:t>25.资格审查</w:t>
      </w:r>
    </w:p>
    <w:p w14:paraId="58EEC96D">
      <w:pPr>
        <w:pStyle w:val="7"/>
        <w:keepNext w:val="0"/>
        <w:keepLines w:val="0"/>
        <w:spacing w:before="0" w:after="0" w:line="360" w:lineRule="auto"/>
        <w:ind w:firstLine="315" w:firstLineChars="150"/>
        <w:rPr>
          <w:rFonts w:ascii="仿宋" w:hAnsi="仿宋" w:eastAsia="仿宋"/>
          <w:b w:val="0"/>
          <w:color w:val="auto"/>
          <w:sz w:val="21"/>
          <w:szCs w:val="21"/>
        </w:rPr>
      </w:pPr>
      <w:r>
        <w:rPr>
          <w:rFonts w:hint="eastAsia" w:ascii="仿宋" w:hAnsi="仿宋" w:eastAsia="仿宋"/>
          <w:b w:val="0"/>
          <w:color w:val="auto"/>
          <w:sz w:val="21"/>
          <w:szCs w:val="21"/>
        </w:rPr>
        <w:t xml:space="preserve"> 25.1</w:t>
      </w:r>
      <w:r>
        <w:rPr>
          <w:rFonts w:ascii="仿宋" w:hAnsi="仿宋" w:eastAsia="仿宋"/>
          <w:b w:val="0"/>
          <w:color w:val="auto"/>
          <w:sz w:val="21"/>
          <w:szCs w:val="21"/>
        </w:rPr>
        <w:t>开标结束后，</w:t>
      </w:r>
      <w:r>
        <w:rPr>
          <w:rFonts w:hint="eastAsia" w:ascii="仿宋" w:hAnsi="仿宋" w:eastAsia="仿宋"/>
          <w:b w:val="0"/>
          <w:color w:val="auto"/>
          <w:sz w:val="21"/>
          <w:szCs w:val="21"/>
        </w:rPr>
        <w:t>采购人或者采购代理机构</w:t>
      </w:r>
      <w:r>
        <w:rPr>
          <w:rFonts w:ascii="仿宋" w:hAnsi="仿宋" w:eastAsia="仿宋"/>
          <w:b w:val="0"/>
          <w:color w:val="auto"/>
          <w:sz w:val="21"/>
          <w:szCs w:val="21"/>
        </w:rPr>
        <w:t>依法对投标人的资格进行审查。</w:t>
      </w:r>
    </w:p>
    <w:p w14:paraId="793E963C">
      <w:pPr>
        <w:pStyle w:val="7"/>
        <w:keepNext w:val="0"/>
        <w:keepLines w:val="0"/>
        <w:spacing w:before="0" w:after="0" w:line="360" w:lineRule="auto"/>
        <w:ind w:firstLine="315" w:firstLineChars="150"/>
        <w:rPr>
          <w:rFonts w:ascii="仿宋" w:hAnsi="仿宋" w:eastAsia="仿宋"/>
          <w:b w:val="0"/>
          <w:color w:val="auto"/>
          <w:sz w:val="21"/>
          <w:szCs w:val="21"/>
        </w:rPr>
      </w:pPr>
      <w:r>
        <w:rPr>
          <w:rFonts w:hint="eastAsia" w:ascii="仿宋" w:hAnsi="仿宋" w:eastAsia="仿宋"/>
          <w:b w:val="0"/>
          <w:color w:val="auto"/>
          <w:sz w:val="21"/>
          <w:szCs w:val="21"/>
        </w:rPr>
        <w:t xml:space="preserve"> 25.2资格审查标准为本招标文件中载明对投标人资格要求的条件。本项目资格审查采用合格制，凡符合招标文件规定的投标人资格要求的投标人均通过资格审查。</w:t>
      </w:r>
    </w:p>
    <w:p w14:paraId="1DED3087">
      <w:pPr>
        <w:pStyle w:val="7"/>
        <w:keepNext w:val="0"/>
        <w:keepLines w:val="0"/>
        <w:spacing w:before="0" w:after="0" w:line="360" w:lineRule="auto"/>
        <w:ind w:firstLine="422" w:firstLineChars="200"/>
        <w:rPr>
          <w:rFonts w:ascii="仿宋" w:hAnsi="仿宋" w:eastAsia="仿宋"/>
          <w:color w:val="auto"/>
          <w:sz w:val="21"/>
          <w:szCs w:val="21"/>
        </w:rPr>
      </w:pPr>
      <w:bookmarkStart w:id="123" w:name="_25.3_投标人有下列情形之一的，资格审查不通过而导致其投标无效："/>
      <w:bookmarkEnd w:id="123"/>
      <w:r>
        <w:rPr>
          <w:rFonts w:hint="eastAsia" w:ascii="仿宋" w:hAnsi="仿宋" w:eastAsia="仿宋"/>
          <w:color w:val="auto"/>
          <w:sz w:val="21"/>
          <w:szCs w:val="21"/>
        </w:rPr>
        <w:t>25.3 投标人有下列情形之一的，资格审查不通过，作无效投标处理：</w:t>
      </w:r>
    </w:p>
    <w:p w14:paraId="6B02B651">
      <w:pPr>
        <w:pStyle w:val="26"/>
        <w:snapToGrid w:val="0"/>
        <w:spacing w:line="360" w:lineRule="auto"/>
        <w:ind w:firstLine="422" w:firstLineChars="200"/>
        <w:rPr>
          <w:rFonts w:ascii="仿宋" w:hAnsi="仿宋" w:eastAsia="仿宋"/>
          <w:b/>
          <w:color w:val="auto"/>
          <w:sz w:val="21"/>
        </w:rPr>
      </w:pPr>
      <w:r>
        <w:rPr>
          <w:rFonts w:hint="eastAsia" w:ascii="仿宋" w:hAnsi="仿宋" w:eastAsia="仿宋"/>
          <w:b/>
          <w:color w:val="auto"/>
          <w:sz w:val="21"/>
        </w:rPr>
        <w:t>（1）未按招标文件规定的方式获取本招标文件的投标人；</w:t>
      </w:r>
    </w:p>
    <w:p w14:paraId="1D719CAA">
      <w:pPr>
        <w:pStyle w:val="26"/>
        <w:snapToGrid w:val="0"/>
        <w:spacing w:line="360" w:lineRule="auto"/>
        <w:ind w:firstLine="422" w:firstLineChars="200"/>
        <w:rPr>
          <w:rFonts w:ascii="仿宋" w:hAnsi="仿宋" w:eastAsia="仿宋"/>
          <w:b/>
          <w:color w:val="auto"/>
          <w:sz w:val="21"/>
        </w:rPr>
      </w:pPr>
      <w:r>
        <w:rPr>
          <w:rFonts w:hint="eastAsia" w:ascii="仿宋" w:hAnsi="仿宋" w:eastAsia="仿宋"/>
          <w:b/>
          <w:color w:val="auto"/>
          <w:sz w:val="21"/>
        </w:rPr>
        <w:t>（2）不具备招标文件中规定的资格要求的；</w:t>
      </w:r>
    </w:p>
    <w:p w14:paraId="2E303A0C">
      <w:pPr>
        <w:pStyle w:val="26"/>
        <w:snapToGrid w:val="0"/>
        <w:spacing w:line="360" w:lineRule="auto"/>
        <w:ind w:firstLine="422" w:firstLineChars="200"/>
        <w:rPr>
          <w:rFonts w:ascii="仿宋" w:hAnsi="仿宋" w:eastAsia="仿宋"/>
          <w:b/>
          <w:color w:val="auto"/>
          <w:sz w:val="21"/>
        </w:rPr>
      </w:pPr>
      <w:r>
        <w:rPr>
          <w:rFonts w:hint="eastAsia" w:ascii="仿宋" w:hAnsi="仿宋" w:eastAsia="仿宋"/>
          <w:b/>
          <w:color w:val="auto"/>
          <w:sz w:val="21"/>
        </w:rPr>
        <w:t>（3）在“信用中国”网站（www.creditchina.gov.cn） 、中国政府采购网（www.ccgp.gov.cn）被列入失信被执行人、重大税收违法案件当事人名单、政府采购严重违法失信行为记录名单及其他不符合《中华人民共和国政府采购法》第二十二条规定条件的；（注：其中信用查询规则见“投标人须知前附表”）</w:t>
      </w:r>
    </w:p>
    <w:p w14:paraId="11139930">
      <w:pPr>
        <w:pStyle w:val="26"/>
        <w:snapToGrid w:val="0"/>
        <w:spacing w:line="360" w:lineRule="auto"/>
        <w:ind w:firstLine="422" w:firstLineChars="200"/>
        <w:rPr>
          <w:rFonts w:ascii="仿宋" w:hAnsi="仿宋" w:eastAsia="仿宋"/>
          <w:b/>
          <w:color w:val="auto"/>
          <w:sz w:val="21"/>
        </w:rPr>
      </w:pPr>
      <w:r>
        <w:rPr>
          <w:rFonts w:hint="eastAsia" w:ascii="仿宋" w:hAnsi="仿宋" w:eastAsia="仿宋"/>
          <w:b/>
          <w:color w:val="auto"/>
          <w:sz w:val="21"/>
        </w:rPr>
        <w:t>（4）同一合同项下的不同投标人，单位负责人为同一人或者存在直接控股、管理关系的；为本项目提供过整体设计、规范编制或者项目管理、监理、检测等服务的供应商，再参加该采购项目的其他采购活动的；</w:t>
      </w:r>
    </w:p>
    <w:p w14:paraId="6DE9354D">
      <w:pPr>
        <w:pStyle w:val="26"/>
        <w:snapToGrid w:val="0"/>
        <w:spacing w:line="360" w:lineRule="auto"/>
        <w:ind w:firstLine="422" w:firstLineChars="200"/>
        <w:rPr>
          <w:rFonts w:ascii="仿宋" w:hAnsi="仿宋" w:eastAsia="仿宋"/>
          <w:b/>
          <w:color w:val="auto"/>
          <w:sz w:val="21"/>
        </w:rPr>
      </w:pPr>
      <w:r>
        <w:rPr>
          <w:rFonts w:hint="eastAsia" w:ascii="仿宋" w:hAnsi="仿宋" w:eastAsia="仿宋"/>
          <w:b/>
          <w:color w:val="auto"/>
          <w:sz w:val="21"/>
        </w:rPr>
        <w:t>（</w:t>
      </w:r>
      <w:r>
        <w:rPr>
          <w:rFonts w:ascii="仿宋" w:hAnsi="仿宋" w:eastAsia="仿宋"/>
          <w:b/>
          <w:color w:val="auto"/>
          <w:sz w:val="21"/>
        </w:rPr>
        <w:t>5</w:t>
      </w:r>
      <w:r>
        <w:rPr>
          <w:rFonts w:hint="eastAsia" w:ascii="仿宋" w:hAnsi="仿宋" w:eastAsia="仿宋"/>
          <w:b/>
          <w:color w:val="auto"/>
          <w:sz w:val="21"/>
        </w:rPr>
        <w:t>）投标文件中的资格证明文件缺少任一项“投标人须知前附表”资格证明文件规定“必须提供”的文件资料的；</w:t>
      </w:r>
    </w:p>
    <w:p w14:paraId="6EDCA789">
      <w:pPr>
        <w:pStyle w:val="26"/>
        <w:snapToGrid w:val="0"/>
        <w:spacing w:line="360" w:lineRule="auto"/>
        <w:ind w:firstLine="422" w:firstLineChars="200"/>
        <w:rPr>
          <w:rFonts w:ascii="仿宋" w:hAnsi="仿宋" w:eastAsia="仿宋"/>
          <w:b/>
          <w:color w:val="auto"/>
          <w:sz w:val="21"/>
        </w:rPr>
      </w:pPr>
      <w:r>
        <w:rPr>
          <w:rFonts w:hint="eastAsia" w:ascii="仿宋" w:hAnsi="仿宋" w:eastAsia="仿宋"/>
          <w:b/>
          <w:color w:val="auto"/>
          <w:sz w:val="21"/>
        </w:rPr>
        <w:t>（</w:t>
      </w:r>
      <w:r>
        <w:rPr>
          <w:rFonts w:ascii="仿宋" w:hAnsi="仿宋" w:eastAsia="仿宋"/>
          <w:b/>
          <w:color w:val="auto"/>
          <w:sz w:val="21"/>
        </w:rPr>
        <w:t>6</w:t>
      </w:r>
      <w:r>
        <w:rPr>
          <w:rFonts w:hint="eastAsia" w:ascii="仿宋" w:hAnsi="仿宋" w:eastAsia="仿宋"/>
          <w:b/>
          <w:color w:val="auto"/>
          <w:sz w:val="21"/>
        </w:rPr>
        <w:t>）投标文件中的资格证明文件出现任一项不符合“投标人须知前附表”资格证明文件规定“必须提供”的文件资料要求或者无效的。</w:t>
      </w:r>
    </w:p>
    <w:p w14:paraId="5A5BD53F">
      <w:pPr>
        <w:pStyle w:val="7"/>
        <w:keepNext w:val="0"/>
        <w:keepLines w:val="0"/>
        <w:spacing w:before="0" w:after="0" w:line="360" w:lineRule="auto"/>
        <w:ind w:left="420" w:leftChars="200"/>
        <w:rPr>
          <w:rFonts w:ascii="仿宋" w:hAnsi="仿宋" w:eastAsia="仿宋"/>
          <w:b w:val="0"/>
          <w:color w:val="auto"/>
          <w:sz w:val="21"/>
          <w:szCs w:val="21"/>
        </w:rPr>
      </w:pPr>
      <w:r>
        <w:rPr>
          <w:rFonts w:hint="eastAsia" w:ascii="仿宋" w:hAnsi="仿宋" w:eastAsia="仿宋"/>
          <w:color w:val="auto"/>
          <w:sz w:val="21"/>
          <w:szCs w:val="21"/>
        </w:rPr>
        <w:t>25.4</w:t>
      </w:r>
      <w:r>
        <w:rPr>
          <w:rFonts w:ascii="仿宋" w:hAnsi="仿宋" w:eastAsia="仿宋"/>
          <w:color w:val="auto"/>
          <w:sz w:val="21"/>
          <w:szCs w:val="21"/>
        </w:rPr>
        <w:t>合格投标人不足3家的，不得评标。</w:t>
      </w:r>
    </w:p>
    <w:p w14:paraId="3AB0806C">
      <w:pPr>
        <w:pStyle w:val="26"/>
        <w:snapToGrid w:val="0"/>
        <w:spacing w:line="360" w:lineRule="auto"/>
        <w:ind w:left="689" w:leftChars="228" w:hanging="210" w:hangingChars="100"/>
        <w:rPr>
          <w:rFonts w:ascii="仿宋" w:hAnsi="仿宋" w:eastAsia="仿宋"/>
          <w:color w:val="auto"/>
          <w:sz w:val="21"/>
        </w:rPr>
      </w:pPr>
    </w:p>
    <w:p w14:paraId="04835505">
      <w:pPr>
        <w:pStyle w:val="5"/>
        <w:keepNext w:val="0"/>
        <w:keepLines w:val="0"/>
        <w:jc w:val="center"/>
        <w:rPr>
          <w:rFonts w:ascii="仿宋" w:hAnsi="仿宋" w:eastAsia="仿宋"/>
          <w:color w:val="auto"/>
        </w:rPr>
      </w:pPr>
      <w:r>
        <w:rPr>
          <w:rFonts w:hint="eastAsia" w:ascii="仿宋" w:hAnsi="仿宋" w:eastAsia="仿宋"/>
          <w:color w:val="auto"/>
        </w:rPr>
        <w:t>六、评   标</w:t>
      </w:r>
    </w:p>
    <w:p w14:paraId="154DC619">
      <w:pPr>
        <w:pStyle w:val="7"/>
        <w:keepNext w:val="0"/>
        <w:keepLines w:val="0"/>
        <w:spacing w:before="0" w:after="0" w:line="360" w:lineRule="auto"/>
        <w:ind w:left="420" w:leftChars="200"/>
        <w:rPr>
          <w:rFonts w:ascii="仿宋" w:hAnsi="仿宋" w:eastAsia="仿宋"/>
          <w:color w:val="auto"/>
          <w:sz w:val="24"/>
        </w:rPr>
      </w:pPr>
      <w:bookmarkStart w:id="124" w:name="_26.组建评标委员会"/>
      <w:bookmarkEnd w:id="124"/>
      <w:r>
        <w:rPr>
          <w:rFonts w:hint="eastAsia" w:ascii="仿宋" w:hAnsi="仿宋" w:eastAsia="仿宋"/>
          <w:color w:val="auto"/>
          <w:sz w:val="24"/>
        </w:rPr>
        <w:t>26.组建评标委员会</w:t>
      </w:r>
    </w:p>
    <w:p w14:paraId="765C67B3">
      <w:pPr>
        <w:pStyle w:val="26"/>
        <w:snapToGrid w:val="0"/>
        <w:spacing w:line="360" w:lineRule="auto"/>
        <w:ind w:firstLine="420" w:firstLineChars="200"/>
        <w:rPr>
          <w:rFonts w:ascii="仿宋" w:hAnsi="仿宋" w:eastAsia="仿宋"/>
          <w:color w:val="auto"/>
          <w:sz w:val="21"/>
        </w:rPr>
      </w:pPr>
      <w:r>
        <w:rPr>
          <w:rFonts w:hint="eastAsia" w:ascii="仿宋" w:hAnsi="仿宋" w:eastAsia="仿宋"/>
          <w:color w:val="auto"/>
          <w:sz w:val="21"/>
        </w:rPr>
        <w:t>评标委员会由采购人代表和评审专家组成，具体人数详见“投标人须知前附表”，其中评审专家不得少于成员总数的三分之二。</w:t>
      </w:r>
    </w:p>
    <w:p w14:paraId="557D2C0F">
      <w:pPr>
        <w:pStyle w:val="26"/>
        <w:snapToGrid w:val="0"/>
        <w:spacing w:line="360" w:lineRule="auto"/>
        <w:ind w:left="2" w:leftChars="1" w:firstLine="420" w:firstLineChars="200"/>
        <w:rPr>
          <w:rFonts w:ascii="仿宋" w:hAnsi="仿宋" w:eastAsia="仿宋"/>
          <w:color w:val="auto"/>
          <w:sz w:val="21"/>
        </w:rPr>
      </w:pPr>
      <w:r>
        <w:rPr>
          <w:rFonts w:hint="eastAsia" w:ascii="仿宋" w:hAnsi="仿宋" w:eastAsia="仿宋"/>
          <w:color w:val="auto"/>
          <w:sz w:val="21"/>
        </w:rPr>
        <w:t>参加过采购项目前期咨询论证的专家，不得参加该采购项目的评审活动。</w:t>
      </w:r>
    </w:p>
    <w:p w14:paraId="5DE7BCAC">
      <w:pPr>
        <w:pStyle w:val="7"/>
        <w:keepNext w:val="0"/>
        <w:keepLines w:val="0"/>
        <w:spacing w:before="0" w:after="0" w:line="360" w:lineRule="auto"/>
        <w:ind w:left="420" w:leftChars="200"/>
        <w:rPr>
          <w:rFonts w:ascii="仿宋" w:hAnsi="仿宋" w:eastAsia="仿宋"/>
          <w:color w:val="auto"/>
          <w:sz w:val="24"/>
        </w:rPr>
      </w:pPr>
      <w:r>
        <w:rPr>
          <w:rFonts w:hint="eastAsia" w:ascii="仿宋" w:hAnsi="仿宋" w:eastAsia="仿宋"/>
          <w:color w:val="auto"/>
          <w:sz w:val="24"/>
        </w:rPr>
        <w:t>27.评标的依据</w:t>
      </w:r>
    </w:p>
    <w:p w14:paraId="68641563">
      <w:pPr>
        <w:pStyle w:val="26"/>
        <w:snapToGrid w:val="0"/>
        <w:spacing w:line="360" w:lineRule="auto"/>
        <w:ind w:firstLine="420" w:firstLineChars="200"/>
        <w:rPr>
          <w:rFonts w:ascii="仿宋" w:hAnsi="仿宋" w:eastAsia="仿宋"/>
          <w:color w:val="auto"/>
          <w:sz w:val="21"/>
        </w:rPr>
      </w:pPr>
      <w:r>
        <w:rPr>
          <w:rFonts w:hint="eastAsia" w:ascii="仿宋" w:hAnsi="仿宋" w:eastAsia="仿宋"/>
          <w:color w:val="auto"/>
          <w:sz w:val="21"/>
        </w:rPr>
        <w:t>评标委员会以</w:t>
      </w:r>
      <w:r>
        <w:rPr>
          <w:rFonts w:hint="eastAsia" w:ascii="仿宋" w:hAnsi="仿宋" w:eastAsia="仿宋" w:cs="宋体"/>
          <w:color w:val="auto"/>
          <w:sz w:val="21"/>
        </w:rPr>
        <w:t>“第四章 评标方法和评标标准”</w:t>
      </w:r>
      <w:r>
        <w:rPr>
          <w:rFonts w:hint="eastAsia" w:ascii="仿宋" w:hAnsi="仿宋" w:eastAsia="仿宋"/>
          <w:color w:val="auto"/>
          <w:sz w:val="21"/>
        </w:rPr>
        <w:t>为依据对投标文件进行评审，</w:t>
      </w:r>
      <w:r>
        <w:rPr>
          <w:rFonts w:ascii="仿宋" w:hAnsi="仿宋" w:eastAsia="仿宋"/>
          <w:color w:val="auto"/>
          <w:sz w:val="21"/>
        </w:rPr>
        <w:t>没有规定的方法、评审因素和标准，不作为评标依据。</w:t>
      </w:r>
    </w:p>
    <w:p w14:paraId="4194DCA0">
      <w:pPr>
        <w:pStyle w:val="7"/>
        <w:keepNext w:val="0"/>
        <w:keepLines w:val="0"/>
        <w:spacing w:before="0" w:after="0" w:line="360" w:lineRule="auto"/>
        <w:ind w:left="420" w:leftChars="200"/>
        <w:rPr>
          <w:rFonts w:ascii="仿宋" w:hAnsi="仿宋" w:eastAsia="仿宋"/>
          <w:color w:val="auto"/>
          <w:sz w:val="24"/>
        </w:rPr>
      </w:pPr>
      <w:r>
        <w:rPr>
          <w:rFonts w:hint="eastAsia" w:ascii="仿宋" w:hAnsi="仿宋" w:eastAsia="仿宋"/>
          <w:color w:val="auto"/>
          <w:sz w:val="24"/>
        </w:rPr>
        <w:t>28.评标原则</w:t>
      </w:r>
    </w:p>
    <w:p w14:paraId="34E754D8">
      <w:pPr>
        <w:pStyle w:val="26"/>
        <w:snapToGrid w:val="0"/>
        <w:spacing w:line="360" w:lineRule="auto"/>
        <w:ind w:firstLine="420" w:firstLineChars="200"/>
        <w:rPr>
          <w:rFonts w:ascii="仿宋" w:hAnsi="仿宋" w:eastAsia="仿宋"/>
          <w:color w:val="auto"/>
          <w:sz w:val="21"/>
        </w:rPr>
      </w:pPr>
      <w:r>
        <w:rPr>
          <w:rFonts w:hint="eastAsia" w:ascii="仿宋" w:hAnsi="仿宋" w:eastAsia="仿宋"/>
          <w:color w:val="auto"/>
          <w:sz w:val="21"/>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356B6AC7">
      <w:pPr>
        <w:pStyle w:val="26"/>
        <w:snapToGrid w:val="0"/>
        <w:spacing w:line="360" w:lineRule="auto"/>
        <w:ind w:firstLine="420" w:firstLineChars="200"/>
        <w:rPr>
          <w:rFonts w:ascii="仿宋" w:hAnsi="仿宋" w:eastAsia="仿宋"/>
          <w:color w:val="auto"/>
          <w:sz w:val="21"/>
        </w:rPr>
      </w:pPr>
      <w:r>
        <w:rPr>
          <w:rFonts w:hint="eastAsia" w:ascii="仿宋" w:hAnsi="仿宋" w:eastAsia="仿宋"/>
          <w:color w:val="auto"/>
          <w:sz w:val="21"/>
        </w:rPr>
        <w:t>28.2</w:t>
      </w:r>
      <w:bookmarkStart w:id="125" w:name="_28.3评标方法。本项目将按须知前附表规定的评标办法进行评标，具体评标"/>
      <w:bookmarkEnd w:id="125"/>
      <w:r>
        <w:rPr>
          <w:rFonts w:hint="eastAsia" w:ascii="仿宋" w:hAnsi="仿宋" w:eastAsia="仿宋"/>
          <w:color w:val="auto"/>
          <w:sz w:val="21"/>
        </w:rPr>
        <w:t>评标委员会表决。评标委员会成员对需要共同认定的事项存在争议的，应当按照少数服从多数的原则作出结论。</w:t>
      </w:r>
    </w:p>
    <w:p w14:paraId="38BD4222">
      <w:pPr>
        <w:pStyle w:val="26"/>
        <w:snapToGrid w:val="0"/>
        <w:spacing w:line="360" w:lineRule="auto"/>
        <w:ind w:firstLine="420" w:firstLineChars="200"/>
        <w:rPr>
          <w:rFonts w:ascii="仿宋" w:hAnsi="仿宋" w:eastAsia="仿宋"/>
          <w:color w:val="auto"/>
          <w:sz w:val="21"/>
        </w:rPr>
      </w:pPr>
      <w:r>
        <w:rPr>
          <w:rFonts w:hint="eastAsia" w:ascii="仿宋" w:hAnsi="仿宋" w:eastAsia="仿宋"/>
          <w:color w:val="auto"/>
          <w:sz w:val="21"/>
        </w:rPr>
        <w:t>28.</w:t>
      </w:r>
      <w:r>
        <w:rPr>
          <w:rFonts w:ascii="仿宋" w:hAnsi="仿宋" w:eastAsia="仿宋"/>
          <w:color w:val="auto"/>
          <w:sz w:val="21"/>
        </w:rPr>
        <w:t>3</w:t>
      </w:r>
      <w:r>
        <w:rPr>
          <w:rFonts w:hint="eastAsia" w:ascii="仿宋" w:hAnsi="仿宋" w:eastAsia="仿宋"/>
          <w:color w:val="auto"/>
          <w:sz w:val="21"/>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3F0C9D72">
      <w:pPr>
        <w:pStyle w:val="26"/>
        <w:snapToGrid w:val="0"/>
        <w:spacing w:line="360" w:lineRule="auto"/>
        <w:ind w:firstLine="420" w:firstLineChars="200"/>
        <w:rPr>
          <w:rFonts w:hint="eastAsia" w:ascii="仿宋" w:hAnsi="仿宋" w:eastAsia="仿宋"/>
          <w:color w:val="auto"/>
          <w:sz w:val="21"/>
        </w:rPr>
      </w:pPr>
      <w:r>
        <w:rPr>
          <w:rFonts w:hint="eastAsia" w:ascii="仿宋" w:hAnsi="仿宋" w:eastAsia="仿宋"/>
          <w:color w:val="auto"/>
          <w:sz w:val="21"/>
        </w:rPr>
        <w:t>2</w:t>
      </w:r>
      <w:r>
        <w:rPr>
          <w:rFonts w:ascii="仿宋" w:hAnsi="仿宋" w:eastAsia="仿宋"/>
          <w:color w:val="auto"/>
          <w:sz w:val="21"/>
        </w:rPr>
        <w:t>8.4</w:t>
      </w:r>
      <w:r>
        <w:rPr>
          <w:rFonts w:hint="eastAsia" w:ascii="仿宋" w:hAnsi="仿宋" w:eastAsia="仿宋"/>
          <w:color w:val="auto"/>
          <w:sz w:val="21"/>
        </w:rPr>
        <w:t>评标过程的监控。本项目评标过程实行全程录音、录像监控，</w:t>
      </w:r>
      <w:r>
        <w:rPr>
          <w:rFonts w:hint="eastAsia" w:ascii="仿宋" w:hAnsi="仿宋" w:eastAsia="仿宋"/>
          <w:b/>
          <w:bCs/>
          <w:color w:val="auto"/>
          <w:sz w:val="21"/>
        </w:rPr>
        <w:t>投标人在评标过程中所进行的试图影响评标结果的不公正活动，可能导致其投标无效</w:t>
      </w:r>
      <w:r>
        <w:rPr>
          <w:rFonts w:hint="eastAsia" w:ascii="仿宋" w:hAnsi="仿宋" w:eastAsia="仿宋"/>
          <w:color w:val="auto"/>
          <w:sz w:val="21"/>
        </w:rPr>
        <w:t>。</w:t>
      </w:r>
    </w:p>
    <w:p w14:paraId="04109DB7">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jc w:val="both"/>
        <w:textAlignment w:val="auto"/>
        <w:rPr>
          <w:rFonts w:hint="eastAsia" w:ascii="仿宋" w:hAnsi="仿宋" w:eastAsia="仿宋" w:cs="Times New Roman"/>
          <w:b w:val="0"/>
          <w:bCs w:val="0"/>
          <w:color w:val="auto"/>
          <w:kern w:val="0"/>
          <w:sz w:val="21"/>
          <w:szCs w:val="21"/>
          <w:lang w:val="en-US" w:eastAsia="zh-CN" w:bidi="ar-SA"/>
        </w:rPr>
      </w:pPr>
      <w:r>
        <w:rPr>
          <w:rFonts w:hint="eastAsia" w:ascii="仿宋" w:hAnsi="仿宋" w:eastAsia="仿宋" w:cs="Times New Roman"/>
          <w:b w:val="0"/>
          <w:bCs w:val="0"/>
          <w:color w:val="auto"/>
          <w:kern w:val="0"/>
          <w:sz w:val="21"/>
          <w:szCs w:val="21"/>
          <w:lang w:val="en-US" w:eastAsia="zh-CN" w:bidi="ar-SA"/>
        </w:rPr>
        <w:t>28.5政府采购异常低价审查</w:t>
      </w:r>
    </w:p>
    <w:p w14:paraId="101BF0BA">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jc w:val="both"/>
        <w:textAlignment w:val="auto"/>
        <w:rPr>
          <w:rFonts w:hint="eastAsia" w:ascii="仿宋" w:hAnsi="仿宋" w:eastAsia="仿宋" w:cs="Times New Roman"/>
          <w:b w:val="0"/>
          <w:bCs w:val="0"/>
          <w:color w:val="auto"/>
          <w:kern w:val="0"/>
          <w:sz w:val="21"/>
          <w:szCs w:val="21"/>
          <w:lang w:val="en-US" w:eastAsia="zh-CN" w:bidi="ar-SA"/>
        </w:rPr>
      </w:pPr>
      <w:r>
        <w:rPr>
          <w:rFonts w:hint="eastAsia" w:ascii="仿宋" w:hAnsi="仿宋" w:eastAsia="仿宋" w:cs="Times New Roman"/>
          <w:b w:val="0"/>
          <w:bCs w:val="0"/>
          <w:color w:val="auto"/>
          <w:kern w:val="0"/>
          <w:sz w:val="21"/>
          <w:szCs w:val="21"/>
          <w:lang w:val="en-US" w:eastAsia="zh-CN" w:bidi="ar-SA"/>
        </w:rPr>
        <w:t>根据《关于推动解决政府采购异常低价问题的通知》（财库〔2026〕2号）的规定，本项目明确内容如下：</w:t>
      </w:r>
    </w:p>
    <w:p w14:paraId="7C4C06F7">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jc w:val="both"/>
        <w:textAlignment w:val="auto"/>
        <w:rPr>
          <w:rFonts w:hint="eastAsia" w:ascii="仿宋" w:hAnsi="仿宋" w:eastAsia="仿宋" w:cs="Times New Roman"/>
          <w:b w:val="0"/>
          <w:bCs w:val="0"/>
          <w:color w:val="auto"/>
          <w:kern w:val="0"/>
          <w:sz w:val="21"/>
          <w:szCs w:val="21"/>
          <w:lang w:val="en-US" w:eastAsia="zh-CN" w:bidi="ar-SA"/>
        </w:rPr>
      </w:pPr>
      <w:r>
        <w:rPr>
          <w:rFonts w:hint="eastAsia" w:ascii="仿宋" w:hAnsi="仿宋" w:eastAsia="仿宋" w:cs="Times New Roman"/>
          <w:b w:val="0"/>
          <w:bCs w:val="0"/>
          <w:color w:val="auto"/>
          <w:kern w:val="0"/>
          <w:sz w:val="21"/>
          <w:szCs w:val="21"/>
          <w:lang w:val="en-US" w:eastAsia="zh-CN" w:bidi="ar-SA"/>
        </w:rPr>
        <w:t>（一）政府采购评审中出现下列情形之一的，评审委员会应当启动异常低价投标（响应）审查程序：</w:t>
      </w:r>
    </w:p>
    <w:p w14:paraId="51F67D35">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jc w:val="both"/>
        <w:textAlignment w:val="auto"/>
        <w:rPr>
          <w:rFonts w:hint="eastAsia" w:ascii="仿宋" w:hAnsi="仿宋" w:eastAsia="仿宋" w:cs="Times New Roman"/>
          <w:b w:val="0"/>
          <w:bCs w:val="0"/>
          <w:color w:val="auto"/>
          <w:kern w:val="0"/>
          <w:sz w:val="21"/>
          <w:szCs w:val="21"/>
          <w:lang w:val="en-US" w:eastAsia="zh-CN" w:bidi="ar-SA"/>
        </w:rPr>
      </w:pPr>
      <w:r>
        <w:rPr>
          <w:rFonts w:hint="eastAsia" w:ascii="仿宋" w:hAnsi="仿宋" w:eastAsia="仿宋" w:cs="Times New Roman"/>
          <w:b w:val="0"/>
          <w:bCs w:val="0"/>
          <w:color w:val="auto"/>
          <w:kern w:val="0"/>
          <w:sz w:val="21"/>
          <w:szCs w:val="21"/>
          <w:lang w:val="en-US" w:eastAsia="zh-CN" w:bidi="ar-SA"/>
        </w:rPr>
        <w:t>1.投标（响应）报价低于全部通过符合性审查供应商投标（响应）报价平均值50%的，即投标（响应）报价&lt;全部通过符合性审查供应商投标（响应）报价平均值×50%；</w:t>
      </w:r>
    </w:p>
    <w:p w14:paraId="7196393A">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jc w:val="both"/>
        <w:textAlignment w:val="auto"/>
        <w:rPr>
          <w:rFonts w:hint="eastAsia" w:ascii="仿宋" w:hAnsi="仿宋" w:eastAsia="仿宋" w:cs="Times New Roman"/>
          <w:b w:val="0"/>
          <w:bCs w:val="0"/>
          <w:color w:val="auto"/>
          <w:kern w:val="0"/>
          <w:sz w:val="21"/>
          <w:szCs w:val="21"/>
          <w:lang w:val="en-US" w:eastAsia="zh-CN" w:bidi="ar-SA"/>
        </w:rPr>
      </w:pPr>
      <w:r>
        <w:rPr>
          <w:rFonts w:hint="eastAsia" w:ascii="仿宋" w:hAnsi="仿宋" w:eastAsia="仿宋" w:cs="Times New Roman"/>
          <w:b w:val="0"/>
          <w:bCs w:val="0"/>
          <w:color w:val="auto"/>
          <w:kern w:val="0"/>
          <w:sz w:val="21"/>
          <w:szCs w:val="21"/>
          <w:lang w:val="en-US" w:eastAsia="zh-CN" w:bidi="ar-SA"/>
        </w:rPr>
        <w:t>2.投标（响应）报价低于通过符合性审查的次低报价供应商投标（响应）报价50%的，即投标（响应）报价&lt;通过符合性审查的次低报价供应商投标（响应）报价×50%；</w:t>
      </w:r>
    </w:p>
    <w:p w14:paraId="617CA6F5">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jc w:val="both"/>
        <w:textAlignment w:val="auto"/>
        <w:rPr>
          <w:rFonts w:hint="eastAsia" w:ascii="仿宋" w:hAnsi="仿宋" w:eastAsia="仿宋" w:cs="Times New Roman"/>
          <w:b w:val="0"/>
          <w:bCs w:val="0"/>
          <w:color w:val="auto"/>
          <w:kern w:val="0"/>
          <w:sz w:val="21"/>
          <w:szCs w:val="21"/>
          <w:lang w:val="en-US" w:eastAsia="zh-CN" w:bidi="ar-SA"/>
        </w:rPr>
      </w:pPr>
      <w:r>
        <w:rPr>
          <w:rFonts w:hint="eastAsia" w:ascii="仿宋" w:hAnsi="仿宋" w:eastAsia="仿宋" w:cs="Times New Roman"/>
          <w:b w:val="0"/>
          <w:bCs w:val="0"/>
          <w:color w:val="auto"/>
          <w:kern w:val="0"/>
          <w:sz w:val="21"/>
          <w:szCs w:val="21"/>
          <w:lang w:val="en-US" w:eastAsia="zh-CN" w:bidi="ar-SA"/>
        </w:rPr>
        <w:t>3.投标（响应）报价低于采购项目最高限价45%的，即投标（响应）报价&lt;采购项目最高限价×45%；</w:t>
      </w:r>
    </w:p>
    <w:p w14:paraId="0BEF8AEE">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jc w:val="both"/>
        <w:textAlignment w:val="auto"/>
        <w:rPr>
          <w:rFonts w:hint="eastAsia" w:ascii="仿宋" w:hAnsi="仿宋" w:eastAsia="仿宋" w:cs="Times New Roman"/>
          <w:b w:val="0"/>
          <w:bCs w:val="0"/>
          <w:color w:val="auto"/>
          <w:kern w:val="0"/>
          <w:sz w:val="21"/>
          <w:szCs w:val="21"/>
          <w:lang w:val="en-US" w:eastAsia="zh-CN" w:bidi="ar-SA"/>
        </w:rPr>
      </w:pPr>
      <w:r>
        <w:rPr>
          <w:rFonts w:hint="eastAsia" w:ascii="仿宋" w:hAnsi="仿宋" w:eastAsia="仿宋" w:cs="Times New Roman"/>
          <w:b w:val="0"/>
          <w:bCs w:val="0"/>
          <w:color w:val="auto"/>
          <w:kern w:val="0"/>
          <w:sz w:val="21"/>
          <w:szCs w:val="21"/>
          <w:lang w:val="en-US" w:eastAsia="zh-CN" w:bidi="ar-SA"/>
        </w:rPr>
        <w:t>4.评审委员会基于专业判断，认为供应商报价过低，有可能影响产品质量或者不能诚信履约的其他情形。</w:t>
      </w:r>
    </w:p>
    <w:p w14:paraId="51302DF1">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jc w:val="both"/>
        <w:textAlignment w:val="auto"/>
        <w:rPr>
          <w:rFonts w:hint="eastAsia" w:ascii="仿宋" w:hAnsi="仿宋" w:eastAsia="仿宋" w:cs="Times New Roman"/>
          <w:b w:val="0"/>
          <w:bCs w:val="0"/>
          <w:color w:val="auto"/>
          <w:kern w:val="0"/>
          <w:sz w:val="21"/>
          <w:szCs w:val="21"/>
          <w:lang w:val="en-US" w:eastAsia="zh-CN" w:bidi="ar-SA"/>
        </w:rPr>
      </w:pPr>
      <w:r>
        <w:rPr>
          <w:rFonts w:hint="eastAsia" w:ascii="仿宋" w:hAnsi="仿宋" w:eastAsia="仿宋" w:cs="Times New Roman"/>
          <w:b w:val="0"/>
          <w:bCs w:val="0"/>
          <w:color w:val="auto"/>
          <w:kern w:val="0"/>
          <w:sz w:val="21"/>
          <w:szCs w:val="21"/>
          <w:lang w:val="en-US" w:eastAsia="zh-CN" w:bidi="ar-SA"/>
        </w:rPr>
        <w:t>相关法律法规对供应商报价有规定的，从其规定。</w:t>
      </w:r>
    </w:p>
    <w:p w14:paraId="25320C06">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jc w:val="both"/>
        <w:textAlignment w:val="auto"/>
        <w:rPr>
          <w:rFonts w:hint="eastAsia" w:ascii="仿宋" w:hAnsi="仿宋" w:eastAsia="仿宋" w:cs="Times New Roman"/>
          <w:b w:val="0"/>
          <w:bCs w:val="0"/>
          <w:color w:val="auto"/>
          <w:kern w:val="0"/>
          <w:sz w:val="21"/>
          <w:szCs w:val="21"/>
          <w:lang w:val="en-US" w:eastAsia="zh-CN" w:bidi="ar-SA"/>
        </w:rPr>
      </w:pPr>
      <w:r>
        <w:rPr>
          <w:rFonts w:hint="eastAsia" w:ascii="仿宋" w:hAnsi="仿宋" w:eastAsia="仿宋" w:cs="Times New Roman"/>
          <w:b w:val="0"/>
          <w:bCs w:val="0"/>
          <w:color w:val="auto"/>
          <w:kern w:val="0"/>
          <w:sz w:val="21"/>
          <w:szCs w:val="21"/>
          <w:lang w:val="en-US" w:eastAsia="zh-CN" w:bidi="ar-SA"/>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9D7FE41">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jc w:val="both"/>
        <w:textAlignment w:val="auto"/>
        <w:rPr>
          <w:rFonts w:hint="eastAsia" w:ascii="仿宋" w:hAnsi="仿宋" w:eastAsia="仿宋" w:cs="Times New Roman"/>
          <w:b w:val="0"/>
          <w:bCs w:val="0"/>
          <w:color w:val="auto"/>
          <w:kern w:val="0"/>
          <w:sz w:val="21"/>
          <w:szCs w:val="21"/>
          <w:lang w:val="en-US" w:eastAsia="zh-CN" w:bidi="ar-SA"/>
        </w:rPr>
      </w:pPr>
      <w:r>
        <w:rPr>
          <w:rFonts w:hint="eastAsia" w:ascii="仿宋" w:hAnsi="仿宋" w:eastAsia="仿宋" w:cs="Times New Roman"/>
          <w:b w:val="0"/>
          <w:bCs w:val="0"/>
          <w:color w:val="auto"/>
          <w:kern w:val="0"/>
          <w:sz w:val="21"/>
          <w:szCs w:val="21"/>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32DB881">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jc w:val="both"/>
        <w:textAlignment w:val="auto"/>
        <w:rPr>
          <w:rFonts w:hint="eastAsia" w:ascii="仿宋" w:hAnsi="仿宋" w:eastAsia="仿宋" w:cs="Times New Roman"/>
          <w:b w:val="0"/>
          <w:bCs w:val="0"/>
          <w:color w:val="auto"/>
          <w:kern w:val="0"/>
          <w:sz w:val="21"/>
          <w:szCs w:val="21"/>
          <w:lang w:val="en-US" w:eastAsia="zh-CN" w:bidi="ar-SA"/>
        </w:rPr>
      </w:pPr>
      <w:r>
        <w:rPr>
          <w:rFonts w:hint="eastAsia" w:ascii="仿宋" w:hAnsi="仿宋" w:eastAsia="仿宋" w:cs="Times New Roman"/>
          <w:b w:val="0"/>
          <w:bCs w:val="0"/>
          <w:color w:val="auto"/>
          <w:kern w:val="0"/>
          <w:sz w:val="21"/>
          <w:szCs w:val="21"/>
          <w:lang w:val="en-US" w:eastAsia="zh-CN" w:bidi="ar-SA"/>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284CCB2A">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jc w:val="both"/>
        <w:textAlignment w:val="auto"/>
        <w:rPr>
          <w:rFonts w:hint="eastAsia" w:ascii="仿宋" w:hAnsi="仿宋" w:eastAsia="仿宋" w:cs="Times New Roman"/>
          <w:b w:val="0"/>
          <w:bCs w:val="0"/>
          <w:color w:val="auto"/>
          <w:kern w:val="0"/>
          <w:sz w:val="21"/>
          <w:szCs w:val="21"/>
          <w:lang w:val="en-US" w:eastAsia="zh-CN" w:bidi="ar-SA"/>
        </w:rPr>
      </w:pPr>
      <w:r>
        <w:rPr>
          <w:rFonts w:hint="eastAsia" w:ascii="仿宋" w:hAnsi="仿宋" w:eastAsia="仿宋" w:cs="Times New Roman"/>
          <w:b w:val="0"/>
          <w:bCs w:val="0"/>
          <w:color w:val="auto"/>
          <w:kern w:val="0"/>
          <w:sz w:val="21"/>
          <w:szCs w:val="21"/>
          <w:lang w:val="en-US" w:eastAsia="zh-CN" w:bidi="ar-SA"/>
        </w:rPr>
        <w:t>异常低价投标（响应）审查的启动原因、审查意见和审查结果应当在评审报告中记录，并随供应商提供的相关书面说明及证明材料，以及评审委员会有关互联网浏览、查询历史一并归档。</w:t>
      </w:r>
    </w:p>
    <w:p w14:paraId="7A4B2D88">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jc w:val="both"/>
        <w:textAlignment w:val="auto"/>
        <w:rPr>
          <w:rFonts w:hint="eastAsia" w:ascii="仿宋" w:hAnsi="仿宋" w:eastAsia="仿宋" w:cs="Times New Roman"/>
          <w:b w:val="0"/>
          <w:bCs w:val="0"/>
          <w:color w:val="auto"/>
          <w:kern w:val="0"/>
          <w:sz w:val="21"/>
          <w:szCs w:val="21"/>
          <w:lang w:val="en-US" w:eastAsia="zh-CN" w:bidi="ar-SA"/>
        </w:rPr>
      </w:pPr>
      <w:r>
        <w:rPr>
          <w:rFonts w:hint="eastAsia" w:ascii="仿宋" w:hAnsi="仿宋" w:eastAsia="仿宋" w:cs="Times New Roman"/>
          <w:b w:val="0"/>
          <w:bCs w:val="0"/>
          <w:color w:val="auto"/>
          <w:kern w:val="0"/>
          <w:sz w:val="21"/>
          <w:szCs w:val="21"/>
          <w:lang w:val="en-US" w:eastAsia="zh-CN" w:bidi="ar-SA"/>
        </w:rPr>
        <w:t>书面证明应当按照 “第四章  评标方法及评标标准二、评标程序3.澄清补正”的规定提交。</w:t>
      </w:r>
    </w:p>
    <w:p w14:paraId="15C4144E">
      <w:pPr>
        <w:pStyle w:val="7"/>
        <w:keepNext w:val="0"/>
        <w:keepLines w:val="0"/>
        <w:spacing w:before="0" w:after="0" w:line="360" w:lineRule="auto"/>
        <w:ind w:left="420" w:leftChars="200"/>
        <w:rPr>
          <w:rFonts w:ascii="仿宋" w:hAnsi="仿宋" w:eastAsia="仿宋"/>
          <w:color w:val="auto"/>
          <w:sz w:val="24"/>
        </w:rPr>
      </w:pPr>
      <w:r>
        <w:rPr>
          <w:rFonts w:hint="eastAsia" w:ascii="仿宋" w:hAnsi="仿宋" w:eastAsia="仿宋"/>
          <w:color w:val="auto"/>
          <w:sz w:val="24"/>
        </w:rPr>
        <w:t>29.评标方法及中标候选人推荐</w:t>
      </w:r>
    </w:p>
    <w:p w14:paraId="6A98CAF1">
      <w:pPr>
        <w:pStyle w:val="26"/>
        <w:snapToGrid w:val="0"/>
        <w:spacing w:line="360" w:lineRule="auto"/>
        <w:ind w:firstLine="420" w:firstLineChars="200"/>
        <w:rPr>
          <w:rFonts w:ascii="仿宋" w:hAnsi="仿宋" w:eastAsia="仿宋"/>
          <w:color w:val="auto"/>
          <w:sz w:val="21"/>
        </w:rPr>
      </w:pPr>
      <w:r>
        <w:rPr>
          <w:rFonts w:hint="eastAsia" w:ascii="仿宋" w:hAnsi="仿宋" w:eastAsia="仿宋"/>
          <w:color w:val="auto"/>
          <w:sz w:val="21"/>
        </w:rPr>
        <w:t>2</w:t>
      </w:r>
      <w:r>
        <w:rPr>
          <w:rFonts w:ascii="仿宋" w:hAnsi="仿宋" w:eastAsia="仿宋"/>
          <w:color w:val="auto"/>
          <w:sz w:val="21"/>
        </w:rPr>
        <w:t>9.1</w:t>
      </w:r>
      <w:r>
        <w:rPr>
          <w:rFonts w:hint="eastAsia" w:ascii="仿宋" w:hAnsi="仿宋" w:eastAsia="仿宋"/>
          <w:color w:val="auto"/>
          <w:sz w:val="21"/>
        </w:rPr>
        <w:t>本项目的评标方法详见“投标人须知前附表”。</w:t>
      </w:r>
    </w:p>
    <w:p w14:paraId="205AE727">
      <w:pPr>
        <w:pStyle w:val="26"/>
        <w:snapToGrid w:val="0"/>
        <w:spacing w:line="360" w:lineRule="auto"/>
        <w:ind w:firstLine="420" w:firstLineChars="200"/>
        <w:rPr>
          <w:rFonts w:ascii="仿宋" w:hAnsi="仿宋" w:eastAsia="仿宋"/>
          <w:color w:val="auto"/>
          <w:sz w:val="21"/>
        </w:rPr>
      </w:pPr>
      <w:r>
        <w:rPr>
          <w:rFonts w:hint="eastAsia" w:ascii="仿宋" w:hAnsi="仿宋" w:eastAsia="仿宋"/>
          <w:color w:val="auto"/>
          <w:sz w:val="21"/>
        </w:rPr>
        <w:t>2</w:t>
      </w:r>
      <w:r>
        <w:rPr>
          <w:rFonts w:ascii="仿宋" w:hAnsi="仿宋" w:eastAsia="仿宋"/>
          <w:color w:val="auto"/>
          <w:sz w:val="21"/>
        </w:rPr>
        <w:t>9.2中标候选人推荐数量详见</w:t>
      </w:r>
      <w:r>
        <w:rPr>
          <w:rFonts w:hint="eastAsia" w:ascii="仿宋" w:hAnsi="仿宋" w:eastAsia="仿宋"/>
          <w:color w:val="auto"/>
          <w:sz w:val="21"/>
        </w:rPr>
        <w:t>“投标人须知前附表”。</w:t>
      </w:r>
    </w:p>
    <w:p w14:paraId="265E6EC8">
      <w:pPr>
        <w:pStyle w:val="26"/>
        <w:snapToGrid w:val="0"/>
        <w:spacing w:line="360" w:lineRule="auto"/>
        <w:ind w:firstLine="420" w:firstLineChars="200"/>
        <w:rPr>
          <w:rFonts w:ascii="仿宋" w:hAnsi="仿宋" w:eastAsia="仿宋"/>
          <w:color w:val="auto"/>
          <w:sz w:val="21"/>
        </w:rPr>
      </w:pPr>
      <w:r>
        <w:rPr>
          <w:rFonts w:hint="eastAsia" w:ascii="仿宋" w:hAnsi="仿宋" w:eastAsia="仿宋"/>
          <w:color w:val="auto"/>
          <w:sz w:val="21"/>
        </w:rPr>
        <w:t>2</w:t>
      </w:r>
      <w:r>
        <w:rPr>
          <w:rFonts w:ascii="仿宋" w:hAnsi="仿宋" w:eastAsia="仿宋"/>
          <w:color w:val="auto"/>
          <w:sz w:val="21"/>
        </w:rPr>
        <w:t>9.</w:t>
      </w:r>
      <w:r>
        <w:rPr>
          <w:rFonts w:hint="eastAsia" w:ascii="仿宋" w:hAnsi="仿宋" w:eastAsia="仿宋"/>
          <w:color w:val="auto"/>
          <w:sz w:val="21"/>
        </w:rPr>
        <w:t>3</w:t>
      </w:r>
      <w:r>
        <w:rPr>
          <w:rFonts w:ascii="仿宋" w:hAnsi="仿宋" w:eastAsia="仿宋"/>
          <w:color w:val="auto"/>
          <w:sz w:val="21"/>
        </w:rPr>
        <w:t>评标委员会</w:t>
      </w:r>
      <w:r>
        <w:rPr>
          <w:rFonts w:hint="eastAsia" w:ascii="仿宋" w:hAnsi="仿宋" w:eastAsia="仿宋"/>
          <w:color w:val="auto"/>
          <w:sz w:val="21"/>
        </w:rPr>
        <w:t>将</w:t>
      </w:r>
      <w:r>
        <w:rPr>
          <w:rFonts w:ascii="仿宋" w:hAnsi="仿宋" w:eastAsia="仿宋"/>
          <w:color w:val="auto"/>
          <w:sz w:val="21"/>
        </w:rPr>
        <w:t>按照</w:t>
      </w:r>
      <w:r>
        <w:rPr>
          <w:rFonts w:hint="eastAsia" w:ascii="仿宋" w:hAnsi="仿宋" w:eastAsia="仿宋"/>
          <w:color w:val="auto"/>
          <w:sz w:val="21"/>
        </w:rPr>
        <w:t>“第四章 评标方法和评标标准”</w:t>
      </w:r>
      <w:r>
        <w:rPr>
          <w:rFonts w:ascii="仿宋" w:hAnsi="仿宋" w:eastAsia="仿宋"/>
          <w:color w:val="auto"/>
          <w:sz w:val="21"/>
        </w:rPr>
        <w:t>规定的方法、评审因素、标准和程序对投标文件进行评审。</w:t>
      </w:r>
    </w:p>
    <w:p w14:paraId="554B7C4E">
      <w:pPr>
        <w:pStyle w:val="26"/>
        <w:snapToGrid w:val="0"/>
        <w:spacing w:line="360" w:lineRule="auto"/>
        <w:ind w:firstLine="420" w:firstLineChars="200"/>
        <w:rPr>
          <w:rFonts w:ascii="仿宋" w:hAnsi="仿宋" w:eastAsia="仿宋"/>
          <w:color w:val="auto"/>
          <w:sz w:val="21"/>
        </w:rPr>
      </w:pPr>
      <w:r>
        <w:rPr>
          <w:rFonts w:hint="eastAsia" w:ascii="仿宋" w:hAnsi="仿宋" w:eastAsia="仿宋"/>
          <w:color w:val="auto"/>
          <w:sz w:val="21"/>
        </w:rPr>
        <w:t>29.4电子交易活动的中止。采购过程中出现以下情形，导致电子交易平台无法正常运行，或者无法保证电子交易的公平、公正和安全时，采购代理机构可中止电子交易活动：</w:t>
      </w:r>
    </w:p>
    <w:p w14:paraId="6DACB151">
      <w:pPr>
        <w:pStyle w:val="26"/>
        <w:snapToGrid w:val="0"/>
        <w:spacing w:line="360" w:lineRule="auto"/>
        <w:ind w:firstLine="420" w:firstLineChars="200"/>
        <w:rPr>
          <w:rFonts w:ascii="仿宋" w:hAnsi="仿宋" w:eastAsia="仿宋"/>
          <w:color w:val="auto"/>
          <w:sz w:val="21"/>
        </w:rPr>
      </w:pPr>
      <w:r>
        <w:rPr>
          <w:rFonts w:hint="eastAsia" w:ascii="仿宋" w:hAnsi="仿宋" w:eastAsia="仿宋"/>
          <w:color w:val="auto"/>
          <w:sz w:val="21"/>
        </w:rPr>
        <w:t xml:space="preserve">（1）电子交易平台发生故障而无法登录访问的； </w:t>
      </w:r>
    </w:p>
    <w:p w14:paraId="3E6B4B08">
      <w:pPr>
        <w:pStyle w:val="26"/>
        <w:snapToGrid w:val="0"/>
        <w:spacing w:line="360" w:lineRule="auto"/>
        <w:ind w:firstLine="420" w:firstLineChars="200"/>
        <w:rPr>
          <w:rFonts w:ascii="仿宋" w:hAnsi="仿宋" w:eastAsia="仿宋"/>
          <w:color w:val="auto"/>
          <w:sz w:val="21"/>
        </w:rPr>
      </w:pPr>
      <w:r>
        <w:rPr>
          <w:rFonts w:hint="eastAsia" w:ascii="仿宋" w:hAnsi="仿宋" w:eastAsia="仿宋"/>
          <w:color w:val="auto"/>
          <w:sz w:val="21"/>
        </w:rPr>
        <w:t>（2）电子交易平台应用或数据库出现错误，不能进行正常操作的；</w:t>
      </w:r>
    </w:p>
    <w:p w14:paraId="3000C651">
      <w:pPr>
        <w:pStyle w:val="26"/>
        <w:snapToGrid w:val="0"/>
        <w:spacing w:line="360" w:lineRule="auto"/>
        <w:ind w:firstLine="420" w:firstLineChars="200"/>
        <w:rPr>
          <w:rFonts w:ascii="仿宋" w:hAnsi="仿宋" w:eastAsia="仿宋"/>
          <w:color w:val="auto"/>
          <w:sz w:val="21"/>
        </w:rPr>
      </w:pPr>
      <w:r>
        <w:rPr>
          <w:rFonts w:hint="eastAsia" w:ascii="仿宋" w:hAnsi="仿宋" w:eastAsia="仿宋"/>
          <w:color w:val="auto"/>
          <w:sz w:val="21"/>
        </w:rPr>
        <w:t>（3）电子交易平台发现严重安全漏洞，有潜在泄密危险的；</w:t>
      </w:r>
    </w:p>
    <w:p w14:paraId="24CBC792">
      <w:pPr>
        <w:pStyle w:val="26"/>
        <w:snapToGrid w:val="0"/>
        <w:spacing w:line="360" w:lineRule="auto"/>
        <w:ind w:firstLine="420" w:firstLineChars="200"/>
        <w:rPr>
          <w:rFonts w:ascii="仿宋" w:hAnsi="仿宋" w:eastAsia="仿宋"/>
          <w:color w:val="auto"/>
          <w:sz w:val="21"/>
        </w:rPr>
      </w:pPr>
      <w:r>
        <w:rPr>
          <w:rFonts w:hint="eastAsia" w:ascii="仿宋" w:hAnsi="仿宋" w:eastAsia="仿宋"/>
          <w:color w:val="auto"/>
          <w:sz w:val="21"/>
        </w:rPr>
        <w:t xml:space="preserve">（4）病毒发作导致不能进行正常操作的； </w:t>
      </w:r>
    </w:p>
    <w:p w14:paraId="39CA30F0">
      <w:pPr>
        <w:pStyle w:val="26"/>
        <w:snapToGrid w:val="0"/>
        <w:spacing w:line="360" w:lineRule="auto"/>
        <w:ind w:firstLine="420" w:firstLineChars="200"/>
        <w:rPr>
          <w:rFonts w:ascii="仿宋" w:hAnsi="仿宋" w:eastAsia="仿宋"/>
          <w:color w:val="auto"/>
          <w:sz w:val="21"/>
        </w:rPr>
      </w:pPr>
      <w:r>
        <w:rPr>
          <w:rFonts w:hint="eastAsia" w:ascii="仿宋" w:hAnsi="仿宋" w:eastAsia="仿宋"/>
          <w:color w:val="auto"/>
          <w:sz w:val="21"/>
        </w:rPr>
        <w:t>（4）其他无法保证电子交易的公平、公正和安全的情况。</w:t>
      </w:r>
    </w:p>
    <w:p w14:paraId="4745CDB2">
      <w:pPr>
        <w:pStyle w:val="26"/>
        <w:snapToGrid w:val="0"/>
        <w:spacing w:line="360" w:lineRule="auto"/>
        <w:ind w:firstLine="420" w:firstLineChars="200"/>
        <w:rPr>
          <w:rFonts w:ascii="仿宋" w:hAnsi="仿宋" w:eastAsia="仿宋"/>
          <w:color w:val="auto"/>
          <w:sz w:val="21"/>
        </w:rPr>
      </w:pPr>
      <w:r>
        <w:rPr>
          <w:rFonts w:hint="eastAsia" w:ascii="仿宋" w:hAnsi="仿宋" w:eastAsia="仿宋"/>
          <w:color w:val="auto"/>
          <w:sz w:val="21"/>
        </w:rPr>
        <w:t>29.5出现以上情形，不影响采购公平、公正性的，采购代理机构可以待上述情形消除后继续组织电子交易活动；影响或可能影响采购公平、公正性的，经采购代理机构确认后，应当重新采购。</w:t>
      </w:r>
    </w:p>
    <w:p w14:paraId="7EFC31F8">
      <w:pPr>
        <w:pStyle w:val="26"/>
        <w:snapToGrid w:val="0"/>
        <w:spacing w:line="360" w:lineRule="auto"/>
        <w:rPr>
          <w:rFonts w:ascii="仿宋" w:hAnsi="仿宋" w:eastAsia="仿宋"/>
          <w:color w:val="auto"/>
          <w:sz w:val="21"/>
        </w:rPr>
      </w:pPr>
    </w:p>
    <w:p w14:paraId="2D764FA6">
      <w:pPr>
        <w:pStyle w:val="5"/>
        <w:keepNext w:val="0"/>
        <w:keepLines w:val="0"/>
        <w:jc w:val="center"/>
        <w:rPr>
          <w:rFonts w:ascii="仿宋" w:hAnsi="仿宋" w:eastAsia="仿宋"/>
          <w:color w:val="auto"/>
        </w:rPr>
      </w:pPr>
      <w:bookmarkStart w:id="126" w:name="_Toc254970687"/>
      <w:bookmarkStart w:id="127" w:name="_Toc254970546"/>
      <w:r>
        <w:rPr>
          <w:rFonts w:hint="eastAsia" w:ascii="仿宋" w:hAnsi="仿宋" w:eastAsia="仿宋"/>
          <w:color w:val="auto"/>
        </w:rPr>
        <w:t>七、</w:t>
      </w:r>
      <w:bookmarkEnd w:id="126"/>
      <w:bookmarkEnd w:id="127"/>
      <w:r>
        <w:rPr>
          <w:rFonts w:hint="eastAsia" w:ascii="仿宋" w:hAnsi="仿宋" w:eastAsia="仿宋"/>
          <w:color w:val="auto"/>
        </w:rPr>
        <w:t>中标和合同</w:t>
      </w:r>
    </w:p>
    <w:p w14:paraId="170929E6">
      <w:pPr>
        <w:pStyle w:val="7"/>
        <w:keepNext w:val="0"/>
        <w:keepLines w:val="0"/>
        <w:spacing w:before="0" w:after="0" w:line="360" w:lineRule="auto"/>
        <w:ind w:left="420" w:leftChars="200"/>
        <w:rPr>
          <w:rFonts w:ascii="仿宋" w:hAnsi="仿宋" w:eastAsia="仿宋"/>
          <w:color w:val="auto"/>
          <w:sz w:val="24"/>
        </w:rPr>
      </w:pPr>
      <w:r>
        <w:rPr>
          <w:rFonts w:hint="eastAsia" w:ascii="仿宋" w:hAnsi="仿宋" w:eastAsia="仿宋"/>
          <w:color w:val="auto"/>
          <w:sz w:val="24"/>
        </w:rPr>
        <w:t>30确定中标人</w:t>
      </w:r>
    </w:p>
    <w:p w14:paraId="29B80101">
      <w:pPr>
        <w:pStyle w:val="7"/>
        <w:keepNext w:val="0"/>
        <w:keepLines w:val="0"/>
        <w:spacing w:before="0" w:after="0" w:line="360" w:lineRule="auto"/>
        <w:ind w:firstLine="420" w:firstLineChars="200"/>
        <w:rPr>
          <w:rFonts w:ascii="仿宋" w:hAnsi="仿宋" w:eastAsia="仿宋"/>
          <w:b w:val="0"/>
          <w:color w:val="auto"/>
          <w:sz w:val="21"/>
          <w:szCs w:val="21"/>
        </w:rPr>
      </w:pPr>
      <w:r>
        <w:rPr>
          <w:rFonts w:ascii="仿宋" w:hAnsi="仿宋" w:eastAsia="仿宋"/>
          <w:b w:val="0"/>
          <w:color w:val="auto"/>
          <w:sz w:val="21"/>
          <w:szCs w:val="21"/>
        </w:rPr>
        <w:t>30.1</w:t>
      </w:r>
      <w:r>
        <w:rPr>
          <w:rFonts w:hint="eastAsia" w:ascii="仿宋" w:hAnsi="仿宋" w:eastAsia="仿宋"/>
          <w:b w:val="0"/>
          <w:color w:val="auto"/>
          <w:sz w:val="21"/>
          <w:szCs w:val="21"/>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36750486">
      <w:pPr>
        <w:snapToGrid w:val="0"/>
        <w:spacing w:line="360" w:lineRule="auto"/>
        <w:ind w:firstLine="420" w:firstLineChars="200"/>
        <w:rPr>
          <w:rFonts w:ascii="仿宋" w:hAnsi="仿宋" w:eastAsia="仿宋" w:cs="Courier New"/>
          <w:color w:val="auto"/>
          <w:szCs w:val="21"/>
        </w:rPr>
      </w:pPr>
      <w:r>
        <w:rPr>
          <w:rFonts w:ascii="仿宋" w:hAnsi="仿宋" w:eastAsia="仿宋" w:cs="Courier New"/>
          <w:color w:val="auto"/>
          <w:szCs w:val="21"/>
        </w:rPr>
        <w:t>30.2</w:t>
      </w:r>
      <w:r>
        <w:rPr>
          <w:rFonts w:hint="eastAsia" w:ascii="仿宋" w:hAnsi="仿宋" w:eastAsia="仿宋" w:cs="Courier New"/>
          <w:color w:val="auto"/>
          <w:szCs w:val="21"/>
        </w:rPr>
        <w:t>采购人在收到评标报告5个工作日内未按评标报告推荐的中标候选人顺序确定中标人，又不能说明合法理由的，视同按评标报告推荐的顺序确定排名第一的中标候选人为中标人。</w:t>
      </w:r>
    </w:p>
    <w:p w14:paraId="68CA2743">
      <w:pPr>
        <w:snapToGrid w:val="0"/>
        <w:spacing w:line="360" w:lineRule="auto"/>
        <w:ind w:firstLine="420" w:firstLineChars="200"/>
        <w:rPr>
          <w:rFonts w:ascii="仿宋" w:hAnsi="仿宋" w:eastAsia="仿宋"/>
          <w:color w:val="auto"/>
          <w:szCs w:val="21"/>
        </w:rPr>
      </w:pPr>
      <w:r>
        <w:rPr>
          <w:rFonts w:hint="eastAsia" w:ascii="仿宋" w:hAnsi="仿宋" w:eastAsia="仿宋"/>
          <w:color w:val="auto"/>
          <w:szCs w:val="21"/>
        </w:rPr>
        <w:t>30.3出现下列情形之一的，应予废标：</w:t>
      </w:r>
    </w:p>
    <w:p w14:paraId="5646E510">
      <w:pPr>
        <w:snapToGrid w:val="0"/>
        <w:spacing w:line="360" w:lineRule="auto"/>
        <w:ind w:firstLine="420" w:firstLineChars="200"/>
        <w:rPr>
          <w:rFonts w:ascii="仿宋" w:hAnsi="仿宋" w:eastAsia="仿宋"/>
          <w:color w:val="auto"/>
          <w:szCs w:val="21"/>
        </w:rPr>
      </w:pPr>
      <w:r>
        <w:rPr>
          <w:rFonts w:hint="eastAsia" w:ascii="仿宋" w:hAnsi="仿宋" w:eastAsia="仿宋"/>
          <w:color w:val="auto"/>
          <w:szCs w:val="21"/>
        </w:rPr>
        <w:t>（1）符合专业条件的供应商或者对招标文件作实质响应的供应商不足三家的；</w:t>
      </w:r>
    </w:p>
    <w:p w14:paraId="4A0C2913">
      <w:pPr>
        <w:snapToGrid w:val="0"/>
        <w:spacing w:line="360" w:lineRule="auto"/>
        <w:ind w:firstLine="420" w:firstLineChars="200"/>
        <w:rPr>
          <w:rFonts w:ascii="仿宋" w:hAnsi="仿宋" w:eastAsia="仿宋"/>
          <w:color w:val="auto"/>
          <w:szCs w:val="21"/>
        </w:rPr>
      </w:pPr>
      <w:r>
        <w:rPr>
          <w:rFonts w:hint="eastAsia" w:ascii="仿宋" w:hAnsi="仿宋" w:eastAsia="仿宋"/>
          <w:color w:val="auto"/>
          <w:szCs w:val="21"/>
        </w:rPr>
        <w:t>（2）出现影响采购公正的违法、违规行为的；</w:t>
      </w:r>
    </w:p>
    <w:p w14:paraId="38CDDA35">
      <w:pPr>
        <w:snapToGrid w:val="0"/>
        <w:spacing w:line="360" w:lineRule="auto"/>
        <w:ind w:firstLine="420" w:firstLineChars="200"/>
        <w:rPr>
          <w:rFonts w:ascii="仿宋" w:hAnsi="仿宋" w:eastAsia="仿宋"/>
          <w:color w:val="auto"/>
          <w:szCs w:val="21"/>
        </w:rPr>
      </w:pPr>
      <w:r>
        <w:rPr>
          <w:rFonts w:hint="eastAsia" w:ascii="仿宋" w:hAnsi="仿宋" w:eastAsia="仿宋"/>
          <w:color w:val="auto"/>
          <w:szCs w:val="21"/>
        </w:rPr>
        <w:t>（3）投标人的报价均超过了采购预算，采购人不能支付的；</w:t>
      </w:r>
    </w:p>
    <w:p w14:paraId="3EE5737C">
      <w:pPr>
        <w:snapToGrid w:val="0"/>
        <w:spacing w:line="360" w:lineRule="auto"/>
        <w:ind w:firstLine="420" w:firstLineChars="200"/>
        <w:rPr>
          <w:rFonts w:ascii="仿宋" w:hAnsi="仿宋" w:eastAsia="仿宋"/>
          <w:color w:val="auto"/>
          <w:szCs w:val="21"/>
        </w:rPr>
      </w:pPr>
      <w:r>
        <w:rPr>
          <w:rFonts w:hint="eastAsia" w:ascii="仿宋" w:hAnsi="仿宋" w:eastAsia="仿宋"/>
          <w:color w:val="auto"/>
          <w:szCs w:val="21"/>
        </w:rPr>
        <w:t>（4）因重大变故，采购任务取消的。</w:t>
      </w:r>
    </w:p>
    <w:p w14:paraId="02CDE956">
      <w:pPr>
        <w:snapToGrid w:val="0"/>
        <w:spacing w:line="360" w:lineRule="auto"/>
        <w:ind w:firstLine="420" w:firstLineChars="200"/>
        <w:rPr>
          <w:rFonts w:ascii="仿宋" w:hAnsi="仿宋" w:eastAsia="仿宋"/>
          <w:color w:val="auto"/>
          <w:szCs w:val="21"/>
        </w:rPr>
      </w:pPr>
      <w:r>
        <w:rPr>
          <w:rFonts w:hint="eastAsia" w:ascii="仿宋" w:hAnsi="仿宋" w:eastAsia="仿宋"/>
          <w:color w:val="auto"/>
          <w:szCs w:val="21"/>
        </w:rPr>
        <w:t>废标后，采购人应当将废标理由通知所有投标人。</w:t>
      </w:r>
    </w:p>
    <w:p w14:paraId="22CF6ACF">
      <w:pPr>
        <w:snapToGrid w:val="0"/>
        <w:spacing w:line="360" w:lineRule="auto"/>
        <w:ind w:firstLine="420" w:firstLineChars="200"/>
        <w:rPr>
          <w:rFonts w:ascii="仿宋" w:hAnsi="仿宋" w:eastAsia="仿宋" w:cs="Courier New"/>
          <w:color w:val="auto"/>
          <w:szCs w:val="21"/>
        </w:rPr>
      </w:pPr>
      <w:r>
        <w:rPr>
          <w:rFonts w:ascii="仿宋" w:hAnsi="仿宋" w:eastAsia="仿宋" w:cs="Courier New"/>
          <w:color w:val="auto"/>
          <w:szCs w:val="21"/>
        </w:rPr>
        <w:t>30.</w:t>
      </w:r>
      <w:r>
        <w:rPr>
          <w:rFonts w:hint="eastAsia" w:ascii="仿宋" w:hAnsi="仿宋" w:eastAsia="仿宋" w:cs="Courier New"/>
          <w:color w:val="auto"/>
          <w:szCs w:val="21"/>
        </w:rPr>
        <w:t>4 中标人拒绝签订政府采购合同（包括但不限于放弃中标、因不可抗力不能履行合同而放弃签订合同），采购人可以按照评审报告推荐的中标候选人名单排序，确定下一候选人为中标供应商，也可以重新开展政府采购活动。</w:t>
      </w:r>
      <w:r>
        <w:rPr>
          <w:rFonts w:ascii="仿宋" w:hAnsi="仿宋" w:eastAsia="仿宋" w:cs="Courier New"/>
          <w:color w:val="auto"/>
          <w:szCs w:val="21"/>
        </w:rPr>
        <w:t>拒绝签订政府采购合同的</w:t>
      </w:r>
      <w:r>
        <w:rPr>
          <w:rFonts w:hint="eastAsia" w:ascii="仿宋" w:hAnsi="仿宋" w:eastAsia="仿宋" w:cs="Courier New"/>
          <w:color w:val="auto"/>
          <w:szCs w:val="21"/>
        </w:rPr>
        <w:t>中标人</w:t>
      </w:r>
      <w:r>
        <w:rPr>
          <w:rFonts w:ascii="仿宋" w:hAnsi="仿宋" w:eastAsia="仿宋" w:cs="Courier New"/>
          <w:color w:val="auto"/>
          <w:szCs w:val="21"/>
        </w:rPr>
        <w:t>不得参加对该项目重新开展的采购活动。</w:t>
      </w:r>
    </w:p>
    <w:p w14:paraId="239B081B">
      <w:pPr>
        <w:pStyle w:val="7"/>
        <w:keepNext w:val="0"/>
        <w:keepLines w:val="0"/>
        <w:spacing w:before="0" w:after="0" w:line="360" w:lineRule="auto"/>
        <w:ind w:left="420" w:leftChars="200"/>
        <w:rPr>
          <w:rFonts w:ascii="仿宋" w:hAnsi="仿宋" w:eastAsia="仿宋"/>
          <w:color w:val="auto"/>
          <w:sz w:val="24"/>
        </w:rPr>
      </w:pPr>
      <w:r>
        <w:rPr>
          <w:rFonts w:hint="eastAsia" w:ascii="仿宋" w:hAnsi="仿宋" w:eastAsia="仿宋"/>
          <w:color w:val="auto"/>
          <w:sz w:val="24"/>
        </w:rPr>
        <w:t>31. 结果公告</w:t>
      </w:r>
    </w:p>
    <w:p w14:paraId="0D8C7DEE">
      <w:pPr>
        <w:pStyle w:val="7"/>
        <w:keepNext w:val="0"/>
        <w:keepLines w:val="0"/>
        <w:spacing w:before="0" w:after="0" w:line="360" w:lineRule="auto"/>
        <w:ind w:firstLine="420" w:firstLineChars="200"/>
        <w:rPr>
          <w:rFonts w:ascii="仿宋" w:hAnsi="仿宋" w:eastAsia="仿宋"/>
          <w:b w:val="0"/>
          <w:color w:val="auto"/>
          <w:sz w:val="21"/>
          <w:szCs w:val="21"/>
        </w:rPr>
      </w:pPr>
      <w:r>
        <w:rPr>
          <w:rFonts w:hint="eastAsia" w:ascii="仿宋" w:hAnsi="仿宋" w:eastAsia="仿宋"/>
          <w:b w:val="0"/>
          <w:color w:val="auto"/>
          <w:sz w:val="21"/>
          <w:szCs w:val="21"/>
        </w:rPr>
        <w:t>3</w:t>
      </w:r>
      <w:r>
        <w:rPr>
          <w:rFonts w:ascii="仿宋" w:hAnsi="仿宋" w:eastAsia="仿宋"/>
          <w:b w:val="0"/>
          <w:color w:val="auto"/>
          <w:sz w:val="21"/>
          <w:szCs w:val="21"/>
        </w:rPr>
        <w:t>1.1</w:t>
      </w:r>
      <w:r>
        <w:rPr>
          <w:rFonts w:hint="eastAsia" w:ascii="仿宋" w:hAnsi="仿宋" w:eastAsia="仿宋"/>
          <w:b w:val="0"/>
          <w:color w:val="auto"/>
          <w:sz w:val="21"/>
          <w:szCs w:val="21"/>
        </w:rPr>
        <w:t>采购人或者采购代理机构应当自中标人确定之日起2个工作日内，在省级以上财政部门指定的媒体上公告中标结果，招标文件应当随中标结果同时公告。</w:t>
      </w:r>
      <w:r>
        <w:rPr>
          <w:rFonts w:hint="eastAsia" w:ascii="仿宋" w:hAnsi="仿宋" w:eastAsia="仿宋"/>
          <w:color w:val="auto"/>
          <w:sz w:val="21"/>
          <w:szCs w:val="21"/>
        </w:rPr>
        <w:t>采购人或者采购代理发出中标通知书前，应当对中标人信用进行查询，对列入失信被执行人、重大税收违法案件当事人名单、政府采购严重违法失信行为记录名单及其他不符合《中华人民共和国政府采购法》第二十二条规定条件的投标人，取消其中标资格，并确定排名第二的中标候选人为中标人。</w:t>
      </w:r>
      <w:r>
        <w:rPr>
          <w:rFonts w:hint="eastAsia" w:ascii="仿宋" w:hAnsi="仿宋" w:eastAsia="仿宋"/>
          <w:b w:val="0"/>
          <w:color w:val="auto"/>
          <w:sz w:val="21"/>
          <w:szCs w:val="21"/>
        </w:rPr>
        <w:t>排名第二的中标候选人因前款规定的同样原因被取消中标资格的，采购人可以确定排名第三的中标候选人为中标人，以此类推。以上信息查询记录及相关证据与采购文件一并保存。</w:t>
      </w:r>
    </w:p>
    <w:p w14:paraId="5828E96D">
      <w:pPr>
        <w:pStyle w:val="7"/>
        <w:keepNext w:val="0"/>
        <w:keepLines w:val="0"/>
        <w:spacing w:before="0" w:after="0" w:line="360" w:lineRule="auto"/>
        <w:ind w:firstLine="420" w:firstLineChars="200"/>
        <w:rPr>
          <w:rFonts w:hint="eastAsia" w:ascii="仿宋" w:hAnsi="仿宋" w:eastAsia="仿宋"/>
          <w:b w:val="0"/>
          <w:color w:val="auto"/>
          <w:sz w:val="21"/>
          <w:szCs w:val="21"/>
        </w:rPr>
      </w:pPr>
      <w:r>
        <w:rPr>
          <w:rFonts w:hint="eastAsia" w:ascii="仿宋" w:hAnsi="仿宋" w:eastAsia="仿宋"/>
          <w:b w:val="0"/>
          <w:color w:val="auto"/>
          <w:sz w:val="21"/>
          <w:szCs w:val="21"/>
        </w:rPr>
        <w:t>31.2中标供应商享受《政府采购促进中小企业发展管理办法》（财库〔2020〕46号）规定的中小企业扶持政策的，采购人、采购代理机构应当随中标结果公开中标供应商的《中小企业声明函》。</w:t>
      </w:r>
    </w:p>
    <w:p w14:paraId="6C159499">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Times New Roman"/>
          <w:b w:val="0"/>
          <w:color w:val="auto"/>
          <w:kern w:val="2"/>
          <w:sz w:val="21"/>
          <w:szCs w:val="21"/>
          <w:lang w:val="en-US" w:eastAsia="zh-CN" w:bidi="ar-SA"/>
        </w:rPr>
      </w:pPr>
      <w:r>
        <w:rPr>
          <w:rFonts w:hint="eastAsia" w:ascii="仿宋" w:hAnsi="仿宋" w:eastAsia="仿宋" w:cs="Times New Roman"/>
          <w:b w:val="0"/>
          <w:color w:val="auto"/>
          <w:kern w:val="2"/>
          <w:sz w:val="21"/>
          <w:szCs w:val="21"/>
          <w:lang w:val="en-US" w:eastAsia="zh-CN" w:bidi="ar-SA"/>
        </w:rPr>
        <w:t>31.3中标供应商享受《国务院办公厅关于在政府采购中实施本国产品标准及相关政策的通知》（国办发〔2025〕34号）规定的本国产品标准政策的，采购人、采购代理机构应当随中标结果公开中标供应商的《关于符合本国产品标准的声明函》。</w:t>
      </w:r>
    </w:p>
    <w:p w14:paraId="4B0000BB">
      <w:pPr>
        <w:pStyle w:val="7"/>
        <w:keepNext w:val="0"/>
        <w:keepLines w:val="0"/>
        <w:pageBreakBefore w:val="0"/>
        <w:widowControl w:val="0"/>
        <w:kinsoku/>
        <w:wordWrap/>
        <w:overflowPunct/>
        <w:topLinePunct w:val="0"/>
        <w:autoSpaceDE/>
        <w:autoSpaceDN/>
        <w:bidi w:val="0"/>
        <w:adjustRightInd/>
        <w:snapToGrid/>
        <w:spacing w:before="0" w:after="0" w:line="360" w:lineRule="auto"/>
        <w:ind w:left="420" w:leftChars="200"/>
        <w:textAlignment w:val="auto"/>
        <w:rPr>
          <w:rFonts w:ascii="仿宋" w:hAnsi="仿宋" w:eastAsia="仿宋"/>
          <w:color w:val="auto"/>
          <w:sz w:val="24"/>
        </w:rPr>
      </w:pPr>
      <w:r>
        <w:rPr>
          <w:rFonts w:hint="eastAsia" w:ascii="仿宋" w:hAnsi="仿宋" w:eastAsia="仿宋"/>
          <w:color w:val="auto"/>
          <w:sz w:val="24"/>
        </w:rPr>
        <w:t>32.发出中标通知书</w:t>
      </w:r>
    </w:p>
    <w:p w14:paraId="62B91BF7">
      <w:pPr>
        <w:pStyle w:val="7"/>
        <w:keepNext w:val="0"/>
        <w:keepLines w:val="0"/>
        <w:spacing w:before="0" w:after="0" w:line="360" w:lineRule="auto"/>
        <w:ind w:firstLine="420" w:firstLineChars="200"/>
        <w:rPr>
          <w:rFonts w:ascii="仿宋" w:hAnsi="仿宋" w:eastAsia="仿宋"/>
          <w:b w:val="0"/>
          <w:color w:val="auto"/>
          <w:sz w:val="21"/>
          <w:szCs w:val="21"/>
        </w:rPr>
      </w:pPr>
      <w:r>
        <w:rPr>
          <w:rFonts w:hint="eastAsia" w:ascii="仿宋" w:hAnsi="仿宋" w:eastAsia="仿宋"/>
          <w:b w:val="0"/>
          <w:color w:val="auto"/>
          <w:sz w:val="21"/>
          <w:szCs w:val="21"/>
        </w:rPr>
        <w:t>在公告中标结果的同时，采购代理机构向中标人发出中标通知书。对未通过资格审查的投标人，应当告知其未通过的原因；采用综合评分办法评审的，还应当告知未中标人本人的评审得分与排序。</w:t>
      </w:r>
    </w:p>
    <w:p w14:paraId="3BEB3985">
      <w:pPr>
        <w:pStyle w:val="7"/>
        <w:keepNext w:val="0"/>
        <w:keepLines w:val="0"/>
        <w:spacing w:before="0" w:after="0" w:line="360" w:lineRule="auto"/>
        <w:ind w:left="420" w:leftChars="200"/>
        <w:rPr>
          <w:rFonts w:ascii="仿宋" w:hAnsi="仿宋" w:eastAsia="仿宋"/>
          <w:color w:val="auto"/>
          <w:sz w:val="24"/>
        </w:rPr>
      </w:pPr>
      <w:r>
        <w:rPr>
          <w:rFonts w:hint="eastAsia" w:ascii="仿宋" w:hAnsi="仿宋" w:eastAsia="仿宋"/>
          <w:color w:val="auto"/>
          <w:sz w:val="24"/>
        </w:rPr>
        <w:t>33. 无义务解释未中标原因</w:t>
      </w:r>
    </w:p>
    <w:p w14:paraId="0468AA1B">
      <w:pPr>
        <w:pStyle w:val="7"/>
        <w:keepNext w:val="0"/>
        <w:keepLines w:val="0"/>
        <w:spacing w:before="0" w:after="0" w:line="360" w:lineRule="auto"/>
        <w:ind w:left="420" w:leftChars="200"/>
        <w:rPr>
          <w:rFonts w:ascii="仿宋" w:hAnsi="仿宋" w:eastAsia="仿宋"/>
          <w:b w:val="0"/>
          <w:color w:val="auto"/>
          <w:sz w:val="21"/>
          <w:szCs w:val="21"/>
        </w:rPr>
      </w:pPr>
      <w:r>
        <w:rPr>
          <w:rFonts w:hint="eastAsia" w:ascii="仿宋" w:hAnsi="仿宋" w:eastAsia="仿宋"/>
          <w:b w:val="0"/>
          <w:color w:val="auto"/>
          <w:sz w:val="21"/>
          <w:szCs w:val="21"/>
        </w:rPr>
        <w:t>采购代理机构无义务向未中标的投标人解释未中标原因和退还投标文件。</w:t>
      </w:r>
    </w:p>
    <w:p w14:paraId="78E0B54C">
      <w:pPr>
        <w:pStyle w:val="7"/>
        <w:keepNext w:val="0"/>
        <w:keepLines w:val="0"/>
        <w:spacing w:before="0" w:after="0" w:line="360" w:lineRule="auto"/>
        <w:ind w:left="420" w:leftChars="200"/>
        <w:rPr>
          <w:rFonts w:ascii="仿宋" w:hAnsi="仿宋" w:eastAsia="仿宋"/>
          <w:color w:val="auto"/>
          <w:sz w:val="24"/>
        </w:rPr>
      </w:pPr>
      <w:r>
        <w:rPr>
          <w:rFonts w:hint="eastAsia" w:ascii="仿宋" w:hAnsi="仿宋" w:eastAsia="仿宋"/>
          <w:color w:val="auto"/>
          <w:sz w:val="24"/>
        </w:rPr>
        <w:t>34.合同授予标准</w:t>
      </w:r>
    </w:p>
    <w:p w14:paraId="49FD58B7">
      <w:pPr>
        <w:snapToGrid w:val="0"/>
        <w:spacing w:line="360" w:lineRule="auto"/>
        <w:ind w:firstLine="420" w:firstLineChars="200"/>
        <w:rPr>
          <w:rFonts w:ascii="仿宋" w:hAnsi="仿宋" w:eastAsia="仿宋"/>
          <w:color w:val="auto"/>
          <w:szCs w:val="21"/>
        </w:rPr>
      </w:pPr>
      <w:r>
        <w:rPr>
          <w:rFonts w:hint="eastAsia" w:ascii="仿宋" w:hAnsi="仿宋" w:eastAsia="仿宋" w:cs="Courier New"/>
          <w:color w:val="auto"/>
          <w:szCs w:val="21"/>
        </w:rPr>
        <w:t>合同将授予被确定实质上响应招标文件要求，具备履行合同能力的中标人（招标文件另有约定多名中标人的除外）。</w:t>
      </w:r>
    </w:p>
    <w:p w14:paraId="09E3711F">
      <w:pPr>
        <w:pStyle w:val="7"/>
        <w:keepNext w:val="0"/>
        <w:keepLines w:val="0"/>
        <w:spacing w:before="0" w:after="0" w:line="360" w:lineRule="auto"/>
        <w:ind w:left="420" w:leftChars="200"/>
        <w:rPr>
          <w:rFonts w:ascii="仿宋" w:hAnsi="仿宋" w:eastAsia="仿宋"/>
          <w:color w:val="auto"/>
          <w:sz w:val="24"/>
        </w:rPr>
      </w:pPr>
      <w:r>
        <w:rPr>
          <w:rFonts w:hint="eastAsia" w:ascii="仿宋" w:hAnsi="仿宋" w:eastAsia="仿宋"/>
          <w:color w:val="auto"/>
          <w:sz w:val="24"/>
        </w:rPr>
        <w:t>35.履约保证金</w:t>
      </w:r>
    </w:p>
    <w:p w14:paraId="43924564">
      <w:pPr>
        <w:pStyle w:val="7"/>
        <w:keepNext w:val="0"/>
        <w:keepLines w:val="0"/>
        <w:spacing w:before="0" w:after="0" w:line="360" w:lineRule="auto"/>
        <w:ind w:firstLine="315" w:firstLineChars="150"/>
        <w:rPr>
          <w:rFonts w:ascii="仿宋" w:hAnsi="仿宋" w:eastAsia="仿宋"/>
          <w:b w:val="0"/>
          <w:color w:val="auto"/>
          <w:sz w:val="21"/>
          <w:szCs w:val="21"/>
        </w:rPr>
      </w:pPr>
      <w:bookmarkStart w:id="128" w:name="_39.1中标人须于签订合同前按本须知前附表规定的金额转账或电汇到指定账"/>
      <w:bookmarkEnd w:id="128"/>
      <w:r>
        <w:rPr>
          <w:rFonts w:hint="eastAsia" w:ascii="仿宋" w:hAnsi="仿宋" w:eastAsia="仿宋"/>
          <w:b w:val="0"/>
          <w:color w:val="auto"/>
          <w:sz w:val="21"/>
          <w:szCs w:val="21"/>
        </w:rPr>
        <w:t>3</w:t>
      </w:r>
      <w:r>
        <w:rPr>
          <w:rFonts w:ascii="仿宋" w:hAnsi="仿宋" w:eastAsia="仿宋"/>
          <w:b w:val="0"/>
          <w:color w:val="auto"/>
          <w:sz w:val="21"/>
          <w:szCs w:val="21"/>
        </w:rPr>
        <w:t>5</w:t>
      </w:r>
      <w:r>
        <w:rPr>
          <w:rFonts w:hint="eastAsia" w:ascii="仿宋" w:hAnsi="仿宋" w:eastAsia="仿宋"/>
          <w:b w:val="0"/>
          <w:color w:val="auto"/>
          <w:sz w:val="21"/>
          <w:szCs w:val="21"/>
        </w:rPr>
        <w:t>.1 履约保证金的金额、提交方式、退付的时间和条件详见 “投标人须知前附表”。中标人未按规定提交履约保证金的，视为拒绝与采购人签订合同。</w:t>
      </w:r>
    </w:p>
    <w:p w14:paraId="7AF1707B">
      <w:pPr>
        <w:pStyle w:val="7"/>
        <w:keepNext w:val="0"/>
        <w:keepLines w:val="0"/>
        <w:spacing w:before="0" w:after="0" w:line="360" w:lineRule="auto"/>
        <w:ind w:firstLine="315" w:firstLineChars="150"/>
        <w:rPr>
          <w:rFonts w:ascii="仿宋" w:hAnsi="仿宋" w:eastAsia="仿宋"/>
          <w:color w:val="auto"/>
          <w:sz w:val="21"/>
          <w:szCs w:val="21"/>
        </w:rPr>
      </w:pPr>
      <w:r>
        <w:rPr>
          <w:rFonts w:hint="eastAsia" w:ascii="仿宋" w:hAnsi="仿宋" w:eastAsia="仿宋"/>
          <w:b w:val="0"/>
          <w:bCs/>
          <w:color w:val="auto"/>
          <w:sz w:val="21"/>
          <w:szCs w:val="21"/>
        </w:rPr>
        <w:t>35.2在履约保证金退还日期前，若中标人的开户名称、开户银行、帐号有变动的，请以书面形式通知履约保证金收取单位，否则由此产生的后果由中标人自行承担。</w:t>
      </w:r>
    </w:p>
    <w:p w14:paraId="65B2339E">
      <w:pPr>
        <w:pStyle w:val="7"/>
        <w:keepNext w:val="0"/>
        <w:keepLines w:val="0"/>
        <w:spacing w:before="0" w:after="0" w:line="360" w:lineRule="auto"/>
        <w:ind w:left="420" w:leftChars="200"/>
        <w:rPr>
          <w:rFonts w:ascii="仿宋" w:hAnsi="仿宋" w:eastAsia="仿宋"/>
          <w:color w:val="auto"/>
          <w:sz w:val="24"/>
        </w:rPr>
      </w:pPr>
      <w:r>
        <w:rPr>
          <w:rFonts w:hint="eastAsia" w:ascii="仿宋" w:hAnsi="仿宋" w:eastAsia="仿宋"/>
          <w:color w:val="auto"/>
          <w:sz w:val="24"/>
        </w:rPr>
        <w:t>36.签订合同</w:t>
      </w:r>
    </w:p>
    <w:p w14:paraId="472CA86D">
      <w:pPr>
        <w:pStyle w:val="7"/>
        <w:keepNext w:val="0"/>
        <w:keepLines w:val="0"/>
        <w:spacing w:before="0" w:after="0" w:line="360" w:lineRule="auto"/>
        <w:ind w:firstLine="315" w:firstLineChars="150"/>
        <w:rPr>
          <w:rFonts w:ascii="仿宋" w:hAnsi="仿宋" w:eastAsia="仿宋"/>
          <w:b w:val="0"/>
          <w:bCs/>
          <w:color w:val="auto"/>
          <w:sz w:val="21"/>
          <w:szCs w:val="21"/>
        </w:rPr>
      </w:pPr>
      <w:bookmarkStart w:id="129" w:name="_40.1投标人接到中标通知书后，按须知前附表规定向采购人出示相关资格证"/>
      <w:bookmarkEnd w:id="129"/>
      <w:r>
        <w:rPr>
          <w:rFonts w:hint="eastAsia" w:ascii="仿宋" w:hAnsi="仿宋" w:eastAsia="仿宋"/>
          <w:b w:val="0"/>
          <w:color w:val="auto"/>
          <w:sz w:val="21"/>
          <w:szCs w:val="21"/>
        </w:rPr>
        <w:t xml:space="preserve"> 36.1投标人领取中标通知书（书面或电子）后，按“投标人须知前附表”规定向采购人出示相关证明材料，经采购人核验合格后方可签订采购合同（书面或电子）。</w:t>
      </w:r>
      <w:r>
        <w:rPr>
          <w:rFonts w:hint="eastAsia" w:ascii="仿宋" w:hAnsi="仿宋" w:eastAsia="仿宋"/>
          <w:b w:val="0"/>
          <w:bCs/>
          <w:color w:val="auto"/>
          <w:sz w:val="21"/>
          <w:szCs w:val="21"/>
        </w:rPr>
        <w:t>如中标人为联合体的，</w:t>
      </w:r>
      <w:r>
        <w:rPr>
          <w:rFonts w:ascii="仿宋" w:hAnsi="仿宋" w:eastAsia="仿宋"/>
          <w:b w:val="0"/>
          <w:bCs/>
          <w:color w:val="auto"/>
          <w:sz w:val="21"/>
          <w:szCs w:val="21"/>
        </w:rPr>
        <w:t>联合体各方应当共同与采购人签订采购合同，就采购合同约定的事项对采购人承担连带责任。</w:t>
      </w:r>
    </w:p>
    <w:p w14:paraId="539108A7">
      <w:pPr>
        <w:pStyle w:val="7"/>
        <w:keepNext w:val="0"/>
        <w:keepLines w:val="0"/>
        <w:spacing w:before="0" w:after="0" w:line="360" w:lineRule="auto"/>
        <w:ind w:firstLine="420" w:firstLineChars="200"/>
        <w:rPr>
          <w:rFonts w:ascii="仿宋" w:hAnsi="仿宋" w:eastAsia="仿宋"/>
          <w:b w:val="0"/>
          <w:color w:val="auto"/>
          <w:sz w:val="21"/>
          <w:szCs w:val="21"/>
        </w:rPr>
      </w:pPr>
      <w:r>
        <w:rPr>
          <w:rFonts w:hint="eastAsia" w:ascii="仿宋" w:hAnsi="仿宋" w:eastAsia="仿宋"/>
          <w:b w:val="0"/>
          <w:color w:val="auto"/>
          <w:sz w:val="21"/>
          <w:szCs w:val="21"/>
        </w:rPr>
        <w:t>36.2签订合同时间：按中标通知书规定的时间与采购人签订合同（最长不能超过25日）。</w:t>
      </w:r>
    </w:p>
    <w:p w14:paraId="28FBE089">
      <w:pPr>
        <w:pStyle w:val="7"/>
        <w:keepNext w:val="0"/>
        <w:keepLines w:val="0"/>
        <w:spacing w:before="0" w:after="0" w:line="360" w:lineRule="auto"/>
        <w:ind w:firstLine="315" w:firstLineChars="150"/>
        <w:rPr>
          <w:rFonts w:ascii="仿宋" w:hAnsi="仿宋" w:eastAsia="仿宋"/>
          <w:b w:val="0"/>
          <w:color w:val="auto"/>
          <w:sz w:val="21"/>
          <w:szCs w:val="21"/>
        </w:rPr>
      </w:pPr>
      <w:r>
        <w:rPr>
          <w:rFonts w:hint="eastAsia" w:ascii="仿宋" w:hAnsi="仿宋" w:eastAsia="仿宋"/>
          <w:b w:val="0"/>
          <w:color w:val="auto"/>
          <w:sz w:val="21"/>
          <w:szCs w:val="21"/>
        </w:rPr>
        <w:t xml:space="preserve"> 36.</w:t>
      </w:r>
      <w:r>
        <w:rPr>
          <w:rFonts w:ascii="仿宋" w:hAnsi="仿宋" w:eastAsia="仿宋"/>
          <w:b w:val="0"/>
          <w:color w:val="auto"/>
          <w:sz w:val="21"/>
          <w:szCs w:val="21"/>
        </w:rPr>
        <w:t>3</w:t>
      </w:r>
      <w:r>
        <w:rPr>
          <w:rFonts w:hint="eastAsia" w:ascii="仿宋" w:hAnsi="仿宋" w:eastAsia="仿宋"/>
          <w:b w:val="0"/>
          <w:color w:val="auto"/>
          <w:sz w:val="21"/>
          <w:szCs w:val="21"/>
        </w:rPr>
        <w:t>中标人拒绝与采购人签订合同的，按照本须知正文第3</w:t>
      </w:r>
      <w:r>
        <w:rPr>
          <w:rFonts w:ascii="仿宋" w:hAnsi="仿宋" w:eastAsia="仿宋"/>
          <w:b w:val="0"/>
          <w:color w:val="auto"/>
          <w:sz w:val="21"/>
          <w:szCs w:val="21"/>
        </w:rPr>
        <w:t>0.4条</w:t>
      </w:r>
      <w:r>
        <w:rPr>
          <w:rFonts w:hint="eastAsia" w:ascii="仿宋" w:hAnsi="仿宋" w:eastAsia="仿宋"/>
          <w:b w:val="0"/>
          <w:color w:val="auto"/>
          <w:sz w:val="21"/>
          <w:szCs w:val="21"/>
        </w:rPr>
        <w:t>的规定执行。</w:t>
      </w:r>
    </w:p>
    <w:p w14:paraId="4A162A35">
      <w:pPr>
        <w:pStyle w:val="7"/>
        <w:keepNext w:val="0"/>
        <w:keepLines w:val="0"/>
        <w:spacing w:before="0" w:after="0" w:line="360" w:lineRule="auto"/>
        <w:ind w:left="420" w:leftChars="200"/>
        <w:rPr>
          <w:rFonts w:ascii="仿宋" w:hAnsi="仿宋" w:eastAsia="仿宋"/>
          <w:color w:val="auto"/>
          <w:sz w:val="24"/>
        </w:rPr>
      </w:pPr>
      <w:bookmarkStart w:id="130" w:name="_41.政府采购合同公告"/>
      <w:bookmarkEnd w:id="130"/>
      <w:r>
        <w:rPr>
          <w:rFonts w:hint="eastAsia" w:ascii="仿宋" w:hAnsi="仿宋" w:eastAsia="仿宋"/>
          <w:color w:val="auto"/>
          <w:sz w:val="24"/>
        </w:rPr>
        <w:t>37.政府采购合同公告</w:t>
      </w:r>
    </w:p>
    <w:p w14:paraId="1866E316">
      <w:pPr>
        <w:pStyle w:val="26"/>
        <w:snapToGrid w:val="0"/>
        <w:spacing w:line="360" w:lineRule="auto"/>
        <w:ind w:firstLine="420" w:firstLineChars="200"/>
        <w:rPr>
          <w:rFonts w:ascii="仿宋" w:hAnsi="仿宋" w:eastAsia="仿宋"/>
          <w:color w:val="auto"/>
          <w:sz w:val="21"/>
        </w:rPr>
      </w:pPr>
      <w:r>
        <w:rPr>
          <w:rFonts w:hint="eastAsia" w:ascii="仿宋" w:hAnsi="仿宋" w:eastAsia="仿宋"/>
          <w:color w:val="auto"/>
          <w:sz w:val="21"/>
        </w:rPr>
        <w:t>采购人或者受托采购代理机构应当自政府采购合同签订之日起2个工作日内，将政府采购合同在省级以上人民政府财政部门指定的媒体上公告，</w:t>
      </w:r>
      <w:r>
        <w:rPr>
          <w:rFonts w:ascii="仿宋" w:hAnsi="仿宋" w:eastAsia="仿宋"/>
          <w:color w:val="auto"/>
          <w:sz w:val="21"/>
        </w:rPr>
        <w:t>但政府采购合同中涉及国家秘密、商业秘密的内容除外。</w:t>
      </w:r>
    </w:p>
    <w:p w14:paraId="2E38D4E4">
      <w:pPr>
        <w:pStyle w:val="7"/>
        <w:keepNext w:val="0"/>
        <w:keepLines w:val="0"/>
        <w:spacing w:before="0" w:after="0" w:line="360" w:lineRule="auto"/>
        <w:ind w:left="420" w:leftChars="200"/>
        <w:rPr>
          <w:rFonts w:ascii="仿宋" w:hAnsi="仿宋" w:eastAsia="仿宋"/>
          <w:color w:val="auto"/>
          <w:sz w:val="24"/>
        </w:rPr>
      </w:pPr>
      <w:r>
        <w:rPr>
          <w:rFonts w:hint="eastAsia" w:ascii="仿宋" w:hAnsi="仿宋" w:eastAsia="仿宋"/>
          <w:color w:val="auto"/>
          <w:sz w:val="24"/>
        </w:rPr>
        <w:t>3</w:t>
      </w:r>
      <w:r>
        <w:rPr>
          <w:rFonts w:ascii="仿宋" w:hAnsi="仿宋" w:eastAsia="仿宋"/>
          <w:color w:val="auto"/>
          <w:sz w:val="24"/>
        </w:rPr>
        <w:t>8.</w:t>
      </w:r>
      <w:r>
        <w:rPr>
          <w:rFonts w:hint="eastAsia" w:ascii="仿宋" w:hAnsi="仿宋" w:eastAsia="仿宋"/>
          <w:color w:val="auto"/>
          <w:sz w:val="24"/>
        </w:rPr>
        <w:t xml:space="preserve"> 询问、质疑和投诉</w:t>
      </w:r>
    </w:p>
    <w:p w14:paraId="05FDCF39">
      <w:pPr>
        <w:pStyle w:val="10"/>
        <w:spacing w:line="360" w:lineRule="auto"/>
        <w:rPr>
          <w:rFonts w:ascii="仿宋" w:hAnsi="仿宋" w:eastAsia="仿宋"/>
          <w:color w:val="auto"/>
          <w:szCs w:val="21"/>
        </w:rPr>
      </w:pPr>
      <w:r>
        <w:rPr>
          <w:rFonts w:ascii="仿宋" w:hAnsi="仿宋" w:eastAsia="仿宋"/>
          <w:color w:val="auto"/>
          <w:szCs w:val="21"/>
        </w:rPr>
        <w:t>38.1</w:t>
      </w:r>
      <w:r>
        <w:rPr>
          <w:rFonts w:hint="eastAsia" w:ascii="仿宋" w:hAnsi="仿宋" w:eastAsia="仿宋"/>
          <w:color w:val="auto"/>
          <w:szCs w:val="21"/>
        </w:rPr>
        <w:t>供应商对政府采购活动事项有疑问的，可以向采购人提出询问，采购人或者采购代理机构应当在3个工作日内对供应商依法提出的询问作出答复，但答复的内容不得涉及商业秘密。</w:t>
      </w:r>
    </w:p>
    <w:p w14:paraId="17D6762A">
      <w:pPr>
        <w:pStyle w:val="7"/>
        <w:keepNext w:val="0"/>
        <w:keepLines w:val="0"/>
        <w:spacing w:before="0" w:after="0" w:line="360" w:lineRule="auto"/>
        <w:ind w:firstLine="315" w:firstLineChars="150"/>
        <w:rPr>
          <w:rFonts w:ascii="仿宋" w:hAnsi="仿宋" w:eastAsia="仿宋"/>
          <w:b w:val="0"/>
          <w:color w:val="auto"/>
          <w:sz w:val="21"/>
          <w:szCs w:val="21"/>
        </w:rPr>
      </w:pPr>
      <w:r>
        <w:rPr>
          <w:rFonts w:ascii="仿宋" w:hAnsi="仿宋" w:eastAsia="仿宋"/>
          <w:b w:val="0"/>
          <w:color w:val="auto"/>
          <w:sz w:val="21"/>
          <w:szCs w:val="21"/>
        </w:rPr>
        <w:t>38</w:t>
      </w:r>
      <w:r>
        <w:rPr>
          <w:rFonts w:hint="eastAsia" w:ascii="仿宋" w:hAnsi="仿宋" w:eastAsia="仿宋"/>
          <w:b w:val="0"/>
          <w:color w:val="auto"/>
          <w:sz w:val="21"/>
          <w:szCs w:val="21"/>
        </w:rPr>
        <w:t>.</w:t>
      </w:r>
      <w:r>
        <w:rPr>
          <w:rFonts w:ascii="仿宋" w:hAnsi="仿宋" w:eastAsia="仿宋"/>
          <w:b w:val="0"/>
          <w:color w:val="auto"/>
          <w:sz w:val="21"/>
          <w:szCs w:val="21"/>
        </w:rPr>
        <w:t>2</w:t>
      </w:r>
      <w:r>
        <w:rPr>
          <w:rFonts w:hint="eastAsia" w:ascii="仿宋" w:hAnsi="仿宋" w:eastAsia="仿宋"/>
          <w:b w:val="0"/>
          <w:color w:val="auto"/>
          <w:sz w:val="21"/>
          <w:szCs w:val="21"/>
        </w:rPr>
        <w:t xml:space="preserve">供应商认为招标文件、采购过程或者中标结果使自己的合法权益受到损害的，必须在知道或者应知其权益受到损害之日起7个工作日内，以纸质书面形式向采购人、采购代理机构提出质疑。采购人、采购代理机构接收质疑函的方式、联系部门、联系电话和通讯地址等信息详见“投标人须知前附表”。具体质疑起算时间如下： </w:t>
      </w:r>
    </w:p>
    <w:p w14:paraId="1560860F">
      <w:pPr>
        <w:pStyle w:val="26"/>
        <w:snapToGrid w:val="0"/>
        <w:spacing w:line="360" w:lineRule="auto"/>
        <w:ind w:firstLine="420" w:firstLineChars="200"/>
        <w:rPr>
          <w:rFonts w:ascii="仿宋" w:hAnsi="仿宋" w:eastAsia="仿宋"/>
          <w:color w:val="auto"/>
          <w:sz w:val="21"/>
        </w:rPr>
      </w:pPr>
      <w:r>
        <w:rPr>
          <w:rFonts w:ascii="仿宋" w:hAnsi="仿宋" w:eastAsia="仿宋"/>
          <w:color w:val="auto"/>
          <w:sz w:val="21"/>
        </w:rPr>
        <w:t>（</w:t>
      </w:r>
      <w:r>
        <w:rPr>
          <w:rFonts w:hint="eastAsia" w:ascii="仿宋" w:hAnsi="仿宋" w:eastAsia="仿宋"/>
          <w:color w:val="auto"/>
          <w:sz w:val="21"/>
        </w:rPr>
        <w:t>1</w:t>
      </w:r>
      <w:r>
        <w:rPr>
          <w:rFonts w:ascii="仿宋" w:hAnsi="仿宋" w:eastAsia="仿宋"/>
          <w:color w:val="auto"/>
          <w:sz w:val="21"/>
        </w:rPr>
        <w:t>）对可以质疑的</w:t>
      </w:r>
      <w:r>
        <w:rPr>
          <w:rFonts w:hint="eastAsia" w:ascii="仿宋" w:hAnsi="仿宋" w:eastAsia="仿宋"/>
          <w:color w:val="auto"/>
          <w:sz w:val="21"/>
        </w:rPr>
        <w:t>招标</w:t>
      </w:r>
      <w:r>
        <w:rPr>
          <w:rFonts w:ascii="仿宋" w:hAnsi="仿宋" w:eastAsia="仿宋"/>
          <w:color w:val="auto"/>
          <w:sz w:val="21"/>
        </w:rPr>
        <w:t>文件提出质疑的，为收到</w:t>
      </w:r>
      <w:r>
        <w:rPr>
          <w:rFonts w:hint="eastAsia" w:ascii="仿宋" w:hAnsi="仿宋" w:eastAsia="仿宋"/>
          <w:color w:val="auto"/>
          <w:sz w:val="21"/>
        </w:rPr>
        <w:t>招标</w:t>
      </w:r>
      <w:r>
        <w:rPr>
          <w:rFonts w:ascii="仿宋" w:hAnsi="仿宋" w:eastAsia="仿宋"/>
          <w:color w:val="auto"/>
          <w:sz w:val="21"/>
        </w:rPr>
        <w:t>文件之日</w:t>
      </w:r>
      <w:r>
        <w:rPr>
          <w:rFonts w:hint="eastAsia" w:ascii="仿宋" w:hAnsi="仿宋" w:eastAsia="仿宋"/>
          <w:color w:val="auto"/>
          <w:sz w:val="21"/>
        </w:rPr>
        <w:t>或者招标文件公告期限届满之日</w:t>
      </w:r>
      <w:r>
        <w:rPr>
          <w:rFonts w:ascii="仿宋" w:hAnsi="仿宋" w:eastAsia="仿宋"/>
          <w:color w:val="auto"/>
          <w:sz w:val="21"/>
        </w:rPr>
        <w:t>；</w:t>
      </w:r>
    </w:p>
    <w:p w14:paraId="7332F6D9">
      <w:pPr>
        <w:pStyle w:val="26"/>
        <w:snapToGrid w:val="0"/>
        <w:spacing w:line="360" w:lineRule="auto"/>
        <w:ind w:firstLine="420" w:firstLineChars="200"/>
        <w:rPr>
          <w:rFonts w:ascii="仿宋" w:hAnsi="仿宋" w:eastAsia="仿宋"/>
          <w:color w:val="auto"/>
          <w:sz w:val="21"/>
        </w:rPr>
      </w:pPr>
      <w:r>
        <w:rPr>
          <w:rFonts w:ascii="仿宋" w:hAnsi="仿宋" w:eastAsia="仿宋"/>
          <w:color w:val="auto"/>
          <w:sz w:val="21"/>
        </w:rPr>
        <w:t>（</w:t>
      </w:r>
      <w:r>
        <w:rPr>
          <w:rFonts w:hint="eastAsia" w:ascii="仿宋" w:hAnsi="仿宋" w:eastAsia="仿宋"/>
          <w:color w:val="auto"/>
          <w:sz w:val="21"/>
        </w:rPr>
        <w:t>2</w:t>
      </w:r>
      <w:r>
        <w:rPr>
          <w:rFonts w:ascii="仿宋" w:hAnsi="仿宋" w:eastAsia="仿宋"/>
          <w:color w:val="auto"/>
          <w:sz w:val="21"/>
        </w:rPr>
        <w:t>）对</w:t>
      </w:r>
      <w:r>
        <w:rPr>
          <w:rFonts w:hint="eastAsia" w:ascii="仿宋" w:hAnsi="仿宋" w:eastAsia="仿宋"/>
          <w:color w:val="auto"/>
          <w:sz w:val="21"/>
        </w:rPr>
        <w:t>采购</w:t>
      </w:r>
      <w:r>
        <w:rPr>
          <w:rFonts w:ascii="仿宋" w:hAnsi="仿宋" w:eastAsia="仿宋"/>
          <w:color w:val="auto"/>
          <w:sz w:val="21"/>
        </w:rPr>
        <w:t>过程提出质疑的，为各采购程序环节结束之日；</w:t>
      </w:r>
    </w:p>
    <w:p w14:paraId="79DAFF9C">
      <w:pPr>
        <w:pStyle w:val="26"/>
        <w:snapToGrid w:val="0"/>
        <w:spacing w:line="360" w:lineRule="auto"/>
        <w:ind w:firstLine="420" w:firstLineChars="200"/>
        <w:rPr>
          <w:rFonts w:ascii="仿宋" w:hAnsi="仿宋" w:eastAsia="仿宋"/>
          <w:bCs/>
          <w:color w:val="auto"/>
          <w:sz w:val="21"/>
        </w:rPr>
      </w:pPr>
      <w:r>
        <w:rPr>
          <w:rFonts w:ascii="仿宋" w:hAnsi="仿宋" w:eastAsia="仿宋"/>
          <w:color w:val="auto"/>
          <w:sz w:val="21"/>
        </w:rPr>
        <w:t>（</w:t>
      </w:r>
      <w:r>
        <w:rPr>
          <w:rFonts w:hint="eastAsia" w:ascii="仿宋" w:hAnsi="仿宋" w:eastAsia="仿宋"/>
          <w:color w:val="auto"/>
          <w:sz w:val="21"/>
        </w:rPr>
        <w:t>3</w:t>
      </w:r>
      <w:r>
        <w:rPr>
          <w:rFonts w:ascii="仿宋" w:hAnsi="仿宋" w:eastAsia="仿宋"/>
          <w:color w:val="auto"/>
          <w:sz w:val="21"/>
        </w:rPr>
        <w:t>）对中标结果提出质疑的，为中标结果公告期限届满之日。</w:t>
      </w:r>
    </w:p>
    <w:p w14:paraId="1DA8040E">
      <w:pPr>
        <w:pStyle w:val="7"/>
        <w:keepNext w:val="0"/>
        <w:keepLines w:val="0"/>
        <w:spacing w:before="0" w:after="0" w:line="360" w:lineRule="auto"/>
        <w:ind w:firstLine="315" w:firstLineChars="150"/>
        <w:rPr>
          <w:rFonts w:ascii="仿宋" w:hAnsi="仿宋" w:eastAsia="仿宋"/>
          <w:b w:val="0"/>
          <w:color w:val="auto"/>
          <w:sz w:val="21"/>
          <w:szCs w:val="21"/>
        </w:rPr>
      </w:pPr>
      <w:r>
        <w:rPr>
          <w:rFonts w:ascii="仿宋" w:hAnsi="仿宋" w:eastAsia="仿宋"/>
          <w:b w:val="0"/>
          <w:color w:val="auto"/>
          <w:sz w:val="21"/>
          <w:szCs w:val="21"/>
        </w:rPr>
        <w:t>38</w:t>
      </w:r>
      <w:r>
        <w:rPr>
          <w:rFonts w:hint="eastAsia" w:ascii="仿宋" w:hAnsi="仿宋" w:eastAsia="仿宋"/>
          <w:b w:val="0"/>
          <w:color w:val="auto"/>
          <w:sz w:val="21"/>
          <w:szCs w:val="21"/>
        </w:rPr>
        <w:t>.</w:t>
      </w:r>
      <w:r>
        <w:rPr>
          <w:rFonts w:ascii="仿宋" w:hAnsi="仿宋" w:eastAsia="仿宋"/>
          <w:b w:val="0"/>
          <w:color w:val="auto"/>
          <w:sz w:val="21"/>
          <w:szCs w:val="21"/>
        </w:rPr>
        <w:t>3</w:t>
      </w:r>
      <w:r>
        <w:rPr>
          <w:rFonts w:ascii="仿宋" w:hAnsi="仿宋" w:eastAsia="仿宋"/>
          <w:bCs/>
          <w:color w:val="auto"/>
          <w:sz w:val="21"/>
        </w:rPr>
        <w:t>供应商提出质疑应当提交质疑函和必要的证明材料</w:t>
      </w:r>
      <w:r>
        <w:rPr>
          <w:rFonts w:hint="eastAsia" w:ascii="仿宋" w:hAnsi="仿宋" w:eastAsia="仿宋"/>
          <w:bCs/>
          <w:color w:val="auto"/>
          <w:sz w:val="21"/>
        </w:rPr>
        <w:t>，</w:t>
      </w:r>
      <w:r>
        <w:rPr>
          <w:rFonts w:ascii="仿宋" w:hAnsi="仿宋" w:eastAsia="仿宋"/>
          <w:bCs/>
          <w:color w:val="auto"/>
          <w:sz w:val="21"/>
        </w:rPr>
        <w:t>针对同一采购程序环节的质疑</w:t>
      </w:r>
      <w:r>
        <w:rPr>
          <w:rFonts w:hint="eastAsia" w:ascii="仿宋" w:hAnsi="仿宋" w:eastAsia="仿宋"/>
          <w:bCs/>
          <w:color w:val="auto"/>
          <w:sz w:val="21"/>
        </w:rPr>
        <w:t>必须</w:t>
      </w:r>
      <w:r>
        <w:rPr>
          <w:rFonts w:ascii="仿宋" w:hAnsi="仿宋" w:eastAsia="仿宋"/>
          <w:bCs/>
          <w:color w:val="auto"/>
          <w:sz w:val="21"/>
        </w:rPr>
        <w:t>在法定质疑期内一次性提出。质疑函应当包括下列内容</w:t>
      </w:r>
      <w:r>
        <w:rPr>
          <w:rFonts w:hint="eastAsia" w:ascii="仿宋" w:hAnsi="仿宋" w:eastAsia="仿宋"/>
          <w:bCs/>
          <w:color w:val="auto"/>
          <w:sz w:val="21"/>
        </w:rPr>
        <w:t>（质疑函格式后附）</w:t>
      </w:r>
      <w:r>
        <w:rPr>
          <w:rFonts w:ascii="仿宋" w:hAnsi="仿宋" w:eastAsia="仿宋"/>
          <w:bCs/>
          <w:color w:val="auto"/>
          <w:sz w:val="21"/>
        </w:rPr>
        <w:t>：</w:t>
      </w:r>
    </w:p>
    <w:p w14:paraId="05426E7F">
      <w:pPr>
        <w:pStyle w:val="26"/>
        <w:snapToGrid w:val="0"/>
        <w:spacing w:line="360" w:lineRule="auto"/>
        <w:ind w:firstLine="420" w:firstLineChars="200"/>
        <w:rPr>
          <w:rFonts w:ascii="仿宋" w:hAnsi="仿宋" w:eastAsia="仿宋"/>
          <w:bCs/>
          <w:color w:val="auto"/>
          <w:sz w:val="21"/>
        </w:rPr>
      </w:pPr>
      <w:r>
        <w:rPr>
          <w:rFonts w:ascii="仿宋" w:hAnsi="仿宋" w:eastAsia="仿宋"/>
          <w:bCs/>
          <w:color w:val="auto"/>
          <w:sz w:val="21"/>
        </w:rPr>
        <w:t>（</w:t>
      </w:r>
      <w:r>
        <w:rPr>
          <w:rFonts w:hint="eastAsia" w:ascii="仿宋" w:hAnsi="仿宋" w:eastAsia="仿宋"/>
          <w:bCs/>
          <w:color w:val="auto"/>
          <w:sz w:val="21"/>
        </w:rPr>
        <w:t>1</w:t>
      </w:r>
      <w:r>
        <w:rPr>
          <w:rFonts w:ascii="仿宋" w:hAnsi="仿宋" w:eastAsia="仿宋"/>
          <w:bCs/>
          <w:color w:val="auto"/>
          <w:sz w:val="21"/>
        </w:rPr>
        <w:t>）供应商的姓名或者名称、地址、邮编、联系人及联系电话；</w:t>
      </w:r>
    </w:p>
    <w:p w14:paraId="34615DE0">
      <w:pPr>
        <w:pStyle w:val="26"/>
        <w:snapToGrid w:val="0"/>
        <w:spacing w:line="360" w:lineRule="auto"/>
        <w:ind w:firstLine="420" w:firstLineChars="200"/>
        <w:rPr>
          <w:rFonts w:ascii="仿宋" w:hAnsi="仿宋" w:eastAsia="仿宋"/>
          <w:bCs/>
          <w:color w:val="auto"/>
          <w:sz w:val="21"/>
        </w:rPr>
      </w:pPr>
      <w:r>
        <w:rPr>
          <w:rFonts w:ascii="仿宋" w:hAnsi="仿宋" w:eastAsia="仿宋"/>
          <w:bCs/>
          <w:color w:val="auto"/>
          <w:sz w:val="21"/>
        </w:rPr>
        <w:t>（</w:t>
      </w:r>
      <w:r>
        <w:rPr>
          <w:rFonts w:hint="eastAsia" w:ascii="仿宋" w:hAnsi="仿宋" w:eastAsia="仿宋"/>
          <w:bCs/>
          <w:color w:val="auto"/>
          <w:sz w:val="21"/>
        </w:rPr>
        <w:t>2</w:t>
      </w:r>
      <w:r>
        <w:rPr>
          <w:rFonts w:ascii="仿宋" w:hAnsi="仿宋" w:eastAsia="仿宋"/>
          <w:bCs/>
          <w:color w:val="auto"/>
          <w:sz w:val="21"/>
        </w:rPr>
        <w:t>）质疑项目的名称、编号；</w:t>
      </w:r>
    </w:p>
    <w:p w14:paraId="6BE5F20B">
      <w:pPr>
        <w:pStyle w:val="26"/>
        <w:snapToGrid w:val="0"/>
        <w:spacing w:line="360" w:lineRule="auto"/>
        <w:ind w:firstLine="420" w:firstLineChars="200"/>
        <w:rPr>
          <w:rFonts w:ascii="仿宋" w:hAnsi="仿宋" w:eastAsia="仿宋"/>
          <w:bCs/>
          <w:color w:val="auto"/>
          <w:sz w:val="21"/>
        </w:rPr>
      </w:pPr>
      <w:r>
        <w:rPr>
          <w:rFonts w:ascii="仿宋" w:hAnsi="仿宋" w:eastAsia="仿宋"/>
          <w:bCs/>
          <w:color w:val="auto"/>
          <w:sz w:val="21"/>
        </w:rPr>
        <w:t>（</w:t>
      </w:r>
      <w:r>
        <w:rPr>
          <w:rFonts w:hint="eastAsia" w:ascii="仿宋" w:hAnsi="仿宋" w:eastAsia="仿宋"/>
          <w:bCs/>
          <w:color w:val="auto"/>
          <w:sz w:val="21"/>
        </w:rPr>
        <w:t>3</w:t>
      </w:r>
      <w:r>
        <w:rPr>
          <w:rFonts w:ascii="仿宋" w:hAnsi="仿宋" w:eastAsia="仿宋"/>
          <w:bCs/>
          <w:color w:val="auto"/>
          <w:sz w:val="21"/>
        </w:rPr>
        <w:t>）具体、明确的质疑事项和与质疑事项相关的请求；</w:t>
      </w:r>
    </w:p>
    <w:p w14:paraId="0D4B1BAC">
      <w:pPr>
        <w:pStyle w:val="26"/>
        <w:snapToGrid w:val="0"/>
        <w:spacing w:line="360" w:lineRule="auto"/>
        <w:ind w:firstLine="420" w:firstLineChars="200"/>
        <w:rPr>
          <w:rFonts w:ascii="仿宋" w:hAnsi="仿宋" w:eastAsia="仿宋"/>
          <w:bCs/>
          <w:color w:val="auto"/>
          <w:sz w:val="21"/>
        </w:rPr>
      </w:pPr>
      <w:r>
        <w:rPr>
          <w:rFonts w:ascii="仿宋" w:hAnsi="仿宋" w:eastAsia="仿宋"/>
          <w:bCs/>
          <w:color w:val="auto"/>
          <w:sz w:val="21"/>
        </w:rPr>
        <w:t>（</w:t>
      </w:r>
      <w:r>
        <w:rPr>
          <w:rFonts w:hint="eastAsia" w:ascii="仿宋" w:hAnsi="仿宋" w:eastAsia="仿宋"/>
          <w:bCs/>
          <w:color w:val="auto"/>
          <w:sz w:val="21"/>
        </w:rPr>
        <w:t>4</w:t>
      </w:r>
      <w:r>
        <w:rPr>
          <w:rFonts w:ascii="仿宋" w:hAnsi="仿宋" w:eastAsia="仿宋"/>
          <w:bCs/>
          <w:color w:val="auto"/>
          <w:sz w:val="21"/>
        </w:rPr>
        <w:t>）事实依据；</w:t>
      </w:r>
    </w:p>
    <w:p w14:paraId="334455FB">
      <w:pPr>
        <w:pStyle w:val="26"/>
        <w:snapToGrid w:val="0"/>
        <w:spacing w:line="360" w:lineRule="auto"/>
        <w:ind w:firstLine="420" w:firstLineChars="200"/>
        <w:rPr>
          <w:rFonts w:ascii="仿宋" w:hAnsi="仿宋" w:eastAsia="仿宋"/>
          <w:bCs/>
          <w:color w:val="auto"/>
          <w:sz w:val="21"/>
        </w:rPr>
      </w:pPr>
      <w:r>
        <w:rPr>
          <w:rFonts w:ascii="仿宋" w:hAnsi="仿宋" w:eastAsia="仿宋"/>
          <w:bCs/>
          <w:color w:val="auto"/>
          <w:sz w:val="21"/>
        </w:rPr>
        <w:t>（</w:t>
      </w:r>
      <w:r>
        <w:rPr>
          <w:rFonts w:hint="eastAsia" w:ascii="仿宋" w:hAnsi="仿宋" w:eastAsia="仿宋"/>
          <w:bCs/>
          <w:color w:val="auto"/>
          <w:sz w:val="21"/>
        </w:rPr>
        <w:t>5</w:t>
      </w:r>
      <w:r>
        <w:rPr>
          <w:rFonts w:ascii="仿宋" w:hAnsi="仿宋" w:eastAsia="仿宋"/>
          <w:bCs/>
          <w:color w:val="auto"/>
          <w:sz w:val="21"/>
        </w:rPr>
        <w:t>）必要的法律依据；</w:t>
      </w:r>
    </w:p>
    <w:p w14:paraId="24356E35">
      <w:pPr>
        <w:pStyle w:val="26"/>
        <w:snapToGrid w:val="0"/>
        <w:spacing w:line="360" w:lineRule="auto"/>
        <w:ind w:firstLine="420" w:firstLineChars="200"/>
        <w:rPr>
          <w:rFonts w:ascii="仿宋" w:hAnsi="仿宋" w:eastAsia="仿宋"/>
          <w:bCs/>
          <w:color w:val="auto"/>
          <w:sz w:val="21"/>
        </w:rPr>
      </w:pPr>
      <w:r>
        <w:rPr>
          <w:rFonts w:ascii="仿宋" w:hAnsi="仿宋" w:eastAsia="仿宋"/>
          <w:bCs/>
          <w:color w:val="auto"/>
          <w:sz w:val="21"/>
        </w:rPr>
        <w:t>（</w:t>
      </w:r>
      <w:r>
        <w:rPr>
          <w:rFonts w:hint="eastAsia" w:ascii="仿宋" w:hAnsi="仿宋" w:eastAsia="仿宋"/>
          <w:bCs/>
          <w:color w:val="auto"/>
          <w:sz w:val="21"/>
        </w:rPr>
        <w:t>6</w:t>
      </w:r>
      <w:r>
        <w:rPr>
          <w:rFonts w:ascii="仿宋" w:hAnsi="仿宋" w:eastAsia="仿宋"/>
          <w:bCs/>
          <w:color w:val="auto"/>
          <w:sz w:val="21"/>
        </w:rPr>
        <w:t>）提出质疑的日期。</w:t>
      </w:r>
    </w:p>
    <w:p w14:paraId="5C2010CB">
      <w:pPr>
        <w:pStyle w:val="26"/>
        <w:snapToGrid w:val="0"/>
        <w:spacing w:line="360" w:lineRule="auto"/>
        <w:ind w:firstLine="420" w:firstLineChars="200"/>
        <w:rPr>
          <w:rFonts w:ascii="仿宋" w:hAnsi="仿宋" w:eastAsia="仿宋"/>
          <w:bCs/>
          <w:color w:val="auto"/>
          <w:sz w:val="21"/>
        </w:rPr>
      </w:pPr>
      <w:r>
        <w:rPr>
          <w:rFonts w:ascii="仿宋" w:hAnsi="仿宋" w:eastAsia="仿宋"/>
          <w:bCs/>
          <w:color w:val="auto"/>
          <w:sz w:val="21"/>
        </w:rPr>
        <w:t>供应商为自然人的，应当由本人签字；供应商为法人或者其他组织的，应当由法定代表人、主要负责人，或者其委托代理人签字或者盖章，并加盖公章</w:t>
      </w:r>
      <w:r>
        <w:rPr>
          <w:rFonts w:hint="eastAsia" w:ascii="仿宋" w:hAnsi="仿宋" w:eastAsia="仿宋"/>
          <w:bCs/>
          <w:color w:val="auto"/>
          <w:sz w:val="21"/>
        </w:rPr>
        <w:t>。</w:t>
      </w:r>
    </w:p>
    <w:p w14:paraId="6562AA52">
      <w:pPr>
        <w:pStyle w:val="7"/>
        <w:keepNext w:val="0"/>
        <w:keepLines w:val="0"/>
        <w:snapToGrid w:val="0"/>
        <w:spacing w:before="0" w:after="0" w:line="360" w:lineRule="auto"/>
        <w:ind w:firstLine="420" w:firstLineChars="200"/>
        <w:rPr>
          <w:rFonts w:ascii="仿宋" w:hAnsi="仿宋" w:eastAsia="仿宋"/>
          <w:b w:val="0"/>
          <w:bCs/>
          <w:color w:val="auto"/>
          <w:sz w:val="21"/>
          <w:szCs w:val="21"/>
        </w:rPr>
      </w:pPr>
      <w:r>
        <w:rPr>
          <w:rFonts w:ascii="仿宋" w:hAnsi="仿宋" w:eastAsia="仿宋"/>
          <w:b w:val="0"/>
          <w:color w:val="auto"/>
          <w:sz w:val="21"/>
          <w:szCs w:val="21"/>
        </w:rPr>
        <w:t>3</w:t>
      </w:r>
      <w:r>
        <w:rPr>
          <w:rFonts w:ascii="仿宋" w:hAnsi="仿宋" w:eastAsia="仿宋"/>
          <w:b w:val="0"/>
          <w:bCs/>
          <w:color w:val="auto"/>
          <w:sz w:val="21"/>
          <w:szCs w:val="21"/>
        </w:rPr>
        <w:t>8.4</w:t>
      </w:r>
      <w:r>
        <w:rPr>
          <w:rFonts w:hint="eastAsia" w:ascii="仿宋" w:hAnsi="仿宋" w:eastAsia="仿宋"/>
          <w:b w:val="0"/>
          <w:bCs/>
          <w:color w:val="auto"/>
          <w:sz w:val="21"/>
          <w:szCs w:val="21"/>
        </w:rPr>
        <w:t>采购人、采购代理机构认为供应商质疑不成立，或者成立但未对中标结果构成影响的，继续开展采购活动；认为供应商质疑成立且影响或者可能影响中标结果的，按照下列情况处理：</w:t>
      </w:r>
    </w:p>
    <w:p w14:paraId="6CDEF0D8">
      <w:pPr>
        <w:pStyle w:val="26"/>
        <w:snapToGrid w:val="0"/>
        <w:spacing w:line="360" w:lineRule="auto"/>
        <w:rPr>
          <w:rFonts w:ascii="仿宋" w:hAnsi="仿宋" w:eastAsia="仿宋"/>
          <w:bCs/>
          <w:color w:val="auto"/>
          <w:sz w:val="21"/>
        </w:rPr>
      </w:pPr>
      <w:r>
        <w:rPr>
          <w:rFonts w:hint="eastAsia" w:ascii="仿宋" w:hAnsi="仿宋" w:eastAsia="仿宋"/>
          <w:bCs/>
          <w:color w:val="auto"/>
          <w:sz w:val="21"/>
        </w:rPr>
        <w:t>　　（1）对招标文件提出的质疑，依法通过澄清或者修改可以继续开展采购活动的，澄清或者修改招标文件后继续开展采购活动；否则应当修改招标文件后重新开展采购活动。</w:t>
      </w:r>
    </w:p>
    <w:p w14:paraId="264A4895">
      <w:pPr>
        <w:pStyle w:val="26"/>
        <w:snapToGrid w:val="0"/>
        <w:spacing w:line="360" w:lineRule="auto"/>
        <w:rPr>
          <w:rFonts w:ascii="仿宋" w:hAnsi="仿宋" w:eastAsia="仿宋"/>
          <w:bCs/>
          <w:color w:val="auto"/>
          <w:sz w:val="21"/>
        </w:rPr>
      </w:pPr>
      <w:r>
        <w:rPr>
          <w:rFonts w:hint="eastAsia" w:ascii="仿宋" w:hAnsi="仿宋" w:eastAsia="仿宋"/>
          <w:bCs/>
          <w:color w:val="auto"/>
          <w:sz w:val="21"/>
        </w:rPr>
        <w:t>　　（2）对采购过程、中标结果提出的质疑，合格供应商符合法定数量时，可以从合格的中标候选人中另行确定中标供应商的，应当依法另行确定中标供应商；否则应当重新开展采购活动。</w:t>
      </w:r>
    </w:p>
    <w:p w14:paraId="456FF576">
      <w:pPr>
        <w:pStyle w:val="26"/>
        <w:snapToGrid w:val="0"/>
        <w:spacing w:line="360" w:lineRule="auto"/>
        <w:ind w:firstLine="420"/>
        <w:rPr>
          <w:rFonts w:ascii="仿宋" w:hAnsi="仿宋" w:eastAsia="仿宋"/>
          <w:bCs/>
          <w:color w:val="auto"/>
          <w:sz w:val="21"/>
        </w:rPr>
      </w:pPr>
      <w:r>
        <w:rPr>
          <w:rFonts w:hint="eastAsia" w:ascii="仿宋" w:hAnsi="仿宋" w:eastAsia="仿宋"/>
          <w:bCs/>
          <w:color w:val="auto"/>
          <w:sz w:val="21"/>
        </w:rPr>
        <w:t>质疑答复导致中标结果改变的，采购人或者采购代理机构应当将有关情况书面报告本级财政部门。</w:t>
      </w:r>
    </w:p>
    <w:p w14:paraId="374F6A55">
      <w:pPr>
        <w:pStyle w:val="26"/>
        <w:snapToGrid w:val="0"/>
        <w:spacing w:line="360" w:lineRule="auto"/>
        <w:ind w:firstLine="420" w:firstLineChars="200"/>
        <w:rPr>
          <w:rFonts w:ascii="仿宋" w:hAnsi="仿宋" w:eastAsia="仿宋"/>
          <w:color w:val="auto"/>
          <w:sz w:val="21"/>
        </w:rPr>
      </w:pPr>
      <w:r>
        <w:rPr>
          <w:rFonts w:ascii="仿宋" w:hAnsi="仿宋" w:eastAsia="仿宋"/>
          <w:color w:val="auto"/>
          <w:sz w:val="21"/>
        </w:rPr>
        <w:t>38</w:t>
      </w:r>
      <w:r>
        <w:rPr>
          <w:rFonts w:hint="eastAsia" w:ascii="仿宋" w:hAnsi="仿宋" w:eastAsia="仿宋"/>
          <w:color w:val="auto"/>
          <w:sz w:val="21"/>
        </w:rPr>
        <w:t>.</w:t>
      </w:r>
      <w:r>
        <w:rPr>
          <w:rFonts w:ascii="仿宋" w:hAnsi="仿宋" w:eastAsia="仿宋"/>
          <w:color w:val="auto"/>
          <w:sz w:val="21"/>
        </w:rPr>
        <w:t>5</w:t>
      </w:r>
      <w:r>
        <w:rPr>
          <w:rFonts w:hint="eastAsia" w:ascii="仿宋" w:hAnsi="仿宋" w:eastAsia="仿宋"/>
          <w:color w:val="auto"/>
          <w:sz w:val="21"/>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bookmarkStart w:id="131" w:name="_八、其他事项"/>
      <w:bookmarkEnd w:id="131"/>
    </w:p>
    <w:p w14:paraId="6F7228E8">
      <w:pPr>
        <w:pStyle w:val="26"/>
        <w:snapToGrid w:val="0"/>
        <w:spacing w:line="360" w:lineRule="auto"/>
        <w:ind w:firstLine="400" w:firstLineChars="200"/>
        <w:rPr>
          <w:rFonts w:ascii="仿宋" w:hAnsi="仿宋" w:eastAsia="仿宋"/>
          <w:color w:val="auto"/>
        </w:rPr>
      </w:pPr>
    </w:p>
    <w:p w14:paraId="37620E52">
      <w:pPr>
        <w:pStyle w:val="5"/>
        <w:keepNext w:val="0"/>
        <w:keepLines w:val="0"/>
        <w:jc w:val="center"/>
        <w:rPr>
          <w:rFonts w:ascii="仿宋" w:hAnsi="仿宋" w:eastAsia="仿宋"/>
          <w:color w:val="auto"/>
        </w:rPr>
      </w:pPr>
      <w:r>
        <w:rPr>
          <w:rFonts w:hint="eastAsia" w:ascii="仿宋" w:hAnsi="仿宋" w:eastAsia="仿宋"/>
          <w:color w:val="auto"/>
        </w:rPr>
        <w:t>八、其他事项</w:t>
      </w:r>
    </w:p>
    <w:p w14:paraId="103EAD28">
      <w:pPr>
        <w:pStyle w:val="7"/>
        <w:keepNext w:val="0"/>
        <w:keepLines w:val="0"/>
        <w:spacing w:before="0" w:after="0" w:line="360" w:lineRule="auto"/>
        <w:ind w:left="420" w:leftChars="200"/>
        <w:rPr>
          <w:rFonts w:ascii="仿宋" w:hAnsi="仿宋" w:eastAsia="仿宋"/>
          <w:color w:val="auto"/>
          <w:sz w:val="24"/>
        </w:rPr>
      </w:pPr>
      <w:bookmarkStart w:id="132" w:name="_42.代理服务费"/>
      <w:bookmarkEnd w:id="132"/>
      <w:r>
        <w:rPr>
          <w:rFonts w:hint="eastAsia" w:ascii="仿宋" w:hAnsi="仿宋" w:eastAsia="仿宋"/>
          <w:color w:val="auto"/>
          <w:sz w:val="24"/>
        </w:rPr>
        <w:t>3</w:t>
      </w:r>
      <w:r>
        <w:rPr>
          <w:rFonts w:ascii="仿宋" w:hAnsi="仿宋" w:eastAsia="仿宋"/>
          <w:color w:val="auto"/>
          <w:sz w:val="24"/>
        </w:rPr>
        <w:t>9</w:t>
      </w:r>
      <w:r>
        <w:rPr>
          <w:rFonts w:hint="eastAsia" w:ascii="仿宋" w:hAnsi="仿宋" w:eastAsia="仿宋"/>
          <w:color w:val="auto"/>
          <w:sz w:val="24"/>
        </w:rPr>
        <w:t>.代理服务费</w:t>
      </w:r>
    </w:p>
    <w:p w14:paraId="735B33D4">
      <w:pPr>
        <w:pStyle w:val="26"/>
        <w:snapToGrid w:val="0"/>
        <w:spacing w:line="360" w:lineRule="auto"/>
        <w:ind w:firstLine="420" w:firstLineChars="200"/>
        <w:rPr>
          <w:rFonts w:ascii="仿宋" w:hAnsi="仿宋" w:eastAsia="仿宋"/>
          <w:color w:val="auto"/>
          <w:sz w:val="21"/>
        </w:rPr>
      </w:pPr>
      <w:r>
        <w:rPr>
          <w:rFonts w:hint="eastAsia" w:ascii="仿宋" w:hAnsi="仿宋" w:eastAsia="仿宋"/>
          <w:color w:val="auto"/>
          <w:sz w:val="21"/>
        </w:rPr>
        <w:t>3</w:t>
      </w:r>
      <w:r>
        <w:rPr>
          <w:rFonts w:ascii="仿宋" w:hAnsi="仿宋" w:eastAsia="仿宋"/>
          <w:color w:val="auto"/>
          <w:sz w:val="21"/>
        </w:rPr>
        <w:t>9</w:t>
      </w:r>
      <w:r>
        <w:rPr>
          <w:rFonts w:hint="eastAsia" w:ascii="仿宋" w:hAnsi="仿宋" w:eastAsia="仿宋"/>
          <w:color w:val="auto"/>
          <w:sz w:val="21"/>
        </w:rPr>
        <w:t>.1代理服务收取标准及缴费账户详见“投标人须知前附表”，投标人为联合体的，可以由联合体中的一方或者多方共同交纳代理服务费。</w:t>
      </w:r>
    </w:p>
    <w:p w14:paraId="5114CDC8">
      <w:pPr>
        <w:pStyle w:val="26"/>
        <w:snapToGrid w:val="0"/>
        <w:spacing w:line="360" w:lineRule="auto"/>
        <w:ind w:firstLine="420" w:firstLineChars="200"/>
        <w:rPr>
          <w:rFonts w:ascii="仿宋" w:hAnsi="仿宋" w:eastAsia="仿宋"/>
          <w:color w:val="auto"/>
          <w:sz w:val="21"/>
        </w:rPr>
      </w:pPr>
      <w:r>
        <w:rPr>
          <w:rFonts w:hint="eastAsia" w:ascii="仿宋" w:hAnsi="仿宋" w:eastAsia="仿宋"/>
          <w:color w:val="auto"/>
          <w:sz w:val="21"/>
        </w:rPr>
        <w:t>3</w:t>
      </w:r>
      <w:r>
        <w:rPr>
          <w:rFonts w:ascii="仿宋" w:hAnsi="仿宋" w:eastAsia="仿宋"/>
          <w:color w:val="auto"/>
          <w:sz w:val="21"/>
        </w:rPr>
        <w:t>9</w:t>
      </w:r>
      <w:r>
        <w:rPr>
          <w:rFonts w:hint="eastAsia" w:ascii="仿宋" w:hAnsi="仿宋" w:eastAsia="仿宋"/>
          <w:color w:val="auto"/>
          <w:sz w:val="21"/>
        </w:rPr>
        <w:t>.2代理服务收费标准：</w:t>
      </w:r>
    </w:p>
    <w:p w14:paraId="78F1CB61">
      <w:pPr>
        <w:pStyle w:val="26"/>
        <w:snapToGrid w:val="0"/>
        <w:spacing w:line="360" w:lineRule="auto"/>
        <w:ind w:firstLine="420" w:firstLineChars="200"/>
        <w:rPr>
          <w:rFonts w:ascii="仿宋" w:hAnsi="仿宋" w:eastAsia="仿宋"/>
          <w:color w:val="auto"/>
          <w:sz w:val="21"/>
        </w:rPr>
      </w:pP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76387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tcPr>
          <w:p w14:paraId="15584F92">
            <w:pPr>
              <w:spacing w:line="360" w:lineRule="auto"/>
              <w:rPr>
                <w:rFonts w:ascii="仿宋" w:hAnsi="仿宋" w:eastAsia="仿宋"/>
                <w:color w:val="auto"/>
                <w:szCs w:val="21"/>
              </w:rPr>
            </w:pPr>
            <w:r>
              <w:rPr>
                <w:rFonts w:hint="eastAsia" w:ascii="仿宋" w:hAnsi="仿宋" w:eastAsia="仿宋"/>
                <w:color w:val="auto"/>
                <w:szCs w:val="21"/>
              </w:rPr>
              <w:t xml:space="preserve">               费率</w:t>
            </w:r>
          </w:p>
          <w:p w14:paraId="27668B5C">
            <w:pPr>
              <w:spacing w:line="360" w:lineRule="auto"/>
              <w:rPr>
                <w:rFonts w:ascii="仿宋" w:hAnsi="仿宋" w:eastAsia="仿宋"/>
                <w:color w:val="auto"/>
                <w:szCs w:val="21"/>
              </w:rPr>
            </w:pPr>
            <w:r>
              <w:rPr>
                <w:rFonts w:hint="eastAsia" w:ascii="仿宋" w:hAnsi="仿宋" w:eastAsia="仿宋"/>
                <w:color w:val="auto"/>
                <w:szCs w:val="21"/>
              </w:rPr>
              <w:t>中标金额</w:t>
            </w:r>
          </w:p>
        </w:tc>
        <w:tc>
          <w:tcPr>
            <w:tcW w:w="1659" w:type="dxa"/>
            <w:vAlign w:val="center"/>
          </w:tcPr>
          <w:p w14:paraId="4E973A7A">
            <w:pPr>
              <w:spacing w:line="360" w:lineRule="auto"/>
              <w:ind w:firstLine="105" w:firstLineChars="50"/>
              <w:jc w:val="center"/>
              <w:rPr>
                <w:rFonts w:ascii="仿宋" w:hAnsi="仿宋" w:eastAsia="仿宋"/>
                <w:color w:val="auto"/>
                <w:szCs w:val="21"/>
              </w:rPr>
            </w:pPr>
            <w:r>
              <w:rPr>
                <w:rFonts w:hint="eastAsia" w:ascii="仿宋" w:hAnsi="仿宋" w:eastAsia="仿宋"/>
                <w:color w:val="auto"/>
                <w:szCs w:val="21"/>
              </w:rPr>
              <w:t>货物招标</w:t>
            </w:r>
          </w:p>
        </w:tc>
        <w:tc>
          <w:tcPr>
            <w:tcW w:w="1687" w:type="dxa"/>
            <w:vAlign w:val="center"/>
          </w:tcPr>
          <w:p w14:paraId="3845C5FB">
            <w:pPr>
              <w:spacing w:line="360" w:lineRule="auto"/>
              <w:jc w:val="center"/>
              <w:rPr>
                <w:rFonts w:ascii="仿宋" w:hAnsi="仿宋" w:eastAsia="仿宋"/>
                <w:color w:val="auto"/>
                <w:szCs w:val="21"/>
              </w:rPr>
            </w:pPr>
            <w:r>
              <w:rPr>
                <w:rFonts w:hint="eastAsia" w:ascii="仿宋" w:hAnsi="仿宋" w:eastAsia="仿宋"/>
                <w:color w:val="auto"/>
                <w:szCs w:val="21"/>
              </w:rPr>
              <w:t>服务招标</w:t>
            </w:r>
          </w:p>
        </w:tc>
        <w:tc>
          <w:tcPr>
            <w:tcW w:w="1659" w:type="dxa"/>
            <w:vAlign w:val="center"/>
          </w:tcPr>
          <w:p w14:paraId="725C446D">
            <w:pPr>
              <w:spacing w:line="360" w:lineRule="auto"/>
              <w:jc w:val="center"/>
              <w:rPr>
                <w:rFonts w:ascii="仿宋" w:hAnsi="仿宋" w:eastAsia="仿宋"/>
                <w:color w:val="auto"/>
                <w:szCs w:val="21"/>
              </w:rPr>
            </w:pPr>
            <w:r>
              <w:rPr>
                <w:rFonts w:hint="eastAsia" w:ascii="仿宋" w:hAnsi="仿宋" w:eastAsia="仿宋"/>
                <w:color w:val="auto"/>
                <w:szCs w:val="21"/>
              </w:rPr>
              <w:t>工程招标</w:t>
            </w:r>
          </w:p>
        </w:tc>
      </w:tr>
      <w:tr w14:paraId="1571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646CC9F2">
            <w:pPr>
              <w:spacing w:line="360" w:lineRule="auto"/>
              <w:rPr>
                <w:rFonts w:ascii="仿宋" w:hAnsi="仿宋" w:eastAsia="仿宋"/>
                <w:color w:val="auto"/>
                <w:szCs w:val="21"/>
              </w:rPr>
            </w:pPr>
            <w:r>
              <w:rPr>
                <w:rFonts w:hint="eastAsia" w:ascii="仿宋" w:hAnsi="仿宋" w:eastAsia="仿宋"/>
                <w:color w:val="auto"/>
                <w:szCs w:val="21"/>
              </w:rPr>
              <w:t>100万元以下</w:t>
            </w:r>
          </w:p>
        </w:tc>
        <w:tc>
          <w:tcPr>
            <w:tcW w:w="1659" w:type="dxa"/>
          </w:tcPr>
          <w:p w14:paraId="5326114A">
            <w:pPr>
              <w:spacing w:line="360" w:lineRule="auto"/>
              <w:rPr>
                <w:rFonts w:ascii="仿宋" w:hAnsi="仿宋" w:eastAsia="仿宋"/>
                <w:color w:val="auto"/>
                <w:szCs w:val="21"/>
              </w:rPr>
            </w:pPr>
            <w:r>
              <w:rPr>
                <w:rFonts w:ascii="仿宋" w:hAnsi="仿宋" w:eastAsia="仿宋" w:cs="宋体"/>
                <w:color w:val="auto"/>
                <w:kern w:val="0"/>
                <w:szCs w:val="21"/>
              </w:rPr>
              <w:t xml:space="preserve">1.5% </w:t>
            </w:r>
          </w:p>
        </w:tc>
        <w:tc>
          <w:tcPr>
            <w:tcW w:w="1687" w:type="dxa"/>
          </w:tcPr>
          <w:p w14:paraId="1361983E">
            <w:pPr>
              <w:spacing w:line="360" w:lineRule="auto"/>
              <w:ind w:firstLine="210" w:firstLineChars="100"/>
              <w:rPr>
                <w:rFonts w:ascii="仿宋" w:hAnsi="仿宋" w:eastAsia="仿宋"/>
                <w:color w:val="auto"/>
                <w:szCs w:val="21"/>
              </w:rPr>
            </w:pPr>
            <w:r>
              <w:rPr>
                <w:rFonts w:ascii="仿宋" w:hAnsi="仿宋" w:eastAsia="仿宋" w:cs="宋体"/>
                <w:color w:val="auto"/>
                <w:kern w:val="0"/>
                <w:szCs w:val="21"/>
              </w:rPr>
              <w:t>1.5%</w:t>
            </w:r>
          </w:p>
        </w:tc>
        <w:tc>
          <w:tcPr>
            <w:tcW w:w="1659" w:type="dxa"/>
          </w:tcPr>
          <w:p w14:paraId="393A973D">
            <w:pPr>
              <w:spacing w:line="360" w:lineRule="auto"/>
              <w:ind w:firstLine="210" w:firstLineChars="100"/>
              <w:rPr>
                <w:rFonts w:ascii="仿宋" w:hAnsi="仿宋" w:eastAsia="仿宋"/>
                <w:color w:val="auto"/>
                <w:szCs w:val="21"/>
              </w:rPr>
            </w:pPr>
            <w:r>
              <w:rPr>
                <w:rFonts w:ascii="仿宋" w:hAnsi="仿宋" w:eastAsia="仿宋" w:cs="宋体"/>
                <w:color w:val="auto"/>
                <w:kern w:val="0"/>
                <w:szCs w:val="21"/>
              </w:rPr>
              <w:t xml:space="preserve">1.0% </w:t>
            </w:r>
          </w:p>
        </w:tc>
      </w:tr>
      <w:tr w14:paraId="6931C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2B05E54C">
            <w:pPr>
              <w:spacing w:line="360" w:lineRule="auto"/>
              <w:rPr>
                <w:rFonts w:ascii="仿宋" w:hAnsi="仿宋" w:eastAsia="仿宋"/>
                <w:color w:val="auto"/>
                <w:szCs w:val="21"/>
              </w:rPr>
            </w:pPr>
            <w:r>
              <w:rPr>
                <w:rFonts w:hint="eastAsia" w:ascii="仿宋" w:hAnsi="仿宋" w:eastAsia="仿宋"/>
                <w:color w:val="auto"/>
                <w:szCs w:val="21"/>
              </w:rPr>
              <w:t>100～500万元</w:t>
            </w:r>
          </w:p>
        </w:tc>
        <w:tc>
          <w:tcPr>
            <w:tcW w:w="1659" w:type="dxa"/>
          </w:tcPr>
          <w:p w14:paraId="53E9DE93">
            <w:pPr>
              <w:spacing w:line="360" w:lineRule="auto"/>
              <w:ind w:firstLine="210" w:firstLineChars="100"/>
              <w:rPr>
                <w:rFonts w:ascii="仿宋" w:hAnsi="仿宋" w:eastAsia="仿宋"/>
                <w:color w:val="auto"/>
                <w:szCs w:val="21"/>
              </w:rPr>
            </w:pPr>
            <w:r>
              <w:rPr>
                <w:rFonts w:ascii="仿宋" w:hAnsi="仿宋" w:eastAsia="仿宋" w:cs="宋体"/>
                <w:color w:val="auto"/>
                <w:kern w:val="0"/>
                <w:szCs w:val="21"/>
              </w:rPr>
              <w:t xml:space="preserve">1.1% </w:t>
            </w:r>
          </w:p>
        </w:tc>
        <w:tc>
          <w:tcPr>
            <w:tcW w:w="1687" w:type="dxa"/>
          </w:tcPr>
          <w:p w14:paraId="14C35493">
            <w:pPr>
              <w:spacing w:line="360" w:lineRule="auto"/>
              <w:ind w:firstLine="210" w:firstLineChars="100"/>
              <w:rPr>
                <w:rFonts w:ascii="仿宋" w:hAnsi="仿宋" w:eastAsia="仿宋"/>
                <w:color w:val="auto"/>
                <w:szCs w:val="21"/>
              </w:rPr>
            </w:pPr>
            <w:r>
              <w:rPr>
                <w:rFonts w:ascii="仿宋" w:hAnsi="仿宋" w:eastAsia="仿宋" w:cs="宋体"/>
                <w:color w:val="auto"/>
                <w:kern w:val="0"/>
                <w:szCs w:val="21"/>
              </w:rPr>
              <w:t>0.8%</w:t>
            </w:r>
          </w:p>
        </w:tc>
        <w:tc>
          <w:tcPr>
            <w:tcW w:w="1659" w:type="dxa"/>
          </w:tcPr>
          <w:p w14:paraId="22690780">
            <w:pPr>
              <w:spacing w:line="360" w:lineRule="auto"/>
              <w:ind w:firstLine="210" w:firstLineChars="100"/>
              <w:rPr>
                <w:rFonts w:ascii="仿宋" w:hAnsi="仿宋" w:eastAsia="仿宋"/>
                <w:color w:val="auto"/>
                <w:szCs w:val="21"/>
              </w:rPr>
            </w:pPr>
            <w:r>
              <w:rPr>
                <w:rFonts w:ascii="仿宋" w:hAnsi="仿宋" w:eastAsia="仿宋" w:cs="宋体"/>
                <w:color w:val="auto"/>
                <w:kern w:val="0"/>
                <w:szCs w:val="21"/>
              </w:rPr>
              <w:t xml:space="preserve">0.7% </w:t>
            </w:r>
          </w:p>
        </w:tc>
      </w:tr>
      <w:tr w14:paraId="3CC75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766A62B5">
            <w:pPr>
              <w:spacing w:line="360" w:lineRule="auto"/>
              <w:rPr>
                <w:rFonts w:ascii="仿宋" w:hAnsi="仿宋" w:eastAsia="仿宋"/>
                <w:color w:val="auto"/>
                <w:szCs w:val="21"/>
              </w:rPr>
            </w:pPr>
            <w:r>
              <w:rPr>
                <w:rFonts w:hint="eastAsia" w:ascii="仿宋" w:hAnsi="仿宋" w:eastAsia="仿宋"/>
                <w:color w:val="auto"/>
                <w:szCs w:val="21"/>
              </w:rPr>
              <w:t>500～1000万元</w:t>
            </w:r>
          </w:p>
        </w:tc>
        <w:tc>
          <w:tcPr>
            <w:tcW w:w="1659" w:type="dxa"/>
          </w:tcPr>
          <w:p w14:paraId="039369F8">
            <w:pPr>
              <w:spacing w:line="360" w:lineRule="auto"/>
              <w:rPr>
                <w:rFonts w:ascii="仿宋" w:hAnsi="仿宋" w:eastAsia="仿宋"/>
                <w:color w:val="auto"/>
                <w:szCs w:val="21"/>
              </w:rPr>
            </w:pPr>
            <w:r>
              <w:rPr>
                <w:rFonts w:ascii="仿宋" w:hAnsi="仿宋" w:eastAsia="仿宋" w:cs="宋体"/>
                <w:color w:val="auto"/>
                <w:kern w:val="0"/>
                <w:szCs w:val="21"/>
              </w:rPr>
              <w:t xml:space="preserve">0.8% </w:t>
            </w:r>
          </w:p>
        </w:tc>
        <w:tc>
          <w:tcPr>
            <w:tcW w:w="1687" w:type="dxa"/>
          </w:tcPr>
          <w:p w14:paraId="6C3958CD">
            <w:pPr>
              <w:spacing w:line="360" w:lineRule="auto"/>
              <w:ind w:firstLine="210" w:firstLineChars="100"/>
              <w:rPr>
                <w:rFonts w:ascii="仿宋" w:hAnsi="仿宋" w:eastAsia="仿宋"/>
                <w:color w:val="auto"/>
                <w:szCs w:val="21"/>
              </w:rPr>
            </w:pPr>
            <w:r>
              <w:rPr>
                <w:rFonts w:ascii="仿宋" w:hAnsi="仿宋" w:eastAsia="仿宋" w:cs="宋体"/>
                <w:color w:val="auto"/>
                <w:kern w:val="0"/>
                <w:szCs w:val="21"/>
              </w:rPr>
              <w:t>0.45%</w:t>
            </w:r>
          </w:p>
        </w:tc>
        <w:tc>
          <w:tcPr>
            <w:tcW w:w="1659" w:type="dxa"/>
          </w:tcPr>
          <w:p w14:paraId="348F3E4A">
            <w:pPr>
              <w:spacing w:line="360" w:lineRule="auto"/>
              <w:ind w:firstLine="210" w:firstLineChars="100"/>
              <w:rPr>
                <w:rFonts w:ascii="仿宋" w:hAnsi="仿宋" w:eastAsia="仿宋"/>
                <w:color w:val="auto"/>
                <w:szCs w:val="21"/>
              </w:rPr>
            </w:pPr>
            <w:r>
              <w:rPr>
                <w:rFonts w:ascii="仿宋" w:hAnsi="仿宋" w:eastAsia="仿宋" w:cs="宋体"/>
                <w:color w:val="auto"/>
                <w:kern w:val="0"/>
                <w:szCs w:val="21"/>
              </w:rPr>
              <w:t>0.55%</w:t>
            </w:r>
          </w:p>
        </w:tc>
      </w:tr>
      <w:tr w14:paraId="221D3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4EEBEA66">
            <w:pPr>
              <w:spacing w:line="360" w:lineRule="auto"/>
              <w:rPr>
                <w:rFonts w:ascii="仿宋" w:hAnsi="仿宋" w:eastAsia="仿宋"/>
                <w:color w:val="auto"/>
                <w:szCs w:val="21"/>
              </w:rPr>
            </w:pPr>
            <w:r>
              <w:rPr>
                <w:rFonts w:hint="eastAsia" w:ascii="仿宋" w:hAnsi="仿宋" w:eastAsia="仿宋"/>
                <w:color w:val="auto"/>
                <w:szCs w:val="21"/>
              </w:rPr>
              <w:t>1000～5000万元</w:t>
            </w:r>
          </w:p>
        </w:tc>
        <w:tc>
          <w:tcPr>
            <w:tcW w:w="1659" w:type="dxa"/>
          </w:tcPr>
          <w:p w14:paraId="0DF3B5FD">
            <w:pPr>
              <w:spacing w:line="360" w:lineRule="auto"/>
              <w:ind w:firstLine="210" w:firstLineChars="100"/>
              <w:rPr>
                <w:rFonts w:ascii="仿宋" w:hAnsi="仿宋" w:eastAsia="仿宋"/>
                <w:color w:val="auto"/>
                <w:szCs w:val="21"/>
              </w:rPr>
            </w:pPr>
            <w:r>
              <w:rPr>
                <w:rFonts w:ascii="仿宋" w:hAnsi="仿宋" w:eastAsia="仿宋" w:cs="宋体"/>
                <w:color w:val="auto"/>
                <w:kern w:val="0"/>
                <w:szCs w:val="21"/>
              </w:rPr>
              <w:t xml:space="preserve">0.5% </w:t>
            </w:r>
          </w:p>
        </w:tc>
        <w:tc>
          <w:tcPr>
            <w:tcW w:w="1687" w:type="dxa"/>
          </w:tcPr>
          <w:p w14:paraId="1712071C">
            <w:pPr>
              <w:spacing w:line="360" w:lineRule="auto"/>
              <w:ind w:firstLine="210" w:firstLineChars="100"/>
              <w:rPr>
                <w:rFonts w:ascii="仿宋" w:hAnsi="仿宋" w:eastAsia="仿宋"/>
                <w:color w:val="auto"/>
                <w:szCs w:val="21"/>
              </w:rPr>
            </w:pPr>
            <w:r>
              <w:rPr>
                <w:rFonts w:ascii="仿宋" w:hAnsi="仿宋" w:eastAsia="仿宋" w:cs="宋体"/>
                <w:color w:val="auto"/>
                <w:kern w:val="0"/>
                <w:szCs w:val="21"/>
              </w:rPr>
              <w:t>0.25%</w:t>
            </w:r>
          </w:p>
        </w:tc>
        <w:tc>
          <w:tcPr>
            <w:tcW w:w="1659" w:type="dxa"/>
          </w:tcPr>
          <w:p w14:paraId="3092E8EC">
            <w:pPr>
              <w:spacing w:line="360" w:lineRule="auto"/>
              <w:ind w:firstLine="210" w:firstLineChars="100"/>
              <w:rPr>
                <w:rFonts w:ascii="仿宋" w:hAnsi="仿宋" w:eastAsia="仿宋"/>
                <w:color w:val="auto"/>
                <w:szCs w:val="21"/>
              </w:rPr>
            </w:pPr>
            <w:r>
              <w:rPr>
                <w:rFonts w:ascii="仿宋" w:hAnsi="仿宋" w:eastAsia="仿宋" w:cs="宋体"/>
                <w:color w:val="auto"/>
                <w:kern w:val="0"/>
                <w:szCs w:val="21"/>
              </w:rPr>
              <w:t xml:space="preserve">0.35% </w:t>
            </w:r>
          </w:p>
        </w:tc>
      </w:tr>
      <w:tr w14:paraId="5F975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192E7D1A">
            <w:pPr>
              <w:spacing w:line="360" w:lineRule="auto"/>
              <w:rPr>
                <w:rFonts w:ascii="仿宋" w:hAnsi="仿宋" w:eastAsia="仿宋"/>
                <w:color w:val="auto"/>
                <w:szCs w:val="21"/>
              </w:rPr>
            </w:pPr>
            <w:r>
              <w:rPr>
                <w:rFonts w:hint="eastAsia" w:ascii="仿宋" w:hAnsi="仿宋" w:eastAsia="仿宋"/>
                <w:color w:val="auto"/>
                <w:szCs w:val="21"/>
              </w:rPr>
              <w:t>5000万元～1亿元</w:t>
            </w:r>
          </w:p>
        </w:tc>
        <w:tc>
          <w:tcPr>
            <w:tcW w:w="1659" w:type="dxa"/>
          </w:tcPr>
          <w:p w14:paraId="46FFAF60">
            <w:pPr>
              <w:spacing w:line="360" w:lineRule="auto"/>
              <w:ind w:firstLine="210" w:firstLineChars="100"/>
              <w:rPr>
                <w:rFonts w:ascii="仿宋" w:hAnsi="仿宋" w:eastAsia="仿宋"/>
                <w:color w:val="auto"/>
                <w:szCs w:val="21"/>
              </w:rPr>
            </w:pPr>
            <w:r>
              <w:rPr>
                <w:rFonts w:ascii="仿宋" w:hAnsi="仿宋" w:eastAsia="仿宋" w:cs="宋体"/>
                <w:color w:val="auto"/>
                <w:kern w:val="0"/>
                <w:szCs w:val="21"/>
              </w:rPr>
              <w:t xml:space="preserve">0.25% </w:t>
            </w:r>
          </w:p>
        </w:tc>
        <w:tc>
          <w:tcPr>
            <w:tcW w:w="1687" w:type="dxa"/>
          </w:tcPr>
          <w:p w14:paraId="11732CF5">
            <w:pPr>
              <w:spacing w:line="360" w:lineRule="auto"/>
              <w:ind w:firstLine="210" w:firstLineChars="100"/>
              <w:rPr>
                <w:rFonts w:ascii="仿宋" w:hAnsi="仿宋" w:eastAsia="仿宋"/>
                <w:color w:val="auto"/>
                <w:szCs w:val="21"/>
              </w:rPr>
            </w:pPr>
            <w:r>
              <w:rPr>
                <w:rFonts w:ascii="仿宋" w:hAnsi="仿宋" w:eastAsia="仿宋" w:cs="宋体"/>
                <w:color w:val="auto"/>
                <w:kern w:val="0"/>
                <w:szCs w:val="21"/>
              </w:rPr>
              <w:t>0.1%</w:t>
            </w:r>
          </w:p>
        </w:tc>
        <w:tc>
          <w:tcPr>
            <w:tcW w:w="1659" w:type="dxa"/>
          </w:tcPr>
          <w:p w14:paraId="7D4C8FEA">
            <w:pPr>
              <w:spacing w:line="360" w:lineRule="auto"/>
              <w:ind w:firstLine="210" w:firstLineChars="100"/>
              <w:rPr>
                <w:rFonts w:ascii="仿宋" w:hAnsi="仿宋" w:eastAsia="仿宋"/>
                <w:color w:val="auto"/>
                <w:szCs w:val="21"/>
              </w:rPr>
            </w:pPr>
            <w:r>
              <w:rPr>
                <w:rFonts w:ascii="仿宋" w:hAnsi="仿宋" w:eastAsia="仿宋" w:cs="宋体"/>
                <w:color w:val="auto"/>
                <w:kern w:val="0"/>
                <w:szCs w:val="21"/>
              </w:rPr>
              <w:t>0.2%</w:t>
            </w:r>
          </w:p>
        </w:tc>
      </w:tr>
    </w:tbl>
    <w:p w14:paraId="025EC817">
      <w:pPr>
        <w:spacing w:line="360" w:lineRule="auto"/>
        <w:ind w:firstLine="420" w:firstLineChars="200"/>
        <w:rPr>
          <w:rFonts w:ascii="仿宋" w:hAnsi="仿宋" w:eastAsia="仿宋" w:cs="宋体"/>
          <w:color w:val="auto"/>
          <w:szCs w:val="21"/>
        </w:rPr>
      </w:pPr>
      <w:r>
        <w:rPr>
          <w:rFonts w:hint="eastAsia" w:ascii="仿宋" w:hAnsi="仿宋" w:eastAsia="仿宋"/>
          <w:color w:val="auto"/>
          <w:szCs w:val="21"/>
        </w:rPr>
        <w:t>注：</w:t>
      </w:r>
    </w:p>
    <w:p w14:paraId="527EEFBB">
      <w:pPr>
        <w:spacing w:line="360" w:lineRule="auto"/>
        <w:ind w:firstLine="420" w:firstLineChars="200"/>
        <w:rPr>
          <w:rFonts w:ascii="仿宋" w:hAnsi="仿宋" w:eastAsia="仿宋" w:cs="宋体"/>
          <w:color w:val="auto"/>
          <w:kern w:val="0"/>
          <w:szCs w:val="21"/>
        </w:rPr>
      </w:pPr>
      <w:r>
        <w:rPr>
          <w:rFonts w:hint="eastAsia" w:ascii="仿宋" w:hAnsi="仿宋" w:eastAsia="仿宋" w:cs="宋体"/>
          <w:color w:val="auto"/>
          <w:kern w:val="0"/>
          <w:szCs w:val="21"/>
        </w:rPr>
        <w:t>（1）</w:t>
      </w:r>
      <w:r>
        <w:rPr>
          <w:rFonts w:ascii="仿宋" w:hAnsi="仿宋" w:eastAsia="仿宋" w:cs="宋体"/>
          <w:color w:val="auto"/>
          <w:kern w:val="0"/>
          <w:szCs w:val="21"/>
        </w:rPr>
        <w:t>按本表费率计算的收费为</w:t>
      </w:r>
      <w:r>
        <w:rPr>
          <w:rFonts w:hint="eastAsia" w:ascii="仿宋" w:hAnsi="仿宋" w:eastAsia="仿宋" w:cs="宋体"/>
          <w:color w:val="auto"/>
          <w:kern w:val="0"/>
          <w:szCs w:val="21"/>
        </w:rPr>
        <w:t>采购</w:t>
      </w:r>
      <w:r>
        <w:rPr>
          <w:rFonts w:ascii="仿宋" w:hAnsi="仿宋" w:eastAsia="仿宋" w:cs="宋体"/>
          <w:color w:val="auto"/>
          <w:kern w:val="0"/>
          <w:szCs w:val="21"/>
        </w:rPr>
        <w:t>代理的收费基准价格</w:t>
      </w:r>
      <w:r>
        <w:rPr>
          <w:rFonts w:hint="eastAsia" w:ascii="仿宋" w:hAnsi="仿宋" w:eastAsia="仿宋" w:cs="宋体"/>
          <w:color w:val="auto"/>
          <w:kern w:val="0"/>
          <w:szCs w:val="21"/>
        </w:rPr>
        <w:t>；</w:t>
      </w:r>
    </w:p>
    <w:p w14:paraId="516A02BD">
      <w:pPr>
        <w:spacing w:line="360" w:lineRule="auto"/>
        <w:ind w:firstLine="420" w:firstLineChars="200"/>
        <w:rPr>
          <w:rFonts w:ascii="仿宋" w:hAnsi="仿宋" w:eastAsia="仿宋" w:cs="宋体"/>
          <w:color w:val="auto"/>
          <w:kern w:val="0"/>
          <w:szCs w:val="21"/>
        </w:rPr>
      </w:pPr>
      <w:r>
        <w:rPr>
          <w:rFonts w:hint="eastAsia" w:ascii="仿宋" w:hAnsi="仿宋" w:eastAsia="仿宋" w:cs="宋体"/>
          <w:color w:val="auto"/>
          <w:kern w:val="0"/>
          <w:szCs w:val="21"/>
        </w:rPr>
        <w:t>（2）采购</w:t>
      </w:r>
      <w:r>
        <w:rPr>
          <w:rFonts w:ascii="仿宋" w:hAnsi="仿宋" w:eastAsia="仿宋" w:cs="宋体"/>
          <w:color w:val="auto"/>
          <w:kern w:val="0"/>
          <w:szCs w:val="21"/>
        </w:rPr>
        <w:t>代理收费按差额定率累进法计算。</w:t>
      </w:r>
    </w:p>
    <w:p w14:paraId="4F41F458">
      <w:pPr>
        <w:spacing w:line="360" w:lineRule="auto"/>
        <w:ind w:firstLine="420" w:firstLineChars="200"/>
        <w:rPr>
          <w:rFonts w:ascii="仿宋" w:hAnsi="仿宋" w:eastAsia="仿宋" w:cs="宋体"/>
          <w:color w:val="auto"/>
          <w:kern w:val="0"/>
          <w:szCs w:val="21"/>
        </w:rPr>
      </w:pPr>
      <w:r>
        <w:rPr>
          <w:rFonts w:ascii="仿宋" w:hAnsi="仿宋" w:eastAsia="仿宋" w:cs="宋体"/>
          <w:color w:val="auto"/>
          <w:kern w:val="0"/>
          <w:szCs w:val="21"/>
        </w:rPr>
        <w:t>例如：某</w:t>
      </w:r>
      <w:r>
        <w:rPr>
          <w:rFonts w:hint="eastAsia" w:ascii="仿宋" w:hAnsi="仿宋" w:eastAsia="仿宋" w:cs="宋体"/>
          <w:color w:val="auto"/>
          <w:kern w:val="0"/>
          <w:szCs w:val="21"/>
        </w:rPr>
        <w:t>货物采购</w:t>
      </w:r>
      <w:r>
        <w:rPr>
          <w:rFonts w:ascii="仿宋" w:hAnsi="仿宋" w:eastAsia="仿宋" w:cs="宋体"/>
          <w:color w:val="auto"/>
          <w:kern w:val="0"/>
          <w:szCs w:val="21"/>
        </w:rPr>
        <w:t>代理业务</w:t>
      </w:r>
      <w:r>
        <w:rPr>
          <w:rFonts w:hint="eastAsia" w:ascii="仿宋" w:hAnsi="仿宋" w:eastAsia="仿宋" w:cs="宋体"/>
          <w:color w:val="auto"/>
          <w:kern w:val="0"/>
          <w:szCs w:val="21"/>
        </w:rPr>
        <w:t>中标</w:t>
      </w:r>
      <w:r>
        <w:rPr>
          <w:rFonts w:ascii="仿宋" w:hAnsi="仿宋" w:eastAsia="仿宋" w:cs="宋体"/>
          <w:color w:val="auto"/>
          <w:kern w:val="0"/>
          <w:szCs w:val="21"/>
        </w:rPr>
        <w:t>金额</w:t>
      </w:r>
      <w:r>
        <w:rPr>
          <w:rFonts w:hint="eastAsia" w:ascii="仿宋" w:hAnsi="仿宋" w:eastAsia="仿宋" w:cs="宋体"/>
          <w:color w:val="auto"/>
          <w:kern w:val="0"/>
          <w:szCs w:val="21"/>
        </w:rPr>
        <w:t>或者暂定价</w:t>
      </w:r>
      <w:r>
        <w:rPr>
          <w:rFonts w:ascii="仿宋" w:hAnsi="仿宋" w:eastAsia="仿宋" w:cs="宋体"/>
          <w:color w:val="auto"/>
          <w:kern w:val="0"/>
          <w:szCs w:val="21"/>
        </w:rPr>
        <w:t>为200万元，计算</w:t>
      </w:r>
      <w:r>
        <w:rPr>
          <w:rFonts w:hint="eastAsia" w:ascii="仿宋" w:hAnsi="仿宋" w:eastAsia="仿宋" w:cs="宋体"/>
          <w:color w:val="auto"/>
          <w:kern w:val="0"/>
          <w:szCs w:val="21"/>
        </w:rPr>
        <w:t>采购</w:t>
      </w:r>
      <w:r>
        <w:rPr>
          <w:rFonts w:ascii="仿宋" w:hAnsi="仿宋" w:eastAsia="仿宋" w:cs="宋体"/>
          <w:color w:val="auto"/>
          <w:kern w:val="0"/>
          <w:szCs w:val="21"/>
        </w:rPr>
        <w:t>代理收费额如下：</w:t>
      </w:r>
    </w:p>
    <w:p w14:paraId="7E3FEA50">
      <w:pPr>
        <w:spacing w:line="360" w:lineRule="auto"/>
        <w:ind w:firstLine="420" w:firstLineChars="200"/>
        <w:rPr>
          <w:rFonts w:ascii="仿宋" w:hAnsi="仿宋" w:eastAsia="仿宋" w:cs="宋体"/>
          <w:color w:val="auto"/>
          <w:kern w:val="0"/>
          <w:szCs w:val="21"/>
        </w:rPr>
      </w:pPr>
      <w:r>
        <w:rPr>
          <w:rFonts w:ascii="仿宋" w:hAnsi="仿宋" w:eastAsia="仿宋" w:cs="宋体"/>
          <w:color w:val="auto"/>
          <w:kern w:val="0"/>
          <w:szCs w:val="21"/>
        </w:rPr>
        <w:t>100 万元×l.5 ％＝ 1.5 万元</w:t>
      </w:r>
    </w:p>
    <w:p w14:paraId="3FD95D5C">
      <w:pPr>
        <w:spacing w:line="360" w:lineRule="auto"/>
        <w:ind w:firstLine="420" w:firstLineChars="200"/>
        <w:rPr>
          <w:rFonts w:ascii="仿宋" w:hAnsi="仿宋" w:eastAsia="仿宋" w:cs="宋体"/>
          <w:color w:val="auto"/>
          <w:kern w:val="0"/>
          <w:szCs w:val="21"/>
        </w:rPr>
      </w:pPr>
      <w:r>
        <w:rPr>
          <w:rFonts w:ascii="仿宋" w:hAnsi="仿宋" w:eastAsia="仿宋" w:cs="宋体"/>
          <w:color w:val="auto"/>
          <w:kern w:val="0"/>
          <w:szCs w:val="21"/>
        </w:rPr>
        <w:t>（ 200 － 100 ）万元 ×1.1％＝1.1万元</w:t>
      </w:r>
    </w:p>
    <w:p w14:paraId="1272EADC">
      <w:pPr>
        <w:spacing w:line="360" w:lineRule="auto"/>
        <w:ind w:firstLine="420" w:firstLineChars="200"/>
        <w:rPr>
          <w:rFonts w:ascii="仿宋" w:hAnsi="仿宋" w:eastAsia="仿宋" w:cs="宋体"/>
          <w:color w:val="auto"/>
          <w:kern w:val="0"/>
          <w:szCs w:val="21"/>
        </w:rPr>
      </w:pPr>
      <w:r>
        <w:rPr>
          <w:rFonts w:ascii="仿宋" w:hAnsi="仿宋" w:eastAsia="仿宋" w:cs="宋体"/>
          <w:color w:val="auto"/>
          <w:kern w:val="0"/>
          <w:szCs w:val="21"/>
        </w:rPr>
        <w:t>合计收费＝ 1.5</w:t>
      </w:r>
      <w:r>
        <w:rPr>
          <w:rFonts w:hint="eastAsia" w:ascii="仿宋" w:hAnsi="仿宋" w:eastAsia="仿宋" w:cs="宋体"/>
          <w:color w:val="auto"/>
          <w:kern w:val="0"/>
          <w:szCs w:val="21"/>
        </w:rPr>
        <w:t>+</w:t>
      </w:r>
      <w:r>
        <w:rPr>
          <w:rFonts w:ascii="仿宋" w:hAnsi="仿宋" w:eastAsia="仿宋" w:cs="宋体"/>
          <w:color w:val="auto"/>
          <w:kern w:val="0"/>
          <w:szCs w:val="21"/>
        </w:rPr>
        <w:t>1.1＝ 2.6 （万元）</w:t>
      </w:r>
    </w:p>
    <w:p w14:paraId="25AD9D7F">
      <w:pPr>
        <w:spacing w:line="360" w:lineRule="auto"/>
        <w:ind w:firstLine="420" w:firstLineChars="200"/>
        <w:rPr>
          <w:rFonts w:ascii="仿宋" w:hAnsi="仿宋" w:eastAsia="仿宋" w:cs="宋体"/>
          <w:color w:val="auto"/>
          <w:kern w:val="0"/>
          <w:szCs w:val="21"/>
        </w:rPr>
      </w:pPr>
      <w:r>
        <w:rPr>
          <w:rFonts w:ascii="仿宋" w:hAnsi="仿宋" w:eastAsia="仿宋" w:cs="宋体"/>
          <w:color w:val="auto"/>
          <w:kern w:val="0"/>
          <w:szCs w:val="21"/>
        </w:rPr>
        <w:t xml:space="preserve">32.9 </w:t>
      </w:r>
      <w:r>
        <w:rPr>
          <w:rFonts w:hint="eastAsia" w:ascii="仿宋" w:hAnsi="仿宋" w:eastAsia="仿宋" w:cs="宋体"/>
          <w:color w:val="auto"/>
          <w:kern w:val="0"/>
          <w:szCs w:val="21"/>
        </w:rPr>
        <w:t>代理服务费交纳</w:t>
      </w:r>
      <w:r>
        <w:rPr>
          <w:rFonts w:ascii="仿宋" w:hAnsi="仿宋" w:eastAsia="仿宋" w:cs="宋体"/>
          <w:color w:val="auto"/>
          <w:kern w:val="0"/>
          <w:szCs w:val="21"/>
        </w:rPr>
        <w:t>银行帐号信息</w:t>
      </w:r>
    </w:p>
    <w:p w14:paraId="7931DAD9">
      <w:pPr>
        <w:spacing w:line="360" w:lineRule="auto"/>
        <w:ind w:firstLine="420" w:firstLineChars="200"/>
        <w:rPr>
          <w:rFonts w:hint="eastAsia" w:ascii="仿宋" w:hAnsi="仿宋" w:eastAsia="仿宋" w:cs="宋体"/>
          <w:color w:val="auto"/>
          <w:kern w:val="0"/>
          <w:szCs w:val="21"/>
          <w:lang w:eastAsia="zh-CN"/>
        </w:rPr>
      </w:pPr>
      <w:r>
        <w:rPr>
          <w:rFonts w:hint="eastAsia" w:ascii="仿宋" w:hAnsi="仿宋" w:eastAsia="仿宋" w:cs="宋体"/>
          <w:color w:val="auto"/>
          <w:kern w:val="0"/>
          <w:szCs w:val="21"/>
        </w:rPr>
        <w:t>账户名称：</w:t>
      </w:r>
      <w:r>
        <w:rPr>
          <w:rFonts w:hint="eastAsia" w:ascii="仿宋" w:hAnsi="仿宋" w:eastAsia="仿宋" w:cs="宋体"/>
          <w:color w:val="auto"/>
          <w:kern w:val="0"/>
          <w:szCs w:val="21"/>
          <w:lang w:eastAsia="zh-CN"/>
        </w:rPr>
        <w:t>广西科文招标有限公司南宁五分公司</w:t>
      </w:r>
    </w:p>
    <w:p w14:paraId="192767EA">
      <w:pPr>
        <w:spacing w:line="360" w:lineRule="auto"/>
        <w:ind w:firstLine="420" w:firstLineChars="200"/>
        <w:rPr>
          <w:rFonts w:ascii="仿宋" w:hAnsi="仿宋" w:eastAsia="仿宋" w:cs="宋体"/>
          <w:color w:val="auto"/>
          <w:kern w:val="0"/>
          <w:szCs w:val="21"/>
        </w:rPr>
      </w:pPr>
      <w:r>
        <w:rPr>
          <w:rFonts w:hint="eastAsia" w:ascii="仿宋" w:hAnsi="仿宋" w:eastAsia="仿宋" w:cs="宋体"/>
          <w:color w:val="auto"/>
          <w:kern w:val="0"/>
          <w:szCs w:val="21"/>
        </w:rPr>
        <w:t>开户银行：广西北部湾银行股份有限公司南宁市云景支行</w:t>
      </w:r>
    </w:p>
    <w:p w14:paraId="5217D07D">
      <w:pPr>
        <w:spacing w:line="360" w:lineRule="auto"/>
        <w:ind w:firstLine="420" w:firstLineChars="200"/>
        <w:rPr>
          <w:rFonts w:hint="eastAsia" w:ascii="仿宋" w:hAnsi="仿宋" w:eastAsia="仿宋" w:cs="宋体"/>
          <w:color w:val="auto"/>
          <w:kern w:val="0"/>
          <w:szCs w:val="21"/>
          <w:lang w:eastAsia="zh-CN"/>
        </w:rPr>
      </w:pPr>
      <w:r>
        <w:rPr>
          <w:rFonts w:hint="eastAsia" w:ascii="仿宋" w:hAnsi="仿宋" w:eastAsia="仿宋" w:cs="宋体"/>
          <w:color w:val="auto"/>
          <w:kern w:val="0"/>
          <w:szCs w:val="21"/>
        </w:rPr>
        <w:t>银行账号：</w:t>
      </w:r>
      <w:r>
        <w:rPr>
          <w:rFonts w:hint="eastAsia" w:ascii="仿宋" w:hAnsi="仿宋" w:eastAsia="仿宋" w:cs="宋体"/>
          <w:color w:val="auto"/>
          <w:kern w:val="0"/>
          <w:szCs w:val="21"/>
          <w:lang w:eastAsia="zh-CN"/>
        </w:rPr>
        <w:t>8050 3022 0200 001</w:t>
      </w:r>
    </w:p>
    <w:p w14:paraId="5DAC54FA">
      <w:pPr>
        <w:spacing w:line="360" w:lineRule="auto"/>
        <w:ind w:firstLine="482" w:firstLineChars="200"/>
        <w:rPr>
          <w:rFonts w:ascii="仿宋" w:hAnsi="仿宋" w:eastAsia="仿宋"/>
          <w:b/>
          <w:color w:val="auto"/>
          <w:sz w:val="24"/>
        </w:rPr>
      </w:pPr>
      <w:r>
        <w:rPr>
          <w:rFonts w:ascii="仿宋" w:hAnsi="仿宋" w:eastAsia="仿宋"/>
          <w:b/>
          <w:color w:val="auto"/>
          <w:sz w:val="24"/>
        </w:rPr>
        <w:t>40. 需要补充的其他内容</w:t>
      </w:r>
    </w:p>
    <w:p w14:paraId="5FE91908">
      <w:pPr>
        <w:pStyle w:val="26"/>
        <w:spacing w:line="360" w:lineRule="auto"/>
        <w:ind w:firstLine="420" w:firstLineChars="200"/>
        <w:contextualSpacing/>
        <w:rPr>
          <w:rFonts w:ascii="仿宋" w:hAnsi="仿宋" w:eastAsia="仿宋" w:cs="宋体"/>
          <w:color w:val="auto"/>
          <w:sz w:val="21"/>
        </w:rPr>
      </w:pPr>
      <w:r>
        <w:rPr>
          <w:rFonts w:hint="eastAsia" w:ascii="仿宋" w:hAnsi="仿宋" w:eastAsia="仿宋" w:cs="宋体"/>
          <w:color w:val="auto"/>
          <w:sz w:val="21"/>
        </w:rPr>
        <w:t>40.1本招标文件解释规则详见“投标人须知前附表”。</w:t>
      </w:r>
    </w:p>
    <w:p w14:paraId="75BBA3AC">
      <w:pPr>
        <w:pStyle w:val="26"/>
        <w:spacing w:line="360" w:lineRule="auto"/>
        <w:ind w:firstLine="420" w:firstLineChars="200"/>
        <w:contextualSpacing/>
        <w:rPr>
          <w:rFonts w:ascii="仿宋" w:hAnsi="仿宋" w:eastAsia="仿宋" w:cs="宋体"/>
          <w:color w:val="auto"/>
          <w:sz w:val="21"/>
        </w:rPr>
      </w:pPr>
      <w:r>
        <w:rPr>
          <w:rFonts w:hint="eastAsia" w:ascii="仿宋" w:hAnsi="仿宋" w:eastAsia="仿宋" w:cs="宋体"/>
          <w:color w:val="auto"/>
          <w:sz w:val="21"/>
        </w:rPr>
        <w:t>40.2 其他事项详见“投标人须知前附表”。</w:t>
      </w:r>
    </w:p>
    <w:p w14:paraId="0E74A125">
      <w:pPr>
        <w:pStyle w:val="26"/>
        <w:spacing w:line="360" w:lineRule="auto"/>
        <w:ind w:firstLine="420" w:firstLineChars="200"/>
        <w:contextualSpacing/>
        <w:rPr>
          <w:rFonts w:ascii="仿宋" w:hAnsi="仿宋" w:eastAsia="仿宋" w:cs="宋体"/>
          <w:color w:val="auto"/>
          <w:sz w:val="21"/>
        </w:rPr>
      </w:pPr>
      <w:r>
        <w:rPr>
          <w:rFonts w:hint="eastAsia" w:ascii="仿宋" w:hAnsi="仿宋" w:eastAsia="仿宋" w:cs="宋体"/>
          <w:color w:val="auto"/>
          <w:sz w:val="21"/>
        </w:rPr>
        <w:t>40.3</w:t>
      </w:r>
      <w:bookmarkStart w:id="133" w:name="_Hlk65857140"/>
      <w:r>
        <w:rPr>
          <w:rFonts w:hint="eastAsia" w:ascii="仿宋" w:hAnsi="仿宋" w:eastAsia="仿宋" w:cs="宋体"/>
          <w:color w:val="auto"/>
          <w:sz w:val="21"/>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52FE9774">
      <w:pPr>
        <w:pStyle w:val="26"/>
        <w:spacing w:line="360" w:lineRule="auto"/>
        <w:ind w:firstLine="420" w:firstLineChars="200"/>
        <w:contextualSpacing/>
        <w:rPr>
          <w:rFonts w:ascii="仿宋" w:hAnsi="仿宋" w:eastAsia="仿宋" w:cs="宋体"/>
          <w:color w:val="auto"/>
          <w:sz w:val="21"/>
        </w:rPr>
      </w:pPr>
      <w:r>
        <w:rPr>
          <w:rFonts w:hint="eastAsia" w:ascii="仿宋" w:hAnsi="仿宋" w:eastAsia="仿宋" w:cs="宋体"/>
          <w:color w:val="auto"/>
          <w:sz w:val="21"/>
        </w:rPr>
        <w:t>（1）在货物采购项目中，货物由中小企业制造，即货物由中小企业生产且使用该中小企业商号或者注册商标，不对其中涉及的工程承建商和服务的承接商作出要求；</w:t>
      </w:r>
    </w:p>
    <w:p w14:paraId="08F155F7">
      <w:pPr>
        <w:pStyle w:val="26"/>
        <w:spacing w:line="360" w:lineRule="auto"/>
        <w:ind w:firstLine="420" w:firstLineChars="200"/>
        <w:contextualSpacing/>
        <w:rPr>
          <w:rFonts w:ascii="仿宋" w:hAnsi="仿宋" w:eastAsia="仿宋" w:cs="宋体"/>
          <w:color w:val="auto"/>
          <w:sz w:val="21"/>
        </w:rPr>
      </w:pPr>
      <w:r>
        <w:rPr>
          <w:rFonts w:hint="eastAsia" w:ascii="仿宋" w:hAnsi="仿宋" w:eastAsia="仿宋" w:cs="宋体"/>
          <w:color w:val="auto"/>
          <w:sz w:val="21"/>
        </w:rPr>
        <w:t>（2）在工程采购项目中，工程由中小企业承建，即工程施工单位为中小企业，不对其中涉及的货物的制造商和服务的承接商作出要求；</w:t>
      </w:r>
    </w:p>
    <w:p w14:paraId="0B949FA3">
      <w:pPr>
        <w:pStyle w:val="26"/>
        <w:spacing w:line="360" w:lineRule="auto"/>
        <w:ind w:firstLine="420" w:firstLineChars="200"/>
        <w:contextualSpacing/>
        <w:rPr>
          <w:rFonts w:ascii="仿宋" w:hAnsi="仿宋" w:eastAsia="仿宋" w:cs="宋体"/>
          <w:color w:val="auto"/>
          <w:sz w:val="21"/>
        </w:rPr>
      </w:pPr>
      <w:r>
        <w:rPr>
          <w:rFonts w:hint="eastAsia" w:ascii="仿宋" w:hAnsi="仿宋" w:eastAsia="仿宋" w:cs="宋体"/>
          <w:color w:val="auto"/>
          <w:sz w:val="21"/>
        </w:rPr>
        <w:t>（3）在服务采购项目中，服务由中小企业承接，即提供服务的人员为中小企业依照《中华人民共和国劳动合同法》订立劳动合同的从业人员，不对其中涉及的货物的制造商和工程承建商作出要求。</w:t>
      </w:r>
    </w:p>
    <w:p w14:paraId="19CB50FF">
      <w:pPr>
        <w:pStyle w:val="26"/>
        <w:spacing w:line="360" w:lineRule="auto"/>
        <w:ind w:firstLine="420" w:firstLineChars="200"/>
        <w:contextualSpacing/>
        <w:rPr>
          <w:rFonts w:ascii="仿宋" w:hAnsi="仿宋" w:eastAsia="仿宋" w:cs="宋体"/>
          <w:color w:val="auto"/>
          <w:sz w:val="21"/>
        </w:rPr>
      </w:pPr>
      <w:r>
        <w:rPr>
          <w:rFonts w:hint="eastAsia" w:ascii="仿宋" w:hAnsi="仿宋" w:eastAsia="仿宋" w:cs="宋体"/>
          <w:color w:val="auto"/>
          <w:sz w:val="21"/>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70C0EEF1">
      <w:pPr>
        <w:pStyle w:val="26"/>
        <w:spacing w:line="360" w:lineRule="auto"/>
        <w:ind w:firstLine="420" w:firstLineChars="200"/>
        <w:contextualSpacing/>
        <w:rPr>
          <w:rFonts w:ascii="仿宋" w:hAnsi="仿宋" w:eastAsia="仿宋" w:cs="宋体"/>
          <w:color w:val="auto"/>
          <w:sz w:val="21"/>
        </w:rPr>
      </w:pPr>
      <w:r>
        <w:rPr>
          <w:rFonts w:hint="eastAsia" w:ascii="仿宋" w:hAnsi="仿宋" w:eastAsia="仿宋" w:cs="宋体"/>
          <w:color w:val="auto"/>
          <w:sz w:val="21"/>
        </w:rPr>
        <w:t>依据本招标文件规定享受扶持政策获得政府采购合同的，小微企业不得将合同分包给大中型企业，中型企业不得将合同分包给大型企业。</w:t>
      </w:r>
      <w:bookmarkEnd w:id="133"/>
    </w:p>
    <w:p w14:paraId="293C7E97">
      <w:pPr>
        <w:pStyle w:val="19"/>
        <w:ind w:left="479" w:leftChars="114" w:hanging="240" w:hangingChars="100"/>
        <w:rPr>
          <w:rFonts w:ascii="仿宋" w:hAnsi="仿宋" w:eastAsia="仿宋"/>
          <w:color w:val="auto"/>
        </w:rPr>
      </w:pPr>
      <w:r>
        <w:rPr>
          <w:rFonts w:ascii="仿宋" w:hAnsi="仿宋" w:eastAsia="仿宋"/>
          <w:color w:val="auto"/>
        </w:rPr>
        <w:br w:type="page"/>
      </w:r>
    </w:p>
    <w:p w14:paraId="31E7BA55">
      <w:pPr>
        <w:pStyle w:val="19"/>
        <w:ind w:left="479" w:leftChars="114" w:hanging="240" w:hangingChars="100"/>
        <w:rPr>
          <w:rFonts w:ascii="仿宋" w:hAnsi="仿宋" w:eastAsia="仿宋"/>
          <w:color w:val="auto"/>
        </w:rPr>
      </w:pPr>
    </w:p>
    <w:p w14:paraId="2D0018B5">
      <w:pPr>
        <w:pStyle w:val="19"/>
        <w:ind w:left="479" w:leftChars="114" w:hanging="240" w:hangingChars="100"/>
        <w:rPr>
          <w:rFonts w:ascii="仿宋" w:hAnsi="仿宋" w:eastAsia="仿宋"/>
          <w:color w:val="auto"/>
        </w:rPr>
      </w:pPr>
    </w:p>
    <w:p w14:paraId="717E8BD5">
      <w:pPr>
        <w:pStyle w:val="19"/>
        <w:ind w:left="479" w:leftChars="114" w:hanging="240" w:hangingChars="100"/>
        <w:rPr>
          <w:rFonts w:ascii="仿宋" w:hAnsi="仿宋" w:eastAsia="仿宋"/>
          <w:color w:val="auto"/>
        </w:rPr>
      </w:pPr>
    </w:p>
    <w:p w14:paraId="02EC1B21">
      <w:pPr>
        <w:pStyle w:val="26"/>
        <w:snapToGrid w:val="0"/>
        <w:spacing w:before="120" w:after="120"/>
        <w:rPr>
          <w:rFonts w:ascii="仿宋" w:hAnsi="仿宋" w:eastAsia="仿宋"/>
          <w:color w:val="auto"/>
        </w:rPr>
      </w:pPr>
    </w:p>
    <w:p w14:paraId="67CD2EC1">
      <w:pPr>
        <w:pStyle w:val="26"/>
        <w:snapToGrid w:val="0"/>
        <w:spacing w:before="120" w:after="120"/>
        <w:rPr>
          <w:rFonts w:ascii="仿宋" w:hAnsi="仿宋" w:eastAsia="仿宋"/>
          <w:color w:val="auto"/>
        </w:rPr>
      </w:pPr>
    </w:p>
    <w:p w14:paraId="56C36F92">
      <w:pPr>
        <w:pStyle w:val="26"/>
        <w:snapToGrid w:val="0"/>
        <w:spacing w:before="120" w:after="120"/>
        <w:rPr>
          <w:rFonts w:ascii="仿宋" w:hAnsi="仿宋" w:eastAsia="仿宋"/>
          <w:color w:val="auto"/>
        </w:rPr>
      </w:pPr>
    </w:p>
    <w:p w14:paraId="780C080D">
      <w:pPr>
        <w:pStyle w:val="26"/>
        <w:snapToGrid w:val="0"/>
        <w:spacing w:before="120" w:after="120"/>
        <w:rPr>
          <w:rFonts w:ascii="仿宋" w:hAnsi="仿宋" w:eastAsia="仿宋"/>
          <w:color w:val="auto"/>
        </w:rPr>
      </w:pPr>
    </w:p>
    <w:p w14:paraId="2A04E936">
      <w:pPr>
        <w:pStyle w:val="26"/>
        <w:snapToGrid w:val="0"/>
        <w:spacing w:before="120" w:after="120"/>
        <w:rPr>
          <w:rFonts w:ascii="仿宋" w:hAnsi="仿宋" w:eastAsia="仿宋"/>
          <w:color w:val="auto"/>
        </w:rPr>
      </w:pPr>
    </w:p>
    <w:p w14:paraId="0CA01981">
      <w:pPr>
        <w:pStyle w:val="26"/>
        <w:snapToGrid w:val="0"/>
        <w:spacing w:before="120" w:after="120"/>
        <w:rPr>
          <w:rFonts w:ascii="仿宋" w:hAnsi="仿宋" w:eastAsia="仿宋"/>
          <w:color w:val="auto"/>
        </w:rPr>
      </w:pPr>
    </w:p>
    <w:p w14:paraId="0D7FBA47">
      <w:pPr>
        <w:pStyle w:val="26"/>
        <w:snapToGrid w:val="0"/>
        <w:spacing w:before="120" w:after="120"/>
        <w:rPr>
          <w:rFonts w:ascii="仿宋" w:hAnsi="仿宋" w:eastAsia="仿宋"/>
          <w:color w:val="auto"/>
        </w:rPr>
      </w:pPr>
    </w:p>
    <w:p w14:paraId="23B069E5">
      <w:pPr>
        <w:pStyle w:val="26"/>
        <w:snapToGrid w:val="0"/>
        <w:spacing w:before="120" w:after="120"/>
        <w:rPr>
          <w:rFonts w:ascii="仿宋" w:hAnsi="仿宋" w:eastAsia="仿宋"/>
          <w:color w:val="auto"/>
        </w:rPr>
      </w:pPr>
    </w:p>
    <w:p w14:paraId="5172EECC">
      <w:pPr>
        <w:pStyle w:val="26"/>
        <w:snapToGrid w:val="0"/>
        <w:spacing w:before="120" w:after="120"/>
        <w:rPr>
          <w:rFonts w:ascii="仿宋" w:hAnsi="仿宋" w:eastAsia="仿宋"/>
          <w:color w:val="auto"/>
        </w:rPr>
      </w:pPr>
    </w:p>
    <w:p w14:paraId="22522352">
      <w:pPr>
        <w:pStyle w:val="3"/>
        <w:jc w:val="center"/>
        <w:rPr>
          <w:rFonts w:ascii="仿宋" w:hAnsi="仿宋" w:eastAsia="仿宋"/>
          <w:color w:val="auto"/>
        </w:rPr>
      </w:pPr>
      <w:bookmarkStart w:id="134" w:name="_Toc254970548"/>
      <w:bookmarkStart w:id="135" w:name="_Toc254970689"/>
      <w:bookmarkStart w:id="136" w:name="_Toc74320803"/>
      <w:bookmarkStart w:id="137" w:name="_Toc330456896"/>
      <w:r>
        <w:rPr>
          <w:rFonts w:hint="eastAsia" w:ascii="仿宋" w:hAnsi="仿宋" w:eastAsia="仿宋"/>
          <w:color w:val="auto"/>
        </w:rPr>
        <w:t>第四章  评标方法及评标标准</w:t>
      </w:r>
      <w:bookmarkEnd w:id="134"/>
      <w:bookmarkEnd w:id="135"/>
      <w:bookmarkEnd w:id="136"/>
      <w:bookmarkEnd w:id="137"/>
    </w:p>
    <w:p w14:paraId="601C4A2E">
      <w:pPr>
        <w:pStyle w:val="26"/>
        <w:spacing w:before="120" w:after="120"/>
        <w:outlineLvl w:val="0"/>
        <w:rPr>
          <w:rFonts w:ascii="仿宋" w:hAnsi="仿宋" w:eastAsia="仿宋"/>
          <w:b/>
          <w:color w:val="auto"/>
        </w:rPr>
      </w:pPr>
      <w:bookmarkStart w:id="138" w:name="_Toc254970690"/>
      <w:bookmarkStart w:id="139" w:name="_Toc254970549"/>
    </w:p>
    <w:bookmarkEnd w:id="138"/>
    <w:bookmarkEnd w:id="139"/>
    <w:p w14:paraId="60A42057">
      <w:pPr>
        <w:pStyle w:val="26"/>
        <w:spacing w:before="120" w:after="120"/>
        <w:outlineLvl w:val="0"/>
        <w:rPr>
          <w:rFonts w:ascii="仿宋" w:hAnsi="仿宋" w:eastAsia="仿宋"/>
          <w:bCs/>
          <w:color w:val="auto"/>
          <w:sz w:val="32"/>
          <w:szCs w:val="32"/>
        </w:rPr>
      </w:pPr>
    </w:p>
    <w:p w14:paraId="74459D31">
      <w:pPr>
        <w:pStyle w:val="26"/>
        <w:spacing w:before="120" w:after="120"/>
        <w:outlineLvl w:val="0"/>
        <w:rPr>
          <w:rFonts w:ascii="仿宋" w:hAnsi="仿宋" w:eastAsia="仿宋"/>
          <w:bCs/>
          <w:color w:val="auto"/>
          <w:sz w:val="32"/>
          <w:szCs w:val="32"/>
        </w:rPr>
      </w:pPr>
    </w:p>
    <w:p w14:paraId="5F8C405B">
      <w:pPr>
        <w:pStyle w:val="26"/>
        <w:spacing w:before="120" w:after="120"/>
        <w:outlineLvl w:val="0"/>
        <w:rPr>
          <w:rFonts w:ascii="仿宋" w:hAnsi="仿宋" w:eastAsia="仿宋"/>
          <w:bCs/>
          <w:color w:val="auto"/>
          <w:sz w:val="32"/>
          <w:szCs w:val="32"/>
        </w:rPr>
      </w:pPr>
    </w:p>
    <w:p w14:paraId="295F29BB">
      <w:pPr>
        <w:spacing w:beforeLines="50" w:afterLines="50" w:line="400" w:lineRule="exact"/>
        <w:rPr>
          <w:rFonts w:ascii="仿宋" w:hAnsi="仿宋" w:eastAsia="仿宋"/>
          <w:b/>
          <w:color w:val="auto"/>
          <w:sz w:val="24"/>
        </w:rPr>
      </w:pPr>
    </w:p>
    <w:p w14:paraId="50765DD0">
      <w:pPr>
        <w:spacing w:beforeLines="50" w:afterLines="50" w:line="400" w:lineRule="exact"/>
        <w:rPr>
          <w:rFonts w:ascii="仿宋" w:hAnsi="仿宋" w:eastAsia="仿宋"/>
          <w:b/>
          <w:color w:val="auto"/>
          <w:sz w:val="24"/>
        </w:rPr>
      </w:pPr>
    </w:p>
    <w:p w14:paraId="44B80F86">
      <w:pPr>
        <w:spacing w:beforeLines="50" w:afterLines="50" w:line="400" w:lineRule="exact"/>
        <w:rPr>
          <w:rFonts w:ascii="仿宋" w:hAnsi="仿宋" w:eastAsia="仿宋"/>
          <w:b/>
          <w:color w:val="auto"/>
          <w:sz w:val="24"/>
        </w:rPr>
      </w:pPr>
    </w:p>
    <w:p w14:paraId="7E66DE5B">
      <w:pPr>
        <w:spacing w:beforeLines="50" w:afterLines="50" w:line="400" w:lineRule="exact"/>
        <w:rPr>
          <w:rFonts w:ascii="仿宋" w:hAnsi="仿宋" w:eastAsia="仿宋"/>
          <w:b/>
          <w:color w:val="auto"/>
          <w:sz w:val="24"/>
        </w:rPr>
      </w:pPr>
    </w:p>
    <w:p w14:paraId="3E78A982">
      <w:pPr>
        <w:spacing w:beforeLines="50" w:afterLines="50" w:line="400" w:lineRule="exact"/>
        <w:rPr>
          <w:rFonts w:ascii="仿宋" w:hAnsi="仿宋" w:eastAsia="仿宋"/>
          <w:b/>
          <w:color w:val="auto"/>
          <w:sz w:val="24"/>
        </w:rPr>
      </w:pPr>
    </w:p>
    <w:p w14:paraId="4BA9BAB3">
      <w:pPr>
        <w:spacing w:beforeLines="50" w:afterLines="50" w:line="400" w:lineRule="exact"/>
        <w:rPr>
          <w:rFonts w:ascii="仿宋" w:hAnsi="仿宋" w:eastAsia="仿宋"/>
          <w:b/>
          <w:color w:val="auto"/>
          <w:sz w:val="24"/>
        </w:rPr>
      </w:pPr>
    </w:p>
    <w:p w14:paraId="47891517">
      <w:pPr>
        <w:spacing w:beforeLines="50" w:afterLines="50" w:line="400" w:lineRule="exact"/>
        <w:rPr>
          <w:rFonts w:ascii="仿宋" w:hAnsi="仿宋" w:eastAsia="仿宋"/>
          <w:b/>
          <w:color w:val="auto"/>
          <w:sz w:val="24"/>
        </w:rPr>
      </w:pPr>
    </w:p>
    <w:p w14:paraId="3A08DDE3">
      <w:pPr>
        <w:pStyle w:val="26"/>
        <w:spacing w:line="360" w:lineRule="exact"/>
        <w:rPr>
          <w:rFonts w:ascii="仿宋" w:hAnsi="仿宋" w:eastAsia="仿宋"/>
          <w:b/>
          <w:color w:val="auto"/>
          <w:sz w:val="24"/>
        </w:rPr>
      </w:pPr>
    </w:p>
    <w:p w14:paraId="59F42BE9">
      <w:pPr>
        <w:pStyle w:val="5"/>
        <w:keepNext w:val="0"/>
        <w:keepLines w:val="0"/>
        <w:jc w:val="center"/>
        <w:rPr>
          <w:rFonts w:ascii="仿宋" w:hAnsi="仿宋" w:eastAsia="仿宋"/>
          <w:color w:val="auto"/>
          <w:sz w:val="30"/>
          <w:szCs w:val="30"/>
        </w:rPr>
      </w:pPr>
      <w:r>
        <w:rPr>
          <w:rFonts w:ascii="仿宋" w:hAnsi="仿宋" w:eastAsia="仿宋"/>
          <w:color w:val="auto"/>
          <w:sz w:val="30"/>
          <w:szCs w:val="30"/>
        </w:rPr>
        <w:br w:type="page"/>
      </w:r>
      <w:r>
        <w:rPr>
          <w:rFonts w:hint="eastAsia" w:ascii="仿宋" w:hAnsi="仿宋" w:eastAsia="仿宋"/>
          <w:color w:val="auto"/>
          <w:sz w:val="30"/>
          <w:szCs w:val="30"/>
        </w:rPr>
        <w:t>一、评标方法</w:t>
      </w:r>
    </w:p>
    <w:p w14:paraId="7744B0B1">
      <w:pPr>
        <w:pStyle w:val="26"/>
        <w:spacing w:line="360" w:lineRule="auto"/>
        <w:ind w:firstLine="420"/>
        <w:rPr>
          <w:rFonts w:ascii="仿宋" w:hAnsi="仿宋" w:eastAsia="仿宋"/>
          <w:color w:val="auto"/>
          <w:sz w:val="21"/>
        </w:rPr>
      </w:pPr>
      <w:r>
        <w:rPr>
          <w:rFonts w:hint="eastAsia" w:hAnsi="宋体"/>
          <w:color w:val="auto"/>
        </w:rPr>
        <w:t>☑</w:t>
      </w:r>
      <w:r>
        <w:rPr>
          <w:rFonts w:hint="eastAsia" w:ascii="仿宋" w:hAnsi="仿宋" w:eastAsia="仿宋"/>
          <w:color w:val="auto"/>
          <w:sz w:val="21"/>
        </w:rPr>
        <w:t>综合评分法，是指投标文件满足招标文件全部实质性要求，且按照评审因素的量化指标评审得分最高的投标人为中标候选人的评标方法。</w:t>
      </w:r>
    </w:p>
    <w:p w14:paraId="2A19DD34">
      <w:pPr>
        <w:pStyle w:val="26"/>
        <w:spacing w:line="360" w:lineRule="auto"/>
        <w:ind w:firstLine="420"/>
        <w:rPr>
          <w:rFonts w:ascii="仿宋" w:hAnsi="仿宋" w:eastAsia="仿宋"/>
          <w:color w:val="auto"/>
          <w:sz w:val="21"/>
        </w:rPr>
      </w:pPr>
      <w:r>
        <w:rPr>
          <w:rFonts w:hint="eastAsia" w:hAnsi="宋体"/>
          <w:color w:val="auto"/>
        </w:rPr>
        <w:t>□</w:t>
      </w:r>
      <w:r>
        <w:rPr>
          <w:rFonts w:hint="eastAsia" w:ascii="仿宋" w:hAnsi="仿宋" w:eastAsia="仿宋"/>
          <w:color w:val="auto"/>
          <w:sz w:val="21"/>
        </w:rPr>
        <w:t>最低评标价法，是指投标文件满足招标文件全部实质性要求，且投标报价最低的投标人为中标候选人的评标方法。</w:t>
      </w:r>
    </w:p>
    <w:p w14:paraId="7F87CF2D">
      <w:pPr>
        <w:pStyle w:val="5"/>
        <w:keepNext w:val="0"/>
        <w:keepLines w:val="0"/>
        <w:jc w:val="center"/>
        <w:rPr>
          <w:rFonts w:ascii="仿宋" w:hAnsi="仿宋" w:eastAsia="仿宋"/>
          <w:color w:val="auto"/>
          <w:sz w:val="30"/>
          <w:szCs w:val="30"/>
        </w:rPr>
      </w:pPr>
      <w:r>
        <w:rPr>
          <w:rFonts w:hint="eastAsia" w:ascii="仿宋" w:hAnsi="仿宋" w:eastAsia="仿宋"/>
          <w:color w:val="auto"/>
          <w:sz w:val="30"/>
          <w:szCs w:val="30"/>
        </w:rPr>
        <w:t>二、评标程序</w:t>
      </w:r>
    </w:p>
    <w:p w14:paraId="7358B732">
      <w:pPr>
        <w:pStyle w:val="7"/>
        <w:keepNext w:val="0"/>
        <w:keepLines w:val="0"/>
        <w:spacing w:before="0" w:after="0" w:line="360" w:lineRule="auto"/>
        <w:ind w:left="420" w:leftChars="200"/>
        <w:rPr>
          <w:rFonts w:ascii="仿宋" w:hAnsi="仿宋" w:eastAsia="仿宋"/>
          <w:color w:val="auto"/>
          <w:sz w:val="21"/>
          <w:szCs w:val="21"/>
        </w:rPr>
      </w:pPr>
      <w:r>
        <w:rPr>
          <w:rFonts w:hint="eastAsia" w:ascii="仿宋" w:hAnsi="仿宋" w:eastAsia="仿宋"/>
          <w:color w:val="auto"/>
          <w:sz w:val="21"/>
          <w:szCs w:val="21"/>
        </w:rPr>
        <w:t>1.符合性审查</w:t>
      </w:r>
    </w:p>
    <w:p w14:paraId="5DEC9CCD">
      <w:pPr>
        <w:pStyle w:val="26"/>
        <w:snapToGrid w:val="0"/>
        <w:spacing w:line="360" w:lineRule="auto"/>
        <w:ind w:left="1" w:firstLine="420"/>
        <w:rPr>
          <w:rFonts w:ascii="仿宋" w:hAnsi="仿宋" w:eastAsia="仿宋"/>
          <w:b/>
          <w:color w:val="auto"/>
          <w:kern w:val="2"/>
          <w:sz w:val="21"/>
        </w:rPr>
      </w:pPr>
      <w:r>
        <w:rPr>
          <w:rFonts w:hint="eastAsia" w:ascii="仿宋" w:hAnsi="仿宋" w:eastAsia="仿宋"/>
          <w:b/>
          <w:color w:val="auto"/>
          <w:kern w:val="2"/>
          <w:sz w:val="21"/>
        </w:rPr>
        <w:t>评标委员会应当对符合资格的投标人的投标文件进行投标报价、商务、技术等实质性内容符合性审查，以确定其是否满足招标文件的实质性要求。</w:t>
      </w:r>
    </w:p>
    <w:p w14:paraId="4FAADC4A">
      <w:pPr>
        <w:pStyle w:val="7"/>
        <w:keepNext w:val="0"/>
        <w:keepLines w:val="0"/>
        <w:spacing w:before="0" w:after="0" w:line="360" w:lineRule="auto"/>
        <w:ind w:left="420" w:leftChars="200"/>
        <w:rPr>
          <w:rFonts w:ascii="仿宋" w:hAnsi="仿宋" w:eastAsia="仿宋"/>
          <w:color w:val="auto"/>
          <w:sz w:val="21"/>
          <w:szCs w:val="21"/>
        </w:rPr>
      </w:pPr>
      <w:r>
        <w:rPr>
          <w:rFonts w:hint="eastAsia" w:ascii="仿宋" w:hAnsi="仿宋" w:eastAsia="仿宋"/>
          <w:color w:val="auto"/>
          <w:sz w:val="21"/>
          <w:szCs w:val="21"/>
        </w:rPr>
        <w:t>2</w:t>
      </w:r>
      <w:r>
        <w:rPr>
          <w:rFonts w:ascii="仿宋" w:hAnsi="仿宋" w:eastAsia="仿宋"/>
          <w:color w:val="auto"/>
          <w:sz w:val="21"/>
          <w:szCs w:val="21"/>
        </w:rPr>
        <w:t>.</w:t>
      </w:r>
      <w:r>
        <w:rPr>
          <w:rFonts w:hint="eastAsia" w:ascii="仿宋" w:hAnsi="仿宋" w:eastAsia="仿宋"/>
          <w:color w:val="auto"/>
          <w:sz w:val="21"/>
          <w:szCs w:val="21"/>
        </w:rPr>
        <w:t>符合性审查不通过而导致投标无效的情形</w:t>
      </w:r>
    </w:p>
    <w:p w14:paraId="0B3C6E7A">
      <w:pPr>
        <w:snapToGrid w:val="0"/>
        <w:spacing w:line="360" w:lineRule="auto"/>
        <w:ind w:firstLine="422" w:firstLineChars="200"/>
        <w:rPr>
          <w:rFonts w:ascii="仿宋" w:hAnsi="仿宋" w:eastAsia="仿宋"/>
          <w:b/>
          <w:color w:val="auto"/>
          <w:szCs w:val="21"/>
        </w:rPr>
      </w:pPr>
      <w:r>
        <w:rPr>
          <w:rFonts w:hint="eastAsia" w:ascii="仿宋" w:hAnsi="仿宋" w:eastAsia="仿宋"/>
          <w:b/>
          <w:color w:val="auto"/>
          <w:szCs w:val="21"/>
        </w:rPr>
        <w:t>投标人的投标文件中存在对招标文件的任何实质性要求和条件的负偏离，将被视为投标无效。</w:t>
      </w:r>
    </w:p>
    <w:p w14:paraId="163CF4BB">
      <w:pPr>
        <w:pStyle w:val="7"/>
        <w:keepNext w:val="0"/>
        <w:keepLines w:val="0"/>
        <w:spacing w:before="0" w:after="0" w:line="360" w:lineRule="auto"/>
        <w:ind w:left="420" w:leftChars="200"/>
        <w:rPr>
          <w:rFonts w:ascii="仿宋" w:hAnsi="仿宋" w:eastAsia="仿宋"/>
          <w:color w:val="auto"/>
          <w:sz w:val="21"/>
          <w:szCs w:val="21"/>
        </w:rPr>
      </w:pPr>
      <w:r>
        <w:rPr>
          <w:rFonts w:hint="eastAsia" w:ascii="仿宋" w:hAnsi="仿宋" w:eastAsia="仿宋"/>
          <w:color w:val="auto"/>
          <w:sz w:val="21"/>
          <w:szCs w:val="21"/>
        </w:rPr>
        <w:t>2.1在报价评审时，如发现下列情形之一的，将被视为投标无效：</w:t>
      </w:r>
    </w:p>
    <w:p w14:paraId="566691AC">
      <w:pPr>
        <w:pStyle w:val="10"/>
        <w:numPr>
          <w:ilvl w:val="0"/>
          <w:numId w:val="6"/>
        </w:numPr>
        <w:spacing w:line="360" w:lineRule="auto"/>
        <w:ind w:firstLine="422"/>
        <w:rPr>
          <w:rFonts w:ascii="仿宋" w:hAnsi="仿宋" w:eastAsia="仿宋"/>
          <w:b/>
          <w:color w:val="auto"/>
          <w:szCs w:val="21"/>
        </w:rPr>
      </w:pPr>
      <w:r>
        <w:rPr>
          <w:rFonts w:hint="eastAsia" w:ascii="仿宋" w:hAnsi="仿宋" w:eastAsia="仿宋"/>
          <w:b/>
          <w:color w:val="auto"/>
          <w:spacing w:val="-6"/>
          <w:szCs w:val="21"/>
        </w:rPr>
        <w:t>报价文件</w:t>
      </w:r>
      <w:r>
        <w:rPr>
          <w:rFonts w:hint="eastAsia" w:ascii="仿宋" w:hAnsi="仿宋" w:eastAsia="仿宋"/>
          <w:b/>
          <w:color w:val="auto"/>
          <w:szCs w:val="21"/>
        </w:rPr>
        <w:t>未提供“投标人须知前附表”第13.1条规定中“必须提供”的文件资料的；</w:t>
      </w:r>
    </w:p>
    <w:p w14:paraId="031E5C88">
      <w:pPr>
        <w:pStyle w:val="10"/>
        <w:numPr>
          <w:ilvl w:val="0"/>
          <w:numId w:val="6"/>
        </w:numPr>
        <w:spacing w:line="360" w:lineRule="auto"/>
        <w:ind w:firstLine="422"/>
        <w:rPr>
          <w:rFonts w:ascii="仿宋" w:hAnsi="仿宋" w:eastAsia="仿宋"/>
          <w:b/>
          <w:color w:val="auto"/>
          <w:szCs w:val="21"/>
        </w:rPr>
      </w:pPr>
      <w:r>
        <w:rPr>
          <w:rFonts w:hint="eastAsia" w:ascii="仿宋" w:hAnsi="仿宋" w:eastAsia="仿宋"/>
          <w:b/>
          <w:color w:val="auto"/>
          <w:szCs w:val="21"/>
        </w:rPr>
        <w:t>未采用人民币报价或者未按照招标文件标明的币种报价的；</w:t>
      </w:r>
    </w:p>
    <w:p w14:paraId="29C13A10">
      <w:pPr>
        <w:pStyle w:val="10"/>
        <w:numPr>
          <w:ilvl w:val="0"/>
          <w:numId w:val="6"/>
        </w:numPr>
        <w:spacing w:line="360" w:lineRule="auto"/>
        <w:ind w:firstLine="422"/>
        <w:rPr>
          <w:rFonts w:ascii="仿宋" w:hAnsi="仿宋" w:eastAsia="仿宋"/>
          <w:b/>
          <w:color w:val="auto"/>
          <w:szCs w:val="21"/>
        </w:rPr>
      </w:pPr>
      <w:r>
        <w:rPr>
          <w:rFonts w:hint="eastAsia" w:ascii="仿宋" w:hAnsi="仿宋" w:eastAsia="仿宋"/>
          <w:b/>
          <w:color w:val="auto"/>
          <w:szCs w:val="21"/>
        </w:rPr>
        <w:t>各分标报价超出招标文件相应分标规定最高限价，或者超出相应分标采购预算金额的；</w:t>
      </w:r>
    </w:p>
    <w:p w14:paraId="448CA342">
      <w:pPr>
        <w:pStyle w:val="10"/>
        <w:numPr>
          <w:ilvl w:val="0"/>
          <w:numId w:val="6"/>
        </w:numPr>
        <w:spacing w:line="360" w:lineRule="auto"/>
        <w:ind w:firstLine="422"/>
        <w:rPr>
          <w:rFonts w:ascii="仿宋" w:hAnsi="仿宋" w:eastAsia="仿宋"/>
          <w:b/>
          <w:color w:val="auto"/>
          <w:szCs w:val="21"/>
        </w:rPr>
      </w:pPr>
      <w:r>
        <w:rPr>
          <w:rFonts w:hint="eastAsia" w:ascii="仿宋" w:hAnsi="仿宋" w:eastAsia="仿宋"/>
          <w:b/>
          <w:color w:val="auto"/>
          <w:szCs w:val="21"/>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1E79FF83">
      <w:pPr>
        <w:pStyle w:val="10"/>
        <w:numPr>
          <w:ilvl w:val="0"/>
          <w:numId w:val="6"/>
        </w:numPr>
        <w:spacing w:line="360" w:lineRule="auto"/>
        <w:ind w:firstLine="422"/>
        <w:rPr>
          <w:rFonts w:ascii="仿宋" w:hAnsi="仿宋" w:eastAsia="仿宋"/>
          <w:b/>
          <w:color w:val="auto"/>
          <w:szCs w:val="21"/>
        </w:rPr>
      </w:pPr>
      <w:r>
        <w:rPr>
          <w:rFonts w:hint="eastAsia" w:ascii="仿宋" w:hAnsi="仿宋" w:eastAsia="仿宋"/>
          <w:b/>
          <w:color w:val="auto"/>
          <w:szCs w:val="21"/>
        </w:rPr>
        <w:t>修正后的报价，投标人不确认的；</w:t>
      </w:r>
    </w:p>
    <w:p w14:paraId="7724E656">
      <w:pPr>
        <w:pStyle w:val="10"/>
        <w:numPr>
          <w:ilvl w:val="0"/>
          <w:numId w:val="6"/>
        </w:numPr>
        <w:spacing w:line="360" w:lineRule="auto"/>
        <w:ind w:firstLine="422"/>
        <w:rPr>
          <w:rFonts w:ascii="仿宋" w:hAnsi="仿宋" w:eastAsia="仿宋"/>
          <w:b/>
          <w:color w:val="auto"/>
          <w:szCs w:val="21"/>
        </w:rPr>
      </w:pPr>
      <w:r>
        <w:rPr>
          <w:rFonts w:hint="eastAsia" w:ascii="仿宋" w:hAnsi="仿宋" w:eastAsia="仿宋"/>
          <w:b/>
          <w:color w:val="auto"/>
          <w:szCs w:val="21"/>
        </w:rPr>
        <w:t>投标人属于本章第</w:t>
      </w:r>
      <w:r>
        <w:rPr>
          <w:rFonts w:ascii="仿宋" w:hAnsi="仿宋" w:eastAsia="仿宋"/>
          <w:b/>
          <w:color w:val="auto"/>
          <w:szCs w:val="21"/>
        </w:rPr>
        <w:t>5.1</w:t>
      </w:r>
      <w:r>
        <w:rPr>
          <w:rFonts w:hint="eastAsia" w:ascii="仿宋" w:hAnsi="仿宋" w:eastAsia="仿宋"/>
          <w:b/>
          <w:color w:val="auto"/>
          <w:szCs w:val="21"/>
        </w:rPr>
        <w:t>条（2）或者第5</w:t>
      </w:r>
      <w:r>
        <w:rPr>
          <w:rFonts w:ascii="仿宋" w:hAnsi="仿宋" w:eastAsia="仿宋"/>
          <w:b/>
          <w:color w:val="auto"/>
          <w:szCs w:val="21"/>
        </w:rPr>
        <w:t>.2条</w:t>
      </w:r>
      <w:r>
        <w:rPr>
          <w:rFonts w:hint="eastAsia" w:ascii="仿宋" w:hAnsi="仿宋" w:eastAsia="仿宋"/>
          <w:b/>
          <w:color w:val="auto"/>
          <w:szCs w:val="21"/>
        </w:rPr>
        <w:t>（2）项情形的；</w:t>
      </w:r>
    </w:p>
    <w:p w14:paraId="05E77ECE">
      <w:pPr>
        <w:pStyle w:val="10"/>
        <w:numPr>
          <w:ilvl w:val="0"/>
          <w:numId w:val="6"/>
        </w:numPr>
        <w:spacing w:line="360" w:lineRule="auto"/>
        <w:ind w:firstLine="422"/>
        <w:rPr>
          <w:rFonts w:ascii="仿宋" w:hAnsi="仿宋" w:eastAsia="仿宋"/>
          <w:b/>
          <w:color w:val="auto"/>
          <w:szCs w:val="21"/>
        </w:rPr>
      </w:pPr>
      <w:r>
        <w:rPr>
          <w:rFonts w:hint="eastAsia" w:ascii="仿宋" w:hAnsi="仿宋" w:eastAsia="仿宋"/>
          <w:b/>
          <w:color w:val="auto"/>
          <w:spacing w:val="-6"/>
          <w:szCs w:val="21"/>
        </w:rPr>
        <w:t>报价文件</w:t>
      </w:r>
      <w:r>
        <w:rPr>
          <w:rFonts w:hint="eastAsia" w:ascii="仿宋" w:hAnsi="仿宋" w:eastAsia="仿宋"/>
          <w:b/>
          <w:color w:val="auto"/>
          <w:szCs w:val="21"/>
        </w:rPr>
        <w:t>响应的标的数量及单位与招标文件要求实质性不一致的。</w:t>
      </w:r>
    </w:p>
    <w:p w14:paraId="31CF58E4">
      <w:pPr>
        <w:pStyle w:val="7"/>
        <w:keepNext w:val="0"/>
        <w:keepLines w:val="0"/>
        <w:spacing w:before="0" w:after="0" w:line="360" w:lineRule="auto"/>
        <w:ind w:left="420" w:leftChars="200"/>
        <w:rPr>
          <w:rFonts w:ascii="仿宋" w:hAnsi="仿宋" w:eastAsia="仿宋"/>
          <w:color w:val="auto"/>
          <w:sz w:val="21"/>
          <w:szCs w:val="21"/>
        </w:rPr>
      </w:pPr>
      <w:r>
        <w:rPr>
          <w:rFonts w:hint="eastAsia" w:ascii="仿宋" w:hAnsi="仿宋" w:eastAsia="仿宋"/>
          <w:color w:val="auto"/>
          <w:sz w:val="21"/>
          <w:szCs w:val="21"/>
        </w:rPr>
        <w:t>2.2在商务评审时，如发现下列情形之一的，将被视为投标无效：</w:t>
      </w:r>
    </w:p>
    <w:p w14:paraId="720BD803">
      <w:pPr>
        <w:numPr>
          <w:ilvl w:val="0"/>
          <w:numId w:val="7"/>
        </w:numPr>
        <w:snapToGrid w:val="0"/>
        <w:spacing w:line="360" w:lineRule="auto"/>
        <w:ind w:firstLine="422" w:firstLineChars="200"/>
        <w:rPr>
          <w:rFonts w:ascii="仿宋" w:hAnsi="仿宋" w:eastAsia="仿宋"/>
          <w:b/>
          <w:color w:val="auto"/>
          <w:szCs w:val="21"/>
        </w:rPr>
      </w:pPr>
      <w:r>
        <w:rPr>
          <w:rFonts w:hint="eastAsia" w:ascii="仿宋" w:hAnsi="仿宋" w:eastAsia="仿宋"/>
          <w:b/>
          <w:color w:val="auto"/>
          <w:szCs w:val="21"/>
        </w:rPr>
        <w:t>投标文件未按招标文件要求签署、盖章的；</w:t>
      </w:r>
    </w:p>
    <w:p w14:paraId="5C19B8EC">
      <w:pPr>
        <w:numPr>
          <w:ilvl w:val="0"/>
          <w:numId w:val="7"/>
        </w:numPr>
        <w:snapToGrid w:val="0"/>
        <w:spacing w:line="360" w:lineRule="auto"/>
        <w:ind w:firstLine="422" w:firstLineChars="200"/>
        <w:rPr>
          <w:rFonts w:ascii="仿宋" w:hAnsi="仿宋" w:eastAsia="仿宋"/>
          <w:b/>
          <w:color w:val="auto"/>
          <w:szCs w:val="21"/>
        </w:rPr>
      </w:pPr>
      <w:r>
        <w:rPr>
          <w:rFonts w:hint="eastAsia" w:ascii="仿宋" w:hAnsi="仿宋" w:eastAsia="仿宋"/>
          <w:b/>
          <w:color w:val="auto"/>
          <w:szCs w:val="21"/>
        </w:rPr>
        <w:t>委托代理人未能出具有效身份证或者出具的身份证与授权委托书中的信息不符的；</w:t>
      </w:r>
    </w:p>
    <w:p w14:paraId="6AB6C79C">
      <w:pPr>
        <w:numPr>
          <w:ilvl w:val="0"/>
          <w:numId w:val="7"/>
        </w:numPr>
        <w:snapToGrid w:val="0"/>
        <w:spacing w:line="360" w:lineRule="auto"/>
        <w:ind w:firstLine="422" w:firstLineChars="200"/>
        <w:rPr>
          <w:rFonts w:ascii="仿宋" w:hAnsi="仿宋" w:eastAsia="仿宋"/>
          <w:b/>
          <w:color w:val="auto"/>
          <w:szCs w:val="21"/>
        </w:rPr>
      </w:pPr>
      <w:r>
        <w:rPr>
          <w:rFonts w:hint="eastAsia" w:ascii="仿宋" w:hAnsi="仿宋" w:eastAsia="仿宋"/>
          <w:b/>
          <w:color w:val="auto"/>
          <w:szCs w:val="21"/>
        </w:rPr>
        <w:t>为无效投标保证金的或者未按照招标文件的规定提交投标保证金的；</w:t>
      </w:r>
    </w:p>
    <w:p w14:paraId="4F905C74">
      <w:pPr>
        <w:numPr>
          <w:ilvl w:val="0"/>
          <w:numId w:val="7"/>
        </w:numPr>
        <w:snapToGrid w:val="0"/>
        <w:spacing w:line="360" w:lineRule="auto"/>
        <w:ind w:firstLine="422" w:firstLineChars="200"/>
        <w:rPr>
          <w:rFonts w:ascii="仿宋" w:hAnsi="仿宋" w:eastAsia="仿宋"/>
          <w:b/>
          <w:color w:val="auto"/>
          <w:szCs w:val="21"/>
        </w:rPr>
      </w:pPr>
      <w:r>
        <w:rPr>
          <w:rFonts w:hint="eastAsia" w:ascii="仿宋" w:hAnsi="仿宋" w:eastAsia="仿宋"/>
          <w:b/>
          <w:color w:val="auto"/>
          <w:szCs w:val="21"/>
        </w:rPr>
        <w:t>投标文件未提供“投标人须知前附表”第13.</w:t>
      </w:r>
      <w:r>
        <w:rPr>
          <w:rFonts w:ascii="仿宋" w:hAnsi="仿宋" w:eastAsia="仿宋"/>
          <w:b/>
          <w:color w:val="auto"/>
          <w:szCs w:val="21"/>
        </w:rPr>
        <w:t>1</w:t>
      </w:r>
      <w:r>
        <w:rPr>
          <w:rFonts w:hint="eastAsia" w:ascii="仿宋" w:hAnsi="仿宋" w:eastAsia="仿宋"/>
          <w:b/>
          <w:color w:val="auto"/>
          <w:szCs w:val="21"/>
        </w:rPr>
        <w:t>条规定中“必须提供”或者“委托时必须提供”的文件资料的；</w:t>
      </w:r>
    </w:p>
    <w:p w14:paraId="1A0F0FB8">
      <w:pPr>
        <w:numPr>
          <w:ilvl w:val="0"/>
          <w:numId w:val="7"/>
        </w:numPr>
        <w:snapToGrid w:val="0"/>
        <w:spacing w:line="360" w:lineRule="auto"/>
        <w:ind w:firstLine="422" w:firstLineChars="200"/>
        <w:rPr>
          <w:rFonts w:ascii="仿宋" w:hAnsi="仿宋" w:eastAsia="仿宋"/>
          <w:b/>
          <w:color w:val="auto"/>
          <w:szCs w:val="21"/>
        </w:rPr>
      </w:pPr>
      <w:r>
        <w:rPr>
          <w:rFonts w:hint="eastAsia" w:ascii="仿宋" w:hAnsi="仿宋" w:eastAsia="仿宋"/>
          <w:b/>
          <w:color w:val="auto"/>
          <w:szCs w:val="21"/>
        </w:rPr>
        <w:t>商务要求评审允许负偏离的条款数超过“投标人须知前附表”规定项数的；</w:t>
      </w:r>
    </w:p>
    <w:p w14:paraId="096F91B5">
      <w:pPr>
        <w:numPr>
          <w:ilvl w:val="0"/>
          <w:numId w:val="7"/>
        </w:numPr>
        <w:snapToGrid w:val="0"/>
        <w:spacing w:line="360" w:lineRule="auto"/>
        <w:ind w:firstLine="422" w:firstLineChars="200"/>
        <w:rPr>
          <w:rFonts w:ascii="仿宋" w:hAnsi="仿宋" w:eastAsia="仿宋"/>
          <w:b/>
          <w:color w:val="auto"/>
          <w:szCs w:val="21"/>
        </w:rPr>
      </w:pPr>
      <w:r>
        <w:rPr>
          <w:rFonts w:hint="eastAsia" w:ascii="仿宋" w:hAnsi="仿宋" w:eastAsia="仿宋"/>
          <w:b/>
          <w:color w:val="auto"/>
          <w:szCs w:val="21"/>
        </w:rPr>
        <w:t>投标文件的实质性内容未使用中文表述、使用计量单位不符合招标文件要求的；</w:t>
      </w:r>
    </w:p>
    <w:p w14:paraId="1EE11649">
      <w:pPr>
        <w:numPr>
          <w:ilvl w:val="0"/>
          <w:numId w:val="7"/>
        </w:numPr>
        <w:snapToGrid w:val="0"/>
        <w:spacing w:line="360" w:lineRule="auto"/>
        <w:ind w:firstLine="422" w:firstLineChars="200"/>
        <w:rPr>
          <w:rFonts w:ascii="仿宋" w:hAnsi="仿宋" w:eastAsia="仿宋"/>
          <w:b/>
          <w:color w:val="auto"/>
          <w:szCs w:val="21"/>
        </w:rPr>
      </w:pPr>
      <w:r>
        <w:rPr>
          <w:rFonts w:hint="eastAsia" w:ascii="仿宋" w:hAnsi="仿宋" w:eastAsia="仿宋"/>
          <w:b/>
          <w:color w:val="auto"/>
          <w:szCs w:val="21"/>
        </w:rPr>
        <w:t>投标文件中的文件资料因填写不齐全或者内容虚假或者出现其他情形而导致被评标委员会认定无效的；</w:t>
      </w:r>
    </w:p>
    <w:p w14:paraId="7FAD78E4">
      <w:pPr>
        <w:numPr>
          <w:ilvl w:val="0"/>
          <w:numId w:val="7"/>
        </w:numPr>
        <w:snapToGrid w:val="0"/>
        <w:spacing w:line="360" w:lineRule="auto"/>
        <w:ind w:firstLine="422" w:firstLineChars="200"/>
        <w:rPr>
          <w:rFonts w:ascii="仿宋" w:hAnsi="仿宋" w:eastAsia="仿宋"/>
          <w:b/>
          <w:color w:val="auto"/>
          <w:szCs w:val="21"/>
        </w:rPr>
      </w:pPr>
      <w:r>
        <w:rPr>
          <w:rFonts w:hint="eastAsia" w:ascii="仿宋" w:hAnsi="仿宋" w:eastAsia="仿宋"/>
          <w:b/>
          <w:color w:val="auto"/>
          <w:szCs w:val="21"/>
        </w:rPr>
        <w:t>投标文件含有采购人不能接受的附加条件的；</w:t>
      </w:r>
    </w:p>
    <w:p w14:paraId="3BF70020">
      <w:pPr>
        <w:numPr>
          <w:ilvl w:val="0"/>
          <w:numId w:val="7"/>
        </w:numPr>
        <w:snapToGrid w:val="0"/>
        <w:spacing w:line="360" w:lineRule="auto"/>
        <w:ind w:firstLine="422" w:firstLineChars="200"/>
        <w:rPr>
          <w:rFonts w:ascii="仿宋" w:hAnsi="仿宋" w:eastAsia="仿宋"/>
          <w:b/>
          <w:color w:val="auto"/>
          <w:szCs w:val="21"/>
        </w:rPr>
      </w:pPr>
      <w:r>
        <w:rPr>
          <w:rFonts w:hint="eastAsia" w:ascii="仿宋" w:hAnsi="仿宋" w:eastAsia="仿宋"/>
          <w:b/>
          <w:color w:val="auto"/>
          <w:szCs w:val="21"/>
        </w:rPr>
        <w:t>属于投标人须知正文第</w:t>
      </w:r>
      <w:r>
        <w:rPr>
          <w:rFonts w:ascii="仿宋" w:hAnsi="仿宋" w:eastAsia="仿宋"/>
          <w:b/>
          <w:color w:val="auto"/>
          <w:szCs w:val="21"/>
        </w:rPr>
        <w:t>9.2</w:t>
      </w:r>
      <w:r>
        <w:rPr>
          <w:rFonts w:hint="eastAsia" w:ascii="仿宋" w:hAnsi="仿宋" w:eastAsia="仿宋"/>
          <w:b/>
          <w:color w:val="auto"/>
          <w:szCs w:val="21"/>
        </w:rPr>
        <w:t>条情形的；</w:t>
      </w:r>
    </w:p>
    <w:p w14:paraId="681F0F04">
      <w:pPr>
        <w:numPr>
          <w:ilvl w:val="0"/>
          <w:numId w:val="7"/>
        </w:numPr>
        <w:snapToGrid w:val="0"/>
        <w:spacing w:line="360" w:lineRule="auto"/>
        <w:ind w:firstLine="422" w:firstLineChars="200"/>
        <w:rPr>
          <w:rFonts w:ascii="仿宋" w:hAnsi="仿宋" w:eastAsia="仿宋"/>
          <w:b/>
          <w:color w:val="auto"/>
          <w:szCs w:val="21"/>
        </w:rPr>
      </w:pPr>
      <w:r>
        <w:rPr>
          <w:rFonts w:hint="eastAsia" w:ascii="仿宋" w:hAnsi="仿宋" w:eastAsia="仿宋"/>
          <w:b/>
          <w:color w:val="auto"/>
          <w:szCs w:val="21"/>
        </w:rPr>
        <w:t>投标文件标注的项目名称或者项目编号与招标文件标注的项目名称或者项目编号不一致的；</w:t>
      </w:r>
    </w:p>
    <w:p w14:paraId="550E0112">
      <w:pPr>
        <w:numPr>
          <w:ilvl w:val="0"/>
          <w:numId w:val="7"/>
        </w:numPr>
        <w:snapToGrid w:val="0"/>
        <w:spacing w:line="360" w:lineRule="auto"/>
        <w:ind w:firstLine="422" w:firstLineChars="200"/>
        <w:rPr>
          <w:rFonts w:ascii="仿宋" w:hAnsi="仿宋" w:eastAsia="仿宋"/>
          <w:b/>
          <w:color w:val="auto"/>
          <w:szCs w:val="21"/>
        </w:rPr>
      </w:pPr>
      <w:r>
        <w:rPr>
          <w:rFonts w:hint="eastAsia" w:ascii="仿宋" w:hAnsi="仿宋" w:eastAsia="仿宋"/>
          <w:b/>
          <w:color w:val="auto"/>
          <w:szCs w:val="21"/>
        </w:rPr>
        <w:t>招标文件明确不允许分包，投标文件拟分包的；</w:t>
      </w:r>
    </w:p>
    <w:p w14:paraId="41328394">
      <w:pPr>
        <w:numPr>
          <w:ilvl w:val="0"/>
          <w:numId w:val="7"/>
        </w:numPr>
        <w:snapToGrid w:val="0"/>
        <w:spacing w:line="360" w:lineRule="auto"/>
        <w:ind w:firstLine="422" w:firstLineChars="200"/>
        <w:rPr>
          <w:rFonts w:ascii="仿宋" w:hAnsi="仿宋" w:eastAsia="仿宋"/>
          <w:b/>
          <w:color w:val="auto"/>
          <w:szCs w:val="21"/>
        </w:rPr>
      </w:pPr>
      <w:r>
        <w:rPr>
          <w:rFonts w:hint="eastAsia" w:ascii="仿宋" w:hAnsi="仿宋" w:eastAsia="仿宋"/>
          <w:b/>
          <w:color w:val="auto"/>
          <w:szCs w:val="21"/>
        </w:rPr>
        <w:t>未响应招标文件实质性要求的；</w:t>
      </w:r>
    </w:p>
    <w:p w14:paraId="1700EF58">
      <w:pPr>
        <w:numPr>
          <w:ilvl w:val="0"/>
          <w:numId w:val="7"/>
        </w:numPr>
        <w:snapToGrid w:val="0"/>
        <w:spacing w:line="360" w:lineRule="auto"/>
        <w:ind w:firstLine="422" w:firstLineChars="200"/>
        <w:rPr>
          <w:rFonts w:ascii="仿宋" w:hAnsi="仿宋" w:eastAsia="仿宋"/>
          <w:b/>
          <w:color w:val="auto"/>
          <w:szCs w:val="21"/>
        </w:rPr>
      </w:pPr>
      <w:r>
        <w:rPr>
          <w:rFonts w:hint="eastAsia" w:ascii="仿宋" w:hAnsi="仿宋" w:eastAsia="仿宋"/>
          <w:b/>
          <w:color w:val="auto"/>
          <w:szCs w:val="21"/>
        </w:rPr>
        <w:t>法律、法规和招标文件规定的其他无效情形。</w:t>
      </w:r>
    </w:p>
    <w:p w14:paraId="5F7A5395">
      <w:pPr>
        <w:pStyle w:val="7"/>
        <w:keepNext w:val="0"/>
        <w:keepLines w:val="0"/>
        <w:spacing w:before="0" w:after="0" w:line="360" w:lineRule="auto"/>
        <w:ind w:left="420" w:leftChars="200"/>
        <w:rPr>
          <w:rFonts w:ascii="仿宋" w:hAnsi="仿宋" w:eastAsia="仿宋"/>
          <w:color w:val="auto"/>
          <w:sz w:val="21"/>
          <w:szCs w:val="21"/>
        </w:rPr>
      </w:pPr>
      <w:r>
        <w:rPr>
          <w:rFonts w:hint="eastAsia" w:ascii="仿宋" w:hAnsi="仿宋" w:eastAsia="仿宋"/>
          <w:color w:val="auto"/>
          <w:sz w:val="21"/>
          <w:szCs w:val="21"/>
        </w:rPr>
        <w:t>2.3在技术评审时，如发现下列情形之一的，将被视为投标无效：</w:t>
      </w:r>
    </w:p>
    <w:p w14:paraId="5AC09641">
      <w:pPr>
        <w:pStyle w:val="21"/>
        <w:snapToGrid w:val="0"/>
        <w:spacing w:line="360" w:lineRule="auto"/>
        <w:ind w:firstLine="413" w:firstLineChars="196"/>
        <w:rPr>
          <w:rFonts w:ascii="仿宋" w:hAnsi="仿宋" w:eastAsia="仿宋"/>
          <w:b/>
          <w:color w:val="auto"/>
          <w:kern w:val="2"/>
          <w:sz w:val="21"/>
          <w:szCs w:val="21"/>
        </w:rPr>
      </w:pPr>
      <w:r>
        <w:rPr>
          <w:rFonts w:hint="eastAsia" w:ascii="仿宋" w:hAnsi="仿宋" w:eastAsia="仿宋"/>
          <w:b/>
          <w:color w:val="auto"/>
          <w:kern w:val="2"/>
          <w:sz w:val="21"/>
          <w:szCs w:val="21"/>
        </w:rPr>
        <w:t>（1）技术要求评审允许负偏离的条款数超过“投标人须知前附表”规定项数的；</w:t>
      </w:r>
    </w:p>
    <w:p w14:paraId="3F0BE4A8">
      <w:pPr>
        <w:pStyle w:val="21"/>
        <w:snapToGrid w:val="0"/>
        <w:spacing w:line="360" w:lineRule="auto"/>
        <w:ind w:firstLine="413" w:firstLineChars="196"/>
        <w:rPr>
          <w:rFonts w:ascii="仿宋" w:hAnsi="仿宋" w:eastAsia="仿宋"/>
          <w:b/>
          <w:color w:val="auto"/>
          <w:kern w:val="2"/>
          <w:sz w:val="21"/>
          <w:szCs w:val="21"/>
        </w:rPr>
      </w:pPr>
      <w:r>
        <w:rPr>
          <w:rFonts w:hint="eastAsia" w:ascii="仿宋" w:hAnsi="仿宋" w:eastAsia="仿宋"/>
          <w:b/>
          <w:color w:val="auto"/>
          <w:kern w:val="2"/>
          <w:sz w:val="21"/>
          <w:szCs w:val="21"/>
        </w:rPr>
        <w:t>（2）投标文件未提供“投标人须知前附表”第13.</w:t>
      </w:r>
      <w:r>
        <w:rPr>
          <w:rFonts w:ascii="仿宋" w:hAnsi="仿宋" w:eastAsia="仿宋"/>
          <w:b/>
          <w:color w:val="auto"/>
          <w:kern w:val="2"/>
          <w:sz w:val="21"/>
          <w:szCs w:val="21"/>
        </w:rPr>
        <w:t>1</w:t>
      </w:r>
      <w:r>
        <w:rPr>
          <w:rFonts w:hint="eastAsia" w:ascii="仿宋" w:hAnsi="仿宋" w:eastAsia="仿宋"/>
          <w:b/>
          <w:color w:val="auto"/>
          <w:kern w:val="2"/>
          <w:sz w:val="21"/>
          <w:szCs w:val="21"/>
        </w:rPr>
        <w:t>条规定中“必须提供”的文件资料的；</w:t>
      </w:r>
    </w:p>
    <w:p w14:paraId="7CBFCE80">
      <w:pPr>
        <w:pStyle w:val="21"/>
        <w:snapToGrid w:val="0"/>
        <w:spacing w:line="360" w:lineRule="auto"/>
        <w:ind w:firstLine="413" w:firstLineChars="196"/>
        <w:rPr>
          <w:rFonts w:ascii="仿宋" w:hAnsi="仿宋" w:eastAsia="仿宋"/>
          <w:b/>
          <w:color w:val="auto"/>
          <w:kern w:val="2"/>
          <w:sz w:val="21"/>
          <w:szCs w:val="21"/>
        </w:rPr>
      </w:pPr>
      <w:r>
        <w:rPr>
          <w:rFonts w:hint="eastAsia" w:ascii="仿宋" w:hAnsi="仿宋" w:eastAsia="仿宋"/>
          <w:b/>
          <w:color w:val="auto"/>
          <w:kern w:val="2"/>
          <w:sz w:val="21"/>
          <w:szCs w:val="21"/>
        </w:rPr>
        <w:t>（3）虚假投标或投标人的响应与事实不符，或者出现其他情形而导致被评标委员会认定无效的；</w:t>
      </w:r>
    </w:p>
    <w:p w14:paraId="33C65CAD">
      <w:pPr>
        <w:pStyle w:val="21"/>
        <w:snapToGrid w:val="0"/>
        <w:spacing w:line="360" w:lineRule="auto"/>
        <w:ind w:firstLine="413" w:firstLineChars="196"/>
        <w:rPr>
          <w:rFonts w:ascii="仿宋" w:hAnsi="仿宋" w:eastAsia="仿宋"/>
          <w:b/>
          <w:color w:val="auto"/>
          <w:kern w:val="2"/>
          <w:sz w:val="21"/>
          <w:szCs w:val="21"/>
        </w:rPr>
      </w:pPr>
      <w:r>
        <w:rPr>
          <w:rFonts w:hint="eastAsia" w:ascii="仿宋" w:hAnsi="仿宋" w:eastAsia="仿宋"/>
          <w:b/>
          <w:color w:val="auto"/>
          <w:kern w:val="2"/>
          <w:sz w:val="21"/>
          <w:szCs w:val="21"/>
        </w:rPr>
        <w:t>（4）</w:t>
      </w:r>
      <w:bookmarkStart w:id="140" w:name="_Hlk71706244"/>
      <w:r>
        <w:rPr>
          <w:rFonts w:hint="eastAsia" w:ascii="仿宋" w:hAnsi="仿宋" w:eastAsia="仿宋"/>
          <w:b/>
          <w:color w:val="auto"/>
          <w:kern w:val="2"/>
          <w:sz w:val="21"/>
          <w:szCs w:val="21"/>
        </w:rPr>
        <w:t>招标文件未载明允许提供备选（替代）投标方案或明确不允许提供备选（替代）投标方案时，投标人提供了备选（替代）投标方案的；</w:t>
      </w:r>
      <w:bookmarkEnd w:id="140"/>
    </w:p>
    <w:p w14:paraId="15CA502F">
      <w:pPr>
        <w:pStyle w:val="21"/>
        <w:snapToGrid w:val="0"/>
        <w:spacing w:line="360" w:lineRule="auto"/>
        <w:ind w:firstLine="413" w:firstLineChars="196"/>
        <w:rPr>
          <w:rFonts w:ascii="仿宋" w:hAnsi="仿宋" w:eastAsia="仿宋"/>
          <w:b/>
          <w:color w:val="auto"/>
          <w:kern w:val="2"/>
          <w:sz w:val="21"/>
          <w:szCs w:val="21"/>
        </w:rPr>
      </w:pPr>
      <w:r>
        <w:rPr>
          <w:rFonts w:hint="eastAsia" w:ascii="仿宋" w:hAnsi="仿宋" w:eastAsia="仿宋"/>
          <w:b/>
          <w:color w:val="auto"/>
          <w:kern w:val="2"/>
          <w:sz w:val="21"/>
          <w:szCs w:val="21"/>
        </w:rPr>
        <w:t>（5）未响应招标文件实质性要求的。</w:t>
      </w:r>
    </w:p>
    <w:p w14:paraId="7C556452">
      <w:pPr>
        <w:pStyle w:val="21"/>
        <w:snapToGrid w:val="0"/>
        <w:spacing w:line="360" w:lineRule="auto"/>
        <w:ind w:firstLine="413" w:firstLineChars="196"/>
        <w:rPr>
          <w:rFonts w:ascii="仿宋" w:hAnsi="仿宋" w:eastAsia="仿宋"/>
          <w:b/>
          <w:color w:val="auto"/>
          <w:kern w:val="2"/>
          <w:sz w:val="21"/>
          <w:szCs w:val="21"/>
        </w:rPr>
      </w:pPr>
      <w:r>
        <w:rPr>
          <w:rFonts w:hint="eastAsia" w:ascii="仿宋" w:hAnsi="仿宋" w:eastAsia="仿宋"/>
          <w:b/>
          <w:color w:val="auto"/>
          <w:kern w:val="2"/>
          <w:sz w:val="21"/>
          <w:szCs w:val="21"/>
        </w:rPr>
        <w:t>2.4通过符合性审查的投标人不足3家，评标委员会不得继续评标，并出具评标报告。</w:t>
      </w:r>
    </w:p>
    <w:p w14:paraId="54F225C4">
      <w:pPr>
        <w:pStyle w:val="7"/>
        <w:keepNext w:val="0"/>
        <w:keepLines w:val="0"/>
        <w:spacing w:before="0" w:after="0" w:line="360" w:lineRule="auto"/>
        <w:ind w:left="420" w:leftChars="200"/>
        <w:rPr>
          <w:rFonts w:ascii="仿宋" w:hAnsi="仿宋" w:eastAsia="仿宋"/>
          <w:color w:val="auto"/>
          <w:sz w:val="21"/>
          <w:szCs w:val="21"/>
        </w:rPr>
      </w:pPr>
      <w:r>
        <w:rPr>
          <w:rFonts w:hint="eastAsia" w:ascii="仿宋" w:hAnsi="仿宋" w:eastAsia="仿宋"/>
          <w:color w:val="auto"/>
          <w:sz w:val="21"/>
          <w:szCs w:val="21"/>
        </w:rPr>
        <w:t>3</w:t>
      </w:r>
      <w:r>
        <w:rPr>
          <w:rFonts w:ascii="仿宋" w:hAnsi="仿宋" w:eastAsia="仿宋"/>
          <w:color w:val="auto"/>
          <w:sz w:val="21"/>
          <w:szCs w:val="21"/>
        </w:rPr>
        <w:t>.</w:t>
      </w:r>
      <w:r>
        <w:rPr>
          <w:rFonts w:hint="eastAsia" w:ascii="仿宋" w:hAnsi="仿宋" w:eastAsia="仿宋"/>
          <w:color w:val="auto"/>
          <w:sz w:val="21"/>
          <w:szCs w:val="21"/>
        </w:rPr>
        <w:t>澄清补正</w:t>
      </w:r>
    </w:p>
    <w:p w14:paraId="30A151A9">
      <w:pPr>
        <w:snapToGrid w:val="0"/>
        <w:spacing w:line="360" w:lineRule="auto"/>
        <w:ind w:firstLine="420" w:firstLineChars="200"/>
        <w:rPr>
          <w:rFonts w:ascii="仿宋" w:hAnsi="仿宋" w:eastAsia="仿宋" w:cs="Courier New"/>
          <w:color w:val="auto"/>
          <w:szCs w:val="21"/>
        </w:rPr>
      </w:pPr>
      <w:r>
        <w:rPr>
          <w:rFonts w:hint="eastAsia" w:ascii="仿宋" w:hAnsi="仿宋" w:eastAsia="仿宋" w:cs="Courier New"/>
          <w:color w:val="auto"/>
          <w:szCs w:val="21"/>
        </w:rPr>
        <w:t>对投标文件中含义不明确、同类问题表述不一致或者有明显文字和计算错误的内容，评标委员会以</w:t>
      </w:r>
      <w:r>
        <w:rPr>
          <w:rFonts w:hint="eastAsia" w:ascii="仿宋" w:hAnsi="仿宋" w:eastAsia="仿宋" w:cs="宋体"/>
          <w:color w:val="auto"/>
          <w:szCs w:val="21"/>
        </w:rPr>
        <w:t>电子澄清函形式</w:t>
      </w:r>
      <w:r>
        <w:rPr>
          <w:rFonts w:hint="eastAsia" w:ascii="仿宋" w:hAnsi="仿宋" w:eastAsia="仿宋" w:cs="Courier New"/>
          <w:color w:val="auto"/>
          <w:szCs w:val="21"/>
        </w:rPr>
        <w:t>要求投标人在规定时间内作出必要的澄清、说明或者纠正。投标人的澄清、说明或者补正必须采用</w:t>
      </w:r>
      <w:r>
        <w:rPr>
          <w:rFonts w:hint="eastAsia" w:ascii="仿宋" w:hAnsi="仿宋" w:eastAsia="仿宋" w:cs="宋体"/>
          <w:color w:val="auto"/>
          <w:szCs w:val="21"/>
        </w:rPr>
        <w:t>电子回函形式</w:t>
      </w:r>
      <w:r>
        <w:rPr>
          <w:rFonts w:hint="eastAsia" w:ascii="仿宋" w:hAnsi="仿宋" w:eastAsia="仿宋" w:cs="Courier New"/>
          <w:color w:val="auto"/>
          <w:szCs w:val="21"/>
        </w:rPr>
        <w:t>，并加盖投标人公章，或者由法定代表人或者其授权的代表签字。投标人的澄清、说明或者补正不得超出投标文件的范围或者改变投标文件的实质性内容。</w:t>
      </w:r>
    </w:p>
    <w:p w14:paraId="1A17C2B4">
      <w:pPr>
        <w:pStyle w:val="7"/>
        <w:keepNext w:val="0"/>
        <w:keepLines w:val="0"/>
        <w:spacing w:before="0" w:after="0" w:line="360" w:lineRule="auto"/>
        <w:ind w:left="420" w:leftChars="200"/>
        <w:rPr>
          <w:rFonts w:ascii="仿宋" w:hAnsi="仿宋" w:eastAsia="仿宋"/>
          <w:color w:val="auto"/>
          <w:sz w:val="21"/>
          <w:szCs w:val="21"/>
        </w:rPr>
      </w:pPr>
      <w:r>
        <w:rPr>
          <w:rFonts w:ascii="仿宋" w:hAnsi="仿宋" w:eastAsia="仿宋"/>
          <w:color w:val="auto"/>
          <w:sz w:val="21"/>
          <w:szCs w:val="21"/>
        </w:rPr>
        <w:t>4.</w:t>
      </w:r>
      <w:r>
        <w:rPr>
          <w:rFonts w:hint="eastAsia" w:ascii="仿宋" w:hAnsi="仿宋" w:eastAsia="仿宋"/>
          <w:color w:val="auto"/>
          <w:sz w:val="21"/>
          <w:szCs w:val="21"/>
        </w:rPr>
        <w:t>投标文件修正</w:t>
      </w:r>
    </w:p>
    <w:p w14:paraId="68A79DD6">
      <w:pPr>
        <w:pStyle w:val="7"/>
        <w:keepNext w:val="0"/>
        <w:keepLines w:val="0"/>
        <w:spacing w:before="0" w:after="0" w:line="360" w:lineRule="auto"/>
        <w:ind w:left="420" w:leftChars="200"/>
        <w:rPr>
          <w:rFonts w:ascii="仿宋" w:hAnsi="仿宋" w:eastAsia="仿宋"/>
          <w:b w:val="0"/>
          <w:color w:val="auto"/>
          <w:sz w:val="21"/>
          <w:szCs w:val="21"/>
        </w:rPr>
      </w:pPr>
      <w:r>
        <w:rPr>
          <w:rFonts w:ascii="仿宋" w:hAnsi="仿宋" w:eastAsia="仿宋"/>
          <w:b w:val="0"/>
          <w:color w:val="auto"/>
          <w:sz w:val="21"/>
          <w:szCs w:val="21"/>
        </w:rPr>
        <w:t>4</w:t>
      </w:r>
      <w:r>
        <w:rPr>
          <w:rFonts w:hint="eastAsia" w:ascii="仿宋" w:hAnsi="仿宋" w:eastAsia="仿宋"/>
          <w:b w:val="0"/>
          <w:color w:val="auto"/>
          <w:sz w:val="21"/>
          <w:szCs w:val="21"/>
        </w:rPr>
        <w:t xml:space="preserve">.1投标文件报价出现前后不一致的，按照下列规定修正： </w:t>
      </w:r>
    </w:p>
    <w:p w14:paraId="54575E26">
      <w:pPr>
        <w:pStyle w:val="26"/>
        <w:snapToGrid w:val="0"/>
        <w:spacing w:line="360" w:lineRule="auto"/>
        <w:ind w:firstLine="420" w:firstLineChars="200"/>
        <w:rPr>
          <w:rFonts w:ascii="仿宋" w:hAnsi="仿宋" w:eastAsia="仿宋"/>
          <w:color w:val="auto"/>
          <w:sz w:val="21"/>
        </w:rPr>
      </w:pPr>
      <w:r>
        <w:rPr>
          <w:rFonts w:hint="eastAsia" w:ascii="仿宋" w:hAnsi="仿宋" w:eastAsia="仿宋"/>
          <w:color w:val="auto"/>
          <w:sz w:val="21"/>
        </w:rPr>
        <w:t>（1）投标文件中开标一览表（报价表）内容与投标文件中相应内容不一致的，以开标一览表（报价表）为准；</w:t>
      </w:r>
    </w:p>
    <w:p w14:paraId="3E0A8CDD">
      <w:pPr>
        <w:pStyle w:val="26"/>
        <w:snapToGrid w:val="0"/>
        <w:spacing w:line="360" w:lineRule="auto"/>
        <w:ind w:firstLine="420" w:firstLineChars="200"/>
        <w:rPr>
          <w:rFonts w:ascii="仿宋" w:hAnsi="仿宋" w:eastAsia="仿宋"/>
          <w:color w:val="auto"/>
          <w:sz w:val="21"/>
        </w:rPr>
      </w:pPr>
      <w:r>
        <w:rPr>
          <w:rFonts w:hint="eastAsia" w:ascii="仿宋" w:hAnsi="仿宋" w:eastAsia="仿宋"/>
          <w:color w:val="auto"/>
          <w:sz w:val="21"/>
        </w:rPr>
        <w:t>（2）大写金额和小写金额不一致的，以大写金额为准；</w:t>
      </w:r>
    </w:p>
    <w:p w14:paraId="5A3BFA70">
      <w:pPr>
        <w:pStyle w:val="26"/>
        <w:snapToGrid w:val="0"/>
        <w:spacing w:line="360" w:lineRule="auto"/>
        <w:ind w:firstLine="420" w:firstLineChars="200"/>
        <w:rPr>
          <w:rFonts w:ascii="仿宋" w:hAnsi="仿宋" w:eastAsia="仿宋"/>
          <w:color w:val="auto"/>
          <w:sz w:val="21"/>
        </w:rPr>
      </w:pPr>
      <w:r>
        <w:rPr>
          <w:rFonts w:hint="eastAsia" w:ascii="仿宋" w:hAnsi="仿宋" w:eastAsia="仿宋"/>
          <w:color w:val="auto"/>
          <w:sz w:val="21"/>
        </w:rPr>
        <w:t>（3）单价金额小数点或者百分比有明显错位的，以开标一览表的总价为准，并修改单价；</w:t>
      </w:r>
    </w:p>
    <w:p w14:paraId="6FC3DFFD">
      <w:pPr>
        <w:pStyle w:val="26"/>
        <w:snapToGrid w:val="0"/>
        <w:spacing w:line="360" w:lineRule="auto"/>
        <w:ind w:firstLine="420" w:firstLineChars="200"/>
        <w:rPr>
          <w:rFonts w:ascii="仿宋" w:hAnsi="仿宋" w:eastAsia="仿宋"/>
          <w:color w:val="auto"/>
          <w:sz w:val="21"/>
        </w:rPr>
      </w:pPr>
      <w:r>
        <w:rPr>
          <w:rFonts w:hint="eastAsia" w:ascii="仿宋" w:hAnsi="仿宋" w:eastAsia="仿宋"/>
          <w:color w:val="auto"/>
          <w:sz w:val="21"/>
        </w:rPr>
        <w:t>（4）总价金额与按单价汇总金额不一致的，以单价金额计算结果为准。</w:t>
      </w:r>
    </w:p>
    <w:p w14:paraId="3EA80616">
      <w:pPr>
        <w:pStyle w:val="26"/>
        <w:snapToGrid w:val="0"/>
        <w:spacing w:line="360" w:lineRule="auto"/>
        <w:ind w:firstLine="420" w:firstLineChars="200"/>
        <w:rPr>
          <w:rFonts w:ascii="仿宋" w:hAnsi="仿宋" w:eastAsia="仿宋"/>
          <w:color w:val="auto"/>
          <w:sz w:val="21"/>
        </w:rPr>
      </w:pPr>
      <w:r>
        <w:rPr>
          <w:rFonts w:hint="eastAsia" w:ascii="仿宋" w:hAnsi="仿宋" w:eastAsia="仿宋"/>
          <w:color w:val="auto"/>
          <w:sz w:val="21"/>
        </w:rPr>
        <w:t>同时出现两种以上不一致的，按照以上（1）-（4）规定的顺序修正。修正后的报价经投标人确认后产生约束力，投标人不确认的，</w:t>
      </w:r>
      <w:r>
        <w:rPr>
          <w:rFonts w:hint="eastAsia" w:ascii="仿宋" w:hAnsi="仿宋" w:eastAsia="仿宋"/>
          <w:b/>
          <w:color w:val="auto"/>
          <w:kern w:val="2"/>
          <w:sz w:val="21"/>
        </w:rPr>
        <w:t>其投标无效</w:t>
      </w:r>
      <w:r>
        <w:rPr>
          <w:rFonts w:hint="eastAsia" w:ascii="仿宋" w:hAnsi="仿宋" w:eastAsia="仿宋"/>
          <w:color w:val="auto"/>
          <w:sz w:val="21"/>
        </w:rPr>
        <w:t>。</w:t>
      </w:r>
    </w:p>
    <w:p w14:paraId="02671307">
      <w:pPr>
        <w:pStyle w:val="7"/>
        <w:keepNext w:val="0"/>
        <w:keepLines w:val="0"/>
        <w:spacing w:before="0" w:after="0" w:line="360" w:lineRule="auto"/>
        <w:rPr>
          <w:rFonts w:ascii="仿宋" w:hAnsi="仿宋" w:eastAsia="仿宋"/>
          <w:b w:val="0"/>
          <w:color w:val="auto"/>
          <w:sz w:val="21"/>
          <w:szCs w:val="21"/>
        </w:rPr>
      </w:pPr>
      <w:r>
        <w:rPr>
          <w:rFonts w:ascii="仿宋" w:hAnsi="仿宋" w:eastAsia="仿宋"/>
          <w:b w:val="0"/>
          <w:color w:val="auto"/>
          <w:sz w:val="21"/>
          <w:szCs w:val="21"/>
        </w:rPr>
        <w:t xml:space="preserve">    4</w:t>
      </w:r>
      <w:r>
        <w:rPr>
          <w:rFonts w:hint="eastAsia" w:ascii="仿宋" w:hAnsi="仿宋" w:eastAsia="仿宋"/>
          <w:b w:val="0"/>
          <w:color w:val="auto"/>
          <w:sz w:val="21"/>
          <w:szCs w:val="21"/>
        </w:rPr>
        <w:t>.2经投标人确认修正后的报价若超过采购预算金额或者最高限价，</w:t>
      </w:r>
      <w:r>
        <w:rPr>
          <w:rFonts w:hint="eastAsia" w:ascii="仿宋" w:hAnsi="仿宋" w:eastAsia="仿宋"/>
          <w:color w:val="auto"/>
          <w:sz w:val="21"/>
          <w:szCs w:val="21"/>
        </w:rPr>
        <w:t>投标人的投标文件作无效投标处理</w:t>
      </w:r>
      <w:r>
        <w:rPr>
          <w:rFonts w:hint="eastAsia" w:ascii="仿宋" w:hAnsi="仿宋" w:eastAsia="仿宋"/>
          <w:b w:val="0"/>
          <w:color w:val="auto"/>
          <w:sz w:val="21"/>
          <w:szCs w:val="21"/>
        </w:rPr>
        <w:t>。</w:t>
      </w:r>
    </w:p>
    <w:p w14:paraId="5128207D">
      <w:pPr>
        <w:snapToGrid w:val="0"/>
        <w:spacing w:line="360" w:lineRule="auto"/>
        <w:ind w:firstLine="420" w:firstLineChars="200"/>
        <w:rPr>
          <w:rFonts w:ascii="仿宋" w:hAnsi="仿宋" w:eastAsia="仿宋"/>
          <w:color w:val="auto"/>
          <w:szCs w:val="21"/>
        </w:rPr>
      </w:pPr>
      <w:r>
        <w:rPr>
          <w:rFonts w:ascii="仿宋" w:hAnsi="仿宋" w:eastAsia="仿宋"/>
          <w:color w:val="auto"/>
          <w:szCs w:val="21"/>
        </w:rPr>
        <w:t>4</w:t>
      </w:r>
      <w:r>
        <w:rPr>
          <w:rFonts w:hint="eastAsia" w:ascii="仿宋" w:hAnsi="仿宋" w:eastAsia="仿宋"/>
          <w:color w:val="auto"/>
          <w:szCs w:val="21"/>
        </w:rPr>
        <w:t>.3经投标人确认修正后的报价作为签订合同的依据，并以此报价计算价格分。</w:t>
      </w:r>
    </w:p>
    <w:p w14:paraId="1BE995EA">
      <w:pPr>
        <w:pStyle w:val="7"/>
        <w:keepNext w:val="0"/>
        <w:keepLines w:val="0"/>
        <w:spacing w:before="0" w:after="0" w:line="360" w:lineRule="auto"/>
        <w:ind w:left="420" w:leftChars="200"/>
        <w:rPr>
          <w:rFonts w:ascii="仿宋" w:hAnsi="仿宋" w:eastAsia="仿宋"/>
          <w:color w:val="auto"/>
          <w:sz w:val="21"/>
          <w:szCs w:val="21"/>
        </w:rPr>
      </w:pPr>
      <w:r>
        <w:rPr>
          <w:rFonts w:ascii="仿宋" w:hAnsi="仿宋" w:eastAsia="仿宋"/>
          <w:color w:val="auto"/>
          <w:sz w:val="21"/>
          <w:szCs w:val="21"/>
        </w:rPr>
        <w:t>5.</w:t>
      </w:r>
      <w:r>
        <w:rPr>
          <w:rFonts w:hint="eastAsia" w:ascii="仿宋" w:hAnsi="仿宋" w:eastAsia="仿宋"/>
          <w:color w:val="auto"/>
          <w:sz w:val="21"/>
          <w:szCs w:val="21"/>
        </w:rPr>
        <w:t>比较与评价</w:t>
      </w:r>
    </w:p>
    <w:p w14:paraId="33776D88">
      <w:pPr>
        <w:snapToGrid w:val="0"/>
        <w:spacing w:line="360" w:lineRule="auto"/>
        <w:ind w:firstLine="420" w:firstLineChars="200"/>
        <w:rPr>
          <w:rFonts w:ascii="仿宋" w:hAnsi="仿宋" w:eastAsia="仿宋"/>
          <w:color w:val="auto"/>
          <w:szCs w:val="21"/>
        </w:rPr>
      </w:pPr>
      <w:r>
        <w:rPr>
          <w:rFonts w:hint="eastAsia" w:ascii="仿宋" w:hAnsi="仿宋" w:eastAsia="仿宋"/>
          <w:color w:val="auto"/>
          <w:szCs w:val="21"/>
        </w:rPr>
        <w:t>5.1采用综合评分法的</w:t>
      </w:r>
    </w:p>
    <w:p w14:paraId="3D62C009">
      <w:pPr>
        <w:snapToGrid w:val="0"/>
        <w:spacing w:line="360" w:lineRule="auto"/>
        <w:ind w:firstLine="420" w:firstLineChars="200"/>
        <w:rPr>
          <w:rFonts w:ascii="仿宋" w:hAnsi="仿宋" w:eastAsia="仿宋"/>
          <w:color w:val="auto"/>
          <w:szCs w:val="21"/>
        </w:rPr>
      </w:pPr>
      <w:r>
        <w:rPr>
          <w:rFonts w:hint="eastAsia" w:ascii="仿宋" w:hAnsi="仿宋" w:eastAsia="仿宋"/>
          <w:color w:val="auto"/>
          <w:szCs w:val="21"/>
        </w:rPr>
        <w:t>（1）评标委员会按照招标文件中规定的评标方法及评标标准，对符合性审查合格的投标文件进行商务和技术评估，综合比较与评价。</w:t>
      </w:r>
    </w:p>
    <w:p w14:paraId="07CD2675">
      <w:pPr>
        <w:snapToGrid w:val="0"/>
        <w:spacing w:line="360" w:lineRule="auto"/>
        <w:ind w:firstLine="420" w:firstLineChars="200"/>
        <w:rPr>
          <w:rFonts w:ascii="仿宋" w:hAnsi="仿宋" w:eastAsia="仿宋"/>
          <w:color w:val="auto"/>
          <w:szCs w:val="21"/>
        </w:rPr>
      </w:pPr>
      <w:r>
        <w:rPr>
          <w:rFonts w:hint="eastAsia" w:ascii="仿宋" w:hAnsi="仿宋" w:eastAsia="仿宋"/>
          <w:color w:val="auto"/>
          <w:szCs w:val="21"/>
        </w:rPr>
        <w:t>（2）评标委员会独立对每个投标人的投标文件进行评价，并汇总每个投标人的得分。</w:t>
      </w:r>
    </w:p>
    <w:p w14:paraId="67EB7AA3">
      <w:pPr>
        <w:snapToGrid w:val="0"/>
        <w:spacing w:line="360" w:lineRule="auto"/>
        <w:ind w:firstLine="420" w:firstLineChars="200"/>
        <w:rPr>
          <w:rFonts w:ascii="仿宋" w:hAnsi="仿宋" w:eastAsia="仿宋"/>
          <w:color w:val="auto"/>
          <w:szCs w:val="21"/>
        </w:rPr>
      </w:pPr>
      <w:r>
        <w:rPr>
          <w:rFonts w:hint="eastAsia" w:ascii="仿宋" w:hAnsi="仿宋" w:eastAsia="仿宋"/>
          <w:color w:val="auto"/>
          <w:szCs w:val="21"/>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仿宋" w:hAnsi="仿宋" w:eastAsia="仿宋"/>
          <w:b/>
          <w:color w:val="auto"/>
          <w:szCs w:val="21"/>
        </w:rPr>
        <w:t>投标人不能证明其报价合理性的，评标委员会将其作为无效投标处理</w:t>
      </w:r>
      <w:r>
        <w:rPr>
          <w:rFonts w:hint="eastAsia" w:ascii="仿宋" w:hAnsi="仿宋" w:eastAsia="仿宋"/>
          <w:color w:val="auto"/>
          <w:szCs w:val="21"/>
        </w:rPr>
        <w:t>。</w:t>
      </w:r>
    </w:p>
    <w:p w14:paraId="473E4A20">
      <w:pPr>
        <w:snapToGrid w:val="0"/>
        <w:spacing w:line="360" w:lineRule="auto"/>
        <w:ind w:firstLine="420" w:firstLineChars="200"/>
        <w:rPr>
          <w:rFonts w:ascii="仿宋" w:hAnsi="仿宋" w:eastAsia="仿宋"/>
          <w:color w:val="auto"/>
          <w:szCs w:val="21"/>
        </w:rPr>
      </w:pPr>
      <w:r>
        <w:rPr>
          <w:rFonts w:hint="eastAsia" w:ascii="仿宋" w:hAnsi="仿宋" w:eastAsia="仿宋"/>
          <w:color w:val="auto"/>
          <w:szCs w:val="21"/>
        </w:rPr>
        <w:t>（3）评标委员会按照招标文件中规定的评标方法和标准计算各投标人的报价得分。在计算过程中，不得去掉最高报价或者最低报价。</w:t>
      </w:r>
    </w:p>
    <w:p w14:paraId="7B5AB5D8">
      <w:pPr>
        <w:snapToGrid w:val="0"/>
        <w:spacing w:line="360" w:lineRule="auto"/>
        <w:ind w:firstLine="420" w:firstLineChars="200"/>
        <w:rPr>
          <w:rFonts w:ascii="仿宋" w:hAnsi="仿宋" w:eastAsia="仿宋"/>
          <w:color w:val="auto"/>
          <w:szCs w:val="21"/>
        </w:rPr>
      </w:pPr>
      <w:r>
        <w:rPr>
          <w:rFonts w:hint="eastAsia" w:ascii="仿宋" w:hAnsi="仿宋" w:eastAsia="仿宋"/>
          <w:color w:val="auto"/>
          <w:szCs w:val="21"/>
        </w:rPr>
        <w:t>（4）各投标人的得分为所有评标委员会的有效评分的算术平均数。</w:t>
      </w:r>
    </w:p>
    <w:p w14:paraId="1BE8A798">
      <w:pPr>
        <w:snapToGrid w:val="0"/>
        <w:spacing w:line="360" w:lineRule="auto"/>
        <w:ind w:firstLine="420" w:firstLineChars="200"/>
        <w:rPr>
          <w:rFonts w:ascii="仿宋" w:hAnsi="仿宋" w:eastAsia="仿宋"/>
          <w:color w:val="auto"/>
          <w:szCs w:val="21"/>
        </w:rPr>
      </w:pPr>
      <w:r>
        <w:rPr>
          <w:rFonts w:hint="eastAsia" w:ascii="仿宋" w:hAnsi="仿宋" w:eastAsia="仿宋"/>
          <w:color w:val="auto"/>
          <w:szCs w:val="21"/>
        </w:rPr>
        <w:t>（5）评标委员会按照招标文件中的规定推荐中标候选人。</w:t>
      </w:r>
    </w:p>
    <w:p w14:paraId="35B0CA26">
      <w:pPr>
        <w:snapToGrid w:val="0"/>
        <w:spacing w:line="360" w:lineRule="auto"/>
        <w:ind w:firstLine="420" w:firstLineChars="200"/>
        <w:rPr>
          <w:rFonts w:ascii="仿宋" w:hAnsi="仿宋" w:eastAsia="仿宋"/>
          <w:color w:val="auto"/>
          <w:szCs w:val="21"/>
        </w:rPr>
      </w:pPr>
      <w:r>
        <w:rPr>
          <w:rFonts w:hint="eastAsia" w:ascii="仿宋" w:hAnsi="仿宋" w:eastAsia="仿宋"/>
          <w:color w:val="auto"/>
          <w:szCs w:val="21"/>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364713B4">
      <w:pPr>
        <w:snapToGrid w:val="0"/>
        <w:spacing w:line="360" w:lineRule="auto"/>
        <w:ind w:firstLine="420" w:firstLineChars="200"/>
        <w:rPr>
          <w:rFonts w:ascii="仿宋" w:hAnsi="仿宋" w:eastAsia="仿宋"/>
          <w:color w:val="auto"/>
          <w:szCs w:val="21"/>
        </w:rPr>
      </w:pPr>
      <w:r>
        <w:rPr>
          <w:rFonts w:hint="eastAsia" w:ascii="仿宋" w:hAnsi="仿宋" w:eastAsia="仿宋"/>
          <w:color w:val="auto"/>
          <w:szCs w:val="21"/>
        </w:rPr>
        <w:t>5.2采用</w:t>
      </w:r>
      <w:r>
        <w:rPr>
          <w:rFonts w:hint="eastAsia" w:ascii="仿宋" w:hAnsi="仿宋" w:eastAsia="仿宋"/>
          <w:color w:val="auto"/>
        </w:rPr>
        <w:t>最低评标价法</w:t>
      </w:r>
      <w:r>
        <w:rPr>
          <w:rFonts w:hint="eastAsia" w:ascii="仿宋" w:hAnsi="仿宋" w:eastAsia="仿宋"/>
          <w:color w:val="auto"/>
          <w:szCs w:val="21"/>
        </w:rPr>
        <w:t>的</w:t>
      </w:r>
    </w:p>
    <w:p w14:paraId="6349A4E7">
      <w:pPr>
        <w:snapToGrid w:val="0"/>
        <w:spacing w:line="360" w:lineRule="auto"/>
        <w:ind w:firstLine="424" w:firstLineChars="202"/>
        <w:jc w:val="left"/>
        <w:rPr>
          <w:rFonts w:ascii="仿宋" w:hAnsi="仿宋" w:eastAsia="仿宋"/>
          <w:color w:val="auto"/>
          <w:szCs w:val="21"/>
        </w:rPr>
      </w:pPr>
      <w:r>
        <w:rPr>
          <w:rFonts w:hint="eastAsia" w:ascii="仿宋" w:hAnsi="仿宋" w:eastAsia="仿宋"/>
          <w:color w:val="auto"/>
          <w:szCs w:val="21"/>
        </w:rPr>
        <w:t>（1）评标委员会按照招标文件中规定的评标方法及评标标准，对符合性审查合格的投标文件报价进行比较。</w:t>
      </w:r>
    </w:p>
    <w:p w14:paraId="206F1ED4">
      <w:pPr>
        <w:snapToGrid w:val="0"/>
        <w:spacing w:line="360" w:lineRule="auto"/>
        <w:ind w:firstLine="399" w:firstLineChars="202"/>
        <w:jc w:val="left"/>
        <w:rPr>
          <w:rFonts w:ascii="仿宋" w:hAnsi="仿宋" w:eastAsia="仿宋"/>
          <w:color w:val="auto"/>
          <w:spacing w:val="-6"/>
          <w:szCs w:val="21"/>
        </w:rPr>
      </w:pPr>
      <w:r>
        <w:rPr>
          <w:rFonts w:hint="eastAsia" w:ascii="仿宋" w:hAnsi="仿宋" w:eastAsia="仿宋"/>
          <w:color w:val="auto"/>
          <w:spacing w:val="-6"/>
          <w:szCs w:val="21"/>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仿宋" w:hAnsi="仿宋" w:eastAsia="仿宋"/>
          <w:b/>
          <w:color w:val="auto"/>
          <w:spacing w:val="-6"/>
          <w:szCs w:val="21"/>
        </w:rPr>
        <w:t>投标人不能证明其报价合理性的，评标委员会将其作为无效投标处理</w:t>
      </w:r>
      <w:r>
        <w:rPr>
          <w:rFonts w:hint="eastAsia" w:ascii="仿宋" w:hAnsi="仿宋" w:eastAsia="仿宋"/>
          <w:color w:val="auto"/>
          <w:spacing w:val="-6"/>
          <w:szCs w:val="21"/>
        </w:rPr>
        <w:t>。</w:t>
      </w:r>
    </w:p>
    <w:p w14:paraId="7B133D85">
      <w:pPr>
        <w:snapToGrid w:val="0"/>
        <w:spacing w:line="360" w:lineRule="auto"/>
        <w:ind w:firstLine="424" w:firstLineChars="202"/>
        <w:jc w:val="left"/>
        <w:rPr>
          <w:rFonts w:ascii="仿宋" w:hAnsi="仿宋" w:eastAsia="仿宋"/>
          <w:color w:val="auto"/>
          <w:szCs w:val="21"/>
        </w:rPr>
      </w:pPr>
      <w:r>
        <w:rPr>
          <w:rFonts w:hint="eastAsia" w:ascii="仿宋" w:hAnsi="仿宋" w:eastAsia="仿宋"/>
          <w:color w:val="auto"/>
          <w:szCs w:val="21"/>
        </w:rPr>
        <w:t>（3）评标委员会按照招标文件中的规定推荐中标候选人。</w:t>
      </w:r>
    </w:p>
    <w:p w14:paraId="1C07DAAA">
      <w:pPr>
        <w:snapToGrid w:val="0"/>
        <w:spacing w:line="360" w:lineRule="auto"/>
        <w:ind w:firstLine="424" w:firstLineChars="202"/>
        <w:jc w:val="left"/>
        <w:rPr>
          <w:rFonts w:ascii="仿宋" w:hAnsi="仿宋" w:eastAsia="仿宋"/>
          <w:color w:val="auto"/>
          <w:szCs w:val="21"/>
        </w:rPr>
      </w:pPr>
      <w:r>
        <w:rPr>
          <w:rFonts w:hint="eastAsia" w:ascii="仿宋" w:hAnsi="仿宋" w:eastAsia="仿宋"/>
          <w:color w:val="auto"/>
          <w:szCs w:val="21"/>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12194A44">
      <w:pPr>
        <w:snapToGrid w:val="0"/>
        <w:spacing w:line="360" w:lineRule="auto"/>
        <w:jc w:val="center"/>
        <w:rPr>
          <w:rFonts w:ascii="仿宋" w:hAnsi="仿宋" w:eastAsia="仿宋"/>
          <w:color w:val="auto"/>
        </w:rPr>
      </w:pPr>
      <w:r>
        <w:rPr>
          <w:rFonts w:ascii="仿宋" w:hAnsi="仿宋" w:eastAsia="仿宋"/>
          <w:color w:val="auto"/>
        </w:rPr>
        <w:br w:type="page"/>
      </w:r>
      <w:r>
        <w:rPr>
          <w:rFonts w:ascii="仿宋" w:hAnsi="仿宋" w:eastAsia="仿宋" w:cs="宋体"/>
          <w:b/>
          <w:bCs/>
          <w:color w:val="auto"/>
          <w:sz w:val="32"/>
          <w:szCs w:val="32"/>
        </w:rPr>
        <w:t>三</w:t>
      </w:r>
      <w:r>
        <w:rPr>
          <w:rFonts w:hint="eastAsia" w:ascii="仿宋" w:hAnsi="仿宋" w:eastAsia="仿宋" w:cs="宋体"/>
          <w:b/>
          <w:bCs/>
          <w:color w:val="auto"/>
          <w:sz w:val="32"/>
          <w:szCs w:val="32"/>
        </w:rPr>
        <w:t>、评标标准</w:t>
      </w:r>
    </w:p>
    <w:p w14:paraId="3A33A2E2">
      <w:pPr>
        <w:pStyle w:val="5"/>
        <w:keepNext w:val="0"/>
        <w:keepLines w:val="0"/>
        <w:spacing w:before="0" w:after="0"/>
        <w:jc w:val="center"/>
        <w:rPr>
          <w:rFonts w:ascii="仿宋" w:hAnsi="仿宋" w:eastAsia="仿宋"/>
          <w:color w:val="auto"/>
        </w:rPr>
      </w:pPr>
      <w:r>
        <w:rPr>
          <w:rFonts w:hint="eastAsia" w:ascii="仿宋" w:hAnsi="仿宋" w:eastAsia="仿宋"/>
          <w:color w:val="auto"/>
        </w:rPr>
        <w:t>综合评分法</w:t>
      </w:r>
    </w:p>
    <w:p w14:paraId="724C34C4">
      <w:pPr>
        <w:jc w:val="center"/>
        <w:rPr>
          <w:rFonts w:ascii="仿宋" w:hAnsi="仿宋" w:eastAsia="仿宋"/>
          <w:b/>
          <w:bCs/>
          <w:color w:val="auto"/>
          <w:kern w:val="0"/>
          <w:sz w:val="28"/>
          <w:szCs w:val="28"/>
        </w:rPr>
      </w:pPr>
      <w:r>
        <w:rPr>
          <w:rFonts w:hint="eastAsia" w:ascii="仿宋" w:hAnsi="仿宋" w:eastAsia="仿宋"/>
          <w:b/>
          <w:bCs/>
          <w:color w:val="auto"/>
          <w:kern w:val="0"/>
          <w:sz w:val="28"/>
          <w:szCs w:val="28"/>
        </w:rPr>
        <w:t>评标标准</w:t>
      </w:r>
    </w:p>
    <w:p w14:paraId="03ACE6C2">
      <w:pPr>
        <w:jc w:val="center"/>
        <w:rPr>
          <w:rFonts w:ascii="仿宋" w:hAnsi="仿宋" w:eastAsia="仿宋"/>
          <w:b/>
          <w:bCs/>
          <w:color w:val="auto"/>
          <w:kern w:val="0"/>
          <w:sz w:val="28"/>
          <w:szCs w:val="28"/>
        </w:rPr>
      </w:pPr>
    </w:p>
    <w:p w14:paraId="2F741010">
      <w:pPr>
        <w:pStyle w:val="57"/>
        <w:rPr>
          <w:rFonts w:hint="default" w:eastAsia="宋体"/>
          <w:lang w:val="en-US" w:eastAsia="zh-CN"/>
        </w:rPr>
      </w:pPr>
      <w:r>
        <w:rPr>
          <w:rFonts w:hint="eastAsia"/>
          <w:lang w:val="en-US" w:eastAsia="zh-CN"/>
        </w:rPr>
        <w:t>分标1：</w:t>
      </w:r>
    </w:p>
    <w:p w14:paraId="0B1C493F">
      <w:pPr>
        <w:jc w:val="center"/>
        <w:rPr>
          <w:rFonts w:ascii="仿宋" w:hAnsi="仿宋" w:eastAsia="仿宋"/>
          <w:b/>
          <w:bCs/>
          <w:color w:val="auto"/>
          <w:kern w:val="0"/>
          <w:sz w:val="28"/>
          <w:szCs w:val="28"/>
        </w:rPr>
      </w:pPr>
    </w:p>
    <w:tbl>
      <w:tblPr>
        <w:tblStyle w:val="47"/>
        <w:tblW w:w="9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280"/>
        <w:gridCol w:w="709"/>
        <w:gridCol w:w="1559"/>
        <w:gridCol w:w="5599"/>
      </w:tblGrid>
      <w:tr w14:paraId="0B57B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30" w:type="dxa"/>
            <w:shd w:val="clear" w:color="auto" w:fill="auto"/>
            <w:noWrap/>
            <w:vAlign w:val="center"/>
          </w:tcPr>
          <w:p w14:paraId="22DBC3B2">
            <w:pPr>
              <w:adjustRightInd w:val="0"/>
              <w:spacing w:line="420" w:lineRule="exact"/>
              <w:jc w:val="center"/>
              <w:textAlignment w:val="baseline"/>
              <w:rPr>
                <w:rFonts w:ascii="仿宋" w:hAnsi="仿宋" w:eastAsia="仿宋" w:cs="仿宋"/>
                <w:b/>
                <w:color w:val="auto"/>
                <w:szCs w:val="21"/>
              </w:rPr>
            </w:pPr>
            <w:r>
              <w:rPr>
                <w:rFonts w:hint="eastAsia" w:ascii="仿宋" w:hAnsi="仿宋" w:eastAsia="仿宋" w:cs="仿宋"/>
                <w:b/>
                <w:color w:val="auto"/>
                <w:szCs w:val="21"/>
              </w:rPr>
              <w:t>序号</w:t>
            </w:r>
          </w:p>
        </w:tc>
        <w:tc>
          <w:tcPr>
            <w:tcW w:w="1280" w:type="dxa"/>
            <w:shd w:val="clear" w:color="auto" w:fill="auto"/>
            <w:noWrap/>
            <w:vAlign w:val="center"/>
          </w:tcPr>
          <w:p w14:paraId="6F9D189F">
            <w:pPr>
              <w:adjustRightInd w:val="0"/>
              <w:spacing w:line="420" w:lineRule="exact"/>
              <w:jc w:val="center"/>
              <w:textAlignment w:val="baseline"/>
              <w:rPr>
                <w:rFonts w:ascii="仿宋" w:hAnsi="仿宋" w:eastAsia="仿宋" w:cs="仿宋"/>
                <w:color w:val="auto"/>
                <w:szCs w:val="21"/>
              </w:rPr>
            </w:pPr>
            <w:r>
              <w:rPr>
                <w:rFonts w:hint="eastAsia" w:ascii="仿宋" w:hAnsi="仿宋" w:eastAsia="仿宋" w:cs="仿宋"/>
                <w:b/>
                <w:color w:val="auto"/>
                <w:szCs w:val="21"/>
              </w:rPr>
              <w:t>评审因素</w:t>
            </w:r>
          </w:p>
        </w:tc>
        <w:tc>
          <w:tcPr>
            <w:tcW w:w="709" w:type="dxa"/>
            <w:shd w:val="clear" w:color="auto" w:fill="auto"/>
            <w:noWrap/>
            <w:vAlign w:val="center"/>
          </w:tcPr>
          <w:p w14:paraId="5EE3A133">
            <w:pPr>
              <w:adjustRightInd w:val="0"/>
              <w:spacing w:line="420" w:lineRule="exact"/>
              <w:jc w:val="center"/>
              <w:textAlignment w:val="baseline"/>
              <w:rPr>
                <w:rFonts w:ascii="仿宋" w:hAnsi="仿宋" w:eastAsia="仿宋" w:cs="仿宋"/>
                <w:b/>
                <w:color w:val="auto"/>
                <w:szCs w:val="21"/>
              </w:rPr>
            </w:pPr>
            <w:r>
              <w:rPr>
                <w:rFonts w:hint="eastAsia" w:ascii="仿宋" w:hAnsi="仿宋" w:eastAsia="仿宋" w:cs="仿宋"/>
                <w:b/>
                <w:color w:val="auto"/>
                <w:szCs w:val="21"/>
              </w:rPr>
              <w:t>分值</w:t>
            </w:r>
          </w:p>
        </w:tc>
        <w:tc>
          <w:tcPr>
            <w:tcW w:w="7158" w:type="dxa"/>
            <w:gridSpan w:val="2"/>
            <w:shd w:val="clear" w:color="auto" w:fill="auto"/>
            <w:noWrap/>
            <w:vAlign w:val="center"/>
          </w:tcPr>
          <w:p w14:paraId="6B34821D">
            <w:pPr>
              <w:adjustRightInd w:val="0"/>
              <w:spacing w:line="420" w:lineRule="exact"/>
              <w:jc w:val="center"/>
              <w:textAlignment w:val="baseline"/>
              <w:rPr>
                <w:rFonts w:ascii="仿宋" w:hAnsi="仿宋" w:eastAsia="仿宋" w:cs="仿宋"/>
                <w:b/>
                <w:color w:val="auto"/>
                <w:szCs w:val="21"/>
              </w:rPr>
            </w:pPr>
            <w:r>
              <w:rPr>
                <w:rFonts w:hint="eastAsia" w:ascii="仿宋" w:hAnsi="仿宋" w:eastAsia="仿宋" w:cs="仿宋"/>
                <w:b/>
                <w:color w:val="auto"/>
                <w:szCs w:val="21"/>
              </w:rPr>
              <w:t>评标标准</w:t>
            </w:r>
          </w:p>
        </w:tc>
      </w:tr>
      <w:tr w14:paraId="4522F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shd w:val="clear" w:color="auto" w:fill="auto"/>
            <w:noWrap/>
            <w:vAlign w:val="center"/>
          </w:tcPr>
          <w:p w14:paraId="0BA090AF">
            <w:pPr>
              <w:adjustRightInd w:val="0"/>
              <w:spacing w:line="420" w:lineRule="exact"/>
              <w:jc w:val="center"/>
              <w:textAlignment w:val="baseline"/>
              <w:rPr>
                <w:rFonts w:ascii="仿宋" w:hAnsi="仿宋" w:eastAsia="仿宋" w:cs="仿宋"/>
                <w:b/>
                <w:color w:val="auto"/>
                <w:szCs w:val="21"/>
              </w:rPr>
            </w:pPr>
            <w:r>
              <w:rPr>
                <w:rFonts w:hint="eastAsia" w:ascii="仿宋" w:hAnsi="仿宋" w:eastAsia="仿宋" w:cs="仿宋"/>
                <w:b/>
                <w:color w:val="auto"/>
                <w:szCs w:val="21"/>
              </w:rPr>
              <w:t>1</w:t>
            </w:r>
          </w:p>
        </w:tc>
        <w:tc>
          <w:tcPr>
            <w:tcW w:w="1280" w:type="dxa"/>
            <w:shd w:val="clear" w:color="auto" w:fill="auto"/>
            <w:noWrap/>
            <w:vAlign w:val="center"/>
          </w:tcPr>
          <w:p w14:paraId="167D9586">
            <w:pPr>
              <w:adjustRightInd w:val="0"/>
              <w:spacing w:line="420" w:lineRule="exact"/>
              <w:jc w:val="center"/>
              <w:textAlignment w:val="baseline"/>
              <w:rPr>
                <w:rFonts w:ascii="仿宋" w:hAnsi="仿宋" w:eastAsia="仿宋" w:cs="仿宋"/>
                <w:b/>
                <w:color w:val="auto"/>
                <w:szCs w:val="21"/>
              </w:rPr>
            </w:pPr>
            <w:r>
              <w:rPr>
                <w:rFonts w:hint="eastAsia" w:ascii="仿宋" w:hAnsi="仿宋" w:eastAsia="仿宋" w:cs="仿宋"/>
                <w:b/>
                <w:color w:val="auto"/>
                <w:szCs w:val="21"/>
              </w:rPr>
              <w:t>投标报价</w:t>
            </w:r>
          </w:p>
        </w:tc>
        <w:tc>
          <w:tcPr>
            <w:tcW w:w="709" w:type="dxa"/>
            <w:shd w:val="clear" w:color="auto" w:fill="auto"/>
            <w:noWrap/>
            <w:vAlign w:val="center"/>
          </w:tcPr>
          <w:p w14:paraId="5A70AFA7">
            <w:pPr>
              <w:adjustRightInd w:val="0"/>
              <w:spacing w:line="420" w:lineRule="exact"/>
              <w:jc w:val="center"/>
              <w:textAlignment w:val="baseline"/>
              <w:rPr>
                <w:rFonts w:ascii="仿宋" w:hAnsi="仿宋" w:eastAsia="仿宋" w:cs="仿宋"/>
                <w:b/>
                <w:color w:val="auto"/>
                <w:szCs w:val="21"/>
              </w:rPr>
            </w:pPr>
            <w:r>
              <w:rPr>
                <w:rFonts w:hint="eastAsia" w:ascii="仿宋" w:hAnsi="仿宋" w:eastAsia="仿宋" w:cs="仿宋"/>
                <w:bCs/>
                <w:color w:val="auto"/>
                <w:szCs w:val="21"/>
              </w:rPr>
              <w:t>30分</w:t>
            </w:r>
          </w:p>
        </w:tc>
        <w:tc>
          <w:tcPr>
            <w:tcW w:w="7158" w:type="dxa"/>
            <w:gridSpan w:val="2"/>
            <w:shd w:val="clear" w:color="auto" w:fill="auto"/>
            <w:noWrap/>
            <w:vAlign w:val="center"/>
          </w:tcPr>
          <w:p w14:paraId="48EC537F">
            <w:pPr>
              <w:spacing w:line="420" w:lineRule="exact"/>
              <w:rPr>
                <w:rFonts w:hint="eastAsia" w:ascii="仿宋" w:hAnsi="仿宋" w:eastAsia="仿宋" w:cs="仿宋"/>
                <w:color w:val="auto"/>
                <w:szCs w:val="21"/>
              </w:rPr>
            </w:pPr>
            <w:r>
              <w:rPr>
                <w:rFonts w:hint="eastAsia" w:ascii="仿宋" w:hAnsi="仿宋" w:eastAsia="仿宋" w:cs="仿宋"/>
                <w:color w:val="auto"/>
                <w:szCs w:val="21"/>
              </w:rPr>
              <w:t>（1）评标报价为投标人的投标报价进行政策性扣除后的价格，评标报价只是作为评标时使用。最终中标人的中标金额等于投标报价。</w:t>
            </w:r>
          </w:p>
          <w:p w14:paraId="1D1F109C">
            <w:pPr>
              <w:spacing w:line="420" w:lineRule="exact"/>
              <w:rPr>
                <w:rFonts w:hint="eastAsia" w:ascii="仿宋" w:hAnsi="仿宋" w:eastAsia="仿宋" w:cs="仿宋"/>
                <w:color w:val="auto"/>
                <w:szCs w:val="21"/>
              </w:rPr>
            </w:pPr>
            <w:r>
              <w:rPr>
                <w:rFonts w:hint="eastAsia" w:ascii="仿宋" w:hAnsi="仿宋" w:eastAsia="仿宋" w:cs="仿宋"/>
                <w:color w:val="auto"/>
                <w:szCs w:val="21"/>
              </w:rPr>
              <w:t>（2）政策性扣除计算方法。</w:t>
            </w:r>
          </w:p>
          <w:p w14:paraId="72E0438B">
            <w:pPr>
              <w:spacing w:line="420" w:lineRule="exact"/>
              <w:rPr>
                <w:rFonts w:hint="eastAsia" w:ascii="仿宋" w:hAnsi="仿宋" w:eastAsia="仿宋" w:cs="仿宋"/>
                <w:color w:val="auto"/>
                <w:szCs w:val="21"/>
              </w:rPr>
            </w:pPr>
            <w:r>
              <w:rPr>
                <w:rFonts w:hint="eastAsia" w:ascii="仿宋" w:hAnsi="仿宋" w:eastAsia="仿宋" w:cs="仿宋"/>
                <w:color w:val="auto"/>
                <w:szCs w:val="21"/>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微企业制造的，对其投标报价给予10%（范围为10%-20%）的扣除，扣除后的价格为评标报价，即评标报价=投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范围为4%-6%）的扣除，用扣除后的价格参加评审，扣除后的价格为评标报价，即评标报价=投标报价×（1-4%）。除上述情况外，评标报价=投标报价。</w:t>
            </w:r>
          </w:p>
          <w:p w14:paraId="4C2426EE">
            <w:pPr>
              <w:spacing w:line="420" w:lineRule="exact"/>
              <w:rPr>
                <w:rFonts w:hint="eastAsia" w:ascii="仿宋" w:hAnsi="仿宋" w:eastAsia="仿宋" w:cs="仿宋"/>
                <w:color w:val="auto"/>
                <w:szCs w:val="21"/>
              </w:rPr>
            </w:pPr>
            <w:r>
              <w:rPr>
                <w:rFonts w:hint="eastAsia" w:ascii="仿宋" w:hAnsi="仿宋" w:eastAsia="仿宋" w:cs="仿宋"/>
                <w:color w:val="auto"/>
                <w:szCs w:val="21"/>
              </w:rPr>
              <w:t>（3）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089A5636">
            <w:pPr>
              <w:spacing w:line="420" w:lineRule="exact"/>
              <w:rPr>
                <w:rFonts w:hint="eastAsia" w:ascii="仿宋" w:hAnsi="仿宋" w:eastAsia="仿宋" w:cs="仿宋"/>
                <w:color w:val="auto"/>
                <w:szCs w:val="21"/>
              </w:rPr>
            </w:pPr>
            <w:r>
              <w:rPr>
                <w:rFonts w:hint="eastAsia" w:ascii="仿宋" w:hAnsi="仿宋" w:eastAsia="仿宋" w:cs="仿宋"/>
                <w:color w:val="auto"/>
                <w:szCs w:val="21"/>
              </w:rPr>
              <w:t>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37BA97C8">
            <w:pPr>
              <w:spacing w:line="420" w:lineRule="exact"/>
              <w:rPr>
                <w:rFonts w:hint="eastAsia" w:ascii="仿宋" w:hAnsi="仿宋" w:eastAsia="仿宋" w:cs="仿宋"/>
                <w:color w:val="auto"/>
                <w:szCs w:val="21"/>
              </w:rPr>
            </w:pPr>
            <w:r>
              <w:rPr>
                <w:rFonts w:hint="eastAsia" w:ascii="仿宋" w:hAnsi="仿宋" w:eastAsia="仿宋" w:cs="仿宋"/>
                <w:color w:val="auto"/>
                <w:szCs w:val="21"/>
              </w:rPr>
              <w:t>供应商在其投标文件中提供《关于符合本国产品标准的声明函》的，该产品视为本国产品。</w:t>
            </w:r>
          </w:p>
          <w:p w14:paraId="15B30141">
            <w:pPr>
              <w:spacing w:line="420" w:lineRule="exact"/>
              <w:rPr>
                <w:rFonts w:hint="eastAsia" w:ascii="仿宋" w:hAnsi="仿宋" w:eastAsia="仿宋" w:cs="仿宋"/>
                <w:color w:val="auto"/>
                <w:szCs w:val="21"/>
              </w:rPr>
            </w:pPr>
            <w:r>
              <w:rPr>
                <w:rFonts w:hint="eastAsia" w:ascii="仿宋" w:hAnsi="仿宋" w:eastAsia="仿宋" w:cs="仿宋"/>
                <w:color w:val="auto"/>
                <w:szCs w:val="21"/>
              </w:rPr>
              <w:t>（4）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5E235108">
            <w:pPr>
              <w:spacing w:line="420" w:lineRule="exact"/>
              <w:rPr>
                <w:rFonts w:hint="eastAsia" w:ascii="仿宋" w:hAnsi="仿宋" w:eastAsia="仿宋" w:cs="仿宋"/>
                <w:color w:val="auto"/>
                <w:szCs w:val="21"/>
              </w:rPr>
            </w:pPr>
            <w:r>
              <w:rPr>
                <w:rFonts w:hint="eastAsia" w:ascii="仿宋" w:hAnsi="仿宋" w:eastAsia="仿宋" w:cs="仿宋"/>
                <w:color w:val="auto"/>
                <w:szCs w:val="21"/>
              </w:rPr>
              <w:t>（5）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3DD2F20D">
            <w:pPr>
              <w:spacing w:line="420" w:lineRule="exact"/>
              <w:rPr>
                <w:rFonts w:hint="eastAsia" w:ascii="仿宋" w:hAnsi="仿宋" w:eastAsia="仿宋" w:cs="仿宋"/>
                <w:color w:val="auto"/>
                <w:szCs w:val="21"/>
              </w:rPr>
            </w:pPr>
            <w:r>
              <w:rPr>
                <w:rFonts w:hint="eastAsia" w:ascii="仿宋" w:hAnsi="仿宋" w:eastAsia="仿宋" w:cs="仿宋"/>
                <w:color w:val="auto"/>
                <w:szCs w:val="21"/>
              </w:rPr>
              <w:t>（6）中小企业折扣与本国产品折扣进行叠加计算，用扣除后的价格参加评审。即评审价=投标报价-中小企业折扣-本国产品折扣，除上述情况外，评审价=投标报价。</w:t>
            </w:r>
          </w:p>
          <w:p w14:paraId="7E69CC56">
            <w:pPr>
              <w:spacing w:line="420" w:lineRule="exact"/>
              <w:rPr>
                <w:rFonts w:hint="eastAsia" w:ascii="仿宋" w:hAnsi="仿宋" w:eastAsia="仿宋" w:cs="仿宋"/>
                <w:color w:val="auto"/>
                <w:szCs w:val="21"/>
              </w:rPr>
            </w:pPr>
            <w:r>
              <w:rPr>
                <w:rFonts w:hint="eastAsia" w:ascii="仿宋" w:hAnsi="仿宋" w:eastAsia="仿宋" w:cs="仿宋"/>
                <w:color w:val="auto"/>
                <w:szCs w:val="21"/>
              </w:rPr>
              <w:t>（7）满足招标文件要求且评标报价最低的评标报价为评标基准价，其价格分为满分。</w:t>
            </w:r>
          </w:p>
          <w:p w14:paraId="133498EF">
            <w:pPr>
              <w:spacing w:line="420" w:lineRule="exact"/>
              <w:rPr>
                <w:rFonts w:ascii="仿宋" w:hAnsi="仿宋" w:eastAsia="仿宋" w:cs="仿宋"/>
                <w:color w:val="auto"/>
                <w:szCs w:val="21"/>
              </w:rPr>
            </w:pPr>
            <w:r>
              <w:rPr>
                <w:rFonts w:hint="eastAsia" w:ascii="仿宋" w:hAnsi="仿宋" w:eastAsia="仿宋" w:cs="仿宋"/>
                <w:color w:val="auto"/>
                <w:szCs w:val="21"/>
              </w:rPr>
              <w:t>（8）价格分计算公式： 价格分=（评标基准价／评标报价）×30分</w:t>
            </w:r>
          </w:p>
        </w:tc>
      </w:tr>
      <w:tr w14:paraId="56F05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jc w:val="center"/>
        </w:trPr>
        <w:tc>
          <w:tcPr>
            <w:tcW w:w="730" w:type="dxa"/>
            <w:vMerge w:val="restart"/>
            <w:shd w:val="clear" w:color="auto" w:fill="auto"/>
            <w:noWrap/>
            <w:vAlign w:val="center"/>
          </w:tcPr>
          <w:p w14:paraId="445BBDC2">
            <w:pPr>
              <w:adjustRightInd w:val="0"/>
              <w:spacing w:line="420" w:lineRule="exact"/>
              <w:jc w:val="center"/>
              <w:textAlignment w:val="baseline"/>
              <w:rPr>
                <w:rFonts w:ascii="仿宋" w:hAnsi="仿宋" w:eastAsia="仿宋" w:cs="仿宋"/>
                <w:b/>
                <w:color w:val="auto"/>
                <w:szCs w:val="21"/>
              </w:rPr>
            </w:pPr>
            <w:r>
              <w:rPr>
                <w:rFonts w:hint="eastAsia" w:ascii="仿宋" w:hAnsi="仿宋" w:eastAsia="仿宋" w:cs="仿宋"/>
                <w:b/>
                <w:color w:val="auto"/>
                <w:szCs w:val="21"/>
              </w:rPr>
              <w:t>2</w:t>
            </w:r>
          </w:p>
        </w:tc>
        <w:tc>
          <w:tcPr>
            <w:tcW w:w="1280" w:type="dxa"/>
            <w:vMerge w:val="restart"/>
            <w:shd w:val="clear" w:color="auto" w:fill="auto"/>
            <w:noWrap/>
            <w:vAlign w:val="center"/>
          </w:tcPr>
          <w:p w14:paraId="44CAB09A">
            <w:pPr>
              <w:adjustRightInd w:val="0"/>
              <w:spacing w:line="420" w:lineRule="exact"/>
              <w:jc w:val="center"/>
              <w:textAlignment w:val="baseline"/>
              <w:rPr>
                <w:rFonts w:ascii="仿宋" w:hAnsi="仿宋" w:eastAsia="仿宋" w:cs="仿宋"/>
                <w:b/>
                <w:color w:val="auto"/>
                <w:szCs w:val="21"/>
              </w:rPr>
            </w:pPr>
            <w:r>
              <w:rPr>
                <w:rFonts w:hint="eastAsia" w:ascii="仿宋" w:hAnsi="仿宋" w:eastAsia="仿宋" w:cs="仿宋"/>
                <w:b/>
                <w:color w:val="auto"/>
                <w:szCs w:val="21"/>
              </w:rPr>
              <w:t>技术分</w:t>
            </w:r>
          </w:p>
        </w:tc>
        <w:tc>
          <w:tcPr>
            <w:tcW w:w="709" w:type="dxa"/>
            <w:vMerge w:val="restart"/>
            <w:shd w:val="clear" w:color="auto" w:fill="auto"/>
            <w:noWrap/>
            <w:vAlign w:val="center"/>
          </w:tcPr>
          <w:p w14:paraId="4FC2C19B">
            <w:pPr>
              <w:adjustRightInd w:val="0"/>
              <w:spacing w:line="420" w:lineRule="exact"/>
              <w:jc w:val="center"/>
              <w:textAlignment w:val="baseline"/>
              <w:rPr>
                <w:rFonts w:ascii="仿宋" w:hAnsi="仿宋" w:eastAsia="仿宋" w:cs="仿宋"/>
                <w:b/>
                <w:color w:val="auto"/>
                <w:szCs w:val="21"/>
              </w:rPr>
            </w:pPr>
            <w:r>
              <w:rPr>
                <w:rFonts w:hint="eastAsia" w:ascii="仿宋" w:hAnsi="仿宋" w:eastAsia="仿宋" w:cs="仿宋"/>
                <w:b/>
                <w:color w:val="auto"/>
                <w:szCs w:val="21"/>
                <w:lang w:val="en-US" w:eastAsia="zh-CN"/>
              </w:rPr>
              <w:t>51</w:t>
            </w:r>
            <w:r>
              <w:rPr>
                <w:rFonts w:hint="eastAsia" w:ascii="仿宋" w:hAnsi="仿宋" w:eastAsia="仿宋" w:cs="仿宋"/>
                <w:b/>
                <w:color w:val="auto"/>
                <w:szCs w:val="21"/>
              </w:rPr>
              <w:t>分</w:t>
            </w:r>
          </w:p>
        </w:tc>
        <w:tc>
          <w:tcPr>
            <w:tcW w:w="1559" w:type="dxa"/>
            <w:shd w:val="clear" w:color="auto" w:fill="auto"/>
            <w:noWrap/>
            <w:vAlign w:val="center"/>
          </w:tcPr>
          <w:p w14:paraId="3890AD4E">
            <w:pPr>
              <w:spacing w:line="420" w:lineRule="exact"/>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2.1基本分</w:t>
            </w:r>
          </w:p>
          <w:p w14:paraId="63B764DF">
            <w:pPr>
              <w:spacing w:line="420" w:lineRule="exact"/>
              <w:jc w:val="center"/>
              <w:rPr>
                <w:rFonts w:ascii="仿宋" w:hAnsi="仿宋" w:eastAsia="仿宋" w:cs="仿宋"/>
                <w:bCs/>
                <w:color w:val="auto"/>
                <w:szCs w:val="21"/>
                <w:highlight w:val="none"/>
              </w:rPr>
            </w:pPr>
            <w:r>
              <w:rPr>
                <w:rFonts w:hint="eastAsia" w:ascii="仿宋" w:hAnsi="仿宋" w:eastAsia="仿宋" w:cs="仿宋"/>
                <w:b/>
                <w:color w:val="auto"/>
                <w:szCs w:val="21"/>
                <w:highlight w:val="none"/>
              </w:rPr>
              <w:t>（满分</w:t>
            </w:r>
            <w:r>
              <w:rPr>
                <w:rFonts w:hint="eastAsia" w:ascii="仿宋" w:hAnsi="仿宋" w:eastAsia="仿宋" w:cs="仿宋"/>
                <w:b/>
                <w:color w:val="auto"/>
                <w:szCs w:val="21"/>
                <w:highlight w:val="none"/>
                <w:lang w:val="en-US" w:eastAsia="zh-CN"/>
              </w:rPr>
              <w:t>5</w:t>
            </w:r>
            <w:r>
              <w:rPr>
                <w:rFonts w:hint="eastAsia" w:ascii="仿宋" w:hAnsi="仿宋" w:eastAsia="仿宋" w:cs="仿宋"/>
                <w:b/>
                <w:color w:val="auto"/>
                <w:szCs w:val="21"/>
                <w:highlight w:val="none"/>
              </w:rPr>
              <w:t>分）</w:t>
            </w:r>
          </w:p>
        </w:tc>
        <w:tc>
          <w:tcPr>
            <w:tcW w:w="5599" w:type="dxa"/>
            <w:shd w:val="clear" w:color="auto" w:fill="auto"/>
            <w:noWrap/>
            <w:vAlign w:val="center"/>
          </w:tcPr>
          <w:p w14:paraId="4F0ED8D3">
            <w:pPr>
              <w:pStyle w:val="19"/>
              <w:ind w:firstLine="420" w:firstLineChars="200"/>
              <w:rPr>
                <w:rFonts w:ascii="仿宋" w:hAnsi="仿宋" w:eastAsia="仿宋" w:cs="仿宋"/>
                <w:bCs/>
                <w:color w:val="auto"/>
                <w:kern w:val="2"/>
                <w:sz w:val="21"/>
                <w:szCs w:val="21"/>
                <w:highlight w:val="none"/>
              </w:rPr>
            </w:pPr>
            <w:r>
              <w:rPr>
                <w:rFonts w:hint="eastAsia" w:ascii="仿宋" w:hAnsi="仿宋" w:eastAsia="仿宋" w:cs="仿宋"/>
                <w:bCs/>
                <w:color w:val="auto"/>
                <w:kern w:val="2"/>
                <w:sz w:val="21"/>
                <w:szCs w:val="21"/>
                <w:highlight w:val="none"/>
              </w:rPr>
              <w:t>技术参数</w:t>
            </w:r>
            <w:r>
              <w:rPr>
                <w:rFonts w:hint="eastAsia" w:ascii="仿宋" w:hAnsi="仿宋" w:eastAsia="仿宋" w:cs="仿宋"/>
                <w:bCs/>
                <w:color w:val="auto"/>
                <w:kern w:val="2"/>
                <w:sz w:val="21"/>
                <w:szCs w:val="21"/>
                <w:highlight w:val="none"/>
                <w:lang w:val="en-US" w:eastAsia="zh-CN"/>
              </w:rPr>
              <w:t>实质性</w:t>
            </w:r>
            <w:r>
              <w:rPr>
                <w:rFonts w:hint="eastAsia" w:ascii="仿宋" w:hAnsi="仿宋" w:eastAsia="仿宋" w:cs="仿宋"/>
                <w:bCs/>
                <w:color w:val="auto"/>
                <w:kern w:val="2"/>
                <w:sz w:val="21"/>
                <w:szCs w:val="21"/>
                <w:highlight w:val="none"/>
              </w:rPr>
              <w:t>满足招标文件要求得</w:t>
            </w:r>
            <w:r>
              <w:rPr>
                <w:rFonts w:hint="eastAsia" w:ascii="仿宋" w:hAnsi="仿宋" w:eastAsia="仿宋" w:cs="仿宋"/>
                <w:bCs/>
                <w:color w:val="auto"/>
                <w:kern w:val="2"/>
                <w:sz w:val="21"/>
                <w:szCs w:val="21"/>
                <w:highlight w:val="none"/>
                <w:lang w:val="en-US" w:eastAsia="zh-CN"/>
              </w:rPr>
              <w:t>5</w:t>
            </w:r>
            <w:r>
              <w:rPr>
                <w:rFonts w:hint="eastAsia" w:ascii="仿宋" w:hAnsi="仿宋" w:eastAsia="仿宋" w:cs="仿宋"/>
                <w:bCs/>
                <w:color w:val="auto"/>
                <w:kern w:val="2"/>
                <w:sz w:val="21"/>
                <w:szCs w:val="21"/>
                <w:highlight w:val="none"/>
              </w:rPr>
              <w:t>分，技术参数（不带●号）有负偏离的每一项扣</w:t>
            </w:r>
            <w:r>
              <w:rPr>
                <w:rFonts w:hint="eastAsia" w:ascii="仿宋" w:hAnsi="仿宋" w:eastAsia="仿宋" w:cs="仿宋"/>
                <w:bCs/>
                <w:color w:val="auto"/>
                <w:kern w:val="2"/>
                <w:sz w:val="21"/>
                <w:szCs w:val="21"/>
                <w:highlight w:val="none"/>
                <w:lang w:val="en-US" w:eastAsia="zh-CN"/>
              </w:rPr>
              <w:t>0.5</w:t>
            </w:r>
            <w:r>
              <w:rPr>
                <w:rFonts w:hint="eastAsia" w:ascii="仿宋" w:hAnsi="仿宋" w:eastAsia="仿宋" w:cs="仿宋"/>
                <w:bCs/>
                <w:color w:val="auto"/>
                <w:kern w:val="2"/>
                <w:sz w:val="21"/>
                <w:szCs w:val="21"/>
                <w:highlight w:val="none"/>
              </w:rPr>
              <w:t>分，漏项的每一项扣</w:t>
            </w:r>
            <w:r>
              <w:rPr>
                <w:rFonts w:hint="eastAsia" w:ascii="仿宋" w:hAnsi="仿宋" w:eastAsia="仿宋" w:cs="仿宋"/>
                <w:bCs/>
                <w:color w:val="auto"/>
                <w:kern w:val="2"/>
                <w:sz w:val="21"/>
                <w:szCs w:val="21"/>
                <w:highlight w:val="none"/>
                <w:lang w:val="en-US" w:eastAsia="zh-CN"/>
              </w:rPr>
              <w:t>0.5</w:t>
            </w:r>
            <w:r>
              <w:rPr>
                <w:rFonts w:hint="eastAsia" w:ascii="仿宋" w:hAnsi="仿宋" w:eastAsia="仿宋" w:cs="仿宋"/>
                <w:bCs/>
                <w:color w:val="auto"/>
                <w:kern w:val="2"/>
                <w:sz w:val="21"/>
                <w:szCs w:val="21"/>
                <w:highlight w:val="none"/>
              </w:rPr>
              <w:t>分。扣完本项分值为止。（在招标文件允许偏离的项数内）。</w:t>
            </w:r>
          </w:p>
        </w:tc>
      </w:tr>
      <w:tr w14:paraId="041A3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730" w:type="dxa"/>
            <w:vMerge w:val="continue"/>
            <w:shd w:val="clear" w:color="auto" w:fill="auto"/>
            <w:noWrap/>
            <w:vAlign w:val="center"/>
          </w:tcPr>
          <w:p w14:paraId="76043C4D">
            <w:pPr>
              <w:adjustRightInd w:val="0"/>
              <w:spacing w:line="420" w:lineRule="exact"/>
              <w:jc w:val="center"/>
              <w:textAlignment w:val="baseline"/>
              <w:rPr>
                <w:rFonts w:ascii="仿宋" w:hAnsi="仿宋" w:eastAsia="仿宋" w:cs="仿宋"/>
                <w:b/>
                <w:color w:val="auto"/>
                <w:szCs w:val="21"/>
              </w:rPr>
            </w:pPr>
          </w:p>
        </w:tc>
        <w:tc>
          <w:tcPr>
            <w:tcW w:w="1280" w:type="dxa"/>
            <w:vMerge w:val="continue"/>
            <w:shd w:val="clear" w:color="auto" w:fill="auto"/>
            <w:noWrap/>
            <w:vAlign w:val="center"/>
          </w:tcPr>
          <w:p w14:paraId="63FDE7BB">
            <w:pPr>
              <w:adjustRightInd w:val="0"/>
              <w:spacing w:line="420" w:lineRule="exact"/>
              <w:jc w:val="center"/>
              <w:textAlignment w:val="baseline"/>
              <w:rPr>
                <w:rFonts w:ascii="仿宋" w:hAnsi="仿宋" w:eastAsia="仿宋" w:cs="仿宋"/>
                <w:b/>
                <w:color w:val="auto"/>
                <w:szCs w:val="21"/>
              </w:rPr>
            </w:pPr>
          </w:p>
        </w:tc>
        <w:tc>
          <w:tcPr>
            <w:tcW w:w="709" w:type="dxa"/>
            <w:vMerge w:val="continue"/>
            <w:shd w:val="clear" w:color="auto" w:fill="auto"/>
            <w:noWrap/>
            <w:vAlign w:val="center"/>
          </w:tcPr>
          <w:p w14:paraId="54F125D2">
            <w:pPr>
              <w:adjustRightInd w:val="0"/>
              <w:spacing w:line="420" w:lineRule="exact"/>
              <w:jc w:val="center"/>
              <w:textAlignment w:val="baseline"/>
              <w:rPr>
                <w:rFonts w:ascii="仿宋" w:hAnsi="仿宋" w:eastAsia="仿宋" w:cs="仿宋"/>
                <w:b/>
                <w:color w:val="auto"/>
                <w:szCs w:val="21"/>
              </w:rPr>
            </w:pPr>
          </w:p>
        </w:tc>
        <w:tc>
          <w:tcPr>
            <w:tcW w:w="1559" w:type="dxa"/>
            <w:shd w:val="clear" w:color="auto" w:fill="auto"/>
            <w:noWrap/>
            <w:vAlign w:val="center"/>
          </w:tcPr>
          <w:p w14:paraId="4252CE24">
            <w:pPr>
              <w:spacing w:line="420" w:lineRule="exact"/>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2.2货物性能分（满分</w:t>
            </w:r>
            <w:r>
              <w:rPr>
                <w:rFonts w:hint="eastAsia" w:ascii="仿宋" w:hAnsi="仿宋" w:eastAsia="仿宋" w:cs="仿宋"/>
                <w:b/>
                <w:bCs/>
                <w:color w:val="auto"/>
                <w:szCs w:val="21"/>
                <w:highlight w:val="none"/>
                <w:lang w:val="en-US" w:eastAsia="zh-CN"/>
              </w:rPr>
              <w:t>20</w:t>
            </w:r>
            <w:r>
              <w:rPr>
                <w:rFonts w:hint="eastAsia" w:ascii="仿宋" w:hAnsi="仿宋" w:eastAsia="仿宋" w:cs="仿宋"/>
                <w:b/>
                <w:bCs/>
                <w:color w:val="auto"/>
                <w:szCs w:val="21"/>
                <w:highlight w:val="none"/>
              </w:rPr>
              <w:t>分）</w:t>
            </w:r>
          </w:p>
        </w:tc>
        <w:tc>
          <w:tcPr>
            <w:tcW w:w="5599" w:type="dxa"/>
            <w:shd w:val="clear" w:color="auto" w:fill="auto"/>
            <w:noWrap/>
            <w:vAlign w:val="center"/>
          </w:tcPr>
          <w:p w14:paraId="084266BC">
            <w:pPr>
              <w:pStyle w:val="19"/>
              <w:ind w:firstLine="420" w:firstLineChars="200"/>
              <w:rPr>
                <w:rFonts w:hint="eastAsia" w:ascii="仿宋" w:hAnsi="仿宋" w:eastAsia="仿宋" w:cs="仿宋"/>
                <w:bCs/>
                <w:color w:val="auto"/>
                <w:kern w:val="2"/>
                <w:sz w:val="21"/>
                <w:szCs w:val="21"/>
                <w:highlight w:val="none"/>
              </w:rPr>
            </w:pPr>
            <w:r>
              <w:rPr>
                <w:rFonts w:hint="eastAsia" w:ascii="仿宋" w:hAnsi="仿宋" w:eastAsia="仿宋" w:cs="仿宋"/>
                <w:bCs/>
                <w:color w:val="auto"/>
                <w:kern w:val="2"/>
                <w:sz w:val="21"/>
                <w:szCs w:val="21"/>
                <w:highlight w:val="none"/>
                <w:lang w:val="en-US" w:eastAsia="zh-CN"/>
              </w:rPr>
              <w:t>所有标记有</w:t>
            </w:r>
            <w:r>
              <w:rPr>
                <w:rFonts w:hint="eastAsia" w:ascii="仿宋" w:hAnsi="仿宋" w:eastAsia="仿宋" w:cs="仿宋"/>
                <w:bCs/>
                <w:color w:val="auto"/>
                <w:kern w:val="2"/>
                <w:sz w:val="21"/>
                <w:szCs w:val="21"/>
                <w:highlight w:val="none"/>
              </w:rPr>
              <w:t>“●”指标参数</w:t>
            </w:r>
            <w:r>
              <w:rPr>
                <w:rFonts w:hint="eastAsia" w:ascii="仿宋" w:hAnsi="仿宋" w:eastAsia="仿宋" w:cs="仿宋"/>
                <w:bCs/>
                <w:color w:val="auto"/>
                <w:kern w:val="2"/>
                <w:sz w:val="21"/>
                <w:szCs w:val="21"/>
                <w:highlight w:val="none"/>
                <w:lang w:val="en-US" w:eastAsia="zh-CN"/>
              </w:rPr>
              <w:t>均满足或优于招标文件要求的得20分，须提供相应的证明材料，证明材料每少一项扣一分，扣完本项分值为止</w:t>
            </w:r>
            <w:r>
              <w:rPr>
                <w:rFonts w:hint="eastAsia" w:ascii="仿宋" w:hAnsi="仿宋" w:eastAsia="仿宋" w:cs="仿宋"/>
                <w:bCs/>
                <w:color w:val="auto"/>
                <w:kern w:val="2"/>
                <w:sz w:val="21"/>
                <w:szCs w:val="21"/>
                <w:highlight w:val="none"/>
              </w:rPr>
              <w:t>。</w:t>
            </w:r>
          </w:p>
          <w:p w14:paraId="75C27802">
            <w:pPr>
              <w:pStyle w:val="19"/>
              <w:ind w:firstLine="420" w:firstLineChars="200"/>
              <w:rPr>
                <w:rFonts w:ascii="仿宋" w:hAnsi="仿宋" w:eastAsia="仿宋" w:cs="仿宋"/>
                <w:b/>
                <w:bCs/>
                <w:color w:val="auto"/>
                <w:szCs w:val="21"/>
                <w:highlight w:val="none"/>
              </w:rPr>
            </w:pPr>
            <w:r>
              <w:rPr>
                <w:rFonts w:hint="eastAsia" w:ascii="仿宋" w:hAnsi="仿宋" w:eastAsia="仿宋" w:cs="仿宋"/>
                <w:bCs/>
                <w:color w:val="auto"/>
                <w:kern w:val="2"/>
                <w:sz w:val="21"/>
                <w:szCs w:val="21"/>
                <w:highlight w:val="none"/>
              </w:rPr>
              <w:t>（注：“●”号指标参数证明材料可以是招标文件中要求的投标产品的彩页、功能截图、第三方检测报告复印件等证明材料</w:t>
            </w:r>
            <w:r>
              <w:rPr>
                <w:rFonts w:hint="eastAsia" w:ascii="仿宋" w:hAnsi="仿宋" w:eastAsia="仿宋" w:cs="仿宋"/>
                <w:bCs/>
                <w:color w:val="auto"/>
                <w:kern w:val="2"/>
                <w:sz w:val="21"/>
                <w:szCs w:val="21"/>
                <w:highlight w:val="none"/>
                <w:lang w:eastAsia="zh-CN"/>
              </w:rPr>
              <w:t>并加盖投标人公章</w:t>
            </w:r>
            <w:r>
              <w:rPr>
                <w:rFonts w:hint="eastAsia" w:ascii="仿宋" w:hAnsi="仿宋" w:eastAsia="仿宋" w:cs="仿宋"/>
                <w:bCs/>
                <w:color w:val="auto"/>
                <w:kern w:val="2"/>
                <w:sz w:val="21"/>
                <w:szCs w:val="21"/>
                <w:highlight w:val="none"/>
              </w:rPr>
              <w:t>。）</w:t>
            </w:r>
          </w:p>
        </w:tc>
      </w:tr>
      <w:tr w14:paraId="1C50A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30" w:type="dxa"/>
            <w:vMerge w:val="continue"/>
            <w:shd w:val="clear" w:color="auto" w:fill="auto"/>
            <w:noWrap/>
            <w:vAlign w:val="center"/>
          </w:tcPr>
          <w:p w14:paraId="5A9D95AE">
            <w:pPr>
              <w:spacing w:line="420" w:lineRule="exact"/>
              <w:jc w:val="center"/>
              <w:rPr>
                <w:rFonts w:ascii="仿宋" w:hAnsi="仿宋" w:eastAsia="仿宋" w:cs="仿宋"/>
                <w:color w:val="auto"/>
                <w:szCs w:val="21"/>
              </w:rPr>
            </w:pPr>
          </w:p>
        </w:tc>
        <w:tc>
          <w:tcPr>
            <w:tcW w:w="1280" w:type="dxa"/>
            <w:vMerge w:val="continue"/>
            <w:shd w:val="clear" w:color="auto" w:fill="auto"/>
            <w:noWrap/>
            <w:vAlign w:val="center"/>
          </w:tcPr>
          <w:p w14:paraId="598208E6">
            <w:pPr>
              <w:spacing w:line="420" w:lineRule="exact"/>
              <w:jc w:val="center"/>
              <w:rPr>
                <w:rFonts w:ascii="仿宋" w:hAnsi="仿宋" w:eastAsia="仿宋" w:cs="仿宋"/>
                <w:color w:val="auto"/>
                <w:szCs w:val="21"/>
              </w:rPr>
            </w:pPr>
          </w:p>
        </w:tc>
        <w:tc>
          <w:tcPr>
            <w:tcW w:w="709" w:type="dxa"/>
            <w:vMerge w:val="continue"/>
            <w:shd w:val="clear" w:color="auto" w:fill="auto"/>
            <w:noWrap/>
            <w:vAlign w:val="center"/>
          </w:tcPr>
          <w:p w14:paraId="164F17C0">
            <w:pPr>
              <w:spacing w:line="420" w:lineRule="exact"/>
              <w:jc w:val="center"/>
              <w:rPr>
                <w:rFonts w:ascii="仿宋" w:hAnsi="仿宋" w:eastAsia="仿宋" w:cs="仿宋"/>
                <w:color w:val="auto"/>
                <w:szCs w:val="21"/>
              </w:rPr>
            </w:pPr>
          </w:p>
        </w:tc>
        <w:tc>
          <w:tcPr>
            <w:tcW w:w="1559" w:type="dxa"/>
            <w:shd w:val="clear" w:color="auto" w:fill="auto"/>
            <w:noWrap/>
            <w:vAlign w:val="center"/>
          </w:tcPr>
          <w:p w14:paraId="474516E0">
            <w:pPr>
              <w:spacing w:line="420" w:lineRule="exact"/>
              <w:jc w:val="center"/>
              <w:rPr>
                <w:rFonts w:ascii="仿宋" w:hAnsi="仿宋" w:eastAsia="仿宋" w:cs="仿宋"/>
                <w:b/>
                <w:bCs/>
                <w:color w:val="auto"/>
                <w:szCs w:val="21"/>
                <w:highlight w:val="none"/>
              </w:rPr>
            </w:pPr>
            <w:r>
              <w:rPr>
                <w:rFonts w:hint="eastAsia" w:ascii="仿宋" w:hAnsi="仿宋" w:eastAsia="仿宋" w:cs="仿宋"/>
                <w:b/>
                <w:color w:val="auto"/>
                <w:szCs w:val="21"/>
                <w:highlight w:val="none"/>
              </w:rPr>
              <w:t>2.3 项目实施方案分（满分</w:t>
            </w:r>
            <w:r>
              <w:rPr>
                <w:rFonts w:hint="eastAsia" w:ascii="仿宋" w:hAnsi="仿宋" w:eastAsia="仿宋" w:cs="仿宋"/>
                <w:b/>
                <w:color w:val="auto"/>
                <w:szCs w:val="21"/>
                <w:highlight w:val="none"/>
                <w:lang w:val="en-US" w:eastAsia="zh-CN"/>
              </w:rPr>
              <w:t>20</w:t>
            </w:r>
            <w:r>
              <w:rPr>
                <w:rFonts w:hint="eastAsia" w:ascii="仿宋" w:hAnsi="仿宋" w:eastAsia="仿宋" w:cs="仿宋"/>
                <w:b/>
                <w:color w:val="auto"/>
                <w:szCs w:val="21"/>
                <w:highlight w:val="none"/>
              </w:rPr>
              <w:t>分）</w:t>
            </w:r>
          </w:p>
        </w:tc>
        <w:tc>
          <w:tcPr>
            <w:tcW w:w="5599" w:type="dxa"/>
            <w:shd w:val="clear" w:color="auto" w:fill="auto"/>
            <w:noWrap/>
            <w:vAlign w:val="center"/>
          </w:tcPr>
          <w:p w14:paraId="1A10883A">
            <w:pPr>
              <w:spacing w:line="420" w:lineRule="exact"/>
              <w:ind w:firstLine="420" w:firstLineChars="200"/>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根据投标文件中投标人项目实施方案内容独立评分，未提供方案、方案内容未达一档要求、方案内容有前后矛盾等明显错误的，本项不得分。</w:t>
            </w:r>
          </w:p>
          <w:p w14:paraId="383CD6E4">
            <w:pPr>
              <w:spacing w:line="420" w:lineRule="exact"/>
              <w:ind w:firstLine="420" w:firstLineChars="200"/>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lang w:eastAsia="zh-CN"/>
              </w:rPr>
              <w:t>一</w:t>
            </w:r>
            <w:r>
              <w:rPr>
                <w:rFonts w:hint="eastAsia" w:ascii="仿宋" w:hAnsi="仿宋" w:eastAsia="仿宋" w:cs="仿宋"/>
                <w:b w:val="0"/>
                <w:bCs/>
                <w:color w:val="auto"/>
                <w:szCs w:val="21"/>
                <w:highlight w:val="none"/>
              </w:rPr>
              <w:t>档（</w:t>
            </w:r>
            <w:r>
              <w:rPr>
                <w:rFonts w:hint="eastAsia" w:ascii="仿宋" w:hAnsi="仿宋" w:eastAsia="仿宋" w:cs="仿宋"/>
                <w:b w:val="0"/>
                <w:bCs/>
                <w:color w:val="auto"/>
                <w:szCs w:val="21"/>
                <w:highlight w:val="none"/>
                <w:lang w:val="en-US" w:eastAsia="zh-CN"/>
              </w:rPr>
              <w:t>5</w:t>
            </w:r>
            <w:r>
              <w:rPr>
                <w:rFonts w:hint="eastAsia" w:ascii="仿宋" w:hAnsi="仿宋" w:eastAsia="仿宋" w:cs="仿宋"/>
                <w:b w:val="0"/>
                <w:bCs/>
                <w:color w:val="auto"/>
                <w:szCs w:val="21"/>
                <w:highlight w:val="none"/>
              </w:rPr>
              <w:t xml:space="preserve"> 分）：项目实施方案提供具体的技术方法和思路，项目实施方案内容满足采购需求，提供详细的项目实施管理、实施组织机构及装备配备</w:t>
            </w:r>
            <w:r>
              <w:rPr>
                <w:rFonts w:hint="eastAsia" w:ascii="仿宋" w:hAnsi="仿宋" w:eastAsia="仿宋" w:cs="仿宋"/>
                <w:b w:val="0"/>
                <w:bCs/>
                <w:color w:val="auto"/>
                <w:szCs w:val="21"/>
                <w:highlight w:val="none"/>
                <w:lang w:eastAsia="zh-CN"/>
              </w:rPr>
              <w:t>，</w:t>
            </w:r>
            <w:r>
              <w:rPr>
                <w:rFonts w:hint="eastAsia" w:ascii="仿宋" w:hAnsi="仿宋" w:eastAsia="仿宋" w:cs="仿宋"/>
                <w:b w:val="0"/>
                <w:bCs/>
                <w:color w:val="auto"/>
                <w:szCs w:val="21"/>
                <w:highlight w:val="none"/>
              </w:rPr>
              <w:t xml:space="preserve">执行步骤和措施清晰明了，项目实施方案思路可行。 </w:t>
            </w:r>
          </w:p>
          <w:p w14:paraId="74CD6419">
            <w:pPr>
              <w:spacing w:line="420" w:lineRule="exact"/>
              <w:ind w:firstLine="420" w:firstLineChars="200"/>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lang w:eastAsia="zh-CN"/>
              </w:rPr>
              <w:t>二</w:t>
            </w:r>
            <w:r>
              <w:rPr>
                <w:rFonts w:hint="eastAsia" w:ascii="仿宋" w:hAnsi="仿宋" w:eastAsia="仿宋" w:cs="仿宋"/>
                <w:b w:val="0"/>
                <w:bCs/>
                <w:color w:val="auto"/>
                <w:szCs w:val="21"/>
                <w:highlight w:val="none"/>
              </w:rPr>
              <w:t>档（</w:t>
            </w:r>
            <w:r>
              <w:rPr>
                <w:rFonts w:hint="eastAsia" w:ascii="仿宋" w:hAnsi="仿宋" w:eastAsia="仿宋" w:cs="仿宋"/>
                <w:b w:val="0"/>
                <w:bCs/>
                <w:color w:val="auto"/>
                <w:szCs w:val="21"/>
                <w:highlight w:val="none"/>
                <w:lang w:val="en-US" w:eastAsia="zh-CN"/>
              </w:rPr>
              <w:t>10</w:t>
            </w:r>
            <w:r>
              <w:rPr>
                <w:rFonts w:hint="eastAsia" w:ascii="仿宋" w:hAnsi="仿宋" w:eastAsia="仿宋" w:cs="仿宋"/>
                <w:b w:val="0"/>
                <w:bCs/>
                <w:color w:val="auto"/>
                <w:szCs w:val="21"/>
                <w:highlight w:val="none"/>
              </w:rPr>
              <w:t xml:space="preserve"> 分）：</w:t>
            </w:r>
            <w:r>
              <w:rPr>
                <w:rFonts w:hint="eastAsia" w:ascii="仿宋" w:hAnsi="仿宋" w:eastAsia="仿宋" w:cs="仿宋"/>
                <w:b w:val="0"/>
                <w:bCs/>
                <w:color w:val="auto"/>
                <w:szCs w:val="21"/>
                <w:highlight w:val="none"/>
                <w:lang w:val="en-US" w:eastAsia="zh-CN"/>
              </w:rPr>
              <w:t>满足一档基础上提供</w:t>
            </w:r>
            <w:r>
              <w:rPr>
                <w:rFonts w:hint="eastAsia" w:ascii="仿宋" w:hAnsi="仿宋" w:eastAsia="仿宋" w:cs="仿宋"/>
                <w:b w:val="0"/>
                <w:bCs/>
                <w:color w:val="auto"/>
                <w:szCs w:val="21"/>
                <w:highlight w:val="none"/>
              </w:rPr>
              <w:t>项目实施进度计划和工期保证措施、项目施工安装方案</w:t>
            </w:r>
            <w:r>
              <w:rPr>
                <w:rFonts w:hint="eastAsia" w:ascii="仿宋" w:hAnsi="仿宋" w:eastAsia="仿宋" w:cs="仿宋"/>
                <w:b w:val="0"/>
                <w:bCs/>
                <w:color w:val="auto"/>
                <w:szCs w:val="21"/>
                <w:highlight w:val="none"/>
                <w:lang w:eastAsia="zh-CN"/>
              </w:rPr>
              <w:t>、</w:t>
            </w:r>
            <w:r>
              <w:rPr>
                <w:rFonts w:hint="eastAsia" w:ascii="仿宋" w:hAnsi="仿宋" w:eastAsia="仿宋" w:cs="仿宋"/>
                <w:b w:val="0"/>
                <w:bCs/>
                <w:color w:val="auto"/>
                <w:szCs w:val="21"/>
                <w:highlight w:val="none"/>
              </w:rPr>
              <w:t>项目应急预案</w:t>
            </w:r>
            <w:r>
              <w:rPr>
                <w:rFonts w:hint="eastAsia" w:ascii="仿宋" w:hAnsi="仿宋" w:eastAsia="仿宋" w:cs="仿宋"/>
                <w:b w:val="0"/>
                <w:bCs/>
                <w:color w:val="auto"/>
                <w:szCs w:val="21"/>
                <w:highlight w:val="none"/>
                <w:lang w:val="en-US" w:eastAsia="zh-CN"/>
              </w:rPr>
              <w:t>等</w:t>
            </w:r>
            <w:r>
              <w:rPr>
                <w:rFonts w:hint="eastAsia" w:ascii="仿宋" w:hAnsi="仿宋" w:eastAsia="仿宋" w:cs="仿宋"/>
                <w:b w:val="0"/>
                <w:bCs/>
                <w:color w:val="auto"/>
                <w:szCs w:val="21"/>
                <w:highlight w:val="none"/>
              </w:rPr>
              <w:t>，执行步骤和措施清晰明了，项目实施方案思路切合项目实际。</w:t>
            </w:r>
          </w:p>
          <w:p w14:paraId="2C6F7572">
            <w:pPr>
              <w:spacing w:line="420" w:lineRule="exact"/>
              <w:ind w:firstLine="420" w:firstLineChars="200"/>
              <w:rPr>
                <w:highlight w:val="none"/>
              </w:rPr>
            </w:pPr>
            <w:r>
              <w:rPr>
                <w:rFonts w:hint="eastAsia" w:ascii="仿宋" w:hAnsi="仿宋" w:eastAsia="仿宋" w:cs="仿宋"/>
                <w:b w:val="0"/>
                <w:bCs/>
                <w:color w:val="auto"/>
                <w:szCs w:val="21"/>
                <w:highlight w:val="none"/>
                <w:lang w:eastAsia="zh-CN"/>
              </w:rPr>
              <w:t>三</w:t>
            </w:r>
            <w:r>
              <w:rPr>
                <w:rFonts w:hint="eastAsia" w:ascii="仿宋" w:hAnsi="仿宋" w:eastAsia="仿宋" w:cs="仿宋"/>
                <w:b w:val="0"/>
                <w:bCs/>
                <w:color w:val="auto"/>
                <w:szCs w:val="21"/>
                <w:highlight w:val="none"/>
              </w:rPr>
              <w:t>档（</w:t>
            </w:r>
            <w:r>
              <w:rPr>
                <w:rFonts w:hint="eastAsia" w:ascii="仿宋" w:hAnsi="仿宋" w:eastAsia="仿宋" w:cs="仿宋"/>
                <w:b w:val="0"/>
                <w:bCs/>
                <w:color w:val="auto"/>
                <w:szCs w:val="21"/>
                <w:highlight w:val="none"/>
                <w:lang w:val="en-US" w:eastAsia="zh-CN"/>
              </w:rPr>
              <w:t>15</w:t>
            </w:r>
            <w:r>
              <w:rPr>
                <w:rFonts w:hint="eastAsia" w:ascii="仿宋" w:hAnsi="仿宋" w:eastAsia="仿宋" w:cs="仿宋"/>
                <w:b w:val="0"/>
                <w:bCs/>
                <w:color w:val="auto"/>
                <w:szCs w:val="21"/>
                <w:highlight w:val="none"/>
              </w:rPr>
              <w:t xml:space="preserve"> 分）：满足</w:t>
            </w:r>
            <w:r>
              <w:rPr>
                <w:rFonts w:hint="eastAsia" w:ascii="仿宋" w:hAnsi="仿宋" w:eastAsia="仿宋" w:cs="仿宋"/>
                <w:b w:val="0"/>
                <w:bCs/>
                <w:color w:val="auto"/>
                <w:szCs w:val="21"/>
                <w:highlight w:val="none"/>
                <w:lang w:val="en-US" w:eastAsia="zh-CN"/>
              </w:rPr>
              <w:t>二</w:t>
            </w:r>
            <w:r>
              <w:rPr>
                <w:rFonts w:hint="eastAsia" w:ascii="仿宋" w:hAnsi="仿宋" w:eastAsia="仿宋" w:cs="仿宋"/>
                <w:b w:val="0"/>
                <w:bCs/>
                <w:color w:val="auto"/>
                <w:szCs w:val="21"/>
                <w:highlight w:val="none"/>
              </w:rPr>
              <w:t>挡基础上提供施工安全保障，施工文明保障，施工质量保障及项目验收预案，切合项目实际，有详细的项目管理相关制度、施工安全保障、施工文明保障、施工质量保障及项目验收等方面的内容描述。</w:t>
            </w:r>
          </w:p>
          <w:p w14:paraId="298723B7">
            <w:pPr>
              <w:spacing w:line="420" w:lineRule="exact"/>
              <w:ind w:firstLine="420" w:firstLineChars="200"/>
            </w:pPr>
            <w:r>
              <w:rPr>
                <w:rFonts w:hint="eastAsia" w:ascii="仿宋" w:hAnsi="仿宋" w:eastAsia="仿宋" w:cs="仿宋"/>
                <w:b w:val="0"/>
                <w:bCs/>
                <w:color w:val="auto"/>
                <w:szCs w:val="21"/>
                <w:highlight w:val="none"/>
                <w:lang w:val="en-US" w:eastAsia="zh-CN"/>
              </w:rPr>
              <w:t>四</w:t>
            </w:r>
            <w:r>
              <w:rPr>
                <w:rFonts w:hint="eastAsia" w:ascii="仿宋" w:hAnsi="仿宋" w:eastAsia="仿宋" w:cs="仿宋"/>
                <w:b w:val="0"/>
                <w:bCs/>
                <w:color w:val="auto"/>
                <w:szCs w:val="21"/>
                <w:highlight w:val="none"/>
                <w:lang w:eastAsia="zh-CN"/>
              </w:rPr>
              <w:t>档（</w:t>
            </w:r>
            <w:r>
              <w:rPr>
                <w:rFonts w:hint="eastAsia" w:ascii="仿宋" w:hAnsi="仿宋" w:eastAsia="仿宋" w:cs="仿宋"/>
                <w:b w:val="0"/>
                <w:bCs/>
                <w:color w:val="auto"/>
                <w:szCs w:val="21"/>
                <w:highlight w:val="none"/>
                <w:lang w:val="en-US" w:eastAsia="zh-CN"/>
              </w:rPr>
              <w:t>20</w:t>
            </w:r>
            <w:r>
              <w:rPr>
                <w:rFonts w:hint="eastAsia" w:ascii="仿宋" w:hAnsi="仿宋" w:eastAsia="仿宋" w:cs="仿宋"/>
                <w:b w:val="0"/>
                <w:bCs/>
                <w:color w:val="auto"/>
                <w:szCs w:val="21"/>
                <w:highlight w:val="none"/>
                <w:lang w:eastAsia="zh-CN"/>
              </w:rPr>
              <w:t>分）：在满足</w:t>
            </w:r>
            <w:r>
              <w:rPr>
                <w:rFonts w:hint="eastAsia" w:ascii="仿宋" w:hAnsi="仿宋" w:eastAsia="仿宋" w:cs="仿宋"/>
                <w:b w:val="0"/>
                <w:bCs/>
                <w:color w:val="auto"/>
                <w:szCs w:val="21"/>
                <w:highlight w:val="none"/>
                <w:lang w:val="en-US" w:eastAsia="zh-CN"/>
              </w:rPr>
              <w:t>三</w:t>
            </w:r>
            <w:r>
              <w:rPr>
                <w:rFonts w:hint="eastAsia" w:ascii="仿宋" w:hAnsi="仿宋" w:eastAsia="仿宋" w:cs="仿宋"/>
                <w:b w:val="0"/>
                <w:bCs/>
                <w:color w:val="auto"/>
                <w:szCs w:val="21"/>
                <w:highlight w:val="none"/>
                <w:lang w:eastAsia="zh-CN"/>
              </w:rPr>
              <w:t>档的基础上，不仅对各项基础模块赋予了明确的执行规则、时间节点、人员资质与操作标准，</w:t>
            </w:r>
            <w:r>
              <w:rPr>
                <w:rFonts w:hint="eastAsia" w:ascii="仿宋" w:hAnsi="仿宋" w:eastAsia="仿宋" w:cs="仿宋"/>
                <w:b w:val="0"/>
                <w:bCs/>
                <w:color w:val="auto"/>
                <w:szCs w:val="21"/>
                <w:highlight w:val="none"/>
                <w:lang w:val="en-US" w:eastAsia="zh-CN"/>
              </w:rPr>
              <w:t>有专门的</w:t>
            </w:r>
            <w:r>
              <w:rPr>
                <w:rFonts w:hint="eastAsia" w:ascii="仿宋" w:hAnsi="仿宋" w:eastAsia="仿宋" w:cs="仿宋"/>
                <w:b w:val="0"/>
                <w:bCs/>
                <w:color w:val="auto"/>
                <w:szCs w:val="21"/>
                <w:highlight w:val="none"/>
                <w:lang w:eastAsia="zh-CN"/>
              </w:rPr>
              <w:t>应急方案、以及包含性能检测与争议处理的标准化验收流程。团队配置包含排班与替补机制，职责分工无盲区。整个方案形成目标、标准、责任人、节点与考核指标闭环管理体系。</w:t>
            </w:r>
          </w:p>
        </w:tc>
      </w:tr>
      <w:tr w14:paraId="17A50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30" w:type="dxa"/>
            <w:vMerge w:val="continue"/>
            <w:shd w:val="clear" w:color="auto" w:fill="auto"/>
            <w:noWrap/>
            <w:vAlign w:val="center"/>
          </w:tcPr>
          <w:p w14:paraId="24113F9B">
            <w:pPr>
              <w:spacing w:line="420" w:lineRule="exact"/>
              <w:jc w:val="center"/>
              <w:rPr>
                <w:rFonts w:ascii="仿宋" w:hAnsi="仿宋" w:eastAsia="仿宋" w:cs="仿宋"/>
                <w:color w:val="auto"/>
                <w:szCs w:val="21"/>
              </w:rPr>
            </w:pPr>
          </w:p>
        </w:tc>
        <w:tc>
          <w:tcPr>
            <w:tcW w:w="1280" w:type="dxa"/>
            <w:vMerge w:val="continue"/>
            <w:shd w:val="clear" w:color="auto" w:fill="auto"/>
            <w:noWrap/>
            <w:vAlign w:val="center"/>
          </w:tcPr>
          <w:p w14:paraId="1D4B6128">
            <w:pPr>
              <w:spacing w:line="420" w:lineRule="exact"/>
              <w:jc w:val="center"/>
              <w:rPr>
                <w:rFonts w:ascii="仿宋" w:hAnsi="仿宋" w:eastAsia="仿宋" w:cs="仿宋"/>
                <w:color w:val="auto"/>
                <w:szCs w:val="21"/>
              </w:rPr>
            </w:pPr>
          </w:p>
        </w:tc>
        <w:tc>
          <w:tcPr>
            <w:tcW w:w="709" w:type="dxa"/>
            <w:vMerge w:val="continue"/>
            <w:shd w:val="clear" w:color="auto" w:fill="auto"/>
            <w:noWrap/>
            <w:vAlign w:val="center"/>
          </w:tcPr>
          <w:p w14:paraId="652090D3">
            <w:pPr>
              <w:spacing w:line="420" w:lineRule="exact"/>
              <w:jc w:val="center"/>
              <w:rPr>
                <w:rFonts w:ascii="仿宋" w:hAnsi="仿宋" w:eastAsia="仿宋" w:cs="仿宋"/>
                <w:color w:val="auto"/>
                <w:szCs w:val="21"/>
              </w:rPr>
            </w:pPr>
          </w:p>
        </w:tc>
        <w:tc>
          <w:tcPr>
            <w:tcW w:w="1559" w:type="dxa"/>
            <w:shd w:val="clear" w:color="auto" w:fill="auto"/>
            <w:noWrap/>
            <w:vAlign w:val="center"/>
          </w:tcPr>
          <w:p w14:paraId="51A3BE46">
            <w:pPr>
              <w:spacing w:line="420" w:lineRule="exact"/>
              <w:jc w:val="center"/>
              <w:rPr>
                <w:rFonts w:hint="eastAsia" w:ascii="仿宋" w:hAnsi="仿宋" w:eastAsia="仿宋" w:cs="仿宋"/>
                <w:b/>
                <w:color w:val="auto"/>
                <w:szCs w:val="21"/>
                <w:highlight w:val="yellow"/>
              </w:rPr>
            </w:pPr>
            <w:r>
              <w:rPr>
                <w:rFonts w:hint="eastAsia" w:ascii="仿宋" w:hAnsi="仿宋" w:eastAsia="仿宋" w:cs="仿宋"/>
                <w:b/>
                <w:color w:val="auto"/>
                <w:szCs w:val="21"/>
                <w:highlight w:val="none"/>
                <w:lang w:val="en-US" w:eastAsia="zh-CN"/>
              </w:rPr>
              <w:t>2.4</w:t>
            </w:r>
            <w:r>
              <w:rPr>
                <w:rFonts w:hint="eastAsia" w:ascii="仿宋" w:hAnsi="仿宋" w:eastAsia="仿宋" w:cs="仿宋"/>
                <w:b/>
                <w:color w:val="auto"/>
                <w:szCs w:val="21"/>
                <w:highlight w:val="none"/>
              </w:rPr>
              <w:t>拟投入技术人员分（满分</w:t>
            </w:r>
            <w:r>
              <w:rPr>
                <w:rFonts w:hint="eastAsia" w:ascii="仿宋" w:hAnsi="仿宋" w:eastAsia="仿宋" w:cs="仿宋"/>
                <w:b/>
                <w:color w:val="auto"/>
                <w:szCs w:val="21"/>
                <w:highlight w:val="none"/>
                <w:lang w:val="en-US" w:eastAsia="zh-CN"/>
              </w:rPr>
              <w:t>6</w:t>
            </w:r>
            <w:r>
              <w:rPr>
                <w:rFonts w:hint="eastAsia" w:ascii="仿宋" w:hAnsi="仿宋" w:eastAsia="仿宋" w:cs="仿宋"/>
                <w:b/>
                <w:color w:val="auto"/>
                <w:szCs w:val="21"/>
                <w:highlight w:val="none"/>
              </w:rPr>
              <w:t>分）</w:t>
            </w:r>
          </w:p>
        </w:tc>
        <w:tc>
          <w:tcPr>
            <w:tcW w:w="5599" w:type="dxa"/>
            <w:shd w:val="clear" w:color="auto" w:fill="auto"/>
            <w:noWrap/>
            <w:vAlign w:val="center"/>
          </w:tcPr>
          <w:p w14:paraId="28A3FEC9">
            <w:pPr>
              <w:spacing w:line="420" w:lineRule="exact"/>
              <w:ind w:firstLine="420" w:firstLineChars="200"/>
              <w:rPr>
                <w:rFonts w:hint="eastAsia" w:ascii="仿宋" w:hAnsi="仿宋" w:eastAsia="仿宋" w:cs="仿宋"/>
                <w:b w:val="0"/>
                <w:bCs/>
                <w:color w:val="auto"/>
                <w:szCs w:val="21"/>
                <w:lang w:val="en-US" w:eastAsia="zh-CN"/>
              </w:rPr>
            </w:pPr>
            <w:r>
              <w:rPr>
                <w:rFonts w:hint="eastAsia" w:ascii="仿宋" w:hAnsi="仿宋" w:eastAsia="仿宋" w:cs="仿宋"/>
                <w:b w:val="0"/>
                <w:bCs/>
                <w:color w:val="auto"/>
                <w:szCs w:val="21"/>
                <w:lang w:val="en-US" w:eastAsia="zh-CN"/>
              </w:rPr>
              <w:t>（1）供应商拟投入的项目经理具备计算机应用（高级）工程师、信息系统项目管理师证书的，每个证得1分，满分2分；</w:t>
            </w:r>
          </w:p>
          <w:p w14:paraId="37171E3C">
            <w:pPr>
              <w:spacing w:line="420" w:lineRule="exact"/>
              <w:ind w:firstLine="420" w:firstLineChars="200"/>
              <w:rPr>
                <w:rFonts w:hint="eastAsia" w:ascii="仿宋" w:hAnsi="仿宋" w:eastAsia="仿宋" w:cs="仿宋"/>
                <w:b w:val="0"/>
                <w:bCs/>
                <w:color w:val="auto"/>
                <w:szCs w:val="21"/>
                <w:lang w:val="en-US" w:eastAsia="zh-CN"/>
              </w:rPr>
            </w:pPr>
            <w:r>
              <w:rPr>
                <w:rFonts w:hint="eastAsia" w:ascii="仿宋" w:hAnsi="仿宋" w:eastAsia="仿宋" w:cs="仿宋"/>
                <w:b w:val="0"/>
                <w:bCs/>
                <w:color w:val="auto"/>
                <w:szCs w:val="21"/>
                <w:lang w:val="en-US" w:eastAsia="zh-CN"/>
              </w:rPr>
              <w:t>（2）供应商拟投入本项目的实施人员（除项目经理外）具有相关专业（含计算机、网络、信息与通信工程等信息化相关领域）高级及以上职称的，每人得1分，满分4分。</w:t>
            </w:r>
          </w:p>
        </w:tc>
      </w:tr>
      <w:tr w14:paraId="15846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8" w:hRule="atLeast"/>
          <w:jc w:val="center"/>
        </w:trPr>
        <w:tc>
          <w:tcPr>
            <w:tcW w:w="730" w:type="dxa"/>
            <w:vMerge w:val="restart"/>
            <w:shd w:val="clear" w:color="auto" w:fill="auto"/>
            <w:noWrap/>
            <w:vAlign w:val="center"/>
          </w:tcPr>
          <w:p w14:paraId="0B81EAF0">
            <w:pPr>
              <w:adjustRightInd w:val="0"/>
              <w:spacing w:line="420" w:lineRule="exact"/>
              <w:jc w:val="center"/>
              <w:textAlignment w:val="baseline"/>
              <w:rPr>
                <w:rFonts w:ascii="仿宋" w:hAnsi="仿宋" w:eastAsia="仿宋" w:cs="仿宋"/>
                <w:color w:val="auto"/>
                <w:szCs w:val="21"/>
              </w:rPr>
            </w:pPr>
            <w:r>
              <w:rPr>
                <w:rFonts w:hint="eastAsia" w:ascii="仿宋" w:hAnsi="仿宋" w:eastAsia="仿宋" w:cs="仿宋"/>
                <w:b/>
                <w:color w:val="auto"/>
                <w:szCs w:val="21"/>
              </w:rPr>
              <w:t>3</w:t>
            </w:r>
          </w:p>
        </w:tc>
        <w:tc>
          <w:tcPr>
            <w:tcW w:w="1280" w:type="dxa"/>
            <w:vMerge w:val="restart"/>
            <w:shd w:val="clear" w:color="auto" w:fill="auto"/>
            <w:noWrap/>
            <w:vAlign w:val="center"/>
          </w:tcPr>
          <w:p w14:paraId="74BA3083">
            <w:pPr>
              <w:adjustRightInd w:val="0"/>
              <w:spacing w:line="420" w:lineRule="exact"/>
              <w:jc w:val="center"/>
              <w:textAlignment w:val="baseline"/>
              <w:rPr>
                <w:rFonts w:ascii="仿宋" w:hAnsi="仿宋" w:eastAsia="仿宋" w:cs="仿宋"/>
                <w:color w:val="auto"/>
                <w:szCs w:val="21"/>
              </w:rPr>
            </w:pPr>
            <w:r>
              <w:rPr>
                <w:rFonts w:hint="eastAsia" w:ascii="仿宋" w:hAnsi="仿宋" w:eastAsia="仿宋" w:cs="仿宋"/>
                <w:b/>
                <w:color w:val="auto"/>
                <w:szCs w:val="21"/>
              </w:rPr>
              <w:t>商务分</w:t>
            </w:r>
          </w:p>
        </w:tc>
        <w:tc>
          <w:tcPr>
            <w:tcW w:w="709" w:type="dxa"/>
            <w:vMerge w:val="restart"/>
            <w:shd w:val="clear" w:color="auto" w:fill="auto"/>
            <w:noWrap/>
            <w:vAlign w:val="center"/>
          </w:tcPr>
          <w:p w14:paraId="459321B6">
            <w:pPr>
              <w:adjustRightInd w:val="0"/>
              <w:spacing w:line="420" w:lineRule="exact"/>
              <w:jc w:val="center"/>
              <w:textAlignment w:val="baseline"/>
              <w:rPr>
                <w:rFonts w:ascii="仿宋" w:hAnsi="仿宋" w:eastAsia="仿宋" w:cs="仿宋"/>
                <w:color w:val="auto"/>
                <w:szCs w:val="21"/>
              </w:rPr>
            </w:pPr>
            <w:r>
              <w:rPr>
                <w:rFonts w:hint="eastAsia" w:ascii="仿宋" w:hAnsi="仿宋" w:eastAsia="仿宋" w:cs="仿宋"/>
                <w:b/>
                <w:color w:val="auto"/>
                <w:szCs w:val="21"/>
                <w:lang w:val="en-US" w:eastAsia="zh-CN"/>
              </w:rPr>
              <w:t>19</w:t>
            </w:r>
            <w:r>
              <w:rPr>
                <w:rFonts w:hint="eastAsia" w:ascii="仿宋" w:hAnsi="仿宋" w:eastAsia="仿宋" w:cs="仿宋"/>
                <w:b/>
                <w:color w:val="auto"/>
                <w:szCs w:val="21"/>
              </w:rPr>
              <w:t>分</w:t>
            </w:r>
          </w:p>
        </w:tc>
        <w:tc>
          <w:tcPr>
            <w:tcW w:w="1559" w:type="dxa"/>
            <w:shd w:val="clear" w:color="auto" w:fill="auto"/>
            <w:noWrap/>
            <w:vAlign w:val="center"/>
          </w:tcPr>
          <w:p w14:paraId="6407B53E">
            <w:pPr>
              <w:spacing w:line="420" w:lineRule="exact"/>
              <w:jc w:val="center"/>
              <w:rPr>
                <w:rFonts w:ascii="仿宋" w:hAnsi="仿宋" w:eastAsia="仿宋" w:cs="仿宋"/>
                <w:b/>
                <w:color w:val="auto"/>
                <w:szCs w:val="21"/>
                <w:highlight w:val="yellow"/>
              </w:rPr>
            </w:pPr>
            <w:r>
              <w:rPr>
                <w:rFonts w:hint="eastAsia" w:ascii="仿宋" w:hAnsi="仿宋" w:eastAsia="仿宋" w:cs="仿宋"/>
                <w:b/>
                <w:bCs/>
                <w:color w:val="auto"/>
                <w:szCs w:val="21"/>
                <w:highlight w:val="none"/>
              </w:rPr>
              <w:t>3.</w:t>
            </w:r>
            <w:r>
              <w:rPr>
                <w:rFonts w:hint="eastAsia" w:ascii="仿宋" w:hAnsi="仿宋" w:eastAsia="仿宋" w:cs="仿宋"/>
                <w:b/>
                <w:bCs/>
                <w:color w:val="auto"/>
                <w:szCs w:val="21"/>
                <w:highlight w:val="none"/>
                <w:lang w:val="en-US" w:eastAsia="zh-CN"/>
              </w:rPr>
              <w:t>1</w:t>
            </w:r>
            <w:r>
              <w:rPr>
                <w:rFonts w:hint="eastAsia" w:ascii="仿宋" w:hAnsi="仿宋" w:eastAsia="仿宋" w:cs="仿宋"/>
                <w:b/>
                <w:bCs/>
                <w:color w:val="auto"/>
                <w:szCs w:val="21"/>
                <w:highlight w:val="none"/>
              </w:rPr>
              <w:t>售后服务方案分（满分1</w:t>
            </w:r>
            <w:r>
              <w:rPr>
                <w:rFonts w:hint="eastAsia" w:ascii="仿宋" w:hAnsi="仿宋" w:eastAsia="仿宋" w:cs="仿宋"/>
                <w:b/>
                <w:bCs/>
                <w:color w:val="auto"/>
                <w:szCs w:val="21"/>
                <w:highlight w:val="none"/>
                <w:lang w:val="en-US" w:eastAsia="zh-CN"/>
              </w:rPr>
              <w:t>4</w:t>
            </w:r>
            <w:r>
              <w:rPr>
                <w:rFonts w:hint="eastAsia" w:ascii="仿宋" w:hAnsi="仿宋" w:eastAsia="仿宋" w:cs="仿宋"/>
                <w:b/>
                <w:bCs/>
                <w:color w:val="auto"/>
                <w:szCs w:val="21"/>
                <w:highlight w:val="none"/>
              </w:rPr>
              <w:t>分）</w:t>
            </w:r>
          </w:p>
        </w:tc>
        <w:tc>
          <w:tcPr>
            <w:tcW w:w="5599" w:type="dxa"/>
            <w:shd w:val="clear" w:color="auto" w:fill="auto"/>
            <w:noWrap/>
            <w:vAlign w:val="center"/>
          </w:tcPr>
          <w:p w14:paraId="00ACE0D1">
            <w:pPr>
              <w:snapToGrid w:val="0"/>
              <w:spacing w:line="420" w:lineRule="exact"/>
              <w:ind w:firstLine="440"/>
              <w:contextualSpacing/>
              <w:rPr>
                <w:rFonts w:ascii="仿宋" w:hAnsi="仿宋" w:eastAsia="仿宋" w:cs="仿宋"/>
                <w:b/>
                <w:color w:val="auto"/>
                <w:szCs w:val="21"/>
              </w:rPr>
            </w:pPr>
            <w:r>
              <w:rPr>
                <w:rFonts w:hint="eastAsia" w:ascii="仿宋" w:hAnsi="仿宋" w:eastAsia="仿宋" w:cs="仿宋"/>
                <w:b/>
                <w:bCs/>
                <w:color w:val="auto"/>
                <w:szCs w:val="21"/>
              </w:rPr>
              <w:t>3.</w:t>
            </w:r>
            <w:r>
              <w:rPr>
                <w:rFonts w:hint="eastAsia" w:ascii="仿宋" w:hAnsi="仿宋" w:eastAsia="仿宋" w:cs="仿宋"/>
                <w:b/>
                <w:bCs/>
                <w:color w:val="auto"/>
                <w:szCs w:val="21"/>
                <w:lang w:val="en-US" w:eastAsia="zh-CN"/>
              </w:rPr>
              <w:t>1</w:t>
            </w:r>
            <w:r>
              <w:rPr>
                <w:rFonts w:hint="eastAsia" w:ascii="仿宋" w:hAnsi="仿宋" w:eastAsia="仿宋" w:cs="仿宋"/>
                <w:b/>
                <w:color w:val="auto"/>
                <w:szCs w:val="21"/>
              </w:rPr>
              <w:t>售后服务方案（满分14分）</w:t>
            </w:r>
          </w:p>
          <w:p w14:paraId="52F1F6E6">
            <w:pPr>
              <w:snapToGrid w:val="0"/>
              <w:spacing w:line="420" w:lineRule="exact"/>
              <w:ind w:firstLine="440"/>
              <w:contextualSpacing/>
              <w:rPr>
                <w:rFonts w:ascii="仿宋" w:hAnsi="仿宋" w:eastAsia="仿宋" w:cs="仿宋"/>
                <w:color w:val="auto"/>
                <w:szCs w:val="21"/>
              </w:rPr>
            </w:pPr>
            <w:r>
              <w:rPr>
                <w:rFonts w:hint="eastAsia" w:ascii="仿宋" w:hAnsi="仿宋" w:eastAsia="仿宋" w:cs="仿宋"/>
                <w:color w:val="auto"/>
                <w:szCs w:val="21"/>
              </w:rPr>
              <w:t>评标委员会根据投标供应商提供的售后服务方案进行独立打分。方案包含①技术服务队伍；</w:t>
            </w:r>
            <w:r>
              <w:rPr>
                <w:rFonts w:hint="eastAsia" w:ascii="仿宋" w:hAnsi="仿宋" w:eastAsia="仿宋" w:cs="仿宋"/>
                <w:color w:val="auto"/>
                <w:szCs w:val="21"/>
              </w:rPr>
              <w:fldChar w:fldCharType="begin"/>
            </w:r>
            <w:r>
              <w:rPr>
                <w:rFonts w:hint="eastAsia" w:ascii="仿宋" w:hAnsi="仿宋" w:eastAsia="仿宋" w:cs="仿宋"/>
                <w:color w:val="auto"/>
                <w:szCs w:val="21"/>
              </w:rPr>
              <w:instrText xml:space="preserve"> = 2 \* GB3 </w:instrText>
            </w:r>
            <w:r>
              <w:rPr>
                <w:rFonts w:hint="eastAsia" w:ascii="仿宋" w:hAnsi="仿宋" w:eastAsia="仿宋" w:cs="仿宋"/>
                <w:color w:val="auto"/>
                <w:szCs w:val="21"/>
              </w:rPr>
              <w:fldChar w:fldCharType="separate"/>
            </w:r>
            <w:r>
              <w:rPr>
                <w:rFonts w:hint="eastAsia" w:ascii="仿宋" w:hAnsi="仿宋" w:eastAsia="仿宋" w:cs="仿宋"/>
                <w:color w:val="auto"/>
                <w:szCs w:val="21"/>
              </w:rPr>
              <w:t>②</w:t>
            </w:r>
            <w:r>
              <w:rPr>
                <w:rFonts w:hint="eastAsia" w:ascii="仿宋" w:hAnsi="仿宋" w:eastAsia="仿宋" w:cs="仿宋"/>
                <w:color w:val="auto"/>
                <w:szCs w:val="21"/>
              </w:rPr>
              <w:fldChar w:fldCharType="end"/>
            </w:r>
            <w:r>
              <w:rPr>
                <w:rFonts w:hint="eastAsia" w:ascii="仿宋" w:hAnsi="仿宋" w:eastAsia="仿宋" w:cs="仿宋"/>
                <w:color w:val="auto"/>
                <w:szCs w:val="21"/>
              </w:rPr>
              <w:t>服务承诺；</w:t>
            </w:r>
            <w:r>
              <w:rPr>
                <w:rFonts w:hint="eastAsia" w:ascii="仿宋" w:hAnsi="仿宋" w:eastAsia="仿宋" w:cs="仿宋"/>
                <w:color w:val="auto"/>
                <w:szCs w:val="21"/>
              </w:rPr>
              <w:fldChar w:fldCharType="begin"/>
            </w:r>
            <w:r>
              <w:rPr>
                <w:rFonts w:hint="eastAsia" w:ascii="仿宋" w:hAnsi="仿宋" w:eastAsia="仿宋" w:cs="仿宋"/>
                <w:color w:val="auto"/>
                <w:szCs w:val="21"/>
              </w:rPr>
              <w:instrText xml:space="preserve"> = 3 \* GB3 </w:instrText>
            </w:r>
            <w:r>
              <w:rPr>
                <w:rFonts w:hint="eastAsia" w:ascii="仿宋" w:hAnsi="仿宋" w:eastAsia="仿宋" w:cs="仿宋"/>
                <w:color w:val="auto"/>
                <w:szCs w:val="21"/>
              </w:rPr>
              <w:fldChar w:fldCharType="separate"/>
            </w:r>
            <w:r>
              <w:rPr>
                <w:rFonts w:hint="eastAsia" w:ascii="仿宋" w:hAnsi="仿宋" w:eastAsia="仿宋" w:cs="仿宋"/>
                <w:color w:val="auto"/>
                <w:szCs w:val="21"/>
              </w:rPr>
              <w:t>③</w:t>
            </w:r>
            <w:r>
              <w:rPr>
                <w:rFonts w:hint="eastAsia" w:ascii="仿宋" w:hAnsi="仿宋" w:eastAsia="仿宋" w:cs="仿宋"/>
                <w:color w:val="auto"/>
                <w:szCs w:val="21"/>
              </w:rPr>
              <w:fldChar w:fldCharType="end"/>
            </w:r>
            <w:r>
              <w:rPr>
                <w:rFonts w:hint="eastAsia" w:ascii="仿宋" w:hAnsi="仿宋" w:eastAsia="仿宋" w:cs="仿宋"/>
                <w:color w:val="auto"/>
                <w:szCs w:val="21"/>
              </w:rPr>
              <w:t>备品备件库，响应时间（优于招标文件）；</w:t>
            </w:r>
            <w:r>
              <w:rPr>
                <w:rFonts w:hint="eastAsia" w:ascii="仿宋" w:hAnsi="仿宋" w:eastAsia="仿宋" w:cs="仿宋"/>
                <w:color w:val="auto"/>
                <w:szCs w:val="21"/>
              </w:rPr>
              <w:fldChar w:fldCharType="begin"/>
            </w:r>
            <w:r>
              <w:rPr>
                <w:rFonts w:hint="eastAsia" w:ascii="仿宋" w:hAnsi="仿宋" w:eastAsia="仿宋" w:cs="仿宋"/>
                <w:color w:val="auto"/>
                <w:szCs w:val="21"/>
              </w:rPr>
              <w:instrText xml:space="preserve"> = 4 \* GB3 </w:instrText>
            </w:r>
            <w:r>
              <w:rPr>
                <w:rFonts w:hint="eastAsia" w:ascii="仿宋" w:hAnsi="仿宋" w:eastAsia="仿宋" w:cs="仿宋"/>
                <w:color w:val="auto"/>
                <w:szCs w:val="21"/>
              </w:rPr>
              <w:fldChar w:fldCharType="separate"/>
            </w:r>
            <w:r>
              <w:rPr>
                <w:rFonts w:hint="eastAsia" w:ascii="仿宋" w:hAnsi="仿宋" w:eastAsia="仿宋" w:cs="仿宋"/>
                <w:color w:val="auto"/>
                <w:szCs w:val="21"/>
              </w:rPr>
              <w:t>④</w:t>
            </w:r>
            <w:r>
              <w:rPr>
                <w:rFonts w:hint="eastAsia" w:ascii="仿宋" w:hAnsi="仿宋" w:eastAsia="仿宋" w:cs="仿宋"/>
                <w:color w:val="auto"/>
                <w:szCs w:val="21"/>
              </w:rPr>
              <w:fldChar w:fldCharType="end"/>
            </w:r>
            <w:r>
              <w:rPr>
                <w:rFonts w:hint="eastAsia" w:ascii="仿宋" w:hAnsi="仿宋" w:eastAsia="仿宋" w:cs="仿宋"/>
                <w:color w:val="auto"/>
                <w:szCs w:val="21"/>
              </w:rPr>
              <w:t>服务流程及保修期外维修方案；</w:t>
            </w:r>
            <w:r>
              <w:rPr>
                <w:rFonts w:hint="eastAsia" w:ascii="仿宋" w:hAnsi="仿宋" w:eastAsia="仿宋" w:cs="仿宋"/>
                <w:color w:val="auto"/>
                <w:szCs w:val="21"/>
              </w:rPr>
              <w:fldChar w:fldCharType="begin"/>
            </w:r>
            <w:r>
              <w:rPr>
                <w:rFonts w:hint="eastAsia" w:ascii="仿宋" w:hAnsi="仿宋" w:eastAsia="仿宋" w:cs="仿宋"/>
                <w:color w:val="auto"/>
                <w:szCs w:val="21"/>
              </w:rPr>
              <w:instrText xml:space="preserve"> = 5 \* GB3 \* MERGEFORMAT </w:instrText>
            </w:r>
            <w:r>
              <w:rPr>
                <w:rFonts w:hint="eastAsia" w:ascii="仿宋" w:hAnsi="仿宋" w:eastAsia="仿宋" w:cs="仿宋"/>
                <w:color w:val="auto"/>
                <w:szCs w:val="21"/>
              </w:rPr>
              <w:fldChar w:fldCharType="separate"/>
            </w:r>
            <w:r>
              <w:rPr>
                <w:rFonts w:hint="eastAsia" w:ascii="仿宋" w:hAnsi="仿宋" w:eastAsia="仿宋" w:cs="仿宋"/>
                <w:color w:val="auto"/>
                <w:szCs w:val="21"/>
              </w:rPr>
              <w:t>⑤</w:t>
            </w:r>
            <w:r>
              <w:rPr>
                <w:rFonts w:hint="eastAsia" w:ascii="仿宋" w:hAnsi="仿宋" w:eastAsia="仿宋" w:cs="仿宋"/>
                <w:color w:val="auto"/>
                <w:szCs w:val="21"/>
              </w:rPr>
              <w:fldChar w:fldCharType="end"/>
            </w:r>
            <w:r>
              <w:rPr>
                <w:rFonts w:hint="eastAsia" w:ascii="仿宋" w:hAnsi="仿宋" w:eastAsia="仿宋" w:cs="仿宋"/>
                <w:color w:val="auto"/>
                <w:szCs w:val="21"/>
              </w:rPr>
              <w:t>应急预案；</w:t>
            </w:r>
            <w:r>
              <w:rPr>
                <w:rFonts w:hint="eastAsia" w:ascii="仿宋" w:hAnsi="仿宋" w:eastAsia="仿宋" w:cs="仿宋"/>
                <w:color w:val="auto"/>
                <w:szCs w:val="21"/>
              </w:rPr>
              <w:fldChar w:fldCharType="begin"/>
            </w:r>
            <w:r>
              <w:rPr>
                <w:rFonts w:hint="eastAsia" w:ascii="仿宋" w:hAnsi="仿宋" w:eastAsia="仿宋" w:cs="仿宋"/>
                <w:color w:val="auto"/>
                <w:szCs w:val="21"/>
              </w:rPr>
              <w:instrText xml:space="preserve"> = 6 \* GB3 </w:instrText>
            </w:r>
            <w:r>
              <w:rPr>
                <w:rFonts w:hint="eastAsia" w:ascii="仿宋" w:hAnsi="仿宋" w:eastAsia="仿宋" w:cs="仿宋"/>
                <w:color w:val="auto"/>
                <w:szCs w:val="21"/>
              </w:rPr>
              <w:fldChar w:fldCharType="separate"/>
            </w:r>
            <w:r>
              <w:rPr>
                <w:rFonts w:hint="eastAsia" w:ascii="仿宋" w:hAnsi="仿宋" w:eastAsia="仿宋" w:cs="仿宋"/>
                <w:color w:val="auto"/>
                <w:szCs w:val="21"/>
              </w:rPr>
              <w:t>⑥</w:t>
            </w:r>
            <w:r>
              <w:rPr>
                <w:rFonts w:hint="eastAsia" w:ascii="仿宋" w:hAnsi="仿宋" w:eastAsia="仿宋" w:cs="仿宋"/>
                <w:color w:val="auto"/>
                <w:szCs w:val="21"/>
              </w:rPr>
              <w:fldChar w:fldCharType="end"/>
            </w:r>
            <w:r>
              <w:rPr>
                <w:rFonts w:hint="eastAsia" w:ascii="仿宋" w:hAnsi="仿宋" w:eastAsia="仿宋" w:cs="仿宋"/>
                <w:color w:val="auto"/>
                <w:szCs w:val="21"/>
              </w:rPr>
              <w:t>本地化售后服务措施；</w:t>
            </w:r>
            <w:r>
              <w:rPr>
                <w:rFonts w:hint="eastAsia" w:ascii="仿宋" w:hAnsi="仿宋" w:eastAsia="仿宋" w:cs="仿宋"/>
                <w:color w:val="auto"/>
                <w:szCs w:val="21"/>
              </w:rPr>
              <w:fldChar w:fldCharType="begin"/>
            </w:r>
            <w:r>
              <w:rPr>
                <w:rFonts w:hint="eastAsia" w:ascii="仿宋" w:hAnsi="仿宋" w:eastAsia="仿宋" w:cs="仿宋"/>
                <w:color w:val="auto"/>
                <w:szCs w:val="21"/>
              </w:rPr>
              <w:instrText xml:space="preserve"> = 7 \* GB3 \* MERGEFORMAT </w:instrText>
            </w:r>
            <w:r>
              <w:rPr>
                <w:rFonts w:hint="eastAsia" w:ascii="仿宋" w:hAnsi="仿宋" w:eastAsia="仿宋" w:cs="仿宋"/>
                <w:color w:val="auto"/>
                <w:szCs w:val="21"/>
              </w:rPr>
              <w:fldChar w:fldCharType="separate"/>
            </w:r>
            <w:r>
              <w:rPr>
                <w:rFonts w:hint="eastAsia" w:ascii="仿宋" w:hAnsi="仿宋" w:eastAsia="仿宋" w:cs="仿宋"/>
                <w:color w:val="auto"/>
                <w:szCs w:val="21"/>
              </w:rPr>
              <w:t>⑦</w:t>
            </w:r>
            <w:r>
              <w:rPr>
                <w:rFonts w:hint="eastAsia" w:ascii="仿宋" w:hAnsi="仿宋" w:eastAsia="仿宋" w:cs="仿宋"/>
                <w:color w:val="auto"/>
                <w:szCs w:val="21"/>
              </w:rPr>
              <w:fldChar w:fldCharType="end"/>
            </w:r>
            <w:r>
              <w:rPr>
                <w:rFonts w:hint="eastAsia" w:ascii="仿宋" w:hAnsi="仿宋" w:eastAsia="仿宋" w:cs="仿宋"/>
                <w:color w:val="auto"/>
                <w:szCs w:val="21"/>
              </w:rPr>
              <w:t>免费技术培训方案。</w:t>
            </w:r>
          </w:p>
          <w:p w14:paraId="28051DC0">
            <w:pPr>
              <w:snapToGrid w:val="0"/>
              <w:spacing w:line="420" w:lineRule="exact"/>
              <w:ind w:firstLine="440"/>
              <w:contextualSpacing/>
              <w:rPr>
                <w:rFonts w:ascii="仿宋" w:hAnsi="仿宋" w:eastAsia="仿宋" w:cs="仿宋"/>
                <w:bCs/>
                <w:color w:val="auto"/>
                <w:szCs w:val="21"/>
              </w:rPr>
            </w:pPr>
            <w:r>
              <w:rPr>
                <w:rFonts w:hint="eastAsia" w:ascii="仿宋" w:hAnsi="仿宋" w:eastAsia="仿宋" w:cs="仿宋"/>
                <w:color w:val="auto"/>
                <w:szCs w:val="21"/>
              </w:rPr>
              <w:t>经评委评定，以上各项内容每有一项内容详细，能保证项目售后服务质量的得2分，满分14分。</w:t>
            </w:r>
          </w:p>
        </w:tc>
      </w:tr>
      <w:tr w14:paraId="7B7D6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30" w:type="dxa"/>
            <w:vMerge w:val="continue"/>
            <w:shd w:val="clear" w:color="auto" w:fill="auto"/>
            <w:noWrap/>
            <w:vAlign w:val="center"/>
          </w:tcPr>
          <w:p w14:paraId="6D51AD30">
            <w:pPr>
              <w:adjustRightInd w:val="0"/>
              <w:spacing w:line="420" w:lineRule="exact"/>
              <w:jc w:val="center"/>
              <w:textAlignment w:val="baseline"/>
              <w:rPr>
                <w:rFonts w:ascii="仿宋" w:hAnsi="仿宋" w:eastAsia="仿宋" w:cs="仿宋"/>
                <w:color w:val="auto"/>
                <w:szCs w:val="21"/>
              </w:rPr>
            </w:pPr>
          </w:p>
        </w:tc>
        <w:tc>
          <w:tcPr>
            <w:tcW w:w="1280" w:type="dxa"/>
            <w:vMerge w:val="continue"/>
            <w:shd w:val="clear" w:color="auto" w:fill="auto"/>
            <w:noWrap/>
            <w:vAlign w:val="center"/>
          </w:tcPr>
          <w:p w14:paraId="01F88719">
            <w:pPr>
              <w:adjustRightInd w:val="0"/>
              <w:spacing w:line="420" w:lineRule="exact"/>
              <w:jc w:val="center"/>
              <w:textAlignment w:val="baseline"/>
              <w:rPr>
                <w:rFonts w:ascii="仿宋" w:hAnsi="仿宋" w:eastAsia="仿宋" w:cs="仿宋"/>
                <w:color w:val="auto"/>
                <w:szCs w:val="21"/>
              </w:rPr>
            </w:pPr>
          </w:p>
        </w:tc>
        <w:tc>
          <w:tcPr>
            <w:tcW w:w="709" w:type="dxa"/>
            <w:vMerge w:val="continue"/>
            <w:shd w:val="clear" w:color="auto" w:fill="auto"/>
            <w:noWrap/>
            <w:vAlign w:val="center"/>
          </w:tcPr>
          <w:p w14:paraId="3F603618">
            <w:pPr>
              <w:adjustRightInd w:val="0"/>
              <w:spacing w:line="420" w:lineRule="exact"/>
              <w:jc w:val="center"/>
              <w:textAlignment w:val="baseline"/>
              <w:rPr>
                <w:rFonts w:ascii="仿宋" w:hAnsi="仿宋" w:eastAsia="仿宋" w:cs="仿宋"/>
                <w:color w:val="auto"/>
                <w:szCs w:val="21"/>
              </w:rPr>
            </w:pPr>
          </w:p>
        </w:tc>
        <w:tc>
          <w:tcPr>
            <w:tcW w:w="1559" w:type="dxa"/>
            <w:shd w:val="clear" w:color="auto" w:fill="auto"/>
            <w:noWrap/>
            <w:vAlign w:val="center"/>
          </w:tcPr>
          <w:p w14:paraId="5F51A133">
            <w:pPr>
              <w:spacing w:line="420" w:lineRule="exact"/>
              <w:jc w:val="center"/>
              <w:rPr>
                <w:rFonts w:ascii="仿宋" w:hAnsi="仿宋" w:eastAsia="仿宋" w:cs="仿宋"/>
                <w:b/>
                <w:color w:val="auto"/>
                <w:szCs w:val="21"/>
              </w:rPr>
            </w:pPr>
            <w:r>
              <w:rPr>
                <w:rFonts w:hint="eastAsia" w:ascii="仿宋" w:hAnsi="仿宋" w:eastAsia="仿宋" w:cs="仿宋"/>
                <w:b/>
                <w:color w:val="auto"/>
                <w:szCs w:val="21"/>
                <w:highlight w:val="none"/>
              </w:rPr>
              <w:t>3.</w:t>
            </w:r>
            <w:r>
              <w:rPr>
                <w:rFonts w:hint="eastAsia" w:ascii="仿宋" w:hAnsi="仿宋" w:eastAsia="仿宋" w:cs="仿宋"/>
                <w:b/>
                <w:color w:val="auto"/>
                <w:szCs w:val="21"/>
                <w:highlight w:val="none"/>
                <w:lang w:val="en-US" w:eastAsia="zh-CN"/>
              </w:rPr>
              <w:t>2</w:t>
            </w:r>
            <w:r>
              <w:rPr>
                <w:rFonts w:hint="eastAsia" w:ascii="仿宋" w:hAnsi="仿宋" w:eastAsia="仿宋" w:cs="仿宋"/>
                <w:b/>
                <w:color w:val="auto"/>
                <w:szCs w:val="21"/>
                <w:highlight w:val="none"/>
              </w:rPr>
              <w:t>业绩</w:t>
            </w:r>
            <w:r>
              <w:rPr>
                <w:rFonts w:hint="eastAsia" w:ascii="仿宋" w:hAnsi="仿宋" w:eastAsia="仿宋" w:cs="仿宋"/>
                <w:b/>
                <w:bCs/>
                <w:color w:val="auto"/>
                <w:szCs w:val="21"/>
                <w:highlight w:val="none"/>
              </w:rPr>
              <w:t>分（满分</w:t>
            </w:r>
            <w:r>
              <w:rPr>
                <w:rFonts w:hint="eastAsia" w:ascii="仿宋" w:hAnsi="仿宋" w:eastAsia="仿宋" w:cs="仿宋"/>
                <w:b/>
                <w:bCs/>
                <w:color w:val="auto"/>
                <w:szCs w:val="21"/>
                <w:highlight w:val="none"/>
                <w:lang w:val="en-US" w:eastAsia="zh-CN"/>
              </w:rPr>
              <w:t>3</w:t>
            </w:r>
            <w:r>
              <w:rPr>
                <w:rFonts w:hint="eastAsia" w:ascii="仿宋" w:hAnsi="仿宋" w:eastAsia="仿宋" w:cs="仿宋"/>
                <w:b/>
                <w:bCs/>
                <w:color w:val="auto"/>
                <w:szCs w:val="21"/>
                <w:highlight w:val="none"/>
              </w:rPr>
              <w:t>分）</w:t>
            </w:r>
          </w:p>
        </w:tc>
        <w:tc>
          <w:tcPr>
            <w:tcW w:w="5599" w:type="dxa"/>
            <w:shd w:val="clear" w:color="auto" w:fill="auto"/>
            <w:noWrap/>
            <w:vAlign w:val="center"/>
          </w:tcPr>
          <w:p w14:paraId="6DFAF034">
            <w:pPr>
              <w:spacing w:line="420" w:lineRule="exact"/>
              <w:ind w:firstLine="420" w:firstLineChars="200"/>
              <w:rPr>
                <w:rFonts w:ascii="仿宋" w:hAnsi="仿宋" w:eastAsia="仿宋" w:cs="仿宋"/>
                <w:bCs/>
                <w:color w:val="auto"/>
                <w:szCs w:val="21"/>
              </w:rPr>
            </w:pPr>
            <w:r>
              <w:rPr>
                <w:rFonts w:hint="eastAsia" w:ascii="仿宋" w:hAnsi="仿宋" w:eastAsia="仿宋" w:cs="仿宋"/>
                <w:color w:val="auto"/>
                <w:szCs w:val="21"/>
              </w:rPr>
              <w:t>3.</w:t>
            </w:r>
            <w:r>
              <w:rPr>
                <w:rFonts w:hint="eastAsia" w:ascii="仿宋" w:hAnsi="仿宋" w:eastAsia="仿宋" w:cs="仿宋"/>
                <w:color w:val="auto"/>
                <w:szCs w:val="21"/>
                <w:lang w:val="en-US" w:eastAsia="zh-CN"/>
              </w:rPr>
              <w:t>2</w:t>
            </w:r>
            <w:r>
              <w:rPr>
                <w:rFonts w:hint="eastAsia" w:ascii="仿宋" w:hAnsi="仿宋" w:eastAsia="仿宋" w:cs="仿宋"/>
                <w:color w:val="auto"/>
                <w:szCs w:val="21"/>
              </w:rPr>
              <w:t>投标人自2022年1月1日以来具有</w:t>
            </w:r>
            <w:r>
              <w:rPr>
                <w:rFonts w:hint="eastAsia" w:ascii="仿宋" w:hAnsi="仿宋" w:eastAsia="仿宋" w:cs="仿宋"/>
                <w:bCs/>
                <w:color w:val="auto"/>
                <w:szCs w:val="21"/>
              </w:rPr>
              <w:t>同类项目业绩的，每个业绩得0.5分，满分</w:t>
            </w:r>
            <w:r>
              <w:rPr>
                <w:rFonts w:hint="eastAsia" w:ascii="仿宋" w:hAnsi="仿宋" w:eastAsia="仿宋" w:cs="仿宋"/>
                <w:bCs/>
                <w:color w:val="auto"/>
                <w:szCs w:val="21"/>
                <w:lang w:val="en-US" w:eastAsia="zh-CN"/>
              </w:rPr>
              <w:t>3</w:t>
            </w:r>
            <w:r>
              <w:rPr>
                <w:rFonts w:hint="eastAsia" w:ascii="仿宋" w:hAnsi="仿宋" w:eastAsia="仿宋" w:cs="仿宋"/>
                <w:bCs/>
                <w:color w:val="auto"/>
                <w:szCs w:val="21"/>
              </w:rPr>
              <w:t>分。</w:t>
            </w:r>
            <w:r>
              <w:rPr>
                <w:rFonts w:hint="eastAsia" w:cs="仿宋"/>
                <w:bCs/>
                <w:color w:val="auto"/>
                <w:szCs w:val="21"/>
              </w:rPr>
              <w:t>（</w:t>
            </w:r>
            <w:r>
              <w:rPr>
                <w:rFonts w:hint="eastAsia" w:ascii="仿宋" w:hAnsi="仿宋" w:eastAsia="仿宋" w:cs="仿宋"/>
                <w:bCs/>
                <w:color w:val="auto"/>
                <w:szCs w:val="21"/>
              </w:rPr>
              <w:t>投标时提供合同或中标（成交）通知书复印件加盖投标人公章，未提供的不计分</w:t>
            </w:r>
            <w:r>
              <w:rPr>
                <w:rFonts w:hint="eastAsia" w:cs="仿宋"/>
                <w:bCs/>
                <w:color w:val="auto"/>
                <w:szCs w:val="21"/>
              </w:rPr>
              <w:t>）</w:t>
            </w:r>
          </w:p>
        </w:tc>
      </w:tr>
      <w:tr w14:paraId="5329C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3" w:hRule="atLeast"/>
          <w:jc w:val="center"/>
        </w:trPr>
        <w:tc>
          <w:tcPr>
            <w:tcW w:w="730" w:type="dxa"/>
            <w:vMerge w:val="continue"/>
            <w:shd w:val="clear" w:color="auto" w:fill="auto"/>
            <w:noWrap/>
            <w:vAlign w:val="center"/>
          </w:tcPr>
          <w:p w14:paraId="7766DB50">
            <w:pPr>
              <w:adjustRightInd w:val="0"/>
              <w:spacing w:line="420" w:lineRule="exact"/>
              <w:jc w:val="center"/>
              <w:textAlignment w:val="baseline"/>
              <w:rPr>
                <w:rFonts w:ascii="仿宋" w:hAnsi="仿宋" w:eastAsia="仿宋" w:cs="仿宋"/>
                <w:color w:val="auto"/>
                <w:szCs w:val="21"/>
              </w:rPr>
            </w:pPr>
          </w:p>
        </w:tc>
        <w:tc>
          <w:tcPr>
            <w:tcW w:w="1280" w:type="dxa"/>
            <w:vMerge w:val="continue"/>
            <w:shd w:val="clear" w:color="auto" w:fill="auto"/>
            <w:noWrap/>
            <w:vAlign w:val="center"/>
          </w:tcPr>
          <w:p w14:paraId="4EDD16FF">
            <w:pPr>
              <w:adjustRightInd w:val="0"/>
              <w:spacing w:line="420" w:lineRule="exact"/>
              <w:jc w:val="center"/>
              <w:textAlignment w:val="baseline"/>
              <w:rPr>
                <w:rFonts w:ascii="仿宋" w:hAnsi="仿宋" w:eastAsia="仿宋" w:cs="仿宋"/>
                <w:color w:val="auto"/>
                <w:szCs w:val="21"/>
              </w:rPr>
            </w:pPr>
          </w:p>
        </w:tc>
        <w:tc>
          <w:tcPr>
            <w:tcW w:w="709" w:type="dxa"/>
            <w:vMerge w:val="continue"/>
            <w:shd w:val="clear" w:color="auto" w:fill="auto"/>
            <w:noWrap/>
            <w:vAlign w:val="center"/>
          </w:tcPr>
          <w:p w14:paraId="77739378">
            <w:pPr>
              <w:adjustRightInd w:val="0"/>
              <w:spacing w:line="420" w:lineRule="exact"/>
              <w:jc w:val="center"/>
              <w:textAlignment w:val="baseline"/>
              <w:rPr>
                <w:rFonts w:ascii="仿宋" w:hAnsi="仿宋" w:eastAsia="仿宋" w:cs="仿宋"/>
                <w:color w:val="auto"/>
                <w:szCs w:val="21"/>
              </w:rPr>
            </w:pPr>
          </w:p>
        </w:tc>
        <w:tc>
          <w:tcPr>
            <w:tcW w:w="1559" w:type="dxa"/>
            <w:shd w:val="clear" w:color="auto" w:fill="auto"/>
            <w:noWrap/>
            <w:vAlign w:val="center"/>
          </w:tcPr>
          <w:p w14:paraId="6ECCCC67">
            <w:pPr>
              <w:spacing w:line="420" w:lineRule="exact"/>
              <w:jc w:val="center"/>
              <w:rPr>
                <w:rFonts w:ascii="仿宋" w:hAnsi="仿宋" w:eastAsia="仿宋" w:cs="仿宋"/>
                <w:b/>
                <w:color w:val="auto"/>
                <w:szCs w:val="21"/>
              </w:rPr>
            </w:pPr>
            <w:r>
              <w:rPr>
                <w:rFonts w:hint="eastAsia" w:ascii="仿宋" w:hAnsi="仿宋" w:eastAsia="仿宋" w:cs="仿宋"/>
                <w:b/>
                <w:bCs/>
                <w:color w:val="auto"/>
                <w:szCs w:val="21"/>
              </w:rPr>
              <w:t>3.</w:t>
            </w:r>
            <w:r>
              <w:rPr>
                <w:rFonts w:hint="eastAsia" w:ascii="仿宋" w:hAnsi="仿宋" w:eastAsia="仿宋" w:cs="仿宋"/>
                <w:b/>
                <w:bCs/>
                <w:color w:val="auto"/>
                <w:szCs w:val="21"/>
                <w:lang w:val="en-US" w:eastAsia="zh-CN"/>
              </w:rPr>
              <w:t>3</w:t>
            </w:r>
            <w:r>
              <w:rPr>
                <w:rFonts w:hint="eastAsia" w:ascii="仿宋" w:hAnsi="仿宋" w:eastAsia="仿宋" w:cs="仿宋"/>
                <w:b/>
                <w:bCs/>
                <w:color w:val="auto"/>
                <w:szCs w:val="21"/>
              </w:rPr>
              <w:t>政策功能分（满分</w:t>
            </w:r>
            <w:r>
              <w:rPr>
                <w:rFonts w:hint="eastAsia" w:ascii="仿宋" w:hAnsi="仿宋" w:eastAsia="仿宋" w:cs="仿宋"/>
                <w:b/>
                <w:bCs/>
                <w:color w:val="auto"/>
                <w:szCs w:val="21"/>
                <w:lang w:val="en-US" w:eastAsia="zh-CN"/>
              </w:rPr>
              <w:t>2</w:t>
            </w:r>
            <w:r>
              <w:rPr>
                <w:rFonts w:hint="eastAsia" w:ascii="仿宋" w:hAnsi="仿宋" w:eastAsia="仿宋" w:cs="仿宋"/>
                <w:b/>
                <w:bCs/>
                <w:color w:val="auto"/>
                <w:szCs w:val="21"/>
              </w:rPr>
              <w:t>分）</w:t>
            </w:r>
          </w:p>
        </w:tc>
        <w:tc>
          <w:tcPr>
            <w:tcW w:w="5599" w:type="dxa"/>
            <w:shd w:val="clear" w:color="auto" w:fill="auto"/>
            <w:noWrap/>
            <w:vAlign w:val="center"/>
          </w:tcPr>
          <w:p w14:paraId="2D8B3B9F">
            <w:pPr>
              <w:spacing w:line="420" w:lineRule="exact"/>
              <w:ind w:firstLine="420" w:firstLineChars="200"/>
              <w:rPr>
                <w:rFonts w:ascii="仿宋" w:hAnsi="仿宋" w:eastAsia="仿宋" w:cs="仿宋"/>
                <w:color w:val="auto"/>
                <w:szCs w:val="21"/>
              </w:rPr>
            </w:pPr>
            <w:r>
              <w:rPr>
                <w:rFonts w:hint="eastAsia" w:ascii="仿宋" w:hAnsi="仿宋" w:eastAsia="仿宋" w:cs="仿宋"/>
                <w:color w:val="auto"/>
                <w:szCs w:val="21"/>
              </w:rPr>
              <w:t>3.</w:t>
            </w:r>
            <w:r>
              <w:rPr>
                <w:rFonts w:hint="eastAsia" w:ascii="仿宋" w:hAnsi="仿宋" w:eastAsia="仿宋" w:cs="仿宋"/>
                <w:color w:val="auto"/>
                <w:szCs w:val="21"/>
                <w:lang w:val="en-US" w:eastAsia="zh-CN"/>
              </w:rPr>
              <w:t>3.1</w:t>
            </w:r>
            <w:r>
              <w:rPr>
                <w:rFonts w:hint="eastAsia" w:ascii="仿宋" w:hAnsi="仿宋" w:eastAsia="仿宋" w:cs="仿宋"/>
                <w:color w:val="auto"/>
                <w:szCs w:val="21"/>
              </w:rPr>
              <w:t>投标产品中包含列入政府采购品目清单中的优先采购产品并具有有效的节能产品认证证书的，每项产品得</w:t>
            </w:r>
            <w:r>
              <w:rPr>
                <w:rFonts w:hint="eastAsia" w:ascii="仿宋" w:hAnsi="仿宋" w:eastAsia="仿宋" w:cs="仿宋"/>
                <w:color w:val="auto"/>
                <w:szCs w:val="21"/>
                <w:lang w:val="en-US" w:eastAsia="zh-CN"/>
              </w:rPr>
              <w:t>1</w:t>
            </w:r>
            <w:r>
              <w:rPr>
                <w:rFonts w:hint="eastAsia" w:ascii="仿宋" w:hAnsi="仿宋" w:eastAsia="仿宋" w:cs="仿宋"/>
                <w:color w:val="auto"/>
                <w:szCs w:val="21"/>
              </w:rPr>
              <w:t>分，满分</w:t>
            </w:r>
            <w:r>
              <w:rPr>
                <w:rFonts w:hint="eastAsia" w:ascii="仿宋" w:hAnsi="仿宋" w:eastAsia="仿宋" w:cs="仿宋"/>
                <w:color w:val="auto"/>
                <w:szCs w:val="21"/>
                <w:lang w:val="en-US" w:eastAsia="zh-CN"/>
              </w:rPr>
              <w:t>1</w:t>
            </w:r>
            <w:r>
              <w:rPr>
                <w:rFonts w:hint="eastAsia" w:ascii="仿宋" w:hAnsi="仿宋" w:eastAsia="仿宋" w:cs="仿宋"/>
                <w:color w:val="auto"/>
                <w:szCs w:val="21"/>
              </w:rPr>
              <w:t>分。（以有效的节能产品认证证书复印件为准，招标文件中有强制要求的除外）</w:t>
            </w:r>
          </w:p>
          <w:p w14:paraId="6825C7A6">
            <w:pPr>
              <w:spacing w:line="420" w:lineRule="exact"/>
              <w:ind w:firstLine="420" w:firstLineChars="200"/>
              <w:rPr>
                <w:rFonts w:ascii="仿宋" w:hAnsi="仿宋" w:eastAsia="仿宋" w:cs="仿宋"/>
                <w:bCs/>
                <w:color w:val="auto"/>
                <w:szCs w:val="21"/>
              </w:rPr>
            </w:pPr>
            <w:r>
              <w:rPr>
                <w:rFonts w:hint="eastAsia" w:ascii="仿宋" w:hAnsi="仿宋" w:eastAsia="仿宋" w:cs="仿宋"/>
                <w:color w:val="auto"/>
                <w:szCs w:val="21"/>
              </w:rPr>
              <w:t>3.</w:t>
            </w:r>
            <w:r>
              <w:rPr>
                <w:rFonts w:hint="eastAsia" w:ascii="仿宋" w:hAnsi="仿宋" w:eastAsia="仿宋" w:cs="仿宋"/>
                <w:color w:val="auto"/>
                <w:szCs w:val="21"/>
                <w:lang w:val="en-US" w:eastAsia="zh-CN"/>
              </w:rPr>
              <w:t>3.2</w:t>
            </w:r>
            <w:r>
              <w:rPr>
                <w:rFonts w:hint="eastAsia" w:ascii="仿宋" w:hAnsi="仿宋" w:eastAsia="仿宋" w:cs="仿宋"/>
                <w:color w:val="auto"/>
                <w:szCs w:val="21"/>
              </w:rPr>
              <w:t>投标产品中包含列入政府采购品目清单中的优先采购产品并具有有效的环境标志产品认证证书，每项产品得</w:t>
            </w:r>
            <w:r>
              <w:rPr>
                <w:rFonts w:hint="eastAsia" w:ascii="仿宋" w:hAnsi="仿宋" w:eastAsia="仿宋" w:cs="仿宋"/>
                <w:color w:val="auto"/>
                <w:szCs w:val="21"/>
                <w:lang w:val="en-US" w:eastAsia="zh-CN"/>
              </w:rPr>
              <w:t>1</w:t>
            </w:r>
            <w:r>
              <w:rPr>
                <w:rFonts w:hint="eastAsia" w:ascii="仿宋" w:hAnsi="仿宋" w:eastAsia="仿宋" w:cs="仿宋"/>
                <w:color w:val="auto"/>
                <w:szCs w:val="21"/>
              </w:rPr>
              <w:t>分，满分</w:t>
            </w:r>
            <w:r>
              <w:rPr>
                <w:rFonts w:hint="eastAsia" w:ascii="仿宋" w:hAnsi="仿宋" w:eastAsia="仿宋" w:cs="仿宋"/>
                <w:color w:val="auto"/>
                <w:szCs w:val="21"/>
                <w:lang w:val="en-US" w:eastAsia="zh-CN"/>
              </w:rPr>
              <w:t>1</w:t>
            </w:r>
            <w:r>
              <w:rPr>
                <w:rFonts w:hint="eastAsia" w:ascii="仿宋" w:hAnsi="仿宋" w:eastAsia="仿宋" w:cs="仿宋"/>
                <w:color w:val="auto"/>
                <w:szCs w:val="21"/>
              </w:rPr>
              <w:t>分。（以有效的环境标志产品认证证书复印件为准，招标文件中有强制要求的除外）</w:t>
            </w:r>
          </w:p>
        </w:tc>
      </w:tr>
      <w:tr w14:paraId="1C4BA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7" w:type="dxa"/>
            <w:gridSpan w:val="5"/>
            <w:shd w:val="clear" w:color="auto" w:fill="auto"/>
            <w:noWrap/>
            <w:vAlign w:val="center"/>
          </w:tcPr>
          <w:p w14:paraId="461503E1">
            <w:pPr>
              <w:spacing w:line="420" w:lineRule="exact"/>
              <w:rPr>
                <w:rFonts w:ascii="仿宋" w:hAnsi="仿宋" w:eastAsia="仿宋" w:cs="仿宋"/>
                <w:bCs/>
                <w:color w:val="auto"/>
                <w:szCs w:val="21"/>
              </w:rPr>
            </w:pPr>
            <w:r>
              <w:rPr>
                <w:rFonts w:hint="eastAsia" w:ascii="仿宋" w:hAnsi="仿宋" w:eastAsia="仿宋" w:cs="仿宋"/>
                <w:b/>
                <w:bCs/>
                <w:color w:val="auto"/>
                <w:szCs w:val="21"/>
              </w:rPr>
              <w:t>总得分=1+2+3。</w:t>
            </w:r>
          </w:p>
        </w:tc>
      </w:tr>
    </w:tbl>
    <w:p w14:paraId="2EB2BDF9">
      <w:pPr>
        <w:jc w:val="center"/>
        <w:rPr>
          <w:rFonts w:ascii="仿宋" w:hAnsi="仿宋" w:eastAsia="仿宋"/>
          <w:b/>
          <w:bCs/>
          <w:color w:val="auto"/>
          <w:kern w:val="0"/>
          <w:sz w:val="28"/>
          <w:szCs w:val="28"/>
        </w:rPr>
      </w:pPr>
    </w:p>
    <w:p w14:paraId="5BBEB949">
      <w:pPr>
        <w:pStyle w:val="26"/>
        <w:spacing w:line="420" w:lineRule="exact"/>
        <w:ind w:firstLine="420"/>
        <w:rPr>
          <w:rFonts w:ascii="仿宋" w:hAnsi="仿宋" w:eastAsia="仿宋"/>
          <w:bCs/>
          <w:color w:val="auto"/>
          <w:sz w:val="21"/>
        </w:rPr>
      </w:pPr>
      <w:r>
        <w:rPr>
          <w:rFonts w:hint="eastAsia" w:ascii="仿宋" w:hAnsi="仿宋" w:eastAsia="仿宋"/>
          <w:bCs/>
          <w:color w:val="auto"/>
          <w:sz w:val="21"/>
        </w:rPr>
        <w:t>注：1.计分方法按四舍五入取至百分位；</w:t>
      </w:r>
    </w:p>
    <w:p w14:paraId="289D7002">
      <w:pPr>
        <w:pStyle w:val="5"/>
        <w:keepNext w:val="0"/>
        <w:keepLines w:val="0"/>
        <w:spacing w:before="0" w:after="0" w:line="420" w:lineRule="exact"/>
        <w:ind w:firstLine="840" w:firstLineChars="400"/>
        <w:rPr>
          <w:rFonts w:ascii="仿宋" w:hAnsi="仿宋" w:eastAsia="仿宋"/>
          <w:b w:val="0"/>
          <w:color w:val="auto"/>
          <w:sz w:val="21"/>
          <w:szCs w:val="21"/>
        </w:rPr>
      </w:pPr>
      <w:r>
        <w:rPr>
          <w:rFonts w:hint="eastAsia" w:ascii="仿宋" w:hAnsi="仿宋" w:eastAsia="仿宋"/>
          <w:b w:val="0"/>
          <w:color w:val="auto"/>
          <w:sz w:val="21"/>
          <w:szCs w:val="21"/>
        </w:rPr>
        <w:t>2.因落实政府采购政策进行价格调整的，以调整后的价格计算评标基准价和投标报价。</w:t>
      </w:r>
    </w:p>
    <w:p w14:paraId="35F05273">
      <w:pPr>
        <w:rPr>
          <w:rFonts w:ascii="仿宋" w:hAnsi="仿宋" w:eastAsia="仿宋"/>
          <w:bCs/>
          <w:color w:val="auto"/>
          <w:kern w:val="0"/>
          <w:szCs w:val="21"/>
        </w:rPr>
      </w:pPr>
    </w:p>
    <w:p w14:paraId="62C5FB83">
      <w:pPr>
        <w:rPr>
          <w:rFonts w:ascii="仿宋" w:hAnsi="仿宋" w:eastAsia="仿宋"/>
          <w:bCs/>
          <w:color w:val="auto"/>
          <w:kern w:val="0"/>
          <w:szCs w:val="21"/>
        </w:rPr>
      </w:pPr>
    </w:p>
    <w:p w14:paraId="56E067D8">
      <w:pPr>
        <w:rPr>
          <w:rFonts w:ascii="仿宋" w:hAnsi="仿宋" w:eastAsia="仿宋"/>
          <w:bCs/>
          <w:color w:val="auto"/>
          <w:kern w:val="0"/>
          <w:szCs w:val="21"/>
        </w:rPr>
      </w:pPr>
    </w:p>
    <w:p w14:paraId="24202070">
      <w:pPr>
        <w:rPr>
          <w:rFonts w:hint="eastAsia" w:ascii="仿宋" w:hAnsi="仿宋" w:eastAsia="仿宋" w:cs="仿宋"/>
          <w:color w:val="auto"/>
        </w:rPr>
      </w:pPr>
    </w:p>
    <w:p w14:paraId="18D2D058">
      <w:pPr>
        <w:rPr>
          <w:rFonts w:hint="eastAsia" w:ascii="仿宋" w:hAnsi="仿宋" w:eastAsia="仿宋" w:cs="仿宋"/>
          <w:color w:val="auto"/>
        </w:rPr>
      </w:pPr>
    </w:p>
    <w:p w14:paraId="25651BEE">
      <w:pPr>
        <w:rPr>
          <w:rFonts w:hint="eastAsia" w:ascii="仿宋" w:hAnsi="仿宋" w:eastAsia="仿宋" w:cs="仿宋"/>
          <w:color w:val="auto"/>
        </w:rPr>
      </w:pPr>
    </w:p>
    <w:p w14:paraId="61563384">
      <w:pPr>
        <w:rPr>
          <w:rFonts w:hint="eastAsia" w:ascii="仿宋" w:hAnsi="仿宋" w:eastAsia="仿宋" w:cs="仿宋"/>
          <w:color w:val="auto"/>
        </w:rPr>
      </w:pPr>
    </w:p>
    <w:p w14:paraId="098120E1">
      <w:pPr>
        <w:rPr>
          <w:rFonts w:hint="eastAsia" w:ascii="仿宋" w:hAnsi="仿宋" w:eastAsia="仿宋" w:cs="仿宋"/>
          <w:color w:val="auto"/>
        </w:rPr>
      </w:pPr>
    </w:p>
    <w:p w14:paraId="179C62B9">
      <w:pPr>
        <w:rPr>
          <w:rFonts w:hint="eastAsia" w:ascii="仿宋" w:hAnsi="仿宋" w:eastAsia="仿宋" w:cs="仿宋"/>
          <w:color w:val="auto"/>
        </w:rPr>
      </w:pPr>
    </w:p>
    <w:p w14:paraId="3236D34E">
      <w:pPr>
        <w:rPr>
          <w:rFonts w:hint="eastAsia" w:ascii="仿宋" w:hAnsi="仿宋" w:eastAsia="仿宋" w:cs="仿宋"/>
          <w:color w:val="auto"/>
        </w:rPr>
      </w:pPr>
      <w:r>
        <w:rPr>
          <w:rFonts w:hint="eastAsia" w:ascii="仿宋" w:hAnsi="仿宋" w:eastAsia="仿宋" w:cs="仿宋"/>
          <w:color w:val="auto"/>
          <w:lang w:val="en-US" w:eastAsia="zh-CN"/>
        </w:rPr>
        <w:t>分标2：</w:t>
      </w:r>
    </w:p>
    <w:tbl>
      <w:tblPr>
        <w:tblStyle w:val="47"/>
        <w:tblW w:w="9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280"/>
        <w:gridCol w:w="709"/>
        <w:gridCol w:w="1559"/>
        <w:gridCol w:w="5599"/>
      </w:tblGrid>
      <w:tr w14:paraId="004FC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30" w:type="dxa"/>
            <w:shd w:val="clear" w:color="auto" w:fill="auto"/>
            <w:noWrap/>
            <w:vAlign w:val="center"/>
          </w:tcPr>
          <w:p w14:paraId="271A7501">
            <w:pPr>
              <w:adjustRightInd w:val="0"/>
              <w:spacing w:line="420" w:lineRule="exact"/>
              <w:jc w:val="center"/>
              <w:textAlignment w:val="baseline"/>
              <w:rPr>
                <w:rFonts w:ascii="仿宋" w:hAnsi="仿宋" w:eastAsia="仿宋" w:cs="仿宋"/>
                <w:b/>
                <w:color w:val="auto"/>
                <w:szCs w:val="21"/>
              </w:rPr>
            </w:pPr>
            <w:r>
              <w:rPr>
                <w:rFonts w:hint="eastAsia" w:ascii="仿宋" w:hAnsi="仿宋" w:eastAsia="仿宋" w:cs="仿宋"/>
                <w:b/>
                <w:color w:val="auto"/>
                <w:szCs w:val="21"/>
              </w:rPr>
              <w:t>序号</w:t>
            </w:r>
          </w:p>
        </w:tc>
        <w:tc>
          <w:tcPr>
            <w:tcW w:w="1280" w:type="dxa"/>
            <w:shd w:val="clear" w:color="auto" w:fill="auto"/>
            <w:noWrap/>
            <w:vAlign w:val="center"/>
          </w:tcPr>
          <w:p w14:paraId="6BEDE235">
            <w:pPr>
              <w:adjustRightInd w:val="0"/>
              <w:spacing w:line="420" w:lineRule="exact"/>
              <w:jc w:val="center"/>
              <w:textAlignment w:val="baseline"/>
              <w:rPr>
                <w:rFonts w:ascii="仿宋" w:hAnsi="仿宋" w:eastAsia="仿宋" w:cs="仿宋"/>
                <w:color w:val="auto"/>
                <w:szCs w:val="21"/>
              </w:rPr>
            </w:pPr>
            <w:r>
              <w:rPr>
                <w:rFonts w:hint="eastAsia" w:ascii="仿宋" w:hAnsi="仿宋" w:eastAsia="仿宋" w:cs="仿宋"/>
                <w:b/>
                <w:color w:val="auto"/>
                <w:szCs w:val="21"/>
              </w:rPr>
              <w:t>评审因素</w:t>
            </w:r>
          </w:p>
        </w:tc>
        <w:tc>
          <w:tcPr>
            <w:tcW w:w="709" w:type="dxa"/>
            <w:shd w:val="clear" w:color="auto" w:fill="auto"/>
            <w:noWrap/>
            <w:vAlign w:val="center"/>
          </w:tcPr>
          <w:p w14:paraId="76123425">
            <w:pPr>
              <w:adjustRightInd w:val="0"/>
              <w:spacing w:line="420" w:lineRule="exact"/>
              <w:jc w:val="center"/>
              <w:textAlignment w:val="baseline"/>
              <w:rPr>
                <w:rFonts w:ascii="仿宋" w:hAnsi="仿宋" w:eastAsia="仿宋" w:cs="仿宋"/>
                <w:b/>
                <w:color w:val="auto"/>
                <w:szCs w:val="21"/>
              </w:rPr>
            </w:pPr>
            <w:r>
              <w:rPr>
                <w:rFonts w:hint="eastAsia" w:ascii="仿宋" w:hAnsi="仿宋" w:eastAsia="仿宋" w:cs="仿宋"/>
                <w:b/>
                <w:color w:val="auto"/>
                <w:szCs w:val="21"/>
              </w:rPr>
              <w:t>分值</w:t>
            </w:r>
          </w:p>
        </w:tc>
        <w:tc>
          <w:tcPr>
            <w:tcW w:w="7158" w:type="dxa"/>
            <w:gridSpan w:val="2"/>
            <w:shd w:val="clear" w:color="auto" w:fill="auto"/>
            <w:noWrap/>
            <w:vAlign w:val="center"/>
          </w:tcPr>
          <w:p w14:paraId="6A1692AB">
            <w:pPr>
              <w:adjustRightInd w:val="0"/>
              <w:spacing w:line="420" w:lineRule="exact"/>
              <w:jc w:val="center"/>
              <w:textAlignment w:val="baseline"/>
              <w:rPr>
                <w:rFonts w:ascii="仿宋" w:hAnsi="仿宋" w:eastAsia="仿宋" w:cs="仿宋"/>
                <w:b/>
                <w:color w:val="auto"/>
                <w:szCs w:val="21"/>
              </w:rPr>
            </w:pPr>
            <w:r>
              <w:rPr>
                <w:rFonts w:hint="eastAsia" w:ascii="仿宋" w:hAnsi="仿宋" w:eastAsia="仿宋" w:cs="仿宋"/>
                <w:b/>
                <w:color w:val="auto"/>
                <w:szCs w:val="21"/>
              </w:rPr>
              <w:t>评标标准</w:t>
            </w:r>
          </w:p>
        </w:tc>
      </w:tr>
      <w:tr w14:paraId="658F2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shd w:val="clear" w:color="auto" w:fill="auto"/>
            <w:noWrap/>
            <w:vAlign w:val="center"/>
          </w:tcPr>
          <w:p w14:paraId="0311CBE8">
            <w:pPr>
              <w:adjustRightInd w:val="0"/>
              <w:spacing w:line="420" w:lineRule="exact"/>
              <w:jc w:val="center"/>
              <w:textAlignment w:val="baseline"/>
              <w:rPr>
                <w:rFonts w:ascii="仿宋" w:hAnsi="仿宋" w:eastAsia="仿宋" w:cs="仿宋"/>
                <w:b/>
                <w:color w:val="auto"/>
                <w:szCs w:val="21"/>
              </w:rPr>
            </w:pPr>
            <w:r>
              <w:rPr>
                <w:rFonts w:hint="eastAsia" w:ascii="仿宋" w:hAnsi="仿宋" w:eastAsia="仿宋" w:cs="仿宋"/>
                <w:b/>
                <w:color w:val="auto"/>
                <w:szCs w:val="21"/>
              </w:rPr>
              <w:t>1</w:t>
            </w:r>
          </w:p>
        </w:tc>
        <w:tc>
          <w:tcPr>
            <w:tcW w:w="1280" w:type="dxa"/>
            <w:shd w:val="clear" w:color="auto" w:fill="auto"/>
            <w:noWrap/>
            <w:vAlign w:val="center"/>
          </w:tcPr>
          <w:p w14:paraId="42CA5329">
            <w:pPr>
              <w:adjustRightInd w:val="0"/>
              <w:spacing w:line="420" w:lineRule="exact"/>
              <w:jc w:val="center"/>
              <w:textAlignment w:val="baseline"/>
              <w:rPr>
                <w:rFonts w:ascii="仿宋" w:hAnsi="仿宋" w:eastAsia="仿宋" w:cs="仿宋"/>
                <w:b/>
                <w:color w:val="auto"/>
                <w:szCs w:val="21"/>
              </w:rPr>
            </w:pPr>
            <w:r>
              <w:rPr>
                <w:rFonts w:hint="eastAsia" w:ascii="仿宋" w:hAnsi="仿宋" w:eastAsia="仿宋" w:cs="仿宋"/>
                <w:b/>
                <w:color w:val="auto"/>
                <w:szCs w:val="21"/>
              </w:rPr>
              <w:t>投标报价</w:t>
            </w:r>
          </w:p>
        </w:tc>
        <w:tc>
          <w:tcPr>
            <w:tcW w:w="709" w:type="dxa"/>
            <w:shd w:val="clear" w:color="auto" w:fill="auto"/>
            <w:noWrap/>
            <w:vAlign w:val="center"/>
          </w:tcPr>
          <w:p w14:paraId="726CBEF5">
            <w:pPr>
              <w:adjustRightInd w:val="0"/>
              <w:spacing w:line="420" w:lineRule="exact"/>
              <w:jc w:val="center"/>
              <w:textAlignment w:val="baseline"/>
              <w:rPr>
                <w:rFonts w:ascii="仿宋" w:hAnsi="仿宋" w:eastAsia="仿宋" w:cs="仿宋"/>
                <w:b/>
                <w:color w:val="auto"/>
                <w:szCs w:val="21"/>
              </w:rPr>
            </w:pPr>
            <w:r>
              <w:rPr>
                <w:rFonts w:hint="eastAsia" w:ascii="仿宋" w:hAnsi="仿宋" w:eastAsia="仿宋" w:cs="仿宋"/>
                <w:bCs/>
                <w:color w:val="auto"/>
                <w:szCs w:val="21"/>
              </w:rPr>
              <w:t>30分</w:t>
            </w:r>
          </w:p>
        </w:tc>
        <w:tc>
          <w:tcPr>
            <w:tcW w:w="7158" w:type="dxa"/>
            <w:gridSpan w:val="2"/>
            <w:shd w:val="clear" w:color="auto" w:fill="auto"/>
            <w:noWrap/>
            <w:vAlign w:val="center"/>
          </w:tcPr>
          <w:p w14:paraId="589728F4">
            <w:pPr>
              <w:spacing w:line="420" w:lineRule="exact"/>
              <w:rPr>
                <w:rFonts w:hint="eastAsia" w:ascii="仿宋" w:hAnsi="仿宋" w:eastAsia="仿宋" w:cs="仿宋"/>
                <w:color w:val="auto"/>
                <w:szCs w:val="21"/>
              </w:rPr>
            </w:pPr>
            <w:r>
              <w:rPr>
                <w:rFonts w:hint="eastAsia" w:ascii="仿宋" w:hAnsi="仿宋" w:eastAsia="仿宋" w:cs="仿宋"/>
                <w:color w:val="auto"/>
                <w:szCs w:val="21"/>
              </w:rPr>
              <w:t>（1）评标报价为投标人的投标报价进行政策性扣除后的价格，评标报价只是作为评标时使用。最终中标人的中标金额等于投标报价。</w:t>
            </w:r>
          </w:p>
          <w:p w14:paraId="7AFA067F">
            <w:pPr>
              <w:spacing w:line="420" w:lineRule="exact"/>
              <w:rPr>
                <w:rFonts w:hint="eastAsia" w:ascii="仿宋" w:hAnsi="仿宋" w:eastAsia="仿宋" w:cs="仿宋"/>
                <w:color w:val="auto"/>
                <w:szCs w:val="21"/>
              </w:rPr>
            </w:pPr>
            <w:r>
              <w:rPr>
                <w:rFonts w:hint="eastAsia" w:ascii="仿宋" w:hAnsi="仿宋" w:eastAsia="仿宋" w:cs="仿宋"/>
                <w:color w:val="auto"/>
                <w:szCs w:val="21"/>
              </w:rPr>
              <w:t>（2）政策性扣除计算方法。</w:t>
            </w:r>
          </w:p>
          <w:p w14:paraId="5025645F">
            <w:pPr>
              <w:spacing w:line="420" w:lineRule="exact"/>
              <w:rPr>
                <w:rFonts w:hint="eastAsia" w:ascii="仿宋" w:hAnsi="仿宋" w:eastAsia="仿宋" w:cs="仿宋"/>
                <w:color w:val="auto"/>
                <w:szCs w:val="21"/>
              </w:rPr>
            </w:pPr>
            <w:r>
              <w:rPr>
                <w:rFonts w:hint="eastAsia" w:ascii="仿宋" w:hAnsi="仿宋" w:eastAsia="仿宋" w:cs="仿宋"/>
                <w:color w:val="auto"/>
                <w:szCs w:val="21"/>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微企业制造的，对其投标报价给予10%（范围为10%-20%）的扣除，扣除后的价格为评标报价，即评标报价=投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范围为4%-6%）的扣除，用扣除后的价格参加评审，扣除后的价格为评标报价，即评标报价=投标报价×（1-4%）。除上述情况外，评标报价=投标报价。</w:t>
            </w:r>
          </w:p>
          <w:p w14:paraId="673167EA">
            <w:pPr>
              <w:spacing w:line="420" w:lineRule="exact"/>
              <w:rPr>
                <w:rFonts w:hint="eastAsia" w:ascii="仿宋" w:hAnsi="仿宋" w:eastAsia="仿宋" w:cs="仿宋"/>
                <w:color w:val="auto"/>
                <w:szCs w:val="21"/>
              </w:rPr>
            </w:pPr>
            <w:r>
              <w:rPr>
                <w:rFonts w:hint="eastAsia" w:ascii="仿宋" w:hAnsi="仿宋" w:eastAsia="仿宋" w:cs="仿宋"/>
                <w:color w:val="auto"/>
                <w:szCs w:val="21"/>
              </w:rPr>
              <w:t>（3）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3CF514F5">
            <w:pPr>
              <w:spacing w:line="420" w:lineRule="exact"/>
              <w:rPr>
                <w:rFonts w:hint="eastAsia" w:ascii="仿宋" w:hAnsi="仿宋" w:eastAsia="仿宋" w:cs="仿宋"/>
                <w:color w:val="auto"/>
                <w:szCs w:val="21"/>
              </w:rPr>
            </w:pPr>
            <w:r>
              <w:rPr>
                <w:rFonts w:hint="eastAsia" w:ascii="仿宋" w:hAnsi="仿宋" w:eastAsia="仿宋" w:cs="仿宋"/>
                <w:color w:val="auto"/>
                <w:szCs w:val="21"/>
              </w:rPr>
              <w:t>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67125B9F">
            <w:pPr>
              <w:spacing w:line="420" w:lineRule="exact"/>
              <w:rPr>
                <w:rFonts w:hint="eastAsia" w:ascii="仿宋" w:hAnsi="仿宋" w:eastAsia="仿宋" w:cs="仿宋"/>
                <w:color w:val="auto"/>
                <w:szCs w:val="21"/>
              </w:rPr>
            </w:pPr>
            <w:r>
              <w:rPr>
                <w:rFonts w:hint="eastAsia" w:ascii="仿宋" w:hAnsi="仿宋" w:eastAsia="仿宋" w:cs="仿宋"/>
                <w:color w:val="auto"/>
                <w:szCs w:val="21"/>
              </w:rPr>
              <w:t>供应商在其投标文件中提供《关于符合本国产品标准的声明函》的，该产品视为本国产品。</w:t>
            </w:r>
          </w:p>
          <w:p w14:paraId="5531269E">
            <w:pPr>
              <w:spacing w:line="420" w:lineRule="exact"/>
              <w:rPr>
                <w:rFonts w:hint="eastAsia" w:ascii="仿宋" w:hAnsi="仿宋" w:eastAsia="仿宋" w:cs="仿宋"/>
                <w:color w:val="auto"/>
                <w:szCs w:val="21"/>
              </w:rPr>
            </w:pPr>
            <w:r>
              <w:rPr>
                <w:rFonts w:hint="eastAsia" w:ascii="仿宋" w:hAnsi="仿宋" w:eastAsia="仿宋" w:cs="仿宋"/>
                <w:color w:val="auto"/>
                <w:szCs w:val="21"/>
              </w:rPr>
              <w:t>（4）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36BCA7D5">
            <w:pPr>
              <w:spacing w:line="420" w:lineRule="exact"/>
              <w:rPr>
                <w:rFonts w:hint="eastAsia" w:ascii="仿宋" w:hAnsi="仿宋" w:eastAsia="仿宋" w:cs="仿宋"/>
                <w:color w:val="auto"/>
                <w:szCs w:val="21"/>
              </w:rPr>
            </w:pPr>
            <w:r>
              <w:rPr>
                <w:rFonts w:hint="eastAsia" w:ascii="仿宋" w:hAnsi="仿宋" w:eastAsia="仿宋" w:cs="仿宋"/>
                <w:color w:val="auto"/>
                <w:szCs w:val="21"/>
              </w:rPr>
              <w:t>（5）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5E071BFC">
            <w:pPr>
              <w:spacing w:line="420" w:lineRule="exact"/>
              <w:rPr>
                <w:rFonts w:hint="eastAsia" w:ascii="仿宋" w:hAnsi="仿宋" w:eastAsia="仿宋" w:cs="仿宋"/>
                <w:color w:val="auto"/>
                <w:szCs w:val="21"/>
              </w:rPr>
            </w:pPr>
            <w:r>
              <w:rPr>
                <w:rFonts w:hint="eastAsia" w:ascii="仿宋" w:hAnsi="仿宋" w:eastAsia="仿宋" w:cs="仿宋"/>
                <w:color w:val="auto"/>
                <w:szCs w:val="21"/>
              </w:rPr>
              <w:t>（6）中小企业折扣与本国产品折扣进行叠加计算，用扣除后的价格参加评审。即评审价=投标报价-中小企业折扣-本国产品折扣，除上述情况外，评审价=投标报价。</w:t>
            </w:r>
          </w:p>
          <w:p w14:paraId="7B994FDE">
            <w:pPr>
              <w:spacing w:line="420" w:lineRule="exact"/>
              <w:rPr>
                <w:rFonts w:hint="eastAsia" w:ascii="仿宋" w:hAnsi="仿宋" w:eastAsia="仿宋" w:cs="仿宋"/>
                <w:color w:val="auto"/>
                <w:szCs w:val="21"/>
              </w:rPr>
            </w:pPr>
            <w:r>
              <w:rPr>
                <w:rFonts w:hint="eastAsia" w:ascii="仿宋" w:hAnsi="仿宋" w:eastAsia="仿宋" w:cs="仿宋"/>
                <w:color w:val="auto"/>
                <w:szCs w:val="21"/>
              </w:rPr>
              <w:t>（7）满足招标文件要求且评标报价最低的评标报价为评标基准价，其价格分为满分。</w:t>
            </w:r>
          </w:p>
          <w:p w14:paraId="24C4B029">
            <w:pPr>
              <w:spacing w:line="420" w:lineRule="exact"/>
              <w:rPr>
                <w:rFonts w:ascii="仿宋" w:hAnsi="仿宋" w:eastAsia="仿宋" w:cs="仿宋"/>
                <w:color w:val="auto"/>
                <w:szCs w:val="21"/>
              </w:rPr>
            </w:pPr>
            <w:r>
              <w:rPr>
                <w:rFonts w:hint="eastAsia" w:ascii="仿宋" w:hAnsi="仿宋" w:eastAsia="仿宋" w:cs="仿宋"/>
                <w:color w:val="auto"/>
                <w:szCs w:val="21"/>
              </w:rPr>
              <w:t>（8）价格分计算公式： 价格分=（评标基准价／评标报价）×30分</w:t>
            </w:r>
          </w:p>
        </w:tc>
      </w:tr>
      <w:tr w14:paraId="4CF2C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jc w:val="center"/>
        </w:trPr>
        <w:tc>
          <w:tcPr>
            <w:tcW w:w="730" w:type="dxa"/>
            <w:vMerge w:val="restart"/>
            <w:shd w:val="clear" w:color="auto" w:fill="auto"/>
            <w:noWrap/>
            <w:vAlign w:val="center"/>
          </w:tcPr>
          <w:p w14:paraId="6D1115D4">
            <w:pPr>
              <w:adjustRightInd w:val="0"/>
              <w:spacing w:line="420" w:lineRule="exact"/>
              <w:jc w:val="center"/>
              <w:textAlignment w:val="baseline"/>
              <w:rPr>
                <w:rFonts w:ascii="仿宋" w:hAnsi="仿宋" w:eastAsia="仿宋" w:cs="仿宋"/>
                <w:b/>
                <w:color w:val="auto"/>
                <w:szCs w:val="21"/>
              </w:rPr>
            </w:pPr>
            <w:r>
              <w:rPr>
                <w:rFonts w:hint="eastAsia" w:ascii="仿宋" w:hAnsi="仿宋" w:eastAsia="仿宋" w:cs="仿宋"/>
                <w:b/>
                <w:color w:val="auto"/>
                <w:szCs w:val="21"/>
              </w:rPr>
              <w:t>2</w:t>
            </w:r>
          </w:p>
        </w:tc>
        <w:tc>
          <w:tcPr>
            <w:tcW w:w="1280" w:type="dxa"/>
            <w:vMerge w:val="restart"/>
            <w:shd w:val="clear" w:color="auto" w:fill="auto"/>
            <w:noWrap/>
            <w:vAlign w:val="center"/>
          </w:tcPr>
          <w:p w14:paraId="5D9B0017">
            <w:pPr>
              <w:adjustRightInd w:val="0"/>
              <w:spacing w:line="420" w:lineRule="exact"/>
              <w:jc w:val="center"/>
              <w:textAlignment w:val="baseline"/>
              <w:rPr>
                <w:rFonts w:ascii="仿宋" w:hAnsi="仿宋" w:eastAsia="仿宋" w:cs="仿宋"/>
                <w:b/>
                <w:color w:val="auto"/>
                <w:szCs w:val="21"/>
              </w:rPr>
            </w:pPr>
            <w:r>
              <w:rPr>
                <w:rFonts w:hint="eastAsia" w:ascii="仿宋" w:hAnsi="仿宋" w:eastAsia="仿宋" w:cs="仿宋"/>
                <w:b/>
                <w:color w:val="auto"/>
                <w:szCs w:val="21"/>
              </w:rPr>
              <w:t>技术分</w:t>
            </w:r>
          </w:p>
        </w:tc>
        <w:tc>
          <w:tcPr>
            <w:tcW w:w="709" w:type="dxa"/>
            <w:vMerge w:val="restart"/>
            <w:shd w:val="clear" w:color="auto" w:fill="auto"/>
            <w:noWrap/>
            <w:vAlign w:val="center"/>
          </w:tcPr>
          <w:p w14:paraId="02F941AD">
            <w:pPr>
              <w:adjustRightInd w:val="0"/>
              <w:spacing w:line="420" w:lineRule="exact"/>
              <w:jc w:val="center"/>
              <w:textAlignment w:val="baseline"/>
              <w:rPr>
                <w:rFonts w:ascii="仿宋" w:hAnsi="仿宋" w:eastAsia="仿宋" w:cs="仿宋"/>
                <w:b/>
                <w:color w:val="auto"/>
                <w:szCs w:val="21"/>
              </w:rPr>
            </w:pPr>
            <w:r>
              <w:rPr>
                <w:rFonts w:hint="eastAsia" w:ascii="仿宋" w:hAnsi="仿宋" w:eastAsia="仿宋" w:cs="仿宋"/>
                <w:b/>
                <w:color w:val="auto"/>
                <w:szCs w:val="21"/>
                <w:lang w:val="en-US" w:eastAsia="zh-CN"/>
              </w:rPr>
              <w:t>55</w:t>
            </w:r>
            <w:r>
              <w:rPr>
                <w:rFonts w:hint="eastAsia" w:ascii="仿宋" w:hAnsi="仿宋" w:eastAsia="仿宋" w:cs="仿宋"/>
                <w:b/>
                <w:color w:val="auto"/>
                <w:szCs w:val="21"/>
              </w:rPr>
              <w:t>分</w:t>
            </w:r>
          </w:p>
        </w:tc>
        <w:tc>
          <w:tcPr>
            <w:tcW w:w="1559" w:type="dxa"/>
            <w:shd w:val="clear" w:color="auto" w:fill="auto"/>
            <w:noWrap/>
            <w:vAlign w:val="center"/>
          </w:tcPr>
          <w:p w14:paraId="0776291C">
            <w:pPr>
              <w:spacing w:line="420" w:lineRule="exact"/>
              <w:jc w:val="center"/>
              <w:rPr>
                <w:rFonts w:ascii="仿宋" w:hAnsi="仿宋" w:eastAsia="仿宋" w:cs="仿宋"/>
                <w:b/>
                <w:color w:val="auto"/>
                <w:szCs w:val="21"/>
              </w:rPr>
            </w:pPr>
            <w:r>
              <w:rPr>
                <w:rFonts w:hint="eastAsia" w:ascii="仿宋" w:hAnsi="仿宋" w:eastAsia="仿宋" w:cs="仿宋"/>
                <w:b/>
                <w:color w:val="auto"/>
                <w:szCs w:val="21"/>
              </w:rPr>
              <w:t>2.1基本分</w:t>
            </w:r>
          </w:p>
          <w:p w14:paraId="6A024FBF">
            <w:pPr>
              <w:spacing w:line="420" w:lineRule="exact"/>
              <w:jc w:val="center"/>
              <w:rPr>
                <w:rFonts w:ascii="仿宋" w:hAnsi="仿宋" w:eastAsia="仿宋" w:cs="仿宋"/>
                <w:bCs/>
                <w:color w:val="auto"/>
                <w:szCs w:val="21"/>
              </w:rPr>
            </w:pPr>
            <w:r>
              <w:rPr>
                <w:rFonts w:hint="eastAsia" w:ascii="仿宋" w:hAnsi="仿宋" w:eastAsia="仿宋" w:cs="仿宋"/>
                <w:b/>
                <w:color w:val="auto"/>
                <w:szCs w:val="21"/>
              </w:rPr>
              <w:t>（满分</w:t>
            </w:r>
            <w:r>
              <w:rPr>
                <w:rFonts w:hint="eastAsia" w:ascii="仿宋" w:hAnsi="仿宋" w:eastAsia="仿宋" w:cs="仿宋"/>
                <w:b/>
                <w:color w:val="auto"/>
                <w:szCs w:val="21"/>
                <w:lang w:val="en-US" w:eastAsia="zh-CN"/>
              </w:rPr>
              <w:t>10</w:t>
            </w:r>
            <w:r>
              <w:rPr>
                <w:rFonts w:hint="eastAsia" w:ascii="仿宋" w:hAnsi="仿宋" w:eastAsia="仿宋" w:cs="仿宋"/>
                <w:b/>
                <w:color w:val="auto"/>
                <w:szCs w:val="21"/>
              </w:rPr>
              <w:t>分）</w:t>
            </w:r>
          </w:p>
        </w:tc>
        <w:tc>
          <w:tcPr>
            <w:tcW w:w="5599" w:type="dxa"/>
            <w:shd w:val="clear" w:color="auto" w:fill="auto"/>
            <w:noWrap/>
            <w:vAlign w:val="center"/>
          </w:tcPr>
          <w:p w14:paraId="3F54C6C6">
            <w:pPr>
              <w:pStyle w:val="19"/>
              <w:ind w:firstLine="420" w:firstLineChars="200"/>
              <w:rPr>
                <w:rFonts w:ascii="仿宋" w:hAnsi="仿宋" w:eastAsia="仿宋" w:cs="仿宋"/>
                <w:bCs/>
                <w:color w:val="auto"/>
                <w:kern w:val="2"/>
                <w:sz w:val="21"/>
                <w:szCs w:val="21"/>
              </w:rPr>
            </w:pPr>
            <w:r>
              <w:rPr>
                <w:rFonts w:hint="eastAsia" w:ascii="仿宋" w:hAnsi="仿宋" w:eastAsia="仿宋" w:cs="仿宋"/>
                <w:bCs/>
                <w:color w:val="auto"/>
                <w:kern w:val="2"/>
                <w:sz w:val="21"/>
                <w:szCs w:val="21"/>
              </w:rPr>
              <w:t>技术参数完全满足招标文件要求得</w:t>
            </w:r>
            <w:r>
              <w:rPr>
                <w:rFonts w:hint="eastAsia" w:ascii="仿宋" w:hAnsi="仿宋" w:eastAsia="仿宋" w:cs="仿宋"/>
                <w:bCs/>
                <w:color w:val="auto"/>
                <w:kern w:val="2"/>
                <w:sz w:val="21"/>
                <w:szCs w:val="21"/>
                <w:lang w:val="en-US" w:eastAsia="zh-CN"/>
              </w:rPr>
              <w:t>10</w:t>
            </w:r>
            <w:r>
              <w:rPr>
                <w:rFonts w:hint="eastAsia" w:ascii="仿宋" w:hAnsi="仿宋" w:eastAsia="仿宋" w:cs="仿宋"/>
                <w:bCs/>
                <w:color w:val="auto"/>
                <w:kern w:val="2"/>
                <w:sz w:val="21"/>
                <w:szCs w:val="21"/>
              </w:rPr>
              <w:t>分，技术参数（不带▲号）有负偏离的每一项扣</w:t>
            </w:r>
            <w:r>
              <w:rPr>
                <w:rFonts w:hint="eastAsia" w:ascii="仿宋" w:hAnsi="仿宋" w:eastAsia="仿宋" w:cs="仿宋"/>
                <w:bCs/>
                <w:color w:val="auto"/>
                <w:kern w:val="2"/>
                <w:sz w:val="21"/>
                <w:szCs w:val="21"/>
                <w:lang w:val="en-US" w:eastAsia="zh-CN"/>
              </w:rPr>
              <w:t>1</w:t>
            </w:r>
            <w:r>
              <w:rPr>
                <w:rFonts w:hint="eastAsia" w:ascii="仿宋" w:hAnsi="仿宋" w:eastAsia="仿宋" w:cs="仿宋"/>
                <w:bCs/>
                <w:color w:val="auto"/>
                <w:kern w:val="2"/>
                <w:sz w:val="21"/>
                <w:szCs w:val="21"/>
              </w:rPr>
              <w:t>分，漏项的每一项扣</w:t>
            </w:r>
            <w:r>
              <w:rPr>
                <w:rFonts w:hint="eastAsia" w:ascii="仿宋" w:hAnsi="仿宋" w:eastAsia="仿宋" w:cs="仿宋"/>
                <w:bCs/>
                <w:color w:val="auto"/>
                <w:kern w:val="2"/>
                <w:sz w:val="21"/>
                <w:szCs w:val="21"/>
                <w:lang w:val="en-US" w:eastAsia="zh-CN"/>
              </w:rPr>
              <w:t>1</w:t>
            </w:r>
            <w:r>
              <w:rPr>
                <w:rFonts w:hint="eastAsia" w:ascii="仿宋" w:hAnsi="仿宋" w:eastAsia="仿宋" w:cs="仿宋"/>
                <w:bCs/>
                <w:color w:val="auto"/>
                <w:kern w:val="2"/>
                <w:sz w:val="21"/>
                <w:szCs w:val="21"/>
              </w:rPr>
              <w:t>分。扣完本项分值为止。（在招标文件允许偏离的项数内）。</w:t>
            </w:r>
          </w:p>
        </w:tc>
      </w:tr>
      <w:tr w14:paraId="1D55E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730" w:type="dxa"/>
            <w:vMerge w:val="continue"/>
            <w:shd w:val="clear" w:color="auto" w:fill="auto"/>
            <w:noWrap/>
            <w:vAlign w:val="center"/>
          </w:tcPr>
          <w:p w14:paraId="771817CA">
            <w:pPr>
              <w:adjustRightInd w:val="0"/>
              <w:spacing w:line="420" w:lineRule="exact"/>
              <w:jc w:val="center"/>
              <w:textAlignment w:val="baseline"/>
              <w:rPr>
                <w:rFonts w:ascii="仿宋" w:hAnsi="仿宋" w:eastAsia="仿宋" w:cs="仿宋"/>
                <w:b/>
                <w:color w:val="auto"/>
                <w:szCs w:val="21"/>
              </w:rPr>
            </w:pPr>
          </w:p>
        </w:tc>
        <w:tc>
          <w:tcPr>
            <w:tcW w:w="1280" w:type="dxa"/>
            <w:vMerge w:val="continue"/>
            <w:shd w:val="clear" w:color="auto" w:fill="auto"/>
            <w:noWrap/>
            <w:vAlign w:val="center"/>
          </w:tcPr>
          <w:p w14:paraId="3289946E">
            <w:pPr>
              <w:adjustRightInd w:val="0"/>
              <w:spacing w:line="420" w:lineRule="exact"/>
              <w:jc w:val="center"/>
              <w:textAlignment w:val="baseline"/>
              <w:rPr>
                <w:rFonts w:ascii="仿宋" w:hAnsi="仿宋" w:eastAsia="仿宋" w:cs="仿宋"/>
                <w:b/>
                <w:color w:val="auto"/>
                <w:szCs w:val="21"/>
              </w:rPr>
            </w:pPr>
          </w:p>
        </w:tc>
        <w:tc>
          <w:tcPr>
            <w:tcW w:w="709" w:type="dxa"/>
            <w:vMerge w:val="continue"/>
            <w:shd w:val="clear" w:color="auto" w:fill="auto"/>
            <w:noWrap/>
            <w:vAlign w:val="center"/>
          </w:tcPr>
          <w:p w14:paraId="30BA53AC">
            <w:pPr>
              <w:adjustRightInd w:val="0"/>
              <w:spacing w:line="420" w:lineRule="exact"/>
              <w:jc w:val="center"/>
              <w:textAlignment w:val="baseline"/>
              <w:rPr>
                <w:rFonts w:ascii="仿宋" w:hAnsi="仿宋" w:eastAsia="仿宋" w:cs="仿宋"/>
                <w:b/>
                <w:color w:val="auto"/>
                <w:szCs w:val="21"/>
              </w:rPr>
            </w:pPr>
          </w:p>
        </w:tc>
        <w:tc>
          <w:tcPr>
            <w:tcW w:w="1559" w:type="dxa"/>
            <w:shd w:val="clear" w:color="auto" w:fill="auto"/>
            <w:noWrap/>
            <w:vAlign w:val="center"/>
          </w:tcPr>
          <w:p w14:paraId="25B50DCE">
            <w:pPr>
              <w:spacing w:line="420" w:lineRule="exact"/>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2.2货物性能分（满分</w:t>
            </w:r>
            <w:r>
              <w:rPr>
                <w:rFonts w:hint="eastAsia" w:ascii="仿宋" w:hAnsi="仿宋" w:eastAsia="仿宋" w:cs="仿宋"/>
                <w:b/>
                <w:bCs/>
                <w:color w:val="auto"/>
                <w:szCs w:val="21"/>
                <w:highlight w:val="none"/>
                <w:lang w:val="en-US" w:eastAsia="zh-CN"/>
              </w:rPr>
              <w:t>20</w:t>
            </w:r>
            <w:r>
              <w:rPr>
                <w:rFonts w:hint="eastAsia" w:ascii="仿宋" w:hAnsi="仿宋" w:eastAsia="仿宋" w:cs="仿宋"/>
                <w:b/>
                <w:bCs/>
                <w:color w:val="auto"/>
                <w:szCs w:val="21"/>
                <w:highlight w:val="none"/>
              </w:rPr>
              <w:t>分）</w:t>
            </w:r>
          </w:p>
        </w:tc>
        <w:tc>
          <w:tcPr>
            <w:tcW w:w="5599" w:type="dxa"/>
            <w:shd w:val="clear" w:color="auto" w:fill="auto"/>
            <w:noWrap/>
            <w:vAlign w:val="center"/>
          </w:tcPr>
          <w:p w14:paraId="085ACDC3">
            <w:pPr>
              <w:pStyle w:val="19"/>
              <w:ind w:firstLine="420" w:firstLineChars="200"/>
              <w:rPr>
                <w:rFonts w:ascii="仿宋" w:hAnsi="仿宋" w:eastAsia="仿宋" w:cs="仿宋"/>
                <w:b/>
                <w:bCs/>
                <w:color w:val="auto"/>
                <w:szCs w:val="21"/>
                <w:highlight w:val="none"/>
              </w:rPr>
            </w:pPr>
            <w:r>
              <w:rPr>
                <w:rFonts w:hint="eastAsia" w:ascii="仿宋" w:hAnsi="仿宋" w:eastAsia="仿宋" w:cs="仿宋"/>
                <w:i w:val="0"/>
                <w:iCs w:val="0"/>
                <w:color w:val="000000"/>
                <w:kern w:val="0"/>
                <w:sz w:val="21"/>
                <w:szCs w:val="21"/>
                <w:highlight w:val="none"/>
                <w:u w:val="none"/>
                <w:lang w:val="en-US" w:eastAsia="zh-CN" w:bidi="ar"/>
              </w:rPr>
              <w:t>液晶屏制造综合应用实训平台</w:t>
            </w:r>
            <w:r>
              <w:rPr>
                <w:rFonts w:hint="eastAsia" w:ascii="仿宋" w:hAnsi="仿宋" w:eastAsia="仿宋" w:cs="仿宋"/>
                <w:bCs/>
                <w:color w:val="auto"/>
                <w:kern w:val="2"/>
                <w:sz w:val="21"/>
                <w:szCs w:val="21"/>
                <w:highlight w:val="none"/>
                <w:lang w:val="en-US" w:eastAsia="zh-CN"/>
              </w:rPr>
              <w:t>：“</w:t>
            </w:r>
            <w:r>
              <w:rPr>
                <w:rFonts w:hint="eastAsia" w:ascii="仿宋" w:hAnsi="仿宋" w:eastAsia="仿宋" w:cs="仿宋"/>
                <w:i w:val="0"/>
                <w:iCs w:val="0"/>
                <w:color w:val="000000"/>
                <w:kern w:val="0"/>
                <w:sz w:val="21"/>
                <w:szCs w:val="21"/>
                <w:highlight w:val="none"/>
                <w:u w:val="none"/>
                <w:lang w:val="en-US" w:eastAsia="zh-CN" w:bidi="ar"/>
              </w:rPr>
              <w:t>▲1、软件包含不少于20条已搭建且编程完成的工业产线案例，包含光伏、3C、电机、泵、锂电、汽车、仓储物流等各大行业的成熟产线案例：</w:t>
            </w:r>
            <w:r>
              <w:rPr>
                <w:rFonts w:hint="eastAsia" w:ascii="仿宋" w:hAnsi="仿宋" w:eastAsia="仿宋" w:cs="仿宋"/>
                <w:bCs/>
                <w:color w:val="auto"/>
                <w:kern w:val="2"/>
                <w:sz w:val="21"/>
                <w:szCs w:val="21"/>
                <w:highlight w:val="none"/>
                <w:lang w:val="en-US" w:eastAsia="zh-CN"/>
              </w:rPr>
              <w:t>每提供一个课程案例资源证明材料（课程内容须满足采购文件的要求，且无负偏离）得1分，共20分（证明材料为：产品说明书或功能截图或其他证明材料并加盖投标人公章）。</w:t>
            </w:r>
          </w:p>
        </w:tc>
      </w:tr>
      <w:tr w14:paraId="7294D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30" w:type="dxa"/>
            <w:vMerge w:val="continue"/>
            <w:shd w:val="clear" w:color="auto" w:fill="auto"/>
            <w:noWrap/>
            <w:vAlign w:val="center"/>
          </w:tcPr>
          <w:p w14:paraId="3947C189">
            <w:pPr>
              <w:spacing w:line="420" w:lineRule="exact"/>
              <w:jc w:val="center"/>
              <w:rPr>
                <w:rFonts w:ascii="仿宋" w:hAnsi="仿宋" w:eastAsia="仿宋" w:cs="仿宋"/>
                <w:color w:val="auto"/>
                <w:szCs w:val="21"/>
              </w:rPr>
            </w:pPr>
          </w:p>
        </w:tc>
        <w:tc>
          <w:tcPr>
            <w:tcW w:w="1280" w:type="dxa"/>
            <w:vMerge w:val="continue"/>
            <w:shd w:val="clear" w:color="auto" w:fill="auto"/>
            <w:noWrap/>
            <w:vAlign w:val="center"/>
          </w:tcPr>
          <w:p w14:paraId="6DEF4F17">
            <w:pPr>
              <w:spacing w:line="420" w:lineRule="exact"/>
              <w:jc w:val="center"/>
              <w:rPr>
                <w:rFonts w:ascii="仿宋" w:hAnsi="仿宋" w:eastAsia="仿宋" w:cs="仿宋"/>
                <w:color w:val="auto"/>
                <w:szCs w:val="21"/>
              </w:rPr>
            </w:pPr>
          </w:p>
        </w:tc>
        <w:tc>
          <w:tcPr>
            <w:tcW w:w="709" w:type="dxa"/>
            <w:vMerge w:val="continue"/>
            <w:shd w:val="clear" w:color="auto" w:fill="auto"/>
            <w:noWrap/>
            <w:vAlign w:val="center"/>
          </w:tcPr>
          <w:p w14:paraId="1A08C7BB">
            <w:pPr>
              <w:spacing w:line="420" w:lineRule="exact"/>
              <w:jc w:val="center"/>
              <w:rPr>
                <w:rFonts w:ascii="仿宋" w:hAnsi="仿宋" w:eastAsia="仿宋" w:cs="仿宋"/>
                <w:color w:val="auto"/>
                <w:szCs w:val="21"/>
              </w:rPr>
            </w:pPr>
          </w:p>
        </w:tc>
        <w:tc>
          <w:tcPr>
            <w:tcW w:w="1559" w:type="dxa"/>
            <w:shd w:val="clear" w:color="auto" w:fill="auto"/>
            <w:noWrap/>
            <w:vAlign w:val="center"/>
          </w:tcPr>
          <w:p w14:paraId="3A2804E4">
            <w:pPr>
              <w:spacing w:line="420" w:lineRule="exact"/>
              <w:jc w:val="center"/>
              <w:rPr>
                <w:rFonts w:ascii="仿宋" w:hAnsi="仿宋" w:eastAsia="仿宋" w:cs="仿宋"/>
                <w:b/>
                <w:bCs/>
                <w:color w:val="auto"/>
                <w:szCs w:val="21"/>
                <w:highlight w:val="yellow"/>
              </w:rPr>
            </w:pPr>
            <w:r>
              <w:rPr>
                <w:rFonts w:hint="eastAsia" w:ascii="仿宋" w:hAnsi="仿宋" w:eastAsia="仿宋" w:cs="仿宋"/>
                <w:b/>
                <w:color w:val="auto"/>
                <w:szCs w:val="21"/>
                <w:highlight w:val="none"/>
              </w:rPr>
              <w:t>2.3 项目实施方案分（满分</w:t>
            </w:r>
            <w:r>
              <w:rPr>
                <w:rFonts w:hint="eastAsia" w:ascii="仿宋" w:hAnsi="仿宋" w:eastAsia="仿宋" w:cs="仿宋"/>
                <w:b/>
                <w:color w:val="auto"/>
                <w:szCs w:val="21"/>
                <w:highlight w:val="none"/>
                <w:lang w:val="en-US" w:eastAsia="zh-CN"/>
              </w:rPr>
              <w:t>20</w:t>
            </w:r>
            <w:r>
              <w:rPr>
                <w:rFonts w:hint="eastAsia" w:ascii="仿宋" w:hAnsi="仿宋" w:eastAsia="仿宋" w:cs="仿宋"/>
                <w:b/>
                <w:color w:val="auto"/>
                <w:szCs w:val="21"/>
                <w:highlight w:val="none"/>
              </w:rPr>
              <w:t>分）</w:t>
            </w:r>
          </w:p>
        </w:tc>
        <w:tc>
          <w:tcPr>
            <w:tcW w:w="5599" w:type="dxa"/>
            <w:shd w:val="clear" w:color="auto" w:fill="auto"/>
            <w:noWrap/>
            <w:vAlign w:val="center"/>
          </w:tcPr>
          <w:p w14:paraId="705B6B11">
            <w:pPr>
              <w:spacing w:line="420" w:lineRule="exact"/>
              <w:ind w:firstLine="420" w:firstLineChars="200"/>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根据投标文件中投标人项目实施方案内容独立评分，未提供方案、方案内容未达一档要求、方案内容有前后矛盾等明显错误的，本项不得分。</w:t>
            </w:r>
          </w:p>
          <w:p w14:paraId="3E3D99F2">
            <w:pPr>
              <w:spacing w:line="420" w:lineRule="exact"/>
              <w:ind w:firstLine="420" w:firstLineChars="200"/>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lang w:eastAsia="zh-CN"/>
              </w:rPr>
              <w:t>一</w:t>
            </w:r>
            <w:r>
              <w:rPr>
                <w:rFonts w:hint="eastAsia" w:ascii="仿宋" w:hAnsi="仿宋" w:eastAsia="仿宋" w:cs="仿宋"/>
                <w:b w:val="0"/>
                <w:bCs/>
                <w:color w:val="auto"/>
                <w:szCs w:val="21"/>
                <w:highlight w:val="none"/>
              </w:rPr>
              <w:t>档（</w:t>
            </w:r>
            <w:r>
              <w:rPr>
                <w:rFonts w:hint="eastAsia" w:ascii="仿宋" w:hAnsi="仿宋" w:eastAsia="仿宋" w:cs="仿宋"/>
                <w:b w:val="0"/>
                <w:bCs/>
                <w:color w:val="auto"/>
                <w:szCs w:val="21"/>
                <w:highlight w:val="none"/>
                <w:lang w:val="en-US" w:eastAsia="zh-CN"/>
              </w:rPr>
              <w:t>5</w:t>
            </w:r>
            <w:r>
              <w:rPr>
                <w:rFonts w:hint="eastAsia" w:ascii="仿宋" w:hAnsi="仿宋" w:eastAsia="仿宋" w:cs="仿宋"/>
                <w:b w:val="0"/>
                <w:bCs/>
                <w:color w:val="auto"/>
                <w:szCs w:val="21"/>
                <w:highlight w:val="none"/>
              </w:rPr>
              <w:t xml:space="preserve"> 分）：项目实施方案提供具体的技术方法和思路，项目实施方案内容满足采购需求，提供详细的项目实施管理、实施组织机构及装备配备</w:t>
            </w:r>
            <w:r>
              <w:rPr>
                <w:rFonts w:hint="eastAsia" w:ascii="仿宋" w:hAnsi="仿宋" w:eastAsia="仿宋" w:cs="仿宋"/>
                <w:b w:val="0"/>
                <w:bCs/>
                <w:color w:val="auto"/>
                <w:szCs w:val="21"/>
                <w:highlight w:val="none"/>
                <w:lang w:eastAsia="zh-CN"/>
              </w:rPr>
              <w:t>，</w:t>
            </w:r>
            <w:r>
              <w:rPr>
                <w:rFonts w:hint="eastAsia" w:ascii="仿宋" w:hAnsi="仿宋" w:eastAsia="仿宋" w:cs="仿宋"/>
                <w:b w:val="0"/>
                <w:bCs/>
                <w:color w:val="auto"/>
                <w:szCs w:val="21"/>
                <w:highlight w:val="none"/>
              </w:rPr>
              <w:t xml:space="preserve">执行步骤和措施清晰明了，项目实施方案思路可行。 </w:t>
            </w:r>
          </w:p>
          <w:p w14:paraId="40F36911">
            <w:pPr>
              <w:spacing w:line="420" w:lineRule="exact"/>
              <w:ind w:firstLine="420" w:firstLineChars="200"/>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lang w:eastAsia="zh-CN"/>
              </w:rPr>
              <w:t>二</w:t>
            </w:r>
            <w:r>
              <w:rPr>
                <w:rFonts w:hint="eastAsia" w:ascii="仿宋" w:hAnsi="仿宋" w:eastAsia="仿宋" w:cs="仿宋"/>
                <w:b w:val="0"/>
                <w:bCs/>
                <w:color w:val="auto"/>
                <w:szCs w:val="21"/>
                <w:highlight w:val="none"/>
              </w:rPr>
              <w:t>档（</w:t>
            </w:r>
            <w:r>
              <w:rPr>
                <w:rFonts w:hint="eastAsia" w:ascii="仿宋" w:hAnsi="仿宋" w:eastAsia="仿宋" w:cs="仿宋"/>
                <w:b w:val="0"/>
                <w:bCs/>
                <w:color w:val="auto"/>
                <w:szCs w:val="21"/>
                <w:highlight w:val="none"/>
                <w:lang w:val="en-US" w:eastAsia="zh-CN"/>
              </w:rPr>
              <w:t>10</w:t>
            </w:r>
            <w:r>
              <w:rPr>
                <w:rFonts w:hint="eastAsia" w:ascii="仿宋" w:hAnsi="仿宋" w:eastAsia="仿宋" w:cs="仿宋"/>
                <w:b w:val="0"/>
                <w:bCs/>
                <w:color w:val="auto"/>
                <w:szCs w:val="21"/>
                <w:highlight w:val="none"/>
              </w:rPr>
              <w:t xml:space="preserve"> 分）：</w:t>
            </w:r>
            <w:r>
              <w:rPr>
                <w:rFonts w:hint="eastAsia" w:ascii="仿宋" w:hAnsi="仿宋" w:eastAsia="仿宋" w:cs="仿宋"/>
                <w:b w:val="0"/>
                <w:bCs/>
                <w:color w:val="auto"/>
                <w:szCs w:val="21"/>
                <w:highlight w:val="none"/>
                <w:lang w:val="en-US" w:eastAsia="zh-CN"/>
              </w:rPr>
              <w:t>满足一档基础上提供</w:t>
            </w:r>
            <w:r>
              <w:rPr>
                <w:rFonts w:hint="eastAsia" w:ascii="仿宋" w:hAnsi="仿宋" w:eastAsia="仿宋" w:cs="仿宋"/>
                <w:b w:val="0"/>
                <w:bCs/>
                <w:color w:val="auto"/>
                <w:szCs w:val="21"/>
                <w:highlight w:val="none"/>
              </w:rPr>
              <w:t>项目实施进度计划和工期保证措施、项目施工安装方案</w:t>
            </w:r>
            <w:r>
              <w:rPr>
                <w:rFonts w:hint="eastAsia" w:ascii="仿宋" w:hAnsi="仿宋" w:eastAsia="仿宋" w:cs="仿宋"/>
                <w:b w:val="0"/>
                <w:bCs/>
                <w:color w:val="auto"/>
                <w:szCs w:val="21"/>
                <w:highlight w:val="none"/>
                <w:lang w:eastAsia="zh-CN"/>
              </w:rPr>
              <w:t>、</w:t>
            </w:r>
            <w:r>
              <w:rPr>
                <w:rFonts w:hint="eastAsia" w:ascii="仿宋" w:hAnsi="仿宋" w:eastAsia="仿宋" w:cs="仿宋"/>
                <w:b w:val="0"/>
                <w:bCs/>
                <w:color w:val="auto"/>
                <w:szCs w:val="21"/>
                <w:highlight w:val="none"/>
              </w:rPr>
              <w:t>项目应急预案</w:t>
            </w:r>
            <w:r>
              <w:rPr>
                <w:rFonts w:hint="eastAsia" w:ascii="仿宋" w:hAnsi="仿宋" w:eastAsia="仿宋" w:cs="仿宋"/>
                <w:b w:val="0"/>
                <w:bCs/>
                <w:color w:val="auto"/>
                <w:szCs w:val="21"/>
                <w:highlight w:val="none"/>
                <w:lang w:val="en-US" w:eastAsia="zh-CN"/>
              </w:rPr>
              <w:t>等</w:t>
            </w:r>
            <w:r>
              <w:rPr>
                <w:rFonts w:hint="eastAsia" w:ascii="仿宋" w:hAnsi="仿宋" w:eastAsia="仿宋" w:cs="仿宋"/>
                <w:b w:val="0"/>
                <w:bCs/>
                <w:color w:val="auto"/>
                <w:szCs w:val="21"/>
                <w:highlight w:val="none"/>
              </w:rPr>
              <w:t>，执行步骤和措施清晰明了，项目实施方案思路切合项目实际。</w:t>
            </w:r>
          </w:p>
          <w:p w14:paraId="77D223FA">
            <w:pPr>
              <w:spacing w:line="420" w:lineRule="exact"/>
              <w:ind w:firstLine="420" w:firstLineChars="200"/>
              <w:rPr>
                <w:highlight w:val="none"/>
              </w:rPr>
            </w:pPr>
            <w:r>
              <w:rPr>
                <w:rFonts w:hint="eastAsia" w:ascii="仿宋" w:hAnsi="仿宋" w:eastAsia="仿宋" w:cs="仿宋"/>
                <w:b w:val="0"/>
                <w:bCs/>
                <w:color w:val="auto"/>
                <w:szCs w:val="21"/>
                <w:highlight w:val="none"/>
                <w:lang w:eastAsia="zh-CN"/>
              </w:rPr>
              <w:t>三</w:t>
            </w:r>
            <w:r>
              <w:rPr>
                <w:rFonts w:hint="eastAsia" w:ascii="仿宋" w:hAnsi="仿宋" w:eastAsia="仿宋" w:cs="仿宋"/>
                <w:b w:val="0"/>
                <w:bCs/>
                <w:color w:val="auto"/>
                <w:szCs w:val="21"/>
                <w:highlight w:val="none"/>
              </w:rPr>
              <w:t>档（</w:t>
            </w:r>
            <w:r>
              <w:rPr>
                <w:rFonts w:hint="eastAsia" w:ascii="仿宋" w:hAnsi="仿宋" w:eastAsia="仿宋" w:cs="仿宋"/>
                <w:b w:val="0"/>
                <w:bCs/>
                <w:color w:val="auto"/>
                <w:szCs w:val="21"/>
                <w:highlight w:val="none"/>
                <w:lang w:val="en-US" w:eastAsia="zh-CN"/>
              </w:rPr>
              <w:t>15</w:t>
            </w:r>
            <w:r>
              <w:rPr>
                <w:rFonts w:hint="eastAsia" w:ascii="仿宋" w:hAnsi="仿宋" w:eastAsia="仿宋" w:cs="仿宋"/>
                <w:b w:val="0"/>
                <w:bCs/>
                <w:color w:val="auto"/>
                <w:szCs w:val="21"/>
                <w:highlight w:val="none"/>
              </w:rPr>
              <w:t xml:space="preserve"> 分）：满足</w:t>
            </w:r>
            <w:r>
              <w:rPr>
                <w:rFonts w:hint="eastAsia" w:ascii="仿宋" w:hAnsi="仿宋" w:eastAsia="仿宋" w:cs="仿宋"/>
                <w:b w:val="0"/>
                <w:bCs/>
                <w:color w:val="auto"/>
                <w:szCs w:val="21"/>
                <w:highlight w:val="none"/>
                <w:lang w:val="en-US" w:eastAsia="zh-CN"/>
              </w:rPr>
              <w:t>二</w:t>
            </w:r>
            <w:r>
              <w:rPr>
                <w:rFonts w:hint="eastAsia" w:ascii="仿宋" w:hAnsi="仿宋" w:eastAsia="仿宋" w:cs="仿宋"/>
                <w:b w:val="0"/>
                <w:bCs/>
                <w:color w:val="auto"/>
                <w:szCs w:val="21"/>
                <w:highlight w:val="none"/>
              </w:rPr>
              <w:t>挡基础上提供施工安全保障，施工文明保障，施工质量保障及项目验收预案，切合项目实际，有详细的项目管理相关制度、施工安全保障、施工文明保障、施工质量保障及项目验收等方面的内容描述。</w:t>
            </w:r>
          </w:p>
          <w:p w14:paraId="0261F21A">
            <w:pPr>
              <w:spacing w:line="420" w:lineRule="exact"/>
              <w:ind w:firstLine="420" w:firstLineChars="200"/>
            </w:pPr>
            <w:r>
              <w:rPr>
                <w:rFonts w:hint="eastAsia" w:ascii="仿宋" w:hAnsi="仿宋" w:eastAsia="仿宋" w:cs="仿宋"/>
                <w:b w:val="0"/>
                <w:bCs/>
                <w:color w:val="auto"/>
                <w:szCs w:val="21"/>
                <w:highlight w:val="none"/>
                <w:lang w:val="en-US" w:eastAsia="zh-CN"/>
              </w:rPr>
              <w:t>四</w:t>
            </w:r>
            <w:r>
              <w:rPr>
                <w:rFonts w:hint="eastAsia" w:ascii="仿宋" w:hAnsi="仿宋" w:eastAsia="仿宋" w:cs="仿宋"/>
                <w:b w:val="0"/>
                <w:bCs/>
                <w:color w:val="auto"/>
                <w:szCs w:val="21"/>
                <w:highlight w:val="none"/>
                <w:lang w:eastAsia="zh-CN"/>
              </w:rPr>
              <w:t>档（</w:t>
            </w:r>
            <w:r>
              <w:rPr>
                <w:rFonts w:hint="eastAsia" w:ascii="仿宋" w:hAnsi="仿宋" w:eastAsia="仿宋" w:cs="仿宋"/>
                <w:b w:val="0"/>
                <w:bCs/>
                <w:color w:val="auto"/>
                <w:szCs w:val="21"/>
                <w:highlight w:val="none"/>
                <w:lang w:val="en-US" w:eastAsia="zh-CN"/>
              </w:rPr>
              <w:t>20</w:t>
            </w:r>
            <w:r>
              <w:rPr>
                <w:rFonts w:hint="eastAsia" w:ascii="仿宋" w:hAnsi="仿宋" w:eastAsia="仿宋" w:cs="仿宋"/>
                <w:b w:val="0"/>
                <w:bCs/>
                <w:color w:val="auto"/>
                <w:szCs w:val="21"/>
                <w:highlight w:val="none"/>
                <w:lang w:eastAsia="zh-CN"/>
              </w:rPr>
              <w:t>分）：在满足</w:t>
            </w:r>
            <w:r>
              <w:rPr>
                <w:rFonts w:hint="eastAsia" w:ascii="仿宋" w:hAnsi="仿宋" w:eastAsia="仿宋" w:cs="仿宋"/>
                <w:b w:val="0"/>
                <w:bCs/>
                <w:color w:val="auto"/>
                <w:szCs w:val="21"/>
                <w:highlight w:val="none"/>
                <w:lang w:val="en-US" w:eastAsia="zh-CN"/>
              </w:rPr>
              <w:t>三</w:t>
            </w:r>
            <w:r>
              <w:rPr>
                <w:rFonts w:hint="eastAsia" w:ascii="仿宋" w:hAnsi="仿宋" w:eastAsia="仿宋" w:cs="仿宋"/>
                <w:b w:val="0"/>
                <w:bCs/>
                <w:color w:val="auto"/>
                <w:szCs w:val="21"/>
                <w:highlight w:val="none"/>
                <w:lang w:eastAsia="zh-CN"/>
              </w:rPr>
              <w:t>档的基础上，不仅对各项基础模块赋予了明确的执行规则、时间节点、人员资质与操作标准，</w:t>
            </w:r>
            <w:r>
              <w:rPr>
                <w:rFonts w:hint="eastAsia" w:ascii="仿宋" w:hAnsi="仿宋" w:eastAsia="仿宋" w:cs="仿宋"/>
                <w:b w:val="0"/>
                <w:bCs/>
                <w:color w:val="auto"/>
                <w:szCs w:val="21"/>
                <w:highlight w:val="none"/>
                <w:lang w:val="en-US" w:eastAsia="zh-CN"/>
              </w:rPr>
              <w:t>有专门的</w:t>
            </w:r>
            <w:r>
              <w:rPr>
                <w:rFonts w:hint="eastAsia" w:ascii="仿宋" w:hAnsi="仿宋" w:eastAsia="仿宋" w:cs="仿宋"/>
                <w:b w:val="0"/>
                <w:bCs/>
                <w:color w:val="auto"/>
                <w:szCs w:val="21"/>
                <w:highlight w:val="none"/>
                <w:lang w:eastAsia="zh-CN"/>
              </w:rPr>
              <w:t>应急方案、以及包含性能检测与争议处理的标准化验收流程。团队配置包含排班与替补机制，职责分工无盲区。整个方案形成目标、标准、责任人、节点与考核指标闭环管理体系。</w:t>
            </w:r>
          </w:p>
        </w:tc>
      </w:tr>
      <w:tr w14:paraId="4A6FC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30" w:type="dxa"/>
            <w:vMerge w:val="continue"/>
            <w:shd w:val="clear" w:color="auto" w:fill="auto"/>
            <w:noWrap/>
            <w:vAlign w:val="center"/>
          </w:tcPr>
          <w:p w14:paraId="141A423B">
            <w:pPr>
              <w:spacing w:line="420" w:lineRule="exact"/>
              <w:jc w:val="center"/>
              <w:rPr>
                <w:rFonts w:ascii="仿宋" w:hAnsi="仿宋" w:eastAsia="仿宋" w:cs="仿宋"/>
                <w:color w:val="auto"/>
                <w:szCs w:val="21"/>
              </w:rPr>
            </w:pPr>
          </w:p>
        </w:tc>
        <w:tc>
          <w:tcPr>
            <w:tcW w:w="1280" w:type="dxa"/>
            <w:vMerge w:val="continue"/>
            <w:shd w:val="clear" w:color="auto" w:fill="auto"/>
            <w:noWrap/>
            <w:vAlign w:val="center"/>
          </w:tcPr>
          <w:p w14:paraId="0C37E252">
            <w:pPr>
              <w:spacing w:line="420" w:lineRule="exact"/>
              <w:jc w:val="center"/>
              <w:rPr>
                <w:rFonts w:ascii="仿宋" w:hAnsi="仿宋" w:eastAsia="仿宋" w:cs="仿宋"/>
                <w:color w:val="auto"/>
                <w:szCs w:val="21"/>
              </w:rPr>
            </w:pPr>
          </w:p>
        </w:tc>
        <w:tc>
          <w:tcPr>
            <w:tcW w:w="709" w:type="dxa"/>
            <w:vMerge w:val="continue"/>
            <w:shd w:val="clear" w:color="auto" w:fill="auto"/>
            <w:noWrap/>
            <w:vAlign w:val="center"/>
          </w:tcPr>
          <w:p w14:paraId="0CE9FDDE">
            <w:pPr>
              <w:spacing w:line="420" w:lineRule="exact"/>
              <w:jc w:val="center"/>
              <w:rPr>
                <w:rFonts w:ascii="仿宋" w:hAnsi="仿宋" w:eastAsia="仿宋" w:cs="仿宋"/>
                <w:color w:val="auto"/>
                <w:szCs w:val="21"/>
              </w:rPr>
            </w:pPr>
          </w:p>
        </w:tc>
        <w:tc>
          <w:tcPr>
            <w:tcW w:w="1559" w:type="dxa"/>
            <w:shd w:val="clear" w:color="auto" w:fill="auto"/>
            <w:noWrap/>
            <w:vAlign w:val="center"/>
          </w:tcPr>
          <w:p w14:paraId="2C0B55F1">
            <w:pPr>
              <w:spacing w:line="420" w:lineRule="exact"/>
              <w:jc w:val="center"/>
              <w:rPr>
                <w:rFonts w:hint="eastAsia" w:ascii="仿宋" w:hAnsi="仿宋" w:eastAsia="仿宋" w:cs="仿宋"/>
                <w:b/>
                <w:color w:val="auto"/>
                <w:szCs w:val="21"/>
                <w:highlight w:val="yellow"/>
              </w:rPr>
            </w:pPr>
            <w:r>
              <w:rPr>
                <w:rFonts w:hint="eastAsia" w:ascii="仿宋" w:hAnsi="仿宋" w:eastAsia="仿宋" w:cs="仿宋"/>
                <w:b/>
                <w:color w:val="auto"/>
                <w:szCs w:val="21"/>
                <w:highlight w:val="none"/>
                <w:lang w:val="en-US" w:eastAsia="zh-CN"/>
              </w:rPr>
              <w:t>2.4</w:t>
            </w:r>
            <w:r>
              <w:rPr>
                <w:rFonts w:hint="eastAsia" w:ascii="仿宋" w:hAnsi="仿宋" w:eastAsia="仿宋" w:cs="仿宋"/>
                <w:b/>
                <w:color w:val="auto"/>
                <w:szCs w:val="21"/>
                <w:highlight w:val="none"/>
              </w:rPr>
              <w:t>拟投入技术人员分（满分</w:t>
            </w:r>
            <w:r>
              <w:rPr>
                <w:rFonts w:hint="eastAsia" w:ascii="仿宋" w:hAnsi="仿宋" w:eastAsia="仿宋" w:cs="仿宋"/>
                <w:b/>
                <w:color w:val="auto"/>
                <w:szCs w:val="21"/>
                <w:highlight w:val="none"/>
                <w:lang w:val="en-US" w:eastAsia="zh-CN"/>
              </w:rPr>
              <w:t>5</w:t>
            </w:r>
            <w:r>
              <w:rPr>
                <w:rFonts w:hint="eastAsia" w:ascii="仿宋" w:hAnsi="仿宋" w:eastAsia="仿宋" w:cs="仿宋"/>
                <w:b/>
                <w:color w:val="auto"/>
                <w:szCs w:val="21"/>
                <w:highlight w:val="none"/>
              </w:rPr>
              <w:t>分）</w:t>
            </w:r>
          </w:p>
        </w:tc>
        <w:tc>
          <w:tcPr>
            <w:tcW w:w="5599" w:type="dxa"/>
            <w:shd w:val="clear" w:color="auto" w:fill="auto"/>
            <w:noWrap/>
            <w:vAlign w:val="center"/>
          </w:tcPr>
          <w:p w14:paraId="76CF1224">
            <w:pPr>
              <w:spacing w:line="420" w:lineRule="exact"/>
              <w:ind w:firstLine="420" w:firstLineChars="200"/>
              <w:rPr>
                <w:rFonts w:hint="eastAsia" w:ascii="仿宋" w:hAnsi="仿宋" w:eastAsia="仿宋" w:cs="仿宋"/>
                <w:b w:val="0"/>
                <w:bCs/>
                <w:color w:val="auto"/>
                <w:szCs w:val="21"/>
                <w:lang w:val="en-US" w:eastAsia="zh-CN"/>
              </w:rPr>
            </w:pPr>
            <w:r>
              <w:rPr>
                <w:rFonts w:hint="eastAsia" w:ascii="仿宋" w:hAnsi="仿宋" w:eastAsia="仿宋" w:cs="仿宋"/>
                <w:b w:val="0"/>
                <w:bCs/>
                <w:color w:val="auto"/>
                <w:szCs w:val="21"/>
                <w:lang w:val="en-US" w:eastAsia="zh-CN"/>
              </w:rPr>
              <w:t>（1）项目负责人1名，资质要求</w:t>
            </w:r>
          </w:p>
          <w:p w14:paraId="32695870">
            <w:pPr>
              <w:spacing w:line="420" w:lineRule="exact"/>
              <w:ind w:firstLine="420" w:firstLineChars="200"/>
              <w:rPr>
                <w:rFonts w:hint="eastAsia" w:ascii="仿宋" w:hAnsi="仿宋" w:eastAsia="仿宋" w:cs="仿宋"/>
                <w:b w:val="0"/>
                <w:bCs/>
                <w:color w:val="auto"/>
                <w:szCs w:val="21"/>
                <w:lang w:val="en-US" w:eastAsia="zh-CN"/>
              </w:rPr>
            </w:pPr>
            <w:r>
              <w:rPr>
                <w:rFonts w:hint="eastAsia" w:ascii="仿宋" w:hAnsi="仿宋" w:eastAsia="仿宋" w:cs="仿宋"/>
                <w:b w:val="0"/>
                <w:bCs/>
                <w:color w:val="auto"/>
                <w:szCs w:val="21"/>
                <w:lang w:val="en-US" w:eastAsia="zh-CN"/>
              </w:rPr>
              <w:t>①拟投入本项目的项目负责人具备本科及以上学历，并具有10年以上（含）工作经验（以最高学历毕业证时间起算）得1分；</w:t>
            </w:r>
          </w:p>
          <w:p w14:paraId="0D5E2BE3">
            <w:pPr>
              <w:spacing w:line="420" w:lineRule="exact"/>
              <w:ind w:firstLine="420" w:firstLineChars="200"/>
              <w:rPr>
                <w:rFonts w:hint="eastAsia" w:ascii="仿宋" w:hAnsi="仿宋" w:eastAsia="仿宋" w:cs="仿宋"/>
                <w:b w:val="0"/>
                <w:bCs/>
                <w:color w:val="auto"/>
                <w:szCs w:val="21"/>
                <w:lang w:val="en-US" w:eastAsia="zh-CN"/>
              </w:rPr>
            </w:pPr>
            <w:r>
              <w:rPr>
                <w:rFonts w:hint="eastAsia" w:ascii="仿宋" w:hAnsi="仿宋" w:eastAsia="仿宋" w:cs="仿宋"/>
                <w:b w:val="0"/>
                <w:bCs/>
                <w:color w:val="auto"/>
                <w:szCs w:val="21"/>
                <w:lang w:val="en-US" w:eastAsia="zh-CN"/>
              </w:rPr>
              <w:t>②具有国家软考信息系统项目管理师（高级）专业技术资格证书，得1分；</w:t>
            </w:r>
          </w:p>
          <w:p w14:paraId="3444C268">
            <w:pPr>
              <w:spacing w:line="420" w:lineRule="exact"/>
              <w:ind w:firstLine="420" w:firstLineChars="200"/>
              <w:rPr>
                <w:rFonts w:hint="eastAsia" w:ascii="仿宋" w:hAnsi="仿宋" w:eastAsia="仿宋" w:cs="仿宋"/>
                <w:b w:val="0"/>
                <w:bCs/>
                <w:color w:val="auto"/>
                <w:szCs w:val="21"/>
                <w:lang w:val="en-US" w:eastAsia="zh-CN"/>
              </w:rPr>
            </w:pPr>
            <w:r>
              <w:rPr>
                <w:rFonts w:hint="eastAsia" w:ascii="仿宋" w:hAnsi="仿宋" w:eastAsia="仿宋" w:cs="仿宋"/>
                <w:b w:val="0"/>
                <w:bCs/>
                <w:color w:val="auto"/>
                <w:szCs w:val="21"/>
                <w:lang w:val="en-US" w:eastAsia="zh-CN"/>
              </w:rPr>
              <w:t>③具有国家软考信息安全工程师专业技术资格证书，得1分；</w:t>
            </w:r>
          </w:p>
          <w:p w14:paraId="6C246C69">
            <w:pPr>
              <w:spacing w:line="420" w:lineRule="exact"/>
              <w:ind w:firstLine="420" w:firstLineChars="200"/>
              <w:rPr>
                <w:rFonts w:hint="eastAsia" w:ascii="仿宋" w:hAnsi="仿宋" w:eastAsia="仿宋" w:cs="仿宋"/>
                <w:b w:val="0"/>
                <w:bCs/>
                <w:color w:val="auto"/>
                <w:szCs w:val="21"/>
                <w:lang w:val="en-US" w:eastAsia="zh-CN"/>
              </w:rPr>
            </w:pPr>
            <w:r>
              <w:rPr>
                <w:rFonts w:hint="eastAsia" w:ascii="仿宋" w:hAnsi="仿宋" w:eastAsia="仿宋" w:cs="仿宋"/>
                <w:b w:val="0"/>
                <w:bCs/>
                <w:color w:val="auto"/>
                <w:szCs w:val="21"/>
                <w:lang w:val="en-US" w:eastAsia="zh-CN"/>
              </w:rPr>
              <w:t>④具有国家软考网络工程师专业技术资格证书，得1分</w:t>
            </w:r>
          </w:p>
          <w:p w14:paraId="58716C8A">
            <w:pPr>
              <w:spacing w:line="420" w:lineRule="exact"/>
              <w:ind w:firstLine="420" w:firstLineChars="200"/>
              <w:rPr>
                <w:rFonts w:hint="eastAsia" w:ascii="仿宋" w:hAnsi="仿宋" w:eastAsia="仿宋" w:cs="仿宋"/>
                <w:b w:val="0"/>
                <w:bCs/>
                <w:color w:val="auto"/>
                <w:szCs w:val="21"/>
                <w:lang w:val="en-US" w:eastAsia="zh-CN"/>
              </w:rPr>
            </w:pPr>
            <w:r>
              <w:rPr>
                <w:rFonts w:hint="eastAsia" w:ascii="仿宋" w:hAnsi="仿宋" w:eastAsia="仿宋" w:cs="仿宋"/>
                <w:b w:val="0"/>
                <w:bCs/>
                <w:color w:val="auto"/>
                <w:szCs w:val="21"/>
                <w:lang w:val="en-US" w:eastAsia="zh-CN"/>
              </w:rPr>
              <w:t>（2）拟投入项目团队（不含项目负责人）每有 1名计算机类高级职称人员，得1分，每有1名计算机类中级职称人员，得0.5分，本项满分1分，以上人员不重复计分；</w:t>
            </w:r>
          </w:p>
          <w:p w14:paraId="01FFD1BC">
            <w:pPr>
              <w:spacing w:line="420" w:lineRule="exact"/>
              <w:ind w:firstLine="420" w:firstLineChars="200"/>
              <w:rPr>
                <w:rFonts w:hint="eastAsia" w:ascii="仿宋" w:hAnsi="仿宋" w:eastAsia="仿宋" w:cs="仿宋"/>
                <w:b w:val="0"/>
                <w:bCs/>
                <w:color w:val="auto"/>
                <w:szCs w:val="21"/>
                <w:lang w:val="en-US" w:eastAsia="zh-CN"/>
              </w:rPr>
            </w:pPr>
            <w:r>
              <w:rPr>
                <w:rFonts w:hint="eastAsia" w:ascii="仿宋" w:hAnsi="仿宋" w:eastAsia="仿宋" w:cs="仿宋"/>
                <w:b w:val="0"/>
                <w:bCs/>
                <w:color w:val="auto"/>
                <w:szCs w:val="21"/>
                <w:lang w:val="en-US" w:eastAsia="zh-CN"/>
              </w:rPr>
              <w:t>注：以上持证人员需提供证书复印件和截止投标半年内任意一个月供应商为其缴纳社保证明复印件并加盖供应商公章。</w:t>
            </w:r>
          </w:p>
        </w:tc>
      </w:tr>
      <w:tr w14:paraId="1CFC1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730" w:type="dxa"/>
            <w:vMerge w:val="restart"/>
            <w:shd w:val="clear" w:color="auto" w:fill="auto"/>
            <w:noWrap/>
            <w:vAlign w:val="center"/>
          </w:tcPr>
          <w:p w14:paraId="238BBA97">
            <w:pPr>
              <w:adjustRightInd w:val="0"/>
              <w:spacing w:line="420" w:lineRule="exact"/>
              <w:jc w:val="center"/>
              <w:textAlignment w:val="baseline"/>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3</w:t>
            </w:r>
          </w:p>
        </w:tc>
        <w:tc>
          <w:tcPr>
            <w:tcW w:w="1280" w:type="dxa"/>
            <w:vMerge w:val="restart"/>
            <w:shd w:val="clear" w:color="auto" w:fill="auto"/>
            <w:noWrap/>
            <w:vAlign w:val="center"/>
          </w:tcPr>
          <w:p w14:paraId="410322BE">
            <w:pPr>
              <w:adjustRightInd w:val="0"/>
              <w:spacing w:line="420" w:lineRule="exact"/>
              <w:jc w:val="center"/>
              <w:textAlignment w:val="baseline"/>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商务分</w:t>
            </w:r>
          </w:p>
        </w:tc>
        <w:tc>
          <w:tcPr>
            <w:tcW w:w="709" w:type="dxa"/>
            <w:vMerge w:val="restart"/>
            <w:shd w:val="clear" w:color="auto" w:fill="auto"/>
            <w:noWrap/>
            <w:vAlign w:val="center"/>
          </w:tcPr>
          <w:p w14:paraId="4E8137A8">
            <w:pPr>
              <w:adjustRightInd w:val="0"/>
              <w:spacing w:line="420" w:lineRule="exact"/>
              <w:jc w:val="center"/>
              <w:textAlignment w:val="baseline"/>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15</w:t>
            </w:r>
          </w:p>
        </w:tc>
        <w:tc>
          <w:tcPr>
            <w:tcW w:w="1559" w:type="dxa"/>
            <w:shd w:val="clear" w:color="auto" w:fill="auto"/>
            <w:noWrap/>
            <w:vAlign w:val="center"/>
          </w:tcPr>
          <w:p w14:paraId="7715CD54">
            <w:pPr>
              <w:spacing w:line="420" w:lineRule="exact"/>
              <w:jc w:val="center"/>
              <w:rPr>
                <w:rFonts w:ascii="仿宋" w:hAnsi="仿宋" w:eastAsia="仿宋" w:cs="仿宋"/>
                <w:b/>
                <w:color w:val="auto"/>
                <w:szCs w:val="21"/>
                <w:highlight w:val="yellow"/>
              </w:rPr>
            </w:pPr>
            <w:r>
              <w:rPr>
                <w:rFonts w:hint="eastAsia" w:ascii="仿宋" w:hAnsi="仿宋" w:eastAsia="仿宋" w:cs="仿宋"/>
                <w:b/>
                <w:bCs/>
                <w:color w:val="auto"/>
                <w:szCs w:val="21"/>
                <w:highlight w:val="none"/>
              </w:rPr>
              <w:t>3.</w:t>
            </w:r>
            <w:r>
              <w:rPr>
                <w:rFonts w:hint="eastAsia" w:ascii="仿宋" w:hAnsi="仿宋" w:eastAsia="仿宋" w:cs="仿宋"/>
                <w:b/>
                <w:bCs/>
                <w:color w:val="auto"/>
                <w:szCs w:val="21"/>
                <w:highlight w:val="none"/>
                <w:lang w:val="en-US" w:eastAsia="zh-CN"/>
              </w:rPr>
              <w:t>1</w:t>
            </w:r>
            <w:r>
              <w:rPr>
                <w:rFonts w:hint="eastAsia" w:ascii="仿宋" w:hAnsi="仿宋" w:eastAsia="仿宋" w:cs="仿宋"/>
                <w:b/>
                <w:bCs/>
                <w:color w:val="auto"/>
                <w:szCs w:val="21"/>
                <w:highlight w:val="none"/>
              </w:rPr>
              <w:t>售后服务方案分（满分1</w:t>
            </w:r>
            <w:r>
              <w:rPr>
                <w:rFonts w:hint="eastAsia" w:ascii="仿宋" w:hAnsi="仿宋" w:eastAsia="仿宋" w:cs="仿宋"/>
                <w:b/>
                <w:bCs/>
                <w:color w:val="auto"/>
                <w:szCs w:val="21"/>
                <w:highlight w:val="none"/>
                <w:lang w:val="en-US" w:eastAsia="zh-CN"/>
              </w:rPr>
              <w:t>4</w:t>
            </w:r>
            <w:r>
              <w:rPr>
                <w:rFonts w:hint="eastAsia" w:ascii="仿宋" w:hAnsi="仿宋" w:eastAsia="仿宋" w:cs="仿宋"/>
                <w:b/>
                <w:bCs/>
                <w:color w:val="auto"/>
                <w:szCs w:val="21"/>
                <w:highlight w:val="none"/>
              </w:rPr>
              <w:t>分）</w:t>
            </w:r>
          </w:p>
        </w:tc>
        <w:tc>
          <w:tcPr>
            <w:tcW w:w="5599" w:type="dxa"/>
            <w:shd w:val="clear" w:color="auto" w:fill="auto"/>
            <w:noWrap/>
            <w:vAlign w:val="center"/>
          </w:tcPr>
          <w:p w14:paraId="2EAE597A">
            <w:pPr>
              <w:snapToGrid w:val="0"/>
              <w:spacing w:line="420" w:lineRule="exact"/>
              <w:ind w:firstLine="440"/>
              <w:contextualSpacing/>
              <w:rPr>
                <w:rFonts w:ascii="仿宋" w:hAnsi="仿宋" w:eastAsia="仿宋" w:cs="仿宋"/>
                <w:b/>
                <w:color w:val="auto"/>
                <w:szCs w:val="21"/>
              </w:rPr>
            </w:pPr>
            <w:r>
              <w:rPr>
                <w:rFonts w:hint="eastAsia" w:ascii="仿宋" w:hAnsi="仿宋" w:eastAsia="仿宋" w:cs="仿宋"/>
                <w:b/>
                <w:bCs/>
                <w:color w:val="auto"/>
                <w:szCs w:val="21"/>
              </w:rPr>
              <w:t>3.</w:t>
            </w:r>
            <w:r>
              <w:rPr>
                <w:rFonts w:hint="eastAsia" w:ascii="仿宋" w:hAnsi="仿宋" w:eastAsia="仿宋" w:cs="仿宋"/>
                <w:b/>
                <w:bCs/>
                <w:color w:val="auto"/>
                <w:szCs w:val="21"/>
                <w:lang w:val="en-US" w:eastAsia="zh-CN"/>
              </w:rPr>
              <w:t>1</w:t>
            </w:r>
            <w:r>
              <w:rPr>
                <w:rFonts w:hint="eastAsia" w:ascii="仿宋" w:hAnsi="仿宋" w:eastAsia="仿宋" w:cs="仿宋"/>
                <w:b/>
                <w:bCs/>
                <w:color w:val="auto"/>
                <w:szCs w:val="21"/>
              </w:rPr>
              <w:t>.1</w:t>
            </w:r>
            <w:r>
              <w:rPr>
                <w:rFonts w:hint="eastAsia" w:ascii="仿宋" w:hAnsi="仿宋" w:eastAsia="仿宋" w:cs="仿宋"/>
                <w:b/>
                <w:color w:val="auto"/>
                <w:szCs w:val="21"/>
              </w:rPr>
              <w:t>售后服务方案（满分14分）</w:t>
            </w:r>
          </w:p>
          <w:p w14:paraId="7BFF9E94">
            <w:pPr>
              <w:snapToGrid w:val="0"/>
              <w:spacing w:line="420" w:lineRule="exact"/>
              <w:ind w:firstLine="440"/>
              <w:contextualSpacing/>
              <w:rPr>
                <w:rFonts w:ascii="仿宋" w:hAnsi="仿宋" w:eastAsia="仿宋" w:cs="仿宋"/>
                <w:color w:val="auto"/>
                <w:szCs w:val="21"/>
              </w:rPr>
            </w:pPr>
            <w:r>
              <w:rPr>
                <w:rFonts w:hint="eastAsia" w:ascii="仿宋" w:hAnsi="仿宋" w:eastAsia="仿宋" w:cs="仿宋"/>
                <w:color w:val="auto"/>
                <w:szCs w:val="21"/>
              </w:rPr>
              <w:t>评标委员会根据投标供应商提供的售后服务方案进行独立打分。方案包含①技术服务队伍；</w:t>
            </w:r>
            <w:r>
              <w:rPr>
                <w:rFonts w:hint="eastAsia" w:ascii="仿宋" w:hAnsi="仿宋" w:eastAsia="仿宋" w:cs="仿宋"/>
                <w:color w:val="auto"/>
                <w:szCs w:val="21"/>
              </w:rPr>
              <w:fldChar w:fldCharType="begin"/>
            </w:r>
            <w:r>
              <w:rPr>
                <w:rFonts w:hint="eastAsia" w:ascii="仿宋" w:hAnsi="仿宋" w:eastAsia="仿宋" w:cs="仿宋"/>
                <w:color w:val="auto"/>
                <w:szCs w:val="21"/>
              </w:rPr>
              <w:instrText xml:space="preserve"> = 2 \* GB3 </w:instrText>
            </w:r>
            <w:r>
              <w:rPr>
                <w:rFonts w:hint="eastAsia" w:ascii="仿宋" w:hAnsi="仿宋" w:eastAsia="仿宋" w:cs="仿宋"/>
                <w:color w:val="auto"/>
                <w:szCs w:val="21"/>
              </w:rPr>
              <w:fldChar w:fldCharType="separate"/>
            </w:r>
            <w:r>
              <w:rPr>
                <w:rFonts w:hint="eastAsia" w:ascii="仿宋" w:hAnsi="仿宋" w:eastAsia="仿宋" w:cs="仿宋"/>
                <w:color w:val="auto"/>
                <w:szCs w:val="21"/>
              </w:rPr>
              <w:t>②</w:t>
            </w:r>
            <w:r>
              <w:rPr>
                <w:rFonts w:hint="eastAsia" w:ascii="仿宋" w:hAnsi="仿宋" w:eastAsia="仿宋" w:cs="仿宋"/>
                <w:color w:val="auto"/>
                <w:szCs w:val="21"/>
              </w:rPr>
              <w:fldChar w:fldCharType="end"/>
            </w:r>
            <w:r>
              <w:rPr>
                <w:rFonts w:hint="eastAsia" w:ascii="仿宋" w:hAnsi="仿宋" w:eastAsia="仿宋" w:cs="仿宋"/>
                <w:color w:val="auto"/>
                <w:szCs w:val="21"/>
              </w:rPr>
              <w:t>服务承诺；</w:t>
            </w:r>
            <w:r>
              <w:rPr>
                <w:rFonts w:hint="eastAsia" w:ascii="仿宋" w:hAnsi="仿宋" w:eastAsia="仿宋" w:cs="仿宋"/>
                <w:color w:val="auto"/>
                <w:szCs w:val="21"/>
              </w:rPr>
              <w:fldChar w:fldCharType="begin"/>
            </w:r>
            <w:r>
              <w:rPr>
                <w:rFonts w:hint="eastAsia" w:ascii="仿宋" w:hAnsi="仿宋" w:eastAsia="仿宋" w:cs="仿宋"/>
                <w:color w:val="auto"/>
                <w:szCs w:val="21"/>
              </w:rPr>
              <w:instrText xml:space="preserve"> = 3 \* GB3 </w:instrText>
            </w:r>
            <w:r>
              <w:rPr>
                <w:rFonts w:hint="eastAsia" w:ascii="仿宋" w:hAnsi="仿宋" w:eastAsia="仿宋" w:cs="仿宋"/>
                <w:color w:val="auto"/>
                <w:szCs w:val="21"/>
              </w:rPr>
              <w:fldChar w:fldCharType="separate"/>
            </w:r>
            <w:r>
              <w:rPr>
                <w:rFonts w:hint="eastAsia" w:ascii="仿宋" w:hAnsi="仿宋" w:eastAsia="仿宋" w:cs="仿宋"/>
                <w:color w:val="auto"/>
                <w:szCs w:val="21"/>
              </w:rPr>
              <w:t>③</w:t>
            </w:r>
            <w:r>
              <w:rPr>
                <w:rFonts w:hint="eastAsia" w:ascii="仿宋" w:hAnsi="仿宋" w:eastAsia="仿宋" w:cs="仿宋"/>
                <w:color w:val="auto"/>
                <w:szCs w:val="21"/>
              </w:rPr>
              <w:fldChar w:fldCharType="end"/>
            </w:r>
            <w:r>
              <w:rPr>
                <w:rFonts w:hint="eastAsia" w:ascii="仿宋" w:hAnsi="仿宋" w:eastAsia="仿宋" w:cs="仿宋"/>
                <w:color w:val="auto"/>
                <w:szCs w:val="21"/>
              </w:rPr>
              <w:t>备品备件库，响应时间（优于招标文件）；</w:t>
            </w:r>
            <w:r>
              <w:rPr>
                <w:rFonts w:hint="eastAsia" w:ascii="仿宋" w:hAnsi="仿宋" w:eastAsia="仿宋" w:cs="仿宋"/>
                <w:color w:val="auto"/>
                <w:szCs w:val="21"/>
              </w:rPr>
              <w:fldChar w:fldCharType="begin"/>
            </w:r>
            <w:r>
              <w:rPr>
                <w:rFonts w:hint="eastAsia" w:ascii="仿宋" w:hAnsi="仿宋" w:eastAsia="仿宋" w:cs="仿宋"/>
                <w:color w:val="auto"/>
                <w:szCs w:val="21"/>
              </w:rPr>
              <w:instrText xml:space="preserve"> = 4 \* GB3 </w:instrText>
            </w:r>
            <w:r>
              <w:rPr>
                <w:rFonts w:hint="eastAsia" w:ascii="仿宋" w:hAnsi="仿宋" w:eastAsia="仿宋" w:cs="仿宋"/>
                <w:color w:val="auto"/>
                <w:szCs w:val="21"/>
              </w:rPr>
              <w:fldChar w:fldCharType="separate"/>
            </w:r>
            <w:r>
              <w:rPr>
                <w:rFonts w:hint="eastAsia" w:ascii="仿宋" w:hAnsi="仿宋" w:eastAsia="仿宋" w:cs="仿宋"/>
                <w:color w:val="auto"/>
                <w:szCs w:val="21"/>
              </w:rPr>
              <w:t>④</w:t>
            </w:r>
            <w:r>
              <w:rPr>
                <w:rFonts w:hint="eastAsia" w:ascii="仿宋" w:hAnsi="仿宋" w:eastAsia="仿宋" w:cs="仿宋"/>
                <w:color w:val="auto"/>
                <w:szCs w:val="21"/>
              </w:rPr>
              <w:fldChar w:fldCharType="end"/>
            </w:r>
            <w:r>
              <w:rPr>
                <w:rFonts w:hint="eastAsia" w:ascii="仿宋" w:hAnsi="仿宋" w:eastAsia="仿宋" w:cs="仿宋"/>
                <w:color w:val="auto"/>
                <w:szCs w:val="21"/>
              </w:rPr>
              <w:t>服务流程及保修期外维修方案；</w:t>
            </w:r>
            <w:r>
              <w:rPr>
                <w:rFonts w:hint="eastAsia" w:ascii="仿宋" w:hAnsi="仿宋" w:eastAsia="仿宋" w:cs="仿宋"/>
                <w:color w:val="auto"/>
                <w:szCs w:val="21"/>
              </w:rPr>
              <w:fldChar w:fldCharType="begin"/>
            </w:r>
            <w:r>
              <w:rPr>
                <w:rFonts w:hint="eastAsia" w:ascii="仿宋" w:hAnsi="仿宋" w:eastAsia="仿宋" w:cs="仿宋"/>
                <w:color w:val="auto"/>
                <w:szCs w:val="21"/>
              </w:rPr>
              <w:instrText xml:space="preserve"> = 5 \* GB3 \* MERGEFORMAT </w:instrText>
            </w:r>
            <w:r>
              <w:rPr>
                <w:rFonts w:hint="eastAsia" w:ascii="仿宋" w:hAnsi="仿宋" w:eastAsia="仿宋" w:cs="仿宋"/>
                <w:color w:val="auto"/>
                <w:szCs w:val="21"/>
              </w:rPr>
              <w:fldChar w:fldCharType="separate"/>
            </w:r>
            <w:r>
              <w:rPr>
                <w:rFonts w:hint="eastAsia" w:ascii="仿宋" w:hAnsi="仿宋" w:eastAsia="仿宋" w:cs="仿宋"/>
                <w:color w:val="auto"/>
                <w:szCs w:val="21"/>
              </w:rPr>
              <w:t>⑤</w:t>
            </w:r>
            <w:r>
              <w:rPr>
                <w:rFonts w:hint="eastAsia" w:ascii="仿宋" w:hAnsi="仿宋" w:eastAsia="仿宋" w:cs="仿宋"/>
                <w:color w:val="auto"/>
                <w:szCs w:val="21"/>
              </w:rPr>
              <w:fldChar w:fldCharType="end"/>
            </w:r>
            <w:r>
              <w:rPr>
                <w:rFonts w:hint="eastAsia" w:ascii="仿宋" w:hAnsi="仿宋" w:eastAsia="仿宋" w:cs="仿宋"/>
                <w:color w:val="auto"/>
                <w:szCs w:val="21"/>
              </w:rPr>
              <w:t>应急预案；</w:t>
            </w:r>
            <w:r>
              <w:rPr>
                <w:rFonts w:hint="eastAsia" w:ascii="仿宋" w:hAnsi="仿宋" w:eastAsia="仿宋" w:cs="仿宋"/>
                <w:color w:val="auto"/>
                <w:szCs w:val="21"/>
              </w:rPr>
              <w:fldChar w:fldCharType="begin"/>
            </w:r>
            <w:r>
              <w:rPr>
                <w:rFonts w:hint="eastAsia" w:ascii="仿宋" w:hAnsi="仿宋" w:eastAsia="仿宋" w:cs="仿宋"/>
                <w:color w:val="auto"/>
                <w:szCs w:val="21"/>
              </w:rPr>
              <w:instrText xml:space="preserve"> = 6 \* GB3 </w:instrText>
            </w:r>
            <w:r>
              <w:rPr>
                <w:rFonts w:hint="eastAsia" w:ascii="仿宋" w:hAnsi="仿宋" w:eastAsia="仿宋" w:cs="仿宋"/>
                <w:color w:val="auto"/>
                <w:szCs w:val="21"/>
              </w:rPr>
              <w:fldChar w:fldCharType="separate"/>
            </w:r>
            <w:r>
              <w:rPr>
                <w:rFonts w:hint="eastAsia" w:ascii="仿宋" w:hAnsi="仿宋" w:eastAsia="仿宋" w:cs="仿宋"/>
                <w:color w:val="auto"/>
                <w:szCs w:val="21"/>
              </w:rPr>
              <w:t>⑥</w:t>
            </w:r>
            <w:r>
              <w:rPr>
                <w:rFonts w:hint="eastAsia" w:ascii="仿宋" w:hAnsi="仿宋" w:eastAsia="仿宋" w:cs="仿宋"/>
                <w:color w:val="auto"/>
                <w:szCs w:val="21"/>
              </w:rPr>
              <w:fldChar w:fldCharType="end"/>
            </w:r>
            <w:r>
              <w:rPr>
                <w:rFonts w:hint="eastAsia" w:ascii="仿宋" w:hAnsi="仿宋" w:eastAsia="仿宋" w:cs="仿宋"/>
                <w:color w:val="auto"/>
                <w:szCs w:val="21"/>
              </w:rPr>
              <w:t>本地化售后服务措施；</w:t>
            </w:r>
            <w:r>
              <w:rPr>
                <w:rFonts w:hint="eastAsia" w:ascii="仿宋" w:hAnsi="仿宋" w:eastAsia="仿宋" w:cs="仿宋"/>
                <w:color w:val="auto"/>
                <w:szCs w:val="21"/>
              </w:rPr>
              <w:fldChar w:fldCharType="begin"/>
            </w:r>
            <w:r>
              <w:rPr>
                <w:rFonts w:hint="eastAsia" w:ascii="仿宋" w:hAnsi="仿宋" w:eastAsia="仿宋" w:cs="仿宋"/>
                <w:color w:val="auto"/>
                <w:szCs w:val="21"/>
              </w:rPr>
              <w:instrText xml:space="preserve"> = 7 \* GB3 \* MERGEFORMAT </w:instrText>
            </w:r>
            <w:r>
              <w:rPr>
                <w:rFonts w:hint="eastAsia" w:ascii="仿宋" w:hAnsi="仿宋" w:eastAsia="仿宋" w:cs="仿宋"/>
                <w:color w:val="auto"/>
                <w:szCs w:val="21"/>
              </w:rPr>
              <w:fldChar w:fldCharType="separate"/>
            </w:r>
            <w:r>
              <w:rPr>
                <w:rFonts w:hint="eastAsia" w:ascii="仿宋" w:hAnsi="仿宋" w:eastAsia="仿宋" w:cs="仿宋"/>
                <w:color w:val="auto"/>
                <w:szCs w:val="21"/>
              </w:rPr>
              <w:t>⑦</w:t>
            </w:r>
            <w:r>
              <w:rPr>
                <w:rFonts w:hint="eastAsia" w:ascii="仿宋" w:hAnsi="仿宋" w:eastAsia="仿宋" w:cs="仿宋"/>
                <w:color w:val="auto"/>
                <w:szCs w:val="21"/>
              </w:rPr>
              <w:fldChar w:fldCharType="end"/>
            </w:r>
            <w:r>
              <w:rPr>
                <w:rFonts w:hint="eastAsia" w:ascii="仿宋" w:hAnsi="仿宋" w:eastAsia="仿宋" w:cs="仿宋"/>
                <w:color w:val="auto"/>
                <w:szCs w:val="21"/>
              </w:rPr>
              <w:t>免费技术培训方案。</w:t>
            </w:r>
          </w:p>
          <w:p w14:paraId="62505B91">
            <w:pPr>
              <w:snapToGrid w:val="0"/>
              <w:spacing w:line="420" w:lineRule="exact"/>
              <w:ind w:firstLine="440"/>
              <w:contextualSpacing/>
              <w:rPr>
                <w:rFonts w:ascii="仿宋" w:hAnsi="仿宋" w:eastAsia="仿宋" w:cs="仿宋"/>
                <w:bCs/>
                <w:color w:val="auto"/>
                <w:szCs w:val="21"/>
              </w:rPr>
            </w:pPr>
            <w:r>
              <w:rPr>
                <w:rFonts w:hint="eastAsia" w:ascii="仿宋" w:hAnsi="仿宋" w:eastAsia="仿宋" w:cs="仿宋"/>
                <w:color w:val="auto"/>
                <w:szCs w:val="21"/>
              </w:rPr>
              <w:t>经评委评定，以上各项内容每有一项内容详细，能保证项目售后服务质量的得2分，满分14分。</w:t>
            </w:r>
          </w:p>
        </w:tc>
      </w:tr>
      <w:tr w14:paraId="65870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3" w:hRule="atLeast"/>
          <w:jc w:val="center"/>
        </w:trPr>
        <w:tc>
          <w:tcPr>
            <w:tcW w:w="730" w:type="dxa"/>
            <w:vMerge w:val="continue"/>
            <w:shd w:val="clear" w:color="auto" w:fill="auto"/>
            <w:noWrap/>
            <w:vAlign w:val="center"/>
          </w:tcPr>
          <w:p w14:paraId="17B4CEBC">
            <w:pPr>
              <w:adjustRightInd w:val="0"/>
              <w:spacing w:line="420" w:lineRule="exact"/>
              <w:jc w:val="center"/>
              <w:textAlignment w:val="baseline"/>
              <w:rPr>
                <w:rFonts w:ascii="仿宋" w:hAnsi="仿宋" w:eastAsia="仿宋" w:cs="仿宋"/>
                <w:color w:val="auto"/>
                <w:szCs w:val="21"/>
              </w:rPr>
            </w:pPr>
          </w:p>
        </w:tc>
        <w:tc>
          <w:tcPr>
            <w:tcW w:w="1280" w:type="dxa"/>
            <w:vMerge w:val="continue"/>
            <w:shd w:val="clear" w:color="auto" w:fill="auto"/>
            <w:noWrap/>
            <w:vAlign w:val="center"/>
          </w:tcPr>
          <w:p w14:paraId="30FA19C0">
            <w:pPr>
              <w:adjustRightInd w:val="0"/>
              <w:spacing w:line="420" w:lineRule="exact"/>
              <w:jc w:val="center"/>
              <w:textAlignment w:val="baseline"/>
              <w:rPr>
                <w:rFonts w:ascii="仿宋" w:hAnsi="仿宋" w:eastAsia="仿宋" w:cs="仿宋"/>
                <w:color w:val="auto"/>
                <w:szCs w:val="21"/>
              </w:rPr>
            </w:pPr>
          </w:p>
        </w:tc>
        <w:tc>
          <w:tcPr>
            <w:tcW w:w="709" w:type="dxa"/>
            <w:vMerge w:val="continue"/>
            <w:shd w:val="clear" w:color="auto" w:fill="auto"/>
            <w:noWrap/>
            <w:vAlign w:val="center"/>
          </w:tcPr>
          <w:p w14:paraId="58907755">
            <w:pPr>
              <w:adjustRightInd w:val="0"/>
              <w:spacing w:line="420" w:lineRule="exact"/>
              <w:jc w:val="center"/>
              <w:textAlignment w:val="baseline"/>
              <w:rPr>
                <w:rFonts w:ascii="仿宋" w:hAnsi="仿宋" w:eastAsia="仿宋" w:cs="仿宋"/>
                <w:color w:val="auto"/>
                <w:szCs w:val="21"/>
              </w:rPr>
            </w:pPr>
          </w:p>
        </w:tc>
        <w:tc>
          <w:tcPr>
            <w:tcW w:w="1559" w:type="dxa"/>
            <w:shd w:val="clear" w:color="auto" w:fill="auto"/>
            <w:noWrap/>
            <w:vAlign w:val="center"/>
          </w:tcPr>
          <w:p w14:paraId="0ED3078A">
            <w:pPr>
              <w:spacing w:line="420" w:lineRule="exact"/>
              <w:jc w:val="center"/>
              <w:rPr>
                <w:rFonts w:ascii="仿宋" w:hAnsi="仿宋" w:eastAsia="仿宋" w:cs="仿宋"/>
                <w:b/>
                <w:color w:val="auto"/>
                <w:szCs w:val="21"/>
              </w:rPr>
            </w:pPr>
            <w:r>
              <w:rPr>
                <w:rFonts w:hint="eastAsia" w:ascii="仿宋" w:hAnsi="仿宋" w:eastAsia="仿宋" w:cs="仿宋"/>
                <w:b/>
                <w:bCs/>
                <w:color w:val="auto"/>
                <w:szCs w:val="21"/>
              </w:rPr>
              <w:t>3.</w:t>
            </w:r>
            <w:r>
              <w:rPr>
                <w:rFonts w:hint="eastAsia" w:ascii="仿宋" w:hAnsi="仿宋" w:eastAsia="仿宋" w:cs="仿宋"/>
                <w:b/>
                <w:bCs/>
                <w:color w:val="auto"/>
                <w:szCs w:val="21"/>
                <w:lang w:val="en-US" w:eastAsia="zh-CN"/>
              </w:rPr>
              <w:t>2</w:t>
            </w:r>
            <w:r>
              <w:rPr>
                <w:rFonts w:hint="eastAsia" w:ascii="仿宋" w:hAnsi="仿宋" w:eastAsia="仿宋" w:cs="仿宋"/>
                <w:b/>
                <w:bCs/>
                <w:color w:val="auto"/>
                <w:szCs w:val="21"/>
              </w:rPr>
              <w:t>政策功能分（满分1分）</w:t>
            </w:r>
          </w:p>
        </w:tc>
        <w:tc>
          <w:tcPr>
            <w:tcW w:w="5599" w:type="dxa"/>
            <w:shd w:val="clear" w:color="auto" w:fill="auto"/>
            <w:noWrap/>
            <w:vAlign w:val="center"/>
          </w:tcPr>
          <w:p w14:paraId="513F7317">
            <w:pPr>
              <w:spacing w:line="420" w:lineRule="exact"/>
              <w:ind w:firstLine="420" w:firstLineChars="200"/>
              <w:rPr>
                <w:rFonts w:ascii="仿宋" w:hAnsi="仿宋" w:eastAsia="仿宋" w:cs="仿宋"/>
                <w:color w:val="auto"/>
                <w:szCs w:val="21"/>
              </w:rPr>
            </w:pPr>
            <w:r>
              <w:rPr>
                <w:rFonts w:hint="eastAsia" w:ascii="仿宋" w:hAnsi="仿宋" w:eastAsia="仿宋" w:cs="仿宋"/>
                <w:color w:val="auto"/>
                <w:szCs w:val="21"/>
              </w:rPr>
              <w:t>3.</w:t>
            </w:r>
            <w:r>
              <w:rPr>
                <w:rFonts w:hint="eastAsia" w:ascii="仿宋" w:hAnsi="仿宋" w:eastAsia="仿宋" w:cs="仿宋"/>
                <w:color w:val="auto"/>
                <w:szCs w:val="21"/>
                <w:lang w:val="en-US" w:eastAsia="zh-CN"/>
              </w:rPr>
              <w:t>4</w:t>
            </w:r>
            <w:r>
              <w:rPr>
                <w:rFonts w:hint="eastAsia" w:ascii="仿宋" w:hAnsi="仿宋" w:eastAsia="仿宋" w:cs="仿宋"/>
                <w:color w:val="auto"/>
                <w:szCs w:val="21"/>
              </w:rPr>
              <w:t>.1投标产品中包含列入政府采购品目清单中的优先采购产品并具有有效的节能产品认证证书的，每项产品得0.5分，满分0.5分。（以有效的节能产品认证证书复印件为准，招标文件中有强制要求的除外）</w:t>
            </w:r>
          </w:p>
          <w:p w14:paraId="7D860515">
            <w:pPr>
              <w:spacing w:line="420" w:lineRule="exact"/>
              <w:ind w:firstLine="420" w:firstLineChars="200"/>
              <w:rPr>
                <w:rFonts w:ascii="仿宋" w:hAnsi="仿宋" w:eastAsia="仿宋" w:cs="仿宋"/>
                <w:bCs/>
                <w:color w:val="auto"/>
                <w:szCs w:val="21"/>
              </w:rPr>
            </w:pPr>
            <w:r>
              <w:rPr>
                <w:rFonts w:hint="eastAsia" w:ascii="仿宋" w:hAnsi="仿宋" w:eastAsia="仿宋" w:cs="仿宋"/>
                <w:color w:val="auto"/>
                <w:szCs w:val="21"/>
              </w:rPr>
              <w:t>3.</w:t>
            </w:r>
            <w:r>
              <w:rPr>
                <w:rFonts w:hint="eastAsia" w:ascii="仿宋" w:hAnsi="仿宋" w:eastAsia="仿宋" w:cs="仿宋"/>
                <w:color w:val="auto"/>
                <w:szCs w:val="21"/>
                <w:lang w:val="en-US" w:eastAsia="zh-CN"/>
              </w:rPr>
              <w:t>4</w:t>
            </w:r>
            <w:r>
              <w:rPr>
                <w:rFonts w:hint="eastAsia" w:ascii="仿宋" w:hAnsi="仿宋" w:eastAsia="仿宋" w:cs="仿宋"/>
                <w:color w:val="auto"/>
                <w:szCs w:val="21"/>
              </w:rPr>
              <w:t>.2投标产品中包含列入政府采购品目清单中的优先采购产品并具有有效的环境标志产品认证证书，每项产品得0.5分，满分0.5分。（以有效的环境标志产品认证证书复印件为准，招标文件中有强制要求的除外）</w:t>
            </w:r>
          </w:p>
        </w:tc>
      </w:tr>
      <w:tr w14:paraId="0C7C2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7" w:type="dxa"/>
            <w:gridSpan w:val="5"/>
            <w:shd w:val="clear" w:color="auto" w:fill="auto"/>
            <w:noWrap/>
            <w:vAlign w:val="center"/>
          </w:tcPr>
          <w:p w14:paraId="439D1826">
            <w:pPr>
              <w:spacing w:line="420" w:lineRule="exact"/>
              <w:rPr>
                <w:rFonts w:ascii="仿宋" w:hAnsi="仿宋" w:eastAsia="仿宋" w:cs="仿宋"/>
                <w:bCs/>
                <w:color w:val="auto"/>
                <w:szCs w:val="21"/>
              </w:rPr>
            </w:pPr>
            <w:r>
              <w:rPr>
                <w:rFonts w:hint="eastAsia" w:ascii="仿宋" w:hAnsi="仿宋" w:eastAsia="仿宋" w:cs="仿宋"/>
                <w:b/>
                <w:bCs/>
                <w:color w:val="auto"/>
                <w:szCs w:val="21"/>
              </w:rPr>
              <w:t>总得分=1+2+3。</w:t>
            </w:r>
          </w:p>
        </w:tc>
      </w:tr>
    </w:tbl>
    <w:p w14:paraId="3037C019">
      <w:pPr>
        <w:rPr>
          <w:rFonts w:hint="eastAsia" w:ascii="仿宋" w:hAnsi="仿宋" w:eastAsia="仿宋" w:cs="仿宋"/>
          <w:color w:val="auto"/>
        </w:rPr>
      </w:pPr>
      <w:r>
        <w:rPr>
          <w:rFonts w:hint="eastAsia" w:ascii="仿宋" w:hAnsi="仿宋" w:eastAsia="仿宋" w:cs="仿宋"/>
          <w:color w:val="auto"/>
        </w:rPr>
        <w:br w:type="page"/>
      </w:r>
      <w:bookmarkStart w:id="159" w:name="_GoBack"/>
      <w:bookmarkEnd w:id="159"/>
    </w:p>
    <w:p w14:paraId="015D9E1C">
      <w:pPr>
        <w:rPr>
          <w:rFonts w:hint="eastAsia" w:ascii="仿宋" w:hAnsi="仿宋" w:eastAsia="仿宋" w:cs="仿宋"/>
          <w:color w:val="auto"/>
        </w:rPr>
      </w:pPr>
    </w:p>
    <w:p w14:paraId="75B0FE11">
      <w:pPr>
        <w:pStyle w:val="19"/>
        <w:rPr>
          <w:rFonts w:eastAsia="仿宋"/>
          <w:color w:val="auto"/>
        </w:rPr>
      </w:pPr>
    </w:p>
    <w:p w14:paraId="7DC9141E">
      <w:pPr>
        <w:pStyle w:val="5"/>
        <w:keepNext w:val="0"/>
        <w:keepLines w:val="0"/>
        <w:ind w:firstLine="421"/>
        <w:jc w:val="center"/>
        <w:rPr>
          <w:rFonts w:ascii="仿宋" w:hAnsi="仿宋" w:eastAsia="仿宋" w:cs="仿宋"/>
          <w:color w:val="auto"/>
        </w:rPr>
      </w:pPr>
      <w:r>
        <w:rPr>
          <w:rFonts w:hint="eastAsia" w:ascii="仿宋" w:hAnsi="仿宋" w:eastAsia="仿宋" w:cs="仿宋"/>
          <w:color w:val="auto"/>
        </w:rPr>
        <w:t>最低评标价法</w:t>
      </w:r>
    </w:p>
    <w:p w14:paraId="048FD8EC">
      <w:pPr>
        <w:spacing w:line="360" w:lineRule="auto"/>
        <w:ind w:firstLine="420" w:firstLineChars="200"/>
        <w:jc w:val="center"/>
        <w:rPr>
          <w:rFonts w:ascii="仿宋" w:hAnsi="仿宋" w:eastAsia="仿宋" w:cs="仿宋"/>
          <w:color w:val="auto"/>
          <w:szCs w:val="21"/>
        </w:rPr>
      </w:pPr>
      <w:r>
        <w:rPr>
          <w:rFonts w:hint="eastAsia" w:ascii="仿宋" w:hAnsi="仿宋" w:eastAsia="仿宋" w:cs="仿宋"/>
          <w:color w:val="auto"/>
        </w:rPr>
        <w:t>（本项目不适用最低评标价法）</w:t>
      </w:r>
      <w:r>
        <w:rPr>
          <w:rFonts w:hint="eastAsia" w:ascii="仿宋" w:hAnsi="仿宋" w:eastAsia="仿宋" w:cs="仿宋"/>
          <w:color w:val="auto"/>
          <w:szCs w:val="21"/>
        </w:rPr>
        <w:br w:type="page"/>
      </w:r>
    </w:p>
    <w:p w14:paraId="191642D8">
      <w:pPr>
        <w:pStyle w:val="5"/>
        <w:keepNext w:val="0"/>
        <w:keepLines w:val="0"/>
        <w:jc w:val="center"/>
        <w:rPr>
          <w:rFonts w:ascii="仿宋" w:hAnsi="仿宋" w:eastAsia="仿宋" w:cs="仿宋"/>
          <w:color w:val="auto"/>
          <w:sz w:val="30"/>
          <w:szCs w:val="30"/>
        </w:rPr>
      </w:pPr>
      <w:r>
        <w:rPr>
          <w:rFonts w:hint="eastAsia" w:ascii="仿宋" w:hAnsi="仿宋" w:eastAsia="仿宋" w:cs="仿宋"/>
          <w:color w:val="auto"/>
          <w:sz w:val="30"/>
          <w:szCs w:val="30"/>
        </w:rPr>
        <w:t>四、中标候选人推荐原则</w:t>
      </w:r>
    </w:p>
    <w:p w14:paraId="7EBBDA3A">
      <w:pPr>
        <w:pStyle w:val="26"/>
        <w:spacing w:line="360" w:lineRule="auto"/>
        <w:contextualSpacing/>
        <w:rPr>
          <w:rFonts w:ascii="仿宋" w:hAnsi="仿宋" w:eastAsia="仿宋" w:cs="仿宋"/>
          <w:b/>
          <w:bCs/>
          <w:color w:val="auto"/>
          <w:sz w:val="24"/>
          <w:szCs w:val="24"/>
        </w:rPr>
      </w:pPr>
      <w:r>
        <w:rPr>
          <w:rFonts w:hint="eastAsia" w:ascii="仿宋" w:hAnsi="仿宋" w:eastAsia="仿宋" w:cs="仿宋"/>
          <w:b/>
          <w:bCs/>
          <w:color w:val="auto"/>
          <w:sz w:val="24"/>
          <w:szCs w:val="24"/>
        </w:rPr>
        <w:t>（一）综合评分法</w:t>
      </w:r>
    </w:p>
    <w:p w14:paraId="1685428C">
      <w:pPr>
        <w:pStyle w:val="26"/>
        <w:spacing w:line="360" w:lineRule="auto"/>
        <w:ind w:firstLine="420" w:firstLineChars="200"/>
        <w:outlineLvl w:val="0"/>
        <w:rPr>
          <w:rFonts w:ascii="仿宋" w:hAnsi="仿宋" w:eastAsia="仿宋" w:cs="仿宋"/>
          <w:color w:val="auto"/>
          <w:kern w:val="2"/>
          <w:sz w:val="21"/>
          <w:szCs w:val="24"/>
        </w:rPr>
      </w:pPr>
      <w:r>
        <w:rPr>
          <w:rFonts w:hint="eastAsia" w:ascii="仿宋" w:hAnsi="仿宋" w:eastAsia="仿宋" w:cs="仿宋"/>
          <w:color w:val="auto"/>
          <w:kern w:val="2"/>
          <w:sz w:val="21"/>
          <w:szCs w:val="24"/>
        </w:rPr>
        <w:t>1、评标委员会将根据得分由高到低排列次序（得分相同时，以投标报价由低到高顺序排列；得分相同且投标报价相同的，按技术分的优劣顺序排列）并推荐中标候选供应商。采购人应当确定评审委员会推荐排名第一的中标候选人为中标人。</w:t>
      </w:r>
    </w:p>
    <w:p w14:paraId="4702C730">
      <w:pPr>
        <w:pStyle w:val="26"/>
        <w:spacing w:line="360" w:lineRule="auto"/>
        <w:ind w:firstLine="420" w:firstLineChars="200"/>
        <w:outlineLvl w:val="0"/>
        <w:rPr>
          <w:rFonts w:hint="eastAsia" w:ascii="仿宋" w:hAnsi="仿宋" w:eastAsia="仿宋" w:cs="仿宋"/>
          <w:color w:val="auto"/>
          <w:kern w:val="2"/>
          <w:sz w:val="21"/>
          <w:szCs w:val="24"/>
          <w:highlight w:val="none"/>
        </w:rPr>
      </w:pPr>
      <w:r>
        <w:rPr>
          <w:rFonts w:hint="eastAsia" w:ascii="仿宋" w:hAnsi="仿宋" w:eastAsia="仿宋" w:cs="仿宋"/>
          <w:color w:val="auto"/>
          <w:kern w:val="2"/>
          <w:sz w:val="21"/>
          <w:szCs w:val="24"/>
          <w:highlight w:val="none"/>
        </w:rPr>
        <w:t>2、</w:t>
      </w:r>
      <w:r>
        <w:rPr>
          <w:rFonts w:hint="eastAsia" w:ascii="仿宋" w:hAnsi="仿宋" w:eastAsia="仿宋" w:cs="仿宋"/>
          <w:color w:val="auto"/>
          <w:kern w:val="2"/>
          <w:sz w:val="21"/>
          <w:szCs w:val="24"/>
          <w:highlight w:val="none"/>
          <w:lang w:val="en-US" w:eastAsia="zh-CN"/>
        </w:rPr>
        <w:t>投标人可以对某个分标或全部分标进行投标，但最多只能中1个分标。评标委员会将按1→2分标的顺序进行评审。如某投标人成为1分标第一中标候选人，则该投标人在进入2分标的评审时(该投标人允许进入2分标评审)，如果综合得分排名第一，不推荐为第一中标候选人，由得分次高的投标人作为第一中标候选人。</w:t>
      </w:r>
    </w:p>
    <w:p w14:paraId="64844993">
      <w:pPr>
        <w:pStyle w:val="26"/>
        <w:spacing w:line="360" w:lineRule="auto"/>
        <w:ind w:firstLine="420" w:firstLineChars="200"/>
        <w:outlineLvl w:val="0"/>
        <w:rPr>
          <w:rFonts w:ascii="仿宋" w:hAnsi="仿宋" w:eastAsia="仿宋" w:cs="仿宋"/>
          <w:color w:val="auto"/>
          <w:kern w:val="2"/>
          <w:sz w:val="21"/>
          <w:szCs w:val="24"/>
        </w:rPr>
      </w:pPr>
      <w:r>
        <w:rPr>
          <w:rFonts w:hint="eastAsia" w:ascii="仿宋" w:hAnsi="仿宋" w:eastAsia="仿宋" w:cs="仿宋"/>
          <w:color w:val="auto"/>
          <w:kern w:val="2"/>
          <w:sz w:val="21"/>
          <w:szCs w:val="24"/>
          <w:lang w:val="en-US" w:eastAsia="zh-CN"/>
        </w:rPr>
        <w:t>3、</w:t>
      </w:r>
      <w:r>
        <w:rPr>
          <w:rFonts w:hint="eastAsia" w:ascii="仿宋" w:hAnsi="仿宋" w:eastAsia="仿宋" w:cs="仿宋"/>
          <w:color w:val="auto"/>
          <w:kern w:val="2"/>
          <w:sz w:val="21"/>
          <w:szCs w:val="24"/>
        </w:rPr>
        <w:t>排名第一的中标候选人放弃中标、因不可抗力提出不能履行合同，或者招标文件规定应当提交履约保证金而在规定的期限内未能提交的，采购人可以确定排名第二的中标候选人为中标人。排名第二的中标候选人因前款规定的同样原因不能签订合同的，采购人可以确定排名第三的中标候选人为中标人，其余以此类推。</w:t>
      </w:r>
    </w:p>
    <w:p w14:paraId="0F917F8C">
      <w:pPr>
        <w:spacing w:line="360" w:lineRule="auto"/>
        <w:ind w:firstLine="420" w:firstLineChars="200"/>
        <w:rPr>
          <w:rFonts w:ascii="仿宋" w:hAnsi="仿宋" w:eastAsia="仿宋" w:cs="仿宋"/>
          <w:color w:val="auto"/>
        </w:rPr>
      </w:pPr>
      <w:r>
        <w:rPr>
          <w:rFonts w:hint="eastAsia" w:ascii="仿宋" w:hAnsi="仿宋" w:eastAsia="仿宋" w:cs="仿宋"/>
          <w:color w:val="auto"/>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42E709D">
      <w:pPr>
        <w:pStyle w:val="26"/>
        <w:spacing w:line="360" w:lineRule="auto"/>
        <w:ind w:firstLine="420" w:firstLineChars="200"/>
        <w:contextualSpacing/>
        <w:rPr>
          <w:rFonts w:ascii="仿宋" w:hAnsi="仿宋" w:eastAsia="仿宋" w:cs="仿宋"/>
          <w:color w:val="auto"/>
          <w:sz w:val="21"/>
        </w:rPr>
      </w:pPr>
    </w:p>
    <w:p w14:paraId="25F413BE">
      <w:pPr>
        <w:pStyle w:val="26"/>
        <w:spacing w:line="360" w:lineRule="auto"/>
        <w:contextualSpacing/>
        <w:rPr>
          <w:rFonts w:ascii="仿宋" w:hAnsi="仿宋" w:eastAsia="仿宋" w:cs="仿宋"/>
          <w:b/>
          <w:bCs/>
          <w:color w:val="auto"/>
          <w:sz w:val="24"/>
          <w:szCs w:val="24"/>
        </w:rPr>
      </w:pPr>
      <w:r>
        <w:rPr>
          <w:rFonts w:hint="eastAsia" w:ascii="仿宋" w:hAnsi="仿宋" w:eastAsia="仿宋" w:cs="仿宋"/>
          <w:b/>
          <w:bCs/>
          <w:color w:val="auto"/>
          <w:sz w:val="24"/>
          <w:szCs w:val="24"/>
        </w:rPr>
        <w:t>（二）最低评标价法</w:t>
      </w:r>
    </w:p>
    <w:p w14:paraId="3824AEAF">
      <w:pPr>
        <w:spacing w:line="360" w:lineRule="auto"/>
        <w:ind w:firstLine="420" w:firstLineChars="200"/>
        <w:contextualSpacing/>
        <w:rPr>
          <w:rFonts w:ascii="仿宋" w:hAnsi="仿宋" w:eastAsia="仿宋" w:cs="仿宋"/>
          <w:b/>
          <w:color w:val="auto"/>
          <w:sz w:val="24"/>
        </w:rPr>
      </w:pPr>
      <w:r>
        <w:rPr>
          <w:rFonts w:hint="eastAsia" w:ascii="仿宋" w:hAnsi="仿宋" w:eastAsia="仿宋" w:cs="仿宋"/>
          <w:color w:val="auto"/>
        </w:rPr>
        <w:t>评标委员会按照评标价从低到高排序并推荐中标候选人，评标价相同的并列。投标文件满足招标文件全部实质性要求且评标价最低的投标人为排名第一的中标候选人。</w:t>
      </w:r>
    </w:p>
    <w:p w14:paraId="5D7EF900">
      <w:pPr>
        <w:pStyle w:val="26"/>
        <w:spacing w:line="360" w:lineRule="auto"/>
        <w:ind w:firstLine="420" w:firstLineChars="200"/>
        <w:contextualSpacing/>
        <w:rPr>
          <w:rFonts w:ascii="仿宋" w:hAnsi="仿宋" w:eastAsia="仿宋"/>
          <w:color w:val="auto"/>
          <w:sz w:val="21"/>
        </w:rPr>
      </w:pPr>
    </w:p>
    <w:p w14:paraId="1F4D6ACD">
      <w:pPr>
        <w:spacing w:beforeLines="50" w:afterLines="50" w:line="400" w:lineRule="exact"/>
        <w:rPr>
          <w:rFonts w:ascii="仿宋" w:hAnsi="仿宋" w:eastAsia="仿宋"/>
          <w:b/>
          <w:color w:val="auto"/>
          <w:sz w:val="24"/>
        </w:rPr>
      </w:pPr>
    </w:p>
    <w:p w14:paraId="5E05C501">
      <w:pPr>
        <w:spacing w:beforeLines="50" w:afterLines="50" w:line="400" w:lineRule="exact"/>
        <w:rPr>
          <w:rFonts w:ascii="仿宋" w:hAnsi="仿宋" w:eastAsia="仿宋"/>
          <w:b/>
          <w:color w:val="auto"/>
          <w:sz w:val="24"/>
        </w:rPr>
      </w:pPr>
    </w:p>
    <w:p w14:paraId="7055F104">
      <w:pPr>
        <w:spacing w:beforeLines="50" w:afterLines="50" w:line="400" w:lineRule="exact"/>
        <w:rPr>
          <w:rFonts w:ascii="仿宋" w:hAnsi="仿宋" w:eastAsia="仿宋"/>
          <w:b/>
          <w:color w:val="auto"/>
          <w:sz w:val="24"/>
        </w:rPr>
      </w:pPr>
    </w:p>
    <w:p w14:paraId="5FD5791D">
      <w:pPr>
        <w:spacing w:beforeLines="50" w:afterLines="50" w:line="400" w:lineRule="exact"/>
        <w:rPr>
          <w:rFonts w:ascii="仿宋" w:hAnsi="仿宋" w:eastAsia="仿宋"/>
          <w:b/>
          <w:color w:val="auto"/>
          <w:sz w:val="24"/>
        </w:rPr>
      </w:pPr>
    </w:p>
    <w:p w14:paraId="2E267791">
      <w:pPr>
        <w:spacing w:beforeLines="50" w:afterLines="50" w:line="400" w:lineRule="exact"/>
        <w:rPr>
          <w:rFonts w:ascii="仿宋" w:hAnsi="仿宋" w:eastAsia="仿宋"/>
          <w:b/>
          <w:color w:val="auto"/>
          <w:sz w:val="24"/>
        </w:rPr>
      </w:pPr>
    </w:p>
    <w:p w14:paraId="026BE8FB">
      <w:pPr>
        <w:spacing w:beforeLines="50" w:afterLines="50" w:line="400" w:lineRule="exact"/>
        <w:rPr>
          <w:rFonts w:ascii="仿宋" w:hAnsi="仿宋" w:eastAsia="仿宋"/>
          <w:b/>
          <w:color w:val="auto"/>
          <w:sz w:val="24"/>
        </w:rPr>
      </w:pPr>
    </w:p>
    <w:p w14:paraId="1B2D9836">
      <w:pPr>
        <w:spacing w:beforeLines="50" w:afterLines="50" w:line="400" w:lineRule="exact"/>
        <w:rPr>
          <w:rFonts w:ascii="仿宋" w:hAnsi="仿宋" w:eastAsia="仿宋"/>
          <w:b/>
          <w:color w:val="auto"/>
          <w:sz w:val="24"/>
        </w:rPr>
      </w:pPr>
    </w:p>
    <w:p w14:paraId="62B74D42">
      <w:pPr>
        <w:spacing w:beforeLines="50" w:afterLines="50" w:line="400" w:lineRule="exact"/>
        <w:rPr>
          <w:rFonts w:ascii="仿宋" w:hAnsi="仿宋" w:eastAsia="仿宋"/>
          <w:b/>
          <w:color w:val="auto"/>
          <w:sz w:val="24"/>
        </w:rPr>
      </w:pPr>
    </w:p>
    <w:p w14:paraId="6C064E79">
      <w:pPr>
        <w:spacing w:beforeLines="50" w:afterLines="50" w:line="400" w:lineRule="exact"/>
        <w:rPr>
          <w:rFonts w:ascii="仿宋" w:hAnsi="仿宋" w:eastAsia="仿宋"/>
          <w:b/>
          <w:color w:val="auto"/>
          <w:sz w:val="24"/>
        </w:rPr>
      </w:pPr>
    </w:p>
    <w:p w14:paraId="254D8DDF">
      <w:pPr>
        <w:spacing w:beforeLines="50" w:afterLines="50" w:line="400" w:lineRule="exact"/>
        <w:rPr>
          <w:rFonts w:ascii="仿宋" w:hAnsi="仿宋" w:eastAsia="仿宋"/>
          <w:b/>
          <w:color w:val="auto"/>
          <w:sz w:val="24"/>
        </w:rPr>
      </w:pPr>
    </w:p>
    <w:p w14:paraId="4EE779B5">
      <w:pPr>
        <w:pStyle w:val="4"/>
        <w:keepNext w:val="0"/>
        <w:keepLines w:val="0"/>
        <w:jc w:val="center"/>
        <w:rPr>
          <w:rFonts w:ascii="仿宋" w:hAnsi="仿宋" w:eastAsia="仿宋"/>
          <w:color w:val="auto"/>
        </w:rPr>
      </w:pPr>
      <w:r>
        <w:rPr>
          <w:rFonts w:ascii="仿宋" w:hAnsi="仿宋" w:eastAsia="仿宋"/>
          <w:color w:val="auto"/>
        </w:rPr>
        <w:br w:type="page"/>
      </w:r>
    </w:p>
    <w:p w14:paraId="0B04BF95">
      <w:pPr>
        <w:pStyle w:val="4"/>
        <w:keepNext w:val="0"/>
        <w:keepLines w:val="0"/>
        <w:jc w:val="center"/>
        <w:rPr>
          <w:rFonts w:ascii="仿宋" w:hAnsi="仿宋" w:eastAsia="仿宋"/>
          <w:color w:val="auto"/>
        </w:rPr>
      </w:pPr>
    </w:p>
    <w:p w14:paraId="0EF808EB">
      <w:pPr>
        <w:pStyle w:val="4"/>
        <w:keepNext w:val="0"/>
        <w:keepLines w:val="0"/>
        <w:jc w:val="center"/>
        <w:rPr>
          <w:rFonts w:ascii="仿宋" w:hAnsi="仿宋" w:eastAsia="仿宋"/>
          <w:color w:val="auto"/>
        </w:rPr>
      </w:pPr>
    </w:p>
    <w:p w14:paraId="1AA7653B">
      <w:pPr>
        <w:pStyle w:val="4"/>
        <w:keepNext w:val="0"/>
        <w:keepLines w:val="0"/>
        <w:jc w:val="center"/>
        <w:rPr>
          <w:rFonts w:ascii="仿宋" w:hAnsi="仿宋" w:eastAsia="仿宋"/>
          <w:color w:val="auto"/>
        </w:rPr>
      </w:pPr>
    </w:p>
    <w:p w14:paraId="63848350">
      <w:pPr>
        <w:pStyle w:val="4"/>
        <w:keepNext w:val="0"/>
        <w:keepLines w:val="0"/>
        <w:jc w:val="center"/>
        <w:rPr>
          <w:rFonts w:ascii="仿宋" w:hAnsi="仿宋" w:eastAsia="仿宋"/>
          <w:color w:val="auto"/>
        </w:rPr>
      </w:pPr>
    </w:p>
    <w:p w14:paraId="30AB3ACA">
      <w:pPr>
        <w:pStyle w:val="3"/>
        <w:jc w:val="center"/>
        <w:rPr>
          <w:rFonts w:ascii="仿宋" w:hAnsi="仿宋" w:eastAsia="仿宋"/>
          <w:color w:val="auto"/>
        </w:rPr>
      </w:pPr>
      <w:bookmarkStart w:id="141" w:name="_Toc74320804"/>
      <w:r>
        <w:rPr>
          <w:rFonts w:hint="eastAsia" w:ascii="仿宋" w:hAnsi="仿宋" w:eastAsia="仿宋"/>
          <w:color w:val="auto"/>
        </w:rPr>
        <w:t>第五章  拟签订的合同文本</w:t>
      </w:r>
      <w:bookmarkEnd w:id="141"/>
    </w:p>
    <w:p w14:paraId="5F3BC09F">
      <w:pPr>
        <w:snapToGrid w:val="0"/>
        <w:jc w:val="center"/>
        <w:rPr>
          <w:rFonts w:ascii="仿宋" w:hAnsi="仿宋" w:eastAsia="仿宋"/>
          <w:bCs/>
          <w:color w:val="auto"/>
          <w:sz w:val="32"/>
          <w:szCs w:val="32"/>
        </w:rPr>
      </w:pPr>
    </w:p>
    <w:p w14:paraId="2B68EB20">
      <w:pPr>
        <w:snapToGrid w:val="0"/>
        <w:jc w:val="center"/>
        <w:rPr>
          <w:rFonts w:ascii="仿宋" w:hAnsi="仿宋" w:eastAsia="仿宋"/>
          <w:bCs/>
          <w:color w:val="auto"/>
          <w:sz w:val="32"/>
          <w:szCs w:val="32"/>
        </w:rPr>
      </w:pPr>
    </w:p>
    <w:p w14:paraId="5CEB5501">
      <w:pPr>
        <w:snapToGrid w:val="0"/>
        <w:jc w:val="center"/>
        <w:rPr>
          <w:rFonts w:ascii="仿宋" w:hAnsi="仿宋" w:eastAsia="仿宋"/>
          <w:bCs/>
          <w:color w:val="auto"/>
          <w:sz w:val="32"/>
          <w:szCs w:val="32"/>
        </w:rPr>
      </w:pPr>
    </w:p>
    <w:p w14:paraId="138B0977">
      <w:pPr>
        <w:snapToGrid w:val="0"/>
        <w:jc w:val="center"/>
        <w:rPr>
          <w:rFonts w:ascii="仿宋" w:hAnsi="仿宋" w:eastAsia="仿宋"/>
          <w:bCs/>
          <w:color w:val="auto"/>
          <w:sz w:val="32"/>
          <w:szCs w:val="32"/>
        </w:rPr>
      </w:pPr>
    </w:p>
    <w:p w14:paraId="733E5F87">
      <w:pPr>
        <w:snapToGrid w:val="0"/>
        <w:jc w:val="center"/>
        <w:rPr>
          <w:rFonts w:ascii="仿宋" w:hAnsi="仿宋" w:eastAsia="仿宋"/>
          <w:bCs/>
          <w:color w:val="auto"/>
          <w:sz w:val="32"/>
          <w:szCs w:val="32"/>
        </w:rPr>
      </w:pPr>
    </w:p>
    <w:p w14:paraId="37B5424A">
      <w:pPr>
        <w:snapToGrid w:val="0"/>
        <w:jc w:val="center"/>
        <w:rPr>
          <w:rFonts w:ascii="仿宋" w:hAnsi="仿宋" w:eastAsia="仿宋"/>
          <w:bCs/>
          <w:color w:val="auto"/>
          <w:sz w:val="32"/>
          <w:szCs w:val="32"/>
        </w:rPr>
      </w:pPr>
    </w:p>
    <w:p w14:paraId="5E13630C">
      <w:pPr>
        <w:snapToGrid w:val="0"/>
        <w:jc w:val="center"/>
        <w:rPr>
          <w:rFonts w:ascii="仿宋" w:hAnsi="仿宋" w:eastAsia="仿宋"/>
          <w:bCs/>
          <w:color w:val="auto"/>
          <w:sz w:val="32"/>
          <w:szCs w:val="32"/>
        </w:rPr>
      </w:pPr>
    </w:p>
    <w:p w14:paraId="261F0512">
      <w:pPr>
        <w:snapToGrid w:val="0"/>
        <w:jc w:val="center"/>
        <w:rPr>
          <w:rFonts w:ascii="仿宋" w:hAnsi="仿宋" w:eastAsia="仿宋"/>
          <w:bCs/>
          <w:color w:val="auto"/>
          <w:sz w:val="32"/>
          <w:szCs w:val="32"/>
        </w:rPr>
      </w:pPr>
    </w:p>
    <w:p w14:paraId="5FAA9D27">
      <w:pPr>
        <w:snapToGrid w:val="0"/>
        <w:jc w:val="center"/>
        <w:rPr>
          <w:rFonts w:ascii="仿宋" w:hAnsi="仿宋" w:eastAsia="仿宋"/>
          <w:bCs/>
          <w:color w:val="auto"/>
          <w:sz w:val="32"/>
          <w:szCs w:val="32"/>
        </w:rPr>
      </w:pPr>
    </w:p>
    <w:p w14:paraId="4B7F989D">
      <w:pPr>
        <w:snapToGrid w:val="0"/>
        <w:jc w:val="center"/>
        <w:rPr>
          <w:rFonts w:ascii="仿宋" w:hAnsi="仿宋" w:eastAsia="仿宋"/>
          <w:bCs/>
          <w:color w:val="auto"/>
          <w:sz w:val="32"/>
          <w:szCs w:val="32"/>
        </w:rPr>
      </w:pPr>
    </w:p>
    <w:p w14:paraId="183DE716">
      <w:pPr>
        <w:snapToGrid w:val="0"/>
        <w:jc w:val="center"/>
        <w:rPr>
          <w:rFonts w:ascii="仿宋" w:hAnsi="仿宋" w:eastAsia="仿宋"/>
          <w:bCs/>
          <w:color w:val="auto"/>
          <w:sz w:val="32"/>
          <w:szCs w:val="32"/>
        </w:rPr>
      </w:pPr>
    </w:p>
    <w:p w14:paraId="67616040">
      <w:pPr>
        <w:snapToGrid w:val="0"/>
        <w:jc w:val="center"/>
        <w:rPr>
          <w:rFonts w:ascii="仿宋" w:hAnsi="仿宋" w:eastAsia="仿宋"/>
          <w:bCs/>
          <w:color w:val="auto"/>
          <w:sz w:val="32"/>
          <w:szCs w:val="32"/>
        </w:rPr>
      </w:pPr>
    </w:p>
    <w:p w14:paraId="04859E78">
      <w:pPr>
        <w:snapToGrid w:val="0"/>
        <w:jc w:val="center"/>
        <w:rPr>
          <w:rFonts w:ascii="仿宋" w:hAnsi="仿宋" w:eastAsia="仿宋"/>
          <w:bCs/>
          <w:color w:val="auto"/>
          <w:sz w:val="32"/>
          <w:szCs w:val="32"/>
        </w:rPr>
      </w:pPr>
      <w:r>
        <w:rPr>
          <w:rFonts w:ascii="仿宋" w:hAnsi="仿宋" w:eastAsia="仿宋"/>
          <w:bCs/>
          <w:color w:val="auto"/>
          <w:sz w:val="32"/>
          <w:szCs w:val="32"/>
        </w:rPr>
        <w:br w:type="page"/>
      </w:r>
      <w:bookmarkStart w:id="142" w:name="_Hlk55381736"/>
    </w:p>
    <w:bookmarkEnd w:id="142"/>
    <w:p w14:paraId="62BDE502">
      <w:pPr>
        <w:snapToGrid w:val="0"/>
        <w:jc w:val="center"/>
        <w:rPr>
          <w:rFonts w:ascii="仿宋" w:hAnsi="仿宋" w:eastAsia="仿宋"/>
          <w:b/>
          <w:bCs/>
          <w:color w:val="auto"/>
          <w:sz w:val="32"/>
          <w:szCs w:val="32"/>
        </w:rPr>
      </w:pPr>
      <w:r>
        <w:rPr>
          <w:rFonts w:hint="eastAsia" w:ascii="仿宋" w:hAnsi="仿宋" w:eastAsia="仿宋"/>
          <w:b/>
          <w:bCs/>
          <w:color w:val="auto"/>
          <w:sz w:val="32"/>
          <w:szCs w:val="32"/>
        </w:rPr>
        <w:t>政府采购合同</w:t>
      </w:r>
      <w:r>
        <w:rPr>
          <w:rFonts w:hint="eastAsia" w:ascii="仿宋" w:hAnsi="仿宋" w:eastAsia="仿宋"/>
          <w:b/>
          <w:color w:val="auto"/>
          <w:sz w:val="32"/>
          <w:szCs w:val="32"/>
        </w:rPr>
        <w:t>文本</w:t>
      </w:r>
    </w:p>
    <w:p w14:paraId="236C55ED">
      <w:pPr>
        <w:snapToGrid w:val="0"/>
        <w:spacing w:line="400" w:lineRule="exact"/>
        <w:ind w:right="480" w:firstLine="5250" w:firstLineChars="2500"/>
        <w:rPr>
          <w:rFonts w:ascii="仿宋" w:hAnsi="仿宋" w:eastAsia="仿宋"/>
          <w:bCs/>
          <w:color w:val="auto"/>
          <w:szCs w:val="21"/>
          <w:u w:val="single"/>
        </w:rPr>
      </w:pPr>
      <w:r>
        <w:rPr>
          <w:rFonts w:hint="eastAsia" w:ascii="仿宋" w:hAnsi="仿宋" w:eastAsia="仿宋"/>
          <w:bCs/>
          <w:color w:val="auto"/>
          <w:szCs w:val="21"/>
        </w:rPr>
        <w:t>合同编号：</w:t>
      </w:r>
    </w:p>
    <w:p w14:paraId="2E9F4273">
      <w:pPr>
        <w:snapToGrid w:val="0"/>
        <w:spacing w:line="360" w:lineRule="exact"/>
        <w:rPr>
          <w:rFonts w:ascii="仿宋" w:hAnsi="仿宋" w:eastAsia="仿宋"/>
          <w:color w:val="auto"/>
          <w:szCs w:val="21"/>
        </w:rPr>
      </w:pPr>
    </w:p>
    <w:p w14:paraId="4B8098A9">
      <w:pPr>
        <w:snapToGrid w:val="0"/>
        <w:spacing w:line="420" w:lineRule="exact"/>
        <w:rPr>
          <w:rFonts w:ascii="仿宋" w:hAnsi="仿宋" w:eastAsia="仿宋" w:cs="仿宋"/>
          <w:color w:val="auto"/>
          <w:szCs w:val="21"/>
          <w:u w:val="single"/>
        </w:rPr>
      </w:pPr>
      <w:r>
        <w:rPr>
          <w:rFonts w:hint="eastAsia" w:ascii="仿宋" w:hAnsi="仿宋" w:eastAsia="仿宋" w:cs="仿宋"/>
          <w:color w:val="auto"/>
          <w:szCs w:val="21"/>
        </w:rPr>
        <w:t>采购人（甲方）</w:t>
      </w:r>
      <w:r>
        <w:rPr>
          <w:rFonts w:hint="eastAsia" w:ascii="仿宋" w:hAnsi="仿宋" w:eastAsia="仿宋" w:cs="仿宋"/>
          <w:color w:val="auto"/>
          <w:spacing w:val="-20"/>
          <w:szCs w:val="21"/>
        </w:rPr>
        <w:t>采 购 计 划 号</w:t>
      </w:r>
    </w:p>
    <w:p w14:paraId="36B9D76B">
      <w:pPr>
        <w:snapToGrid w:val="0"/>
        <w:spacing w:line="420" w:lineRule="exact"/>
        <w:rPr>
          <w:rFonts w:ascii="仿宋" w:hAnsi="仿宋" w:eastAsia="仿宋" w:cs="仿宋"/>
          <w:color w:val="auto"/>
          <w:szCs w:val="21"/>
          <w:u w:val="single"/>
        </w:rPr>
      </w:pPr>
      <w:r>
        <w:rPr>
          <w:rFonts w:hint="eastAsia" w:ascii="仿宋" w:hAnsi="仿宋" w:eastAsia="仿宋" w:cs="仿宋"/>
          <w:color w:val="auto"/>
          <w:szCs w:val="21"/>
        </w:rPr>
        <w:t>供 应 商（乙方）项 目</w:t>
      </w:r>
      <w:r>
        <w:rPr>
          <w:rFonts w:hint="eastAsia" w:ascii="仿宋" w:hAnsi="仿宋" w:eastAsia="仿宋" w:cs="仿宋"/>
          <w:color w:val="auto"/>
          <w:spacing w:val="-20"/>
          <w:szCs w:val="21"/>
        </w:rPr>
        <w:t xml:space="preserve">  编  号</w:t>
      </w:r>
    </w:p>
    <w:p w14:paraId="3EF5E24F">
      <w:pPr>
        <w:snapToGrid w:val="0"/>
        <w:spacing w:line="420" w:lineRule="exact"/>
        <w:rPr>
          <w:rFonts w:ascii="仿宋" w:hAnsi="仿宋" w:eastAsia="仿宋" w:cs="仿宋"/>
          <w:color w:val="auto"/>
          <w:szCs w:val="21"/>
          <w:u w:val="single"/>
        </w:rPr>
      </w:pPr>
      <w:r>
        <w:rPr>
          <w:rFonts w:hint="eastAsia" w:ascii="仿宋" w:hAnsi="仿宋" w:eastAsia="仿宋" w:cs="仿宋"/>
          <w:color w:val="auto"/>
          <w:szCs w:val="21"/>
        </w:rPr>
        <w:t>签  订  地  点  签 订 时 间</w:t>
      </w:r>
    </w:p>
    <w:p w14:paraId="67838F22">
      <w:pPr>
        <w:spacing w:line="420" w:lineRule="exact"/>
        <w:rPr>
          <w:rFonts w:ascii="仿宋" w:hAnsi="仿宋" w:eastAsia="仿宋" w:cs="仿宋"/>
          <w:color w:val="auto"/>
          <w:szCs w:val="21"/>
        </w:rPr>
      </w:pPr>
      <w:r>
        <w:rPr>
          <w:rFonts w:hint="eastAsia" w:ascii="仿宋" w:hAnsi="仿宋" w:eastAsia="仿宋" w:cs="仿宋"/>
          <w:color w:val="auto"/>
          <w:szCs w:val="21"/>
        </w:rPr>
        <w:t>本合同为中小企业预留合同：</w:t>
      </w:r>
      <w:r>
        <w:rPr>
          <w:rFonts w:hint="eastAsia" w:ascii="仿宋" w:hAnsi="仿宋" w:eastAsia="仿宋" w:cs="仿宋"/>
          <w:color w:val="auto"/>
          <w:szCs w:val="21"/>
          <w:u w:val="single"/>
        </w:rPr>
        <w:t>（是/否）</w:t>
      </w:r>
      <w:r>
        <w:rPr>
          <w:rFonts w:hint="eastAsia" w:ascii="仿宋" w:hAnsi="仿宋" w:eastAsia="仿宋" w:cs="仿宋"/>
          <w:color w:val="auto"/>
          <w:szCs w:val="21"/>
        </w:rPr>
        <w:t>。</w:t>
      </w:r>
    </w:p>
    <w:p w14:paraId="78B8AF3C">
      <w:pPr>
        <w:pStyle w:val="8"/>
        <w:rPr>
          <w:color w:val="auto"/>
        </w:rPr>
      </w:pPr>
    </w:p>
    <w:p w14:paraId="2CB14CB4">
      <w:pPr>
        <w:snapToGrid w:val="0"/>
        <w:spacing w:line="420" w:lineRule="exact"/>
        <w:ind w:firstLine="420" w:firstLineChars="200"/>
        <w:rPr>
          <w:rFonts w:ascii="仿宋" w:hAnsi="仿宋" w:eastAsia="仿宋" w:cs="仿宋"/>
          <w:color w:val="auto"/>
          <w:szCs w:val="21"/>
        </w:rPr>
      </w:pPr>
      <w:r>
        <w:rPr>
          <w:rFonts w:hint="eastAsia" w:ascii="仿宋" w:hAnsi="仿宋" w:eastAsia="仿宋" w:cs="仿宋"/>
          <w:color w:val="auto"/>
          <w:szCs w:val="21"/>
        </w:rPr>
        <w:t>根据《中华人民共和国政府采购法》、《中华人民共和国民法典》等法律、法规规定，按照招标文件规定条款和中标供应商承诺，甲乙双方签订本合同。</w:t>
      </w:r>
    </w:p>
    <w:p w14:paraId="5B7550C4">
      <w:pPr>
        <w:snapToGrid w:val="0"/>
        <w:spacing w:line="420" w:lineRule="exact"/>
        <w:ind w:firstLine="422" w:firstLineChars="200"/>
        <w:rPr>
          <w:rFonts w:ascii="仿宋" w:hAnsi="仿宋" w:eastAsia="仿宋" w:cs="仿宋"/>
          <w:b/>
          <w:color w:val="auto"/>
          <w:szCs w:val="21"/>
        </w:rPr>
      </w:pPr>
      <w:r>
        <w:rPr>
          <w:rFonts w:hint="eastAsia" w:ascii="仿宋" w:hAnsi="仿宋" w:eastAsia="仿宋" w:cs="仿宋"/>
          <w:b/>
          <w:color w:val="auto"/>
          <w:szCs w:val="21"/>
        </w:rPr>
        <w:t>第一条　合同标的</w:t>
      </w:r>
    </w:p>
    <w:p w14:paraId="5218E377">
      <w:pPr>
        <w:snapToGrid w:val="0"/>
        <w:spacing w:line="420" w:lineRule="exact"/>
        <w:ind w:firstLine="420" w:firstLineChars="200"/>
        <w:rPr>
          <w:rFonts w:ascii="仿宋" w:hAnsi="仿宋" w:eastAsia="仿宋" w:cs="仿宋"/>
          <w:color w:val="auto"/>
          <w:szCs w:val="21"/>
        </w:rPr>
      </w:pPr>
      <w:r>
        <w:rPr>
          <w:rFonts w:hint="eastAsia" w:ascii="仿宋" w:hAnsi="仿宋" w:eastAsia="仿宋" w:cs="仿宋"/>
          <w:color w:val="auto"/>
          <w:szCs w:val="21"/>
        </w:rPr>
        <w:t>1.供货一览表</w:t>
      </w:r>
    </w:p>
    <w:tbl>
      <w:tblPr>
        <w:tblStyle w:val="47"/>
        <w:tblW w:w="10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33"/>
        <w:gridCol w:w="2292"/>
        <w:gridCol w:w="1210"/>
        <w:gridCol w:w="908"/>
        <w:gridCol w:w="908"/>
        <w:gridCol w:w="668"/>
        <w:gridCol w:w="947"/>
        <w:gridCol w:w="1189"/>
      </w:tblGrid>
      <w:tr w14:paraId="0CEF7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09" w:type="dxa"/>
            <w:noWrap/>
            <w:vAlign w:val="center"/>
          </w:tcPr>
          <w:p w14:paraId="32051F79">
            <w:pPr>
              <w:snapToGrid w:val="0"/>
              <w:spacing w:line="420" w:lineRule="exact"/>
              <w:jc w:val="center"/>
              <w:rPr>
                <w:rFonts w:ascii="仿宋" w:hAnsi="仿宋" w:eastAsia="仿宋" w:cs="仿宋"/>
                <w:color w:val="auto"/>
                <w:szCs w:val="21"/>
              </w:rPr>
            </w:pPr>
            <w:r>
              <w:rPr>
                <w:rFonts w:hint="eastAsia" w:ascii="仿宋" w:hAnsi="仿宋" w:eastAsia="仿宋" w:cs="仿宋"/>
                <w:color w:val="auto"/>
                <w:szCs w:val="21"/>
              </w:rPr>
              <w:t>序号</w:t>
            </w:r>
          </w:p>
        </w:tc>
        <w:tc>
          <w:tcPr>
            <w:tcW w:w="1233" w:type="dxa"/>
            <w:noWrap/>
            <w:vAlign w:val="center"/>
          </w:tcPr>
          <w:p w14:paraId="63D93371">
            <w:pPr>
              <w:snapToGrid w:val="0"/>
              <w:spacing w:line="420" w:lineRule="exact"/>
              <w:jc w:val="center"/>
              <w:rPr>
                <w:rFonts w:ascii="仿宋" w:hAnsi="仿宋" w:eastAsia="仿宋" w:cs="仿宋"/>
                <w:color w:val="auto"/>
                <w:szCs w:val="21"/>
              </w:rPr>
            </w:pPr>
            <w:r>
              <w:rPr>
                <w:rFonts w:hint="eastAsia" w:ascii="仿宋" w:hAnsi="仿宋" w:eastAsia="仿宋" w:cs="仿宋"/>
                <w:color w:val="auto"/>
                <w:szCs w:val="21"/>
              </w:rPr>
              <w:t>产品名称</w:t>
            </w:r>
          </w:p>
        </w:tc>
        <w:tc>
          <w:tcPr>
            <w:tcW w:w="2292" w:type="dxa"/>
            <w:noWrap/>
            <w:vAlign w:val="center"/>
          </w:tcPr>
          <w:p w14:paraId="499E0BAA">
            <w:pPr>
              <w:snapToGrid w:val="0"/>
              <w:spacing w:line="420" w:lineRule="exact"/>
              <w:jc w:val="center"/>
              <w:rPr>
                <w:rFonts w:ascii="仿宋" w:hAnsi="仿宋" w:eastAsia="仿宋" w:cs="仿宋"/>
                <w:color w:val="auto"/>
                <w:szCs w:val="21"/>
              </w:rPr>
            </w:pPr>
            <w:r>
              <w:rPr>
                <w:rFonts w:hint="eastAsia" w:ascii="仿宋" w:hAnsi="仿宋" w:eastAsia="仿宋" w:cs="仿宋"/>
                <w:color w:val="auto"/>
                <w:szCs w:val="21"/>
              </w:rPr>
              <w:t>品牌、规格型号</w:t>
            </w:r>
          </w:p>
        </w:tc>
        <w:tc>
          <w:tcPr>
            <w:tcW w:w="1210" w:type="dxa"/>
            <w:noWrap/>
            <w:vAlign w:val="center"/>
          </w:tcPr>
          <w:p w14:paraId="37D319A4">
            <w:pPr>
              <w:snapToGrid w:val="0"/>
              <w:spacing w:line="420" w:lineRule="exact"/>
              <w:jc w:val="center"/>
              <w:rPr>
                <w:rFonts w:ascii="仿宋" w:hAnsi="仿宋" w:eastAsia="仿宋" w:cs="仿宋"/>
                <w:color w:val="auto"/>
                <w:szCs w:val="21"/>
              </w:rPr>
            </w:pPr>
            <w:r>
              <w:rPr>
                <w:rFonts w:hint="eastAsia" w:ascii="仿宋" w:hAnsi="仿宋" w:eastAsia="仿宋" w:cs="仿宋"/>
                <w:color w:val="auto"/>
                <w:szCs w:val="21"/>
              </w:rPr>
              <w:t>生产厂家</w:t>
            </w:r>
          </w:p>
        </w:tc>
        <w:tc>
          <w:tcPr>
            <w:tcW w:w="908" w:type="dxa"/>
            <w:noWrap/>
            <w:vAlign w:val="center"/>
          </w:tcPr>
          <w:p w14:paraId="04693154">
            <w:pPr>
              <w:snapToGrid w:val="0"/>
              <w:spacing w:line="420" w:lineRule="exact"/>
              <w:jc w:val="center"/>
              <w:rPr>
                <w:rFonts w:ascii="仿宋" w:hAnsi="仿宋" w:eastAsia="仿宋" w:cs="仿宋"/>
                <w:color w:val="auto"/>
                <w:szCs w:val="21"/>
              </w:rPr>
            </w:pPr>
            <w:r>
              <w:rPr>
                <w:rFonts w:hint="eastAsia" w:ascii="仿宋" w:hAnsi="仿宋" w:eastAsia="仿宋" w:cs="仿宋"/>
                <w:color w:val="auto"/>
                <w:szCs w:val="21"/>
              </w:rPr>
              <w:t>产地</w:t>
            </w:r>
          </w:p>
        </w:tc>
        <w:tc>
          <w:tcPr>
            <w:tcW w:w="908" w:type="dxa"/>
            <w:noWrap/>
            <w:vAlign w:val="center"/>
          </w:tcPr>
          <w:p w14:paraId="00A653D0">
            <w:pPr>
              <w:snapToGrid w:val="0"/>
              <w:spacing w:line="420" w:lineRule="exact"/>
              <w:jc w:val="center"/>
              <w:rPr>
                <w:rFonts w:ascii="仿宋" w:hAnsi="仿宋" w:eastAsia="仿宋" w:cs="仿宋"/>
                <w:color w:val="auto"/>
                <w:szCs w:val="21"/>
              </w:rPr>
            </w:pPr>
            <w:r>
              <w:rPr>
                <w:rFonts w:hint="eastAsia" w:ascii="仿宋" w:hAnsi="仿宋" w:eastAsia="仿宋" w:cs="仿宋"/>
                <w:color w:val="auto"/>
                <w:szCs w:val="21"/>
              </w:rPr>
              <w:t>数 量</w:t>
            </w:r>
          </w:p>
        </w:tc>
        <w:tc>
          <w:tcPr>
            <w:tcW w:w="668" w:type="dxa"/>
            <w:noWrap/>
            <w:vAlign w:val="center"/>
          </w:tcPr>
          <w:p w14:paraId="0C500935">
            <w:pPr>
              <w:snapToGrid w:val="0"/>
              <w:spacing w:line="420" w:lineRule="exact"/>
              <w:jc w:val="center"/>
              <w:rPr>
                <w:rFonts w:ascii="仿宋" w:hAnsi="仿宋" w:eastAsia="仿宋" w:cs="仿宋"/>
                <w:color w:val="auto"/>
                <w:szCs w:val="21"/>
              </w:rPr>
            </w:pPr>
            <w:r>
              <w:rPr>
                <w:rFonts w:hint="eastAsia" w:ascii="仿宋" w:hAnsi="仿宋" w:eastAsia="仿宋" w:cs="仿宋"/>
                <w:color w:val="auto"/>
                <w:szCs w:val="21"/>
              </w:rPr>
              <w:t>单位</w:t>
            </w:r>
          </w:p>
        </w:tc>
        <w:tc>
          <w:tcPr>
            <w:tcW w:w="947" w:type="dxa"/>
            <w:noWrap/>
            <w:vAlign w:val="center"/>
          </w:tcPr>
          <w:p w14:paraId="2FE1EA5E">
            <w:pPr>
              <w:snapToGrid w:val="0"/>
              <w:spacing w:line="420" w:lineRule="exact"/>
              <w:jc w:val="center"/>
              <w:rPr>
                <w:rFonts w:ascii="仿宋" w:hAnsi="仿宋" w:eastAsia="仿宋" w:cs="仿宋"/>
                <w:color w:val="auto"/>
                <w:szCs w:val="21"/>
              </w:rPr>
            </w:pPr>
            <w:r>
              <w:rPr>
                <w:rFonts w:hint="eastAsia" w:ascii="仿宋" w:hAnsi="仿宋" w:eastAsia="仿宋" w:cs="仿宋"/>
                <w:color w:val="auto"/>
                <w:szCs w:val="21"/>
              </w:rPr>
              <w:t>单 价</w:t>
            </w:r>
          </w:p>
          <w:p w14:paraId="7CC8281A">
            <w:pPr>
              <w:snapToGrid w:val="0"/>
              <w:spacing w:line="420" w:lineRule="exact"/>
              <w:jc w:val="center"/>
              <w:rPr>
                <w:rFonts w:ascii="仿宋" w:hAnsi="仿宋" w:eastAsia="仿宋" w:cs="仿宋"/>
                <w:color w:val="auto"/>
                <w:szCs w:val="21"/>
              </w:rPr>
            </w:pPr>
            <w:r>
              <w:rPr>
                <w:rFonts w:hint="eastAsia" w:ascii="仿宋" w:hAnsi="仿宋" w:eastAsia="仿宋" w:cs="仿宋"/>
                <w:color w:val="auto"/>
                <w:szCs w:val="21"/>
              </w:rPr>
              <w:t>（元）</w:t>
            </w:r>
          </w:p>
        </w:tc>
        <w:tc>
          <w:tcPr>
            <w:tcW w:w="1189" w:type="dxa"/>
            <w:noWrap/>
            <w:vAlign w:val="center"/>
          </w:tcPr>
          <w:p w14:paraId="0988AEFA">
            <w:pPr>
              <w:snapToGrid w:val="0"/>
              <w:spacing w:line="420" w:lineRule="exact"/>
              <w:jc w:val="center"/>
              <w:rPr>
                <w:rFonts w:ascii="仿宋" w:hAnsi="仿宋" w:eastAsia="仿宋" w:cs="仿宋"/>
                <w:color w:val="auto"/>
                <w:szCs w:val="21"/>
              </w:rPr>
            </w:pPr>
            <w:r>
              <w:rPr>
                <w:rFonts w:hint="eastAsia" w:ascii="仿宋" w:hAnsi="仿宋" w:eastAsia="仿宋" w:cs="仿宋"/>
                <w:color w:val="auto"/>
                <w:szCs w:val="21"/>
              </w:rPr>
              <w:t>金 额</w:t>
            </w:r>
          </w:p>
          <w:p w14:paraId="22DAAE26">
            <w:pPr>
              <w:snapToGrid w:val="0"/>
              <w:spacing w:line="420" w:lineRule="exact"/>
              <w:jc w:val="center"/>
              <w:rPr>
                <w:rFonts w:ascii="仿宋" w:hAnsi="仿宋" w:eastAsia="仿宋" w:cs="仿宋"/>
                <w:color w:val="auto"/>
                <w:szCs w:val="21"/>
              </w:rPr>
            </w:pPr>
            <w:r>
              <w:rPr>
                <w:rFonts w:hint="eastAsia" w:ascii="仿宋" w:hAnsi="仿宋" w:eastAsia="仿宋" w:cs="仿宋"/>
                <w:color w:val="auto"/>
                <w:szCs w:val="21"/>
              </w:rPr>
              <w:t>（元）</w:t>
            </w:r>
          </w:p>
        </w:tc>
      </w:tr>
      <w:tr w14:paraId="1784F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9" w:type="dxa"/>
            <w:noWrap/>
            <w:vAlign w:val="center"/>
          </w:tcPr>
          <w:p w14:paraId="69D67658">
            <w:pPr>
              <w:snapToGrid w:val="0"/>
              <w:spacing w:line="420" w:lineRule="exact"/>
              <w:jc w:val="center"/>
              <w:rPr>
                <w:rFonts w:ascii="仿宋" w:hAnsi="仿宋" w:eastAsia="仿宋" w:cs="仿宋"/>
                <w:color w:val="auto"/>
                <w:szCs w:val="21"/>
              </w:rPr>
            </w:pPr>
            <w:r>
              <w:rPr>
                <w:rFonts w:hint="eastAsia" w:ascii="仿宋" w:hAnsi="仿宋" w:eastAsia="仿宋" w:cs="仿宋"/>
                <w:color w:val="auto"/>
                <w:szCs w:val="21"/>
              </w:rPr>
              <w:t>1</w:t>
            </w:r>
          </w:p>
        </w:tc>
        <w:tc>
          <w:tcPr>
            <w:tcW w:w="1233" w:type="dxa"/>
            <w:noWrap/>
            <w:vAlign w:val="center"/>
          </w:tcPr>
          <w:p w14:paraId="28D302E8">
            <w:pPr>
              <w:snapToGrid w:val="0"/>
              <w:spacing w:line="420" w:lineRule="exact"/>
              <w:jc w:val="center"/>
              <w:rPr>
                <w:rFonts w:ascii="仿宋" w:hAnsi="仿宋" w:eastAsia="仿宋" w:cs="仿宋"/>
                <w:color w:val="auto"/>
                <w:szCs w:val="21"/>
              </w:rPr>
            </w:pPr>
          </w:p>
        </w:tc>
        <w:tc>
          <w:tcPr>
            <w:tcW w:w="2292" w:type="dxa"/>
            <w:noWrap/>
            <w:vAlign w:val="center"/>
          </w:tcPr>
          <w:p w14:paraId="67D8FFC5">
            <w:pPr>
              <w:snapToGrid w:val="0"/>
              <w:spacing w:line="420" w:lineRule="exact"/>
              <w:jc w:val="center"/>
              <w:rPr>
                <w:rFonts w:ascii="仿宋" w:hAnsi="仿宋" w:eastAsia="仿宋" w:cs="仿宋"/>
                <w:color w:val="auto"/>
                <w:szCs w:val="21"/>
              </w:rPr>
            </w:pPr>
          </w:p>
        </w:tc>
        <w:tc>
          <w:tcPr>
            <w:tcW w:w="1210" w:type="dxa"/>
            <w:noWrap/>
          </w:tcPr>
          <w:p w14:paraId="1C8AB0CB">
            <w:pPr>
              <w:snapToGrid w:val="0"/>
              <w:spacing w:line="420" w:lineRule="exact"/>
              <w:jc w:val="center"/>
              <w:rPr>
                <w:rFonts w:ascii="仿宋" w:hAnsi="仿宋" w:eastAsia="仿宋" w:cs="仿宋"/>
                <w:color w:val="auto"/>
                <w:szCs w:val="21"/>
              </w:rPr>
            </w:pPr>
          </w:p>
        </w:tc>
        <w:tc>
          <w:tcPr>
            <w:tcW w:w="908" w:type="dxa"/>
            <w:noWrap/>
          </w:tcPr>
          <w:p w14:paraId="2258B337">
            <w:pPr>
              <w:snapToGrid w:val="0"/>
              <w:spacing w:line="420" w:lineRule="exact"/>
              <w:jc w:val="center"/>
              <w:rPr>
                <w:rFonts w:ascii="仿宋" w:hAnsi="仿宋" w:eastAsia="仿宋" w:cs="仿宋"/>
                <w:color w:val="auto"/>
                <w:szCs w:val="21"/>
              </w:rPr>
            </w:pPr>
          </w:p>
        </w:tc>
        <w:tc>
          <w:tcPr>
            <w:tcW w:w="908" w:type="dxa"/>
            <w:noWrap/>
          </w:tcPr>
          <w:p w14:paraId="48403D99">
            <w:pPr>
              <w:snapToGrid w:val="0"/>
              <w:spacing w:line="420" w:lineRule="exact"/>
              <w:jc w:val="center"/>
              <w:rPr>
                <w:rFonts w:ascii="仿宋" w:hAnsi="仿宋" w:eastAsia="仿宋" w:cs="仿宋"/>
                <w:color w:val="auto"/>
                <w:szCs w:val="21"/>
              </w:rPr>
            </w:pPr>
          </w:p>
        </w:tc>
        <w:tc>
          <w:tcPr>
            <w:tcW w:w="668" w:type="dxa"/>
            <w:noWrap/>
          </w:tcPr>
          <w:p w14:paraId="4B7BFCFA">
            <w:pPr>
              <w:snapToGrid w:val="0"/>
              <w:spacing w:line="420" w:lineRule="exact"/>
              <w:jc w:val="center"/>
              <w:rPr>
                <w:rFonts w:ascii="仿宋" w:hAnsi="仿宋" w:eastAsia="仿宋" w:cs="仿宋"/>
                <w:color w:val="auto"/>
                <w:szCs w:val="21"/>
              </w:rPr>
            </w:pPr>
          </w:p>
        </w:tc>
        <w:tc>
          <w:tcPr>
            <w:tcW w:w="947" w:type="dxa"/>
            <w:noWrap/>
            <w:vAlign w:val="center"/>
          </w:tcPr>
          <w:p w14:paraId="76401895">
            <w:pPr>
              <w:snapToGrid w:val="0"/>
              <w:spacing w:line="420" w:lineRule="exact"/>
              <w:jc w:val="center"/>
              <w:rPr>
                <w:rFonts w:ascii="仿宋" w:hAnsi="仿宋" w:eastAsia="仿宋" w:cs="仿宋"/>
                <w:color w:val="auto"/>
                <w:szCs w:val="21"/>
              </w:rPr>
            </w:pPr>
          </w:p>
        </w:tc>
        <w:tc>
          <w:tcPr>
            <w:tcW w:w="1189" w:type="dxa"/>
            <w:noWrap/>
            <w:vAlign w:val="center"/>
          </w:tcPr>
          <w:p w14:paraId="692B7255">
            <w:pPr>
              <w:snapToGrid w:val="0"/>
              <w:spacing w:line="420" w:lineRule="exact"/>
              <w:jc w:val="center"/>
              <w:rPr>
                <w:rFonts w:ascii="仿宋" w:hAnsi="仿宋" w:eastAsia="仿宋" w:cs="仿宋"/>
                <w:color w:val="auto"/>
                <w:szCs w:val="21"/>
              </w:rPr>
            </w:pPr>
          </w:p>
        </w:tc>
      </w:tr>
      <w:tr w14:paraId="61F69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9" w:type="dxa"/>
            <w:noWrap/>
            <w:vAlign w:val="center"/>
          </w:tcPr>
          <w:p w14:paraId="3DF4FE8F">
            <w:pPr>
              <w:snapToGrid w:val="0"/>
              <w:spacing w:line="420" w:lineRule="exact"/>
              <w:jc w:val="center"/>
              <w:rPr>
                <w:rFonts w:ascii="仿宋" w:hAnsi="仿宋" w:eastAsia="仿宋" w:cs="仿宋"/>
                <w:color w:val="auto"/>
                <w:szCs w:val="21"/>
              </w:rPr>
            </w:pPr>
            <w:r>
              <w:rPr>
                <w:rFonts w:hint="eastAsia" w:ascii="仿宋" w:hAnsi="仿宋" w:eastAsia="仿宋" w:cs="仿宋"/>
                <w:color w:val="auto"/>
                <w:szCs w:val="21"/>
              </w:rPr>
              <w:t>2</w:t>
            </w:r>
          </w:p>
        </w:tc>
        <w:tc>
          <w:tcPr>
            <w:tcW w:w="1233" w:type="dxa"/>
            <w:noWrap/>
            <w:vAlign w:val="center"/>
          </w:tcPr>
          <w:p w14:paraId="6F0757BA">
            <w:pPr>
              <w:snapToGrid w:val="0"/>
              <w:spacing w:line="420" w:lineRule="exact"/>
              <w:jc w:val="center"/>
              <w:rPr>
                <w:rFonts w:ascii="仿宋" w:hAnsi="仿宋" w:eastAsia="仿宋" w:cs="仿宋"/>
                <w:color w:val="auto"/>
                <w:szCs w:val="21"/>
              </w:rPr>
            </w:pPr>
          </w:p>
        </w:tc>
        <w:tc>
          <w:tcPr>
            <w:tcW w:w="2292" w:type="dxa"/>
            <w:noWrap/>
            <w:vAlign w:val="center"/>
          </w:tcPr>
          <w:p w14:paraId="6C5E34C6">
            <w:pPr>
              <w:snapToGrid w:val="0"/>
              <w:spacing w:line="420" w:lineRule="exact"/>
              <w:jc w:val="center"/>
              <w:rPr>
                <w:rFonts w:ascii="仿宋" w:hAnsi="仿宋" w:eastAsia="仿宋" w:cs="仿宋"/>
                <w:color w:val="auto"/>
                <w:szCs w:val="21"/>
              </w:rPr>
            </w:pPr>
          </w:p>
        </w:tc>
        <w:tc>
          <w:tcPr>
            <w:tcW w:w="1210" w:type="dxa"/>
            <w:noWrap/>
          </w:tcPr>
          <w:p w14:paraId="6A48A223">
            <w:pPr>
              <w:snapToGrid w:val="0"/>
              <w:spacing w:line="420" w:lineRule="exact"/>
              <w:jc w:val="center"/>
              <w:rPr>
                <w:rFonts w:ascii="仿宋" w:hAnsi="仿宋" w:eastAsia="仿宋" w:cs="仿宋"/>
                <w:color w:val="auto"/>
                <w:szCs w:val="21"/>
              </w:rPr>
            </w:pPr>
          </w:p>
        </w:tc>
        <w:tc>
          <w:tcPr>
            <w:tcW w:w="908" w:type="dxa"/>
            <w:noWrap/>
          </w:tcPr>
          <w:p w14:paraId="399D1F23">
            <w:pPr>
              <w:snapToGrid w:val="0"/>
              <w:spacing w:line="420" w:lineRule="exact"/>
              <w:jc w:val="center"/>
              <w:rPr>
                <w:rFonts w:ascii="仿宋" w:hAnsi="仿宋" w:eastAsia="仿宋" w:cs="仿宋"/>
                <w:color w:val="auto"/>
                <w:szCs w:val="21"/>
              </w:rPr>
            </w:pPr>
          </w:p>
        </w:tc>
        <w:tc>
          <w:tcPr>
            <w:tcW w:w="908" w:type="dxa"/>
            <w:noWrap/>
          </w:tcPr>
          <w:p w14:paraId="0650C2C8">
            <w:pPr>
              <w:snapToGrid w:val="0"/>
              <w:spacing w:line="420" w:lineRule="exact"/>
              <w:jc w:val="center"/>
              <w:rPr>
                <w:rFonts w:ascii="仿宋" w:hAnsi="仿宋" w:eastAsia="仿宋" w:cs="仿宋"/>
                <w:color w:val="auto"/>
                <w:szCs w:val="21"/>
              </w:rPr>
            </w:pPr>
          </w:p>
        </w:tc>
        <w:tc>
          <w:tcPr>
            <w:tcW w:w="668" w:type="dxa"/>
            <w:noWrap/>
          </w:tcPr>
          <w:p w14:paraId="03238907">
            <w:pPr>
              <w:snapToGrid w:val="0"/>
              <w:spacing w:line="420" w:lineRule="exact"/>
              <w:jc w:val="center"/>
              <w:rPr>
                <w:rFonts w:ascii="仿宋" w:hAnsi="仿宋" w:eastAsia="仿宋" w:cs="仿宋"/>
                <w:color w:val="auto"/>
                <w:szCs w:val="21"/>
              </w:rPr>
            </w:pPr>
          </w:p>
        </w:tc>
        <w:tc>
          <w:tcPr>
            <w:tcW w:w="947" w:type="dxa"/>
            <w:noWrap/>
            <w:vAlign w:val="center"/>
          </w:tcPr>
          <w:p w14:paraId="1494CB63">
            <w:pPr>
              <w:snapToGrid w:val="0"/>
              <w:spacing w:line="420" w:lineRule="exact"/>
              <w:jc w:val="center"/>
              <w:rPr>
                <w:rFonts w:ascii="仿宋" w:hAnsi="仿宋" w:eastAsia="仿宋" w:cs="仿宋"/>
                <w:color w:val="auto"/>
                <w:szCs w:val="21"/>
              </w:rPr>
            </w:pPr>
          </w:p>
        </w:tc>
        <w:tc>
          <w:tcPr>
            <w:tcW w:w="1189" w:type="dxa"/>
            <w:noWrap/>
            <w:vAlign w:val="center"/>
          </w:tcPr>
          <w:p w14:paraId="19C2201F">
            <w:pPr>
              <w:snapToGrid w:val="0"/>
              <w:spacing w:line="420" w:lineRule="exact"/>
              <w:jc w:val="center"/>
              <w:rPr>
                <w:rFonts w:ascii="仿宋" w:hAnsi="仿宋" w:eastAsia="仿宋" w:cs="仿宋"/>
                <w:color w:val="auto"/>
                <w:szCs w:val="21"/>
              </w:rPr>
            </w:pPr>
          </w:p>
        </w:tc>
      </w:tr>
      <w:tr w14:paraId="0BA42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0064" w:type="dxa"/>
            <w:gridSpan w:val="9"/>
            <w:noWrap/>
            <w:vAlign w:val="center"/>
          </w:tcPr>
          <w:p w14:paraId="38E22645">
            <w:pPr>
              <w:snapToGrid w:val="0"/>
              <w:spacing w:line="420" w:lineRule="exact"/>
              <w:rPr>
                <w:rFonts w:ascii="仿宋" w:hAnsi="仿宋" w:eastAsia="仿宋" w:cs="仿宋"/>
                <w:color w:val="auto"/>
                <w:szCs w:val="21"/>
              </w:rPr>
            </w:pPr>
            <w:r>
              <w:rPr>
                <w:rFonts w:hint="eastAsia" w:ascii="仿宋" w:hAnsi="仿宋" w:eastAsia="仿宋" w:cs="仿宋"/>
                <w:color w:val="auto"/>
                <w:szCs w:val="21"/>
              </w:rPr>
              <w:t xml:space="preserve">人民币合计金额（大写）                          （小写）                 </w:t>
            </w:r>
          </w:p>
        </w:tc>
      </w:tr>
    </w:tbl>
    <w:p w14:paraId="15902F98">
      <w:pPr>
        <w:snapToGrid w:val="0"/>
        <w:spacing w:line="420" w:lineRule="exact"/>
        <w:ind w:firstLine="420" w:firstLineChars="200"/>
        <w:rPr>
          <w:rFonts w:ascii="仿宋" w:hAnsi="仿宋" w:eastAsia="仿宋" w:cs="仿宋"/>
          <w:color w:val="auto"/>
          <w:szCs w:val="21"/>
        </w:rPr>
      </w:pPr>
      <w:r>
        <w:rPr>
          <w:rFonts w:hint="eastAsia" w:ascii="仿宋" w:hAnsi="仿宋" w:eastAsia="仿宋" w:cs="仿宋"/>
          <w:color w:val="auto"/>
          <w:szCs w:val="21"/>
        </w:rPr>
        <w:t>2.合同合计金额包括服务及货物价款，安装、调试、检验、技术培训及技术资料和包装、运输等全部费用。如招投标文件对其另有规定的，从其规定。</w:t>
      </w:r>
    </w:p>
    <w:p w14:paraId="326C2066">
      <w:pPr>
        <w:snapToGrid w:val="0"/>
        <w:spacing w:line="420" w:lineRule="exact"/>
        <w:ind w:firstLine="422" w:firstLineChars="200"/>
        <w:rPr>
          <w:rFonts w:ascii="仿宋" w:hAnsi="仿宋" w:eastAsia="仿宋" w:cs="仿宋"/>
          <w:color w:val="auto"/>
          <w:szCs w:val="21"/>
        </w:rPr>
      </w:pPr>
      <w:r>
        <w:rPr>
          <w:rFonts w:hint="eastAsia" w:ascii="仿宋" w:hAnsi="仿宋" w:eastAsia="仿宋" w:cs="仿宋"/>
          <w:b/>
          <w:color w:val="auto"/>
          <w:szCs w:val="21"/>
        </w:rPr>
        <w:t>第二条　质量要求</w:t>
      </w:r>
    </w:p>
    <w:p w14:paraId="39ADA8ED">
      <w:pPr>
        <w:snapToGrid w:val="0"/>
        <w:spacing w:line="420" w:lineRule="exact"/>
        <w:ind w:firstLine="420" w:firstLineChars="200"/>
        <w:rPr>
          <w:rFonts w:ascii="仿宋" w:hAnsi="仿宋" w:eastAsia="仿宋" w:cs="仿宋"/>
          <w:color w:val="auto"/>
          <w:szCs w:val="21"/>
        </w:rPr>
      </w:pPr>
      <w:r>
        <w:rPr>
          <w:rFonts w:hint="eastAsia" w:ascii="仿宋" w:hAnsi="仿宋" w:eastAsia="仿宋" w:cs="仿宋"/>
          <w:color w:val="auto"/>
          <w:szCs w:val="21"/>
        </w:rPr>
        <w:t>1.乙方所提供的货物型号、技术规格、技术参数等质量必须与招投标文件和承诺相一致。</w:t>
      </w:r>
    </w:p>
    <w:p w14:paraId="639EF8C7">
      <w:pPr>
        <w:snapToGrid w:val="0"/>
        <w:spacing w:line="420" w:lineRule="exact"/>
        <w:ind w:firstLine="420" w:firstLineChars="200"/>
        <w:rPr>
          <w:rFonts w:ascii="仿宋" w:hAnsi="仿宋" w:eastAsia="仿宋" w:cs="仿宋"/>
          <w:color w:val="auto"/>
          <w:szCs w:val="21"/>
        </w:rPr>
      </w:pPr>
      <w:r>
        <w:rPr>
          <w:rFonts w:hint="eastAsia" w:ascii="仿宋" w:hAnsi="仿宋" w:eastAsia="仿宋" w:cs="仿宋"/>
          <w:color w:val="auto"/>
          <w:szCs w:val="21"/>
        </w:rPr>
        <w:t>2.乙方所提供的货物必须是全新、未使用的原装产品，且在正常安装、使用和保养条件下，其使用寿命期内各项指标均达到质量要求。</w:t>
      </w:r>
    </w:p>
    <w:p w14:paraId="4B037A91">
      <w:pPr>
        <w:snapToGrid w:val="0"/>
        <w:spacing w:line="420" w:lineRule="exact"/>
        <w:ind w:firstLine="420" w:firstLineChars="200"/>
        <w:rPr>
          <w:rFonts w:ascii="仿宋" w:hAnsi="仿宋" w:eastAsia="仿宋" w:cs="仿宋"/>
          <w:color w:val="auto"/>
          <w:szCs w:val="21"/>
        </w:rPr>
      </w:pPr>
      <w:r>
        <w:rPr>
          <w:rFonts w:hint="eastAsia" w:ascii="仿宋" w:hAnsi="仿宋" w:eastAsia="仿宋" w:cs="仿宋"/>
          <w:color w:val="auto"/>
          <w:szCs w:val="21"/>
        </w:rPr>
        <w:t>3.满足乙方在投标文件中对质量承诺和采购人对项目总体要求。</w:t>
      </w:r>
    </w:p>
    <w:p w14:paraId="20E72538">
      <w:pPr>
        <w:snapToGrid w:val="0"/>
        <w:spacing w:line="420" w:lineRule="exact"/>
        <w:ind w:firstLine="422" w:firstLineChars="200"/>
        <w:rPr>
          <w:rFonts w:ascii="仿宋" w:hAnsi="仿宋" w:eastAsia="仿宋" w:cs="仿宋"/>
          <w:color w:val="auto"/>
          <w:szCs w:val="21"/>
        </w:rPr>
      </w:pPr>
      <w:r>
        <w:rPr>
          <w:rFonts w:hint="eastAsia" w:ascii="仿宋" w:hAnsi="仿宋" w:eastAsia="仿宋" w:cs="仿宋"/>
          <w:b/>
          <w:color w:val="auto"/>
          <w:szCs w:val="21"/>
        </w:rPr>
        <w:t>第三条　权利保证</w:t>
      </w:r>
    </w:p>
    <w:p w14:paraId="3CB38C11">
      <w:pPr>
        <w:snapToGrid w:val="0"/>
        <w:spacing w:line="420" w:lineRule="exact"/>
        <w:ind w:firstLine="420" w:firstLineChars="200"/>
        <w:rPr>
          <w:rFonts w:ascii="仿宋" w:hAnsi="仿宋" w:eastAsia="仿宋" w:cs="仿宋"/>
          <w:color w:val="auto"/>
          <w:szCs w:val="21"/>
        </w:rPr>
      </w:pPr>
      <w:r>
        <w:rPr>
          <w:rFonts w:hint="eastAsia" w:ascii="仿宋" w:hAnsi="仿宋" w:eastAsia="仿宋" w:cs="仿宋"/>
          <w:color w:val="auto"/>
          <w:szCs w:val="21"/>
        </w:rPr>
        <w:t>1.乙方应保证所提供货物在使用时不会侵犯任何第三方的专利权、商标权、工业设计权或其他权利。</w:t>
      </w:r>
    </w:p>
    <w:p w14:paraId="527C7E53">
      <w:pPr>
        <w:snapToGrid w:val="0"/>
        <w:spacing w:line="420" w:lineRule="exact"/>
        <w:ind w:firstLine="420" w:firstLineChars="200"/>
        <w:rPr>
          <w:rFonts w:ascii="仿宋" w:hAnsi="仿宋" w:eastAsia="仿宋" w:cs="仿宋"/>
          <w:color w:val="auto"/>
          <w:szCs w:val="21"/>
        </w:rPr>
      </w:pPr>
      <w:r>
        <w:rPr>
          <w:rFonts w:hint="eastAsia" w:ascii="仿宋" w:hAnsi="仿宋" w:eastAsia="仿宋" w:cs="仿宋"/>
          <w:color w:val="auto"/>
          <w:szCs w:val="21"/>
        </w:rPr>
        <w:t>2.乙方应按招标文件规定的时间向甲方提供使用货物的有关技术资料(包括系统的相关软件)。</w:t>
      </w:r>
    </w:p>
    <w:p w14:paraId="08FDA4DD">
      <w:pPr>
        <w:snapToGrid w:val="0"/>
        <w:spacing w:line="420" w:lineRule="exact"/>
        <w:ind w:firstLine="420" w:firstLineChars="200"/>
        <w:rPr>
          <w:rFonts w:ascii="仿宋" w:hAnsi="仿宋" w:eastAsia="仿宋" w:cs="仿宋"/>
          <w:color w:val="auto"/>
          <w:szCs w:val="21"/>
        </w:rPr>
      </w:pPr>
      <w:r>
        <w:rPr>
          <w:rFonts w:hint="eastAsia" w:ascii="仿宋" w:hAnsi="仿宋" w:eastAsia="仿宋" w:cs="仿宋"/>
          <w:color w:val="auto"/>
          <w:szCs w:val="21"/>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3C3F34D6">
      <w:pPr>
        <w:snapToGrid w:val="0"/>
        <w:spacing w:line="420" w:lineRule="exact"/>
        <w:ind w:firstLine="420" w:firstLineChars="200"/>
        <w:rPr>
          <w:rFonts w:ascii="仿宋" w:hAnsi="仿宋" w:eastAsia="仿宋" w:cs="仿宋"/>
          <w:color w:val="auto"/>
          <w:szCs w:val="21"/>
        </w:rPr>
      </w:pPr>
      <w:r>
        <w:rPr>
          <w:rFonts w:hint="eastAsia" w:ascii="仿宋" w:hAnsi="仿宋" w:eastAsia="仿宋" w:cs="仿宋"/>
          <w:color w:val="auto"/>
          <w:szCs w:val="21"/>
        </w:rPr>
        <w:t>4.乙方保证所交付的货物的所有权完全属于乙方且无任何抵押、质押、查封等产权瑕疵。</w:t>
      </w:r>
    </w:p>
    <w:p w14:paraId="0DF96DFF">
      <w:pPr>
        <w:snapToGrid w:val="0"/>
        <w:spacing w:line="420" w:lineRule="exact"/>
        <w:ind w:firstLine="422" w:firstLineChars="200"/>
        <w:rPr>
          <w:rFonts w:ascii="仿宋" w:hAnsi="仿宋" w:eastAsia="仿宋" w:cs="仿宋"/>
          <w:b/>
          <w:color w:val="auto"/>
          <w:szCs w:val="21"/>
        </w:rPr>
      </w:pPr>
      <w:r>
        <w:rPr>
          <w:rFonts w:hint="eastAsia" w:ascii="仿宋" w:hAnsi="仿宋" w:eastAsia="仿宋" w:cs="仿宋"/>
          <w:b/>
          <w:color w:val="auto"/>
          <w:szCs w:val="21"/>
        </w:rPr>
        <w:t>第四条　包装和运输</w:t>
      </w:r>
    </w:p>
    <w:p w14:paraId="0D83C98B">
      <w:pPr>
        <w:snapToGrid w:val="0"/>
        <w:spacing w:line="420" w:lineRule="exact"/>
        <w:ind w:firstLine="420" w:firstLineChars="200"/>
        <w:rPr>
          <w:rFonts w:ascii="仿宋" w:hAnsi="仿宋" w:eastAsia="仿宋" w:cs="仿宋"/>
          <w:color w:val="auto"/>
          <w:szCs w:val="21"/>
        </w:rPr>
      </w:pPr>
      <w:r>
        <w:rPr>
          <w:rFonts w:hint="eastAsia" w:ascii="仿宋" w:hAnsi="仿宋" w:eastAsia="仿宋" w:cs="仿宋"/>
          <w:color w:val="auto"/>
          <w:szCs w:val="21"/>
        </w:rPr>
        <w:t>1.乙方提供的货物均应按招标文件规定或者投标文件承诺的要求的包装材料、包装标准、包装方式进行包装，每一包装单元内应附详细的装箱单和质量合格证。</w:t>
      </w:r>
    </w:p>
    <w:p w14:paraId="724E80FC">
      <w:pPr>
        <w:snapToGrid w:val="0"/>
        <w:spacing w:line="420" w:lineRule="exact"/>
        <w:ind w:firstLine="420" w:firstLineChars="200"/>
        <w:rPr>
          <w:rFonts w:ascii="仿宋" w:hAnsi="仿宋" w:eastAsia="仿宋" w:cs="仿宋"/>
          <w:color w:val="auto"/>
          <w:szCs w:val="21"/>
        </w:rPr>
      </w:pPr>
      <w:bookmarkStart w:id="143" w:name="line022"/>
      <w:r>
        <w:rPr>
          <w:rFonts w:hint="eastAsia" w:ascii="仿宋" w:hAnsi="仿宋" w:eastAsia="仿宋" w:cs="仿宋"/>
          <w:color w:val="auto"/>
          <w:szCs w:val="21"/>
        </w:rPr>
        <w:t>2.货物的运输方式：</w:t>
      </w:r>
      <w:r>
        <w:rPr>
          <w:rFonts w:hint="eastAsia" w:ascii="仿宋" w:hAnsi="仿宋" w:eastAsia="仿宋" w:cs="仿宋"/>
          <w:color w:val="auto"/>
          <w:szCs w:val="21"/>
          <w:u w:val="single"/>
          <w:lang w:val="en-US" w:eastAsia="zh-CN"/>
        </w:rPr>
        <w:t xml:space="preserve">                       </w:t>
      </w:r>
      <w:r>
        <w:rPr>
          <w:rFonts w:hint="eastAsia" w:ascii="仿宋" w:hAnsi="仿宋" w:eastAsia="仿宋" w:cs="仿宋"/>
          <w:color w:val="auto"/>
          <w:szCs w:val="21"/>
        </w:rPr>
        <w:t>。</w:t>
      </w:r>
    </w:p>
    <w:bookmarkEnd w:id="143"/>
    <w:p w14:paraId="0EF95F79">
      <w:pPr>
        <w:snapToGrid w:val="0"/>
        <w:spacing w:line="420" w:lineRule="exact"/>
        <w:ind w:firstLine="420" w:firstLineChars="200"/>
        <w:rPr>
          <w:rFonts w:ascii="仿宋" w:hAnsi="仿宋" w:eastAsia="仿宋" w:cs="仿宋"/>
          <w:color w:val="auto"/>
          <w:szCs w:val="21"/>
          <w:u w:val="single"/>
        </w:rPr>
      </w:pPr>
      <w:r>
        <w:rPr>
          <w:rFonts w:hint="eastAsia" w:ascii="仿宋" w:hAnsi="仿宋" w:eastAsia="仿宋" w:cs="仿宋"/>
          <w:color w:val="auto"/>
          <w:szCs w:val="21"/>
        </w:rPr>
        <w:t>3.乙方负责货物运输，货物运输合理损耗及计算方法：</w:t>
      </w:r>
      <w:r>
        <w:rPr>
          <w:rFonts w:hint="eastAsia" w:ascii="仿宋" w:hAnsi="仿宋" w:eastAsia="仿宋" w:cs="仿宋"/>
          <w:color w:val="auto"/>
          <w:szCs w:val="21"/>
          <w:u w:val="single"/>
          <w:lang w:val="en-US" w:eastAsia="zh-CN"/>
        </w:rPr>
        <w:t xml:space="preserve">                           </w:t>
      </w: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rPr>
        <w:t>。</w:t>
      </w:r>
    </w:p>
    <w:p w14:paraId="2F3A1040">
      <w:pPr>
        <w:snapToGrid w:val="0"/>
        <w:spacing w:line="420" w:lineRule="exact"/>
        <w:ind w:firstLine="422" w:firstLineChars="200"/>
        <w:rPr>
          <w:rFonts w:ascii="仿宋" w:hAnsi="仿宋" w:eastAsia="仿宋" w:cs="仿宋"/>
          <w:color w:val="auto"/>
          <w:szCs w:val="21"/>
        </w:rPr>
      </w:pPr>
      <w:r>
        <w:rPr>
          <w:rFonts w:hint="eastAsia" w:ascii="仿宋" w:hAnsi="仿宋" w:eastAsia="仿宋" w:cs="仿宋"/>
          <w:b/>
          <w:color w:val="auto"/>
          <w:szCs w:val="21"/>
        </w:rPr>
        <w:t>第五条　交付时间和地点</w:t>
      </w:r>
    </w:p>
    <w:p w14:paraId="2FAA7D22">
      <w:pPr>
        <w:snapToGrid w:val="0"/>
        <w:spacing w:line="42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1.交货时间：</w:t>
      </w:r>
      <w:r>
        <w:rPr>
          <w:rFonts w:hint="eastAsia" w:ascii="仿宋" w:hAnsi="仿宋" w:eastAsia="仿宋" w:cs="仿宋"/>
          <w:color w:val="auto"/>
          <w:szCs w:val="21"/>
          <w:u w:val="single"/>
          <w:lang w:val="en-US" w:eastAsia="zh-CN"/>
        </w:rPr>
        <w:t xml:space="preserve">                    </w:t>
      </w:r>
      <w:r>
        <w:rPr>
          <w:rFonts w:hint="eastAsia" w:ascii="仿宋" w:hAnsi="仿宋" w:eastAsia="仿宋" w:cs="仿宋"/>
          <w:color w:val="auto"/>
          <w:szCs w:val="21"/>
        </w:rPr>
        <w:t>；交付地点：</w:t>
      </w:r>
      <w:r>
        <w:rPr>
          <w:rFonts w:hint="eastAsia" w:ascii="仿宋" w:hAnsi="仿宋" w:eastAsia="仿宋" w:cs="仿宋"/>
          <w:color w:val="auto"/>
          <w:szCs w:val="21"/>
          <w:u w:val="single"/>
          <w:lang w:val="en-US" w:eastAsia="zh-CN"/>
        </w:rPr>
        <w:t xml:space="preserve">                           </w:t>
      </w:r>
      <w:r>
        <w:rPr>
          <w:rFonts w:hint="eastAsia" w:ascii="仿宋" w:hAnsi="仿宋" w:eastAsia="仿宋" w:cs="仿宋"/>
          <w:color w:val="auto"/>
          <w:szCs w:val="21"/>
        </w:rPr>
        <w:t>。</w:t>
      </w:r>
    </w:p>
    <w:p w14:paraId="0685A841">
      <w:pPr>
        <w:snapToGrid w:val="0"/>
        <w:spacing w:line="420" w:lineRule="exact"/>
        <w:ind w:firstLine="420" w:firstLineChars="200"/>
        <w:rPr>
          <w:rFonts w:ascii="仿宋" w:hAnsi="仿宋" w:eastAsia="仿宋" w:cs="仿宋"/>
          <w:color w:val="auto"/>
          <w:szCs w:val="21"/>
        </w:rPr>
      </w:pPr>
      <w:r>
        <w:rPr>
          <w:rFonts w:hint="eastAsia" w:ascii="仿宋" w:hAnsi="仿宋" w:eastAsia="仿宋" w:cs="仿宋"/>
          <w:color w:val="auto"/>
          <w:szCs w:val="21"/>
        </w:rPr>
        <w:t>2.乙方提供不符合招标文件规定或者投标文件承诺的和本合同规定的货物，甲方有权拒绝接受。</w:t>
      </w:r>
    </w:p>
    <w:p w14:paraId="7A649186">
      <w:pPr>
        <w:snapToGrid w:val="0"/>
        <w:spacing w:line="420" w:lineRule="exact"/>
        <w:ind w:firstLine="420" w:firstLineChars="200"/>
        <w:rPr>
          <w:rFonts w:ascii="仿宋" w:hAnsi="仿宋" w:eastAsia="仿宋" w:cs="仿宋"/>
          <w:color w:val="auto"/>
          <w:szCs w:val="21"/>
        </w:rPr>
      </w:pPr>
      <w:r>
        <w:rPr>
          <w:rFonts w:hint="eastAsia" w:ascii="仿宋" w:hAnsi="仿宋" w:eastAsia="仿宋" w:cs="仿宋"/>
          <w:color w:val="auto"/>
          <w:szCs w:val="21"/>
        </w:rPr>
        <w:t>3.乙方应将所提供货物的装箱清单、用户手册、原厂保修卡、随机资料、工具和备品、备件等交付给甲方，货物属于进口产品的，供货时应同时附上中文使用说明书，如有缺失应在合理的规定时间内补齐，否则视为逾期交货。</w:t>
      </w:r>
    </w:p>
    <w:p w14:paraId="1683CFBA">
      <w:pPr>
        <w:snapToGrid w:val="0"/>
        <w:spacing w:line="420" w:lineRule="exact"/>
        <w:ind w:firstLine="422" w:firstLineChars="200"/>
        <w:rPr>
          <w:rFonts w:ascii="仿宋" w:hAnsi="仿宋" w:eastAsia="仿宋" w:cs="仿宋"/>
          <w:b/>
          <w:color w:val="auto"/>
          <w:szCs w:val="21"/>
        </w:rPr>
      </w:pPr>
      <w:r>
        <w:rPr>
          <w:rFonts w:hint="eastAsia" w:ascii="仿宋" w:hAnsi="仿宋" w:eastAsia="仿宋" w:cs="仿宋"/>
          <w:b/>
          <w:color w:val="auto"/>
          <w:szCs w:val="21"/>
        </w:rPr>
        <w:t>第六条　安装和培训</w:t>
      </w:r>
    </w:p>
    <w:p w14:paraId="0A3E1715">
      <w:pPr>
        <w:snapToGrid w:val="0"/>
        <w:spacing w:line="420" w:lineRule="exact"/>
        <w:ind w:firstLine="420" w:firstLineChars="200"/>
        <w:rPr>
          <w:rFonts w:ascii="仿宋" w:hAnsi="仿宋" w:eastAsia="仿宋" w:cs="仿宋"/>
          <w:color w:val="auto"/>
          <w:szCs w:val="21"/>
        </w:rPr>
      </w:pPr>
      <w:r>
        <w:rPr>
          <w:rFonts w:hint="eastAsia" w:ascii="仿宋" w:hAnsi="仿宋" w:eastAsia="仿宋" w:cs="仿宋"/>
          <w:color w:val="auto"/>
          <w:szCs w:val="21"/>
        </w:rPr>
        <w:t>1.甲方应提供必要安装条件（如场地、电源、水源等）。</w:t>
      </w:r>
    </w:p>
    <w:p w14:paraId="1FDF1156">
      <w:pPr>
        <w:snapToGrid w:val="0"/>
        <w:spacing w:line="420" w:lineRule="exact"/>
        <w:ind w:firstLine="420" w:firstLineChars="200"/>
        <w:rPr>
          <w:rFonts w:ascii="仿宋" w:hAnsi="仿宋" w:eastAsia="仿宋" w:cs="仿宋"/>
          <w:color w:val="auto"/>
          <w:szCs w:val="21"/>
          <w:u w:val="single"/>
        </w:rPr>
      </w:pPr>
      <w:r>
        <w:rPr>
          <w:rFonts w:hint="eastAsia" w:ascii="仿宋" w:hAnsi="仿宋" w:eastAsia="仿宋" w:cs="仿宋"/>
          <w:color w:val="auto"/>
          <w:szCs w:val="21"/>
        </w:rPr>
        <w:t>2.乙方投标文件承诺负责甲方有关人员的培训。培训时间、地点：</w:t>
      </w:r>
      <w:r>
        <w:rPr>
          <w:rFonts w:hint="eastAsia" w:ascii="仿宋" w:hAnsi="仿宋" w:eastAsia="仿宋" w:cs="仿宋"/>
          <w:color w:val="auto"/>
          <w:szCs w:val="21"/>
          <w:u w:val="single"/>
        </w:rPr>
        <w:t xml:space="preserve">                   。</w:t>
      </w:r>
    </w:p>
    <w:p w14:paraId="6547F6E2">
      <w:pPr>
        <w:snapToGrid w:val="0"/>
        <w:spacing w:line="420" w:lineRule="exact"/>
        <w:ind w:firstLine="422" w:firstLineChars="200"/>
        <w:rPr>
          <w:rFonts w:ascii="仿宋" w:hAnsi="仿宋" w:eastAsia="仿宋" w:cs="仿宋"/>
          <w:b/>
          <w:color w:val="auto"/>
          <w:szCs w:val="21"/>
        </w:rPr>
      </w:pPr>
      <w:r>
        <w:rPr>
          <w:rFonts w:hint="eastAsia" w:ascii="仿宋" w:hAnsi="仿宋" w:eastAsia="仿宋" w:cs="仿宋"/>
          <w:b/>
          <w:color w:val="auto"/>
          <w:szCs w:val="21"/>
        </w:rPr>
        <w:t>第七条  售后服务、保修期</w:t>
      </w:r>
    </w:p>
    <w:p w14:paraId="5ABE8FF6">
      <w:pPr>
        <w:snapToGrid w:val="0"/>
        <w:spacing w:line="420" w:lineRule="exact"/>
        <w:ind w:firstLine="420" w:firstLineChars="200"/>
        <w:rPr>
          <w:rFonts w:ascii="仿宋" w:hAnsi="仿宋" w:eastAsia="仿宋" w:cs="仿宋"/>
          <w:color w:val="auto"/>
          <w:szCs w:val="21"/>
        </w:rPr>
      </w:pPr>
      <w:r>
        <w:rPr>
          <w:rFonts w:hint="eastAsia" w:ascii="仿宋" w:hAnsi="仿宋" w:eastAsia="仿宋" w:cs="仿宋"/>
          <w:color w:val="auto"/>
          <w:szCs w:val="21"/>
        </w:rPr>
        <w:t>1.乙方应按照国家有关法律法规和“三包”规定以及本合同所附的《服务承诺》，为甲方提供售后服务。</w:t>
      </w:r>
    </w:p>
    <w:p w14:paraId="7C9B1C8B">
      <w:pPr>
        <w:pStyle w:val="26"/>
        <w:snapToGrid w:val="0"/>
        <w:spacing w:line="420" w:lineRule="exact"/>
        <w:ind w:firstLine="420" w:firstLineChars="200"/>
        <w:rPr>
          <w:rFonts w:ascii="仿宋" w:hAnsi="仿宋" w:eastAsia="仿宋" w:cs="仿宋"/>
          <w:color w:val="auto"/>
          <w:sz w:val="21"/>
        </w:rPr>
      </w:pPr>
      <w:r>
        <w:rPr>
          <w:rFonts w:hint="eastAsia" w:ascii="仿宋" w:hAnsi="仿宋" w:eastAsia="仿宋" w:cs="仿宋"/>
          <w:color w:val="auto"/>
          <w:sz w:val="21"/>
        </w:rPr>
        <w:t>2.在保修期内，乙方应对货物出现的质量及安全问题负责处理解决并承担一切费用。</w:t>
      </w:r>
    </w:p>
    <w:p w14:paraId="7915BA9B">
      <w:pPr>
        <w:snapToGrid w:val="0"/>
        <w:spacing w:line="420" w:lineRule="exact"/>
        <w:ind w:firstLine="420" w:firstLineChars="200"/>
        <w:rPr>
          <w:rFonts w:ascii="仿宋" w:hAnsi="仿宋" w:eastAsia="仿宋" w:cs="仿宋"/>
          <w:color w:val="auto"/>
          <w:szCs w:val="21"/>
        </w:rPr>
      </w:pPr>
      <w:r>
        <w:rPr>
          <w:rFonts w:hint="eastAsia" w:ascii="仿宋" w:hAnsi="仿宋" w:eastAsia="仿宋" w:cs="仿宋"/>
          <w:color w:val="auto"/>
          <w:szCs w:val="21"/>
        </w:rPr>
        <w:t>3.上述的货物保修期为</w:t>
      </w:r>
      <w:r>
        <w:rPr>
          <w:rFonts w:hint="eastAsia" w:ascii="仿宋" w:hAnsi="仿宋" w:eastAsia="仿宋" w:cs="仿宋"/>
          <w:color w:val="auto"/>
          <w:szCs w:val="21"/>
          <w:u w:val="single"/>
          <w:lang w:eastAsia="zh"/>
          <w:woUserID w:val="1"/>
        </w:rPr>
        <w:t xml:space="preserve">      </w:t>
      </w:r>
      <w:r>
        <w:rPr>
          <w:rFonts w:hint="eastAsia" w:ascii="仿宋" w:hAnsi="仿宋" w:eastAsia="仿宋" w:cs="仿宋"/>
          <w:color w:val="auto"/>
          <w:szCs w:val="21"/>
        </w:rPr>
        <w:t>年，因人为因素出现的故障不在免费保修范围内。超过保修期的机器设备，</w:t>
      </w:r>
      <w:r>
        <w:rPr>
          <w:rFonts w:hint="eastAsia" w:ascii="仿宋" w:hAnsi="仿宋" w:eastAsia="仿宋" w:cs="仿宋"/>
          <w:color w:val="auto"/>
          <w:szCs w:val="21"/>
          <w:lang w:eastAsia="zh-CN"/>
        </w:rPr>
        <w:t>终身</w:t>
      </w:r>
      <w:r>
        <w:rPr>
          <w:rFonts w:hint="eastAsia" w:ascii="仿宋" w:hAnsi="仿宋" w:eastAsia="仿宋" w:cs="仿宋"/>
          <w:color w:val="auto"/>
          <w:szCs w:val="21"/>
        </w:rPr>
        <w:t>维修，维修时只收部件成本费。</w:t>
      </w:r>
      <w:r>
        <w:rPr>
          <w:rFonts w:hint="eastAsia" w:ascii="仿宋" w:hAnsi="仿宋" w:eastAsia="仿宋" w:cs="仿宋"/>
          <w:color w:val="auto"/>
          <w:szCs w:val="21"/>
          <w:lang w:eastAsia="zh"/>
          <w:woUserID w:val="1"/>
        </w:rPr>
        <w:t>质保期内同一质量问题经两次维修仍无法正常使用的，甲方有权要求退货或更换同型号全新产品；乙方应在维修期间提供备机服务，确保甲方正常教学/办公不受影响。</w:t>
      </w:r>
    </w:p>
    <w:p w14:paraId="40603C07">
      <w:pPr>
        <w:snapToGrid w:val="0"/>
        <w:spacing w:line="420" w:lineRule="exact"/>
        <w:ind w:firstLine="420" w:firstLineChars="200"/>
        <w:rPr>
          <w:rFonts w:ascii="仿宋" w:hAnsi="仿宋" w:eastAsia="仿宋" w:cs="仿宋"/>
          <w:color w:val="auto"/>
          <w:szCs w:val="21"/>
        </w:rPr>
      </w:pPr>
      <w:r>
        <w:rPr>
          <w:rFonts w:hint="eastAsia" w:ascii="仿宋" w:hAnsi="仿宋" w:eastAsia="仿宋" w:cs="仿宋"/>
          <w:color w:val="auto"/>
          <w:szCs w:val="21"/>
        </w:rPr>
        <w:t>4.乙方提供的服务承诺和售后服务及保修期责任等</w:t>
      </w:r>
      <w:r>
        <w:rPr>
          <w:rFonts w:hint="eastAsia" w:ascii="仿宋" w:hAnsi="仿宋" w:eastAsia="仿宋" w:cs="仿宋"/>
          <w:color w:val="auto"/>
          <w:szCs w:val="21"/>
          <w:lang w:eastAsia="zh-CN"/>
        </w:rPr>
        <w:t>其他</w:t>
      </w:r>
      <w:r>
        <w:rPr>
          <w:rFonts w:hint="eastAsia" w:ascii="仿宋" w:hAnsi="仿宋" w:eastAsia="仿宋" w:cs="仿宋"/>
          <w:color w:val="auto"/>
          <w:szCs w:val="21"/>
        </w:rPr>
        <w:t>具体约定事项。（见合同附件）</w:t>
      </w:r>
    </w:p>
    <w:p w14:paraId="470FBB20">
      <w:pPr>
        <w:snapToGrid w:val="0"/>
        <w:spacing w:line="420" w:lineRule="exact"/>
        <w:ind w:firstLine="422" w:firstLineChars="200"/>
        <w:rPr>
          <w:rFonts w:ascii="仿宋" w:hAnsi="仿宋" w:eastAsia="仿宋" w:cs="仿宋"/>
          <w:color w:val="auto"/>
          <w:szCs w:val="21"/>
        </w:rPr>
      </w:pPr>
      <w:r>
        <w:rPr>
          <w:rFonts w:hint="eastAsia" w:ascii="仿宋" w:hAnsi="仿宋" w:eastAsia="仿宋" w:cs="仿宋"/>
          <w:b/>
          <w:color w:val="auto"/>
          <w:szCs w:val="21"/>
        </w:rPr>
        <w:t>第八条　付款方式</w:t>
      </w:r>
    </w:p>
    <w:p w14:paraId="2228DCB5">
      <w:pPr>
        <w:pStyle w:val="26"/>
        <w:snapToGrid w:val="0"/>
        <w:spacing w:line="420" w:lineRule="exact"/>
        <w:ind w:firstLine="420" w:firstLineChars="200"/>
        <w:rPr>
          <w:rFonts w:ascii="仿宋" w:hAnsi="仿宋" w:eastAsia="仿宋" w:cs="仿宋"/>
          <w:color w:val="auto"/>
          <w:sz w:val="21"/>
        </w:rPr>
      </w:pPr>
      <w:r>
        <w:rPr>
          <w:rFonts w:hint="eastAsia" w:ascii="仿宋" w:hAnsi="仿宋" w:eastAsia="仿宋" w:cs="仿宋"/>
          <w:bCs/>
          <w:color w:val="auto"/>
          <w:sz w:val="21"/>
        </w:rPr>
        <w:t>1</w:t>
      </w:r>
      <w:r>
        <w:rPr>
          <w:rFonts w:hint="eastAsia" w:ascii="仿宋" w:hAnsi="仿宋" w:eastAsia="仿宋" w:cs="仿宋"/>
          <w:color w:val="auto"/>
          <w:sz w:val="21"/>
        </w:rPr>
        <w:t>.当采购数量与实际使用数量不一致时，乙方应根据实际使用量供货，合同的最终结算金额按实际使用量乘以中标单价进行计算，但不得超出合同价的10%。</w:t>
      </w:r>
    </w:p>
    <w:p w14:paraId="6A2A01DF">
      <w:pPr>
        <w:pStyle w:val="26"/>
        <w:snapToGrid w:val="0"/>
        <w:spacing w:line="420" w:lineRule="exact"/>
        <w:ind w:firstLine="420" w:firstLineChars="200"/>
        <w:rPr>
          <w:rFonts w:ascii="仿宋" w:hAnsi="仿宋" w:eastAsia="仿宋" w:cs="仿宋"/>
          <w:color w:val="auto"/>
          <w:sz w:val="21"/>
        </w:rPr>
      </w:pPr>
      <w:r>
        <w:rPr>
          <w:rFonts w:hint="eastAsia" w:ascii="仿宋" w:hAnsi="仿宋" w:eastAsia="仿宋" w:cs="仿宋"/>
          <w:bCs/>
          <w:color w:val="auto"/>
          <w:sz w:val="21"/>
        </w:rPr>
        <w:t>2.</w:t>
      </w:r>
      <w:r>
        <w:rPr>
          <w:rFonts w:hint="eastAsia" w:ascii="仿宋" w:hAnsi="仿宋" w:eastAsia="仿宋" w:cs="仿宋"/>
          <w:color w:val="auto"/>
          <w:sz w:val="21"/>
        </w:rPr>
        <w:t>付款方式：</w:t>
      </w:r>
    </w:p>
    <w:p w14:paraId="4EBA6BBD">
      <w:pPr>
        <w:spacing w:line="420" w:lineRule="exact"/>
        <w:rPr>
          <w:rFonts w:ascii="仿宋" w:hAnsi="仿宋" w:eastAsia="仿宋" w:cs="仿宋"/>
          <w:color w:val="auto"/>
          <w:szCs w:val="21"/>
        </w:rPr>
      </w:pPr>
      <w:r>
        <w:rPr>
          <w:rFonts w:hint="eastAsia" w:ascii="仿宋" w:hAnsi="仿宋" w:eastAsia="仿宋" w:cs="仿宋"/>
          <w:color w:val="auto"/>
          <w:szCs w:val="21"/>
        </w:rPr>
        <w:t xml:space="preserve">    具体详见《第二章  采购需求》付款条件</w:t>
      </w:r>
    </w:p>
    <w:p w14:paraId="52A4AC89">
      <w:pPr>
        <w:autoSpaceDE w:val="0"/>
        <w:autoSpaceDN w:val="0"/>
        <w:snapToGrid w:val="0"/>
        <w:spacing w:line="420" w:lineRule="exact"/>
        <w:textAlignment w:val="bottom"/>
        <w:rPr>
          <w:rFonts w:ascii="仿宋" w:hAnsi="仿宋" w:eastAsia="仿宋" w:cs="仿宋"/>
          <w:b/>
          <w:color w:val="auto"/>
          <w:szCs w:val="21"/>
        </w:rPr>
      </w:pPr>
      <w:r>
        <w:rPr>
          <w:rFonts w:hint="eastAsia" w:ascii="仿宋" w:hAnsi="仿宋" w:eastAsia="仿宋" w:cs="仿宋"/>
          <w:b/>
          <w:color w:val="auto"/>
          <w:szCs w:val="21"/>
        </w:rPr>
        <w:t>第九条　履约保证金：</w:t>
      </w:r>
    </w:p>
    <w:p w14:paraId="5A6CA24F">
      <w:pPr>
        <w:snapToGrid w:val="0"/>
        <w:spacing w:line="420" w:lineRule="exact"/>
        <w:ind w:firstLine="514"/>
        <w:rPr>
          <w:rFonts w:ascii="仿宋" w:hAnsi="仿宋" w:eastAsia="仿宋" w:cs="仿宋"/>
          <w:bCs/>
          <w:color w:val="auto"/>
          <w:szCs w:val="21"/>
        </w:rPr>
      </w:pPr>
      <w:r>
        <w:rPr>
          <w:rFonts w:hint="eastAsia" w:ascii="仿宋" w:hAnsi="仿宋" w:eastAsia="仿宋" w:cs="仿宋"/>
          <w:bCs/>
          <w:color w:val="auto"/>
          <w:szCs w:val="21"/>
        </w:rPr>
        <w:t>履约保证金金额：按中标金额的</w:t>
      </w:r>
      <w:r>
        <w:rPr>
          <w:rFonts w:hint="eastAsia" w:ascii="仿宋" w:hAnsi="仿宋" w:eastAsia="仿宋" w:cs="仿宋"/>
          <w:bCs/>
          <w:color w:val="auto"/>
          <w:szCs w:val="21"/>
          <w:lang w:val="en-US" w:eastAsia="zh-CN"/>
        </w:rPr>
        <w:t>2</w:t>
      </w:r>
      <w:r>
        <w:rPr>
          <w:rFonts w:hint="eastAsia" w:ascii="仿宋" w:hAnsi="仿宋" w:eastAsia="仿宋" w:cs="仿宋"/>
          <w:bCs/>
          <w:color w:val="auto"/>
          <w:szCs w:val="21"/>
        </w:rPr>
        <w:t xml:space="preserve">%。即人民币：   </w:t>
      </w:r>
      <w:r>
        <w:rPr>
          <w:rFonts w:hint="eastAsia" w:ascii="仿宋" w:hAnsi="仿宋" w:eastAsia="仿宋" w:cs="仿宋"/>
          <w:bCs/>
          <w:color w:val="auto"/>
          <w:szCs w:val="21"/>
          <w:u w:val="single"/>
        </w:rPr>
        <w:t>（¥ ）</w:t>
      </w:r>
      <w:r>
        <w:rPr>
          <w:rFonts w:hint="eastAsia" w:ascii="仿宋" w:hAnsi="仿宋" w:eastAsia="仿宋" w:cs="仿宋"/>
          <w:bCs/>
          <w:color w:val="auto"/>
          <w:szCs w:val="21"/>
        </w:rPr>
        <w:t>。乙方应在合同签订前按中标金额的2%向甲方指定账户提交履约保证金，凭履约保证金缴纳凭证签订合同。</w:t>
      </w:r>
    </w:p>
    <w:p w14:paraId="3F03D222">
      <w:pPr>
        <w:snapToGrid w:val="0"/>
        <w:spacing w:line="420" w:lineRule="exact"/>
        <w:ind w:firstLine="514"/>
        <w:rPr>
          <w:rFonts w:ascii="仿宋" w:hAnsi="仿宋" w:eastAsia="仿宋" w:cs="仿宋"/>
          <w:bCs/>
          <w:color w:val="auto"/>
          <w:szCs w:val="21"/>
        </w:rPr>
      </w:pPr>
      <w:r>
        <w:rPr>
          <w:rFonts w:hint="eastAsia" w:ascii="仿宋" w:hAnsi="仿宋" w:eastAsia="仿宋" w:cs="仿宋"/>
          <w:bCs/>
          <w:color w:val="auto"/>
          <w:szCs w:val="21"/>
        </w:rPr>
        <w:t>履约保证金递交方式：以银行转账、支票、汇票、本票或者金融机构、担保机构出具的保函等非现金方式，银行转账、支票、汇票、本票由乙方直接缴入以下甲方账户：</w:t>
      </w:r>
    </w:p>
    <w:p w14:paraId="02536741">
      <w:pPr>
        <w:snapToGrid w:val="0"/>
        <w:spacing w:line="420" w:lineRule="exact"/>
        <w:ind w:firstLine="514"/>
        <w:rPr>
          <w:rFonts w:ascii="仿宋" w:hAnsi="仿宋" w:eastAsia="仿宋" w:cs="仿宋"/>
          <w:color w:val="auto"/>
          <w:kern w:val="0"/>
          <w:szCs w:val="21"/>
        </w:rPr>
      </w:pPr>
      <w:r>
        <w:rPr>
          <w:rFonts w:hint="eastAsia" w:ascii="仿宋" w:hAnsi="仿宋" w:eastAsia="仿宋" w:cs="仿宋"/>
          <w:color w:val="auto"/>
          <w:kern w:val="0"/>
          <w:szCs w:val="21"/>
        </w:rPr>
        <w:t>开户名称：</w:t>
      </w:r>
    </w:p>
    <w:p w14:paraId="5B0A8634">
      <w:pPr>
        <w:snapToGrid w:val="0"/>
        <w:spacing w:line="420" w:lineRule="exact"/>
        <w:ind w:firstLine="514"/>
        <w:rPr>
          <w:rFonts w:ascii="仿宋" w:hAnsi="仿宋" w:eastAsia="仿宋" w:cs="仿宋"/>
          <w:color w:val="auto"/>
          <w:szCs w:val="21"/>
          <w:u w:val="single"/>
        </w:rPr>
      </w:pPr>
      <w:r>
        <w:rPr>
          <w:rFonts w:hint="eastAsia" w:ascii="仿宋" w:hAnsi="仿宋" w:eastAsia="仿宋" w:cs="仿宋"/>
          <w:color w:val="auto"/>
          <w:kern w:val="0"/>
          <w:szCs w:val="21"/>
        </w:rPr>
        <w:t>开户银行：</w:t>
      </w:r>
    </w:p>
    <w:p w14:paraId="214B2D34">
      <w:pPr>
        <w:snapToGrid w:val="0"/>
        <w:spacing w:line="420" w:lineRule="exact"/>
        <w:ind w:firstLine="514"/>
        <w:rPr>
          <w:rFonts w:ascii="仿宋" w:hAnsi="仿宋" w:eastAsia="仿宋" w:cs="仿宋"/>
          <w:bCs/>
          <w:color w:val="auto"/>
          <w:szCs w:val="21"/>
        </w:rPr>
      </w:pPr>
      <w:r>
        <w:rPr>
          <w:rFonts w:hint="eastAsia" w:ascii="仿宋" w:hAnsi="仿宋" w:eastAsia="仿宋" w:cs="仿宋"/>
          <w:color w:val="auto"/>
          <w:kern w:val="0"/>
          <w:szCs w:val="21"/>
        </w:rPr>
        <w:t>账号：</w:t>
      </w:r>
    </w:p>
    <w:p w14:paraId="3E4E504D">
      <w:pPr>
        <w:snapToGrid w:val="0"/>
        <w:spacing w:line="420" w:lineRule="exact"/>
        <w:ind w:firstLine="514"/>
        <w:rPr>
          <w:rFonts w:ascii="仿宋" w:hAnsi="仿宋" w:eastAsia="仿宋" w:cs="仿宋"/>
          <w:bCs/>
          <w:color w:val="auto"/>
          <w:szCs w:val="21"/>
        </w:rPr>
      </w:pPr>
      <w:r>
        <w:rPr>
          <w:rFonts w:hint="eastAsia" w:ascii="仿宋" w:hAnsi="仿宋" w:eastAsia="仿宋" w:cs="仿宋"/>
          <w:bCs/>
          <w:color w:val="auto"/>
          <w:szCs w:val="21"/>
        </w:rPr>
        <w:t>注：履约金转账时备注项目名称或项目编号+履约保证金。</w:t>
      </w:r>
    </w:p>
    <w:p w14:paraId="55B462F1">
      <w:pPr>
        <w:pStyle w:val="8"/>
        <w:ind w:firstLine="420" w:firstLineChars="200"/>
        <w:rPr>
          <w:rFonts w:ascii="仿宋" w:hAnsi="仿宋" w:eastAsia="仿宋" w:cs="仿宋"/>
          <w:b w:val="0"/>
          <w:bCs/>
          <w:color w:val="auto"/>
          <w:sz w:val="21"/>
          <w:szCs w:val="21"/>
        </w:rPr>
      </w:pPr>
      <w:r>
        <w:rPr>
          <w:rFonts w:hint="eastAsia" w:ascii="仿宋" w:hAnsi="仿宋" w:eastAsia="仿宋" w:cs="仿宋"/>
          <w:b w:val="0"/>
          <w:bCs/>
          <w:color w:val="auto"/>
          <w:sz w:val="21"/>
          <w:szCs w:val="21"/>
        </w:rPr>
        <w:t>履约保证金退付：乙方若不能完全履行合同，履约保证金不返还；乙方若完全履行合同及质量保证义务，且没有任何未解决的质量问题，货到验收合格后五个工作日内，乙方凭履约保证金退付申请书和履约保证金汇款（转账）单到甲方办理无息退还手续。若因乙方未能按采购人要求及时提供完整、合规的退费手续（包括但不限于未按时提交退付申请书、汇款凭证不完整或不符合要求等），导致履约保证金未能在上述期限内退还的，相关逾期责任由乙方自行承担，与甲方无关。采购人接到书面申请书之日起15个工作日内向中标人退还履约保证金</w:t>
      </w:r>
      <w:r>
        <w:rPr>
          <w:rFonts w:hint="eastAsia" w:ascii="仿宋" w:hAnsi="仿宋" w:eastAsia="仿宋" w:cs="仿宋"/>
          <w:b w:val="0"/>
          <w:bCs/>
          <w:color w:val="auto"/>
          <w:sz w:val="21"/>
          <w:szCs w:val="21"/>
          <w:lang w:eastAsia="zh"/>
          <w:woUserID w:val="1"/>
        </w:rPr>
        <w:t>余额（如有）</w:t>
      </w:r>
      <w:r>
        <w:rPr>
          <w:rFonts w:hint="eastAsia" w:ascii="仿宋" w:hAnsi="仿宋" w:eastAsia="仿宋" w:cs="仿宋"/>
          <w:b w:val="0"/>
          <w:bCs/>
          <w:color w:val="auto"/>
          <w:sz w:val="21"/>
          <w:szCs w:val="21"/>
        </w:rPr>
        <w:t>。</w:t>
      </w:r>
    </w:p>
    <w:p w14:paraId="750AE279">
      <w:pPr>
        <w:snapToGrid w:val="0"/>
        <w:spacing w:line="420" w:lineRule="exact"/>
        <w:ind w:firstLine="514"/>
        <w:rPr>
          <w:rFonts w:ascii="仿宋" w:hAnsi="仿宋" w:eastAsia="仿宋" w:cs="仿宋"/>
          <w:b/>
          <w:color w:val="auto"/>
          <w:szCs w:val="21"/>
        </w:rPr>
      </w:pPr>
      <w:r>
        <w:rPr>
          <w:rFonts w:hint="eastAsia" w:ascii="仿宋" w:hAnsi="仿宋" w:eastAsia="仿宋" w:cs="仿宋"/>
          <w:b/>
          <w:color w:val="auto"/>
          <w:szCs w:val="21"/>
        </w:rPr>
        <w:t>第十条  税费</w:t>
      </w:r>
    </w:p>
    <w:p w14:paraId="7863F447">
      <w:pPr>
        <w:snapToGrid w:val="0"/>
        <w:spacing w:line="420" w:lineRule="exact"/>
        <w:ind w:firstLine="514"/>
        <w:rPr>
          <w:rFonts w:ascii="仿宋" w:hAnsi="仿宋" w:eastAsia="仿宋" w:cs="仿宋"/>
          <w:color w:val="auto"/>
          <w:szCs w:val="21"/>
        </w:rPr>
      </w:pPr>
      <w:r>
        <w:rPr>
          <w:rFonts w:hint="eastAsia" w:ascii="仿宋" w:hAnsi="仿宋" w:eastAsia="仿宋" w:cs="仿宋"/>
          <w:color w:val="auto"/>
          <w:szCs w:val="21"/>
        </w:rPr>
        <w:t>本合同执行中相关的一切税费均由乙方负担，合同另有约定的除外。</w:t>
      </w:r>
    </w:p>
    <w:p w14:paraId="62215102">
      <w:pPr>
        <w:snapToGrid w:val="0"/>
        <w:spacing w:line="420" w:lineRule="exact"/>
        <w:ind w:firstLine="514"/>
        <w:rPr>
          <w:rFonts w:ascii="仿宋" w:hAnsi="仿宋" w:eastAsia="仿宋" w:cs="仿宋"/>
          <w:color w:val="auto"/>
          <w:szCs w:val="21"/>
        </w:rPr>
      </w:pPr>
      <w:r>
        <w:rPr>
          <w:rFonts w:hint="eastAsia" w:ascii="仿宋" w:hAnsi="仿宋" w:eastAsia="仿宋" w:cs="仿宋"/>
          <w:b/>
          <w:color w:val="auto"/>
          <w:szCs w:val="21"/>
        </w:rPr>
        <w:t>第十一条  质量保证、质保期</w:t>
      </w:r>
    </w:p>
    <w:p w14:paraId="1B0C9FCE">
      <w:pPr>
        <w:pStyle w:val="26"/>
        <w:snapToGrid w:val="0"/>
        <w:spacing w:line="420" w:lineRule="exact"/>
        <w:ind w:firstLine="420" w:firstLineChars="200"/>
        <w:rPr>
          <w:rFonts w:ascii="仿宋" w:hAnsi="仿宋" w:eastAsia="仿宋" w:cs="仿宋"/>
          <w:color w:val="auto"/>
          <w:sz w:val="21"/>
        </w:rPr>
      </w:pPr>
      <w:r>
        <w:rPr>
          <w:rFonts w:hint="eastAsia" w:ascii="仿宋" w:hAnsi="仿宋" w:eastAsia="仿宋" w:cs="仿宋"/>
          <w:bCs/>
          <w:color w:val="auto"/>
          <w:sz w:val="21"/>
        </w:rPr>
        <w:t>1.</w:t>
      </w:r>
      <w:r>
        <w:rPr>
          <w:rFonts w:hint="eastAsia" w:ascii="仿宋" w:hAnsi="仿宋" w:eastAsia="仿宋" w:cs="仿宋"/>
          <w:color w:val="auto"/>
          <w:sz w:val="21"/>
        </w:rPr>
        <w:t>乙方应按招标文件规定的产品名称、商标品牌、生产厂家、规格型号、技术参数、质量标准向甲方提供未经使用的全新产品。不符合要求的，根据实际情况，经双方协商，可按以下办法处理：</w:t>
      </w:r>
    </w:p>
    <w:p w14:paraId="29543FC9">
      <w:pPr>
        <w:pStyle w:val="26"/>
        <w:snapToGrid w:val="0"/>
        <w:spacing w:line="420" w:lineRule="exact"/>
        <w:ind w:firstLine="420" w:firstLineChars="200"/>
        <w:rPr>
          <w:rFonts w:ascii="仿宋" w:hAnsi="仿宋" w:eastAsia="仿宋" w:cs="仿宋"/>
          <w:color w:val="auto"/>
          <w:sz w:val="21"/>
        </w:rPr>
      </w:pPr>
      <w:r>
        <w:rPr>
          <w:rFonts w:hint="eastAsia" w:ascii="仿宋" w:hAnsi="仿宋" w:eastAsia="仿宋" w:cs="仿宋"/>
          <w:color w:val="auto"/>
          <w:sz w:val="21"/>
        </w:rPr>
        <w:t>⑴更换：由乙方承担所发生的全部费用。</w:t>
      </w:r>
    </w:p>
    <w:p w14:paraId="05D0B3AD">
      <w:pPr>
        <w:pStyle w:val="26"/>
        <w:snapToGrid w:val="0"/>
        <w:spacing w:line="420" w:lineRule="exact"/>
        <w:ind w:firstLine="420"/>
        <w:rPr>
          <w:rFonts w:ascii="仿宋" w:hAnsi="仿宋" w:eastAsia="仿宋" w:cs="仿宋"/>
          <w:color w:val="auto"/>
          <w:sz w:val="21"/>
        </w:rPr>
      </w:pPr>
      <w:r>
        <w:rPr>
          <w:rFonts w:hint="eastAsia" w:ascii="仿宋" w:hAnsi="仿宋" w:eastAsia="仿宋" w:cs="仿宋"/>
          <w:color w:val="auto"/>
          <w:sz w:val="21"/>
        </w:rPr>
        <w:t>⑵贬值处理：由甲乙双方合议定价。</w:t>
      </w:r>
    </w:p>
    <w:p w14:paraId="25B530FA">
      <w:pPr>
        <w:pStyle w:val="26"/>
        <w:snapToGrid w:val="0"/>
        <w:spacing w:line="420" w:lineRule="exact"/>
        <w:ind w:firstLine="420"/>
        <w:rPr>
          <w:rFonts w:ascii="仿宋" w:hAnsi="仿宋" w:eastAsia="仿宋" w:cs="仿宋"/>
          <w:color w:val="auto"/>
          <w:sz w:val="21"/>
        </w:rPr>
      </w:pPr>
      <w:r>
        <w:rPr>
          <w:rFonts w:hint="eastAsia" w:ascii="仿宋" w:hAnsi="仿宋" w:eastAsia="仿宋" w:cs="仿宋"/>
          <w:color w:val="auto"/>
          <w:sz w:val="21"/>
        </w:rPr>
        <w:t>⑶退货处理：乙方应退还甲方支付的合同款，同时应承担该货物的直接费用（运输、保险、检验、货款利息及银行手续费等）。</w:t>
      </w:r>
    </w:p>
    <w:p w14:paraId="77585C0D">
      <w:pPr>
        <w:pStyle w:val="26"/>
        <w:snapToGrid w:val="0"/>
        <w:spacing w:line="420" w:lineRule="exact"/>
        <w:ind w:firstLine="420" w:firstLineChars="200"/>
        <w:rPr>
          <w:rFonts w:ascii="仿宋" w:hAnsi="仿宋" w:eastAsia="仿宋" w:cs="仿宋"/>
          <w:color w:val="auto"/>
          <w:sz w:val="21"/>
          <w:u w:val="single"/>
        </w:rPr>
      </w:pPr>
      <w:r>
        <w:rPr>
          <w:rFonts w:hint="eastAsia" w:ascii="仿宋" w:hAnsi="仿宋" w:eastAsia="仿宋" w:cs="仿宋"/>
          <w:color w:val="auto"/>
          <w:sz w:val="21"/>
        </w:rPr>
        <w:t>2.货物质保期：</w:t>
      </w:r>
      <w:r>
        <w:rPr>
          <w:rFonts w:hint="eastAsia" w:ascii="仿宋" w:hAnsi="仿宋" w:eastAsia="仿宋" w:cs="仿宋"/>
          <w:color w:val="auto"/>
          <w:sz w:val="21"/>
          <w:u w:val="single"/>
        </w:rPr>
        <w:t xml:space="preserve">                                          。</w:t>
      </w:r>
    </w:p>
    <w:p w14:paraId="3184D6FA">
      <w:pPr>
        <w:pStyle w:val="26"/>
        <w:snapToGrid w:val="0"/>
        <w:spacing w:line="420" w:lineRule="exact"/>
        <w:ind w:firstLine="420" w:firstLineChars="200"/>
        <w:rPr>
          <w:rFonts w:ascii="仿宋" w:hAnsi="仿宋" w:eastAsia="仿宋" w:cs="仿宋"/>
          <w:color w:val="auto"/>
          <w:sz w:val="21"/>
        </w:rPr>
      </w:pPr>
      <w:r>
        <w:rPr>
          <w:rFonts w:hint="eastAsia" w:ascii="仿宋" w:hAnsi="仿宋" w:eastAsia="仿宋" w:cs="仿宋"/>
          <w:color w:val="auto"/>
          <w:sz w:val="21"/>
        </w:rPr>
        <w:t>3.如在使用过程中发生质量问题，乙方在接到甲方通知后到达甲方现场处理的时间（</w:t>
      </w:r>
      <w:r>
        <w:rPr>
          <w:rFonts w:hint="eastAsia" w:ascii="仿宋" w:hAnsi="仿宋" w:eastAsia="仿宋" w:cs="仿宋"/>
          <w:color w:val="auto"/>
          <w:sz w:val="21"/>
          <w:u w:val="single"/>
        </w:rPr>
        <w:t>按投标文件承诺的数据填写</w:t>
      </w:r>
      <w:r>
        <w:rPr>
          <w:rFonts w:hint="eastAsia" w:ascii="仿宋" w:hAnsi="仿宋" w:eastAsia="仿宋" w:cs="仿宋"/>
          <w:color w:val="auto"/>
          <w:sz w:val="21"/>
        </w:rPr>
        <w:t>）小时内。</w:t>
      </w:r>
    </w:p>
    <w:p w14:paraId="267C396A">
      <w:pPr>
        <w:snapToGrid w:val="0"/>
        <w:spacing w:line="420" w:lineRule="exact"/>
        <w:ind w:firstLine="514"/>
        <w:rPr>
          <w:rFonts w:ascii="仿宋" w:hAnsi="仿宋" w:eastAsia="仿宋" w:cs="仿宋"/>
          <w:color w:val="auto"/>
          <w:szCs w:val="21"/>
        </w:rPr>
      </w:pPr>
      <w:r>
        <w:rPr>
          <w:rFonts w:hint="eastAsia" w:ascii="仿宋" w:hAnsi="仿宋" w:eastAsia="仿宋" w:cs="仿宋"/>
          <w:b/>
          <w:color w:val="auto"/>
          <w:szCs w:val="21"/>
        </w:rPr>
        <w:t>第十二条  调试和验收</w:t>
      </w:r>
    </w:p>
    <w:p w14:paraId="645F712C">
      <w:pPr>
        <w:pStyle w:val="26"/>
        <w:snapToGrid w:val="0"/>
        <w:spacing w:line="420" w:lineRule="exact"/>
        <w:ind w:firstLine="420" w:firstLineChars="200"/>
        <w:rPr>
          <w:rFonts w:hint="eastAsia" w:ascii="仿宋" w:hAnsi="仿宋" w:eastAsia="仿宋" w:cs="仿宋"/>
          <w:i w:val="0"/>
          <w:iCs w:val="0"/>
          <w:caps w:val="0"/>
          <w:color w:val="auto"/>
          <w:spacing w:val="0"/>
          <w:sz w:val="21"/>
          <w:szCs w:val="21"/>
          <w:shd w:val="clear" w:fill="auto"/>
          <w:woUserID w:val="0"/>
        </w:rPr>
      </w:pPr>
      <w:r>
        <w:rPr>
          <w:rFonts w:hint="eastAsia" w:ascii="仿宋" w:hAnsi="仿宋" w:eastAsia="仿宋" w:cs="仿宋"/>
          <w:color w:val="auto"/>
          <w:sz w:val="21"/>
        </w:rPr>
        <w:t>1.甲方对乙方提交的货物依据招标文件上的技术规格要求和国家有关质量标准进行现场初步验收，外观、说明书符合招标文件技术要求的，给予签收，初步验收不合格的不予签收。货到后，甲方应当在到货（安装、调试</w:t>
      </w:r>
      <w:r>
        <w:rPr>
          <w:rFonts w:hint="eastAsia" w:ascii="仿宋" w:hAnsi="仿宋" w:eastAsia="仿宋" w:cs="仿宋"/>
          <w:color w:val="auto"/>
          <w:sz w:val="21"/>
          <w:lang w:eastAsia="zh-CN"/>
        </w:rPr>
        <w:t>完成</w:t>
      </w:r>
      <w:r>
        <w:rPr>
          <w:rFonts w:hint="eastAsia" w:ascii="仿宋" w:hAnsi="仿宋" w:eastAsia="仿宋" w:cs="仿宋"/>
          <w:color w:val="auto"/>
          <w:sz w:val="21"/>
        </w:rPr>
        <w:t>）后七个工作日内进行验收。逾期不验收的，乙方可视同验收合格。验收合格后由甲乙双方签署货物验收单并加盖采购人公章，甲乙双方各执一份。</w:t>
      </w:r>
      <w:r>
        <w:rPr>
          <w:rFonts w:hint="eastAsia" w:ascii="仿宋" w:hAnsi="仿宋" w:eastAsia="仿宋" w:cs="仿宋"/>
          <w:i w:val="0"/>
          <w:iCs w:val="0"/>
          <w:caps w:val="0"/>
          <w:color w:val="auto"/>
          <w:spacing w:val="0"/>
          <w:sz w:val="21"/>
          <w:szCs w:val="21"/>
          <w:shd w:val="clear" w:fill="auto"/>
          <w:woUserID w:val="0"/>
        </w:rPr>
        <w:t>如因货物质量、技术参数不符等原因导致无法通过验收的，验收期限相应顺延，乙方应承担由此产生的各项费用。</w:t>
      </w:r>
    </w:p>
    <w:p w14:paraId="278FA94D">
      <w:pPr>
        <w:pStyle w:val="26"/>
        <w:snapToGrid w:val="0"/>
        <w:spacing w:line="420" w:lineRule="exact"/>
        <w:ind w:firstLine="420" w:firstLineChars="200"/>
        <w:rPr>
          <w:rFonts w:ascii="仿宋" w:hAnsi="仿宋" w:eastAsia="仿宋" w:cs="仿宋"/>
          <w:color w:val="auto"/>
          <w:sz w:val="21"/>
        </w:rPr>
      </w:pPr>
      <w:r>
        <w:rPr>
          <w:rFonts w:hint="eastAsia" w:ascii="仿宋" w:hAnsi="仿宋" w:eastAsia="仿宋" w:cs="仿宋"/>
          <w:color w:val="auto"/>
          <w:sz w:val="21"/>
        </w:rPr>
        <w:t>2.乙方交货前应对产品作出全面检查和对验收文件进行整理，并列出清单，作为甲方收货验收和使用的技术条件依据，检验的结果应随货物交甲方。</w:t>
      </w:r>
    </w:p>
    <w:p w14:paraId="05872132">
      <w:pPr>
        <w:pStyle w:val="26"/>
        <w:snapToGrid w:val="0"/>
        <w:spacing w:line="420" w:lineRule="exact"/>
        <w:ind w:firstLine="420" w:firstLineChars="200"/>
        <w:rPr>
          <w:rFonts w:ascii="仿宋" w:hAnsi="仿宋" w:eastAsia="仿宋" w:cs="仿宋"/>
          <w:color w:val="auto"/>
          <w:sz w:val="21"/>
        </w:rPr>
      </w:pPr>
      <w:r>
        <w:rPr>
          <w:rFonts w:hint="eastAsia" w:ascii="仿宋" w:hAnsi="仿宋" w:eastAsia="仿宋" w:cs="仿宋"/>
          <w:color w:val="auto"/>
          <w:sz w:val="21"/>
        </w:rPr>
        <w:t>3.甲方对乙方提供的货物在使用前进行调试时，乙方需负责安装并培训甲方的使用操作人员，并协助甲方一起调试，直到符合技术要求，甲方才做最终验收。</w:t>
      </w:r>
    </w:p>
    <w:p w14:paraId="443CBC2F">
      <w:pPr>
        <w:pStyle w:val="26"/>
        <w:snapToGrid w:val="0"/>
        <w:spacing w:line="420" w:lineRule="exact"/>
        <w:ind w:firstLine="420" w:firstLineChars="200"/>
        <w:rPr>
          <w:rFonts w:ascii="仿宋" w:hAnsi="仿宋" w:eastAsia="仿宋" w:cs="仿宋"/>
          <w:color w:val="auto"/>
          <w:sz w:val="21"/>
        </w:rPr>
      </w:pPr>
      <w:r>
        <w:rPr>
          <w:rFonts w:hint="eastAsia" w:ascii="仿宋" w:hAnsi="仿宋" w:eastAsia="仿宋" w:cs="仿宋"/>
          <w:color w:val="auto"/>
          <w:sz w:val="21"/>
        </w:rPr>
        <w:t>4.对技术复杂的货物，甲方应请国家认可的专业检测机构参与初步验收及最终验收，并由其出具质量检测报告。</w:t>
      </w:r>
    </w:p>
    <w:p w14:paraId="39BE3607">
      <w:pPr>
        <w:snapToGrid w:val="0"/>
        <w:spacing w:line="420" w:lineRule="exact"/>
        <w:ind w:firstLine="514"/>
        <w:rPr>
          <w:rFonts w:ascii="仿宋" w:hAnsi="仿宋" w:eastAsia="仿宋" w:cs="仿宋"/>
          <w:color w:val="auto"/>
          <w:szCs w:val="21"/>
        </w:rPr>
      </w:pPr>
      <w:r>
        <w:rPr>
          <w:rFonts w:hint="eastAsia" w:ascii="仿宋" w:hAnsi="仿宋" w:eastAsia="仿宋" w:cs="仿宋"/>
          <w:color w:val="auto"/>
          <w:szCs w:val="21"/>
        </w:rPr>
        <w:t>5. 验收时乙方必须在现场，验收完毕后作出验收结果报告；验收费用按招标文件约定承担方负责。</w:t>
      </w:r>
    </w:p>
    <w:p w14:paraId="4467D9BF">
      <w:pPr>
        <w:snapToGrid w:val="0"/>
        <w:spacing w:line="420" w:lineRule="exact"/>
        <w:ind w:firstLine="420" w:firstLineChars="200"/>
        <w:rPr>
          <w:rFonts w:ascii="仿宋" w:hAnsi="仿宋" w:eastAsia="仿宋" w:cs="仿宋"/>
          <w:color w:val="auto"/>
          <w:szCs w:val="21"/>
        </w:rPr>
      </w:pPr>
      <w:r>
        <w:rPr>
          <w:rFonts w:hint="eastAsia" w:ascii="仿宋" w:hAnsi="仿宋" w:eastAsia="仿宋" w:cs="仿宋"/>
          <w:color w:val="auto"/>
          <w:szCs w:val="21"/>
        </w:rPr>
        <w:t>6.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2709ADEB">
      <w:pPr>
        <w:snapToGrid w:val="0"/>
        <w:spacing w:line="420" w:lineRule="exact"/>
        <w:ind w:firstLine="420" w:firstLineChars="200"/>
        <w:rPr>
          <w:rFonts w:hint="eastAsia" w:ascii="仿宋" w:hAnsi="仿宋" w:eastAsia="仿宋" w:cs="仿宋"/>
          <w:color w:val="auto"/>
          <w:szCs w:val="21"/>
          <w:lang w:eastAsia="zh-CN"/>
        </w:rPr>
      </w:pPr>
      <w:r>
        <w:rPr>
          <w:rFonts w:hint="eastAsia" w:ascii="仿宋" w:hAnsi="仿宋" w:eastAsia="仿宋" w:cs="仿宋"/>
          <w:color w:val="auto"/>
          <w:szCs w:val="21"/>
        </w:rPr>
        <w:t>7.甲方对验收有异议的，在验收后五个工作日内以书面形式向乙方提出，乙方应自收到甲方书面异议后日内及时予以解决，否则，视为逾期交货或者不能交付</w:t>
      </w:r>
      <w:r>
        <w:rPr>
          <w:rFonts w:hint="eastAsia" w:ascii="仿宋" w:hAnsi="仿宋" w:eastAsia="仿宋" w:cs="仿宋"/>
          <w:color w:val="auto"/>
          <w:szCs w:val="21"/>
          <w:lang w:eastAsia="zh-CN"/>
        </w:rPr>
        <w:t>，</w:t>
      </w:r>
      <w:r>
        <w:rPr>
          <w:rFonts w:hint="eastAsia" w:ascii="仿宋" w:hAnsi="仿宋" w:eastAsia="仿宋" w:cs="仿宋"/>
          <w:i w:val="0"/>
          <w:iCs w:val="0"/>
          <w:caps w:val="0"/>
          <w:color w:val="auto"/>
          <w:spacing w:val="0"/>
          <w:sz w:val="21"/>
          <w:szCs w:val="21"/>
          <w:shd w:val="clear" w:fill="auto"/>
          <w:woUserID w:val="0"/>
        </w:rPr>
        <w:t>甲方有权单方解除合同并要求乙方承担违约责任</w:t>
      </w:r>
      <w:r>
        <w:rPr>
          <w:rFonts w:hint="eastAsia" w:ascii="仿宋" w:hAnsi="仿宋" w:eastAsia="仿宋" w:cs="仿宋"/>
          <w:color w:val="auto"/>
          <w:szCs w:val="21"/>
        </w:rPr>
        <w:t>。</w:t>
      </w:r>
    </w:p>
    <w:p w14:paraId="492497E6">
      <w:pPr>
        <w:snapToGrid w:val="0"/>
        <w:spacing w:line="420" w:lineRule="exact"/>
        <w:ind w:firstLine="514"/>
        <w:rPr>
          <w:rFonts w:ascii="仿宋" w:hAnsi="仿宋" w:eastAsia="仿宋" w:cs="仿宋"/>
          <w:color w:val="auto"/>
          <w:szCs w:val="21"/>
        </w:rPr>
      </w:pPr>
    </w:p>
    <w:p w14:paraId="38581203">
      <w:pPr>
        <w:pStyle w:val="26"/>
        <w:snapToGrid w:val="0"/>
        <w:spacing w:line="420" w:lineRule="exact"/>
        <w:ind w:firstLine="413" w:firstLineChars="196"/>
        <w:rPr>
          <w:rFonts w:ascii="仿宋" w:hAnsi="仿宋" w:eastAsia="仿宋" w:cs="仿宋"/>
          <w:b/>
          <w:color w:val="auto"/>
          <w:sz w:val="21"/>
        </w:rPr>
      </w:pPr>
      <w:r>
        <w:rPr>
          <w:rFonts w:hint="eastAsia" w:ascii="仿宋" w:hAnsi="仿宋" w:eastAsia="仿宋" w:cs="仿宋"/>
          <w:b/>
          <w:color w:val="auto"/>
          <w:sz w:val="21"/>
        </w:rPr>
        <w:t>第十三条  货物包装、发运及运输</w:t>
      </w:r>
    </w:p>
    <w:p w14:paraId="29506866">
      <w:pPr>
        <w:pStyle w:val="26"/>
        <w:snapToGrid w:val="0"/>
        <w:spacing w:line="420" w:lineRule="exact"/>
        <w:ind w:firstLine="420" w:firstLineChars="200"/>
        <w:rPr>
          <w:rFonts w:ascii="仿宋" w:hAnsi="仿宋" w:eastAsia="仿宋" w:cs="仿宋"/>
          <w:color w:val="auto"/>
          <w:sz w:val="21"/>
        </w:rPr>
      </w:pPr>
      <w:r>
        <w:rPr>
          <w:rFonts w:hint="eastAsia" w:ascii="仿宋" w:hAnsi="仿宋" w:eastAsia="仿宋" w:cs="仿宋"/>
          <w:color w:val="auto"/>
          <w:sz w:val="21"/>
        </w:rPr>
        <w:t>1.乙方应在货物发运前对其进行满足运输距离、防潮、防震、防锈和防破损装卸等要求包装，以保证货物安全运达甲方指定地点。</w:t>
      </w:r>
    </w:p>
    <w:p w14:paraId="64E3021A">
      <w:pPr>
        <w:pStyle w:val="26"/>
        <w:snapToGrid w:val="0"/>
        <w:spacing w:line="420" w:lineRule="exact"/>
        <w:ind w:firstLine="420" w:firstLineChars="200"/>
        <w:rPr>
          <w:rFonts w:ascii="仿宋" w:hAnsi="仿宋" w:eastAsia="仿宋" w:cs="仿宋"/>
          <w:color w:val="auto"/>
          <w:sz w:val="21"/>
        </w:rPr>
      </w:pPr>
      <w:r>
        <w:rPr>
          <w:rFonts w:hint="eastAsia" w:ascii="仿宋" w:hAnsi="仿宋" w:eastAsia="仿宋" w:cs="仿宋"/>
          <w:color w:val="auto"/>
          <w:sz w:val="21"/>
        </w:rPr>
        <w:t>2. 使用说明书（货物属于进口产品的，供货时应同时附上中文使用说明书）、质量检验证明书、随配附件和工具以及清单一并附于货物包装箱内。</w:t>
      </w:r>
    </w:p>
    <w:p w14:paraId="741D79FC">
      <w:pPr>
        <w:pStyle w:val="26"/>
        <w:snapToGrid w:val="0"/>
        <w:spacing w:line="420" w:lineRule="exact"/>
        <w:ind w:firstLine="420" w:firstLineChars="200"/>
        <w:rPr>
          <w:rFonts w:ascii="仿宋" w:hAnsi="仿宋" w:eastAsia="仿宋" w:cs="仿宋"/>
          <w:color w:val="auto"/>
          <w:sz w:val="21"/>
        </w:rPr>
      </w:pPr>
      <w:r>
        <w:rPr>
          <w:rFonts w:hint="eastAsia" w:ascii="仿宋" w:hAnsi="仿宋" w:eastAsia="仿宋" w:cs="仿宋"/>
          <w:color w:val="auto"/>
          <w:sz w:val="21"/>
        </w:rPr>
        <w:t>3.乙方在货物发运手续办理完毕后二十四小时内或者货到甲方四十八小时前通知甲方，以准备接货。</w:t>
      </w:r>
    </w:p>
    <w:p w14:paraId="773569D0">
      <w:pPr>
        <w:pStyle w:val="26"/>
        <w:snapToGrid w:val="0"/>
        <w:spacing w:line="420" w:lineRule="exact"/>
        <w:ind w:firstLine="420" w:firstLineChars="200"/>
        <w:rPr>
          <w:rFonts w:ascii="仿宋" w:hAnsi="仿宋" w:eastAsia="仿宋" w:cs="仿宋"/>
          <w:color w:val="auto"/>
          <w:sz w:val="21"/>
        </w:rPr>
      </w:pPr>
      <w:r>
        <w:rPr>
          <w:rFonts w:hint="eastAsia" w:ascii="仿宋" w:hAnsi="仿宋" w:eastAsia="仿宋" w:cs="仿宋"/>
          <w:color w:val="auto"/>
          <w:sz w:val="21"/>
        </w:rPr>
        <w:t>4.货物在交付甲方前发生的风险均由乙方承担。</w:t>
      </w:r>
    </w:p>
    <w:p w14:paraId="178E00E1">
      <w:pPr>
        <w:pStyle w:val="26"/>
        <w:snapToGrid w:val="0"/>
        <w:spacing w:line="420" w:lineRule="exact"/>
        <w:ind w:firstLine="420" w:firstLineChars="200"/>
        <w:rPr>
          <w:rFonts w:ascii="仿宋" w:hAnsi="仿宋" w:eastAsia="仿宋" w:cs="仿宋"/>
          <w:color w:val="auto"/>
          <w:sz w:val="21"/>
        </w:rPr>
      </w:pPr>
      <w:r>
        <w:rPr>
          <w:rFonts w:hint="eastAsia" w:ascii="仿宋" w:hAnsi="仿宋" w:eastAsia="仿宋" w:cs="仿宋"/>
          <w:color w:val="auto"/>
          <w:sz w:val="21"/>
        </w:rPr>
        <w:t>5.货物在规</w:t>
      </w:r>
      <w:r>
        <w:rPr>
          <w:rFonts w:hint="eastAsia" w:ascii="仿宋" w:hAnsi="仿宋" w:eastAsia="仿宋" w:cs="仿宋"/>
          <w:color w:val="auto"/>
          <w:spacing w:val="-8"/>
          <w:sz w:val="21"/>
        </w:rPr>
        <w:t>定的交付期限内由乙方送达甲方指定的地点并完成签收后视为交付，乙方同时需通知甲方货物已送达。</w:t>
      </w:r>
    </w:p>
    <w:p w14:paraId="5B5D0F87">
      <w:pPr>
        <w:snapToGrid w:val="0"/>
        <w:spacing w:line="420" w:lineRule="exact"/>
        <w:ind w:firstLine="422" w:firstLineChars="200"/>
        <w:rPr>
          <w:rFonts w:ascii="仿宋" w:hAnsi="仿宋" w:eastAsia="仿宋" w:cs="仿宋"/>
          <w:b/>
          <w:color w:val="auto"/>
          <w:szCs w:val="21"/>
        </w:rPr>
      </w:pPr>
      <w:r>
        <w:rPr>
          <w:rFonts w:hint="eastAsia" w:ascii="仿宋" w:hAnsi="仿宋" w:eastAsia="仿宋" w:cs="仿宋"/>
          <w:b/>
          <w:color w:val="auto"/>
          <w:szCs w:val="21"/>
        </w:rPr>
        <w:t>第十四条　违约责任</w:t>
      </w:r>
    </w:p>
    <w:p w14:paraId="037FC4F2">
      <w:pPr>
        <w:pStyle w:val="26"/>
        <w:snapToGrid w:val="0"/>
        <w:spacing w:line="420" w:lineRule="exact"/>
        <w:ind w:firstLine="420" w:firstLineChars="200"/>
        <w:rPr>
          <w:rFonts w:ascii="仿宋" w:hAnsi="仿宋" w:eastAsia="仿宋" w:cs="仿宋"/>
          <w:color w:val="auto"/>
          <w:sz w:val="21"/>
        </w:rPr>
      </w:pPr>
      <w:r>
        <w:rPr>
          <w:rFonts w:hint="eastAsia" w:ascii="仿宋" w:hAnsi="仿宋" w:eastAsia="仿宋" w:cs="仿宋"/>
          <w:color w:val="auto"/>
          <w:sz w:val="21"/>
        </w:rPr>
        <w:t xml:space="preserve">1.乙方所提供的产品名称、商标品牌、生产厂家、规格型号、技术参数等质量不合格的，应及时更换，更换不及时的按逾期交货处罚；因质量问题甲方不同意接收的或者特殊情况甲方同意接收的，乙方应向甲方支付违约货款额 5%违约金并赔偿甲方损失。                                       </w:t>
      </w:r>
    </w:p>
    <w:p w14:paraId="05728907">
      <w:pPr>
        <w:pStyle w:val="26"/>
        <w:snapToGrid w:val="0"/>
        <w:spacing w:line="420" w:lineRule="exact"/>
        <w:ind w:firstLine="420" w:firstLineChars="200"/>
        <w:rPr>
          <w:rFonts w:ascii="仿宋" w:hAnsi="仿宋" w:eastAsia="仿宋" w:cs="仿宋"/>
          <w:color w:val="auto"/>
          <w:sz w:val="21"/>
        </w:rPr>
      </w:pPr>
      <w:r>
        <w:rPr>
          <w:rFonts w:hint="eastAsia" w:ascii="仿宋" w:hAnsi="仿宋" w:eastAsia="仿宋" w:cs="仿宋"/>
          <w:color w:val="auto"/>
          <w:sz w:val="21"/>
        </w:rPr>
        <w:t>2.乙方提供的货物如侵犯了第三方合法权益而引发的任何纠纷或者诉讼，均由乙方负责交涉并承担全部责任。若甲方因此对第三方承担责任的，甲方有权向乙方追偿。</w:t>
      </w:r>
    </w:p>
    <w:p w14:paraId="0B1AA0C6">
      <w:pPr>
        <w:pStyle w:val="26"/>
        <w:snapToGrid w:val="0"/>
        <w:spacing w:line="420" w:lineRule="exact"/>
        <w:ind w:firstLine="420" w:firstLineChars="200"/>
        <w:rPr>
          <w:rFonts w:ascii="仿宋" w:hAnsi="仿宋" w:eastAsia="仿宋" w:cs="仿宋"/>
          <w:color w:val="auto"/>
          <w:sz w:val="21"/>
        </w:rPr>
      </w:pPr>
      <w:r>
        <w:rPr>
          <w:rFonts w:hint="eastAsia" w:ascii="仿宋" w:hAnsi="仿宋" w:eastAsia="仿宋" w:cs="仿宋"/>
          <w:color w:val="auto"/>
          <w:sz w:val="21"/>
        </w:rPr>
        <w:t>3.因包装、运输引起的货物损坏，按质量不合格处罚。</w:t>
      </w:r>
    </w:p>
    <w:p w14:paraId="6ADAF846">
      <w:pPr>
        <w:pStyle w:val="26"/>
        <w:snapToGrid w:val="0"/>
        <w:spacing w:line="420" w:lineRule="exact"/>
        <w:ind w:firstLine="420" w:firstLineChars="200"/>
        <w:rPr>
          <w:rFonts w:ascii="仿宋" w:hAnsi="仿宋" w:eastAsia="仿宋" w:cs="仿宋"/>
          <w:color w:val="auto"/>
          <w:sz w:val="21"/>
        </w:rPr>
      </w:pPr>
      <w:r>
        <w:rPr>
          <w:rFonts w:hint="eastAsia" w:ascii="仿宋" w:hAnsi="仿宋" w:eastAsia="仿宋" w:cs="仿宋"/>
          <w:color w:val="auto"/>
          <w:sz w:val="21"/>
        </w:rPr>
        <w:t>4.甲方无故延期接收货物、乙方逾期交货的，每天向对方偿付违约货款额3‰违约金，但违约金累计不得超过违约货款额5%，超过</w:t>
      </w:r>
      <w:r>
        <w:rPr>
          <w:rFonts w:hint="eastAsia" w:ascii="仿宋" w:hAnsi="仿宋" w:eastAsia="仿宋" w:cs="仿宋"/>
          <w:color w:val="auto"/>
          <w:sz w:val="21"/>
          <w:u w:val="single"/>
        </w:rPr>
        <w:t>20</w:t>
      </w:r>
      <w:r>
        <w:rPr>
          <w:rFonts w:hint="eastAsia" w:ascii="仿宋" w:hAnsi="仿宋" w:eastAsia="仿宋" w:cs="仿宋"/>
          <w:color w:val="auto"/>
          <w:sz w:val="21"/>
        </w:rPr>
        <w:t>天对方有权解除合同，违约方承担因此给对方造成经济损失；甲方延期</w:t>
      </w:r>
      <w:r>
        <w:rPr>
          <w:rFonts w:hint="eastAsia" w:ascii="仿宋" w:hAnsi="仿宋" w:eastAsia="仿宋" w:cs="仿宋"/>
          <w:color w:val="auto"/>
          <w:sz w:val="21"/>
          <w:lang w:eastAsia="zh"/>
          <w:woUserID w:val="1"/>
        </w:rPr>
        <w:t>支</w:t>
      </w:r>
      <w:r>
        <w:rPr>
          <w:rFonts w:hint="eastAsia" w:ascii="仿宋" w:hAnsi="仿宋" w:eastAsia="仿宋" w:cs="仿宋"/>
          <w:color w:val="auto"/>
          <w:sz w:val="21"/>
        </w:rPr>
        <w:t>付货款的，每天向乙方偿付延期货款额3‰违约金，但</w:t>
      </w:r>
      <w:r>
        <w:rPr>
          <w:rFonts w:hint="eastAsia" w:ascii="仿宋" w:hAnsi="仿宋" w:eastAsia="仿宋" w:cs="仿宋"/>
          <w:color w:val="auto"/>
          <w:sz w:val="21"/>
          <w:lang w:eastAsia="zh"/>
          <w:woUserID w:val="1"/>
        </w:rPr>
        <w:t>违约</w:t>
      </w:r>
      <w:r>
        <w:rPr>
          <w:rFonts w:hint="eastAsia" w:ascii="仿宋" w:hAnsi="仿宋" w:eastAsia="仿宋" w:cs="仿宋"/>
          <w:color w:val="auto"/>
          <w:sz w:val="21"/>
        </w:rPr>
        <w:t>金累计不得超过延期货款额5%。</w:t>
      </w:r>
    </w:p>
    <w:p w14:paraId="106F3753">
      <w:pPr>
        <w:pStyle w:val="26"/>
        <w:snapToGrid w:val="0"/>
        <w:spacing w:line="420" w:lineRule="exact"/>
        <w:ind w:firstLine="420" w:firstLineChars="200"/>
        <w:rPr>
          <w:rFonts w:ascii="仿宋" w:hAnsi="仿宋" w:eastAsia="仿宋" w:cs="仿宋"/>
          <w:color w:val="auto"/>
          <w:sz w:val="21"/>
        </w:rPr>
      </w:pPr>
      <w:r>
        <w:rPr>
          <w:rFonts w:hint="eastAsia" w:ascii="仿宋" w:hAnsi="仿宋" w:eastAsia="仿宋" w:cs="仿宋"/>
          <w:color w:val="auto"/>
          <w:sz w:val="21"/>
        </w:rPr>
        <w:t>5. 乙方未按本合同和投标文件中规定的服务承诺提供售后服务的，乙方应按本合同合计金额 5%向甲方支付违约金。</w:t>
      </w:r>
    </w:p>
    <w:p w14:paraId="4B5FF1D1">
      <w:pPr>
        <w:pStyle w:val="26"/>
        <w:snapToGrid w:val="0"/>
        <w:spacing w:line="420" w:lineRule="exact"/>
        <w:ind w:firstLine="420" w:firstLineChars="200"/>
        <w:rPr>
          <w:rFonts w:ascii="仿宋" w:hAnsi="仿宋" w:eastAsia="仿宋" w:cs="仿宋"/>
          <w:color w:val="auto"/>
          <w:sz w:val="21"/>
        </w:rPr>
      </w:pPr>
      <w:bookmarkStart w:id="144" w:name="line077"/>
      <w:r>
        <w:rPr>
          <w:rFonts w:hint="eastAsia" w:ascii="仿宋" w:hAnsi="仿宋" w:eastAsia="仿宋" w:cs="仿宋"/>
          <w:color w:val="auto"/>
          <w:sz w:val="21"/>
        </w:rPr>
        <w:t>6. 乙方提供的货物在质量保证期内，因设计、工艺或者材料的缺陷和</w:t>
      </w:r>
      <w:r>
        <w:rPr>
          <w:rFonts w:hint="eastAsia" w:ascii="仿宋" w:hAnsi="仿宋" w:eastAsia="仿宋" w:cs="仿宋"/>
          <w:color w:val="auto"/>
          <w:sz w:val="21"/>
          <w:lang w:eastAsia="zh-CN"/>
        </w:rPr>
        <w:t>其他</w:t>
      </w:r>
      <w:r>
        <w:rPr>
          <w:rFonts w:hint="eastAsia" w:ascii="仿宋" w:hAnsi="仿宋" w:eastAsia="仿宋" w:cs="仿宋"/>
          <w:color w:val="auto"/>
          <w:sz w:val="21"/>
        </w:rPr>
        <w:t>质量原因造成的问题，由乙方负责，费用从余款或者履约保证金中扣除，不足另补。</w:t>
      </w:r>
    </w:p>
    <w:bookmarkEnd w:id="144"/>
    <w:p w14:paraId="7A78BBC8">
      <w:pPr>
        <w:pStyle w:val="26"/>
        <w:snapToGrid w:val="0"/>
        <w:spacing w:line="420" w:lineRule="exact"/>
        <w:ind w:firstLine="420" w:firstLineChars="200"/>
        <w:rPr>
          <w:rFonts w:ascii="仿宋" w:hAnsi="仿宋" w:eastAsia="仿宋" w:cs="仿宋"/>
          <w:color w:val="auto"/>
          <w:sz w:val="21"/>
        </w:rPr>
      </w:pPr>
      <w:r>
        <w:rPr>
          <w:rFonts w:hint="eastAsia" w:ascii="仿宋" w:hAnsi="仿宋" w:eastAsia="仿宋" w:cs="仿宋"/>
          <w:color w:val="auto"/>
          <w:sz w:val="21"/>
        </w:rPr>
        <w:t>7. 甲乙双方有</w:t>
      </w:r>
      <w:r>
        <w:rPr>
          <w:rFonts w:hint="eastAsia" w:ascii="仿宋" w:hAnsi="仿宋" w:eastAsia="仿宋" w:cs="仿宋"/>
          <w:color w:val="auto"/>
          <w:sz w:val="21"/>
          <w:lang w:eastAsia="zh-CN"/>
        </w:rPr>
        <w:t>其他</w:t>
      </w:r>
      <w:r>
        <w:rPr>
          <w:rFonts w:hint="eastAsia" w:ascii="仿宋" w:hAnsi="仿宋" w:eastAsia="仿宋" w:cs="仿宋"/>
          <w:color w:val="auto"/>
          <w:sz w:val="21"/>
        </w:rPr>
        <w:t>违约行为的，由违约方向对方支付违约内容涉及货款额的5%，违约内容涉及货款额的5%不足以赔偿经济损失的按实际赔偿。</w:t>
      </w:r>
    </w:p>
    <w:p w14:paraId="1D152912">
      <w:pPr>
        <w:pStyle w:val="26"/>
        <w:snapToGrid w:val="0"/>
        <w:spacing w:line="420" w:lineRule="exact"/>
        <w:ind w:firstLine="413" w:firstLineChars="196"/>
        <w:rPr>
          <w:rFonts w:ascii="仿宋" w:hAnsi="仿宋" w:eastAsia="仿宋" w:cs="仿宋"/>
          <w:b/>
          <w:color w:val="auto"/>
          <w:sz w:val="21"/>
        </w:rPr>
      </w:pPr>
      <w:r>
        <w:rPr>
          <w:rFonts w:hint="eastAsia" w:ascii="仿宋" w:hAnsi="仿宋" w:eastAsia="仿宋" w:cs="仿宋"/>
          <w:b/>
          <w:color w:val="auto"/>
          <w:sz w:val="21"/>
        </w:rPr>
        <w:t>第十五条  不可抗力事件处理</w:t>
      </w:r>
    </w:p>
    <w:p w14:paraId="2C6163C0">
      <w:pPr>
        <w:pStyle w:val="26"/>
        <w:snapToGrid w:val="0"/>
        <w:spacing w:line="420" w:lineRule="exact"/>
        <w:ind w:firstLine="420" w:firstLineChars="200"/>
        <w:rPr>
          <w:rFonts w:ascii="仿宋" w:hAnsi="仿宋" w:eastAsia="仿宋" w:cs="仿宋"/>
          <w:color w:val="auto"/>
          <w:sz w:val="21"/>
        </w:rPr>
      </w:pPr>
      <w:r>
        <w:rPr>
          <w:rFonts w:hint="eastAsia" w:ascii="仿宋" w:hAnsi="仿宋" w:eastAsia="仿宋" w:cs="仿宋"/>
          <w:color w:val="auto"/>
          <w:sz w:val="21"/>
        </w:rPr>
        <w:t>1.在合同有效期内，任何一方因不可抗力事件导致不能履行合同，则合同履行期可延长，其延长期与不可抗力影响期相同。</w:t>
      </w:r>
    </w:p>
    <w:p w14:paraId="74C99B6B">
      <w:pPr>
        <w:pStyle w:val="26"/>
        <w:snapToGrid w:val="0"/>
        <w:spacing w:line="420" w:lineRule="exact"/>
        <w:ind w:firstLine="420" w:firstLineChars="200"/>
        <w:rPr>
          <w:rFonts w:ascii="仿宋" w:hAnsi="仿宋" w:eastAsia="仿宋" w:cs="仿宋"/>
          <w:color w:val="auto"/>
          <w:sz w:val="21"/>
        </w:rPr>
      </w:pPr>
      <w:r>
        <w:rPr>
          <w:rFonts w:hint="eastAsia" w:ascii="仿宋" w:hAnsi="仿宋" w:eastAsia="仿宋" w:cs="仿宋"/>
          <w:color w:val="auto"/>
          <w:sz w:val="21"/>
        </w:rPr>
        <w:t>2.不可抗力事件发生后，应立即通知对方，并寄送有关权威机构出具的证明。</w:t>
      </w:r>
    </w:p>
    <w:p w14:paraId="50E53E85">
      <w:pPr>
        <w:snapToGrid w:val="0"/>
        <w:spacing w:line="420" w:lineRule="exact"/>
        <w:ind w:firstLine="420" w:firstLineChars="200"/>
        <w:rPr>
          <w:rFonts w:ascii="仿宋" w:hAnsi="仿宋" w:eastAsia="仿宋" w:cs="仿宋"/>
          <w:color w:val="auto"/>
          <w:szCs w:val="21"/>
        </w:rPr>
      </w:pPr>
      <w:r>
        <w:rPr>
          <w:rFonts w:hint="eastAsia" w:ascii="仿宋" w:hAnsi="仿宋" w:eastAsia="仿宋" w:cs="仿宋"/>
          <w:color w:val="auto"/>
          <w:szCs w:val="21"/>
        </w:rPr>
        <w:t>3.不可抗力事件延续一百二十天以上，双方应通过友好协商，确定是否继续履行合同。</w:t>
      </w:r>
    </w:p>
    <w:p w14:paraId="4140DA00">
      <w:pPr>
        <w:snapToGrid w:val="0"/>
        <w:spacing w:line="420" w:lineRule="exact"/>
        <w:ind w:firstLine="422" w:firstLineChars="200"/>
        <w:rPr>
          <w:rFonts w:ascii="仿宋" w:hAnsi="仿宋" w:eastAsia="仿宋" w:cs="仿宋"/>
          <w:color w:val="auto"/>
          <w:szCs w:val="21"/>
        </w:rPr>
      </w:pPr>
      <w:r>
        <w:rPr>
          <w:rFonts w:hint="eastAsia" w:ascii="仿宋" w:hAnsi="仿宋" w:eastAsia="仿宋" w:cs="仿宋"/>
          <w:b/>
          <w:color w:val="auto"/>
          <w:szCs w:val="21"/>
        </w:rPr>
        <w:t>第十六条  合同争议解决</w:t>
      </w:r>
    </w:p>
    <w:p w14:paraId="79334A21">
      <w:pPr>
        <w:snapToGrid w:val="0"/>
        <w:spacing w:line="420" w:lineRule="exact"/>
        <w:ind w:firstLine="420" w:firstLineChars="200"/>
        <w:rPr>
          <w:rFonts w:ascii="仿宋" w:hAnsi="仿宋" w:eastAsia="仿宋" w:cs="仿宋"/>
          <w:color w:val="auto"/>
          <w:szCs w:val="21"/>
        </w:rPr>
      </w:pPr>
      <w:r>
        <w:rPr>
          <w:rFonts w:hint="eastAsia" w:ascii="仿宋" w:hAnsi="仿宋" w:eastAsia="仿宋" w:cs="仿宋"/>
          <w:color w:val="auto"/>
          <w:szCs w:val="21"/>
        </w:rPr>
        <w:t>1. 因货物质量问题发生争议的，应邀请国家认可的质量检测机构对货物质量进行鉴定。货物符合标准的，鉴定费由甲方承担；货物不符合标准的，鉴定费由乙方承担。</w:t>
      </w:r>
    </w:p>
    <w:p w14:paraId="169EF109">
      <w:pPr>
        <w:snapToGrid w:val="0"/>
        <w:spacing w:line="420" w:lineRule="exact"/>
        <w:ind w:firstLine="420" w:firstLineChars="200"/>
        <w:rPr>
          <w:rFonts w:ascii="仿宋" w:hAnsi="仿宋" w:eastAsia="仿宋" w:cs="仿宋"/>
          <w:color w:val="auto"/>
          <w:szCs w:val="21"/>
        </w:rPr>
      </w:pPr>
      <w:r>
        <w:rPr>
          <w:rFonts w:hint="eastAsia" w:ascii="仿宋" w:hAnsi="仿宋" w:eastAsia="仿宋" w:cs="仿宋"/>
          <w:color w:val="auto"/>
          <w:szCs w:val="21"/>
        </w:rPr>
        <w:t>2. 因履行本合同引起的或者与本合同有关的争议，甲乙双方应首先通过友好协商解决，如果协商不能解决，可向甲方所在地有管辖权的人民法院提起诉讼。</w:t>
      </w:r>
    </w:p>
    <w:p w14:paraId="0860456C">
      <w:pPr>
        <w:snapToGrid w:val="0"/>
        <w:spacing w:line="420" w:lineRule="exact"/>
        <w:ind w:firstLine="514"/>
        <w:rPr>
          <w:rFonts w:ascii="仿宋" w:hAnsi="仿宋" w:eastAsia="仿宋" w:cs="仿宋"/>
          <w:color w:val="auto"/>
          <w:szCs w:val="21"/>
        </w:rPr>
      </w:pPr>
      <w:r>
        <w:rPr>
          <w:rFonts w:hint="eastAsia" w:ascii="仿宋" w:hAnsi="仿宋" w:eastAsia="仿宋" w:cs="仿宋"/>
          <w:color w:val="auto"/>
          <w:szCs w:val="21"/>
        </w:rPr>
        <w:t>3.诉讼期间，本合同继续履行。</w:t>
      </w:r>
    </w:p>
    <w:p w14:paraId="5C0AA8D3">
      <w:pPr>
        <w:pStyle w:val="26"/>
        <w:snapToGrid w:val="0"/>
        <w:spacing w:line="420" w:lineRule="exact"/>
        <w:ind w:firstLine="413" w:firstLineChars="196"/>
        <w:rPr>
          <w:rFonts w:ascii="仿宋" w:hAnsi="仿宋" w:eastAsia="仿宋" w:cs="仿宋"/>
          <w:b/>
          <w:color w:val="auto"/>
          <w:sz w:val="21"/>
        </w:rPr>
      </w:pPr>
      <w:r>
        <w:rPr>
          <w:rFonts w:hint="eastAsia" w:ascii="仿宋" w:hAnsi="仿宋" w:eastAsia="仿宋" w:cs="仿宋"/>
          <w:b/>
          <w:color w:val="auto"/>
          <w:sz w:val="21"/>
        </w:rPr>
        <w:t>第十七条  合同生效及其它</w:t>
      </w:r>
    </w:p>
    <w:p w14:paraId="3AD4BBAE">
      <w:pPr>
        <w:pStyle w:val="26"/>
        <w:snapToGrid w:val="0"/>
        <w:spacing w:line="420" w:lineRule="exact"/>
        <w:ind w:firstLine="420" w:firstLineChars="200"/>
        <w:rPr>
          <w:rFonts w:ascii="仿宋" w:hAnsi="仿宋" w:eastAsia="仿宋" w:cs="仿宋"/>
          <w:color w:val="auto"/>
          <w:kern w:val="2"/>
          <w:sz w:val="21"/>
        </w:rPr>
      </w:pPr>
      <w:r>
        <w:rPr>
          <w:rFonts w:hint="eastAsia" w:ascii="仿宋" w:hAnsi="仿宋" w:eastAsia="仿宋" w:cs="仿宋"/>
          <w:color w:val="auto"/>
          <w:kern w:val="2"/>
          <w:sz w:val="21"/>
        </w:rPr>
        <w:t>1. 合同经双方法定代表人或者委托代理人签字并加盖单位公章后生效（委托代理人签字的需后附授权委托书，格式自拟）。</w:t>
      </w:r>
    </w:p>
    <w:p w14:paraId="7FA086A5">
      <w:pPr>
        <w:pStyle w:val="26"/>
        <w:snapToGrid w:val="0"/>
        <w:spacing w:line="420" w:lineRule="exact"/>
        <w:ind w:firstLine="420" w:firstLineChars="200"/>
        <w:rPr>
          <w:rFonts w:ascii="仿宋" w:hAnsi="仿宋" w:eastAsia="仿宋" w:cs="仿宋"/>
          <w:color w:val="auto"/>
          <w:kern w:val="2"/>
          <w:sz w:val="21"/>
        </w:rPr>
      </w:pPr>
      <w:bookmarkStart w:id="145" w:name="line089"/>
      <w:r>
        <w:rPr>
          <w:rFonts w:hint="eastAsia" w:ascii="仿宋" w:hAnsi="仿宋" w:eastAsia="仿宋" w:cs="仿宋"/>
          <w:color w:val="auto"/>
          <w:kern w:val="2"/>
          <w:sz w:val="21"/>
        </w:rPr>
        <w:t>2.合同执行中涉及采购资金和采购内容修改或者补充的，须经财政部门审批，并</w:t>
      </w:r>
      <w:r>
        <w:rPr>
          <w:rFonts w:hint="eastAsia" w:ascii="仿宋" w:hAnsi="仿宋" w:eastAsia="仿宋" w:cs="仿宋"/>
          <w:color w:val="auto"/>
          <w:kern w:val="2"/>
          <w:sz w:val="21"/>
          <w:lang w:eastAsia="zh-CN"/>
        </w:rPr>
        <w:t>签订</w:t>
      </w:r>
      <w:r>
        <w:rPr>
          <w:rFonts w:hint="eastAsia" w:ascii="仿宋" w:hAnsi="仿宋" w:eastAsia="仿宋" w:cs="仿宋"/>
          <w:color w:val="auto"/>
          <w:kern w:val="2"/>
          <w:sz w:val="21"/>
        </w:rPr>
        <w:t>书面补充协议报财政部门备案，方可作为主合同不可分割的一部分。</w:t>
      </w:r>
      <w:bookmarkEnd w:id="145"/>
    </w:p>
    <w:p w14:paraId="0ABEAAE8">
      <w:pPr>
        <w:pStyle w:val="26"/>
        <w:snapToGrid w:val="0"/>
        <w:spacing w:line="420" w:lineRule="exact"/>
        <w:ind w:firstLine="420" w:firstLineChars="200"/>
        <w:rPr>
          <w:rFonts w:ascii="仿宋" w:hAnsi="仿宋" w:eastAsia="仿宋" w:cs="仿宋"/>
          <w:color w:val="auto"/>
          <w:kern w:val="2"/>
          <w:sz w:val="21"/>
        </w:rPr>
      </w:pPr>
      <w:r>
        <w:rPr>
          <w:rFonts w:hint="eastAsia" w:ascii="仿宋" w:hAnsi="仿宋" w:eastAsia="仿宋" w:cs="仿宋"/>
          <w:color w:val="auto"/>
          <w:kern w:val="2"/>
          <w:sz w:val="21"/>
        </w:rPr>
        <w:t>3.本合同未尽事宜，遵照《中华人民共和国民法典》有关条文执行。</w:t>
      </w:r>
    </w:p>
    <w:p w14:paraId="423FC43D">
      <w:pPr>
        <w:snapToGrid w:val="0"/>
        <w:spacing w:line="420" w:lineRule="exact"/>
        <w:ind w:firstLine="422" w:firstLineChars="200"/>
        <w:rPr>
          <w:rFonts w:ascii="仿宋" w:hAnsi="仿宋" w:eastAsia="仿宋" w:cs="仿宋"/>
          <w:b/>
          <w:color w:val="auto"/>
          <w:szCs w:val="21"/>
        </w:rPr>
      </w:pPr>
      <w:r>
        <w:rPr>
          <w:rFonts w:hint="eastAsia" w:ascii="仿宋" w:hAnsi="仿宋" w:eastAsia="仿宋" w:cs="仿宋"/>
          <w:b/>
          <w:color w:val="auto"/>
          <w:szCs w:val="21"/>
        </w:rPr>
        <w:t>第十八条　合同的变更、终止与转让</w:t>
      </w:r>
    </w:p>
    <w:p w14:paraId="47BB2972">
      <w:pPr>
        <w:snapToGrid w:val="0"/>
        <w:spacing w:line="420" w:lineRule="exact"/>
        <w:ind w:firstLine="420" w:firstLineChars="200"/>
        <w:rPr>
          <w:rFonts w:ascii="仿宋" w:hAnsi="仿宋" w:eastAsia="仿宋" w:cs="仿宋"/>
          <w:color w:val="auto"/>
          <w:szCs w:val="21"/>
        </w:rPr>
      </w:pPr>
      <w:r>
        <w:rPr>
          <w:rFonts w:hint="eastAsia" w:ascii="仿宋" w:hAnsi="仿宋" w:eastAsia="仿宋" w:cs="仿宋"/>
          <w:color w:val="auto"/>
          <w:szCs w:val="21"/>
        </w:rPr>
        <w:t>1. 除《中华人民共和国政府采购法》第五十条规定的情形外，本合同一经签订，甲乙双方不得擅自变更、中止或者终止。</w:t>
      </w:r>
    </w:p>
    <w:p w14:paraId="3F601161">
      <w:pPr>
        <w:snapToGrid w:val="0"/>
        <w:spacing w:line="420" w:lineRule="exact"/>
        <w:ind w:firstLine="514"/>
        <w:rPr>
          <w:rFonts w:ascii="仿宋" w:hAnsi="仿宋" w:eastAsia="仿宋" w:cs="仿宋"/>
          <w:color w:val="auto"/>
          <w:szCs w:val="21"/>
        </w:rPr>
      </w:pPr>
      <w:r>
        <w:rPr>
          <w:rFonts w:hint="eastAsia" w:ascii="仿宋" w:hAnsi="仿宋" w:eastAsia="仿宋" w:cs="仿宋"/>
          <w:color w:val="auto"/>
          <w:szCs w:val="21"/>
        </w:rPr>
        <w:t>2. 乙方不得擅自转让（无进口资格的供应商委托进口货物除外）其应履行的合同义务。</w:t>
      </w:r>
    </w:p>
    <w:p w14:paraId="003B4B65">
      <w:pPr>
        <w:snapToGrid w:val="0"/>
        <w:spacing w:line="420" w:lineRule="exact"/>
        <w:ind w:firstLine="422" w:firstLineChars="200"/>
        <w:rPr>
          <w:rFonts w:ascii="仿宋" w:hAnsi="仿宋" w:eastAsia="仿宋" w:cs="仿宋"/>
          <w:b/>
          <w:color w:val="auto"/>
          <w:szCs w:val="21"/>
        </w:rPr>
      </w:pPr>
      <w:r>
        <w:rPr>
          <w:rFonts w:hint="eastAsia" w:ascii="仿宋" w:hAnsi="仿宋" w:eastAsia="仿宋" w:cs="仿宋"/>
          <w:b/>
          <w:color w:val="auto"/>
          <w:szCs w:val="21"/>
        </w:rPr>
        <w:t>第十九条　</w:t>
      </w:r>
      <w:r>
        <w:rPr>
          <w:rFonts w:hint="eastAsia" w:ascii="仿宋" w:hAnsi="仿宋" w:eastAsia="仿宋" w:cs="仿宋"/>
          <w:color w:val="auto"/>
          <w:spacing w:val="-2"/>
          <w:kern w:val="0"/>
          <w:szCs w:val="21"/>
        </w:rPr>
        <w:t>本</w:t>
      </w:r>
      <w:r>
        <w:rPr>
          <w:rFonts w:hint="eastAsia" w:ascii="仿宋" w:hAnsi="仿宋" w:eastAsia="仿宋" w:cs="仿宋"/>
          <w:color w:val="auto"/>
          <w:kern w:val="0"/>
          <w:szCs w:val="21"/>
        </w:rPr>
        <w:t>合同书</w:t>
      </w:r>
      <w:r>
        <w:rPr>
          <w:rFonts w:hint="eastAsia" w:ascii="仿宋" w:hAnsi="仿宋" w:eastAsia="仿宋" w:cs="仿宋"/>
          <w:color w:val="auto"/>
          <w:spacing w:val="-2"/>
          <w:kern w:val="0"/>
          <w:szCs w:val="21"/>
        </w:rPr>
        <w:t>与</w:t>
      </w:r>
      <w:r>
        <w:rPr>
          <w:rFonts w:hint="eastAsia" w:ascii="仿宋" w:hAnsi="仿宋" w:eastAsia="仿宋" w:cs="仿宋"/>
          <w:color w:val="auto"/>
          <w:kern w:val="0"/>
          <w:szCs w:val="21"/>
        </w:rPr>
        <w:t>下</w:t>
      </w:r>
      <w:r>
        <w:rPr>
          <w:rFonts w:hint="eastAsia" w:ascii="仿宋" w:hAnsi="仿宋" w:eastAsia="仿宋" w:cs="仿宋"/>
          <w:color w:val="auto"/>
          <w:spacing w:val="-2"/>
          <w:kern w:val="0"/>
          <w:szCs w:val="21"/>
        </w:rPr>
        <w:t>列</w:t>
      </w:r>
      <w:r>
        <w:rPr>
          <w:rFonts w:hint="eastAsia" w:ascii="仿宋" w:hAnsi="仿宋" w:eastAsia="仿宋" w:cs="仿宋"/>
          <w:color w:val="auto"/>
          <w:kern w:val="0"/>
          <w:szCs w:val="21"/>
        </w:rPr>
        <w:t>文</w:t>
      </w:r>
      <w:r>
        <w:rPr>
          <w:rFonts w:hint="eastAsia" w:ascii="仿宋" w:hAnsi="仿宋" w:eastAsia="仿宋" w:cs="仿宋"/>
          <w:color w:val="auto"/>
          <w:spacing w:val="-2"/>
          <w:kern w:val="0"/>
          <w:szCs w:val="21"/>
        </w:rPr>
        <w:t>件一</w:t>
      </w:r>
      <w:r>
        <w:rPr>
          <w:rFonts w:hint="eastAsia" w:ascii="仿宋" w:hAnsi="仿宋" w:eastAsia="仿宋" w:cs="仿宋"/>
          <w:color w:val="auto"/>
          <w:kern w:val="0"/>
          <w:szCs w:val="21"/>
        </w:rPr>
        <w:t>起构</w:t>
      </w:r>
      <w:r>
        <w:rPr>
          <w:rFonts w:hint="eastAsia" w:ascii="仿宋" w:hAnsi="仿宋" w:eastAsia="仿宋" w:cs="仿宋"/>
          <w:color w:val="auto"/>
          <w:spacing w:val="-2"/>
          <w:kern w:val="0"/>
          <w:szCs w:val="21"/>
        </w:rPr>
        <w:t>成</w:t>
      </w:r>
      <w:r>
        <w:rPr>
          <w:rFonts w:hint="eastAsia" w:ascii="仿宋" w:hAnsi="仿宋" w:eastAsia="仿宋" w:cs="仿宋"/>
          <w:color w:val="auto"/>
          <w:kern w:val="0"/>
          <w:szCs w:val="21"/>
        </w:rPr>
        <w:t>合</w:t>
      </w:r>
      <w:r>
        <w:rPr>
          <w:rFonts w:hint="eastAsia" w:ascii="仿宋" w:hAnsi="仿宋" w:eastAsia="仿宋" w:cs="仿宋"/>
          <w:color w:val="auto"/>
          <w:spacing w:val="-2"/>
          <w:kern w:val="0"/>
          <w:szCs w:val="21"/>
        </w:rPr>
        <w:t>同</w:t>
      </w:r>
      <w:r>
        <w:rPr>
          <w:rFonts w:hint="eastAsia" w:ascii="仿宋" w:hAnsi="仿宋" w:eastAsia="仿宋" w:cs="仿宋"/>
          <w:color w:val="auto"/>
          <w:kern w:val="0"/>
          <w:szCs w:val="21"/>
        </w:rPr>
        <w:t>文</w:t>
      </w:r>
      <w:r>
        <w:rPr>
          <w:rFonts w:hint="eastAsia" w:ascii="仿宋" w:hAnsi="仿宋" w:eastAsia="仿宋" w:cs="仿宋"/>
          <w:color w:val="auto"/>
          <w:spacing w:val="-2"/>
          <w:kern w:val="0"/>
          <w:szCs w:val="21"/>
        </w:rPr>
        <w:t>件</w:t>
      </w:r>
    </w:p>
    <w:p w14:paraId="6C868F4B">
      <w:pPr>
        <w:pStyle w:val="26"/>
        <w:snapToGrid w:val="0"/>
        <w:spacing w:line="420" w:lineRule="exact"/>
        <w:rPr>
          <w:rFonts w:ascii="仿宋" w:hAnsi="仿宋" w:eastAsia="仿宋" w:cs="仿宋"/>
          <w:color w:val="auto"/>
          <w:sz w:val="21"/>
        </w:rPr>
      </w:pPr>
      <w:r>
        <w:rPr>
          <w:rFonts w:hint="eastAsia" w:ascii="仿宋" w:hAnsi="仿宋" w:eastAsia="仿宋" w:cs="仿宋"/>
          <w:color w:val="auto"/>
          <w:sz w:val="21"/>
        </w:rPr>
        <w:t>1.中标通知书；</w:t>
      </w:r>
    </w:p>
    <w:p w14:paraId="754115FB">
      <w:pPr>
        <w:pStyle w:val="26"/>
        <w:snapToGrid w:val="0"/>
        <w:spacing w:line="420" w:lineRule="exact"/>
        <w:rPr>
          <w:rFonts w:ascii="仿宋" w:hAnsi="仿宋" w:eastAsia="仿宋" w:cs="仿宋"/>
          <w:color w:val="auto"/>
          <w:sz w:val="21"/>
        </w:rPr>
      </w:pPr>
      <w:r>
        <w:rPr>
          <w:rFonts w:hint="eastAsia" w:ascii="仿宋" w:hAnsi="仿宋" w:eastAsia="仿宋" w:cs="仿宋"/>
          <w:color w:val="auto"/>
          <w:sz w:val="21"/>
        </w:rPr>
        <w:t>2.投标函；</w:t>
      </w:r>
    </w:p>
    <w:p w14:paraId="116B0815">
      <w:pPr>
        <w:pStyle w:val="26"/>
        <w:snapToGrid w:val="0"/>
        <w:spacing w:line="420" w:lineRule="exact"/>
        <w:rPr>
          <w:rFonts w:ascii="仿宋" w:hAnsi="仿宋" w:eastAsia="仿宋" w:cs="仿宋"/>
          <w:color w:val="auto"/>
          <w:sz w:val="21"/>
        </w:rPr>
      </w:pPr>
      <w:r>
        <w:rPr>
          <w:rFonts w:hint="eastAsia" w:ascii="仿宋" w:hAnsi="仿宋" w:eastAsia="仿宋" w:cs="仿宋"/>
          <w:color w:val="auto"/>
          <w:sz w:val="21"/>
        </w:rPr>
        <w:t>3.商务要求偏离表和技术要求偏离表；</w:t>
      </w:r>
    </w:p>
    <w:p w14:paraId="3B0C7E90">
      <w:pPr>
        <w:pStyle w:val="26"/>
        <w:snapToGrid w:val="0"/>
        <w:spacing w:line="420" w:lineRule="exact"/>
        <w:rPr>
          <w:rFonts w:ascii="仿宋" w:hAnsi="仿宋" w:eastAsia="仿宋" w:cs="仿宋"/>
          <w:color w:val="auto"/>
          <w:sz w:val="21"/>
        </w:rPr>
      </w:pPr>
      <w:r>
        <w:rPr>
          <w:rFonts w:hint="eastAsia" w:ascii="仿宋" w:hAnsi="仿宋" w:eastAsia="仿宋" w:cs="仿宋"/>
          <w:color w:val="auto"/>
          <w:sz w:val="21"/>
        </w:rPr>
        <w:t>4.采购需求；</w:t>
      </w:r>
    </w:p>
    <w:p w14:paraId="08AC5698">
      <w:pPr>
        <w:pStyle w:val="26"/>
        <w:snapToGrid w:val="0"/>
        <w:spacing w:line="420" w:lineRule="exact"/>
        <w:rPr>
          <w:rFonts w:ascii="仿宋" w:hAnsi="仿宋" w:eastAsia="仿宋" w:cs="仿宋"/>
          <w:color w:val="auto"/>
          <w:sz w:val="21"/>
        </w:rPr>
      </w:pPr>
      <w:r>
        <w:rPr>
          <w:rFonts w:hint="eastAsia" w:ascii="仿宋" w:hAnsi="仿宋" w:eastAsia="仿宋" w:cs="仿宋"/>
          <w:color w:val="auto"/>
          <w:sz w:val="21"/>
        </w:rPr>
        <w:t>5.开标一览表；</w:t>
      </w:r>
    </w:p>
    <w:p w14:paraId="405EF9CD">
      <w:pPr>
        <w:pStyle w:val="26"/>
        <w:snapToGrid w:val="0"/>
        <w:spacing w:line="420" w:lineRule="exact"/>
        <w:rPr>
          <w:rFonts w:ascii="仿宋" w:hAnsi="仿宋" w:eastAsia="仿宋" w:cs="仿宋"/>
          <w:color w:val="auto"/>
          <w:sz w:val="21"/>
        </w:rPr>
      </w:pPr>
      <w:r>
        <w:rPr>
          <w:rFonts w:hint="eastAsia" w:ascii="仿宋" w:hAnsi="仿宋" w:eastAsia="仿宋" w:cs="仿宋"/>
          <w:color w:val="auto"/>
          <w:sz w:val="21"/>
        </w:rPr>
        <w:t>6.设备性能配置清单；</w:t>
      </w:r>
    </w:p>
    <w:p w14:paraId="021EE4E3">
      <w:pPr>
        <w:pStyle w:val="26"/>
        <w:snapToGrid w:val="0"/>
        <w:spacing w:line="420" w:lineRule="exact"/>
        <w:rPr>
          <w:rFonts w:ascii="仿宋" w:hAnsi="仿宋" w:eastAsia="仿宋" w:cs="仿宋"/>
          <w:color w:val="auto"/>
          <w:sz w:val="21"/>
        </w:rPr>
      </w:pPr>
      <w:r>
        <w:rPr>
          <w:rFonts w:hint="eastAsia" w:ascii="仿宋" w:hAnsi="仿宋" w:eastAsia="仿宋" w:cs="仿宋"/>
          <w:color w:val="auto"/>
          <w:sz w:val="21"/>
        </w:rPr>
        <w:t>7.其他合同文件。</w:t>
      </w:r>
    </w:p>
    <w:p w14:paraId="77BE334D">
      <w:pPr>
        <w:pStyle w:val="26"/>
        <w:snapToGrid w:val="0"/>
        <w:spacing w:line="420" w:lineRule="exact"/>
        <w:rPr>
          <w:rFonts w:ascii="仿宋" w:hAnsi="仿宋" w:eastAsia="仿宋" w:cs="仿宋"/>
          <w:color w:val="auto"/>
          <w:sz w:val="21"/>
        </w:rPr>
      </w:pPr>
      <w:r>
        <w:rPr>
          <w:rFonts w:hint="eastAsia" w:ascii="仿宋" w:hAnsi="仿宋" w:eastAsia="仿宋" w:cs="仿宋"/>
          <w:color w:val="auto"/>
          <w:sz w:val="21"/>
        </w:rPr>
        <w:t>8.上述合同文件互相补充和解释。如果合同文件之间存在矛盾或者不一致之处，以上述文件 的排列顺序在先者为准。</w:t>
      </w:r>
    </w:p>
    <w:p w14:paraId="5CE4AE97">
      <w:pPr>
        <w:pStyle w:val="6"/>
        <w:spacing w:beforeAutospacing="0" w:afterAutospacing="0" w:line="420" w:lineRule="exact"/>
        <w:ind w:firstLine="211" w:firstLineChars="100"/>
        <w:rPr>
          <w:rFonts w:hint="default" w:ascii="仿宋" w:hAnsi="仿宋" w:eastAsia="仿宋" w:cs="仿宋"/>
          <w:bCs w:val="0"/>
          <w:color w:val="auto"/>
          <w:kern w:val="2"/>
          <w:sz w:val="21"/>
          <w:szCs w:val="21"/>
        </w:rPr>
      </w:pPr>
      <w:r>
        <w:rPr>
          <w:rFonts w:ascii="仿宋" w:hAnsi="仿宋" w:eastAsia="仿宋" w:cs="仿宋"/>
          <w:bCs w:val="0"/>
          <w:color w:val="auto"/>
          <w:kern w:val="2"/>
          <w:sz w:val="21"/>
          <w:szCs w:val="21"/>
        </w:rPr>
        <w:t>第二十条 通知和送达</w:t>
      </w:r>
    </w:p>
    <w:p w14:paraId="74F7A4E0">
      <w:pPr>
        <w:snapToGrid w:val="0"/>
        <w:spacing w:line="420" w:lineRule="exact"/>
        <w:ind w:firstLine="420" w:firstLineChars="200"/>
        <w:rPr>
          <w:rFonts w:ascii="仿宋" w:hAnsi="仿宋" w:eastAsia="仿宋" w:cs="仿宋"/>
          <w:color w:val="auto"/>
          <w:szCs w:val="21"/>
        </w:rPr>
      </w:pPr>
      <w:bookmarkStart w:id="146" w:name="_Toc6698"/>
      <w:bookmarkStart w:id="147" w:name="_Toc3135"/>
      <w:r>
        <w:rPr>
          <w:rFonts w:hint="eastAsia" w:ascii="仿宋" w:hAnsi="仿宋" w:eastAsia="仿宋" w:cs="仿宋"/>
          <w:color w:val="auto"/>
          <w:szCs w:val="21"/>
        </w:rPr>
        <w:t>1.任何一方因履行合同而以合同第一部分尾部所列明的“约定送达地址”为收件地址的所有通知、文件、材料，均视为已向对方当事人送达；任何一方变更上述送达方式或者地址的，应于 5 个工作日内书面通知对方当事人，在对方当事人收到有关变更通知之前，变更前的约定送达方式或者地址仍视为有效。</w:t>
      </w:r>
      <w:bookmarkEnd w:id="146"/>
      <w:bookmarkEnd w:id="147"/>
    </w:p>
    <w:p w14:paraId="209F2C02">
      <w:pPr>
        <w:snapToGrid w:val="0"/>
        <w:spacing w:line="420" w:lineRule="exact"/>
        <w:ind w:firstLine="420" w:firstLineChars="200"/>
        <w:rPr>
          <w:rFonts w:ascii="仿宋" w:hAnsi="仿宋" w:eastAsia="仿宋" w:cs="仿宋"/>
          <w:color w:val="auto"/>
          <w:szCs w:val="21"/>
        </w:rPr>
      </w:pPr>
      <w:bookmarkStart w:id="148" w:name="_Toc23294"/>
      <w:bookmarkStart w:id="149" w:name="_Toc23128"/>
      <w:r>
        <w:rPr>
          <w:rFonts w:hint="eastAsia" w:ascii="仿宋" w:hAnsi="仿宋" w:eastAsia="仿宋" w:cs="仿宋"/>
          <w:color w:val="auto"/>
          <w:szCs w:val="21"/>
        </w:rPr>
        <w:t>2.以当面交付方式送达的，交付之时视为送达；以电子邮件方式送达的，发出电子邮件之时视为送达；以传真方式送达的，发出传真之时视为送达；以邮寄方式送达的，邮件挂号寄出或者交邮之日之次日视为送达。</w:t>
      </w:r>
      <w:bookmarkEnd w:id="148"/>
      <w:bookmarkEnd w:id="149"/>
    </w:p>
    <w:p w14:paraId="56047249">
      <w:pPr>
        <w:snapToGrid w:val="0"/>
        <w:spacing w:line="420" w:lineRule="exact"/>
        <w:ind w:firstLine="422" w:firstLineChars="200"/>
        <w:rPr>
          <w:rFonts w:ascii="仿宋" w:hAnsi="仿宋" w:eastAsia="仿宋" w:cs="仿宋"/>
          <w:color w:val="auto"/>
          <w:szCs w:val="21"/>
        </w:rPr>
      </w:pPr>
      <w:r>
        <w:rPr>
          <w:rFonts w:hint="eastAsia" w:ascii="仿宋" w:hAnsi="仿宋" w:eastAsia="仿宋" w:cs="仿宋"/>
          <w:b/>
          <w:color w:val="auto"/>
          <w:szCs w:val="21"/>
        </w:rPr>
        <w:t>第二十一条　</w:t>
      </w:r>
      <w:r>
        <w:rPr>
          <w:rFonts w:hint="eastAsia" w:ascii="仿宋" w:hAnsi="仿宋" w:eastAsia="仿宋" w:cs="仿宋"/>
          <w:color w:val="auto"/>
          <w:szCs w:val="21"/>
        </w:rPr>
        <w:t>本合同一式五份，具有同等法律效力，甲乙双方各两份，采购代理机构存一份，（可根据需要</w:t>
      </w:r>
      <w:r>
        <w:rPr>
          <w:rFonts w:hint="eastAsia" w:ascii="仿宋" w:hAnsi="仿宋" w:eastAsia="仿宋" w:cs="仿宋"/>
          <w:color w:val="auto"/>
          <w:szCs w:val="21"/>
          <w:lang w:eastAsia="zh-CN"/>
        </w:rPr>
        <w:t>另行</w:t>
      </w:r>
      <w:r>
        <w:rPr>
          <w:rFonts w:hint="eastAsia" w:ascii="仿宋" w:hAnsi="仿宋" w:eastAsia="仿宋" w:cs="仿宋"/>
          <w:color w:val="auto"/>
          <w:szCs w:val="21"/>
        </w:rPr>
        <w:t>增加）。</w:t>
      </w:r>
    </w:p>
    <w:p w14:paraId="2832A376">
      <w:pPr>
        <w:snapToGrid w:val="0"/>
        <w:spacing w:line="420" w:lineRule="exact"/>
        <w:ind w:firstLine="514"/>
        <w:rPr>
          <w:rFonts w:ascii="仿宋" w:hAnsi="仿宋" w:eastAsia="仿宋" w:cs="仿宋"/>
          <w:color w:val="auto"/>
          <w:szCs w:val="21"/>
        </w:rPr>
      </w:pPr>
      <w:bookmarkStart w:id="150" w:name="line107"/>
      <w:r>
        <w:rPr>
          <w:rFonts w:hint="eastAsia" w:ascii="仿宋" w:hAnsi="仿宋" w:eastAsia="仿宋" w:cs="仿宋"/>
          <w:color w:val="auto"/>
          <w:szCs w:val="21"/>
        </w:rPr>
        <w:t>本合同</w:t>
      </w:r>
      <w:r>
        <w:rPr>
          <w:rFonts w:hint="eastAsia" w:ascii="仿宋" w:hAnsi="仿宋" w:eastAsia="仿宋" w:cs="仿宋"/>
          <w:color w:val="auto"/>
          <w:szCs w:val="21"/>
          <w:lang w:val="en-US" w:eastAsia="zh-CN"/>
        </w:rPr>
        <w:t>经</w:t>
      </w:r>
      <w:r>
        <w:rPr>
          <w:rFonts w:hint="eastAsia" w:ascii="仿宋" w:hAnsi="仿宋" w:eastAsia="仿宋" w:cs="仿宋"/>
          <w:color w:val="auto"/>
          <w:szCs w:val="21"/>
        </w:rPr>
        <w:t>甲乙双方签字盖章后生效，自签订之日起七个工作日内，甲方应当将合同副本报同级财政部门备案。</w:t>
      </w:r>
      <w:bookmarkEnd w:id="150"/>
    </w:p>
    <w:p w14:paraId="0B32F694">
      <w:pPr>
        <w:spacing w:line="420" w:lineRule="exact"/>
        <w:ind w:firstLine="420" w:firstLineChars="200"/>
        <w:rPr>
          <w:rFonts w:ascii="仿宋" w:hAnsi="仿宋" w:eastAsia="仿宋" w:cs="仿宋"/>
          <w:color w:val="auto"/>
          <w:szCs w:val="21"/>
        </w:rPr>
      </w:pPr>
      <w:r>
        <w:rPr>
          <w:rFonts w:hint="eastAsia" w:ascii="仿宋" w:hAnsi="仿宋" w:eastAsia="仿宋" w:cs="仿宋"/>
          <w:color w:val="auto"/>
          <w:szCs w:val="21"/>
        </w:rPr>
        <w:t>本合同自签订之日起2个工作日内，甲方应当将采购合同在广西壮族自治区财政厅指定的媒体上公告。</w:t>
      </w:r>
    </w:p>
    <w:p w14:paraId="272EA049">
      <w:pPr>
        <w:snapToGrid w:val="0"/>
        <w:spacing w:line="360" w:lineRule="auto"/>
        <w:rPr>
          <w:rFonts w:ascii="仿宋" w:hAnsi="仿宋" w:eastAsia="仿宋"/>
          <w:color w:val="auto"/>
          <w:szCs w:val="21"/>
        </w:rPr>
      </w:pPr>
    </w:p>
    <w:tbl>
      <w:tblPr>
        <w:tblStyle w:val="47"/>
        <w:tblW w:w="9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33244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16" w:type="dxa"/>
            <w:noWrap/>
            <w:vAlign w:val="center"/>
          </w:tcPr>
          <w:p w14:paraId="6865D05F">
            <w:pPr>
              <w:snapToGrid w:val="0"/>
              <w:spacing w:line="360" w:lineRule="auto"/>
              <w:rPr>
                <w:rFonts w:hint="eastAsia" w:ascii="仿宋" w:hAnsi="仿宋" w:eastAsia="仿宋" w:cs="仿宋"/>
                <w:color w:val="auto"/>
                <w:szCs w:val="21"/>
                <w:lang w:eastAsia="zh-CN"/>
              </w:rPr>
            </w:pPr>
            <w:r>
              <w:rPr>
                <w:rFonts w:hint="eastAsia" w:ascii="仿宋" w:hAnsi="仿宋" w:eastAsia="仿宋" w:cs="仿宋"/>
                <w:color w:val="auto"/>
                <w:szCs w:val="21"/>
              </w:rPr>
              <w:t>甲方（章）</w:t>
            </w:r>
            <w:r>
              <w:rPr>
                <w:rFonts w:hint="eastAsia" w:ascii="仿宋" w:hAnsi="仿宋" w:eastAsia="仿宋" w:cs="仿宋"/>
                <w:color w:val="auto"/>
                <w:szCs w:val="21"/>
                <w:lang w:eastAsia="zh-CN"/>
              </w:rPr>
              <w:t>广西机电工程学校</w:t>
            </w:r>
          </w:p>
          <w:p w14:paraId="729C8F19">
            <w:pPr>
              <w:snapToGrid w:val="0"/>
              <w:spacing w:line="360" w:lineRule="auto"/>
              <w:rPr>
                <w:rFonts w:ascii="仿宋" w:hAnsi="仿宋" w:eastAsia="仿宋" w:cs="仿宋"/>
                <w:color w:val="auto"/>
                <w:szCs w:val="21"/>
              </w:rPr>
            </w:pPr>
          </w:p>
          <w:p w14:paraId="497755A0">
            <w:pPr>
              <w:snapToGrid w:val="0"/>
              <w:spacing w:line="360" w:lineRule="auto"/>
              <w:ind w:firstLine="945" w:firstLineChars="450"/>
              <w:jc w:val="right"/>
              <w:rPr>
                <w:rFonts w:ascii="仿宋" w:hAnsi="仿宋" w:eastAsia="仿宋"/>
                <w:color w:val="auto"/>
                <w:szCs w:val="21"/>
              </w:rPr>
            </w:pPr>
            <w:r>
              <w:rPr>
                <w:rFonts w:hint="eastAsia" w:ascii="仿宋" w:hAnsi="仿宋" w:eastAsia="仿宋" w:cs="仿宋"/>
                <w:color w:val="auto"/>
                <w:szCs w:val="21"/>
              </w:rPr>
              <w:t>年月日</w:t>
            </w:r>
          </w:p>
        </w:tc>
        <w:tc>
          <w:tcPr>
            <w:tcW w:w="4517" w:type="dxa"/>
            <w:noWrap/>
            <w:vAlign w:val="center"/>
          </w:tcPr>
          <w:p w14:paraId="0A274689">
            <w:pPr>
              <w:snapToGrid w:val="0"/>
              <w:spacing w:line="360" w:lineRule="auto"/>
              <w:rPr>
                <w:rFonts w:ascii="仿宋" w:hAnsi="仿宋" w:eastAsia="仿宋"/>
                <w:color w:val="auto"/>
                <w:szCs w:val="21"/>
              </w:rPr>
            </w:pPr>
            <w:r>
              <w:rPr>
                <w:rFonts w:hint="eastAsia" w:ascii="仿宋" w:hAnsi="仿宋" w:eastAsia="仿宋"/>
                <w:color w:val="auto"/>
                <w:szCs w:val="21"/>
              </w:rPr>
              <w:t>乙方（章）</w:t>
            </w:r>
          </w:p>
          <w:p w14:paraId="5AB1572D">
            <w:pPr>
              <w:snapToGrid w:val="0"/>
              <w:spacing w:line="360" w:lineRule="auto"/>
              <w:rPr>
                <w:rFonts w:ascii="仿宋" w:hAnsi="仿宋" w:eastAsia="仿宋"/>
                <w:color w:val="auto"/>
                <w:szCs w:val="21"/>
              </w:rPr>
            </w:pPr>
          </w:p>
          <w:p w14:paraId="217E0852">
            <w:pPr>
              <w:snapToGrid w:val="0"/>
              <w:spacing w:line="360" w:lineRule="auto"/>
              <w:jc w:val="right"/>
              <w:rPr>
                <w:rFonts w:ascii="仿宋" w:hAnsi="仿宋" w:eastAsia="仿宋"/>
                <w:color w:val="auto"/>
                <w:szCs w:val="21"/>
              </w:rPr>
            </w:pPr>
            <w:r>
              <w:rPr>
                <w:rFonts w:hint="eastAsia" w:ascii="仿宋" w:hAnsi="仿宋" w:eastAsia="仿宋"/>
                <w:color w:val="auto"/>
                <w:szCs w:val="21"/>
              </w:rPr>
              <w:t>年月日</w:t>
            </w:r>
          </w:p>
        </w:tc>
      </w:tr>
      <w:tr w14:paraId="6DD37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4516" w:type="dxa"/>
            <w:noWrap/>
            <w:vAlign w:val="center"/>
          </w:tcPr>
          <w:p w14:paraId="45C49D31">
            <w:pPr>
              <w:snapToGrid w:val="0"/>
              <w:spacing w:line="360" w:lineRule="auto"/>
              <w:rPr>
                <w:rFonts w:ascii="仿宋" w:hAnsi="仿宋" w:eastAsia="仿宋"/>
                <w:color w:val="auto"/>
                <w:szCs w:val="21"/>
              </w:rPr>
            </w:pPr>
            <w:r>
              <w:rPr>
                <w:rFonts w:hint="eastAsia" w:ascii="仿宋" w:hAnsi="仿宋" w:eastAsia="仿宋" w:cs="仿宋"/>
                <w:color w:val="auto"/>
                <w:szCs w:val="21"/>
              </w:rPr>
              <w:t>单位地址：南宁市安吉大道16号</w:t>
            </w:r>
          </w:p>
        </w:tc>
        <w:tc>
          <w:tcPr>
            <w:tcW w:w="4517" w:type="dxa"/>
            <w:noWrap/>
            <w:vAlign w:val="center"/>
          </w:tcPr>
          <w:p w14:paraId="53C9BF28">
            <w:pPr>
              <w:snapToGrid w:val="0"/>
              <w:spacing w:line="360" w:lineRule="auto"/>
              <w:rPr>
                <w:rFonts w:ascii="仿宋" w:hAnsi="仿宋" w:eastAsia="仿宋"/>
                <w:color w:val="auto"/>
                <w:szCs w:val="21"/>
              </w:rPr>
            </w:pPr>
            <w:r>
              <w:rPr>
                <w:rFonts w:hint="eastAsia" w:ascii="仿宋" w:hAnsi="仿宋" w:eastAsia="仿宋"/>
                <w:color w:val="auto"/>
                <w:szCs w:val="21"/>
              </w:rPr>
              <w:t>单位地址：</w:t>
            </w:r>
          </w:p>
        </w:tc>
      </w:tr>
      <w:tr w14:paraId="07B9E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4516" w:type="dxa"/>
            <w:noWrap/>
          </w:tcPr>
          <w:p w14:paraId="65E9F943">
            <w:pPr>
              <w:snapToGrid w:val="0"/>
              <w:spacing w:line="360" w:lineRule="auto"/>
              <w:rPr>
                <w:rFonts w:ascii="仿宋" w:hAnsi="仿宋" w:eastAsia="仿宋"/>
                <w:color w:val="auto"/>
                <w:szCs w:val="21"/>
              </w:rPr>
            </w:pPr>
            <w:r>
              <w:rPr>
                <w:rFonts w:hint="eastAsia" w:ascii="仿宋" w:hAnsi="仿宋" w:eastAsia="仿宋" w:cs="仿宋"/>
                <w:color w:val="auto"/>
                <w:szCs w:val="21"/>
              </w:rPr>
              <w:t>法定代表人或者委托代理人：</w:t>
            </w:r>
          </w:p>
        </w:tc>
        <w:tc>
          <w:tcPr>
            <w:tcW w:w="4517" w:type="dxa"/>
            <w:noWrap/>
          </w:tcPr>
          <w:p w14:paraId="6B4ADD59">
            <w:pPr>
              <w:snapToGrid w:val="0"/>
              <w:spacing w:line="360" w:lineRule="auto"/>
              <w:rPr>
                <w:rFonts w:ascii="仿宋" w:hAnsi="仿宋" w:eastAsia="仿宋"/>
                <w:color w:val="auto"/>
                <w:szCs w:val="21"/>
              </w:rPr>
            </w:pPr>
            <w:r>
              <w:rPr>
                <w:rFonts w:hint="eastAsia" w:ascii="仿宋" w:hAnsi="仿宋" w:eastAsia="仿宋"/>
                <w:color w:val="auto"/>
                <w:szCs w:val="21"/>
              </w:rPr>
              <w:t>法定代表人或者委托代理人：</w:t>
            </w:r>
          </w:p>
        </w:tc>
      </w:tr>
      <w:tr w14:paraId="1B7B2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516" w:type="dxa"/>
            <w:noWrap/>
            <w:vAlign w:val="center"/>
          </w:tcPr>
          <w:p w14:paraId="27CB6E59">
            <w:pPr>
              <w:snapToGrid w:val="0"/>
              <w:spacing w:line="360" w:lineRule="auto"/>
              <w:rPr>
                <w:rFonts w:ascii="仿宋" w:hAnsi="仿宋" w:eastAsia="仿宋"/>
                <w:color w:val="auto"/>
                <w:szCs w:val="21"/>
              </w:rPr>
            </w:pPr>
            <w:r>
              <w:rPr>
                <w:rFonts w:hint="eastAsia" w:ascii="仿宋" w:hAnsi="仿宋" w:eastAsia="仿宋" w:cs="仿宋"/>
                <w:color w:val="auto"/>
                <w:szCs w:val="21"/>
              </w:rPr>
              <w:t>电话：</w:t>
            </w:r>
          </w:p>
        </w:tc>
        <w:tc>
          <w:tcPr>
            <w:tcW w:w="4517" w:type="dxa"/>
            <w:noWrap/>
            <w:vAlign w:val="center"/>
          </w:tcPr>
          <w:p w14:paraId="6CA51C39">
            <w:pPr>
              <w:snapToGrid w:val="0"/>
              <w:spacing w:line="360" w:lineRule="auto"/>
              <w:rPr>
                <w:rFonts w:ascii="仿宋" w:hAnsi="仿宋" w:eastAsia="仿宋"/>
                <w:color w:val="auto"/>
                <w:szCs w:val="21"/>
              </w:rPr>
            </w:pPr>
            <w:r>
              <w:rPr>
                <w:rFonts w:hint="eastAsia" w:ascii="仿宋" w:hAnsi="仿宋" w:eastAsia="仿宋"/>
                <w:color w:val="auto"/>
                <w:szCs w:val="21"/>
              </w:rPr>
              <w:t>电话：</w:t>
            </w:r>
          </w:p>
        </w:tc>
      </w:tr>
      <w:tr w14:paraId="5DC2A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4516" w:type="dxa"/>
            <w:noWrap/>
            <w:vAlign w:val="center"/>
          </w:tcPr>
          <w:p w14:paraId="042AC1D5">
            <w:pPr>
              <w:snapToGrid w:val="0"/>
              <w:spacing w:line="360" w:lineRule="auto"/>
              <w:rPr>
                <w:rFonts w:ascii="仿宋" w:hAnsi="仿宋" w:eastAsia="仿宋" w:cs="仿宋"/>
                <w:color w:val="auto"/>
                <w:szCs w:val="21"/>
              </w:rPr>
            </w:pPr>
            <w:r>
              <w:rPr>
                <w:rFonts w:hint="eastAsia" w:ascii="仿宋" w:hAnsi="仿宋" w:eastAsia="仿宋"/>
                <w:color w:val="auto"/>
                <w:szCs w:val="21"/>
              </w:rPr>
              <w:t>约定送达地址：</w:t>
            </w:r>
          </w:p>
        </w:tc>
        <w:tc>
          <w:tcPr>
            <w:tcW w:w="4517" w:type="dxa"/>
            <w:noWrap/>
            <w:vAlign w:val="center"/>
          </w:tcPr>
          <w:p w14:paraId="688C2BFA">
            <w:pPr>
              <w:snapToGrid w:val="0"/>
              <w:spacing w:line="360" w:lineRule="auto"/>
              <w:rPr>
                <w:rFonts w:ascii="仿宋" w:hAnsi="仿宋" w:eastAsia="仿宋"/>
                <w:color w:val="auto"/>
                <w:szCs w:val="21"/>
              </w:rPr>
            </w:pPr>
            <w:r>
              <w:rPr>
                <w:rFonts w:hint="eastAsia" w:ascii="仿宋" w:hAnsi="仿宋" w:eastAsia="仿宋"/>
                <w:color w:val="auto"/>
                <w:szCs w:val="21"/>
              </w:rPr>
              <w:t>约定送达地址：</w:t>
            </w:r>
          </w:p>
        </w:tc>
      </w:tr>
      <w:tr w14:paraId="6E6B2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4516" w:type="dxa"/>
            <w:noWrap/>
            <w:vAlign w:val="center"/>
          </w:tcPr>
          <w:p w14:paraId="0C1604EB">
            <w:pPr>
              <w:snapToGrid w:val="0"/>
              <w:spacing w:line="360" w:lineRule="auto"/>
              <w:rPr>
                <w:rFonts w:ascii="仿宋" w:hAnsi="仿宋" w:eastAsia="仿宋"/>
                <w:color w:val="auto"/>
                <w:szCs w:val="21"/>
              </w:rPr>
            </w:pPr>
            <w:r>
              <w:rPr>
                <w:rFonts w:hint="eastAsia" w:ascii="仿宋" w:hAnsi="仿宋" w:eastAsia="仿宋" w:cs="仿宋"/>
                <w:color w:val="auto"/>
                <w:szCs w:val="21"/>
              </w:rPr>
              <w:t>电子邮箱：</w:t>
            </w:r>
          </w:p>
        </w:tc>
        <w:tc>
          <w:tcPr>
            <w:tcW w:w="4517" w:type="dxa"/>
            <w:noWrap/>
            <w:vAlign w:val="center"/>
          </w:tcPr>
          <w:p w14:paraId="106828DC">
            <w:pPr>
              <w:snapToGrid w:val="0"/>
              <w:spacing w:line="360" w:lineRule="auto"/>
              <w:rPr>
                <w:rFonts w:ascii="仿宋" w:hAnsi="仿宋" w:eastAsia="仿宋"/>
                <w:color w:val="auto"/>
                <w:szCs w:val="21"/>
              </w:rPr>
            </w:pPr>
            <w:r>
              <w:rPr>
                <w:rFonts w:hint="eastAsia" w:ascii="仿宋" w:hAnsi="仿宋" w:eastAsia="仿宋"/>
                <w:color w:val="auto"/>
                <w:szCs w:val="21"/>
              </w:rPr>
              <w:t>电子邮箱：</w:t>
            </w:r>
          </w:p>
        </w:tc>
      </w:tr>
      <w:tr w14:paraId="58088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16" w:type="dxa"/>
            <w:noWrap/>
            <w:vAlign w:val="center"/>
          </w:tcPr>
          <w:p w14:paraId="6D6CCA1B">
            <w:pPr>
              <w:snapToGrid w:val="0"/>
              <w:spacing w:line="360" w:lineRule="auto"/>
              <w:rPr>
                <w:rFonts w:ascii="仿宋" w:hAnsi="仿宋" w:eastAsia="仿宋"/>
                <w:color w:val="auto"/>
                <w:szCs w:val="21"/>
              </w:rPr>
            </w:pPr>
            <w:r>
              <w:rPr>
                <w:rFonts w:hint="eastAsia" w:ascii="仿宋" w:hAnsi="仿宋" w:eastAsia="仿宋" w:cs="仿宋"/>
                <w:color w:val="auto"/>
                <w:szCs w:val="21"/>
              </w:rPr>
              <w:t>开户银行：</w:t>
            </w:r>
          </w:p>
        </w:tc>
        <w:tc>
          <w:tcPr>
            <w:tcW w:w="4517" w:type="dxa"/>
            <w:noWrap/>
            <w:vAlign w:val="center"/>
          </w:tcPr>
          <w:p w14:paraId="30D8FE1C">
            <w:pPr>
              <w:snapToGrid w:val="0"/>
              <w:spacing w:line="360" w:lineRule="auto"/>
              <w:rPr>
                <w:rFonts w:ascii="仿宋" w:hAnsi="仿宋" w:eastAsia="仿宋"/>
                <w:color w:val="auto"/>
                <w:szCs w:val="21"/>
              </w:rPr>
            </w:pPr>
            <w:r>
              <w:rPr>
                <w:rFonts w:hint="eastAsia" w:ascii="仿宋" w:hAnsi="仿宋" w:eastAsia="仿宋"/>
                <w:color w:val="auto"/>
                <w:szCs w:val="21"/>
              </w:rPr>
              <w:t>开户银行：</w:t>
            </w:r>
          </w:p>
        </w:tc>
      </w:tr>
      <w:tr w14:paraId="405DA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6" w:type="dxa"/>
            <w:noWrap/>
            <w:vAlign w:val="center"/>
          </w:tcPr>
          <w:p w14:paraId="076B535E">
            <w:pPr>
              <w:snapToGrid w:val="0"/>
              <w:spacing w:line="360" w:lineRule="auto"/>
              <w:rPr>
                <w:rFonts w:ascii="仿宋" w:hAnsi="仿宋" w:eastAsia="仿宋"/>
                <w:color w:val="auto"/>
                <w:szCs w:val="21"/>
              </w:rPr>
            </w:pPr>
            <w:r>
              <w:rPr>
                <w:rFonts w:hint="eastAsia" w:ascii="仿宋" w:hAnsi="仿宋" w:eastAsia="仿宋" w:cs="仿宋"/>
                <w:color w:val="auto"/>
                <w:szCs w:val="21"/>
              </w:rPr>
              <w:t>账号：</w:t>
            </w:r>
          </w:p>
        </w:tc>
        <w:tc>
          <w:tcPr>
            <w:tcW w:w="4517" w:type="dxa"/>
            <w:noWrap/>
            <w:vAlign w:val="center"/>
          </w:tcPr>
          <w:p w14:paraId="593508C7">
            <w:pPr>
              <w:snapToGrid w:val="0"/>
              <w:spacing w:line="360" w:lineRule="auto"/>
              <w:rPr>
                <w:rFonts w:ascii="仿宋" w:hAnsi="仿宋" w:eastAsia="仿宋"/>
                <w:color w:val="auto"/>
                <w:szCs w:val="21"/>
              </w:rPr>
            </w:pPr>
            <w:r>
              <w:rPr>
                <w:rFonts w:hint="eastAsia" w:ascii="仿宋" w:hAnsi="仿宋" w:eastAsia="仿宋"/>
                <w:color w:val="auto"/>
                <w:szCs w:val="21"/>
              </w:rPr>
              <w:t>账号：</w:t>
            </w:r>
          </w:p>
        </w:tc>
      </w:tr>
      <w:tr w14:paraId="484C8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16" w:type="dxa"/>
            <w:noWrap/>
            <w:vAlign w:val="center"/>
          </w:tcPr>
          <w:p w14:paraId="7BBCFB93">
            <w:pPr>
              <w:snapToGrid w:val="0"/>
              <w:spacing w:line="360" w:lineRule="auto"/>
              <w:rPr>
                <w:rFonts w:ascii="仿宋" w:hAnsi="仿宋" w:eastAsia="仿宋"/>
                <w:color w:val="auto"/>
                <w:szCs w:val="21"/>
              </w:rPr>
            </w:pPr>
            <w:r>
              <w:rPr>
                <w:rFonts w:hint="eastAsia" w:ascii="仿宋" w:hAnsi="仿宋" w:eastAsia="仿宋" w:cs="仿宋"/>
                <w:color w:val="auto"/>
                <w:szCs w:val="21"/>
              </w:rPr>
              <w:t>邮政编码：530001</w:t>
            </w:r>
          </w:p>
        </w:tc>
        <w:tc>
          <w:tcPr>
            <w:tcW w:w="4517" w:type="dxa"/>
            <w:noWrap/>
            <w:vAlign w:val="center"/>
          </w:tcPr>
          <w:p w14:paraId="25526318">
            <w:pPr>
              <w:snapToGrid w:val="0"/>
              <w:spacing w:line="360" w:lineRule="auto"/>
              <w:rPr>
                <w:rFonts w:ascii="仿宋" w:hAnsi="仿宋" w:eastAsia="仿宋"/>
                <w:color w:val="auto"/>
                <w:szCs w:val="21"/>
              </w:rPr>
            </w:pPr>
            <w:r>
              <w:rPr>
                <w:rFonts w:hint="eastAsia" w:ascii="仿宋" w:hAnsi="仿宋" w:eastAsia="仿宋"/>
                <w:color w:val="auto"/>
                <w:szCs w:val="21"/>
              </w:rPr>
              <w:t>邮政编码：</w:t>
            </w:r>
          </w:p>
        </w:tc>
      </w:tr>
    </w:tbl>
    <w:p w14:paraId="6465F68D">
      <w:pPr>
        <w:snapToGrid w:val="0"/>
        <w:spacing w:line="360" w:lineRule="auto"/>
        <w:ind w:left="420" w:hanging="420" w:hangingChars="200"/>
        <w:rPr>
          <w:rFonts w:ascii="仿宋" w:hAnsi="仿宋" w:eastAsia="仿宋"/>
          <w:color w:val="auto"/>
          <w:szCs w:val="21"/>
        </w:rPr>
      </w:pPr>
    </w:p>
    <w:p w14:paraId="15736CA0">
      <w:pPr>
        <w:snapToGrid w:val="0"/>
        <w:spacing w:line="480" w:lineRule="auto"/>
        <w:rPr>
          <w:rFonts w:ascii="仿宋" w:hAnsi="仿宋" w:eastAsia="仿宋"/>
          <w:bCs/>
          <w:color w:val="auto"/>
          <w:sz w:val="32"/>
          <w:szCs w:val="32"/>
        </w:rPr>
      </w:pPr>
    </w:p>
    <w:p w14:paraId="581E24A2">
      <w:pPr>
        <w:snapToGrid w:val="0"/>
        <w:jc w:val="center"/>
        <w:rPr>
          <w:rFonts w:ascii="仿宋" w:hAnsi="仿宋" w:eastAsia="仿宋"/>
          <w:bCs/>
          <w:color w:val="auto"/>
          <w:sz w:val="32"/>
          <w:szCs w:val="32"/>
        </w:rPr>
      </w:pPr>
    </w:p>
    <w:p w14:paraId="5E10149F">
      <w:pPr>
        <w:snapToGrid w:val="0"/>
        <w:jc w:val="center"/>
        <w:rPr>
          <w:rFonts w:ascii="仿宋" w:hAnsi="仿宋" w:eastAsia="仿宋"/>
          <w:bCs/>
          <w:color w:val="auto"/>
          <w:sz w:val="32"/>
          <w:szCs w:val="32"/>
        </w:rPr>
      </w:pPr>
    </w:p>
    <w:p w14:paraId="7D4A3D30">
      <w:pPr>
        <w:snapToGrid w:val="0"/>
        <w:jc w:val="center"/>
        <w:rPr>
          <w:rFonts w:ascii="仿宋" w:hAnsi="仿宋" w:eastAsia="仿宋"/>
          <w:bCs/>
          <w:color w:val="auto"/>
          <w:sz w:val="32"/>
          <w:szCs w:val="32"/>
        </w:rPr>
      </w:pPr>
    </w:p>
    <w:p w14:paraId="256D8F02">
      <w:pPr>
        <w:snapToGrid w:val="0"/>
        <w:jc w:val="center"/>
        <w:rPr>
          <w:rFonts w:ascii="仿宋" w:hAnsi="仿宋" w:eastAsia="仿宋"/>
          <w:bCs/>
          <w:color w:val="auto"/>
          <w:sz w:val="32"/>
          <w:szCs w:val="32"/>
        </w:rPr>
      </w:pPr>
    </w:p>
    <w:p w14:paraId="4ACDDBFB">
      <w:pPr>
        <w:snapToGrid w:val="0"/>
        <w:jc w:val="center"/>
        <w:rPr>
          <w:rFonts w:ascii="仿宋" w:hAnsi="仿宋" w:eastAsia="仿宋"/>
          <w:bCs/>
          <w:color w:val="auto"/>
          <w:sz w:val="32"/>
          <w:szCs w:val="32"/>
        </w:rPr>
      </w:pPr>
    </w:p>
    <w:p w14:paraId="43E379FD">
      <w:pPr>
        <w:snapToGrid w:val="0"/>
        <w:jc w:val="center"/>
        <w:rPr>
          <w:rFonts w:ascii="仿宋" w:hAnsi="仿宋" w:eastAsia="仿宋"/>
          <w:bCs/>
          <w:color w:val="auto"/>
          <w:sz w:val="32"/>
          <w:szCs w:val="32"/>
        </w:rPr>
      </w:pPr>
    </w:p>
    <w:p w14:paraId="41BF6CB4">
      <w:pPr>
        <w:snapToGrid w:val="0"/>
        <w:jc w:val="center"/>
        <w:rPr>
          <w:rFonts w:ascii="仿宋" w:hAnsi="仿宋" w:eastAsia="仿宋"/>
          <w:bCs/>
          <w:color w:val="auto"/>
          <w:sz w:val="32"/>
          <w:szCs w:val="32"/>
        </w:rPr>
      </w:pPr>
    </w:p>
    <w:p w14:paraId="54606FD0">
      <w:pPr>
        <w:snapToGrid w:val="0"/>
        <w:jc w:val="center"/>
        <w:rPr>
          <w:rFonts w:ascii="仿宋" w:hAnsi="仿宋" w:eastAsia="仿宋"/>
          <w:bCs/>
          <w:color w:val="auto"/>
          <w:sz w:val="32"/>
          <w:szCs w:val="32"/>
        </w:rPr>
      </w:pPr>
    </w:p>
    <w:p w14:paraId="30821FBC">
      <w:pPr>
        <w:snapToGrid w:val="0"/>
        <w:jc w:val="center"/>
        <w:rPr>
          <w:rFonts w:ascii="仿宋" w:hAnsi="仿宋" w:eastAsia="仿宋"/>
          <w:bCs/>
          <w:color w:val="auto"/>
          <w:sz w:val="32"/>
          <w:szCs w:val="32"/>
        </w:rPr>
      </w:pPr>
    </w:p>
    <w:p w14:paraId="320EAA07">
      <w:pPr>
        <w:snapToGrid w:val="0"/>
        <w:jc w:val="center"/>
        <w:rPr>
          <w:rFonts w:ascii="仿宋" w:hAnsi="仿宋" w:eastAsia="仿宋"/>
          <w:bCs/>
          <w:color w:val="auto"/>
          <w:sz w:val="32"/>
          <w:szCs w:val="32"/>
        </w:rPr>
      </w:pPr>
    </w:p>
    <w:p w14:paraId="2E569DE4">
      <w:pPr>
        <w:pStyle w:val="3"/>
        <w:jc w:val="center"/>
        <w:rPr>
          <w:rFonts w:ascii="仿宋" w:hAnsi="仿宋" w:eastAsia="仿宋"/>
          <w:color w:val="auto"/>
        </w:rPr>
      </w:pPr>
      <w:bookmarkStart w:id="151" w:name="_Toc74320805"/>
    </w:p>
    <w:p w14:paraId="1D17A5F9">
      <w:pPr>
        <w:pStyle w:val="3"/>
        <w:jc w:val="center"/>
        <w:rPr>
          <w:rFonts w:ascii="仿宋" w:hAnsi="仿宋" w:eastAsia="仿宋"/>
          <w:color w:val="auto"/>
        </w:rPr>
      </w:pPr>
    </w:p>
    <w:p w14:paraId="73F0282D">
      <w:pPr>
        <w:pStyle w:val="3"/>
        <w:jc w:val="center"/>
        <w:rPr>
          <w:rFonts w:ascii="仿宋" w:hAnsi="仿宋" w:eastAsia="仿宋"/>
          <w:color w:val="auto"/>
        </w:rPr>
      </w:pPr>
    </w:p>
    <w:p w14:paraId="6D0E9B48">
      <w:pPr>
        <w:pStyle w:val="3"/>
        <w:jc w:val="center"/>
        <w:rPr>
          <w:rFonts w:ascii="仿宋" w:hAnsi="仿宋" w:eastAsia="仿宋"/>
          <w:color w:val="auto"/>
        </w:rPr>
      </w:pPr>
    </w:p>
    <w:p w14:paraId="4A7123C2">
      <w:pPr>
        <w:pStyle w:val="3"/>
        <w:jc w:val="center"/>
        <w:rPr>
          <w:rFonts w:ascii="仿宋" w:hAnsi="仿宋" w:eastAsia="仿宋"/>
          <w:color w:val="auto"/>
        </w:rPr>
      </w:pPr>
      <w:r>
        <w:rPr>
          <w:rFonts w:hint="eastAsia" w:ascii="仿宋" w:hAnsi="仿宋" w:eastAsia="仿宋"/>
          <w:color w:val="auto"/>
        </w:rPr>
        <w:t>第六章　投标文件格式</w:t>
      </w:r>
      <w:bookmarkEnd w:id="151"/>
    </w:p>
    <w:p w14:paraId="5F737742">
      <w:pPr>
        <w:snapToGrid w:val="0"/>
        <w:spacing w:before="50" w:after="50"/>
        <w:outlineLvl w:val="1"/>
        <w:rPr>
          <w:rFonts w:ascii="仿宋" w:hAnsi="仿宋" w:eastAsia="仿宋"/>
          <w:color w:val="auto"/>
          <w:sz w:val="32"/>
          <w:szCs w:val="20"/>
        </w:rPr>
      </w:pPr>
    </w:p>
    <w:p w14:paraId="0721DB37">
      <w:pPr>
        <w:snapToGrid w:val="0"/>
        <w:spacing w:before="50" w:after="50"/>
        <w:outlineLvl w:val="1"/>
        <w:rPr>
          <w:rFonts w:ascii="仿宋" w:hAnsi="仿宋" w:eastAsia="仿宋"/>
          <w:color w:val="auto"/>
          <w:sz w:val="32"/>
          <w:szCs w:val="20"/>
        </w:rPr>
      </w:pPr>
    </w:p>
    <w:p w14:paraId="7A56F186">
      <w:pPr>
        <w:snapToGrid w:val="0"/>
        <w:spacing w:before="50" w:after="50"/>
        <w:outlineLvl w:val="1"/>
        <w:rPr>
          <w:rFonts w:ascii="仿宋" w:hAnsi="仿宋" w:eastAsia="仿宋"/>
          <w:color w:val="auto"/>
          <w:sz w:val="32"/>
          <w:szCs w:val="20"/>
        </w:rPr>
      </w:pPr>
    </w:p>
    <w:p w14:paraId="4984E9EA">
      <w:pPr>
        <w:snapToGrid w:val="0"/>
        <w:spacing w:before="50" w:after="50"/>
        <w:outlineLvl w:val="1"/>
        <w:rPr>
          <w:rFonts w:ascii="仿宋" w:hAnsi="仿宋" w:eastAsia="仿宋"/>
          <w:color w:val="auto"/>
          <w:sz w:val="32"/>
          <w:szCs w:val="20"/>
        </w:rPr>
      </w:pPr>
    </w:p>
    <w:p w14:paraId="11E24058">
      <w:pPr>
        <w:snapToGrid w:val="0"/>
        <w:spacing w:before="50" w:after="50"/>
        <w:outlineLvl w:val="1"/>
        <w:rPr>
          <w:rFonts w:ascii="仿宋" w:hAnsi="仿宋" w:eastAsia="仿宋"/>
          <w:color w:val="auto"/>
          <w:sz w:val="32"/>
          <w:szCs w:val="20"/>
        </w:rPr>
      </w:pPr>
    </w:p>
    <w:p w14:paraId="203D9694">
      <w:pPr>
        <w:snapToGrid w:val="0"/>
        <w:spacing w:before="50" w:after="50"/>
        <w:outlineLvl w:val="1"/>
        <w:rPr>
          <w:rFonts w:ascii="仿宋" w:hAnsi="仿宋" w:eastAsia="仿宋"/>
          <w:color w:val="auto"/>
          <w:sz w:val="32"/>
          <w:szCs w:val="20"/>
        </w:rPr>
      </w:pPr>
    </w:p>
    <w:p w14:paraId="11F6584D">
      <w:pPr>
        <w:snapToGrid w:val="0"/>
        <w:spacing w:before="50" w:after="50"/>
        <w:outlineLvl w:val="1"/>
        <w:rPr>
          <w:rFonts w:ascii="仿宋" w:hAnsi="仿宋" w:eastAsia="仿宋"/>
          <w:color w:val="auto"/>
          <w:sz w:val="32"/>
          <w:szCs w:val="20"/>
        </w:rPr>
      </w:pPr>
    </w:p>
    <w:p w14:paraId="1FD1BE0E">
      <w:pPr>
        <w:snapToGrid w:val="0"/>
        <w:spacing w:before="50" w:after="50"/>
        <w:outlineLvl w:val="1"/>
        <w:rPr>
          <w:rFonts w:ascii="仿宋" w:hAnsi="仿宋" w:eastAsia="仿宋"/>
          <w:color w:val="auto"/>
          <w:sz w:val="32"/>
          <w:szCs w:val="20"/>
        </w:rPr>
      </w:pPr>
    </w:p>
    <w:p w14:paraId="45E0B3E8">
      <w:pPr>
        <w:snapToGrid w:val="0"/>
        <w:spacing w:before="50" w:after="50"/>
        <w:outlineLvl w:val="1"/>
        <w:rPr>
          <w:rFonts w:ascii="仿宋" w:hAnsi="仿宋" w:eastAsia="仿宋"/>
          <w:color w:val="auto"/>
          <w:sz w:val="32"/>
          <w:szCs w:val="20"/>
        </w:rPr>
      </w:pPr>
    </w:p>
    <w:p w14:paraId="0D87F970">
      <w:pPr>
        <w:snapToGrid w:val="0"/>
        <w:spacing w:before="50" w:after="50"/>
        <w:outlineLvl w:val="1"/>
        <w:rPr>
          <w:rFonts w:ascii="仿宋" w:hAnsi="仿宋" w:eastAsia="仿宋"/>
          <w:color w:val="auto"/>
          <w:sz w:val="32"/>
          <w:szCs w:val="20"/>
        </w:rPr>
      </w:pPr>
    </w:p>
    <w:p w14:paraId="0D459EED">
      <w:pPr>
        <w:snapToGrid w:val="0"/>
        <w:spacing w:before="50" w:after="50"/>
        <w:outlineLvl w:val="1"/>
        <w:rPr>
          <w:rFonts w:ascii="仿宋" w:hAnsi="仿宋" w:eastAsia="仿宋"/>
          <w:color w:val="auto"/>
          <w:sz w:val="32"/>
          <w:szCs w:val="20"/>
        </w:rPr>
      </w:pPr>
    </w:p>
    <w:p w14:paraId="0A73FB41">
      <w:pPr>
        <w:snapToGrid w:val="0"/>
        <w:spacing w:beforeLines="50" w:after="50"/>
        <w:jc w:val="center"/>
        <w:outlineLvl w:val="1"/>
        <w:rPr>
          <w:rFonts w:ascii="仿宋" w:hAnsi="仿宋" w:eastAsia="仿宋"/>
          <w:color w:val="auto"/>
        </w:rPr>
      </w:pPr>
    </w:p>
    <w:p w14:paraId="38D9BB75">
      <w:pPr>
        <w:rPr>
          <w:rFonts w:ascii="仿宋" w:hAnsi="仿宋" w:eastAsia="仿宋"/>
          <w:b/>
          <w:color w:val="auto"/>
          <w:sz w:val="28"/>
          <w:szCs w:val="28"/>
        </w:rPr>
      </w:pPr>
      <w:bookmarkStart w:id="152" w:name="_Toc19686836"/>
      <w:bookmarkStart w:id="153" w:name="_Toc254970698"/>
      <w:bookmarkStart w:id="154" w:name="_Toc254970557"/>
      <w:r>
        <w:rPr>
          <w:rFonts w:ascii="仿宋" w:hAnsi="仿宋" w:eastAsia="仿宋"/>
          <w:b/>
          <w:color w:val="auto"/>
          <w:sz w:val="28"/>
          <w:szCs w:val="28"/>
        </w:rPr>
        <w:br w:type="page"/>
      </w:r>
      <w:r>
        <w:rPr>
          <w:rFonts w:hint="eastAsia" w:ascii="仿宋" w:hAnsi="仿宋" w:eastAsia="仿宋"/>
          <w:b/>
          <w:color w:val="auto"/>
          <w:sz w:val="28"/>
          <w:szCs w:val="28"/>
        </w:rPr>
        <w:t>一、报价文件格式</w:t>
      </w:r>
      <w:bookmarkEnd w:id="152"/>
    </w:p>
    <w:p w14:paraId="772C1316">
      <w:pPr>
        <w:snapToGrid w:val="0"/>
        <w:spacing w:beforeLines="50" w:after="50" w:line="360" w:lineRule="auto"/>
        <w:ind w:left="142"/>
        <w:jc w:val="left"/>
        <w:rPr>
          <w:rFonts w:ascii="仿宋" w:hAnsi="仿宋" w:eastAsia="仿宋"/>
          <w:color w:val="auto"/>
          <w:sz w:val="24"/>
          <w:szCs w:val="20"/>
        </w:rPr>
      </w:pPr>
      <w:r>
        <w:rPr>
          <w:rFonts w:hint="eastAsia" w:ascii="仿宋" w:hAnsi="仿宋" w:eastAsia="仿宋"/>
          <w:b/>
          <w:color w:val="auto"/>
          <w:sz w:val="24"/>
        </w:rPr>
        <w:t xml:space="preserve">1. 报价文件封面格式： </w:t>
      </w:r>
    </w:p>
    <w:p w14:paraId="5F55948A">
      <w:pPr>
        <w:snapToGrid w:val="0"/>
        <w:spacing w:beforeLines="50" w:after="50" w:line="400" w:lineRule="exact"/>
        <w:rPr>
          <w:rFonts w:ascii="仿宋" w:hAnsi="仿宋" w:eastAsia="仿宋"/>
          <w:bCs/>
          <w:color w:val="auto"/>
          <w:sz w:val="32"/>
          <w:szCs w:val="20"/>
        </w:rPr>
      </w:pPr>
    </w:p>
    <w:p w14:paraId="375715C2">
      <w:pPr>
        <w:snapToGrid w:val="0"/>
        <w:spacing w:beforeLines="50" w:after="50" w:line="400" w:lineRule="exact"/>
        <w:jc w:val="center"/>
        <w:rPr>
          <w:rFonts w:ascii="仿宋" w:hAnsi="仿宋" w:eastAsia="仿宋"/>
          <w:bCs/>
          <w:color w:val="auto"/>
          <w:sz w:val="24"/>
          <w:szCs w:val="20"/>
        </w:rPr>
      </w:pPr>
    </w:p>
    <w:p w14:paraId="195DA7E3">
      <w:pPr>
        <w:snapToGrid w:val="0"/>
        <w:spacing w:beforeLines="50" w:after="50"/>
        <w:jc w:val="center"/>
        <w:rPr>
          <w:rFonts w:ascii="仿宋" w:hAnsi="仿宋" w:eastAsia="仿宋" w:cs="方正小标宋简体"/>
          <w:color w:val="auto"/>
          <w:sz w:val="84"/>
          <w:szCs w:val="84"/>
        </w:rPr>
      </w:pPr>
      <w:r>
        <w:rPr>
          <w:rFonts w:hint="eastAsia" w:ascii="仿宋" w:hAnsi="仿宋" w:eastAsia="仿宋" w:cs="方正小标宋简体"/>
          <w:color w:val="auto"/>
          <w:sz w:val="84"/>
          <w:szCs w:val="84"/>
        </w:rPr>
        <w:t>投  标  文  件</w:t>
      </w:r>
    </w:p>
    <w:p w14:paraId="0BBFB578">
      <w:pPr>
        <w:snapToGrid w:val="0"/>
        <w:spacing w:beforeLines="50" w:after="50" w:line="400" w:lineRule="exact"/>
        <w:jc w:val="center"/>
        <w:rPr>
          <w:rFonts w:ascii="仿宋" w:hAnsi="仿宋" w:eastAsia="仿宋"/>
          <w:bCs/>
          <w:color w:val="auto"/>
          <w:sz w:val="32"/>
          <w:szCs w:val="32"/>
        </w:rPr>
      </w:pPr>
    </w:p>
    <w:p w14:paraId="34BBD06B">
      <w:pPr>
        <w:snapToGrid w:val="0"/>
        <w:spacing w:beforeLines="50" w:after="50" w:line="400" w:lineRule="exact"/>
        <w:jc w:val="center"/>
        <w:rPr>
          <w:rFonts w:ascii="仿宋" w:hAnsi="仿宋" w:eastAsia="仿宋" w:cs="方正小标宋简体"/>
          <w:color w:val="auto"/>
          <w:sz w:val="32"/>
          <w:szCs w:val="32"/>
        </w:rPr>
      </w:pPr>
      <w:r>
        <w:rPr>
          <w:rFonts w:hint="eastAsia" w:ascii="仿宋" w:hAnsi="仿宋" w:eastAsia="仿宋" w:cs="方正小标宋简体"/>
          <w:color w:val="auto"/>
          <w:sz w:val="32"/>
          <w:szCs w:val="32"/>
        </w:rPr>
        <w:t>报  价  文  件</w:t>
      </w:r>
    </w:p>
    <w:p w14:paraId="55342F51">
      <w:pPr>
        <w:snapToGrid w:val="0"/>
        <w:spacing w:beforeLines="50" w:after="50" w:line="400" w:lineRule="exact"/>
        <w:rPr>
          <w:rFonts w:ascii="仿宋" w:hAnsi="仿宋" w:eastAsia="仿宋"/>
          <w:bCs/>
          <w:color w:val="auto"/>
          <w:sz w:val="24"/>
          <w:szCs w:val="20"/>
        </w:rPr>
      </w:pPr>
    </w:p>
    <w:p w14:paraId="56BA8D22">
      <w:pPr>
        <w:snapToGrid w:val="0"/>
        <w:spacing w:beforeLines="50" w:after="50" w:line="400" w:lineRule="exact"/>
        <w:rPr>
          <w:rFonts w:ascii="仿宋" w:hAnsi="仿宋" w:eastAsia="仿宋"/>
          <w:bCs/>
          <w:color w:val="auto"/>
          <w:sz w:val="24"/>
          <w:szCs w:val="20"/>
        </w:rPr>
      </w:pPr>
    </w:p>
    <w:p w14:paraId="7DA98F73">
      <w:pPr>
        <w:snapToGrid w:val="0"/>
        <w:spacing w:beforeLines="50" w:after="50" w:line="400" w:lineRule="exact"/>
        <w:rPr>
          <w:rFonts w:ascii="仿宋" w:hAnsi="仿宋" w:eastAsia="仿宋"/>
          <w:bCs/>
          <w:color w:val="auto"/>
          <w:sz w:val="24"/>
          <w:szCs w:val="20"/>
        </w:rPr>
      </w:pPr>
    </w:p>
    <w:p w14:paraId="1E262C64">
      <w:pPr>
        <w:snapToGrid w:val="0"/>
        <w:spacing w:beforeLines="50" w:after="50" w:line="400" w:lineRule="exact"/>
        <w:rPr>
          <w:rFonts w:ascii="仿宋" w:hAnsi="仿宋" w:eastAsia="仿宋"/>
          <w:bCs/>
          <w:color w:val="auto"/>
          <w:sz w:val="24"/>
          <w:szCs w:val="20"/>
        </w:rPr>
      </w:pPr>
    </w:p>
    <w:p w14:paraId="7FAD8AC9">
      <w:pPr>
        <w:snapToGrid w:val="0"/>
        <w:spacing w:beforeLines="50" w:after="50" w:line="400" w:lineRule="exact"/>
        <w:ind w:firstLine="360" w:firstLineChars="150"/>
        <w:rPr>
          <w:rFonts w:ascii="仿宋" w:hAnsi="仿宋" w:eastAsia="仿宋"/>
          <w:bCs/>
          <w:color w:val="auto"/>
          <w:sz w:val="24"/>
        </w:rPr>
      </w:pPr>
      <w:r>
        <w:rPr>
          <w:rFonts w:hint="eastAsia" w:ascii="仿宋" w:hAnsi="仿宋" w:eastAsia="仿宋"/>
          <w:bCs/>
          <w:color w:val="auto"/>
          <w:sz w:val="24"/>
        </w:rPr>
        <w:t xml:space="preserve">项目名称： </w:t>
      </w:r>
    </w:p>
    <w:p w14:paraId="0B5C91F8">
      <w:pPr>
        <w:snapToGrid w:val="0"/>
        <w:spacing w:beforeLines="50" w:after="50" w:line="400" w:lineRule="exact"/>
        <w:ind w:firstLine="360" w:firstLineChars="150"/>
        <w:rPr>
          <w:rFonts w:ascii="仿宋" w:hAnsi="仿宋" w:eastAsia="仿宋"/>
          <w:bCs/>
          <w:color w:val="auto"/>
          <w:sz w:val="24"/>
        </w:rPr>
      </w:pPr>
    </w:p>
    <w:p w14:paraId="297F0F81">
      <w:pPr>
        <w:snapToGrid w:val="0"/>
        <w:spacing w:beforeLines="50" w:after="50" w:line="400" w:lineRule="exact"/>
        <w:ind w:firstLine="360" w:firstLineChars="150"/>
        <w:rPr>
          <w:rFonts w:ascii="仿宋" w:hAnsi="仿宋" w:eastAsia="仿宋"/>
          <w:bCs/>
          <w:color w:val="auto"/>
          <w:sz w:val="24"/>
        </w:rPr>
      </w:pPr>
      <w:r>
        <w:rPr>
          <w:rFonts w:hint="eastAsia" w:ascii="仿宋" w:hAnsi="仿宋" w:eastAsia="仿宋"/>
          <w:bCs/>
          <w:color w:val="auto"/>
          <w:sz w:val="24"/>
        </w:rPr>
        <w:t xml:space="preserve">项目编号： </w:t>
      </w:r>
    </w:p>
    <w:p w14:paraId="32D5860F">
      <w:pPr>
        <w:snapToGrid w:val="0"/>
        <w:spacing w:beforeLines="50" w:after="50" w:line="400" w:lineRule="exact"/>
        <w:ind w:firstLine="360" w:firstLineChars="150"/>
        <w:rPr>
          <w:rFonts w:ascii="仿宋" w:hAnsi="仿宋" w:eastAsia="仿宋"/>
          <w:bCs/>
          <w:color w:val="auto"/>
          <w:sz w:val="24"/>
        </w:rPr>
      </w:pPr>
    </w:p>
    <w:p w14:paraId="02932295">
      <w:pPr>
        <w:snapToGrid w:val="0"/>
        <w:spacing w:beforeLines="50" w:after="50" w:line="400" w:lineRule="exact"/>
        <w:ind w:firstLine="360" w:firstLineChars="150"/>
        <w:rPr>
          <w:rFonts w:ascii="仿宋" w:hAnsi="仿宋" w:eastAsia="仿宋"/>
          <w:bCs/>
          <w:color w:val="auto"/>
          <w:sz w:val="24"/>
        </w:rPr>
      </w:pPr>
      <w:r>
        <w:rPr>
          <w:rFonts w:hint="eastAsia" w:ascii="仿宋" w:hAnsi="仿宋" w:eastAsia="仿宋"/>
          <w:bCs/>
          <w:color w:val="auto"/>
          <w:sz w:val="24"/>
        </w:rPr>
        <w:t>所投分标：</w:t>
      </w:r>
    </w:p>
    <w:p w14:paraId="42E4F0CD">
      <w:pPr>
        <w:snapToGrid w:val="0"/>
        <w:spacing w:beforeLines="50" w:after="50" w:line="400" w:lineRule="exact"/>
        <w:ind w:firstLine="360" w:firstLineChars="150"/>
        <w:rPr>
          <w:rFonts w:ascii="仿宋" w:hAnsi="仿宋" w:eastAsia="仿宋"/>
          <w:bCs/>
          <w:color w:val="auto"/>
          <w:sz w:val="24"/>
        </w:rPr>
      </w:pPr>
    </w:p>
    <w:p w14:paraId="5FA717A5">
      <w:pPr>
        <w:snapToGrid w:val="0"/>
        <w:spacing w:beforeLines="50" w:after="50" w:line="400" w:lineRule="exact"/>
        <w:ind w:firstLine="360" w:firstLineChars="150"/>
        <w:rPr>
          <w:rFonts w:ascii="仿宋" w:hAnsi="仿宋" w:eastAsia="仿宋"/>
          <w:bCs/>
          <w:color w:val="auto"/>
          <w:sz w:val="24"/>
        </w:rPr>
      </w:pPr>
      <w:r>
        <w:rPr>
          <w:rFonts w:hint="eastAsia" w:ascii="仿宋" w:hAnsi="仿宋" w:eastAsia="仿宋"/>
          <w:bCs/>
          <w:color w:val="auto"/>
          <w:sz w:val="24"/>
        </w:rPr>
        <w:t>投标人名称：</w:t>
      </w:r>
    </w:p>
    <w:p w14:paraId="3B408870">
      <w:pPr>
        <w:snapToGrid w:val="0"/>
        <w:spacing w:beforeLines="50" w:after="50" w:line="400" w:lineRule="exact"/>
        <w:ind w:firstLine="360" w:firstLineChars="150"/>
        <w:rPr>
          <w:rFonts w:ascii="仿宋" w:hAnsi="仿宋" w:eastAsia="仿宋"/>
          <w:bCs/>
          <w:color w:val="auto"/>
          <w:sz w:val="24"/>
        </w:rPr>
      </w:pPr>
    </w:p>
    <w:p w14:paraId="25853EA0">
      <w:pPr>
        <w:snapToGrid w:val="0"/>
        <w:spacing w:beforeLines="50" w:after="50" w:line="400" w:lineRule="exact"/>
        <w:ind w:firstLine="360" w:firstLineChars="150"/>
        <w:rPr>
          <w:rFonts w:ascii="仿宋" w:hAnsi="仿宋" w:eastAsia="仿宋"/>
          <w:bCs/>
          <w:color w:val="auto"/>
          <w:sz w:val="24"/>
        </w:rPr>
      </w:pPr>
      <w:r>
        <w:rPr>
          <w:rFonts w:hint="eastAsia" w:ascii="仿宋" w:hAnsi="仿宋" w:eastAsia="仿宋"/>
          <w:bCs/>
          <w:color w:val="auto"/>
          <w:sz w:val="24"/>
        </w:rPr>
        <w:t>投标人地址：</w:t>
      </w:r>
    </w:p>
    <w:p w14:paraId="5ADCFB0D">
      <w:pPr>
        <w:pStyle w:val="10"/>
        <w:snapToGrid w:val="0"/>
        <w:spacing w:before="50" w:after="50" w:line="400" w:lineRule="exact"/>
        <w:ind w:firstLine="960" w:firstLineChars="400"/>
        <w:rPr>
          <w:rFonts w:ascii="仿宋" w:hAnsi="仿宋" w:eastAsia="仿宋"/>
          <w:bCs/>
          <w:color w:val="auto"/>
          <w:sz w:val="24"/>
          <w:szCs w:val="24"/>
        </w:rPr>
      </w:pPr>
    </w:p>
    <w:p w14:paraId="29942D2B">
      <w:pPr>
        <w:snapToGrid w:val="0"/>
        <w:spacing w:beforeLines="50" w:after="50" w:line="400" w:lineRule="exact"/>
        <w:rPr>
          <w:rFonts w:ascii="仿宋" w:hAnsi="仿宋" w:eastAsia="仿宋"/>
          <w:color w:val="auto"/>
          <w:sz w:val="30"/>
          <w:szCs w:val="20"/>
        </w:rPr>
      </w:pPr>
      <w:r>
        <w:rPr>
          <w:rFonts w:hint="eastAsia" w:ascii="仿宋" w:hAnsi="仿宋" w:eastAsia="仿宋"/>
          <w:color w:val="auto"/>
          <w:sz w:val="24"/>
        </w:rPr>
        <w:t xml:space="preserve">                                   年  月  日</w:t>
      </w:r>
    </w:p>
    <w:p w14:paraId="27F18C4F">
      <w:pPr>
        <w:snapToGrid w:val="0"/>
        <w:spacing w:beforeLines="50" w:after="50" w:line="360" w:lineRule="auto"/>
        <w:jc w:val="left"/>
        <w:rPr>
          <w:rFonts w:ascii="仿宋" w:hAnsi="仿宋" w:eastAsia="仿宋"/>
          <w:color w:val="auto"/>
          <w:sz w:val="24"/>
          <w:szCs w:val="20"/>
        </w:rPr>
      </w:pPr>
      <w:r>
        <w:rPr>
          <w:rFonts w:ascii="仿宋" w:hAnsi="仿宋" w:eastAsia="仿宋"/>
          <w:b/>
          <w:color w:val="auto"/>
          <w:sz w:val="24"/>
        </w:rPr>
        <w:br w:type="page"/>
      </w:r>
      <w:r>
        <w:rPr>
          <w:rFonts w:hint="eastAsia" w:ascii="仿宋" w:hAnsi="仿宋" w:eastAsia="仿宋"/>
          <w:b/>
          <w:color w:val="auto"/>
          <w:sz w:val="24"/>
        </w:rPr>
        <w:t>2.</w:t>
      </w:r>
      <w:r>
        <w:rPr>
          <w:rFonts w:hint="eastAsia" w:ascii="仿宋" w:hAnsi="仿宋" w:eastAsia="仿宋"/>
          <w:b/>
          <w:bCs/>
          <w:color w:val="auto"/>
          <w:sz w:val="24"/>
        </w:rPr>
        <w:t>报价文件目录</w:t>
      </w:r>
    </w:p>
    <w:p w14:paraId="26C15179">
      <w:pPr>
        <w:snapToGrid w:val="0"/>
        <w:spacing w:before="50" w:afterLines="50" w:line="360" w:lineRule="auto"/>
        <w:jc w:val="left"/>
        <w:rPr>
          <w:rFonts w:ascii="仿宋" w:hAnsi="仿宋" w:eastAsia="仿宋"/>
          <w:b/>
          <w:color w:val="auto"/>
          <w:sz w:val="24"/>
        </w:rPr>
      </w:pPr>
      <w:r>
        <w:rPr>
          <w:rFonts w:hint="eastAsia" w:ascii="仿宋" w:hAnsi="仿宋" w:eastAsia="仿宋"/>
          <w:color w:val="auto"/>
          <w:szCs w:val="21"/>
        </w:rPr>
        <w:t>根据招标文件规定及投标人提供的材料自行编写目录。</w:t>
      </w:r>
    </w:p>
    <w:p w14:paraId="0D162E98">
      <w:pPr>
        <w:snapToGrid w:val="0"/>
        <w:spacing w:beforeLines="50" w:after="50"/>
        <w:rPr>
          <w:rFonts w:ascii="仿宋" w:hAnsi="仿宋" w:eastAsia="仿宋"/>
          <w:b/>
          <w:color w:val="auto"/>
          <w:sz w:val="24"/>
        </w:rPr>
      </w:pPr>
    </w:p>
    <w:p w14:paraId="11A7F102">
      <w:pPr>
        <w:snapToGrid w:val="0"/>
        <w:spacing w:beforeLines="50" w:after="50"/>
        <w:rPr>
          <w:rFonts w:ascii="仿宋" w:hAnsi="仿宋" w:eastAsia="仿宋"/>
          <w:b/>
          <w:color w:val="auto"/>
          <w:sz w:val="24"/>
        </w:rPr>
      </w:pPr>
    </w:p>
    <w:p w14:paraId="519FCDCE">
      <w:pPr>
        <w:snapToGrid w:val="0"/>
        <w:spacing w:beforeLines="50" w:after="50"/>
        <w:rPr>
          <w:rFonts w:ascii="仿宋" w:hAnsi="仿宋" w:eastAsia="仿宋"/>
          <w:b/>
          <w:color w:val="auto"/>
          <w:sz w:val="24"/>
        </w:rPr>
      </w:pPr>
    </w:p>
    <w:p w14:paraId="7E7C2090">
      <w:pPr>
        <w:snapToGrid w:val="0"/>
        <w:spacing w:beforeLines="50" w:after="50"/>
        <w:ind w:left="142"/>
        <w:jc w:val="left"/>
        <w:rPr>
          <w:rFonts w:ascii="仿宋" w:hAnsi="仿宋" w:eastAsia="仿宋"/>
          <w:b/>
          <w:color w:val="auto"/>
          <w:sz w:val="24"/>
        </w:rPr>
      </w:pPr>
      <w:r>
        <w:rPr>
          <w:rFonts w:ascii="仿宋" w:hAnsi="仿宋" w:eastAsia="仿宋"/>
          <w:b/>
          <w:color w:val="auto"/>
          <w:sz w:val="24"/>
        </w:rPr>
        <w:br w:type="page"/>
      </w:r>
      <w:r>
        <w:rPr>
          <w:rFonts w:hint="eastAsia" w:ascii="仿宋" w:hAnsi="仿宋" w:eastAsia="仿宋"/>
          <w:b/>
          <w:color w:val="auto"/>
          <w:sz w:val="24"/>
        </w:rPr>
        <w:t>3. 投标函格式：</w:t>
      </w:r>
    </w:p>
    <w:p w14:paraId="1B078FCA">
      <w:pPr>
        <w:snapToGrid w:val="0"/>
        <w:spacing w:beforeLines="50" w:after="50" w:line="360" w:lineRule="auto"/>
        <w:jc w:val="center"/>
        <w:rPr>
          <w:rFonts w:ascii="仿宋" w:hAnsi="仿宋" w:eastAsia="仿宋" w:cs="方正小标宋简体"/>
          <w:bCs/>
          <w:color w:val="auto"/>
          <w:sz w:val="44"/>
          <w:szCs w:val="44"/>
        </w:rPr>
      </w:pPr>
      <w:r>
        <w:rPr>
          <w:rFonts w:hint="eastAsia" w:ascii="仿宋" w:hAnsi="仿宋" w:eastAsia="仿宋" w:cs="方正小标宋简体"/>
          <w:bCs/>
          <w:color w:val="auto"/>
          <w:sz w:val="44"/>
          <w:szCs w:val="44"/>
        </w:rPr>
        <w:t>投 标 函</w:t>
      </w:r>
    </w:p>
    <w:p w14:paraId="0D45E170">
      <w:pPr>
        <w:spacing w:line="440" w:lineRule="exact"/>
        <w:contextualSpacing/>
        <w:rPr>
          <w:rFonts w:ascii="仿宋" w:hAnsi="仿宋" w:eastAsia="仿宋"/>
          <w:color w:val="auto"/>
          <w:sz w:val="24"/>
        </w:rPr>
      </w:pPr>
      <w:r>
        <w:rPr>
          <w:rFonts w:hint="eastAsia" w:ascii="仿宋" w:hAnsi="仿宋" w:eastAsia="仿宋"/>
          <w:color w:val="auto"/>
          <w:sz w:val="24"/>
        </w:rPr>
        <w:t>致：</w:t>
      </w:r>
      <w:r>
        <w:rPr>
          <w:rFonts w:hint="eastAsia" w:ascii="仿宋" w:hAnsi="仿宋" w:eastAsia="仿宋"/>
          <w:color w:val="auto"/>
          <w:sz w:val="24"/>
          <w:u w:val="single"/>
        </w:rPr>
        <w:t>采购人名称</w:t>
      </w:r>
    </w:p>
    <w:p w14:paraId="3E32CDAB">
      <w:pPr>
        <w:spacing w:line="440" w:lineRule="exact"/>
        <w:ind w:firstLine="480"/>
        <w:contextualSpacing/>
        <w:rPr>
          <w:rFonts w:ascii="仿宋" w:hAnsi="仿宋" w:eastAsia="仿宋"/>
          <w:color w:val="auto"/>
          <w:sz w:val="24"/>
        </w:rPr>
      </w:pPr>
      <w:r>
        <w:rPr>
          <w:rFonts w:hint="eastAsia" w:ascii="仿宋" w:hAnsi="仿宋" w:eastAsia="仿宋"/>
          <w:color w:val="auto"/>
          <w:sz w:val="24"/>
        </w:rPr>
        <w:t>根据贵方</w:t>
      </w:r>
      <w:r>
        <w:rPr>
          <w:rFonts w:hint="eastAsia" w:ascii="仿宋" w:hAnsi="仿宋" w:eastAsia="仿宋"/>
          <w:color w:val="auto"/>
          <w:sz w:val="24"/>
          <w:u w:val="single"/>
        </w:rPr>
        <w:t xml:space="preserve"> 项目名称（项目编号：）</w:t>
      </w:r>
      <w:r>
        <w:rPr>
          <w:rFonts w:hint="eastAsia" w:ascii="仿宋" w:hAnsi="仿宋" w:eastAsia="仿宋"/>
          <w:color w:val="auto"/>
          <w:sz w:val="24"/>
        </w:rPr>
        <w:t>的招标公告，签字代表______（姓名）经正式授权并代表投标人</w:t>
      </w:r>
      <w:r>
        <w:rPr>
          <w:rFonts w:hint="eastAsia" w:ascii="仿宋" w:hAnsi="仿宋" w:eastAsia="仿宋"/>
          <w:color w:val="auto"/>
          <w:sz w:val="24"/>
          <w:u w:val="single"/>
        </w:rPr>
        <w:t>（投标人名称）</w:t>
      </w:r>
      <w:r>
        <w:rPr>
          <w:rFonts w:hint="eastAsia" w:ascii="仿宋" w:hAnsi="仿宋" w:eastAsia="仿宋"/>
          <w:color w:val="auto"/>
          <w:sz w:val="24"/>
        </w:rPr>
        <w:t>提交投标文件。</w:t>
      </w:r>
    </w:p>
    <w:p w14:paraId="643CD77A">
      <w:pPr>
        <w:spacing w:line="440" w:lineRule="exact"/>
        <w:ind w:firstLine="480" w:firstLineChars="200"/>
        <w:contextualSpacing/>
        <w:rPr>
          <w:rFonts w:ascii="仿宋" w:hAnsi="仿宋" w:eastAsia="仿宋"/>
          <w:color w:val="auto"/>
          <w:sz w:val="24"/>
        </w:rPr>
      </w:pPr>
      <w:r>
        <w:rPr>
          <w:rFonts w:hint="eastAsia" w:ascii="仿宋" w:hAnsi="仿宋" w:eastAsia="仿宋"/>
          <w:color w:val="auto"/>
          <w:sz w:val="24"/>
        </w:rPr>
        <w:t>据此函，我方宣布同意如下：</w:t>
      </w:r>
    </w:p>
    <w:p w14:paraId="189AB985">
      <w:pPr>
        <w:spacing w:line="440" w:lineRule="exact"/>
        <w:ind w:firstLine="480" w:firstLineChars="200"/>
        <w:contextualSpacing/>
        <w:rPr>
          <w:rFonts w:ascii="仿宋" w:hAnsi="仿宋" w:eastAsia="仿宋"/>
          <w:color w:val="auto"/>
          <w:sz w:val="24"/>
        </w:rPr>
      </w:pPr>
      <w:r>
        <w:rPr>
          <w:rFonts w:hint="eastAsia" w:ascii="仿宋" w:hAnsi="仿宋" w:eastAsia="仿宋"/>
          <w:color w:val="auto"/>
          <w:sz w:val="24"/>
        </w:rPr>
        <w:t>1.我方已详细审查全部“招标文件”，包括修改文件（如有的话）以及全部参考资料和有关附件，已经了解我方对于招标文件、采购过程、采购结果有依法进行询问、质疑、投诉的权利及相关渠道和要求。</w:t>
      </w:r>
    </w:p>
    <w:p w14:paraId="341DEECC">
      <w:pPr>
        <w:spacing w:line="440" w:lineRule="exact"/>
        <w:ind w:firstLine="480" w:firstLineChars="200"/>
        <w:contextualSpacing/>
        <w:rPr>
          <w:rFonts w:ascii="仿宋" w:hAnsi="仿宋" w:eastAsia="仿宋"/>
          <w:color w:val="auto"/>
          <w:sz w:val="24"/>
        </w:rPr>
      </w:pPr>
      <w:r>
        <w:rPr>
          <w:rFonts w:hint="eastAsia" w:ascii="仿宋" w:hAnsi="仿宋" w:eastAsia="仿宋"/>
          <w:color w:val="auto"/>
          <w:sz w:val="24"/>
        </w:rPr>
        <w:t>2.我方在投标之前已经完全理解并接受招标文件的各项规定和要求，对招标文件的合理性、合法性不再有异议。</w:t>
      </w:r>
    </w:p>
    <w:p w14:paraId="361F8813">
      <w:pPr>
        <w:spacing w:line="440" w:lineRule="exact"/>
        <w:ind w:firstLine="480" w:firstLineChars="200"/>
        <w:contextualSpacing/>
        <w:rPr>
          <w:rFonts w:ascii="仿宋" w:hAnsi="仿宋" w:eastAsia="仿宋"/>
          <w:color w:val="auto"/>
          <w:sz w:val="24"/>
        </w:rPr>
      </w:pPr>
      <w:r>
        <w:rPr>
          <w:rFonts w:hint="eastAsia" w:ascii="仿宋" w:hAnsi="仿宋" w:eastAsia="仿宋"/>
          <w:color w:val="auto"/>
          <w:sz w:val="24"/>
        </w:rPr>
        <w:t>3.本投标有效期自投标截止之日起日。</w:t>
      </w:r>
    </w:p>
    <w:p w14:paraId="172A6538">
      <w:pPr>
        <w:spacing w:line="440" w:lineRule="exact"/>
        <w:ind w:firstLine="480" w:firstLineChars="200"/>
        <w:contextualSpacing/>
        <w:rPr>
          <w:rFonts w:ascii="仿宋" w:hAnsi="仿宋" w:eastAsia="仿宋"/>
          <w:color w:val="auto"/>
          <w:sz w:val="24"/>
        </w:rPr>
      </w:pPr>
      <w:r>
        <w:rPr>
          <w:rFonts w:hint="eastAsia" w:ascii="仿宋" w:hAnsi="仿宋" w:eastAsia="仿宋"/>
          <w:color w:val="auto"/>
          <w:sz w:val="24"/>
        </w:rPr>
        <w:t>4.如中标，本投标文件至本项目合同履行完毕止均保持有效，我方将按“招标文件”及政府采购法律、法规的规定履行合同责任和义务。</w:t>
      </w:r>
    </w:p>
    <w:p w14:paraId="733FB6BC">
      <w:pPr>
        <w:spacing w:line="440" w:lineRule="exact"/>
        <w:ind w:firstLine="480" w:firstLineChars="200"/>
        <w:contextualSpacing/>
        <w:rPr>
          <w:rFonts w:ascii="仿宋" w:hAnsi="仿宋" w:eastAsia="仿宋"/>
          <w:color w:val="auto"/>
          <w:sz w:val="24"/>
        </w:rPr>
      </w:pPr>
      <w:r>
        <w:rPr>
          <w:rFonts w:hint="eastAsia" w:ascii="仿宋" w:hAnsi="仿宋" w:eastAsia="仿宋"/>
          <w:color w:val="auto"/>
          <w:sz w:val="24"/>
        </w:rPr>
        <w:t>5.我方同意按照贵方要求提供与投标有关的一切数据或者资料。</w:t>
      </w:r>
    </w:p>
    <w:p w14:paraId="2CE69895">
      <w:pPr>
        <w:spacing w:line="440" w:lineRule="exact"/>
        <w:ind w:firstLine="480" w:firstLineChars="200"/>
        <w:contextualSpacing/>
        <w:rPr>
          <w:rFonts w:ascii="仿宋" w:hAnsi="仿宋" w:eastAsia="仿宋"/>
          <w:color w:val="auto"/>
          <w:sz w:val="24"/>
        </w:rPr>
      </w:pPr>
      <w:r>
        <w:rPr>
          <w:rFonts w:hint="eastAsia" w:ascii="仿宋" w:hAnsi="仿宋" w:eastAsia="仿宋"/>
          <w:color w:val="auto"/>
          <w:sz w:val="24"/>
        </w:rPr>
        <w:t>6.我方向贵方提交的所有投标文件、资料都是准确的和真实的。</w:t>
      </w:r>
    </w:p>
    <w:p w14:paraId="7F1EFE1F">
      <w:pPr>
        <w:spacing w:line="440" w:lineRule="exact"/>
        <w:ind w:firstLine="480" w:firstLineChars="200"/>
        <w:contextualSpacing/>
        <w:rPr>
          <w:rFonts w:ascii="仿宋" w:hAnsi="仿宋" w:eastAsia="仿宋"/>
          <w:color w:val="auto"/>
          <w:sz w:val="24"/>
        </w:rPr>
      </w:pPr>
      <w:r>
        <w:rPr>
          <w:rFonts w:hint="eastAsia" w:ascii="仿宋" w:hAnsi="仿宋" w:eastAsia="仿宋"/>
          <w:color w:val="auto"/>
          <w:sz w:val="24"/>
        </w:rPr>
        <w:t>7.以上事项如有虚假或者隐瞒，我方愿意承担一切后果，并不再寻求任何旨在减轻或者免除法律责任的辩解。</w:t>
      </w:r>
    </w:p>
    <w:p w14:paraId="04BC50EB">
      <w:pPr>
        <w:spacing w:line="440" w:lineRule="exact"/>
        <w:ind w:firstLine="480" w:firstLineChars="200"/>
        <w:contextualSpacing/>
        <w:rPr>
          <w:rFonts w:ascii="仿宋" w:hAnsi="仿宋" w:eastAsia="仿宋"/>
          <w:color w:val="auto"/>
          <w:sz w:val="24"/>
        </w:rPr>
      </w:pPr>
      <w:r>
        <w:rPr>
          <w:rFonts w:hint="eastAsia" w:ascii="仿宋" w:hAnsi="仿宋" w:eastAsia="仿宋"/>
          <w:color w:val="auto"/>
          <w:sz w:val="24"/>
        </w:rPr>
        <w:t>8.根据</w:t>
      </w:r>
      <w:r>
        <w:rPr>
          <w:rFonts w:ascii="仿宋" w:hAnsi="仿宋" w:eastAsia="仿宋"/>
          <w:color w:val="auto"/>
          <w:sz w:val="24"/>
        </w:rPr>
        <w:t>《中华人民共和国政府采购法实施条例》第五十条要求对政府采购合同进行公告</w:t>
      </w:r>
      <w:r>
        <w:rPr>
          <w:rFonts w:hint="eastAsia" w:ascii="仿宋" w:hAnsi="仿宋" w:eastAsia="仿宋"/>
          <w:color w:val="auto"/>
          <w:sz w:val="24"/>
        </w:rPr>
        <w:t>，</w:t>
      </w:r>
      <w:r>
        <w:rPr>
          <w:rFonts w:ascii="仿宋" w:hAnsi="仿宋" w:eastAsia="仿宋"/>
          <w:color w:val="auto"/>
          <w:sz w:val="24"/>
        </w:rPr>
        <w:t>但政府采购合同中涉及国家秘密、商业秘密的内容除外。</w:t>
      </w:r>
      <w:r>
        <w:rPr>
          <w:rFonts w:hint="eastAsia" w:ascii="仿宋" w:hAnsi="仿宋" w:eastAsia="仿宋"/>
          <w:color w:val="auto"/>
          <w:sz w:val="24"/>
        </w:rPr>
        <w:t>我方就对本次投标文件进行注明如下：（两项内容中必须选择一项）</w:t>
      </w:r>
    </w:p>
    <w:p w14:paraId="74B3EE4A">
      <w:pPr>
        <w:spacing w:line="440" w:lineRule="exact"/>
        <w:ind w:firstLine="480" w:firstLineChars="200"/>
        <w:contextualSpacing/>
        <w:rPr>
          <w:rFonts w:ascii="仿宋" w:hAnsi="仿宋" w:eastAsia="仿宋"/>
          <w:color w:val="auto"/>
          <w:sz w:val="24"/>
        </w:rPr>
      </w:pPr>
      <w:r>
        <w:rPr>
          <w:rFonts w:hint="eastAsia" w:ascii="仿宋" w:hAnsi="仿宋" w:eastAsia="仿宋"/>
          <w:color w:val="auto"/>
          <w:sz w:val="24"/>
        </w:rPr>
        <w:t>☑我方本次投标文件</w:t>
      </w:r>
      <w:r>
        <w:rPr>
          <w:rFonts w:ascii="仿宋" w:hAnsi="仿宋" w:eastAsia="仿宋" w:cs="宋体"/>
          <w:color w:val="auto"/>
          <w:kern w:val="0"/>
          <w:sz w:val="24"/>
        </w:rPr>
        <w:t>内容中</w:t>
      </w:r>
      <w:r>
        <w:rPr>
          <w:rFonts w:hint="eastAsia" w:ascii="仿宋" w:hAnsi="仿宋" w:eastAsia="仿宋"/>
          <w:color w:val="auto"/>
          <w:sz w:val="24"/>
        </w:rPr>
        <w:t>未</w:t>
      </w:r>
      <w:r>
        <w:rPr>
          <w:rFonts w:ascii="仿宋" w:hAnsi="仿宋" w:eastAsia="仿宋" w:cs="宋体"/>
          <w:color w:val="auto"/>
          <w:kern w:val="0"/>
          <w:sz w:val="24"/>
        </w:rPr>
        <w:t>涉及商业秘密</w:t>
      </w:r>
      <w:r>
        <w:rPr>
          <w:rFonts w:hint="eastAsia" w:ascii="仿宋" w:hAnsi="仿宋" w:eastAsia="仿宋" w:cs="宋体"/>
          <w:color w:val="auto"/>
          <w:kern w:val="0"/>
          <w:sz w:val="24"/>
        </w:rPr>
        <w:t>；</w:t>
      </w:r>
    </w:p>
    <w:p w14:paraId="6F31C639">
      <w:pPr>
        <w:spacing w:line="440" w:lineRule="exact"/>
        <w:ind w:firstLine="480" w:firstLineChars="200"/>
        <w:contextualSpacing/>
        <w:rPr>
          <w:rFonts w:ascii="仿宋" w:hAnsi="仿宋" w:eastAsia="仿宋"/>
          <w:color w:val="auto"/>
          <w:sz w:val="24"/>
        </w:rPr>
      </w:pPr>
      <w:r>
        <w:rPr>
          <w:rFonts w:hint="eastAsia" w:ascii="仿宋" w:hAnsi="仿宋" w:eastAsia="仿宋"/>
          <w:color w:val="auto"/>
          <w:sz w:val="24"/>
        </w:rPr>
        <w:t>□我方本次投标文件</w:t>
      </w:r>
      <w:r>
        <w:rPr>
          <w:rFonts w:ascii="仿宋" w:hAnsi="仿宋" w:eastAsia="仿宋" w:cs="宋体"/>
          <w:color w:val="auto"/>
          <w:kern w:val="0"/>
          <w:sz w:val="24"/>
        </w:rPr>
        <w:t>涉及商业秘密</w:t>
      </w:r>
      <w:r>
        <w:rPr>
          <w:rFonts w:hint="eastAsia" w:ascii="仿宋" w:hAnsi="仿宋" w:eastAsia="仿宋" w:cs="宋体"/>
          <w:color w:val="auto"/>
          <w:kern w:val="0"/>
          <w:sz w:val="24"/>
        </w:rPr>
        <w:t>的</w:t>
      </w:r>
      <w:r>
        <w:rPr>
          <w:rFonts w:ascii="仿宋" w:hAnsi="仿宋" w:eastAsia="仿宋" w:cs="宋体"/>
          <w:color w:val="auto"/>
          <w:kern w:val="0"/>
          <w:sz w:val="24"/>
        </w:rPr>
        <w:t>内容</w:t>
      </w:r>
      <w:r>
        <w:rPr>
          <w:rFonts w:hint="eastAsia" w:ascii="仿宋" w:hAnsi="仿宋" w:eastAsia="仿宋" w:cs="宋体"/>
          <w:color w:val="auto"/>
          <w:kern w:val="0"/>
          <w:sz w:val="24"/>
        </w:rPr>
        <w:t>有：；</w:t>
      </w:r>
    </w:p>
    <w:p w14:paraId="63CCB88D">
      <w:pPr>
        <w:spacing w:line="440" w:lineRule="exact"/>
        <w:ind w:firstLine="480" w:firstLineChars="200"/>
        <w:contextualSpacing/>
        <w:rPr>
          <w:rFonts w:ascii="仿宋" w:hAnsi="仿宋" w:eastAsia="仿宋"/>
          <w:color w:val="auto"/>
          <w:sz w:val="24"/>
        </w:rPr>
      </w:pPr>
      <w:r>
        <w:rPr>
          <w:rFonts w:hint="eastAsia" w:ascii="仿宋" w:hAnsi="仿宋" w:eastAsia="仿宋"/>
          <w:color w:val="auto"/>
          <w:sz w:val="24"/>
        </w:rPr>
        <w:t>9.与本投标有关的一切正式往来信函请寄：</w:t>
      </w:r>
    </w:p>
    <w:p w14:paraId="2A04FC75">
      <w:pPr>
        <w:spacing w:line="440" w:lineRule="exact"/>
        <w:ind w:firstLine="480" w:firstLineChars="200"/>
        <w:contextualSpacing/>
        <w:rPr>
          <w:rFonts w:ascii="仿宋" w:hAnsi="仿宋" w:eastAsia="仿宋"/>
          <w:color w:val="auto"/>
          <w:sz w:val="24"/>
          <w:u w:val="single"/>
        </w:rPr>
      </w:pPr>
      <w:r>
        <w:rPr>
          <w:rFonts w:hint="eastAsia" w:ascii="仿宋" w:hAnsi="仿宋" w:eastAsia="仿宋"/>
          <w:color w:val="auto"/>
          <w:sz w:val="24"/>
        </w:rPr>
        <w:t>地址：______邮编：______</w:t>
      </w:r>
    </w:p>
    <w:p w14:paraId="5BB25271">
      <w:pPr>
        <w:spacing w:line="440" w:lineRule="exact"/>
        <w:ind w:firstLine="480" w:firstLineChars="200"/>
        <w:contextualSpacing/>
        <w:rPr>
          <w:rFonts w:ascii="仿宋" w:hAnsi="仿宋" w:eastAsia="仿宋"/>
          <w:color w:val="auto"/>
          <w:sz w:val="24"/>
        </w:rPr>
      </w:pPr>
      <w:r>
        <w:rPr>
          <w:rFonts w:hint="eastAsia" w:ascii="仿宋" w:hAnsi="仿宋" w:eastAsia="仿宋"/>
          <w:color w:val="auto"/>
          <w:sz w:val="24"/>
        </w:rPr>
        <w:t>电话：______    邮箱：______</w:t>
      </w:r>
    </w:p>
    <w:p w14:paraId="5BD8AB79">
      <w:pPr>
        <w:spacing w:line="440" w:lineRule="exact"/>
        <w:ind w:firstLine="480" w:firstLineChars="200"/>
        <w:contextualSpacing/>
        <w:rPr>
          <w:rFonts w:ascii="仿宋" w:hAnsi="仿宋" w:eastAsia="仿宋"/>
          <w:color w:val="auto"/>
          <w:sz w:val="24"/>
        </w:rPr>
      </w:pPr>
      <w:r>
        <w:rPr>
          <w:rFonts w:hint="eastAsia" w:ascii="仿宋" w:hAnsi="仿宋" w:eastAsia="仿宋"/>
          <w:color w:val="auto"/>
          <w:sz w:val="24"/>
        </w:rPr>
        <w:t>投标人名称：__</w:t>
      </w:r>
      <w:r>
        <w:rPr>
          <w:rFonts w:hint="eastAsia" w:ascii="仿宋" w:hAnsi="仿宋" w:eastAsia="仿宋"/>
          <w:color w:val="auto"/>
          <w:sz w:val="24"/>
          <w:u w:val="single"/>
        </w:rPr>
        <w:t>____</w:t>
      </w:r>
    </w:p>
    <w:p w14:paraId="7E47E17A">
      <w:pPr>
        <w:spacing w:line="440" w:lineRule="exact"/>
        <w:ind w:firstLine="480" w:firstLineChars="200"/>
        <w:contextualSpacing/>
        <w:jc w:val="left"/>
        <w:rPr>
          <w:rFonts w:ascii="仿宋" w:hAnsi="仿宋" w:eastAsia="仿宋"/>
          <w:color w:val="auto"/>
          <w:sz w:val="24"/>
        </w:rPr>
      </w:pPr>
      <w:r>
        <w:rPr>
          <w:rFonts w:hint="eastAsia" w:ascii="仿宋" w:hAnsi="仿宋" w:eastAsia="仿宋"/>
          <w:color w:val="auto"/>
          <w:sz w:val="24"/>
        </w:rPr>
        <w:t>开户银行：____银行帐号：_____</w:t>
      </w:r>
    </w:p>
    <w:p w14:paraId="7B038FC6">
      <w:pPr>
        <w:spacing w:line="440" w:lineRule="exact"/>
        <w:ind w:firstLine="480" w:firstLineChars="200"/>
        <w:contextualSpacing/>
        <w:jc w:val="left"/>
        <w:rPr>
          <w:rFonts w:ascii="仿宋" w:hAnsi="仿宋" w:eastAsia="仿宋"/>
          <w:color w:val="auto"/>
          <w:sz w:val="24"/>
        </w:rPr>
      </w:pPr>
      <w:r>
        <w:rPr>
          <w:rFonts w:hint="eastAsia" w:ascii="仿宋" w:hAnsi="仿宋" w:eastAsia="仿宋"/>
          <w:color w:val="auto"/>
          <w:sz w:val="24"/>
        </w:rPr>
        <w:t xml:space="preserve">法定代表人或者委托代理人签字:___________ </w:t>
      </w:r>
    </w:p>
    <w:p w14:paraId="4C6EF83B">
      <w:pPr>
        <w:pStyle w:val="26"/>
        <w:spacing w:line="440" w:lineRule="exact"/>
        <w:contextualSpacing/>
        <w:jc w:val="center"/>
        <w:rPr>
          <w:rFonts w:ascii="仿宋" w:hAnsi="仿宋" w:eastAsia="仿宋"/>
          <w:color w:val="auto"/>
          <w:sz w:val="24"/>
          <w:szCs w:val="24"/>
          <w:u w:val="single"/>
        </w:rPr>
      </w:pPr>
      <w:r>
        <w:rPr>
          <w:rFonts w:hint="eastAsia" w:ascii="仿宋" w:hAnsi="仿宋" w:eastAsia="仿宋"/>
          <w:color w:val="auto"/>
          <w:sz w:val="24"/>
        </w:rPr>
        <w:t>投标人名称（电子签章）：</w:t>
      </w:r>
    </w:p>
    <w:p w14:paraId="7F0931EC">
      <w:pPr>
        <w:pStyle w:val="26"/>
        <w:spacing w:line="440" w:lineRule="exact"/>
        <w:ind w:firstLine="5040" w:firstLineChars="2100"/>
        <w:contextualSpacing/>
        <w:rPr>
          <w:rFonts w:ascii="仿宋" w:hAnsi="仿宋" w:eastAsia="仿宋"/>
          <w:color w:val="auto"/>
          <w:sz w:val="24"/>
        </w:rPr>
      </w:pPr>
      <w:r>
        <w:rPr>
          <w:rFonts w:hint="eastAsia" w:ascii="仿宋" w:hAnsi="仿宋" w:eastAsia="仿宋"/>
          <w:color w:val="auto"/>
          <w:sz w:val="24"/>
          <w:szCs w:val="24"/>
        </w:rPr>
        <w:t>年月日</w:t>
      </w:r>
    </w:p>
    <w:p w14:paraId="4924B632">
      <w:pPr>
        <w:snapToGrid w:val="0"/>
        <w:spacing w:beforeLines="50" w:after="50" w:line="440" w:lineRule="exact"/>
        <w:jc w:val="left"/>
        <w:rPr>
          <w:rFonts w:ascii="仿宋" w:hAnsi="仿宋" w:eastAsia="仿宋"/>
          <w:b/>
          <w:color w:val="auto"/>
          <w:sz w:val="24"/>
          <w:szCs w:val="20"/>
        </w:rPr>
      </w:pPr>
      <w:r>
        <w:rPr>
          <w:rFonts w:ascii="仿宋" w:hAnsi="仿宋" w:eastAsia="仿宋"/>
          <w:color w:val="auto"/>
          <w:u w:val="single"/>
        </w:rPr>
        <w:br w:type="page"/>
      </w:r>
      <w:r>
        <w:rPr>
          <w:rFonts w:hint="eastAsia" w:ascii="仿宋" w:hAnsi="仿宋" w:eastAsia="仿宋"/>
          <w:b/>
          <w:color w:val="auto"/>
          <w:sz w:val="24"/>
        </w:rPr>
        <w:t>4. 开标一览表（货物类格式）</w:t>
      </w:r>
    </w:p>
    <w:p w14:paraId="79BDB0AB">
      <w:pPr>
        <w:snapToGrid w:val="0"/>
        <w:spacing w:before="50" w:after="50"/>
        <w:jc w:val="center"/>
        <w:rPr>
          <w:rFonts w:ascii="仿宋" w:hAnsi="仿宋" w:eastAsia="仿宋"/>
          <w:b/>
          <w:color w:val="auto"/>
          <w:sz w:val="30"/>
        </w:rPr>
      </w:pPr>
      <w:r>
        <w:rPr>
          <w:rFonts w:hint="eastAsia" w:ascii="仿宋" w:hAnsi="仿宋" w:eastAsia="仿宋"/>
          <w:b/>
          <w:color w:val="auto"/>
          <w:sz w:val="30"/>
        </w:rPr>
        <w:t>开标一览表</w:t>
      </w:r>
    </w:p>
    <w:p w14:paraId="73409288">
      <w:pPr>
        <w:snapToGrid w:val="0"/>
        <w:spacing w:before="50" w:after="50"/>
        <w:jc w:val="center"/>
        <w:rPr>
          <w:rFonts w:ascii="仿宋" w:hAnsi="仿宋" w:eastAsia="仿宋"/>
          <w:b/>
          <w:color w:val="auto"/>
          <w:sz w:val="30"/>
          <w:szCs w:val="20"/>
        </w:rPr>
      </w:pPr>
    </w:p>
    <w:p w14:paraId="7499F418">
      <w:pPr>
        <w:snapToGrid w:val="0"/>
        <w:spacing w:before="50" w:after="50" w:line="360" w:lineRule="auto"/>
        <w:rPr>
          <w:rFonts w:ascii="仿宋" w:hAnsi="仿宋" w:eastAsia="仿宋"/>
          <w:color w:val="auto"/>
          <w:sz w:val="24"/>
          <w:u w:val="single"/>
        </w:rPr>
      </w:pPr>
      <w:r>
        <w:rPr>
          <w:rFonts w:hint="eastAsia" w:ascii="仿宋" w:hAnsi="仿宋" w:eastAsia="仿宋"/>
          <w:color w:val="auto"/>
          <w:sz w:val="24"/>
        </w:rPr>
        <w:t>项目名称：项目编号：         分标：</w:t>
      </w:r>
    </w:p>
    <w:p w14:paraId="476AB80E">
      <w:pPr>
        <w:snapToGrid w:val="0"/>
        <w:spacing w:before="50" w:after="50" w:line="360" w:lineRule="auto"/>
        <w:rPr>
          <w:rFonts w:ascii="仿宋" w:hAnsi="仿宋" w:eastAsia="仿宋"/>
          <w:color w:val="auto"/>
          <w:sz w:val="24"/>
        </w:rPr>
      </w:pPr>
      <w:r>
        <w:rPr>
          <w:rFonts w:hint="eastAsia" w:ascii="仿宋" w:hAnsi="仿宋" w:eastAsia="仿宋"/>
          <w:color w:val="auto"/>
          <w:sz w:val="24"/>
        </w:rPr>
        <w:t>投标人名称：                       单位：元</w:t>
      </w:r>
    </w:p>
    <w:tbl>
      <w:tblPr>
        <w:tblStyle w:val="4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1"/>
        <w:gridCol w:w="1418"/>
        <w:gridCol w:w="779"/>
        <w:gridCol w:w="780"/>
        <w:gridCol w:w="709"/>
        <w:gridCol w:w="1417"/>
        <w:gridCol w:w="1338"/>
        <w:gridCol w:w="947"/>
        <w:gridCol w:w="1389"/>
      </w:tblGrid>
      <w:tr w14:paraId="6BDBD7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7"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311C33C9">
            <w:pPr>
              <w:jc w:val="center"/>
              <w:rPr>
                <w:rFonts w:ascii="仿宋_GB2312" w:hAnsi="宋体" w:eastAsia="仿宋_GB2312" w:cs="Calibri"/>
                <w:b/>
                <w:color w:val="auto"/>
                <w:sz w:val="24"/>
              </w:rPr>
            </w:pPr>
            <w:r>
              <w:rPr>
                <w:rFonts w:hint="eastAsia" w:ascii="仿宋_GB2312" w:hAnsi="宋体" w:eastAsia="仿宋_GB2312" w:cs="Calibri"/>
                <w:b/>
                <w:color w:val="auto"/>
                <w:sz w:val="24"/>
              </w:rPr>
              <w:t>项号</w:t>
            </w:r>
          </w:p>
        </w:tc>
        <w:tc>
          <w:tcPr>
            <w:tcW w:w="1418" w:type="dxa"/>
            <w:tcBorders>
              <w:top w:val="single" w:color="auto" w:sz="4" w:space="0"/>
              <w:left w:val="single" w:color="auto" w:sz="4" w:space="0"/>
              <w:bottom w:val="single" w:color="auto" w:sz="4" w:space="0"/>
              <w:right w:val="single" w:color="auto" w:sz="4" w:space="0"/>
            </w:tcBorders>
            <w:vAlign w:val="center"/>
          </w:tcPr>
          <w:p w14:paraId="4E116695">
            <w:pPr>
              <w:jc w:val="center"/>
              <w:rPr>
                <w:rFonts w:ascii="仿宋_GB2312" w:hAnsi="宋体" w:eastAsia="仿宋_GB2312" w:cs="Calibri"/>
                <w:b/>
                <w:color w:val="auto"/>
                <w:sz w:val="24"/>
              </w:rPr>
            </w:pPr>
            <w:r>
              <w:rPr>
                <w:rFonts w:hint="eastAsia" w:ascii="仿宋_GB2312" w:hAnsi="宋体" w:eastAsia="仿宋_GB2312" w:cs="Calibri"/>
                <w:b/>
                <w:color w:val="auto"/>
                <w:sz w:val="24"/>
              </w:rPr>
              <w:t>货物名称</w:t>
            </w:r>
          </w:p>
        </w:tc>
        <w:tc>
          <w:tcPr>
            <w:tcW w:w="779" w:type="dxa"/>
            <w:tcBorders>
              <w:top w:val="single" w:color="auto" w:sz="4" w:space="0"/>
              <w:left w:val="single" w:color="auto" w:sz="4" w:space="0"/>
              <w:bottom w:val="single" w:color="auto" w:sz="4" w:space="0"/>
              <w:right w:val="single" w:color="auto" w:sz="4" w:space="0"/>
            </w:tcBorders>
            <w:vAlign w:val="center"/>
          </w:tcPr>
          <w:p w14:paraId="41A8E957">
            <w:pPr>
              <w:jc w:val="center"/>
              <w:rPr>
                <w:rFonts w:ascii="仿宋_GB2312" w:hAnsi="宋体" w:eastAsia="仿宋_GB2312" w:cs="Calibri"/>
                <w:b/>
                <w:color w:val="auto"/>
                <w:sz w:val="24"/>
              </w:rPr>
            </w:pPr>
            <w:r>
              <w:rPr>
                <w:rFonts w:hint="eastAsia" w:ascii="仿宋_GB2312" w:hAnsi="宋体" w:eastAsia="仿宋_GB2312" w:cs="Calibri"/>
                <w:b/>
                <w:color w:val="auto"/>
                <w:sz w:val="24"/>
              </w:rPr>
              <w:t>数量</w:t>
            </w:r>
          </w:p>
          <w:p w14:paraId="7B5362BD">
            <w:pPr>
              <w:jc w:val="center"/>
              <w:rPr>
                <w:rFonts w:ascii="仿宋_GB2312" w:hAnsi="宋体" w:eastAsia="仿宋_GB2312" w:cs="Calibri"/>
                <w:b/>
                <w:color w:val="auto"/>
                <w:sz w:val="24"/>
              </w:rPr>
            </w:pPr>
            <w:r>
              <w:rPr>
                <w:rFonts w:hint="eastAsia" w:ascii="仿宋_GB2312" w:hAnsi="宋体" w:eastAsia="仿宋_GB2312" w:cs="Calibri"/>
                <w:b/>
                <w:color w:val="auto"/>
                <w:sz w:val="24"/>
              </w:rPr>
              <w:t>①</w:t>
            </w:r>
          </w:p>
        </w:tc>
        <w:tc>
          <w:tcPr>
            <w:tcW w:w="780" w:type="dxa"/>
            <w:tcBorders>
              <w:top w:val="single" w:color="auto" w:sz="4" w:space="0"/>
              <w:left w:val="single" w:color="auto" w:sz="4" w:space="0"/>
              <w:bottom w:val="single" w:color="auto" w:sz="4" w:space="0"/>
              <w:right w:val="single" w:color="auto" w:sz="4" w:space="0"/>
            </w:tcBorders>
            <w:vAlign w:val="center"/>
          </w:tcPr>
          <w:p w14:paraId="376EB2BD">
            <w:pPr>
              <w:rPr>
                <w:rFonts w:ascii="仿宋_GB2312" w:hAnsi="宋体" w:eastAsia="仿宋_GB2312" w:cs="Calibri"/>
                <w:b/>
                <w:color w:val="auto"/>
                <w:sz w:val="24"/>
              </w:rPr>
            </w:pPr>
            <w:r>
              <w:rPr>
                <w:rFonts w:hint="eastAsia" w:ascii="仿宋_GB2312" w:hAnsi="宋体" w:eastAsia="仿宋_GB2312" w:cs="Calibri"/>
                <w:b/>
                <w:color w:val="auto"/>
                <w:sz w:val="24"/>
              </w:rPr>
              <w:t>单位</w:t>
            </w:r>
          </w:p>
        </w:tc>
        <w:tc>
          <w:tcPr>
            <w:tcW w:w="709" w:type="dxa"/>
            <w:tcBorders>
              <w:top w:val="single" w:color="auto" w:sz="4" w:space="0"/>
              <w:left w:val="single" w:color="auto" w:sz="4" w:space="0"/>
              <w:bottom w:val="single" w:color="auto" w:sz="4" w:space="0"/>
              <w:right w:val="single" w:color="auto" w:sz="4" w:space="0"/>
            </w:tcBorders>
            <w:vAlign w:val="center"/>
          </w:tcPr>
          <w:p w14:paraId="7BC757A6">
            <w:pPr>
              <w:jc w:val="center"/>
              <w:rPr>
                <w:rFonts w:ascii="仿宋_GB2312" w:hAnsi="宋体" w:eastAsia="仿宋_GB2312" w:cs="Calibri"/>
                <w:b/>
                <w:color w:val="auto"/>
                <w:sz w:val="24"/>
              </w:rPr>
            </w:pPr>
            <w:r>
              <w:rPr>
                <w:rFonts w:hint="eastAsia" w:ascii="仿宋_GB2312" w:hAnsi="宋体" w:eastAsia="仿宋_GB2312" w:cs="Calibri"/>
                <w:b/>
                <w:color w:val="auto"/>
                <w:sz w:val="24"/>
              </w:rPr>
              <w:t>产地</w:t>
            </w:r>
          </w:p>
        </w:tc>
        <w:tc>
          <w:tcPr>
            <w:tcW w:w="1417" w:type="dxa"/>
            <w:tcBorders>
              <w:top w:val="single" w:color="auto" w:sz="4" w:space="0"/>
              <w:left w:val="single" w:color="auto" w:sz="4" w:space="0"/>
              <w:bottom w:val="single" w:color="auto" w:sz="4" w:space="0"/>
              <w:right w:val="single" w:color="auto" w:sz="4" w:space="0"/>
            </w:tcBorders>
            <w:vAlign w:val="center"/>
          </w:tcPr>
          <w:p w14:paraId="0B9F6C82">
            <w:pPr>
              <w:jc w:val="center"/>
              <w:rPr>
                <w:rFonts w:ascii="仿宋_GB2312" w:hAnsi="宋体" w:eastAsia="仿宋_GB2312" w:cs="Calibri"/>
                <w:b/>
                <w:color w:val="auto"/>
                <w:sz w:val="24"/>
              </w:rPr>
            </w:pPr>
            <w:r>
              <w:rPr>
                <w:rFonts w:hint="eastAsia" w:ascii="仿宋_GB2312" w:hAnsi="宋体" w:eastAsia="仿宋_GB2312" w:cs="Calibri"/>
                <w:b/>
                <w:color w:val="auto"/>
                <w:sz w:val="24"/>
              </w:rPr>
              <w:t>品牌、</w:t>
            </w:r>
          </w:p>
          <w:p w14:paraId="0F2FCCB6">
            <w:pPr>
              <w:jc w:val="center"/>
              <w:rPr>
                <w:rFonts w:ascii="仿宋_GB2312" w:hAnsi="宋体" w:eastAsia="仿宋_GB2312" w:cs="Calibri"/>
                <w:b/>
                <w:color w:val="auto"/>
                <w:sz w:val="24"/>
              </w:rPr>
            </w:pPr>
            <w:r>
              <w:rPr>
                <w:rFonts w:hint="eastAsia" w:ascii="仿宋_GB2312" w:hAnsi="宋体" w:eastAsia="仿宋_GB2312" w:cs="Calibri"/>
                <w:b/>
                <w:color w:val="auto"/>
                <w:sz w:val="24"/>
              </w:rPr>
              <w:t>规格型号</w:t>
            </w:r>
          </w:p>
        </w:tc>
        <w:tc>
          <w:tcPr>
            <w:tcW w:w="1338" w:type="dxa"/>
            <w:tcBorders>
              <w:top w:val="single" w:color="auto" w:sz="4" w:space="0"/>
              <w:left w:val="single" w:color="auto" w:sz="4" w:space="0"/>
              <w:bottom w:val="single" w:color="auto" w:sz="4" w:space="0"/>
              <w:right w:val="single" w:color="auto" w:sz="4" w:space="0"/>
            </w:tcBorders>
            <w:vAlign w:val="center"/>
          </w:tcPr>
          <w:p w14:paraId="6DF83B67">
            <w:pPr>
              <w:jc w:val="center"/>
              <w:rPr>
                <w:rFonts w:ascii="仿宋_GB2312" w:hAnsi="宋体" w:eastAsia="仿宋_GB2312" w:cs="Calibri"/>
                <w:b/>
                <w:color w:val="auto"/>
                <w:sz w:val="24"/>
              </w:rPr>
            </w:pPr>
            <w:r>
              <w:rPr>
                <w:rFonts w:hint="eastAsia" w:ascii="仿宋_GB2312" w:hAnsi="宋体" w:eastAsia="仿宋_GB2312" w:cs="Calibri"/>
                <w:b/>
                <w:color w:val="auto"/>
                <w:sz w:val="24"/>
              </w:rPr>
              <w:t>生产厂家</w:t>
            </w:r>
          </w:p>
        </w:tc>
        <w:tc>
          <w:tcPr>
            <w:tcW w:w="947" w:type="dxa"/>
            <w:tcBorders>
              <w:top w:val="single" w:color="auto" w:sz="4" w:space="0"/>
              <w:left w:val="single" w:color="auto" w:sz="4" w:space="0"/>
              <w:bottom w:val="single" w:color="auto" w:sz="4" w:space="0"/>
              <w:right w:val="single" w:color="auto" w:sz="4" w:space="0"/>
            </w:tcBorders>
            <w:vAlign w:val="center"/>
          </w:tcPr>
          <w:p w14:paraId="5D0BAB21">
            <w:pPr>
              <w:jc w:val="center"/>
              <w:rPr>
                <w:rFonts w:ascii="仿宋_GB2312" w:hAnsi="宋体" w:eastAsia="仿宋_GB2312" w:cs="Calibri"/>
                <w:b/>
                <w:color w:val="auto"/>
                <w:sz w:val="24"/>
              </w:rPr>
            </w:pPr>
            <w:r>
              <w:rPr>
                <w:rFonts w:hint="eastAsia" w:ascii="仿宋_GB2312" w:hAnsi="宋体" w:eastAsia="仿宋_GB2312" w:cs="Calibri"/>
                <w:b/>
                <w:color w:val="auto"/>
                <w:sz w:val="24"/>
              </w:rPr>
              <w:t>单价</w:t>
            </w:r>
          </w:p>
          <w:p w14:paraId="47264FF5">
            <w:pPr>
              <w:jc w:val="center"/>
              <w:rPr>
                <w:rFonts w:ascii="仿宋_GB2312" w:hAnsi="宋体" w:eastAsia="仿宋_GB2312" w:cs="Calibri"/>
                <w:b/>
                <w:color w:val="auto"/>
                <w:sz w:val="24"/>
              </w:rPr>
            </w:pPr>
            <w:r>
              <w:rPr>
                <w:rFonts w:hint="eastAsia" w:ascii="仿宋_GB2312" w:hAnsi="宋体" w:eastAsia="仿宋_GB2312" w:cs="Calibri"/>
                <w:b/>
                <w:color w:val="auto"/>
                <w:sz w:val="24"/>
              </w:rPr>
              <w:t>②</w:t>
            </w:r>
          </w:p>
        </w:tc>
        <w:tc>
          <w:tcPr>
            <w:tcW w:w="1389" w:type="dxa"/>
            <w:tcBorders>
              <w:top w:val="single" w:color="auto" w:sz="4" w:space="0"/>
              <w:left w:val="single" w:color="auto" w:sz="4" w:space="0"/>
              <w:bottom w:val="single" w:color="auto" w:sz="4" w:space="0"/>
              <w:right w:val="single" w:color="auto" w:sz="4" w:space="0"/>
            </w:tcBorders>
            <w:vAlign w:val="center"/>
          </w:tcPr>
          <w:p w14:paraId="674C1714">
            <w:pPr>
              <w:jc w:val="center"/>
              <w:rPr>
                <w:rFonts w:ascii="仿宋_GB2312" w:hAnsi="宋体" w:eastAsia="仿宋_GB2312" w:cs="Calibri"/>
                <w:b/>
                <w:color w:val="auto"/>
                <w:sz w:val="24"/>
              </w:rPr>
            </w:pPr>
            <w:r>
              <w:rPr>
                <w:rFonts w:hint="eastAsia" w:ascii="仿宋_GB2312" w:hAnsi="宋体" w:eastAsia="仿宋_GB2312" w:cs="Calibri"/>
                <w:b/>
                <w:color w:val="auto"/>
                <w:sz w:val="24"/>
              </w:rPr>
              <w:t>投标报价</w:t>
            </w:r>
          </w:p>
          <w:p w14:paraId="6004D99E">
            <w:pPr>
              <w:jc w:val="center"/>
              <w:rPr>
                <w:rFonts w:ascii="仿宋_GB2312" w:hAnsi="宋体" w:eastAsia="仿宋_GB2312" w:cs="Calibri"/>
                <w:b/>
                <w:color w:val="auto"/>
                <w:sz w:val="24"/>
              </w:rPr>
            </w:pPr>
            <w:r>
              <w:rPr>
                <w:rFonts w:hint="eastAsia" w:ascii="仿宋_GB2312" w:hAnsi="宋体" w:eastAsia="仿宋_GB2312" w:cs="Calibri"/>
                <w:b/>
                <w:color w:val="auto"/>
                <w:sz w:val="24"/>
              </w:rPr>
              <w:t>③=①×②</w:t>
            </w:r>
          </w:p>
        </w:tc>
      </w:tr>
      <w:tr w14:paraId="553C4B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47DDA94B">
            <w:pPr>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1</w:t>
            </w:r>
          </w:p>
        </w:tc>
        <w:tc>
          <w:tcPr>
            <w:tcW w:w="1418" w:type="dxa"/>
            <w:tcBorders>
              <w:top w:val="single" w:color="auto" w:sz="4" w:space="0"/>
              <w:left w:val="single" w:color="auto" w:sz="4" w:space="0"/>
              <w:bottom w:val="single" w:color="auto" w:sz="4" w:space="0"/>
              <w:right w:val="single" w:color="auto" w:sz="4" w:space="0"/>
            </w:tcBorders>
            <w:vAlign w:val="center"/>
          </w:tcPr>
          <w:p w14:paraId="1E0F7A55">
            <w:pPr>
              <w:rPr>
                <w:rFonts w:ascii="仿宋_GB2312" w:hAnsi="宋体" w:eastAsia="仿宋_GB2312" w:cs="宋体"/>
                <w:color w:val="auto"/>
                <w:kern w:val="0"/>
                <w:szCs w:val="21"/>
              </w:rPr>
            </w:pPr>
          </w:p>
        </w:tc>
        <w:tc>
          <w:tcPr>
            <w:tcW w:w="779" w:type="dxa"/>
            <w:tcBorders>
              <w:top w:val="single" w:color="auto" w:sz="4" w:space="0"/>
              <w:left w:val="single" w:color="auto" w:sz="4" w:space="0"/>
              <w:bottom w:val="single" w:color="auto" w:sz="4" w:space="0"/>
              <w:right w:val="single" w:color="auto" w:sz="4" w:space="0"/>
            </w:tcBorders>
            <w:vAlign w:val="center"/>
          </w:tcPr>
          <w:p w14:paraId="71506AC8">
            <w:pPr>
              <w:rPr>
                <w:rFonts w:ascii="仿宋_GB2312" w:hAnsi="宋体" w:eastAsia="仿宋_GB2312" w:cs="宋体"/>
                <w:color w:val="auto"/>
                <w:kern w:val="0"/>
                <w:szCs w:val="21"/>
              </w:rPr>
            </w:pPr>
          </w:p>
        </w:tc>
        <w:tc>
          <w:tcPr>
            <w:tcW w:w="780" w:type="dxa"/>
            <w:tcBorders>
              <w:top w:val="single" w:color="auto" w:sz="4" w:space="0"/>
              <w:left w:val="single" w:color="auto" w:sz="4" w:space="0"/>
              <w:bottom w:val="single" w:color="auto" w:sz="4" w:space="0"/>
              <w:right w:val="single" w:color="auto" w:sz="4" w:space="0"/>
            </w:tcBorders>
            <w:vAlign w:val="center"/>
          </w:tcPr>
          <w:p w14:paraId="60CA26AC">
            <w:pPr>
              <w:rPr>
                <w:rFonts w:ascii="仿宋_GB2312" w:hAnsi="宋体" w:eastAsia="仿宋_GB2312" w:cs="宋体"/>
                <w:color w:val="auto"/>
                <w:kern w:val="0"/>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0F5E3285">
            <w:pPr>
              <w:rPr>
                <w:rFonts w:ascii="仿宋_GB2312" w:hAnsi="宋体" w:eastAsia="仿宋_GB2312" w:cs="Calibri"/>
                <w:b/>
                <w:color w:val="auto"/>
                <w:sz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643ED768">
            <w:pPr>
              <w:rPr>
                <w:rFonts w:ascii="仿宋_GB2312" w:hAnsi="宋体" w:eastAsia="仿宋_GB2312" w:cs="Calibri"/>
                <w:color w:val="auto"/>
                <w:sz w:val="24"/>
              </w:rPr>
            </w:pPr>
          </w:p>
        </w:tc>
        <w:tc>
          <w:tcPr>
            <w:tcW w:w="1338" w:type="dxa"/>
            <w:tcBorders>
              <w:top w:val="single" w:color="auto" w:sz="4" w:space="0"/>
              <w:left w:val="single" w:color="auto" w:sz="4" w:space="0"/>
              <w:bottom w:val="single" w:color="auto" w:sz="4" w:space="0"/>
              <w:right w:val="single" w:color="auto" w:sz="4" w:space="0"/>
            </w:tcBorders>
            <w:vAlign w:val="center"/>
          </w:tcPr>
          <w:p w14:paraId="2E0BCB29">
            <w:pPr>
              <w:rPr>
                <w:rFonts w:ascii="仿宋_GB2312" w:hAnsi="宋体" w:eastAsia="仿宋_GB2312" w:cs="Calibri"/>
                <w:color w:val="auto"/>
                <w:sz w:val="24"/>
              </w:rPr>
            </w:pPr>
          </w:p>
        </w:tc>
        <w:tc>
          <w:tcPr>
            <w:tcW w:w="947" w:type="dxa"/>
            <w:tcBorders>
              <w:top w:val="single" w:color="auto" w:sz="4" w:space="0"/>
              <w:left w:val="single" w:color="auto" w:sz="4" w:space="0"/>
              <w:bottom w:val="single" w:color="auto" w:sz="4" w:space="0"/>
              <w:right w:val="single" w:color="auto" w:sz="4" w:space="0"/>
            </w:tcBorders>
            <w:vAlign w:val="center"/>
          </w:tcPr>
          <w:p w14:paraId="2280EC8B">
            <w:pPr>
              <w:rPr>
                <w:rFonts w:ascii="仿宋_GB2312" w:hAnsi="宋体" w:eastAsia="仿宋_GB2312" w:cs="Calibri"/>
                <w:color w:val="auto"/>
                <w:sz w:val="24"/>
              </w:rPr>
            </w:pPr>
          </w:p>
        </w:tc>
        <w:tc>
          <w:tcPr>
            <w:tcW w:w="1389" w:type="dxa"/>
            <w:tcBorders>
              <w:top w:val="single" w:color="auto" w:sz="4" w:space="0"/>
              <w:left w:val="single" w:color="auto" w:sz="4" w:space="0"/>
              <w:bottom w:val="single" w:color="auto" w:sz="4" w:space="0"/>
              <w:right w:val="single" w:color="auto" w:sz="4" w:space="0"/>
            </w:tcBorders>
            <w:vAlign w:val="center"/>
          </w:tcPr>
          <w:p w14:paraId="6A7A9403">
            <w:pPr>
              <w:rPr>
                <w:rFonts w:ascii="仿宋_GB2312" w:hAnsi="宋体" w:eastAsia="仿宋_GB2312" w:cs="Calibri"/>
                <w:color w:val="auto"/>
                <w:sz w:val="24"/>
              </w:rPr>
            </w:pPr>
          </w:p>
        </w:tc>
      </w:tr>
      <w:tr w14:paraId="58ADA9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3EC0BF59">
            <w:pPr>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2</w:t>
            </w:r>
          </w:p>
        </w:tc>
        <w:tc>
          <w:tcPr>
            <w:tcW w:w="1418" w:type="dxa"/>
            <w:tcBorders>
              <w:top w:val="single" w:color="auto" w:sz="4" w:space="0"/>
              <w:left w:val="single" w:color="auto" w:sz="4" w:space="0"/>
              <w:bottom w:val="single" w:color="auto" w:sz="4" w:space="0"/>
              <w:right w:val="single" w:color="auto" w:sz="4" w:space="0"/>
            </w:tcBorders>
            <w:vAlign w:val="center"/>
          </w:tcPr>
          <w:p w14:paraId="07052F44">
            <w:pPr>
              <w:rPr>
                <w:rFonts w:ascii="仿宋_GB2312" w:hAnsi="宋体" w:eastAsia="仿宋_GB2312" w:cs="宋体"/>
                <w:color w:val="auto"/>
                <w:kern w:val="0"/>
                <w:szCs w:val="21"/>
              </w:rPr>
            </w:pPr>
          </w:p>
        </w:tc>
        <w:tc>
          <w:tcPr>
            <w:tcW w:w="779" w:type="dxa"/>
            <w:tcBorders>
              <w:top w:val="single" w:color="auto" w:sz="4" w:space="0"/>
              <w:left w:val="single" w:color="auto" w:sz="4" w:space="0"/>
              <w:bottom w:val="single" w:color="auto" w:sz="4" w:space="0"/>
              <w:right w:val="single" w:color="auto" w:sz="4" w:space="0"/>
            </w:tcBorders>
            <w:vAlign w:val="center"/>
          </w:tcPr>
          <w:p w14:paraId="16EC7A0C">
            <w:pPr>
              <w:rPr>
                <w:rFonts w:ascii="仿宋_GB2312" w:hAnsi="宋体" w:eastAsia="仿宋_GB2312" w:cs="宋体"/>
                <w:color w:val="auto"/>
                <w:kern w:val="0"/>
                <w:szCs w:val="21"/>
              </w:rPr>
            </w:pPr>
          </w:p>
        </w:tc>
        <w:tc>
          <w:tcPr>
            <w:tcW w:w="780" w:type="dxa"/>
            <w:tcBorders>
              <w:top w:val="single" w:color="auto" w:sz="4" w:space="0"/>
              <w:left w:val="single" w:color="auto" w:sz="4" w:space="0"/>
              <w:bottom w:val="single" w:color="auto" w:sz="4" w:space="0"/>
              <w:right w:val="single" w:color="auto" w:sz="4" w:space="0"/>
            </w:tcBorders>
            <w:vAlign w:val="center"/>
          </w:tcPr>
          <w:p w14:paraId="38457574">
            <w:pPr>
              <w:rPr>
                <w:rFonts w:ascii="仿宋_GB2312" w:hAnsi="宋体" w:eastAsia="仿宋_GB2312" w:cs="宋体"/>
                <w:color w:val="auto"/>
                <w:kern w:val="0"/>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6BADFA69">
            <w:pPr>
              <w:rPr>
                <w:rFonts w:ascii="仿宋_GB2312" w:hAnsi="宋体" w:eastAsia="仿宋_GB2312" w:cs="Calibri"/>
                <w:b/>
                <w:color w:val="auto"/>
                <w:sz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70CF3EF3">
            <w:pPr>
              <w:rPr>
                <w:rFonts w:ascii="仿宋_GB2312" w:hAnsi="宋体" w:eastAsia="仿宋_GB2312" w:cs="Calibri"/>
                <w:color w:val="auto"/>
                <w:sz w:val="24"/>
              </w:rPr>
            </w:pPr>
          </w:p>
        </w:tc>
        <w:tc>
          <w:tcPr>
            <w:tcW w:w="1338" w:type="dxa"/>
            <w:tcBorders>
              <w:top w:val="single" w:color="auto" w:sz="4" w:space="0"/>
              <w:left w:val="single" w:color="auto" w:sz="4" w:space="0"/>
              <w:bottom w:val="single" w:color="auto" w:sz="4" w:space="0"/>
              <w:right w:val="single" w:color="auto" w:sz="4" w:space="0"/>
            </w:tcBorders>
            <w:vAlign w:val="center"/>
          </w:tcPr>
          <w:p w14:paraId="592A457F">
            <w:pPr>
              <w:rPr>
                <w:rFonts w:ascii="仿宋_GB2312" w:hAnsi="宋体" w:eastAsia="仿宋_GB2312" w:cs="Calibri"/>
                <w:color w:val="auto"/>
                <w:sz w:val="24"/>
              </w:rPr>
            </w:pPr>
          </w:p>
        </w:tc>
        <w:tc>
          <w:tcPr>
            <w:tcW w:w="947" w:type="dxa"/>
            <w:tcBorders>
              <w:top w:val="single" w:color="auto" w:sz="4" w:space="0"/>
              <w:left w:val="single" w:color="auto" w:sz="4" w:space="0"/>
              <w:bottom w:val="single" w:color="auto" w:sz="4" w:space="0"/>
              <w:right w:val="single" w:color="auto" w:sz="4" w:space="0"/>
            </w:tcBorders>
            <w:vAlign w:val="center"/>
          </w:tcPr>
          <w:p w14:paraId="3CFF2610">
            <w:pPr>
              <w:rPr>
                <w:rFonts w:ascii="仿宋_GB2312" w:hAnsi="宋体" w:eastAsia="仿宋_GB2312" w:cs="Calibri"/>
                <w:color w:val="auto"/>
                <w:sz w:val="24"/>
              </w:rPr>
            </w:pPr>
          </w:p>
        </w:tc>
        <w:tc>
          <w:tcPr>
            <w:tcW w:w="1389" w:type="dxa"/>
            <w:tcBorders>
              <w:top w:val="single" w:color="auto" w:sz="4" w:space="0"/>
              <w:left w:val="single" w:color="auto" w:sz="4" w:space="0"/>
              <w:bottom w:val="single" w:color="auto" w:sz="4" w:space="0"/>
              <w:right w:val="single" w:color="auto" w:sz="4" w:space="0"/>
            </w:tcBorders>
            <w:vAlign w:val="center"/>
          </w:tcPr>
          <w:p w14:paraId="015A071F">
            <w:pPr>
              <w:rPr>
                <w:rFonts w:ascii="仿宋_GB2312" w:hAnsi="宋体" w:eastAsia="仿宋_GB2312" w:cs="Calibri"/>
                <w:color w:val="auto"/>
                <w:sz w:val="24"/>
              </w:rPr>
            </w:pPr>
          </w:p>
        </w:tc>
      </w:tr>
      <w:tr w14:paraId="34B0E8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16E011C8">
            <w:pPr>
              <w:jc w:val="center"/>
              <w:rPr>
                <w:rFonts w:ascii="仿宋_GB2312" w:hAnsi="宋体" w:eastAsia="仿宋_GB2312" w:cs="宋体"/>
                <w:color w:val="auto"/>
                <w:kern w:val="0"/>
                <w:szCs w:val="21"/>
              </w:rPr>
            </w:pPr>
            <w:r>
              <w:rPr>
                <w:rFonts w:ascii="仿宋_GB2312" w:hAnsi="宋体" w:eastAsia="仿宋_GB2312" w:cs="宋体"/>
                <w:color w:val="auto"/>
                <w:kern w:val="0"/>
                <w:szCs w:val="21"/>
              </w:rPr>
              <w:t>……</w:t>
            </w:r>
          </w:p>
        </w:tc>
        <w:tc>
          <w:tcPr>
            <w:tcW w:w="1418" w:type="dxa"/>
            <w:tcBorders>
              <w:top w:val="single" w:color="auto" w:sz="4" w:space="0"/>
              <w:left w:val="single" w:color="auto" w:sz="4" w:space="0"/>
              <w:bottom w:val="single" w:color="auto" w:sz="4" w:space="0"/>
              <w:right w:val="single" w:color="auto" w:sz="4" w:space="0"/>
            </w:tcBorders>
            <w:vAlign w:val="center"/>
          </w:tcPr>
          <w:p w14:paraId="70D77B5A">
            <w:pPr>
              <w:rPr>
                <w:rFonts w:ascii="仿宋_GB2312" w:hAnsi="宋体" w:eastAsia="仿宋_GB2312" w:cs="宋体"/>
                <w:color w:val="auto"/>
                <w:kern w:val="0"/>
                <w:szCs w:val="21"/>
              </w:rPr>
            </w:pPr>
          </w:p>
        </w:tc>
        <w:tc>
          <w:tcPr>
            <w:tcW w:w="779" w:type="dxa"/>
            <w:tcBorders>
              <w:top w:val="single" w:color="auto" w:sz="4" w:space="0"/>
              <w:left w:val="single" w:color="auto" w:sz="4" w:space="0"/>
              <w:bottom w:val="single" w:color="auto" w:sz="4" w:space="0"/>
              <w:right w:val="single" w:color="auto" w:sz="4" w:space="0"/>
            </w:tcBorders>
            <w:vAlign w:val="center"/>
          </w:tcPr>
          <w:p w14:paraId="1F1FC3A1">
            <w:pPr>
              <w:rPr>
                <w:rFonts w:ascii="仿宋_GB2312" w:hAnsi="宋体" w:eastAsia="仿宋_GB2312" w:cs="宋体"/>
                <w:color w:val="auto"/>
                <w:kern w:val="0"/>
                <w:szCs w:val="21"/>
              </w:rPr>
            </w:pPr>
          </w:p>
        </w:tc>
        <w:tc>
          <w:tcPr>
            <w:tcW w:w="780" w:type="dxa"/>
            <w:tcBorders>
              <w:top w:val="single" w:color="auto" w:sz="4" w:space="0"/>
              <w:left w:val="single" w:color="auto" w:sz="4" w:space="0"/>
              <w:bottom w:val="single" w:color="auto" w:sz="4" w:space="0"/>
              <w:right w:val="single" w:color="auto" w:sz="4" w:space="0"/>
            </w:tcBorders>
            <w:vAlign w:val="center"/>
          </w:tcPr>
          <w:p w14:paraId="4F284B1D">
            <w:pPr>
              <w:rPr>
                <w:rFonts w:ascii="仿宋_GB2312" w:hAnsi="宋体" w:eastAsia="仿宋_GB2312" w:cs="宋体"/>
                <w:color w:val="auto"/>
                <w:kern w:val="0"/>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7ED0C066">
            <w:pPr>
              <w:rPr>
                <w:rFonts w:ascii="仿宋_GB2312" w:hAnsi="宋体" w:eastAsia="仿宋_GB2312" w:cs="Calibri"/>
                <w:b/>
                <w:color w:val="auto"/>
                <w:sz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0006B841">
            <w:pPr>
              <w:rPr>
                <w:rFonts w:ascii="仿宋_GB2312" w:hAnsi="宋体" w:eastAsia="仿宋_GB2312" w:cs="Calibri"/>
                <w:color w:val="auto"/>
                <w:sz w:val="24"/>
              </w:rPr>
            </w:pPr>
          </w:p>
        </w:tc>
        <w:tc>
          <w:tcPr>
            <w:tcW w:w="1338" w:type="dxa"/>
            <w:tcBorders>
              <w:top w:val="single" w:color="auto" w:sz="4" w:space="0"/>
              <w:left w:val="single" w:color="auto" w:sz="4" w:space="0"/>
              <w:bottom w:val="single" w:color="auto" w:sz="4" w:space="0"/>
              <w:right w:val="single" w:color="auto" w:sz="4" w:space="0"/>
            </w:tcBorders>
            <w:vAlign w:val="center"/>
          </w:tcPr>
          <w:p w14:paraId="6B94B711">
            <w:pPr>
              <w:rPr>
                <w:rFonts w:ascii="仿宋_GB2312" w:hAnsi="宋体" w:eastAsia="仿宋_GB2312" w:cs="Calibri"/>
                <w:color w:val="auto"/>
                <w:sz w:val="24"/>
              </w:rPr>
            </w:pPr>
          </w:p>
        </w:tc>
        <w:tc>
          <w:tcPr>
            <w:tcW w:w="947" w:type="dxa"/>
            <w:tcBorders>
              <w:top w:val="single" w:color="auto" w:sz="4" w:space="0"/>
              <w:left w:val="single" w:color="auto" w:sz="4" w:space="0"/>
              <w:bottom w:val="single" w:color="auto" w:sz="4" w:space="0"/>
              <w:right w:val="single" w:color="auto" w:sz="4" w:space="0"/>
            </w:tcBorders>
            <w:vAlign w:val="center"/>
          </w:tcPr>
          <w:p w14:paraId="42AA9907">
            <w:pPr>
              <w:rPr>
                <w:rFonts w:ascii="仿宋_GB2312" w:hAnsi="宋体" w:eastAsia="仿宋_GB2312" w:cs="Calibri"/>
                <w:color w:val="auto"/>
                <w:sz w:val="24"/>
              </w:rPr>
            </w:pPr>
          </w:p>
        </w:tc>
        <w:tc>
          <w:tcPr>
            <w:tcW w:w="1389" w:type="dxa"/>
            <w:tcBorders>
              <w:top w:val="single" w:color="auto" w:sz="4" w:space="0"/>
              <w:left w:val="single" w:color="auto" w:sz="4" w:space="0"/>
              <w:bottom w:val="single" w:color="auto" w:sz="4" w:space="0"/>
              <w:right w:val="single" w:color="auto" w:sz="4" w:space="0"/>
            </w:tcBorders>
            <w:vAlign w:val="center"/>
          </w:tcPr>
          <w:p w14:paraId="4DCA9818">
            <w:pPr>
              <w:rPr>
                <w:rFonts w:ascii="仿宋_GB2312" w:hAnsi="宋体" w:eastAsia="仿宋_GB2312" w:cs="Calibri"/>
                <w:color w:val="auto"/>
                <w:sz w:val="24"/>
              </w:rPr>
            </w:pPr>
          </w:p>
        </w:tc>
      </w:tr>
      <w:tr w14:paraId="1BCCBB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618" w:type="dxa"/>
            <w:gridSpan w:val="9"/>
            <w:tcBorders>
              <w:top w:val="single" w:color="auto" w:sz="4" w:space="0"/>
              <w:left w:val="single" w:color="auto" w:sz="4" w:space="0"/>
              <w:bottom w:val="single" w:color="auto" w:sz="4" w:space="0"/>
              <w:right w:val="single" w:color="auto" w:sz="4" w:space="0"/>
            </w:tcBorders>
            <w:vAlign w:val="center"/>
          </w:tcPr>
          <w:p w14:paraId="0EBE8151">
            <w:pPr>
              <w:rPr>
                <w:rFonts w:ascii="仿宋_GB2312" w:hAnsi="宋体" w:eastAsia="仿宋_GB2312" w:cs="Calibri"/>
                <w:color w:val="auto"/>
                <w:spacing w:val="20"/>
                <w:sz w:val="24"/>
              </w:rPr>
            </w:pPr>
            <w:r>
              <w:rPr>
                <w:rFonts w:hint="eastAsia" w:ascii="仿宋_GB2312" w:hAnsi="宋体" w:eastAsia="仿宋_GB2312" w:cs="Calibri"/>
                <w:color w:val="auto"/>
                <w:sz w:val="24"/>
              </w:rPr>
              <w:t>合计总金额</w:t>
            </w:r>
            <w:r>
              <w:rPr>
                <w:rFonts w:hint="eastAsia" w:ascii="仿宋_GB2312" w:hAnsi="宋体" w:eastAsia="仿宋_GB2312" w:cs="Calibri"/>
                <w:color w:val="auto"/>
                <w:spacing w:val="20"/>
                <w:sz w:val="24"/>
              </w:rPr>
              <w:t>（</w:t>
            </w:r>
            <w:r>
              <w:rPr>
                <w:rFonts w:hint="eastAsia" w:ascii="仿宋_GB2312" w:hAnsi="宋体" w:eastAsia="仿宋_GB2312" w:cs="Calibri"/>
                <w:color w:val="auto"/>
                <w:sz w:val="24"/>
              </w:rPr>
              <w:t>大写）：</w:t>
            </w:r>
            <w:r>
              <w:rPr>
                <w:rFonts w:hint="eastAsia" w:ascii="仿宋_GB2312" w:hAnsi="宋体" w:eastAsia="仿宋_GB2312" w:cs="Calibri"/>
                <w:color w:val="auto"/>
                <w:spacing w:val="20"/>
                <w:sz w:val="24"/>
                <w:u w:val="single"/>
              </w:rPr>
              <w:t>人民币</w:t>
            </w:r>
            <w:r>
              <w:rPr>
                <w:rFonts w:hint="eastAsia" w:ascii="仿宋_GB2312" w:hAnsi="宋体" w:eastAsia="仿宋_GB2312" w:cs="Calibri"/>
                <w:color w:val="auto"/>
                <w:sz w:val="24"/>
                <w:u w:val="single"/>
              </w:rPr>
              <w:t>元整</w:t>
            </w:r>
            <w:r>
              <w:rPr>
                <w:rFonts w:hint="eastAsia" w:ascii="仿宋_GB2312" w:hAnsi="宋体" w:eastAsia="仿宋_GB2312" w:cs="Calibri"/>
                <w:color w:val="auto"/>
                <w:spacing w:val="20"/>
                <w:sz w:val="24"/>
                <w:u w:val="single"/>
              </w:rPr>
              <w:t>（</w:t>
            </w:r>
            <w:r>
              <w:rPr>
                <w:rFonts w:hint="eastAsia" w:ascii="宋体" w:hAnsi="宋体" w:eastAsia="仿宋_GB2312" w:cs="Calibri"/>
                <w:color w:val="auto"/>
                <w:spacing w:val="20"/>
                <w:sz w:val="24"/>
                <w:u w:val="single"/>
              </w:rPr>
              <w:t>¥</w:t>
            </w:r>
            <w:r>
              <w:rPr>
                <w:rFonts w:hint="eastAsia" w:ascii="仿宋_GB2312" w:hAnsi="宋体" w:eastAsia="仿宋_GB2312" w:cs="Calibri"/>
                <w:color w:val="auto"/>
                <w:spacing w:val="20"/>
                <w:sz w:val="24"/>
              </w:rPr>
              <w:t>）</w:t>
            </w:r>
          </w:p>
        </w:tc>
      </w:tr>
      <w:tr w14:paraId="798966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618" w:type="dxa"/>
            <w:gridSpan w:val="9"/>
            <w:tcBorders>
              <w:top w:val="single" w:color="auto" w:sz="4" w:space="0"/>
              <w:left w:val="single" w:color="auto" w:sz="4" w:space="0"/>
              <w:bottom w:val="single" w:color="auto" w:sz="4" w:space="0"/>
              <w:right w:val="single" w:color="auto" w:sz="4" w:space="0"/>
            </w:tcBorders>
            <w:vAlign w:val="center"/>
          </w:tcPr>
          <w:p w14:paraId="047EEFCE">
            <w:pPr>
              <w:rPr>
                <w:rFonts w:ascii="仿宋_GB2312" w:hAnsi="宋体" w:eastAsia="仿宋_GB2312" w:cs="Calibri"/>
                <w:color w:val="auto"/>
                <w:sz w:val="24"/>
              </w:rPr>
            </w:pPr>
            <w:r>
              <w:rPr>
                <w:rFonts w:hint="eastAsia" w:ascii="仿宋_GB2312" w:hAnsi="宋体" w:eastAsia="仿宋_GB2312" w:cs="Calibri"/>
                <w:bCs/>
                <w:color w:val="auto"/>
                <w:kern w:val="0"/>
                <w:sz w:val="24"/>
              </w:rPr>
              <w:t>交货时间</w:t>
            </w:r>
            <w:r>
              <w:rPr>
                <w:rFonts w:hint="eastAsia" w:ascii="仿宋_GB2312" w:hAnsi="宋体" w:eastAsia="仿宋_GB2312" w:cs="Calibri"/>
                <w:color w:val="auto"/>
                <w:sz w:val="24"/>
              </w:rPr>
              <w:t>：</w:t>
            </w:r>
          </w:p>
        </w:tc>
      </w:tr>
    </w:tbl>
    <w:p w14:paraId="22A55210">
      <w:pPr>
        <w:snapToGrid w:val="0"/>
        <w:spacing w:before="50" w:after="50" w:line="360" w:lineRule="auto"/>
        <w:jc w:val="left"/>
        <w:rPr>
          <w:rFonts w:ascii="仿宋" w:hAnsi="仿宋" w:eastAsia="仿宋"/>
          <w:color w:val="auto"/>
          <w:sz w:val="24"/>
        </w:rPr>
      </w:pPr>
      <w:r>
        <w:rPr>
          <w:rFonts w:hint="eastAsia" w:ascii="仿宋" w:hAnsi="仿宋" w:eastAsia="仿宋"/>
          <w:color w:val="auto"/>
          <w:sz w:val="24"/>
        </w:rPr>
        <w:t>注：</w:t>
      </w:r>
    </w:p>
    <w:p w14:paraId="38661364">
      <w:pPr>
        <w:snapToGrid w:val="0"/>
        <w:spacing w:before="50" w:after="50" w:line="360" w:lineRule="auto"/>
        <w:ind w:firstLine="480" w:firstLineChars="200"/>
        <w:jc w:val="left"/>
        <w:rPr>
          <w:rFonts w:ascii="仿宋" w:hAnsi="仿宋" w:eastAsia="仿宋"/>
          <w:color w:val="auto"/>
          <w:sz w:val="24"/>
        </w:rPr>
      </w:pPr>
      <w:r>
        <w:rPr>
          <w:rFonts w:hint="eastAsia" w:ascii="仿宋" w:hAnsi="仿宋" w:eastAsia="仿宋"/>
          <w:color w:val="auto"/>
          <w:sz w:val="24"/>
        </w:rPr>
        <w:t>1.投标人的开标一览表必须加盖投标人公章并由</w:t>
      </w:r>
      <w:r>
        <w:rPr>
          <w:rFonts w:ascii="仿宋" w:hAnsi="仿宋" w:eastAsia="仿宋"/>
          <w:color w:val="auto"/>
          <w:sz w:val="24"/>
        </w:rPr>
        <w:t>法定代表人或者委托代理人</w:t>
      </w:r>
      <w:r>
        <w:rPr>
          <w:rFonts w:hint="eastAsia" w:ascii="仿宋" w:hAnsi="仿宋" w:eastAsia="仿宋"/>
          <w:color w:val="auto"/>
          <w:sz w:val="24"/>
        </w:rPr>
        <w:t>签字，</w:t>
      </w:r>
      <w:r>
        <w:rPr>
          <w:rFonts w:hint="eastAsia" w:ascii="仿宋" w:hAnsi="仿宋" w:eastAsia="仿宋"/>
          <w:b/>
          <w:color w:val="auto"/>
          <w:sz w:val="24"/>
        </w:rPr>
        <w:t>否则其投标作无效标处理</w:t>
      </w:r>
      <w:r>
        <w:rPr>
          <w:rFonts w:hint="eastAsia" w:ascii="仿宋" w:hAnsi="仿宋" w:eastAsia="仿宋"/>
          <w:color w:val="auto"/>
          <w:sz w:val="24"/>
        </w:rPr>
        <w:t>。</w:t>
      </w:r>
    </w:p>
    <w:p w14:paraId="6D40F76F">
      <w:pPr>
        <w:snapToGrid w:val="0"/>
        <w:spacing w:before="50" w:after="50" w:line="360" w:lineRule="auto"/>
        <w:ind w:firstLine="480" w:firstLineChars="200"/>
        <w:jc w:val="left"/>
        <w:rPr>
          <w:rFonts w:ascii="仿宋" w:hAnsi="仿宋" w:eastAsia="仿宋"/>
          <w:b/>
          <w:color w:val="auto"/>
          <w:sz w:val="24"/>
        </w:rPr>
      </w:pPr>
      <w:r>
        <w:rPr>
          <w:rFonts w:hint="eastAsia" w:ascii="仿宋" w:hAnsi="仿宋" w:eastAsia="仿宋"/>
          <w:bCs/>
          <w:color w:val="auto"/>
          <w:sz w:val="24"/>
        </w:rPr>
        <w:t>2.</w:t>
      </w:r>
      <w:r>
        <w:rPr>
          <w:rFonts w:hint="eastAsia" w:ascii="仿宋" w:hAnsi="仿宋" w:eastAsia="仿宋"/>
          <w:color w:val="auto"/>
          <w:sz w:val="24"/>
        </w:rPr>
        <w:t>报价一经涂改，应在涂改处加盖投标人公章或者由法定代表人或者委托代理人签字或者盖章</w:t>
      </w:r>
      <w:r>
        <w:rPr>
          <w:rFonts w:hint="eastAsia" w:ascii="仿宋" w:hAnsi="仿宋" w:eastAsia="仿宋"/>
          <w:b/>
          <w:color w:val="auto"/>
          <w:sz w:val="24"/>
        </w:rPr>
        <w:t>，否则其投标作无效标处理。</w:t>
      </w:r>
    </w:p>
    <w:p w14:paraId="752E3018">
      <w:pPr>
        <w:snapToGrid w:val="0"/>
        <w:spacing w:before="50" w:after="50" w:line="360" w:lineRule="auto"/>
        <w:ind w:firstLine="480" w:firstLineChars="200"/>
        <w:jc w:val="left"/>
        <w:rPr>
          <w:rFonts w:ascii="仿宋" w:hAnsi="仿宋" w:eastAsia="仿宋"/>
          <w:color w:val="auto"/>
          <w:sz w:val="24"/>
        </w:rPr>
      </w:pPr>
      <w:r>
        <w:rPr>
          <w:rFonts w:hint="eastAsia" w:ascii="仿宋" w:hAnsi="仿宋" w:eastAsia="仿宋"/>
          <w:color w:val="auto"/>
          <w:sz w:val="24"/>
        </w:rPr>
        <w:t>3.招标文件中列明采购专用耗材的，应按招标文件规定的耗材量或者按耗材的常规试用量提供报价。</w:t>
      </w:r>
    </w:p>
    <w:p w14:paraId="141E7BEE">
      <w:pPr>
        <w:snapToGrid w:val="0"/>
        <w:spacing w:before="50" w:after="50" w:line="360" w:lineRule="auto"/>
        <w:ind w:firstLine="480" w:firstLineChars="200"/>
        <w:jc w:val="left"/>
        <w:rPr>
          <w:rFonts w:ascii="仿宋" w:hAnsi="仿宋" w:eastAsia="仿宋"/>
          <w:color w:val="auto"/>
          <w:sz w:val="24"/>
        </w:rPr>
      </w:pPr>
      <w:r>
        <w:rPr>
          <w:rFonts w:hint="eastAsia" w:ascii="仿宋" w:hAnsi="仿宋" w:eastAsia="仿宋"/>
          <w:color w:val="auto"/>
          <w:sz w:val="24"/>
        </w:rPr>
        <w:t>4.如为联合体投标，“投标人名称”处必须列明联合体各方名称，并标注联合体牵头人名称，</w:t>
      </w:r>
      <w:r>
        <w:rPr>
          <w:rFonts w:hint="eastAsia" w:ascii="仿宋" w:hAnsi="仿宋" w:eastAsia="仿宋"/>
          <w:color w:val="auto"/>
          <w:spacing w:val="-6"/>
          <w:sz w:val="24"/>
        </w:rPr>
        <w:t>盖章处须加盖联合体各方公章，</w:t>
      </w:r>
      <w:r>
        <w:rPr>
          <w:rFonts w:hint="eastAsia" w:ascii="仿宋" w:hAnsi="仿宋" w:eastAsia="仿宋"/>
          <w:b/>
          <w:color w:val="auto"/>
          <w:spacing w:val="-6"/>
          <w:sz w:val="24"/>
        </w:rPr>
        <w:t>否则其投标作无效标处理</w:t>
      </w:r>
      <w:r>
        <w:rPr>
          <w:rFonts w:hint="eastAsia" w:ascii="仿宋" w:hAnsi="仿宋" w:eastAsia="仿宋"/>
          <w:b/>
          <w:color w:val="auto"/>
          <w:sz w:val="24"/>
        </w:rPr>
        <w:t>。</w:t>
      </w:r>
    </w:p>
    <w:p w14:paraId="41ADC7EF">
      <w:pPr>
        <w:snapToGrid w:val="0"/>
        <w:spacing w:before="50" w:after="50" w:line="360" w:lineRule="auto"/>
        <w:ind w:firstLine="480" w:firstLineChars="200"/>
        <w:rPr>
          <w:rFonts w:ascii="仿宋" w:hAnsi="仿宋" w:eastAsia="仿宋"/>
          <w:b/>
          <w:color w:val="auto"/>
          <w:sz w:val="24"/>
        </w:rPr>
      </w:pPr>
      <w:r>
        <w:rPr>
          <w:rFonts w:hint="eastAsia" w:ascii="仿宋" w:hAnsi="仿宋" w:eastAsia="仿宋"/>
          <w:color w:val="auto"/>
          <w:sz w:val="24"/>
        </w:rPr>
        <w:t>5.如有多分标，按分标分别提供开标一览表，</w:t>
      </w:r>
      <w:r>
        <w:rPr>
          <w:rFonts w:hint="eastAsia" w:ascii="仿宋" w:hAnsi="仿宋" w:eastAsia="仿宋"/>
          <w:b/>
          <w:color w:val="auto"/>
          <w:sz w:val="24"/>
        </w:rPr>
        <w:t>否则投标无效。</w:t>
      </w:r>
    </w:p>
    <w:p w14:paraId="5A180B17">
      <w:pPr>
        <w:snapToGrid w:val="0"/>
        <w:spacing w:before="50" w:after="50" w:line="360" w:lineRule="auto"/>
        <w:ind w:firstLine="482" w:firstLineChars="200"/>
        <w:rPr>
          <w:rFonts w:ascii="仿宋" w:hAnsi="仿宋" w:eastAsia="仿宋"/>
          <w:b/>
          <w:color w:val="auto"/>
          <w:sz w:val="24"/>
        </w:rPr>
      </w:pPr>
    </w:p>
    <w:p w14:paraId="15CB2199">
      <w:pPr>
        <w:snapToGrid w:val="0"/>
        <w:spacing w:before="50" w:after="50" w:line="360" w:lineRule="auto"/>
        <w:ind w:left="-2" w:leftChars="-1" w:right="-817" w:rightChars="-389"/>
        <w:rPr>
          <w:rFonts w:ascii="仿宋" w:hAnsi="仿宋" w:eastAsia="仿宋"/>
          <w:color w:val="auto"/>
          <w:sz w:val="24"/>
        </w:rPr>
      </w:pPr>
      <w:r>
        <w:rPr>
          <w:rFonts w:hint="eastAsia" w:ascii="仿宋" w:hAnsi="仿宋" w:eastAsia="仿宋"/>
          <w:color w:val="auto"/>
          <w:sz w:val="24"/>
        </w:rPr>
        <w:t xml:space="preserve">法定代表人或者委托代理人（签字）：                    </w:t>
      </w:r>
    </w:p>
    <w:p w14:paraId="59E3E910">
      <w:pPr>
        <w:snapToGrid w:val="0"/>
        <w:spacing w:before="50" w:after="50" w:line="360" w:lineRule="auto"/>
        <w:ind w:left="-3" w:leftChars="-15" w:right="-817" w:rightChars="-389" w:hanging="28" w:hangingChars="12"/>
        <w:rPr>
          <w:rFonts w:ascii="仿宋" w:hAnsi="仿宋" w:eastAsia="仿宋"/>
          <w:color w:val="auto"/>
          <w:szCs w:val="21"/>
        </w:rPr>
      </w:pPr>
      <w:r>
        <w:rPr>
          <w:rFonts w:hint="eastAsia" w:ascii="仿宋" w:hAnsi="仿宋" w:eastAsia="仿宋"/>
          <w:color w:val="auto"/>
          <w:sz w:val="24"/>
        </w:rPr>
        <w:t>投标人名称（电子签章）：                                 日期：    年   月   日</w:t>
      </w:r>
    </w:p>
    <w:p w14:paraId="45372C60">
      <w:pPr>
        <w:rPr>
          <w:rFonts w:ascii="仿宋" w:hAnsi="仿宋" w:eastAsia="仿宋"/>
          <w:b/>
          <w:color w:val="auto"/>
          <w:sz w:val="28"/>
          <w:szCs w:val="28"/>
        </w:rPr>
      </w:pPr>
      <w:r>
        <w:rPr>
          <w:rFonts w:ascii="仿宋" w:hAnsi="仿宋" w:eastAsia="仿宋"/>
          <w:b/>
          <w:bCs/>
          <w:color w:val="auto"/>
          <w:sz w:val="24"/>
        </w:rPr>
        <w:br w:type="page"/>
      </w:r>
      <w:bookmarkStart w:id="155" w:name="_Toc19686837"/>
      <w:r>
        <w:rPr>
          <w:rFonts w:hint="eastAsia" w:ascii="仿宋" w:hAnsi="仿宋" w:eastAsia="仿宋"/>
          <w:b/>
          <w:color w:val="auto"/>
          <w:sz w:val="28"/>
          <w:szCs w:val="28"/>
        </w:rPr>
        <w:t>二、资格证明文件格式</w:t>
      </w:r>
      <w:bookmarkEnd w:id="153"/>
      <w:bookmarkEnd w:id="154"/>
      <w:bookmarkEnd w:id="155"/>
    </w:p>
    <w:p w14:paraId="679410F0">
      <w:pPr>
        <w:numPr>
          <w:ilvl w:val="2"/>
          <w:numId w:val="8"/>
        </w:numPr>
        <w:snapToGrid w:val="0"/>
        <w:spacing w:beforeLines="50" w:after="50" w:line="360" w:lineRule="auto"/>
        <w:ind w:left="0" w:firstLine="0"/>
        <w:jc w:val="left"/>
        <w:rPr>
          <w:rFonts w:ascii="仿宋" w:hAnsi="仿宋" w:eastAsia="仿宋"/>
          <w:b/>
          <w:color w:val="auto"/>
          <w:sz w:val="24"/>
        </w:rPr>
      </w:pPr>
      <w:r>
        <w:rPr>
          <w:rFonts w:hint="eastAsia" w:ascii="仿宋" w:hAnsi="仿宋" w:eastAsia="仿宋"/>
          <w:b/>
          <w:color w:val="auto"/>
          <w:sz w:val="24"/>
        </w:rPr>
        <w:t xml:space="preserve">资格证明文件封面格式： </w:t>
      </w:r>
    </w:p>
    <w:p w14:paraId="1809ADCE">
      <w:pPr>
        <w:snapToGrid w:val="0"/>
        <w:spacing w:beforeLines="50" w:after="50"/>
        <w:rPr>
          <w:rFonts w:ascii="仿宋" w:hAnsi="仿宋" w:eastAsia="仿宋"/>
          <w:bCs/>
          <w:color w:val="auto"/>
          <w:sz w:val="32"/>
          <w:szCs w:val="20"/>
        </w:rPr>
      </w:pPr>
    </w:p>
    <w:p w14:paraId="4C06AC03">
      <w:pPr>
        <w:snapToGrid w:val="0"/>
        <w:spacing w:beforeLines="50" w:after="50"/>
        <w:rPr>
          <w:rFonts w:ascii="仿宋" w:hAnsi="仿宋" w:eastAsia="仿宋"/>
          <w:color w:val="auto"/>
          <w:sz w:val="24"/>
          <w:szCs w:val="20"/>
        </w:rPr>
      </w:pPr>
    </w:p>
    <w:p w14:paraId="6B060C00">
      <w:pPr>
        <w:snapToGrid w:val="0"/>
        <w:spacing w:beforeLines="50" w:after="50"/>
        <w:rPr>
          <w:rFonts w:ascii="仿宋" w:hAnsi="仿宋" w:eastAsia="仿宋"/>
          <w:color w:val="auto"/>
          <w:sz w:val="24"/>
          <w:szCs w:val="20"/>
        </w:rPr>
      </w:pPr>
    </w:p>
    <w:p w14:paraId="53CACD2C">
      <w:pPr>
        <w:snapToGrid w:val="0"/>
        <w:spacing w:beforeLines="50" w:after="50"/>
        <w:jc w:val="center"/>
        <w:rPr>
          <w:rFonts w:ascii="仿宋" w:hAnsi="仿宋" w:eastAsia="仿宋" w:cs="方正小标宋简体"/>
          <w:color w:val="auto"/>
          <w:sz w:val="84"/>
          <w:szCs w:val="84"/>
        </w:rPr>
      </w:pPr>
      <w:r>
        <w:rPr>
          <w:rFonts w:hint="eastAsia" w:ascii="仿宋" w:hAnsi="仿宋" w:eastAsia="仿宋" w:cs="方正小标宋简体"/>
          <w:color w:val="auto"/>
          <w:sz w:val="84"/>
          <w:szCs w:val="84"/>
        </w:rPr>
        <w:t>投  标  文  件</w:t>
      </w:r>
    </w:p>
    <w:p w14:paraId="645D57D8">
      <w:pPr>
        <w:snapToGrid w:val="0"/>
        <w:spacing w:beforeLines="50" w:after="50"/>
        <w:rPr>
          <w:rFonts w:ascii="仿宋" w:hAnsi="仿宋" w:eastAsia="仿宋"/>
          <w:color w:val="auto"/>
          <w:sz w:val="24"/>
          <w:szCs w:val="20"/>
        </w:rPr>
      </w:pPr>
    </w:p>
    <w:p w14:paraId="40AE3C9A">
      <w:pPr>
        <w:snapToGrid w:val="0"/>
        <w:spacing w:beforeLines="50" w:after="50"/>
        <w:rPr>
          <w:rFonts w:ascii="仿宋" w:hAnsi="仿宋" w:eastAsia="仿宋"/>
          <w:color w:val="auto"/>
          <w:sz w:val="24"/>
          <w:szCs w:val="20"/>
        </w:rPr>
      </w:pPr>
    </w:p>
    <w:p w14:paraId="1A11AEF5">
      <w:pPr>
        <w:snapToGrid w:val="0"/>
        <w:spacing w:beforeLines="50" w:after="50"/>
        <w:jc w:val="center"/>
        <w:rPr>
          <w:rFonts w:ascii="仿宋" w:hAnsi="仿宋" w:eastAsia="仿宋"/>
          <w:b/>
          <w:color w:val="auto"/>
          <w:sz w:val="24"/>
          <w:szCs w:val="20"/>
        </w:rPr>
      </w:pPr>
      <w:r>
        <w:rPr>
          <w:rFonts w:hint="eastAsia" w:ascii="仿宋" w:hAnsi="仿宋" w:eastAsia="仿宋"/>
          <w:b/>
          <w:color w:val="auto"/>
          <w:sz w:val="32"/>
          <w:szCs w:val="32"/>
        </w:rPr>
        <w:t>资 格 证 明 文 件</w:t>
      </w:r>
    </w:p>
    <w:p w14:paraId="052A6C52">
      <w:pPr>
        <w:snapToGrid w:val="0"/>
        <w:spacing w:beforeLines="50" w:after="50"/>
        <w:rPr>
          <w:rFonts w:ascii="仿宋" w:hAnsi="仿宋" w:eastAsia="仿宋"/>
          <w:bCs/>
          <w:color w:val="auto"/>
          <w:sz w:val="24"/>
          <w:szCs w:val="20"/>
        </w:rPr>
      </w:pPr>
    </w:p>
    <w:p w14:paraId="32027ECC">
      <w:pPr>
        <w:snapToGrid w:val="0"/>
        <w:spacing w:beforeLines="50" w:after="50"/>
        <w:rPr>
          <w:rFonts w:ascii="仿宋" w:hAnsi="仿宋" w:eastAsia="仿宋"/>
          <w:bCs/>
          <w:color w:val="auto"/>
          <w:sz w:val="24"/>
          <w:szCs w:val="20"/>
        </w:rPr>
      </w:pPr>
    </w:p>
    <w:p w14:paraId="43B0D50E">
      <w:pPr>
        <w:snapToGrid w:val="0"/>
        <w:spacing w:beforeLines="50" w:after="50"/>
        <w:rPr>
          <w:rFonts w:ascii="仿宋" w:hAnsi="仿宋" w:eastAsia="仿宋"/>
          <w:bCs/>
          <w:color w:val="auto"/>
          <w:sz w:val="24"/>
          <w:szCs w:val="20"/>
        </w:rPr>
      </w:pPr>
    </w:p>
    <w:p w14:paraId="46D360A3">
      <w:pPr>
        <w:snapToGrid w:val="0"/>
        <w:spacing w:beforeLines="50" w:after="50"/>
        <w:rPr>
          <w:rFonts w:ascii="仿宋" w:hAnsi="仿宋" w:eastAsia="仿宋"/>
          <w:bCs/>
          <w:color w:val="auto"/>
          <w:sz w:val="24"/>
          <w:szCs w:val="20"/>
        </w:rPr>
      </w:pPr>
    </w:p>
    <w:p w14:paraId="00204ACF">
      <w:pPr>
        <w:snapToGrid w:val="0"/>
        <w:spacing w:beforeLines="50" w:after="50"/>
        <w:rPr>
          <w:rFonts w:ascii="仿宋" w:hAnsi="仿宋" w:eastAsia="仿宋"/>
          <w:bCs/>
          <w:color w:val="auto"/>
          <w:sz w:val="24"/>
          <w:szCs w:val="20"/>
        </w:rPr>
      </w:pPr>
    </w:p>
    <w:p w14:paraId="6C47EC39">
      <w:pPr>
        <w:snapToGrid w:val="0"/>
        <w:spacing w:beforeLines="50" w:after="50"/>
        <w:ind w:firstLine="540" w:firstLineChars="225"/>
        <w:rPr>
          <w:rFonts w:ascii="仿宋" w:hAnsi="仿宋" w:eastAsia="仿宋"/>
          <w:bCs/>
          <w:color w:val="auto"/>
          <w:sz w:val="24"/>
        </w:rPr>
      </w:pPr>
      <w:r>
        <w:rPr>
          <w:rFonts w:hint="eastAsia" w:ascii="仿宋" w:hAnsi="仿宋" w:eastAsia="仿宋"/>
          <w:bCs/>
          <w:color w:val="auto"/>
          <w:sz w:val="24"/>
        </w:rPr>
        <w:t>项目名称：</w:t>
      </w:r>
    </w:p>
    <w:p w14:paraId="2B2193CC">
      <w:pPr>
        <w:snapToGrid w:val="0"/>
        <w:spacing w:beforeLines="50" w:after="50"/>
        <w:ind w:firstLine="540" w:firstLineChars="225"/>
        <w:rPr>
          <w:rFonts w:ascii="仿宋" w:hAnsi="仿宋" w:eastAsia="仿宋"/>
          <w:bCs/>
          <w:color w:val="auto"/>
          <w:sz w:val="24"/>
          <w:szCs w:val="20"/>
        </w:rPr>
      </w:pPr>
    </w:p>
    <w:p w14:paraId="73A754BC">
      <w:pPr>
        <w:snapToGrid w:val="0"/>
        <w:spacing w:beforeLines="50" w:after="50"/>
        <w:ind w:firstLine="540" w:firstLineChars="225"/>
        <w:rPr>
          <w:rFonts w:ascii="仿宋" w:hAnsi="仿宋" w:eastAsia="仿宋"/>
          <w:bCs/>
          <w:color w:val="auto"/>
          <w:sz w:val="24"/>
        </w:rPr>
      </w:pPr>
      <w:r>
        <w:rPr>
          <w:rFonts w:hint="eastAsia" w:ascii="仿宋" w:hAnsi="仿宋" w:eastAsia="仿宋"/>
          <w:bCs/>
          <w:color w:val="auto"/>
          <w:sz w:val="24"/>
        </w:rPr>
        <w:t>项目编号：</w:t>
      </w:r>
    </w:p>
    <w:p w14:paraId="10E2854A">
      <w:pPr>
        <w:snapToGrid w:val="0"/>
        <w:spacing w:beforeLines="50" w:after="50"/>
        <w:ind w:firstLine="540" w:firstLineChars="225"/>
        <w:rPr>
          <w:rFonts w:ascii="仿宋" w:hAnsi="仿宋" w:eastAsia="仿宋"/>
          <w:bCs/>
          <w:color w:val="auto"/>
          <w:sz w:val="24"/>
          <w:szCs w:val="20"/>
        </w:rPr>
      </w:pPr>
    </w:p>
    <w:p w14:paraId="402EF33D">
      <w:pPr>
        <w:snapToGrid w:val="0"/>
        <w:spacing w:beforeLines="50" w:after="50"/>
        <w:ind w:firstLine="540" w:firstLineChars="225"/>
        <w:rPr>
          <w:rFonts w:ascii="仿宋" w:hAnsi="仿宋" w:eastAsia="仿宋"/>
          <w:bCs/>
          <w:color w:val="auto"/>
          <w:sz w:val="24"/>
        </w:rPr>
      </w:pPr>
      <w:r>
        <w:rPr>
          <w:rFonts w:hint="eastAsia" w:ascii="仿宋" w:hAnsi="仿宋" w:eastAsia="仿宋"/>
          <w:bCs/>
          <w:color w:val="auto"/>
          <w:sz w:val="24"/>
        </w:rPr>
        <w:t>所投分标：</w:t>
      </w:r>
    </w:p>
    <w:p w14:paraId="518C9CC9">
      <w:pPr>
        <w:pStyle w:val="10"/>
        <w:snapToGrid w:val="0"/>
        <w:spacing w:before="50" w:after="50"/>
        <w:ind w:firstLine="540" w:firstLineChars="225"/>
        <w:rPr>
          <w:rFonts w:ascii="仿宋" w:hAnsi="仿宋" w:eastAsia="仿宋"/>
          <w:bCs/>
          <w:color w:val="auto"/>
          <w:sz w:val="24"/>
          <w:szCs w:val="24"/>
        </w:rPr>
      </w:pPr>
    </w:p>
    <w:p w14:paraId="2525FEA2">
      <w:pPr>
        <w:pStyle w:val="10"/>
        <w:snapToGrid w:val="0"/>
        <w:spacing w:before="50" w:after="50"/>
        <w:ind w:firstLine="540" w:firstLineChars="225"/>
        <w:rPr>
          <w:rFonts w:ascii="仿宋" w:hAnsi="仿宋" w:eastAsia="仿宋"/>
          <w:bCs/>
          <w:color w:val="auto"/>
          <w:sz w:val="24"/>
          <w:szCs w:val="24"/>
        </w:rPr>
      </w:pPr>
      <w:r>
        <w:rPr>
          <w:rFonts w:hint="eastAsia" w:ascii="仿宋" w:hAnsi="仿宋" w:eastAsia="仿宋"/>
          <w:bCs/>
          <w:color w:val="auto"/>
          <w:sz w:val="24"/>
          <w:szCs w:val="24"/>
        </w:rPr>
        <w:t>投标人名称：</w:t>
      </w:r>
    </w:p>
    <w:p w14:paraId="0F23E506">
      <w:pPr>
        <w:pStyle w:val="10"/>
        <w:snapToGrid w:val="0"/>
        <w:spacing w:before="50" w:after="50"/>
        <w:ind w:firstLine="540" w:firstLineChars="225"/>
        <w:rPr>
          <w:rFonts w:ascii="仿宋" w:hAnsi="仿宋" w:eastAsia="仿宋"/>
          <w:bCs/>
          <w:color w:val="auto"/>
          <w:sz w:val="24"/>
          <w:szCs w:val="24"/>
        </w:rPr>
      </w:pPr>
    </w:p>
    <w:p w14:paraId="43EAF236">
      <w:pPr>
        <w:pStyle w:val="10"/>
        <w:snapToGrid w:val="0"/>
        <w:spacing w:before="50" w:after="50"/>
        <w:ind w:firstLine="960" w:firstLineChars="400"/>
        <w:rPr>
          <w:rFonts w:ascii="仿宋" w:hAnsi="仿宋" w:eastAsia="仿宋"/>
          <w:bCs/>
          <w:color w:val="auto"/>
          <w:sz w:val="24"/>
          <w:szCs w:val="24"/>
        </w:rPr>
      </w:pPr>
    </w:p>
    <w:p w14:paraId="56999752">
      <w:pPr>
        <w:snapToGrid w:val="0"/>
        <w:spacing w:beforeLines="50" w:after="50"/>
        <w:ind w:firstLine="645"/>
        <w:jc w:val="center"/>
        <w:rPr>
          <w:rFonts w:ascii="仿宋" w:hAnsi="仿宋" w:eastAsia="仿宋"/>
          <w:color w:val="auto"/>
          <w:sz w:val="24"/>
        </w:rPr>
      </w:pPr>
      <w:r>
        <w:rPr>
          <w:rFonts w:hint="eastAsia" w:ascii="仿宋" w:hAnsi="仿宋" w:eastAsia="仿宋"/>
          <w:color w:val="auto"/>
          <w:sz w:val="24"/>
        </w:rPr>
        <w:t>年  月  日</w:t>
      </w:r>
    </w:p>
    <w:p w14:paraId="678141E3">
      <w:pPr>
        <w:snapToGrid w:val="0"/>
        <w:spacing w:beforeLines="50" w:after="50"/>
        <w:rPr>
          <w:rFonts w:ascii="仿宋" w:hAnsi="仿宋" w:eastAsia="仿宋"/>
          <w:color w:val="auto"/>
          <w:sz w:val="24"/>
          <w:szCs w:val="20"/>
        </w:rPr>
      </w:pPr>
    </w:p>
    <w:p w14:paraId="49E802CF">
      <w:pPr>
        <w:snapToGrid w:val="0"/>
        <w:spacing w:beforeLines="50" w:after="50"/>
        <w:rPr>
          <w:rFonts w:ascii="仿宋" w:hAnsi="仿宋" w:eastAsia="仿宋"/>
          <w:color w:val="auto"/>
          <w:sz w:val="24"/>
          <w:szCs w:val="20"/>
        </w:rPr>
      </w:pPr>
    </w:p>
    <w:p w14:paraId="17D88B2B">
      <w:pPr>
        <w:numPr>
          <w:ilvl w:val="2"/>
          <w:numId w:val="8"/>
        </w:numPr>
        <w:snapToGrid w:val="0"/>
        <w:spacing w:beforeLines="50" w:after="50" w:line="360" w:lineRule="auto"/>
        <w:ind w:left="0" w:firstLine="0"/>
        <w:jc w:val="left"/>
        <w:rPr>
          <w:rFonts w:ascii="仿宋" w:hAnsi="仿宋" w:eastAsia="仿宋"/>
          <w:color w:val="auto"/>
          <w:sz w:val="24"/>
          <w:szCs w:val="20"/>
        </w:rPr>
      </w:pPr>
      <w:r>
        <w:rPr>
          <w:rFonts w:ascii="仿宋" w:hAnsi="仿宋" w:eastAsia="仿宋"/>
          <w:b/>
          <w:bCs/>
          <w:color w:val="auto"/>
          <w:sz w:val="24"/>
        </w:rPr>
        <w:br w:type="page"/>
      </w:r>
      <w:r>
        <w:rPr>
          <w:rFonts w:hint="eastAsia" w:ascii="仿宋" w:hAnsi="仿宋" w:eastAsia="仿宋"/>
          <w:b/>
          <w:bCs/>
          <w:color w:val="auto"/>
          <w:sz w:val="24"/>
        </w:rPr>
        <w:t>资格证明文件目录</w:t>
      </w:r>
    </w:p>
    <w:p w14:paraId="3FB95ACD">
      <w:pPr>
        <w:snapToGrid w:val="0"/>
        <w:spacing w:line="360" w:lineRule="auto"/>
        <w:ind w:firstLine="420" w:firstLineChars="200"/>
        <w:jc w:val="left"/>
        <w:rPr>
          <w:rFonts w:ascii="仿宋" w:hAnsi="仿宋" w:eastAsia="仿宋"/>
          <w:color w:val="auto"/>
          <w:szCs w:val="21"/>
        </w:rPr>
      </w:pPr>
      <w:r>
        <w:rPr>
          <w:rFonts w:hint="eastAsia" w:ascii="仿宋" w:hAnsi="仿宋" w:eastAsia="仿宋"/>
          <w:color w:val="auto"/>
          <w:szCs w:val="21"/>
        </w:rPr>
        <w:t>根据招标文件规定及投标人提供的材料自行编写目录。</w:t>
      </w:r>
    </w:p>
    <w:p w14:paraId="4031B1E2">
      <w:pPr>
        <w:snapToGrid w:val="0"/>
        <w:spacing w:before="50" w:afterLines="50"/>
        <w:jc w:val="left"/>
        <w:rPr>
          <w:rFonts w:ascii="仿宋" w:hAnsi="仿宋" w:eastAsia="仿宋"/>
          <w:color w:val="auto"/>
          <w:sz w:val="24"/>
        </w:rPr>
      </w:pPr>
    </w:p>
    <w:p w14:paraId="4EEE8EA4">
      <w:pPr>
        <w:snapToGrid w:val="0"/>
        <w:spacing w:before="50" w:afterLines="50"/>
        <w:jc w:val="left"/>
        <w:rPr>
          <w:rFonts w:ascii="仿宋" w:hAnsi="仿宋" w:eastAsia="仿宋"/>
          <w:color w:val="auto"/>
          <w:sz w:val="24"/>
        </w:rPr>
      </w:pPr>
    </w:p>
    <w:p w14:paraId="7D4D74C5">
      <w:pPr>
        <w:numPr>
          <w:ilvl w:val="2"/>
          <w:numId w:val="8"/>
        </w:numPr>
        <w:snapToGrid w:val="0"/>
        <w:spacing w:beforeLines="50" w:after="50"/>
        <w:ind w:left="0" w:firstLine="0"/>
        <w:jc w:val="left"/>
        <w:rPr>
          <w:rFonts w:ascii="仿宋" w:hAnsi="仿宋" w:eastAsia="仿宋"/>
          <w:b/>
          <w:color w:val="auto"/>
          <w:sz w:val="24"/>
        </w:rPr>
      </w:pPr>
      <w:r>
        <w:rPr>
          <w:rFonts w:ascii="仿宋" w:hAnsi="仿宋" w:eastAsia="仿宋"/>
          <w:b/>
          <w:color w:val="auto"/>
          <w:sz w:val="24"/>
        </w:rPr>
        <w:br w:type="page"/>
      </w:r>
      <w:r>
        <w:rPr>
          <w:rFonts w:hint="eastAsia" w:ascii="仿宋" w:hAnsi="仿宋" w:eastAsia="仿宋"/>
          <w:b/>
          <w:color w:val="auto"/>
          <w:sz w:val="28"/>
          <w:szCs w:val="28"/>
        </w:rPr>
        <w:t>投标人直接控股、管理关系信息表</w:t>
      </w:r>
    </w:p>
    <w:p w14:paraId="2CE35F4B">
      <w:pPr>
        <w:snapToGrid w:val="0"/>
        <w:spacing w:before="50" w:afterLines="50"/>
        <w:jc w:val="center"/>
        <w:rPr>
          <w:rFonts w:ascii="仿宋" w:hAnsi="仿宋" w:eastAsia="仿宋"/>
          <w:b/>
          <w:color w:val="auto"/>
          <w:sz w:val="28"/>
          <w:szCs w:val="28"/>
        </w:rPr>
      </w:pPr>
    </w:p>
    <w:p w14:paraId="030EE42B">
      <w:pPr>
        <w:snapToGrid w:val="0"/>
        <w:spacing w:before="50" w:afterLines="50" w:line="360" w:lineRule="auto"/>
        <w:jc w:val="center"/>
        <w:rPr>
          <w:rFonts w:ascii="仿宋" w:hAnsi="仿宋" w:eastAsia="仿宋"/>
          <w:b/>
          <w:color w:val="auto"/>
          <w:sz w:val="32"/>
          <w:szCs w:val="32"/>
        </w:rPr>
      </w:pPr>
      <w:r>
        <w:rPr>
          <w:rFonts w:hint="eastAsia" w:ascii="仿宋" w:hAnsi="仿宋" w:eastAsia="仿宋"/>
          <w:b/>
          <w:color w:val="auto"/>
          <w:sz w:val="32"/>
          <w:szCs w:val="32"/>
        </w:rPr>
        <w:t>投标人直接控股股东信息表</w:t>
      </w:r>
    </w:p>
    <w:tbl>
      <w:tblPr>
        <w:tblStyle w:val="47"/>
        <w:tblW w:w="0" w:type="auto"/>
        <w:jc w:val="center"/>
        <w:shd w:val="clear" w:color="auto" w:fill="FBFBFB"/>
        <w:tblLayout w:type="fixed"/>
        <w:tblCellMar>
          <w:top w:w="0" w:type="dxa"/>
          <w:left w:w="0" w:type="dxa"/>
          <w:bottom w:w="0" w:type="dxa"/>
          <w:right w:w="0" w:type="dxa"/>
        </w:tblCellMar>
      </w:tblPr>
      <w:tblGrid>
        <w:gridCol w:w="828"/>
        <w:gridCol w:w="2269"/>
        <w:gridCol w:w="1239"/>
        <w:gridCol w:w="4148"/>
        <w:gridCol w:w="992"/>
      </w:tblGrid>
      <w:tr w14:paraId="70C50A21">
        <w:tblPrEx>
          <w:shd w:val="clear" w:color="auto" w:fill="FBFBFB"/>
          <w:tblCellMar>
            <w:top w:w="0" w:type="dxa"/>
            <w:left w:w="0" w:type="dxa"/>
            <w:bottom w:w="0" w:type="dxa"/>
            <w:right w:w="0" w:type="dxa"/>
          </w:tblCellMar>
        </w:tblPrEx>
        <w:trPr>
          <w:tblHeader/>
          <w:jc w:val="cent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373E0D4">
            <w:pPr>
              <w:spacing w:line="360" w:lineRule="auto"/>
              <w:jc w:val="center"/>
              <w:rPr>
                <w:rFonts w:ascii="仿宋" w:hAnsi="仿宋" w:eastAsia="仿宋" w:cs="宋体"/>
                <w:b/>
                <w:bCs/>
                <w:color w:val="auto"/>
                <w:kern w:val="0"/>
                <w:sz w:val="24"/>
              </w:rPr>
            </w:pPr>
            <w:r>
              <w:rPr>
                <w:rFonts w:hint="eastAsia" w:ascii="仿宋" w:hAnsi="仿宋" w:eastAsia="仿宋" w:cs="宋体"/>
                <w:b/>
                <w:bCs/>
                <w:color w:val="auto"/>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0CB3AA0">
            <w:pPr>
              <w:spacing w:line="360" w:lineRule="auto"/>
              <w:jc w:val="center"/>
              <w:rPr>
                <w:rFonts w:ascii="仿宋" w:hAnsi="仿宋" w:eastAsia="仿宋" w:cs="宋体"/>
                <w:b/>
                <w:bCs/>
                <w:color w:val="auto"/>
                <w:kern w:val="0"/>
                <w:sz w:val="24"/>
              </w:rPr>
            </w:pPr>
            <w:r>
              <w:rPr>
                <w:rFonts w:hint="eastAsia" w:ascii="仿宋" w:hAnsi="仿宋" w:eastAsia="仿宋" w:cs="宋体"/>
                <w:b/>
                <w:bCs/>
                <w:color w:val="auto"/>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7CBCC5E">
            <w:pPr>
              <w:spacing w:line="360" w:lineRule="auto"/>
              <w:jc w:val="center"/>
              <w:rPr>
                <w:rFonts w:ascii="仿宋" w:hAnsi="仿宋" w:eastAsia="仿宋" w:cs="宋体"/>
                <w:b/>
                <w:bCs/>
                <w:color w:val="auto"/>
                <w:kern w:val="0"/>
                <w:sz w:val="24"/>
              </w:rPr>
            </w:pPr>
            <w:r>
              <w:rPr>
                <w:rFonts w:hint="eastAsia" w:ascii="仿宋" w:hAnsi="仿宋" w:eastAsia="仿宋" w:cs="宋体"/>
                <w:b/>
                <w:bCs/>
                <w:color w:val="auto"/>
                <w:kern w:val="0"/>
                <w:sz w:val="24"/>
              </w:rPr>
              <w:t>出资比例</w:t>
            </w:r>
          </w:p>
        </w:tc>
        <w:tc>
          <w:tcPr>
            <w:tcW w:w="414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FA84BEB">
            <w:pPr>
              <w:spacing w:line="360" w:lineRule="auto"/>
              <w:jc w:val="center"/>
              <w:rPr>
                <w:rFonts w:ascii="仿宋" w:hAnsi="仿宋" w:eastAsia="仿宋" w:cs="宋体"/>
                <w:b/>
                <w:bCs/>
                <w:color w:val="auto"/>
                <w:kern w:val="0"/>
                <w:sz w:val="24"/>
              </w:rPr>
            </w:pPr>
            <w:r>
              <w:rPr>
                <w:rFonts w:hint="eastAsia" w:ascii="仿宋" w:hAnsi="仿宋" w:eastAsia="仿宋" w:cs="宋体"/>
                <w:b/>
                <w:bCs/>
                <w:color w:val="auto"/>
                <w:kern w:val="0"/>
                <w:sz w:val="24"/>
              </w:rPr>
              <w:t>身份证号码或者统一社会信用代码</w:t>
            </w:r>
          </w:p>
        </w:tc>
        <w:tc>
          <w:tcPr>
            <w:tcW w:w="99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2F84562">
            <w:pPr>
              <w:spacing w:line="360" w:lineRule="auto"/>
              <w:jc w:val="center"/>
              <w:rPr>
                <w:rFonts w:ascii="仿宋" w:hAnsi="仿宋" w:eastAsia="仿宋" w:cs="宋体"/>
                <w:b/>
                <w:bCs/>
                <w:color w:val="auto"/>
                <w:kern w:val="0"/>
                <w:sz w:val="24"/>
              </w:rPr>
            </w:pPr>
            <w:r>
              <w:rPr>
                <w:rFonts w:hint="eastAsia" w:ascii="仿宋" w:hAnsi="仿宋" w:eastAsia="仿宋" w:cs="宋体"/>
                <w:b/>
                <w:bCs/>
                <w:color w:val="auto"/>
                <w:kern w:val="0"/>
                <w:sz w:val="24"/>
              </w:rPr>
              <w:t>备注</w:t>
            </w:r>
          </w:p>
        </w:tc>
      </w:tr>
      <w:tr w14:paraId="7D53B09F">
        <w:tblPrEx>
          <w:shd w:val="clear" w:color="auto" w:fill="FBFBFB"/>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210F279">
            <w:pPr>
              <w:spacing w:line="360" w:lineRule="auto"/>
              <w:jc w:val="center"/>
              <w:rPr>
                <w:rFonts w:ascii="仿宋" w:hAnsi="仿宋" w:eastAsia="仿宋" w:cs="宋体"/>
                <w:color w:val="auto"/>
                <w:kern w:val="0"/>
                <w:sz w:val="24"/>
              </w:rPr>
            </w:pPr>
            <w:r>
              <w:rPr>
                <w:rFonts w:hint="eastAsia" w:ascii="仿宋" w:hAnsi="仿宋" w:eastAsia="仿宋" w:cs="宋体"/>
                <w:color w:val="auto"/>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E2BE3D">
            <w:pPr>
              <w:spacing w:line="360" w:lineRule="auto"/>
              <w:jc w:val="center"/>
              <w:rPr>
                <w:rFonts w:ascii="仿宋" w:hAnsi="仿宋" w:eastAsia="仿宋"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B77800">
            <w:pPr>
              <w:spacing w:line="360" w:lineRule="auto"/>
              <w:jc w:val="center"/>
              <w:rPr>
                <w:rFonts w:ascii="仿宋" w:hAnsi="仿宋" w:eastAsia="仿宋" w:cs="宋体"/>
                <w:color w:val="auto"/>
                <w:kern w:val="0"/>
                <w:sz w:val="24"/>
              </w:rPr>
            </w:pPr>
          </w:p>
        </w:tc>
        <w:tc>
          <w:tcPr>
            <w:tcW w:w="414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26E3912">
            <w:pPr>
              <w:spacing w:line="360" w:lineRule="auto"/>
              <w:jc w:val="center"/>
              <w:rPr>
                <w:rFonts w:ascii="仿宋" w:hAnsi="仿宋" w:eastAsia="仿宋" w:cs="宋体"/>
                <w:color w:val="auto"/>
                <w:kern w:val="0"/>
                <w:sz w:val="24"/>
              </w:rPr>
            </w:pPr>
          </w:p>
        </w:tc>
        <w:tc>
          <w:tcPr>
            <w:tcW w:w="99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78D9BB">
            <w:pPr>
              <w:spacing w:line="360" w:lineRule="auto"/>
              <w:jc w:val="center"/>
              <w:rPr>
                <w:rFonts w:ascii="仿宋" w:hAnsi="仿宋" w:eastAsia="仿宋" w:cs="宋体"/>
                <w:color w:val="auto"/>
                <w:kern w:val="0"/>
                <w:sz w:val="24"/>
              </w:rPr>
            </w:pPr>
          </w:p>
        </w:tc>
      </w:tr>
      <w:tr w14:paraId="472A0137">
        <w:tblPrEx>
          <w:shd w:val="clear" w:color="auto" w:fill="FBFBFB"/>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54D91E8">
            <w:pPr>
              <w:spacing w:line="360" w:lineRule="auto"/>
              <w:jc w:val="center"/>
              <w:rPr>
                <w:rFonts w:ascii="仿宋" w:hAnsi="仿宋" w:eastAsia="仿宋" w:cs="宋体"/>
                <w:color w:val="auto"/>
                <w:kern w:val="0"/>
                <w:sz w:val="24"/>
              </w:rPr>
            </w:pPr>
            <w:r>
              <w:rPr>
                <w:rFonts w:hint="eastAsia" w:ascii="仿宋" w:hAnsi="仿宋" w:eastAsia="仿宋" w:cs="宋体"/>
                <w:color w:val="auto"/>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E458CA9">
            <w:pPr>
              <w:spacing w:line="360" w:lineRule="auto"/>
              <w:jc w:val="center"/>
              <w:rPr>
                <w:rFonts w:ascii="仿宋" w:hAnsi="仿宋" w:eastAsia="仿宋"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1D44AB3">
            <w:pPr>
              <w:spacing w:line="360" w:lineRule="auto"/>
              <w:jc w:val="center"/>
              <w:rPr>
                <w:rFonts w:ascii="仿宋" w:hAnsi="仿宋" w:eastAsia="仿宋" w:cs="宋体"/>
                <w:color w:val="auto"/>
                <w:kern w:val="0"/>
                <w:sz w:val="24"/>
              </w:rPr>
            </w:pPr>
          </w:p>
        </w:tc>
        <w:tc>
          <w:tcPr>
            <w:tcW w:w="414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61C03A8">
            <w:pPr>
              <w:spacing w:line="360" w:lineRule="auto"/>
              <w:jc w:val="center"/>
              <w:rPr>
                <w:rFonts w:ascii="仿宋" w:hAnsi="仿宋" w:eastAsia="仿宋" w:cs="宋体"/>
                <w:color w:val="auto"/>
                <w:kern w:val="0"/>
                <w:sz w:val="24"/>
              </w:rPr>
            </w:pPr>
          </w:p>
        </w:tc>
        <w:tc>
          <w:tcPr>
            <w:tcW w:w="99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E29E7E0">
            <w:pPr>
              <w:spacing w:line="360" w:lineRule="auto"/>
              <w:jc w:val="center"/>
              <w:rPr>
                <w:rFonts w:ascii="仿宋" w:hAnsi="仿宋" w:eastAsia="仿宋" w:cs="宋体"/>
                <w:color w:val="auto"/>
                <w:kern w:val="0"/>
                <w:sz w:val="24"/>
              </w:rPr>
            </w:pPr>
          </w:p>
        </w:tc>
      </w:tr>
      <w:tr w14:paraId="163B9BEB">
        <w:tblPrEx>
          <w:shd w:val="clear" w:color="auto" w:fill="FBFBFB"/>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16CFECA">
            <w:pPr>
              <w:spacing w:line="360" w:lineRule="auto"/>
              <w:jc w:val="center"/>
              <w:rPr>
                <w:rFonts w:ascii="仿宋" w:hAnsi="仿宋" w:eastAsia="仿宋" w:cs="宋体"/>
                <w:color w:val="auto"/>
                <w:kern w:val="0"/>
                <w:sz w:val="24"/>
              </w:rPr>
            </w:pPr>
            <w:r>
              <w:rPr>
                <w:rFonts w:hint="eastAsia" w:ascii="仿宋" w:hAnsi="仿宋" w:eastAsia="仿宋" w:cs="宋体"/>
                <w:color w:val="auto"/>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A4DF59A">
            <w:pPr>
              <w:spacing w:line="360" w:lineRule="auto"/>
              <w:jc w:val="center"/>
              <w:rPr>
                <w:rFonts w:ascii="仿宋" w:hAnsi="仿宋" w:eastAsia="仿宋"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0651BD">
            <w:pPr>
              <w:spacing w:line="360" w:lineRule="auto"/>
              <w:jc w:val="center"/>
              <w:rPr>
                <w:rFonts w:ascii="仿宋" w:hAnsi="仿宋" w:eastAsia="仿宋" w:cs="宋体"/>
                <w:color w:val="auto"/>
                <w:kern w:val="0"/>
                <w:sz w:val="24"/>
              </w:rPr>
            </w:pPr>
          </w:p>
        </w:tc>
        <w:tc>
          <w:tcPr>
            <w:tcW w:w="414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6F0E7A8">
            <w:pPr>
              <w:spacing w:line="360" w:lineRule="auto"/>
              <w:jc w:val="center"/>
              <w:rPr>
                <w:rFonts w:ascii="仿宋" w:hAnsi="仿宋" w:eastAsia="仿宋" w:cs="宋体"/>
                <w:color w:val="auto"/>
                <w:kern w:val="0"/>
                <w:sz w:val="24"/>
              </w:rPr>
            </w:pPr>
          </w:p>
        </w:tc>
        <w:tc>
          <w:tcPr>
            <w:tcW w:w="99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AD94282">
            <w:pPr>
              <w:spacing w:line="360" w:lineRule="auto"/>
              <w:jc w:val="center"/>
              <w:rPr>
                <w:rFonts w:ascii="仿宋" w:hAnsi="仿宋" w:eastAsia="仿宋" w:cs="宋体"/>
                <w:color w:val="auto"/>
                <w:kern w:val="0"/>
                <w:sz w:val="24"/>
              </w:rPr>
            </w:pPr>
          </w:p>
        </w:tc>
      </w:tr>
      <w:tr w14:paraId="076020C1">
        <w:tblPrEx>
          <w:shd w:val="clear" w:color="auto" w:fill="FBFBFB"/>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3661DDE">
            <w:pPr>
              <w:spacing w:line="360" w:lineRule="auto"/>
              <w:jc w:val="center"/>
              <w:rPr>
                <w:rFonts w:ascii="仿宋" w:hAnsi="仿宋" w:eastAsia="仿宋" w:cs="宋体"/>
                <w:color w:val="auto"/>
                <w:kern w:val="0"/>
                <w:sz w:val="24"/>
              </w:rPr>
            </w:pPr>
            <w:r>
              <w:rPr>
                <w:rFonts w:hint="eastAsia" w:ascii="仿宋" w:hAnsi="仿宋" w:eastAsia="仿宋" w:cs="宋体"/>
                <w:color w:val="auto"/>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EC2D54">
            <w:pPr>
              <w:spacing w:line="360" w:lineRule="auto"/>
              <w:jc w:val="center"/>
              <w:rPr>
                <w:rFonts w:ascii="仿宋" w:hAnsi="仿宋" w:eastAsia="仿宋"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76BEBE9">
            <w:pPr>
              <w:spacing w:line="360" w:lineRule="auto"/>
              <w:jc w:val="center"/>
              <w:rPr>
                <w:rFonts w:ascii="仿宋" w:hAnsi="仿宋" w:eastAsia="仿宋" w:cs="宋体"/>
                <w:color w:val="auto"/>
                <w:kern w:val="0"/>
                <w:sz w:val="24"/>
              </w:rPr>
            </w:pPr>
          </w:p>
        </w:tc>
        <w:tc>
          <w:tcPr>
            <w:tcW w:w="414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ABED88E">
            <w:pPr>
              <w:spacing w:line="360" w:lineRule="auto"/>
              <w:jc w:val="center"/>
              <w:rPr>
                <w:rFonts w:ascii="仿宋" w:hAnsi="仿宋" w:eastAsia="仿宋" w:cs="宋体"/>
                <w:color w:val="auto"/>
                <w:kern w:val="0"/>
                <w:sz w:val="24"/>
              </w:rPr>
            </w:pPr>
          </w:p>
        </w:tc>
        <w:tc>
          <w:tcPr>
            <w:tcW w:w="99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0E4F6F">
            <w:pPr>
              <w:spacing w:line="360" w:lineRule="auto"/>
              <w:jc w:val="center"/>
              <w:rPr>
                <w:rFonts w:ascii="仿宋" w:hAnsi="仿宋" w:eastAsia="仿宋" w:cs="宋体"/>
                <w:color w:val="auto"/>
                <w:kern w:val="0"/>
                <w:sz w:val="24"/>
              </w:rPr>
            </w:pPr>
          </w:p>
        </w:tc>
      </w:tr>
    </w:tbl>
    <w:p w14:paraId="22E037A6">
      <w:pPr>
        <w:snapToGrid w:val="0"/>
        <w:spacing w:line="360" w:lineRule="auto"/>
        <w:jc w:val="left"/>
        <w:rPr>
          <w:rFonts w:ascii="仿宋" w:hAnsi="仿宋" w:eastAsia="仿宋"/>
          <w:color w:val="auto"/>
          <w:sz w:val="24"/>
        </w:rPr>
      </w:pPr>
      <w:r>
        <w:rPr>
          <w:rFonts w:hint="eastAsia" w:ascii="仿宋" w:hAnsi="仿宋" w:eastAsia="仿宋"/>
          <w:color w:val="auto"/>
          <w:sz w:val="24"/>
        </w:rPr>
        <w:t>注：</w:t>
      </w:r>
    </w:p>
    <w:p w14:paraId="7A5758C5">
      <w:pPr>
        <w:snapToGrid w:val="0"/>
        <w:spacing w:line="360" w:lineRule="auto"/>
        <w:jc w:val="left"/>
        <w:rPr>
          <w:rFonts w:ascii="仿宋" w:hAnsi="仿宋" w:eastAsia="仿宋"/>
          <w:color w:val="auto"/>
          <w:sz w:val="24"/>
        </w:rPr>
      </w:pPr>
      <w:r>
        <w:rPr>
          <w:rFonts w:hint="eastAsia" w:ascii="仿宋" w:hAnsi="仿宋" w:eastAsia="仿宋"/>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D0FBE51">
      <w:pPr>
        <w:snapToGrid w:val="0"/>
        <w:spacing w:line="360" w:lineRule="auto"/>
        <w:jc w:val="left"/>
        <w:rPr>
          <w:rFonts w:ascii="仿宋" w:hAnsi="仿宋" w:eastAsia="仿宋"/>
          <w:color w:val="auto"/>
          <w:sz w:val="24"/>
        </w:rPr>
      </w:pPr>
      <w:r>
        <w:rPr>
          <w:rFonts w:hint="eastAsia" w:ascii="仿宋" w:hAnsi="仿宋" w:eastAsia="仿宋"/>
          <w:color w:val="auto"/>
          <w:sz w:val="24"/>
        </w:rPr>
        <w:t>2.本表所指的控股关系仅限于直接控股关系，不包括间接的控股关系。公司实际控制人与公司之间的关系不属于本表所指的直接控股关系。</w:t>
      </w:r>
    </w:p>
    <w:p w14:paraId="71C53E5E">
      <w:pPr>
        <w:snapToGrid w:val="0"/>
        <w:spacing w:line="360" w:lineRule="auto"/>
        <w:jc w:val="left"/>
        <w:rPr>
          <w:rFonts w:ascii="仿宋" w:hAnsi="仿宋" w:eastAsia="仿宋"/>
          <w:color w:val="auto"/>
          <w:sz w:val="24"/>
        </w:rPr>
      </w:pPr>
      <w:r>
        <w:rPr>
          <w:rFonts w:hint="eastAsia" w:ascii="仿宋" w:hAnsi="仿宋" w:eastAsia="仿宋"/>
          <w:color w:val="auto"/>
          <w:sz w:val="24"/>
        </w:rPr>
        <w:t>3.供应商不存在直接控股股东的，则填“无”。</w:t>
      </w:r>
    </w:p>
    <w:p w14:paraId="1777C329">
      <w:pPr>
        <w:snapToGrid w:val="0"/>
        <w:spacing w:line="360" w:lineRule="auto"/>
        <w:jc w:val="left"/>
        <w:rPr>
          <w:rFonts w:ascii="仿宋" w:hAnsi="仿宋" w:eastAsia="仿宋"/>
          <w:color w:val="auto"/>
          <w:sz w:val="24"/>
        </w:rPr>
      </w:pPr>
    </w:p>
    <w:p w14:paraId="0755A9DC">
      <w:pPr>
        <w:snapToGrid w:val="0"/>
        <w:spacing w:line="360" w:lineRule="auto"/>
        <w:jc w:val="left"/>
        <w:rPr>
          <w:rFonts w:ascii="仿宋" w:hAnsi="仿宋" w:eastAsia="仿宋"/>
          <w:color w:val="auto"/>
          <w:sz w:val="24"/>
        </w:rPr>
      </w:pPr>
    </w:p>
    <w:p w14:paraId="32638A26">
      <w:pPr>
        <w:snapToGrid w:val="0"/>
        <w:spacing w:line="360" w:lineRule="auto"/>
        <w:jc w:val="left"/>
        <w:rPr>
          <w:rFonts w:ascii="仿宋" w:hAnsi="仿宋" w:eastAsia="仿宋"/>
          <w:color w:val="auto"/>
          <w:sz w:val="24"/>
        </w:rPr>
      </w:pPr>
    </w:p>
    <w:p w14:paraId="08A28B2D">
      <w:pPr>
        <w:snapToGrid w:val="0"/>
        <w:spacing w:line="360" w:lineRule="auto"/>
        <w:jc w:val="left"/>
        <w:rPr>
          <w:rFonts w:ascii="仿宋" w:hAnsi="仿宋" w:eastAsia="仿宋"/>
          <w:color w:val="auto"/>
          <w:sz w:val="24"/>
        </w:rPr>
      </w:pPr>
    </w:p>
    <w:p w14:paraId="4C444570">
      <w:pPr>
        <w:snapToGrid w:val="0"/>
        <w:spacing w:line="360" w:lineRule="auto"/>
        <w:jc w:val="left"/>
        <w:rPr>
          <w:rFonts w:ascii="仿宋" w:hAnsi="仿宋" w:eastAsia="仿宋"/>
          <w:color w:val="auto"/>
          <w:sz w:val="24"/>
        </w:rPr>
      </w:pPr>
    </w:p>
    <w:p w14:paraId="0826FEA3">
      <w:pPr>
        <w:snapToGrid w:val="0"/>
        <w:spacing w:beforeLines="50" w:line="360" w:lineRule="auto"/>
        <w:ind w:right="480" w:firstLine="3967" w:firstLineChars="1653"/>
        <w:rPr>
          <w:rFonts w:ascii="仿宋" w:hAnsi="仿宋" w:eastAsia="仿宋"/>
          <w:color w:val="auto"/>
          <w:sz w:val="24"/>
          <w:u w:val="single"/>
        </w:rPr>
      </w:pPr>
      <w:r>
        <w:rPr>
          <w:rFonts w:hint="eastAsia" w:ascii="仿宋" w:hAnsi="仿宋" w:eastAsia="仿宋"/>
          <w:color w:val="auto"/>
          <w:sz w:val="24"/>
        </w:rPr>
        <w:t>法定代表人或者委托代理人（签字）：</w:t>
      </w:r>
    </w:p>
    <w:p w14:paraId="5416BDC3">
      <w:pPr>
        <w:snapToGrid w:val="0"/>
        <w:spacing w:beforeLines="50" w:after="50" w:line="360" w:lineRule="auto"/>
        <w:ind w:right="480" w:firstLine="5520" w:firstLineChars="2300"/>
        <w:rPr>
          <w:rFonts w:ascii="仿宋" w:hAnsi="仿宋" w:eastAsia="仿宋"/>
          <w:color w:val="auto"/>
          <w:sz w:val="24"/>
          <w:u w:val="single"/>
        </w:rPr>
      </w:pPr>
      <w:r>
        <w:rPr>
          <w:rFonts w:hint="eastAsia" w:ascii="仿宋" w:hAnsi="仿宋" w:eastAsia="仿宋"/>
          <w:color w:val="auto"/>
          <w:sz w:val="24"/>
        </w:rPr>
        <w:t>投标人名称（电子签章）：</w:t>
      </w:r>
    </w:p>
    <w:p w14:paraId="20BD6190">
      <w:pPr>
        <w:snapToGrid w:val="0"/>
        <w:spacing w:beforeLines="50" w:after="50" w:line="360" w:lineRule="auto"/>
        <w:ind w:right="480" w:firstLine="5520" w:firstLineChars="2300"/>
        <w:rPr>
          <w:rFonts w:ascii="仿宋" w:hAnsi="仿宋" w:eastAsia="仿宋"/>
          <w:color w:val="auto"/>
          <w:szCs w:val="21"/>
        </w:rPr>
      </w:pPr>
      <w:r>
        <w:rPr>
          <w:rFonts w:hint="eastAsia" w:ascii="仿宋" w:hAnsi="仿宋" w:eastAsia="仿宋"/>
          <w:color w:val="auto"/>
          <w:sz w:val="24"/>
        </w:rPr>
        <w:t>年    月    日</w:t>
      </w:r>
    </w:p>
    <w:p w14:paraId="74B54535">
      <w:pPr>
        <w:snapToGrid w:val="0"/>
        <w:jc w:val="center"/>
        <w:rPr>
          <w:rFonts w:ascii="仿宋" w:hAnsi="仿宋" w:eastAsia="仿宋"/>
          <w:b/>
          <w:color w:val="auto"/>
          <w:sz w:val="28"/>
          <w:szCs w:val="28"/>
        </w:rPr>
      </w:pPr>
    </w:p>
    <w:p w14:paraId="51A7F44E">
      <w:pPr>
        <w:snapToGrid w:val="0"/>
        <w:spacing w:line="360" w:lineRule="auto"/>
        <w:jc w:val="center"/>
        <w:rPr>
          <w:rFonts w:ascii="仿宋" w:hAnsi="仿宋" w:eastAsia="仿宋"/>
          <w:color w:val="auto"/>
          <w:sz w:val="32"/>
          <w:szCs w:val="32"/>
        </w:rPr>
      </w:pPr>
      <w:r>
        <w:rPr>
          <w:rFonts w:ascii="仿宋" w:hAnsi="仿宋" w:eastAsia="仿宋"/>
          <w:b/>
          <w:color w:val="auto"/>
          <w:sz w:val="32"/>
          <w:szCs w:val="32"/>
        </w:rPr>
        <w:br w:type="page"/>
      </w:r>
      <w:r>
        <w:rPr>
          <w:rFonts w:hint="eastAsia" w:ascii="仿宋" w:hAnsi="仿宋" w:eastAsia="仿宋"/>
          <w:b/>
          <w:color w:val="auto"/>
          <w:sz w:val="32"/>
          <w:szCs w:val="32"/>
        </w:rPr>
        <w:t>投标人直接管理关系信息表</w:t>
      </w:r>
    </w:p>
    <w:tbl>
      <w:tblPr>
        <w:tblStyle w:val="47"/>
        <w:tblW w:w="0" w:type="auto"/>
        <w:jc w:val="center"/>
        <w:tblLayout w:type="fixed"/>
        <w:tblCellMar>
          <w:top w:w="0" w:type="dxa"/>
          <w:left w:w="0" w:type="dxa"/>
          <w:bottom w:w="0" w:type="dxa"/>
          <w:right w:w="0" w:type="dxa"/>
        </w:tblCellMar>
      </w:tblPr>
      <w:tblGrid>
        <w:gridCol w:w="1005"/>
        <w:gridCol w:w="2659"/>
        <w:gridCol w:w="3924"/>
        <w:gridCol w:w="2064"/>
      </w:tblGrid>
      <w:tr w14:paraId="484CE674">
        <w:tblPrEx>
          <w:tblCellMar>
            <w:top w:w="0" w:type="dxa"/>
            <w:left w:w="0" w:type="dxa"/>
            <w:bottom w:w="0" w:type="dxa"/>
            <w:right w:w="0" w:type="dxa"/>
          </w:tblCellMar>
        </w:tblPrEx>
        <w:trPr>
          <w:tblHeader/>
          <w:jc w:val="cent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5D8D724">
            <w:pPr>
              <w:spacing w:line="360" w:lineRule="auto"/>
              <w:jc w:val="center"/>
              <w:rPr>
                <w:rFonts w:ascii="仿宋" w:hAnsi="仿宋" w:eastAsia="仿宋" w:cs="宋体"/>
                <w:b/>
                <w:bCs/>
                <w:color w:val="auto"/>
                <w:kern w:val="0"/>
                <w:sz w:val="24"/>
              </w:rPr>
            </w:pPr>
            <w:r>
              <w:rPr>
                <w:rFonts w:hint="eastAsia" w:ascii="仿宋" w:hAnsi="仿宋" w:eastAsia="仿宋" w:cs="宋体"/>
                <w:b/>
                <w:bCs/>
                <w:color w:val="auto"/>
                <w:kern w:val="0"/>
                <w:sz w:val="24"/>
              </w:rPr>
              <w:t>序号</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AA7BC3A">
            <w:pPr>
              <w:spacing w:line="360" w:lineRule="auto"/>
              <w:jc w:val="center"/>
              <w:rPr>
                <w:rFonts w:ascii="仿宋" w:hAnsi="仿宋" w:eastAsia="仿宋" w:cs="宋体"/>
                <w:b/>
                <w:bCs/>
                <w:color w:val="auto"/>
                <w:kern w:val="0"/>
                <w:sz w:val="24"/>
              </w:rPr>
            </w:pPr>
            <w:r>
              <w:rPr>
                <w:rFonts w:hint="eastAsia" w:ascii="仿宋" w:hAnsi="仿宋" w:eastAsia="仿宋" w:cs="宋体"/>
                <w:b/>
                <w:bCs/>
                <w:color w:val="auto"/>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122B5A3">
            <w:pPr>
              <w:spacing w:line="360" w:lineRule="auto"/>
              <w:jc w:val="center"/>
              <w:rPr>
                <w:rFonts w:ascii="仿宋" w:hAnsi="仿宋" w:eastAsia="仿宋" w:cs="宋体"/>
                <w:b/>
                <w:bCs/>
                <w:color w:val="auto"/>
                <w:kern w:val="0"/>
                <w:sz w:val="24"/>
              </w:rPr>
            </w:pPr>
            <w:r>
              <w:rPr>
                <w:rFonts w:hint="eastAsia" w:ascii="仿宋" w:hAnsi="仿宋" w:eastAsia="仿宋" w:cs="宋体"/>
                <w:b/>
                <w:bCs/>
                <w:color w:val="auto"/>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E080A6A">
            <w:pPr>
              <w:spacing w:line="360" w:lineRule="auto"/>
              <w:jc w:val="center"/>
              <w:rPr>
                <w:rFonts w:ascii="仿宋" w:hAnsi="仿宋" w:eastAsia="仿宋" w:cs="宋体"/>
                <w:b/>
                <w:bCs/>
                <w:color w:val="auto"/>
                <w:kern w:val="0"/>
                <w:sz w:val="24"/>
              </w:rPr>
            </w:pPr>
            <w:r>
              <w:rPr>
                <w:rFonts w:hint="eastAsia" w:ascii="仿宋" w:hAnsi="仿宋" w:eastAsia="仿宋" w:cs="宋体"/>
                <w:b/>
                <w:bCs/>
                <w:color w:val="auto"/>
                <w:kern w:val="0"/>
                <w:sz w:val="24"/>
              </w:rPr>
              <w:t>备注</w:t>
            </w:r>
          </w:p>
        </w:tc>
      </w:tr>
      <w:tr w14:paraId="764A951F">
        <w:tblPrEx>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2D1A32A">
            <w:pPr>
              <w:spacing w:line="360" w:lineRule="auto"/>
              <w:jc w:val="center"/>
              <w:rPr>
                <w:rFonts w:ascii="仿宋" w:hAnsi="仿宋" w:eastAsia="仿宋" w:cs="宋体"/>
                <w:color w:val="auto"/>
                <w:kern w:val="0"/>
                <w:sz w:val="24"/>
              </w:rPr>
            </w:pPr>
            <w:r>
              <w:rPr>
                <w:rFonts w:hint="eastAsia" w:ascii="仿宋" w:hAnsi="仿宋" w:eastAsia="仿宋" w:cs="宋体"/>
                <w:color w:val="auto"/>
                <w:kern w:val="0"/>
                <w:sz w:val="24"/>
              </w:rPr>
              <w:t>1</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3B5E1B4">
            <w:pPr>
              <w:spacing w:line="360" w:lineRule="auto"/>
              <w:jc w:val="center"/>
              <w:rPr>
                <w:rFonts w:ascii="仿宋" w:hAnsi="仿宋" w:eastAsia="仿宋"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05A6BD7">
            <w:pPr>
              <w:spacing w:line="360" w:lineRule="auto"/>
              <w:jc w:val="center"/>
              <w:rPr>
                <w:rFonts w:ascii="仿宋" w:hAnsi="仿宋" w:eastAsia="仿宋"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F519F93">
            <w:pPr>
              <w:spacing w:line="360" w:lineRule="auto"/>
              <w:jc w:val="center"/>
              <w:rPr>
                <w:rFonts w:ascii="仿宋" w:hAnsi="仿宋" w:eastAsia="仿宋" w:cs="宋体"/>
                <w:color w:val="auto"/>
                <w:kern w:val="0"/>
                <w:sz w:val="24"/>
              </w:rPr>
            </w:pPr>
          </w:p>
        </w:tc>
      </w:tr>
      <w:tr w14:paraId="446513B9">
        <w:tblPrEx>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73D23E9">
            <w:pPr>
              <w:spacing w:line="360" w:lineRule="auto"/>
              <w:jc w:val="center"/>
              <w:rPr>
                <w:rFonts w:ascii="仿宋" w:hAnsi="仿宋" w:eastAsia="仿宋" w:cs="宋体"/>
                <w:color w:val="auto"/>
                <w:kern w:val="0"/>
                <w:sz w:val="24"/>
              </w:rPr>
            </w:pPr>
            <w:r>
              <w:rPr>
                <w:rFonts w:hint="eastAsia" w:ascii="仿宋" w:hAnsi="仿宋" w:eastAsia="仿宋" w:cs="宋体"/>
                <w:color w:val="auto"/>
                <w:kern w:val="0"/>
                <w:sz w:val="24"/>
              </w:rPr>
              <w:t>2</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4B3ED87">
            <w:pPr>
              <w:spacing w:line="360" w:lineRule="auto"/>
              <w:jc w:val="center"/>
              <w:rPr>
                <w:rFonts w:ascii="仿宋" w:hAnsi="仿宋" w:eastAsia="仿宋"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A13902D">
            <w:pPr>
              <w:spacing w:line="360" w:lineRule="auto"/>
              <w:jc w:val="center"/>
              <w:rPr>
                <w:rFonts w:ascii="仿宋" w:hAnsi="仿宋" w:eastAsia="仿宋"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514C226">
            <w:pPr>
              <w:spacing w:line="360" w:lineRule="auto"/>
              <w:jc w:val="center"/>
              <w:rPr>
                <w:rFonts w:ascii="仿宋" w:hAnsi="仿宋" w:eastAsia="仿宋" w:cs="宋体"/>
                <w:color w:val="auto"/>
                <w:kern w:val="0"/>
                <w:sz w:val="24"/>
              </w:rPr>
            </w:pPr>
          </w:p>
        </w:tc>
      </w:tr>
      <w:tr w14:paraId="6ACA99EF">
        <w:tblPrEx>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68CD48E">
            <w:pPr>
              <w:spacing w:line="360" w:lineRule="auto"/>
              <w:jc w:val="center"/>
              <w:rPr>
                <w:rFonts w:ascii="仿宋" w:hAnsi="仿宋" w:eastAsia="仿宋" w:cs="宋体"/>
                <w:color w:val="auto"/>
                <w:kern w:val="0"/>
                <w:sz w:val="24"/>
              </w:rPr>
            </w:pPr>
            <w:r>
              <w:rPr>
                <w:rFonts w:hint="eastAsia" w:ascii="仿宋" w:hAnsi="仿宋" w:eastAsia="仿宋" w:cs="宋体"/>
                <w:color w:val="auto"/>
                <w:kern w:val="0"/>
                <w:sz w:val="24"/>
              </w:rPr>
              <w:t>3</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00C88C0">
            <w:pPr>
              <w:spacing w:line="360" w:lineRule="auto"/>
              <w:jc w:val="center"/>
              <w:rPr>
                <w:rFonts w:ascii="仿宋" w:hAnsi="仿宋" w:eastAsia="仿宋"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E1103F2">
            <w:pPr>
              <w:spacing w:line="360" w:lineRule="auto"/>
              <w:jc w:val="center"/>
              <w:rPr>
                <w:rFonts w:ascii="仿宋" w:hAnsi="仿宋" w:eastAsia="仿宋"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62F5DDF">
            <w:pPr>
              <w:spacing w:line="360" w:lineRule="auto"/>
              <w:jc w:val="center"/>
              <w:rPr>
                <w:rFonts w:ascii="仿宋" w:hAnsi="仿宋" w:eastAsia="仿宋" w:cs="宋体"/>
                <w:color w:val="auto"/>
                <w:kern w:val="0"/>
                <w:sz w:val="24"/>
              </w:rPr>
            </w:pPr>
          </w:p>
        </w:tc>
      </w:tr>
      <w:tr w14:paraId="42B98DA2">
        <w:tblPrEx>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D66F889">
            <w:pPr>
              <w:spacing w:line="360" w:lineRule="auto"/>
              <w:jc w:val="center"/>
              <w:rPr>
                <w:rFonts w:ascii="仿宋" w:hAnsi="仿宋" w:eastAsia="仿宋" w:cs="宋体"/>
                <w:color w:val="auto"/>
                <w:kern w:val="0"/>
                <w:sz w:val="24"/>
              </w:rPr>
            </w:pPr>
            <w:r>
              <w:rPr>
                <w:rFonts w:hint="eastAsia" w:ascii="仿宋" w:hAnsi="仿宋" w:eastAsia="仿宋" w:cs="宋体"/>
                <w:color w:val="auto"/>
                <w:kern w:val="0"/>
                <w:sz w:val="24"/>
              </w:rPr>
              <w:t>……</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E5F808C">
            <w:pPr>
              <w:spacing w:line="360" w:lineRule="auto"/>
              <w:jc w:val="center"/>
              <w:rPr>
                <w:rFonts w:ascii="仿宋" w:hAnsi="仿宋" w:eastAsia="仿宋"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5231DD8">
            <w:pPr>
              <w:spacing w:line="360" w:lineRule="auto"/>
              <w:jc w:val="center"/>
              <w:rPr>
                <w:rFonts w:ascii="仿宋" w:hAnsi="仿宋" w:eastAsia="仿宋"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C0B2B9C">
            <w:pPr>
              <w:spacing w:line="360" w:lineRule="auto"/>
              <w:jc w:val="center"/>
              <w:rPr>
                <w:rFonts w:ascii="仿宋" w:hAnsi="仿宋" w:eastAsia="仿宋" w:cs="宋体"/>
                <w:color w:val="auto"/>
                <w:kern w:val="0"/>
                <w:sz w:val="24"/>
              </w:rPr>
            </w:pPr>
          </w:p>
        </w:tc>
      </w:tr>
    </w:tbl>
    <w:p w14:paraId="79C39096">
      <w:pPr>
        <w:snapToGrid w:val="0"/>
        <w:spacing w:line="360" w:lineRule="auto"/>
        <w:jc w:val="left"/>
        <w:rPr>
          <w:rFonts w:ascii="仿宋" w:hAnsi="仿宋" w:eastAsia="仿宋"/>
          <w:color w:val="auto"/>
          <w:sz w:val="24"/>
        </w:rPr>
      </w:pPr>
      <w:r>
        <w:rPr>
          <w:rFonts w:hint="eastAsia" w:ascii="仿宋" w:hAnsi="仿宋" w:eastAsia="仿宋"/>
          <w:color w:val="auto"/>
          <w:sz w:val="24"/>
        </w:rPr>
        <w:t>注：</w:t>
      </w:r>
    </w:p>
    <w:p w14:paraId="1FD6D073">
      <w:pPr>
        <w:snapToGrid w:val="0"/>
        <w:spacing w:line="360" w:lineRule="auto"/>
        <w:ind w:firstLine="480" w:firstLineChars="200"/>
        <w:jc w:val="left"/>
        <w:rPr>
          <w:rFonts w:ascii="仿宋" w:hAnsi="仿宋" w:eastAsia="仿宋"/>
          <w:color w:val="auto"/>
          <w:sz w:val="24"/>
        </w:rPr>
      </w:pPr>
      <w:r>
        <w:rPr>
          <w:rFonts w:hint="eastAsia" w:ascii="仿宋" w:hAnsi="仿宋" w:eastAsia="仿宋"/>
          <w:color w:val="auto"/>
          <w:sz w:val="24"/>
        </w:rPr>
        <w:t>1.管理关系：是指不具有出资持股关系的其他单位之间存在的管理与被管理关系，如一些上下级关系的事业单位和团体组织。</w:t>
      </w:r>
    </w:p>
    <w:p w14:paraId="01176F4C">
      <w:pPr>
        <w:snapToGrid w:val="0"/>
        <w:spacing w:line="360" w:lineRule="auto"/>
        <w:ind w:firstLine="480" w:firstLineChars="200"/>
        <w:jc w:val="left"/>
        <w:rPr>
          <w:rFonts w:ascii="仿宋" w:hAnsi="仿宋" w:eastAsia="仿宋"/>
          <w:color w:val="auto"/>
          <w:sz w:val="24"/>
        </w:rPr>
      </w:pPr>
      <w:r>
        <w:rPr>
          <w:rFonts w:hint="eastAsia" w:ascii="仿宋" w:hAnsi="仿宋" w:eastAsia="仿宋"/>
          <w:color w:val="auto"/>
          <w:sz w:val="24"/>
        </w:rPr>
        <w:t>2.</w:t>
      </w:r>
      <w:r>
        <w:rPr>
          <w:rFonts w:hint="eastAsia" w:ascii="仿宋" w:hAnsi="仿宋" w:eastAsia="仿宋"/>
          <w:color w:val="auto"/>
          <w:spacing w:val="-6"/>
          <w:sz w:val="24"/>
        </w:rPr>
        <w:t>本表所指的管理关系仅限于直接管理关系，不包括间接的管理关系。</w:t>
      </w:r>
    </w:p>
    <w:p w14:paraId="65497216">
      <w:pPr>
        <w:snapToGrid w:val="0"/>
        <w:spacing w:line="360" w:lineRule="auto"/>
        <w:ind w:firstLine="480" w:firstLineChars="200"/>
        <w:jc w:val="left"/>
        <w:rPr>
          <w:rFonts w:ascii="仿宋" w:hAnsi="仿宋" w:eastAsia="仿宋"/>
          <w:color w:val="auto"/>
          <w:sz w:val="24"/>
        </w:rPr>
      </w:pPr>
      <w:r>
        <w:rPr>
          <w:rFonts w:hint="eastAsia" w:ascii="仿宋" w:hAnsi="仿宋" w:eastAsia="仿宋"/>
          <w:color w:val="auto"/>
          <w:sz w:val="24"/>
        </w:rPr>
        <w:t>3.供应商不存在直接管理关系的，则填“无”。</w:t>
      </w:r>
    </w:p>
    <w:p w14:paraId="7339DB66">
      <w:pPr>
        <w:snapToGrid w:val="0"/>
        <w:spacing w:line="360" w:lineRule="auto"/>
        <w:jc w:val="left"/>
        <w:rPr>
          <w:rFonts w:ascii="仿宋" w:hAnsi="仿宋" w:eastAsia="仿宋"/>
          <w:color w:val="auto"/>
          <w:sz w:val="24"/>
        </w:rPr>
      </w:pPr>
    </w:p>
    <w:p w14:paraId="12527578">
      <w:pPr>
        <w:snapToGrid w:val="0"/>
        <w:spacing w:line="360" w:lineRule="auto"/>
        <w:jc w:val="left"/>
        <w:rPr>
          <w:rFonts w:ascii="仿宋" w:hAnsi="仿宋" w:eastAsia="仿宋"/>
          <w:color w:val="auto"/>
          <w:sz w:val="24"/>
        </w:rPr>
      </w:pPr>
    </w:p>
    <w:p w14:paraId="168FD409">
      <w:pPr>
        <w:snapToGrid w:val="0"/>
        <w:spacing w:line="360" w:lineRule="auto"/>
        <w:jc w:val="left"/>
        <w:rPr>
          <w:rFonts w:ascii="仿宋" w:hAnsi="仿宋" w:eastAsia="仿宋"/>
          <w:color w:val="auto"/>
          <w:sz w:val="24"/>
        </w:rPr>
      </w:pPr>
    </w:p>
    <w:p w14:paraId="27B3136D">
      <w:pPr>
        <w:snapToGrid w:val="0"/>
        <w:spacing w:line="360" w:lineRule="auto"/>
        <w:jc w:val="left"/>
        <w:rPr>
          <w:rFonts w:ascii="仿宋" w:hAnsi="仿宋" w:eastAsia="仿宋"/>
          <w:color w:val="auto"/>
          <w:sz w:val="24"/>
        </w:rPr>
      </w:pPr>
    </w:p>
    <w:p w14:paraId="1FEFFDD9">
      <w:pPr>
        <w:snapToGrid w:val="0"/>
        <w:spacing w:line="360" w:lineRule="auto"/>
        <w:jc w:val="left"/>
        <w:rPr>
          <w:rFonts w:ascii="仿宋" w:hAnsi="仿宋" w:eastAsia="仿宋"/>
          <w:color w:val="auto"/>
          <w:sz w:val="24"/>
        </w:rPr>
      </w:pPr>
    </w:p>
    <w:p w14:paraId="1A3151C1">
      <w:pPr>
        <w:snapToGrid w:val="0"/>
        <w:spacing w:line="360" w:lineRule="auto"/>
        <w:jc w:val="left"/>
        <w:rPr>
          <w:rFonts w:ascii="仿宋" w:hAnsi="仿宋" w:eastAsia="仿宋"/>
          <w:color w:val="auto"/>
          <w:sz w:val="24"/>
        </w:rPr>
      </w:pPr>
    </w:p>
    <w:p w14:paraId="65FD718E">
      <w:pPr>
        <w:snapToGrid w:val="0"/>
        <w:spacing w:line="360" w:lineRule="auto"/>
        <w:jc w:val="left"/>
        <w:rPr>
          <w:rFonts w:ascii="仿宋" w:hAnsi="仿宋" w:eastAsia="仿宋"/>
          <w:color w:val="auto"/>
          <w:sz w:val="24"/>
        </w:rPr>
      </w:pPr>
    </w:p>
    <w:p w14:paraId="484BD8E4">
      <w:pPr>
        <w:snapToGrid w:val="0"/>
        <w:spacing w:beforeLines="50" w:line="360" w:lineRule="auto"/>
        <w:ind w:right="480" w:firstLine="3967" w:firstLineChars="1653"/>
        <w:rPr>
          <w:rFonts w:ascii="仿宋" w:hAnsi="仿宋" w:eastAsia="仿宋"/>
          <w:color w:val="auto"/>
          <w:sz w:val="24"/>
          <w:u w:val="single"/>
        </w:rPr>
      </w:pPr>
      <w:r>
        <w:rPr>
          <w:rFonts w:hint="eastAsia" w:ascii="仿宋" w:hAnsi="仿宋" w:eastAsia="仿宋"/>
          <w:color w:val="auto"/>
          <w:sz w:val="24"/>
        </w:rPr>
        <w:t>法定代表人或者委托代理人（签字）：</w:t>
      </w:r>
    </w:p>
    <w:p w14:paraId="2CFB1D99">
      <w:pPr>
        <w:snapToGrid w:val="0"/>
        <w:spacing w:beforeLines="50" w:after="50" w:line="360" w:lineRule="auto"/>
        <w:ind w:right="480" w:firstLine="5520" w:firstLineChars="2300"/>
        <w:rPr>
          <w:rFonts w:ascii="仿宋" w:hAnsi="仿宋" w:eastAsia="仿宋"/>
          <w:color w:val="auto"/>
          <w:sz w:val="24"/>
        </w:rPr>
      </w:pPr>
      <w:r>
        <w:rPr>
          <w:rFonts w:hint="eastAsia" w:ascii="仿宋" w:hAnsi="仿宋" w:eastAsia="仿宋"/>
          <w:color w:val="auto"/>
          <w:sz w:val="24"/>
        </w:rPr>
        <w:t>投标人名称（电子签章）：</w:t>
      </w:r>
    </w:p>
    <w:p w14:paraId="2D0AE6AC">
      <w:pPr>
        <w:snapToGrid w:val="0"/>
        <w:spacing w:beforeLines="50" w:after="50" w:line="360" w:lineRule="auto"/>
        <w:ind w:right="480" w:firstLine="240" w:firstLineChars="100"/>
        <w:jc w:val="right"/>
        <w:rPr>
          <w:rFonts w:ascii="仿宋" w:hAnsi="仿宋" w:eastAsia="仿宋"/>
          <w:color w:val="auto"/>
          <w:sz w:val="24"/>
        </w:rPr>
      </w:pPr>
      <w:r>
        <w:rPr>
          <w:rFonts w:hint="eastAsia" w:ascii="仿宋" w:hAnsi="仿宋" w:eastAsia="仿宋"/>
          <w:color w:val="auto"/>
          <w:sz w:val="24"/>
        </w:rPr>
        <w:t xml:space="preserve"> 年    月    日</w:t>
      </w:r>
    </w:p>
    <w:p w14:paraId="468B5CBC">
      <w:pPr>
        <w:snapToGrid w:val="0"/>
        <w:spacing w:before="50" w:afterLines="50"/>
        <w:jc w:val="left"/>
        <w:rPr>
          <w:rFonts w:ascii="仿宋" w:hAnsi="仿宋" w:eastAsia="仿宋"/>
          <w:color w:val="auto"/>
          <w:szCs w:val="21"/>
        </w:rPr>
      </w:pPr>
    </w:p>
    <w:p w14:paraId="23304018">
      <w:pPr>
        <w:snapToGrid w:val="0"/>
        <w:spacing w:beforeLines="50" w:after="50"/>
        <w:jc w:val="left"/>
        <w:rPr>
          <w:rFonts w:ascii="仿宋" w:hAnsi="仿宋" w:eastAsia="仿宋"/>
          <w:b/>
          <w:color w:val="auto"/>
          <w:sz w:val="24"/>
          <w:szCs w:val="20"/>
        </w:rPr>
      </w:pPr>
    </w:p>
    <w:p w14:paraId="2EFA0540">
      <w:pPr>
        <w:numPr>
          <w:ilvl w:val="2"/>
          <w:numId w:val="8"/>
        </w:numPr>
        <w:snapToGrid w:val="0"/>
        <w:spacing w:beforeLines="50" w:after="50"/>
        <w:ind w:left="0" w:firstLine="0"/>
        <w:jc w:val="left"/>
        <w:rPr>
          <w:rFonts w:ascii="仿宋" w:hAnsi="仿宋" w:eastAsia="仿宋"/>
          <w:b/>
          <w:color w:val="auto"/>
          <w:sz w:val="24"/>
          <w:szCs w:val="20"/>
        </w:rPr>
      </w:pPr>
      <w:r>
        <w:rPr>
          <w:rFonts w:ascii="仿宋" w:hAnsi="仿宋" w:eastAsia="仿宋"/>
          <w:b/>
          <w:color w:val="auto"/>
          <w:sz w:val="24"/>
        </w:rPr>
        <w:br w:type="page"/>
      </w:r>
      <w:r>
        <w:rPr>
          <w:rFonts w:hint="eastAsia" w:ascii="仿宋" w:hAnsi="仿宋" w:eastAsia="仿宋"/>
          <w:b/>
          <w:color w:val="auto"/>
          <w:sz w:val="24"/>
        </w:rPr>
        <w:t>投标声明格式</w:t>
      </w:r>
    </w:p>
    <w:p w14:paraId="3DCA4840">
      <w:pPr>
        <w:snapToGrid w:val="0"/>
        <w:spacing w:before="50" w:afterLines="50"/>
        <w:jc w:val="left"/>
        <w:rPr>
          <w:rFonts w:ascii="仿宋" w:hAnsi="仿宋" w:eastAsia="仿宋"/>
          <w:color w:val="auto"/>
        </w:rPr>
      </w:pPr>
    </w:p>
    <w:p w14:paraId="0898B1BD">
      <w:pPr>
        <w:snapToGrid w:val="0"/>
        <w:spacing w:before="50" w:afterLines="50"/>
        <w:jc w:val="center"/>
        <w:rPr>
          <w:rFonts w:ascii="仿宋" w:hAnsi="仿宋" w:eastAsia="仿宋" w:cs="方正小标宋简体"/>
          <w:bCs/>
          <w:color w:val="auto"/>
          <w:sz w:val="44"/>
          <w:szCs w:val="44"/>
        </w:rPr>
      </w:pPr>
      <w:r>
        <w:rPr>
          <w:rFonts w:hint="eastAsia" w:ascii="仿宋" w:hAnsi="仿宋" w:eastAsia="仿宋" w:cs="方正小标宋简体"/>
          <w:bCs/>
          <w:color w:val="auto"/>
          <w:sz w:val="44"/>
          <w:szCs w:val="44"/>
        </w:rPr>
        <w:t>投标声明</w:t>
      </w:r>
    </w:p>
    <w:p w14:paraId="711DEF6C">
      <w:pPr>
        <w:snapToGrid w:val="0"/>
        <w:spacing w:before="50" w:afterLines="50"/>
        <w:jc w:val="center"/>
        <w:rPr>
          <w:rFonts w:ascii="仿宋" w:hAnsi="仿宋" w:eastAsia="仿宋" w:cs="方正小标宋简体"/>
          <w:bCs/>
          <w:color w:val="auto"/>
          <w:sz w:val="44"/>
          <w:szCs w:val="44"/>
        </w:rPr>
      </w:pPr>
    </w:p>
    <w:p w14:paraId="28707EF9">
      <w:pPr>
        <w:spacing w:line="400" w:lineRule="exact"/>
        <w:contextualSpacing/>
        <w:jc w:val="left"/>
        <w:rPr>
          <w:rFonts w:ascii="仿宋" w:hAnsi="仿宋" w:eastAsia="仿宋"/>
          <w:color w:val="auto"/>
          <w:sz w:val="24"/>
        </w:rPr>
      </w:pPr>
      <w:r>
        <w:rPr>
          <w:rFonts w:hint="eastAsia" w:ascii="仿宋" w:hAnsi="仿宋" w:eastAsia="仿宋"/>
          <w:color w:val="auto"/>
          <w:sz w:val="24"/>
        </w:rPr>
        <w:t>（采购人名称）：</w:t>
      </w:r>
    </w:p>
    <w:p w14:paraId="39DA1BD5">
      <w:pPr>
        <w:spacing w:line="400" w:lineRule="exact"/>
        <w:ind w:firstLine="523" w:firstLineChars="218"/>
        <w:contextualSpacing/>
        <w:jc w:val="left"/>
        <w:rPr>
          <w:rFonts w:ascii="仿宋" w:hAnsi="仿宋" w:eastAsia="仿宋"/>
          <w:color w:val="auto"/>
          <w:sz w:val="24"/>
        </w:rPr>
      </w:pPr>
      <w:r>
        <w:rPr>
          <w:rFonts w:hint="eastAsia" w:ascii="仿宋" w:hAnsi="仿宋" w:eastAsia="仿宋"/>
          <w:color w:val="auto"/>
          <w:sz w:val="24"/>
        </w:rPr>
        <w:t>我方参加贵单位组织项目（项目编号：）的政府采购活动。我方在此郑重声明：</w:t>
      </w:r>
    </w:p>
    <w:p w14:paraId="12D9B69D">
      <w:pPr>
        <w:spacing w:line="400" w:lineRule="exact"/>
        <w:ind w:firstLine="480" w:firstLineChars="200"/>
        <w:contextualSpacing/>
        <w:jc w:val="left"/>
        <w:rPr>
          <w:rFonts w:ascii="仿宋" w:hAnsi="仿宋" w:eastAsia="仿宋"/>
          <w:color w:val="auto"/>
          <w:sz w:val="24"/>
        </w:rPr>
      </w:pPr>
      <w:r>
        <w:rPr>
          <w:rFonts w:hint="eastAsia" w:ascii="仿宋" w:hAnsi="仿宋" w:eastAsia="仿宋"/>
          <w:color w:val="auto"/>
          <w:sz w:val="24"/>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6AC1A6CB">
      <w:pPr>
        <w:spacing w:line="400" w:lineRule="exact"/>
        <w:ind w:firstLine="480" w:firstLineChars="200"/>
        <w:contextualSpacing/>
        <w:jc w:val="left"/>
        <w:rPr>
          <w:rFonts w:ascii="仿宋" w:hAnsi="仿宋" w:eastAsia="仿宋"/>
          <w:color w:val="auto"/>
          <w:sz w:val="24"/>
        </w:rPr>
      </w:pPr>
      <w:r>
        <w:rPr>
          <w:rFonts w:hint="eastAsia" w:ascii="仿宋" w:hAnsi="仿宋" w:eastAsia="仿宋"/>
          <w:color w:val="auto"/>
          <w:sz w:val="24"/>
        </w:rPr>
        <w:t>2.我方不是为本次采购项目提供整体设计、规范编制或者项目管理、监理、检测等服务的供应商。</w:t>
      </w:r>
    </w:p>
    <w:p w14:paraId="515A5ED3">
      <w:pPr>
        <w:spacing w:line="400" w:lineRule="exact"/>
        <w:ind w:firstLine="480" w:firstLineChars="200"/>
        <w:contextualSpacing/>
        <w:jc w:val="left"/>
        <w:rPr>
          <w:rFonts w:ascii="仿宋" w:hAnsi="仿宋" w:eastAsia="仿宋"/>
          <w:color w:val="auto"/>
          <w:sz w:val="24"/>
        </w:rPr>
      </w:pPr>
      <w:r>
        <w:rPr>
          <w:rFonts w:hint="eastAsia" w:ascii="仿宋" w:hAnsi="仿宋" w:eastAsia="仿宋"/>
          <w:color w:val="auto"/>
          <w:sz w:val="24"/>
        </w:rPr>
        <w:t>3. 我方承诺符合《中华人民共和国政府采购法》第二十二条规定：</w:t>
      </w:r>
    </w:p>
    <w:p w14:paraId="2D604B10">
      <w:pPr>
        <w:spacing w:line="400" w:lineRule="exact"/>
        <w:ind w:firstLine="480" w:firstLineChars="200"/>
        <w:contextualSpacing/>
        <w:jc w:val="left"/>
        <w:rPr>
          <w:rFonts w:ascii="仿宋" w:hAnsi="仿宋" w:eastAsia="仿宋"/>
          <w:color w:val="auto"/>
          <w:sz w:val="24"/>
        </w:rPr>
      </w:pPr>
      <w:r>
        <w:rPr>
          <w:rFonts w:hint="eastAsia" w:ascii="仿宋" w:hAnsi="仿宋" w:eastAsia="仿宋"/>
          <w:color w:val="auto"/>
          <w:sz w:val="24"/>
        </w:rPr>
        <w:t>（一）具有独立承担民事责任的能力；</w:t>
      </w:r>
    </w:p>
    <w:p w14:paraId="66CCD125">
      <w:pPr>
        <w:spacing w:line="400" w:lineRule="exact"/>
        <w:ind w:firstLine="480" w:firstLineChars="200"/>
        <w:contextualSpacing/>
        <w:jc w:val="left"/>
        <w:rPr>
          <w:rFonts w:ascii="仿宋" w:hAnsi="仿宋" w:eastAsia="仿宋"/>
          <w:color w:val="auto"/>
          <w:sz w:val="24"/>
        </w:rPr>
      </w:pPr>
      <w:r>
        <w:rPr>
          <w:rFonts w:hint="eastAsia" w:ascii="仿宋" w:hAnsi="仿宋" w:eastAsia="仿宋"/>
          <w:color w:val="auto"/>
          <w:sz w:val="24"/>
        </w:rPr>
        <w:t>（二）具有良好的商业信誉和健全的财务会计制度；</w:t>
      </w:r>
    </w:p>
    <w:p w14:paraId="6004E34B">
      <w:pPr>
        <w:spacing w:line="400" w:lineRule="exact"/>
        <w:ind w:firstLine="480" w:firstLineChars="200"/>
        <w:contextualSpacing/>
        <w:jc w:val="left"/>
        <w:rPr>
          <w:rFonts w:ascii="仿宋" w:hAnsi="仿宋" w:eastAsia="仿宋"/>
          <w:color w:val="auto"/>
          <w:sz w:val="24"/>
        </w:rPr>
      </w:pPr>
      <w:r>
        <w:rPr>
          <w:rFonts w:hint="eastAsia" w:ascii="仿宋" w:hAnsi="仿宋" w:eastAsia="仿宋"/>
          <w:color w:val="auto"/>
          <w:sz w:val="24"/>
        </w:rPr>
        <w:t>（三）具有履行合同所必需的设备和专业技术能力；</w:t>
      </w:r>
    </w:p>
    <w:p w14:paraId="63C5E2AF">
      <w:pPr>
        <w:spacing w:line="400" w:lineRule="exact"/>
        <w:ind w:firstLine="480" w:firstLineChars="200"/>
        <w:contextualSpacing/>
        <w:jc w:val="left"/>
        <w:rPr>
          <w:rFonts w:ascii="仿宋" w:hAnsi="仿宋" w:eastAsia="仿宋"/>
          <w:color w:val="auto"/>
          <w:sz w:val="24"/>
        </w:rPr>
      </w:pPr>
      <w:r>
        <w:rPr>
          <w:rFonts w:hint="eastAsia" w:ascii="仿宋" w:hAnsi="仿宋" w:eastAsia="仿宋"/>
          <w:color w:val="auto"/>
          <w:sz w:val="24"/>
        </w:rPr>
        <w:t>（四）有依法缴纳税收和社会保障资金的良好记录；</w:t>
      </w:r>
    </w:p>
    <w:p w14:paraId="28F3E912">
      <w:pPr>
        <w:spacing w:line="400" w:lineRule="exact"/>
        <w:ind w:firstLine="480" w:firstLineChars="200"/>
        <w:contextualSpacing/>
        <w:jc w:val="left"/>
        <w:rPr>
          <w:rFonts w:ascii="仿宋" w:hAnsi="仿宋" w:eastAsia="仿宋"/>
          <w:color w:val="auto"/>
          <w:sz w:val="24"/>
        </w:rPr>
      </w:pPr>
      <w:r>
        <w:rPr>
          <w:rFonts w:hint="eastAsia" w:ascii="仿宋" w:hAnsi="仿宋" w:eastAsia="仿宋"/>
          <w:color w:val="auto"/>
          <w:sz w:val="24"/>
        </w:rPr>
        <w:t>（五）参加政府采购活动前三年内，在经营活动中没有重大违法记录；</w:t>
      </w:r>
    </w:p>
    <w:p w14:paraId="7F8A5F1D">
      <w:pPr>
        <w:spacing w:line="400" w:lineRule="exact"/>
        <w:ind w:firstLine="480" w:firstLineChars="200"/>
        <w:contextualSpacing/>
        <w:jc w:val="left"/>
        <w:rPr>
          <w:rFonts w:ascii="仿宋" w:hAnsi="仿宋" w:eastAsia="仿宋"/>
          <w:color w:val="auto"/>
          <w:sz w:val="24"/>
        </w:rPr>
      </w:pPr>
      <w:r>
        <w:rPr>
          <w:rFonts w:hint="eastAsia" w:ascii="仿宋" w:hAnsi="仿宋" w:eastAsia="仿宋"/>
          <w:color w:val="auto"/>
          <w:sz w:val="24"/>
        </w:rPr>
        <w:t>（六）法律、行政法规规定的其他条件。</w:t>
      </w:r>
    </w:p>
    <w:p w14:paraId="62F3C9E4">
      <w:pPr>
        <w:spacing w:line="400" w:lineRule="exact"/>
        <w:ind w:firstLine="480" w:firstLineChars="200"/>
        <w:contextualSpacing/>
        <w:jc w:val="left"/>
        <w:rPr>
          <w:rFonts w:ascii="仿宋" w:hAnsi="仿宋" w:eastAsia="仿宋"/>
          <w:color w:val="auto"/>
          <w:sz w:val="24"/>
        </w:rPr>
      </w:pPr>
      <w:r>
        <w:rPr>
          <w:rFonts w:hint="eastAsia" w:ascii="仿宋" w:hAnsi="仿宋" w:eastAsia="仿宋"/>
          <w:color w:val="auto"/>
          <w:sz w:val="24"/>
        </w:rPr>
        <w:t>4.以上事项如有虚假或者隐瞒，我方愿意承担一切后果，并不再寻求任何旨在减轻或者免除法律责任的辩解。</w:t>
      </w:r>
    </w:p>
    <w:p w14:paraId="08A6F06F">
      <w:pPr>
        <w:spacing w:line="400" w:lineRule="exact"/>
        <w:contextualSpacing/>
        <w:jc w:val="left"/>
        <w:rPr>
          <w:rFonts w:ascii="仿宋" w:hAnsi="仿宋" w:eastAsia="仿宋"/>
          <w:color w:val="auto"/>
          <w:sz w:val="24"/>
        </w:rPr>
      </w:pPr>
      <w:r>
        <w:rPr>
          <w:rFonts w:hint="eastAsia" w:ascii="仿宋" w:hAnsi="仿宋" w:eastAsia="仿宋"/>
          <w:color w:val="auto"/>
          <w:sz w:val="24"/>
        </w:rPr>
        <w:t xml:space="preserve">    特此承诺。</w:t>
      </w:r>
    </w:p>
    <w:p w14:paraId="7E82A2AD">
      <w:pPr>
        <w:spacing w:line="400" w:lineRule="exact"/>
        <w:contextualSpacing/>
        <w:jc w:val="left"/>
        <w:rPr>
          <w:rFonts w:ascii="仿宋" w:hAnsi="仿宋" w:eastAsia="仿宋"/>
          <w:b/>
          <w:color w:val="auto"/>
          <w:sz w:val="24"/>
        </w:rPr>
      </w:pPr>
      <w:r>
        <w:rPr>
          <w:rFonts w:hint="eastAsia" w:ascii="仿宋" w:hAnsi="仿宋" w:eastAsia="仿宋"/>
          <w:b/>
          <w:color w:val="auto"/>
          <w:sz w:val="24"/>
        </w:rPr>
        <w:t xml:space="preserve">    注：如为联合体投标，盖章处须加盖联合体各方公章并由联合体各方法定代表人分别签字，否则投标无效。</w:t>
      </w:r>
    </w:p>
    <w:p w14:paraId="1F6C4CE8">
      <w:pPr>
        <w:spacing w:line="400" w:lineRule="exact"/>
        <w:contextualSpacing/>
        <w:jc w:val="left"/>
        <w:rPr>
          <w:rFonts w:ascii="仿宋" w:hAnsi="仿宋" w:eastAsia="仿宋"/>
          <w:color w:val="auto"/>
          <w:sz w:val="24"/>
        </w:rPr>
      </w:pPr>
    </w:p>
    <w:p w14:paraId="0C1757A1">
      <w:pPr>
        <w:spacing w:line="400" w:lineRule="exact"/>
        <w:contextualSpacing/>
        <w:jc w:val="left"/>
        <w:rPr>
          <w:rFonts w:ascii="仿宋" w:hAnsi="仿宋" w:eastAsia="仿宋"/>
          <w:color w:val="auto"/>
          <w:sz w:val="24"/>
        </w:rPr>
      </w:pPr>
    </w:p>
    <w:p w14:paraId="07870066">
      <w:pPr>
        <w:spacing w:line="400" w:lineRule="exact"/>
        <w:contextualSpacing/>
        <w:jc w:val="left"/>
        <w:rPr>
          <w:rFonts w:ascii="仿宋" w:hAnsi="仿宋" w:eastAsia="仿宋"/>
          <w:color w:val="auto"/>
          <w:sz w:val="24"/>
        </w:rPr>
      </w:pPr>
    </w:p>
    <w:p w14:paraId="05DA8F55">
      <w:pPr>
        <w:spacing w:line="400" w:lineRule="exact"/>
        <w:ind w:firstLine="3840" w:firstLineChars="1600"/>
        <w:contextualSpacing/>
        <w:jc w:val="left"/>
        <w:rPr>
          <w:rFonts w:ascii="仿宋" w:hAnsi="仿宋" w:eastAsia="仿宋"/>
          <w:color w:val="auto"/>
          <w:sz w:val="24"/>
        </w:rPr>
      </w:pPr>
      <w:r>
        <w:rPr>
          <w:rFonts w:hint="eastAsia" w:ascii="仿宋" w:hAnsi="仿宋" w:eastAsia="仿宋"/>
          <w:color w:val="auto"/>
          <w:sz w:val="24"/>
        </w:rPr>
        <w:t xml:space="preserve">      法定代表人（签字或者盖章）：</w:t>
      </w:r>
    </w:p>
    <w:p w14:paraId="373C0DD1">
      <w:pPr>
        <w:spacing w:line="400" w:lineRule="exact"/>
        <w:contextualSpacing/>
        <w:jc w:val="left"/>
        <w:rPr>
          <w:rFonts w:ascii="仿宋" w:hAnsi="仿宋" w:eastAsia="仿宋"/>
          <w:color w:val="auto"/>
          <w:sz w:val="24"/>
        </w:rPr>
      </w:pPr>
      <w:r>
        <w:rPr>
          <w:rFonts w:hint="eastAsia" w:ascii="仿宋" w:hAnsi="仿宋" w:eastAsia="仿宋"/>
          <w:color w:val="auto"/>
          <w:sz w:val="24"/>
        </w:rPr>
        <w:t xml:space="preserve">                                          投标人名称（电子签章）：</w:t>
      </w:r>
    </w:p>
    <w:p w14:paraId="2D7172F4">
      <w:pPr>
        <w:spacing w:line="400" w:lineRule="exact"/>
        <w:contextualSpacing/>
        <w:jc w:val="left"/>
        <w:rPr>
          <w:rFonts w:ascii="仿宋" w:hAnsi="仿宋" w:eastAsia="仿宋"/>
          <w:color w:val="auto"/>
        </w:rPr>
      </w:pPr>
      <w:r>
        <w:rPr>
          <w:rFonts w:hint="eastAsia" w:ascii="仿宋" w:hAnsi="仿宋" w:eastAsia="仿宋"/>
          <w:color w:val="auto"/>
          <w:sz w:val="24"/>
        </w:rPr>
        <w:t xml:space="preserve">                                                  年    月    日</w:t>
      </w:r>
    </w:p>
    <w:p w14:paraId="6AEEDECE">
      <w:pPr>
        <w:rPr>
          <w:rFonts w:ascii="仿宋" w:hAnsi="仿宋" w:eastAsia="仿宋"/>
          <w:b/>
          <w:color w:val="auto"/>
          <w:sz w:val="28"/>
          <w:szCs w:val="28"/>
        </w:rPr>
      </w:pPr>
      <w:bookmarkStart w:id="156" w:name="_Toc19686838"/>
      <w:r>
        <w:rPr>
          <w:rFonts w:ascii="仿宋" w:hAnsi="仿宋" w:eastAsia="仿宋"/>
          <w:b/>
          <w:color w:val="auto"/>
          <w:sz w:val="28"/>
          <w:szCs w:val="28"/>
        </w:rPr>
        <w:br w:type="page"/>
      </w:r>
      <w:r>
        <w:rPr>
          <w:rFonts w:hint="eastAsia" w:ascii="仿宋" w:hAnsi="仿宋" w:eastAsia="仿宋"/>
          <w:b/>
          <w:color w:val="auto"/>
          <w:sz w:val="28"/>
          <w:szCs w:val="28"/>
        </w:rPr>
        <w:t>三、商务</w:t>
      </w:r>
      <w:r>
        <w:rPr>
          <w:rFonts w:hint="eastAsia" w:ascii="仿宋" w:hAnsi="仿宋" w:eastAsia="仿宋"/>
          <w:b/>
          <w:color w:val="auto"/>
          <w:sz w:val="28"/>
          <w:szCs w:val="28"/>
          <w:lang w:val="en-US" w:eastAsia="zh-CN"/>
        </w:rPr>
        <w:t>技术</w:t>
      </w:r>
      <w:r>
        <w:rPr>
          <w:rFonts w:hint="eastAsia" w:ascii="仿宋" w:hAnsi="仿宋" w:eastAsia="仿宋"/>
          <w:b/>
          <w:color w:val="auto"/>
          <w:sz w:val="28"/>
          <w:szCs w:val="28"/>
        </w:rPr>
        <w:t>文件格式</w:t>
      </w:r>
      <w:bookmarkEnd w:id="156"/>
    </w:p>
    <w:p w14:paraId="7347AD87">
      <w:pPr>
        <w:snapToGrid w:val="0"/>
        <w:spacing w:beforeLines="50" w:after="50" w:line="360" w:lineRule="auto"/>
        <w:jc w:val="left"/>
        <w:rPr>
          <w:rFonts w:ascii="仿宋" w:hAnsi="仿宋" w:eastAsia="仿宋"/>
          <w:b/>
          <w:color w:val="auto"/>
          <w:sz w:val="24"/>
        </w:rPr>
      </w:pPr>
      <w:r>
        <w:rPr>
          <w:rFonts w:hint="eastAsia" w:ascii="仿宋" w:hAnsi="仿宋" w:eastAsia="仿宋"/>
          <w:b/>
          <w:color w:val="auto"/>
          <w:sz w:val="24"/>
        </w:rPr>
        <w:t>1.商务</w:t>
      </w:r>
      <w:r>
        <w:rPr>
          <w:rFonts w:hint="eastAsia" w:ascii="仿宋" w:hAnsi="仿宋" w:eastAsia="仿宋"/>
          <w:b/>
          <w:color w:val="auto"/>
          <w:sz w:val="24"/>
          <w:lang w:val="en-US" w:eastAsia="zh-CN"/>
        </w:rPr>
        <w:t>技术</w:t>
      </w:r>
      <w:r>
        <w:rPr>
          <w:rFonts w:hint="eastAsia" w:ascii="仿宋" w:hAnsi="仿宋" w:eastAsia="仿宋"/>
          <w:b/>
          <w:color w:val="auto"/>
          <w:sz w:val="24"/>
        </w:rPr>
        <w:t xml:space="preserve">文件封面格式： </w:t>
      </w:r>
    </w:p>
    <w:p w14:paraId="6227E09D">
      <w:pPr>
        <w:snapToGrid w:val="0"/>
        <w:spacing w:beforeLines="50" w:after="50"/>
        <w:rPr>
          <w:rFonts w:ascii="仿宋" w:hAnsi="仿宋" w:eastAsia="仿宋"/>
          <w:bCs/>
          <w:color w:val="auto"/>
          <w:sz w:val="32"/>
          <w:szCs w:val="20"/>
        </w:rPr>
      </w:pPr>
    </w:p>
    <w:p w14:paraId="0B8D9E69">
      <w:pPr>
        <w:snapToGrid w:val="0"/>
        <w:spacing w:beforeLines="50" w:after="50"/>
        <w:rPr>
          <w:rFonts w:ascii="仿宋" w:hAnsi="仿宋" w:eastAsia="仿宋"/>
          <w:color w:val="auto"/>
          <w:sz w:val="24"/>
          <w:szCs w:val="20"/>
        </w:rPr>
      </w:pPr>
    </w:p>
    <w:p w14:paraId="7D3EBA5F">
      <w:pPr>
        <w:snapToGrid w:val="0"/>
        <w:spacing w:beforeLines="50" w:after="50"/>
        <w:rPr>
          <w:rFonts w:ascii="仿宋" w:hAnsi="仿宋" w:eastAsia="仿宋"/>
          <w:color w:val="auto"/>
          <w:sz w:val="24"/>
          <w:szCs w:val="20"/>
        </w:rPr>
      </w:pPr>
    </w:p>
    <w:p w14:paraId="47F6D2EB">
      <w:pPr>
        <w:snapToGrid w:val="0"/>
        <w:spacing w:beforeLines="50" w:after="50"/>
        <w:rPr>
          <w:rFonts w:ascii="仿宋" w:hAnsi="仿宋" w:eastAsia="仿宋"/>
          <w:color w:val="auto"/>
          <w:sz w:val="24"/>
          <w:szCs w:val="20"/>
        </w:rPr>
      </w:pPr>
    </w:p>
    <w:p w14:paraId="389CB4FC">
      <w:pPr>
        <w:snapToGrid w:val="0"/>
        <w:spacing w:beforeLines="50" w:after="50"/>
        <w:jc w:val="center"/>
        <w:rPr>
          <w:rFonts w:ascii="仿宋" w:hAnsi="仿宋" w:eastAsia="仿宋" w:cs="方正小标宋简体"/>
          <w:color w:val="auto"/>
          <w:sz w:val="84"/>
          <w:szCs w:val="84"/>
        </w:rPr>
      </w:pPr>
      <w:r>
        <w:rPr>
          <w:rFonts w:hint="eastAsia" w:ascii="仿宋" w:hAnsi="仿宋" w:eastAsia="仿宋" w:cs="方正小标宋简体"/>
          <w:color w:val="auto"/>
          <w:sz w:val="84"/>
          <w:szCs w:val="84"/>
        </w:rPr>
        <w:t>投  标  文  件</w:t>
      </w:r>
    </w:p>
    <w:p w14:paraId="4AA90636">
      <w:pPr>
        <w:snapToGrid w:val="0"/>
        <w:spacing w:beforeLines="50" w:after="50"/>
        <w:rPr>
          <w:rFonts w:ascii="仿宋" w:hAnsi="仿宋" w:eastAsia="仿宋"/>
          <w:color w:val="auto"/>
          <w:sz w:val="24"/>
          <w:szCs w:val="20"/>
        </w:rPr>
      </w:pPr>
    </w:p>
    <w:p w14:paraId="15827941">
      <w:pPr>
        <w:snapToGrid w:val="0"/>
        <w:spacing w:beforeLines="50" w:after="50"/>
        <w:rPr>
          <w:rFonts w:ascii="仿宋" w:hAnsi="仿宋" w:eastAsia="仿宋"/>
          <w:color w:val="auto"/>
          <w:sz w:val="24"/>
          <w:szCs w:val="20"/>
        </w:rPr>
      </w:pPr>
    </w:p>
    <w:p w14:paraId="056C0B56">
      <w:pPr>
        <w:snapToGrid w:val="0"/>
        <w:spacing w:beforeLines="50" w:after="50"/>
        <w:jc w:val="center"/>
        <w:rPr>
          <w:rFonts w:ascii="仿宋" w:hAnsi="仿宋" w:eastAsia="仿宋" w:cs="方正小标宋简体"/>
          <w:bCs/>
          <w:color w:val="auto"/>
          <w:sz w:val="32"/>
          <w:szCs w:val="32"/>
        </w:rPr>
      </w:pPr>
      <w:r>
        <w:rPr>
          <w:rFonts w:hint="eastAsia" w:ascii="仿宋" w:hAnsi="仿宋" w:eastAsia="仿宋" w:cs="方正小标宋简体"/>
          <w:bCs/>
          <w:color w:val="auto"/>
          <w:sz w:val="32"/>
          <w:szCs w:val="32"/>
        </w:rPr>
        <w:t xml:space="preserve">商  务 </w:t>
      </w:r>
      <w:r>
        <w:rPr>
          <w:rFonts w:hint="eastAsia" w:ascii="仿宋" w:hAnsi="仿宋" w:eastAsia="仿宋" w:cs="方正小标宋简体"/>
          <w:bCs/>
          <w:color w:val="auto"/>
          <w:sz w:val="32"/>
          <w:szCs w:val="32"/>
          <w:lang w:val="en-US" w:eastAsia="zh-CN"/>
        </w:rPr>
        <w:t>技 术</w:t>
      </w:r>
      <w:r>
        <w:rPr>
          <w:rFonts w:hint="eastAsia" w:ascii="仿宋" w:hAnsi="仿宋" w:eastAsia="仿宋" w:cs="方正小标宋简体"/>
          <w:bCs/>
          <w:color w:val="auto"/>
          <w:sz w:val="32"/>
          <w:szCs w:val="32"/>
        </w:rPr>
        <w:t xml:space="preserve"> 文  件</w:t>
      </w:r>
    </w:p>
    <w:p w14:paraId="19567971">
      <w:pPr>
        <w:snapToGrid w:val="0"/>
        <w:spacing w:beforeLines="50" w:after="50"/>
        <w:rPr>
          <w:rFonts w:ascii="仿宋" w:hAnsi="仿宋" w:eastAsia="仿宋"/>
          <w:bCs/>
          <w:color w:val="auto"/>
          <w:sz w:val="24"/>
          <w:szCs w:val="20"/>
        </w:rPr>
      </w:pPr>
    </w:p>
    <w:p w14:paraId="68DBBC05">
      <w:pPr>
        <w:snapToGrid w:val="0"/>
        <w:spacing w:beforeLines="50" w:after="50"/>
        <w:ind w:firstLine="540" w:firstLineChars="225"/>
        <w:rPr>
          <w:rFonts w:ascii="仿宋" w:hAnsi="仿宋" w:eastAsia="仿宋"/>
          <w:bCs/>
          <w:color w:val="auto"/>
          <w:sz w:val="24"/>
        </w:rPr>
      </w:pPr>
    </w:p>
    <w:p w14:paraId="0CAF2D47">
      <w:pPr>
        <w:snapToGrid w:val="0"/>
        <w:spacing w:beforeLines="50" w:after="50"/>
        <w:ind w:firstLine="540" w:firstLineChars="225"/>
        <w:rPr>
          <w:rFonts w:ascii="仿宋" w:hAnsi="仿宋" w:eastAsia="仿宋"/>
          <w:bCs/>
          <w:color w:val="auto"/>
          <w:sz w:val="24"/>
        </w:rPr>
      </w:pPr>
    </w:p>
    <w:p w14:paraId="05ACD813">
      <w:pPr>
        <w:snapToGrid w:val="0"/>
        <w:spacing w:beforeLines="50" w:after="50"/>
        <w:ind w:firstLine="540" w:firstLineChars="225"/>
        <w:rPr>
          <w:rFonts w:ascii="仿宋" w:hAnsi="仿宋" w:eastAsia="仿宋"/>
          <w:bCs/>
          <w:color w:val="auto"/>
          <w:sz w:val="24"/>
        </w:rPr>
      </w:pPr>
    </w:p>
    <w:p w14:paraId="4112920D">
      <w:pPr>
        <w:snapToGrid w:val="0"/>
        <w:spacing w:beforeLines="50" w:after="50"/>
        <w:ind w:firstLine="540" w:firstLineChars="225"/>
        <w:rPr>
          <w:rFonts w:ascii="仿宋" w:hAnsi="仿宋" w:eastAsia="仿宋"/>
          <w:bCs/>
          <w:color w:val="auto"/>
          <w:sz w:val="24"/>
        </w:rPr>
      </w:pPr>
      <w:r>
        <w:rPr>
          <w:rFonts w:hint="eastAsia" w:ascii="仿宋" w:hAnsi="仿宋" w:eastAsia="仿宋"/>
          <w:bCs/>
          <w:color w:val="auto"/>
          <w:sz w:val="24"/>
        </w:rPr>
        <w:t>项目名称：</w:t>
      </w:r>
    </w:p>
    <w:p w14:paraId="47373797">
      <w:pPr>
        <w:snapToGrid w:val="0"/>
        <w:spacing w:beforeLines="50" w:after="50"/>
        <w:ind w:firstLine="540" w:firstLineChars="225"/>
        <w:rPr>
          <w:rFonts w:ascii="仿宋" w:hAnsi="仿宋" w:eastAsia="仿宋"/>
          <w:bCs/>
          <w:color w:val="auto"/>
          <w:sz w:val="24"/>
          <w:szCs w:val="20"/>
        </w:rPr>
      </w:pPr>
    </w:p>
    <w:p w14:paraId="35DBEBA3">
      <w:pPr>
        <w:snapToGrid w:val="0"/>
        <w:spacing w:beforeLines="50" w:after="50"/>
        <w:ind w:firstLine="540" w:firstLineChars="225"/>
        <w:rPr>
          <w:rFonts w:ascii="仿宋" w:hAnsi="仿宋" w:eastAsia="仿宋"/>
          <w:bCs/>
          <w:color w:val="auto"/>
          <w:sz w:val="24"/>
        </w:rPr>
      </w:pPr>
      <w:r>
        <w:rPr>
          <w:rFonts w:hint="eastAsia" w:ascii="仿宋" w:hAnsi="仿宋" w:eastAsia="仿宋"/>
          <w:bCs/>
          <w:color w:val="auto"/>
          <w:sz w:val="24"/>
        </w:rPr>
        <w:t>项目编号：</w:t>
      </w:r>
    </w:p>
    <w:p w14:paraId="5C5618BA">
      <w:pPr>
        <w:snapToGrid w:val="0"/>
        <w:spacing w:beforeLines="50" w:after="50"/>
        <w:ind w:firstLine="540" w:firstLineChars="225"/>
        <w:rPr>
          <w:rFonts w:ascii="仿宋" w:hAnsi="仿宋" w:eastAsia="仿宋"/>
          <w:bCs/>
          <w:color w:val="auto"/>
          <w:sz w:val="24"/>
          <w:szCs w:val="20"/>
        </w:rPr>
      </w:pPr>
    </w:p>
    <w:p w14:paraId="70EB230F">
      <w:pPr>
        <w:snapToGrid w:val="0"/>
        <w:spacing w:beforeLines="50" w:after="50"/>
        <w:ind w:firstLine="540" w:firstLineChars="225"/>
        <w:rPr>
          <w:rFonts w:ascii="仿宋" w:hAnsi="仿宋" w:eastAsia="仿宋"/>
          <w:bCs/>
          <w:color w:val="auto"/>
          <w:sz w:val="24"/>
        </w:rPr>
      </w:pPr>
      <w:r>
        <w:rPr>
          <w:rFonts w:hint="eastAsia" w:ascii="仿宋" w:hAnsi="仿宋" w:eastAsia="仿宋"/>
          <w:bCs/>
          <w:color w:val="auto"/>
          <w:sz w:val="24"/>
        </w:rPr>
        <w:t>所投分标：</w:t>
      </w:r>
    </w:p>
    <w:p w14:paraId="0465A27A">
      <w:pPr>
        <w:snapToGrid w:val="0"/>
        <w:spacing w:beforeLines="50" w:after="50"/>
        <w:ind w:firstLine="540" w:firstLineChars="225"/>
        <w:rPr>
          <w:rFonts w:ascii="仿宋" w:hAnsi="仿宋" w:eastAsia="仿宋"/>
          <w:bCs/>
          <w:color w:val="auto"/>
          <w:sz w:val="24"/>
          <w:szCs w:val="20"/>
        </w:rPr>
      </w:pPr>
    </w:p>
    <w:p w14:paraId="3A0EB627">
      <w:pPr>
        <w:pStyle w:val="10"/>
        <w:snapToGrid w:val="0"/>
        <w:spacing w:before="50" w:after="50"/>
        <w:ind w:firstLine="540" w:firstLineChars="225"/>
        <w:rPr>
          <w:rFonts w:ascii="仿宋" w:hAnsi="仿宋" w:eastAsia="仿宋"/>
          <w:bCs/>
          <w:color w:val="auto"/>
          <w:sz w:val="24"/>
          <w:szCs w:val="24"/>
        </w:rPr>
      </w:pPr>
      <w:r>
        <w:rPr>
          <w:rFonts w:hint="eastAsia" w:ascii="仿宋" w:hAnsi="仿宋" w:eastAsia="仿宋"/>
          <w:bCs/>
          <w:color w:val="auto"/>
          <w:sz w:val="24"/>
          <w:szCs w:val="24"/>
        </w:rPr>
        <w:t>投标人名称：</w:t>
      </w:r>
    </w:p>
    <w:p w14:paraId="3F2A9C40">
      <w:pPr>
        <w:pStyle w:val="10"/>
        <w:snapToGrid w:val="0"/>
        <w:spacing w:before="50" w:after="50"/>
        <w:ind w:firstLine="540" w:firstLineChars="225"/>
        <w:rPr>
          <w:rFonts w:ascii="仿宋" w:hAnsi="仿宋" w:eastAsia="仿宋"/>
          <w:bCs/>
          <w:color w:val="auto"/>
          <w:sz w:val="24"/>
          <w:szCs w:val="24"/>
        </w:rPr>
      </w:pPr>
    </w:p>
    <w:p w14:paraId="04F98E89">
      <w:pPr>
        <w:pStyle w:val="10"/>
        <w:snapToGrid w:val="0"/>
        <w:spacing w:before="50" w:after="50"/>
        <w:ind w:firstLine="540" w:firstLineChars="225"/>
        <w:rPr>
          <w:rFonts w:ascii="仿宋" w:hAnsi="仿宋" w:eastAsia="仿宋"/>
          <w:bCs/>
          <w:color w:val="auto"/>
          <w:sz w:val="24"/>
          <w:szCs w:val="24"/>
        </w:rPr>
      </w:pPr>
      <w:r>
        <w:rPr>
          <w:rFonts w:hint="eastAsia" w:ascii="仿宋" w:hAnsi="仿宋" w:eastAsia="仿宋"/>
          <w:bCs/>
          <w:color w:val="auto"/>
          <w:sz w:val="24"/>
          <w:szCs w:val="24"/>
        </w:rPr>
        <w:t>投标人地址：</w:t>
      </w:r>
    </w:p>
    <w:p w14:paraId="2356E085">
      <w:pPr>
        <w:pStyle w:val="10"/>
        <w:snapToGrid w:val="0"/>
        <w:spacing w:before="50" w:after="50"/>
        <w:ind w:firstLine="960" w:firstLineChars="400"/>
        <w:rPr>
          <w:rFonts w:ascii="仿宋" w:hAnsi="仿宋" w:eastAsia="仿宋"/>
          <w:bCs/>
          <w:color w:val="auto"/>
          <w:sz w:val="24"/>
          <w:szCs w:val="24"/>
        </w:rPr>
      </w:pPr>
    </w:p>
    <w:p w14:paraId="1C77DE0A">
      <w:pPr>
        <w:snapToGrid w:val="0"/>
        <w:spacing w:beforeLines="50" w:after="50"/>
        <w:ind w:firstLine="645"/>
        <w:rPr>
          <w:rFonts w:ascii="仿宋" w:hAnsi="仿宋" w:eastAsia="仿宋"/>
          <w:color w:val="auto"/>
          <w:sz w:val="24"/>
        </w:rPr>
      </w:pPr>
      <w:r>
        <w:rPr>
          <w:rFonts w:hint="eastAsia" w:ascii="仿宋" w:hAnsi="仿宋" w:eastAsia="仿宋"/>
          <w:color w:val="auto"/>
          <w:sz w:val="24"/>
        </w:rPr>
        <w:t xml:space="preserve">                        年  月  日</w:t>
      </w:r>
    </w:p>
    <w:p w14:paraId="3B54FA1B">
      <w:pPr>
        <w:snapToGrid w:val="0"/>
        <w:spacing w:beforeLines="50" w:after="50"/>
        <w:rPr>
          <w:rFonts w:ascii="仿宋" w:hAnsi="仿宋" w:eastAsia="仿宋"/>
          <w:color w:val="auto"/>
          <w:sz w:val="24"/>
          <w:szCs w:val="20"/>
        </w:rPr>
      </w:pPr>
    </w:p>
    <w:p w14:paraId="1DEABE3F">
      <w:pPr>
        <w:snapToGrid w:val="0"/>
        <w:spacing w:line="360" w:lineRule="auto"/>
        <w:jc w:val="left"/>
        <w:rPr>
          <w:rFonts w:ascii="仿宋" w:hAnsi="仿宋" w:eastAsia="仿宋"/>
          <w:b/>
          <w:bCs/>
          <w:color w:val="auto"/>
          <w:sz w:val="28"/>
          <w:szCs w:val="28"/>
        </w:rPr>
      </w:pPr>
      <w:r>
        <w:rPr>
          <w:rFonts w:ascii="仿宋" w:hAnsi="仿宋" w:eastAsia="仿宋"/>
          <w:color w:val="auto"/>
          <w:sz w:val="24"/>
          <w:szCs w:val="20"/>
        </w:rPr>
        <w:br w:type="page"/>
      </w:r>
      <w:r>
        <w:rPr>
          <w:rFonts w:hint="eastAsia" w:ascii="仿宋" w:hAnsi="仿宋" w:eastAsia="仿宋"/>
          <w:b/>
          <w:bCs/>
          <w:color w:val="auto"/>
          <w:sz w:val="24"/>
        </w:rPr>
        <w:t>2.商务</w:t>
      </w:r>
      <w:r>
        <w:rPr>
          <w:rFonts w:hint="eastAsia" w:ascii="仿宋" w:hAnsi="仿宋" w:eastAsia="仿宋"/>
          <w:b/>
          <w:bCs/>
          <w:color w:val="auto"/>
          <w:sz w:val="24"/>
          <w:lang w:val="en-US" w:eastAsia="zh-CN"/>
        </w:rPr>
        <w:t>技术</w:t>
      </w:r>
      <w:r>
        <w:rPr>
          <w:rFonts w:hint="eastAsia" w:ascii="仿宋" w:hAnsi="仿宋" w:eastAsia="仿宋"/>
          <w:b/>
          <w:bCs/>
          <w:color w:val="auto"/>
          <w:sz w:val="24"/>
        </w:rPr>
        <w:t>文件目录</w:t>
      </w:r>
    </w:p>
    <w:p w14:paraId="09EF89E0">
      <w:pPr>
        <w:snapToGrid w:val="0"/>
        <w:spacing w:before="50" w:afterLines="50" w:line="360" w:lineRule="auto"/>
        <w:ind w:firstLine="480" w:firstLineChars="200"/>
        <w:jc w:val="left"/>
        <w:rPr>
          <w:rFonts w:ascii="仿宋" w:hAnsi="仿宋" w:eastAsia="仿宋"/>
          <w:b/>
          <w:bCs/>
          <w:color w:val="auto"/>
          <w:sz w:val="32"/>
          <w:szCs w:val="32"/>
        </w:rPr>
      </w:pPr>
      <w:r>
        <w:rPr>
          <w:rFonts w:hint="eastAsia" w:ascii="仿宋" w:hAnsi="仿宋" w:eastAsia="仿宋"/>
          <w:color w:val="auto"/>
          <w:sz w:val="24"/>
        </w:rPr>
        <w:t>根据招标文件规定及投标人提供的材料自行编写目录。</w:t>
      </w:r>
    </w:p>
    <w:p w14:paraId="196C7434">
      <w:pPr>
        <w:snapToGrid w:val="0"/>
        <w:spacing w:before="50" w:afterLines="50"/>
        <w:jc w:val="left"/>
        <w:rPr>
          <w:rFonts w:ascii="仿宋" w:hAnsi="仿宋" w:eastAsia="仿宋"/>
          <w:color w:val="auto"/>
        </w:rPr>
      </w:pPr>
    </w:p>
    <w:p w14:paraId="19ABD7B1">
      <w:pPr>
        <w:snapToGrid w:val="0"/>
        <w:spacing w:beforeLines="50" w:after="50"/>
        <w:jc w:val="left"/>
        <w:rPr>
          <w:rFonts w:ascii="仿宋" w:hAnsi="仿宋" w:eastAsia="仿宋"/>
          <w:b/>
          <w:color w:val="auto"/>
          <w:sz w:val="24"/>
        </w:rPr>
      </w:pPr>
      <w:r>
        <w:rPr>
          <w:rFonts w:ascii="仿宋" w:hAnsi="仿宋" w:eastAsia="仿宋"/>
          <w:b/>
          <w:color w:val="auto"/>
          <w:sz w:val="24"/>
        </w:rPr>
        <w:br w:type="page"/>
      </w:r>
      <w:r>
        <w:rPr>
          <w:rFonts w:hint="eastAsia" w:ascii="仿宋" w:hAnsi="仿宋" w:eastAsia="仿宋"/>
          <w:b/>
          <w:color w:val="auto"/>
          <w:sz w:val="24"/>
        </w:rPr>
        <w:t>3.投标人参加本项目无围标串标行为的承诺</w:t>
      </w:r>
    </w:p>
    <w:p w14:paraId="2FCAEB7D">
      <w:pPr>
        <w:snapToGrid w:val="0"/>
        <w:spacing w:beforeLines="50" w:after="50"/>
        <w:jc w:val="left"/>
        <w:rPr>
          <w:rFonts w:ascii="仿宋" w:hAnsi="仿宋" w:eastAsia="仿宋"/>
          <w:b/>
          <w:color w:val="auto"/>
          <w:sz w:val="24"/>
        </w:rPr>
      </w:pPr>
    </w:p>
    <w:p w14:paraId="5904D472">
      <w:pPr>
        <w:spacing w:line="360" w:lineRule="auto"/>
        <w:ind w:left="420"/>
        <w:contextualSpacing/>
        <w:jc w:val="center"/>
        <w:rPr>
          <w:rFonts w:ascii="仿宋" w:hAnsi="仿宋" w:eastAsia="仿宋"/>
          <w:b/>
          <w:color w:val="auto"/>
          <w:sz w:val="24"/>
        </w:rPr>
      </w:pPr>
      <w:r>
        <w:rPr>
          <w:rFonts w:hint="eastAsia" w:ascii="仿宋" w:hAnsi="仿宋" w:eastAsia="仿宋" w:cs="方正小标宋简体"/>
          <w:bCs/>
          <w:color w:val="auto"/>
          <w:spacing w:val="-11"/>
          <w:sz w:val="44"/>
          <w:szCs w:val="44"/>
        </w:rPr>
        <w:t>投标人参加本项目无围标串标行为的承诺函</w:t>
      </w:r>
    </w:p>
    <w:p w14:paraId="35021A85">
      <w:pPr>
        <w:spacing w:line="440" w:lineRule="exact"/>
        <w:contextualSpacing/>
        <w:jc w:val="left"/>
        <w:rPr>
          <w:rFonts w:ascii="仿宋" w:hAnsi="仿宋" w:eastAsia="仿宋"/>
          <w:b/>
          <w:color w:val="auto"/>
          <w:sz w:val="24"/>
        </w:rPr>
      </w:pPr>
      <w:r>
        <w:rPr>
          <w:rFonts w:hint="eastAsia" w:ascii="仿宋" w:hAnsi="仿宋" w:eastAsia="仿宋"/>
          <w:b/>
          <w:color w:val="auto"/>
          <w:sz w:val="24"/>
        </w:rPr>
        <w:t>一、我方承诺无下列相互串通投标的情形：</w:t>
      </w:r>
    </w:p>
    <w:p w14:paraId="28E2923D">
      <w:pPr>
        <w:spacing w:line="440" w:lineRule="exact"/>
        <w:ind w:firstLine="470" w:firstLineChars="196"/>
        <w:contextualSpacing/>
        <w:jc w:val="left"/>
        <w:rPr>
          <w:rFonts w:ascii="仿宋" w:hAnsi="仿宋" w:eastAsia="仿宋"/>
          <w:color w:val="auto"/>
          <w:sz w:val="24"/>
        </w:rPr>
      </w:pPr>
      <w:r>
        <w:rPr>
          <w:rFonts w:hint="eastAsia" w:ascii="仿宋" w:hAnsi="仿宋" w:eastAsia="仿宋"/>
          <w:color w:val="auto"/>
          <w:sz w:val="24"/>
        </w:rPr>
        <w:t>1.不同投标人的投标文件由同一单位或者个人编制；</w:t>
      </w:r>
    </w:p>
    <w:p w14:paraId="09D5E4F5">
      <w:pPr>
        <w:spacing w:line="440" w:lineRule="exact"/>
        <w:ind w:firstLine="470" w:firstLineChars="196"/>
        <w:contextualSpacing/>
        <w:jc w:val="left"/>
        <w:rPr>
          <w:rFonts w:ascii="仿宋" w:hAnsi="仿宋" w:eastAsia="仿宋"/>
          <w:color w:val="auto"/>
          <w:sz w:val="24"/>
        </w:rPr>
      </w:pPr>
      <w:r>
        <w:rPr>
          <w:rFonts w:hint="eastAsia" w:ascii="仿宋" w:hAnsi="仿宋" w:eastAsia="仿宋"/>
          <w:color w:val="auto"/>
          <w:sz w:val="24"/>
        </w:rPr>
        <w:t>2.不同投标人委托同一单位或者个人办理投标事宜；</w:t>
      </w:r>
    </w:p>
    <w:p w14:paraId="7C474C47">
      <w:pPr>
        <w:spacing w:line="440" w:lineRule="exact"/>
        <w:ind w:firstLine="470" w:firstLineChars="196"/>
        <w:contextualSpacing/>
        <w:jc w:val="left"/>
        <w:rPr>
          <w:rFonts w:ascii="仿宋" w:hAnsi="仿宋" w:eastAsia="仿宋"/>
          <w:color w:val="auto"/>
          <w:sz w:val="24"/>
        </w:rPr>
      </w:pPr>
      <w:r>
        <w:rPr>
          <w:rFonts w:hint="eastAsia" w:ascii="仿宋" w:hAnsi="仿宋" w:eastAsia="仿宋"/>
          <w:color w:val="auto"/>
          <w:sz w:val="24"/>
        </w:rPr>
        <w:t>3.不同的投标人的投标文件载明的项目管理员为同一个人；</w:t>
      </w:r>
    </w:p>
    <w:p w14:paraId="3EEB7748">
      <w:pPr>
        <w:spacing w:line="440" w:lineRule="exact"/>
        <w:ind w:firstLine="470" w:firstLineChars="196"/>
        <w:contextualSpacing/>
        <w:jc w:val="left"/>
        <w:rPr>
          <w:rFonts w:ascii="仿宋" w:hAnsi="仿宋" w:eastAsia="仿宋"/>
          <w:color w:val="auto"/>
          <w:sz w:val="24"/>
        </w:rPr>
      </w:pPr>
      <w:r>
        <w:rPr>
          <w:rFonts w:hint="eastAsia" w:ascii="仿宋" w:hAnsi="仿宋" w:eastAsia="仿宋"/>
          <w:color w:val="auto"/>
          <w:sz w:val="24"/>
        </w:rPr>
        <w:t>4.不同投标人的投标文件异常一致或者投标报价呈规律性差异；</w:t>
      </w:r>
    </w:p>
    <w:p w14:paraId="5382E01C">
      <w:pPr>
        <w:spacing w:line="440" w:lineRule="exact"/>
        <w:ind w:firstLine="470" w:firstLineChars="196"/>
        <w:contextualSpacing/>
        <w:jc w:val="left"/>
        <w:rPr>
          <w:rFonts w:ascii="仿宋" w:hAnsi="仿宋" w:eastAsia="仿宋"/>
          <w:color w:val="auto"/>
          <w:sz w:val="24"/>
        </w:rPr>
      </w:pPr>
      <w:r>
        <w:rPr>
          <w:rFonts w:hint="eastAsia" w:ascii="仿宋" w:hAnsi="仿宋" w:eastAsia="仿宋"/>
          <w:color w:val="auto"/>
          <w:sz w:val="24"/>
        </w:rPr>
        <w:t>5.不同投标人的投标文件相互混装；</w:t>
      </w:r>
    </w:p>
    <w:p w14:paraId="273EEBCE">
      <w:pPr>
        <w:spacing w:line="440" w:lineRule="exact"/>
        <w:ind w:firstLine="470" w:firstLineChars="196"/>
        <w:contextualSpacing/>
        <w:jc w:val="left"/>
        <w:rPr>
          <w:rFonts w:ascii="仿宋" w:hAnsi="仿宋" w:eastAsia="仿宋"/>
          <w:color w:val="auto"/>
          <w:sz w:val="24"/>
        </w:rPr>
      </w:pPr>
      <w:r>
        <w:rPr>
          <w:rFonts w:hint="eastAsia" w:ascii="仿宋" w:hAnsi="仿宋" w:eastAsia="仿宋"/>
          <w:color w:val="auto"/>
          <w:sz w:val="24"/>
        </w:rPr>
        <w:t>6.不同投标人的投标保证金从同一单位或者个人账户转出。</w:t>
      </w:r>
    </w:p>
    <w:p w14:paraId="70A24A00">
      <w:pPr>
        <w:spacing w:line="440" w:lineRule="exact"/>
        <w:contextualSpacing/>
        <w:jc w:val="left"/>
        <w:rPr>
          <w:rFonts w:ascii="仿宋" w:hAnsi="仿宋" w:eastAsia="仿宋"/>
          <w:color w:val="auto"/>
          <w:sz w:val="24"/>
        </w:rPr>
      </w:pPr>
      <w:r>
        <w:rPr>
          <w:rFonts w:hint="eastAsia" w:ascii="仿宋" w:hAnsi="仿宋" w:eastAsia="仿宋"/>
          <w:b/>
          <w:color w:val="auto"/>
          <w:sz w:val="24"/>
        </w:rPr>
        <w:t>二、我方承诺无下列恶意串通的情形：</w:t>
      </w:r>
    </w:p>
    <w:p w14:paraId="45D0B73A">
      <w:pPr>
        <w:spacing w:line="440" w:lineRule="exact"/>
        <w:ind w:firstLine="470" w:firstLineChars="196"/>
        <w:contextualSpacing/>
        <w:jc w:val="left"/>
        <w:rPr>
          <w:rFonts w:ascii="仿宋" w:hAnsi="仿宋" w:eastAsia="仿宋"/>
          <w:color w:val="auto"/>
          <w:sz w:val="24"/>
        </w:rPr>
      </w:pPr>
      <w:r>
        <w:rPr>
          <w:rFonts w:hint="eastAsia" w:ascii="仿宋" w:hAnsi="仿宋" w:eastAsia="仿宋"/>
          <w:color w:val="auto"/>
          <w:sz w:val="24"/>
        </w:rPr>
        <w:t>1.投标人直接或者间接从采购人或者采购代理机构处获得其他投标人的相关信息并修改其投标文件或者响应文件；</w:t>
      </w:r>
    </w:p>
    <w:p w14:paraId="6F31DAE6">
      <w:pPr>
        <w:spacing w:line="440" w:lineRule="exact"/>
        <w:ind w:firstLine="470" w:firstLineChars="196"/>
        <w:contextualSpacing/>
        <w:jc w:val="left"/>
        <w:rPr>
          <w:rFonts w:ascii="仿宋" w:hAnsi="仿宋" w:eastAsia="仿宋"/>
          <w:color w:val="auto"/>
          <w:sz w:val="24"/>
        </w:rPr>
      </w:pPr>
      <w:r>
        <w:rPr>
          <w:rFonts w:hint="eastAsia" w:ascii="仿宋" w:hAnsi="仿宋" w:eastAsia="仿宋"/>
          <w:color w:val="auto"/>
          <w:sz w:val="24"/>
        </w:rPr>
        <w:t>2.投标人按照采购人或者采购代理机构的授意撤换、修改投标文件或者响应文件；</w:t>
      </w:r>
    </w:p>
    <w:p w14:paraId="736FB586">
      <w:pPr>
        <w:spacing w:line="440" w:lineRule="exact"/>
        <w:ind w:firstLine="470" w:firstLineChars="196"/>
        <w:contextualSpacing/>
        <w:jc w:val="left"/>
        <w:rPr>
          <w:rFonts w:ascii="仿宋" w:hAnsi="仿宋" w:eastAsia="仿宋"/>
          <w:color w:val="auto"/>
          <w:sz w:val="24"/>
        </w:rPr>
      </w:pPr>
      <w:r>
        <w:rPr>
          <w:rFonts w:hint="eastAsia" w:ascii="仿宋" w:hAnsi="仿宋" w:eastAsia="仿宋"/>
          <w:color w:val="auto"/>
          <w:sz w:val="24"/>
        </w:rPr>
        <w:t>3.投标人直接或者间接从采购人或者采购代理机构处获得评标委员会成员信息；</w:t>
      </w:r>
    </w:p>
    <w:p w14:paraId="3B4A1E5A">
      <w:pPr>
        <w:spacing w:line="440" w:lineRule="exact"/>
        <w:ind w:firstLine="470" w:firstLineChars="196"/>
        <w:contextualSpacing/>
        <w:jc w:val="left"/>
        <w:rPr>
          <w:rFonts w:ascii="仿宋" w:hAnsi="仿宋" w:eastAsia="仿宋"/>
          <w:color w:val="auto"/>
          <w:sz w:val="24"/>
        </w:rPr>
      </w:pPr>
      <w:r>
        <w:rPr>
          <w:rFonts w:hint="eastAsia" w:ascii="仿宋" w:hAnsi="仿宋" w:eastAsia="仿宋"/>
          <w:color w:val="auto"/>
          <w:sz w:val="24"/>
        </w:rPr>
        <w:t>4.投标人之间协商报价、技术方案等投标文件或者响应文件的实质性内容；</w:t>
      </w:r>
    </w:p>
    <w:p w14:paraId="249A01AE">
      <w:pPr>
        <w:spacing w:line="440" w:lineRule="exact"/>
        <w:ind w:firstLine="470" w:firstLineChars="196"/>
        <w:contextualSpacing/>
        <w:jc w:val="left"/>
        <w:rPr>
          <w:rFonts w:ascii="仿宋" w:hAnsi="仿宋" w:eastAsia="仿宋"/>
          <w:color w:val="auto"/>
          <w:sz w:val="24"/>
        </w:rPr>
      </w:pPr>
      <w:r>
        <w:rPr>
          <w:rFonts w:hint="eastAsia" w:ascii="仿宋" w:hAnsi="仿宋" w:eastAsia="仿宋"/>
          <w:color w:val="auto"/>
          <w:sz w:val="24"/>
        </w:rPr>
        <w:t>5.属于同一集团、协会、商会等组织成员的投标人按照该组织要求协同参加政府采购活动；</w:t>
      </w:r>
    </w:p>
    <w:p w14:paraId="078B1C7E">
      <w:pPr>
        <w:spacing w:line="440" w:lineRule="exact"/>
        <w:ind w:firstLine="470" w:firstLineChars="196"/>
        <w:contextualSpacing/>
        <w:jc w:val="left"/>
        <w:rPr>
          <w:rFonts w:ascii="仿宋" w:hAnsi="仿宋" w:eastAsia="仿宋"/>
          <w:color w:val="auto"/>
          <w:sz w:val="24"/>
        </w:rPr>
      </w:pPr>
      <w:r>
        <w:rPr>
          <w:rFonts w:hint="eastAsia" w:ascii="仿宋" w:hAnsi="仿宋" w:eastAsia="仿宋"/>
          <w:color w:val="auto"/>
          <w:sz w:val="24"/>
        </w:rPr>
        <w:t>6.投标人之间事先约定一致抬高或者压低投标报价，或者在招标项目中事先约定轮流以高价位或者低价位中标，或者事先约定由某一特定投标人中标，然后再参加投标；</w:t>
      </w:r>
    </w:p>
    <w:p w14:paraId="02C609A1">
      <w:pPr>
        <w:spacing w:line="440" w:lineRule="exact"/>
        <w:ind w:firstLine="470" w:firstLineChars="196"/>
        <w:contextualSpacing/>
        <w:jc w:val="left"/>
        <w:rPr>
          <w:rFonts w:ascii="仿宋" w:hAnsi="仿宋" w:eastAsia="仿宋"/>
          <w:color w:val="auto"/>
          <w:sz w:val="24"/>
        </w:rPr>
      </w:pPr>
      <w:r>
        <w:rPr>
          <w:rFonts w:hint="eastAsia" w:ascii="仿宋" w:hAnsi="仿宋" w:eastAsia="仿宋"/>
          <w:color w:val="auto"/>
          <w:sz w:val="24"/>
        </w:rPr>
        <w:t>7.投标人之间商定部分投标人放弃参加政府采购活动或者放弃中标；</w:t>
      </w:r>
    </w:p>
    <w:p w14:paraId="7F565CDA">
      <w:pPr>
        <w:spacing w:line="440" w:lineRule="exact"/>
        <w:ind w:firstLine="470" w:firstLineChars="196"/>
        <w:contextualSpacing/>
        <w:jc w:val="left"/>
        <w:rPr>
          <w:rFonts w:ascii="仿宋" w:hAnsi="仿宋" w:eastAsia="仿宋"/>
          <w:color w:val="auto"/>
          <w:sz w:val="24"/>
        </w:rPr>
      </w:pPr>
      <w:r>
        <w:rPr>
          <w:rFonts w:hint="eastAsia" w:ascii="仿宋" w:hAnsi="仿宋" w:eastAsia="仿宋"/>
          <w:color w:val="auto"/>
          <w:sz w:val="24"/>
        </w:rPr>
        <w:t>8.投标人与采购人或者采购代理机构之间、投标人相互之间，为谋求特定投标人中标或者排斥其他投标人的其他串通行为。</w:t>
      </w:r>
    </w:p>
    <w:p w14:paraId="52821B99">
      <w:pPr>
        <w:spacing w:line="440" w:lineRule="exact"/>
        <w:ind w:firstLine="472" w:firstLineChars="196"/>
        <w:contextualSpacing/>
        <w:jc w:val="left"/>
        <w:rPr>
          <w:rFonts w:ascii="仿宋" w:hAnsi="仿宋" w:eastAsia="仿宋"/>
          <w:b/>
          <w:color w:val="auto"/>
          <w:sz w:val="24"/>
        </w:rPr>
      </w:pPr>
      <w:r>
        <w:rPr>
          <w:rFonts w:hint="eastAsia" w:ascii="仿宋" w:hAnsi="仿宋" w:eastAsia="仿宋"/>
          <w:b/>
          <w:color w:val="auto"/>
          <w:sz w:val="24"/>
        </w:rPr>
        <w:t>以上情形一经核查属实，我方愿意承担一切后果，并不再寻求任何旨在减轻或者免除法律责任的辩解。</w:t>
      </w:r>
    </w:p>
    <w:p w14:paraId="438A724A">
      <w:pPr>
        <w:pStyle w:val="26"/>
        <w:spacing w:line="440" w:lineRule="exact"/>
        <w:ind w:firstLine="6840" w:firstLineChars="2850"/>
        <w:contextualSpacing/>
        <w:rPr>
          <w:rFonts w:ascii="仿宋" w:hAnsi="仿宋" w:eastAsia="仿宋"/>
          <w:color w:val="auto"/>
          <w:sz w:val="24"/>
          <w:szCs w:val="24"/>
        </w:rPr>
      </w:pPr>
    </w:p>
    <w:p w14:paraId="6F4B850E">
      <w:pPr>
        <w:pStyle w:val="26"/>
        <w:spacing w:line="440" w:lineRule="exact"/>
        <w:contextualSpacing/>
        <w:jc w:val="center"/>
        <w:rPr>
          <w:rFonts w:ascii="仿宋" w:hAnsi="仿宋" w:eastAsia="仿宋"/>
          <w:color w:val="auto"/>
          <w:sz w:val="24"/>
          <w:szCs w:val="24"/>
        </w:rPr>
      </w:pPr>
      <w:r>
        <w:rPr>
          <w:rFonts w:hint="eastAsia" w:ascii="仿宋" w:hAnsi="仿宋" w:eastAsia="仿宋"/>
          <w:color w:val="auto"/>
          <w:sz w:val="24"/>
          <w:szCs w:val="24"/>
        </w:rPr>
        <w:t>投标人名称（电子签章）</w:t>
      </w:r>
    </w:p>
    <w:p w14:paraId="1AB859E6">
      <w:pPr>
        <w:pStyle w:val="26"/>
        <w:spacing w:line="440" w:lineRule="exact"/>
        <w:contextualSpacing/>
        <w:rPr>
          <w:rFonts w:ascii="仿宋" w:hAnsi="仿宋" w:eastAsia="仿宋"/>
          <w:color w:val="auto"/>
          <w:sz w:val="24"/>
        </w:rPr>
      </w:pPr>
      <w:r>
        <w:rPr>
          <w:rFonts w:hint="eastAsia" w:ascii="仿宋" w:hAnsi="仿宋" w:eastAsia="仿宋"/>
          <w:color w:val="auto"/>
          <w:sz w:val="24"/>
        </w:rPr>
        <w:t>年月日</w:t>
      </w:r>
    </w:p>
    <w:p w14:paraId="45A42B57">
      <w:pPr>
        <w:snapToGrid w:val="0"/>
        <w:spacing w:beforeLines="50" w:after="50"/>
        <w:jc w:val="left"/>
        <w:rPr>
          <w:rFonts w:ascii="仿宋" w:hAnsi="仿宋" w:eastAsia="仿宋"/>
          <w:b/>
          <w:color w:val="auto"/>
          <w:sz w:val="24"/>
        </w:rPr>
      </w:pPr>
    </w:p>
    <w:p w14:paraId="05F1E88D">
      <w:pPr>
        <w:snapToGrid w:val="0"/>
        <w:spacing w:beforeLines="50" w:after="50"/>
        <w:jc w:val="left"/>
        <w:rPr>
          <w:rFonts w:ascii="仿宋" w:hAnsi="仿宋" w:eastAsia="仿宋"/>
          <w:b/>
          <w:color w:val="auto"/>
          <w:sz w:val="24"/>
        </w:rPr>
      </w:pPr>
    </w:p>
    <w:p w14:paraId="44674EC3">
      <w:pPr>
        <w:snapToGrid w:val="0"/>
        <w:spacing w:beforeLines="50" w:after="50"/>
        <w:jc w:val="left"/>
        <w:rPr>
          <w:rFonts w:ascii="仿宋" w:hAnsi="仿宋" w:eastAsia="仿宋"/>
          <w:b/>
          <w:color w:val="auto"/>
          <w:sz w:val="24"/>
        </w:rPr>
      </w:pPr>
    </w:p>
    <w:p w14:paraId="358168A5">
      <w:pPr>
        <w:snapToGrid w:val="0"/>
        <w:spacing w:beforeLines="50" w:after="50"/>
        <w:jc w:val="left"/>
        <w:rPr>
          <w:rFonts w:ascii="仿宋" w:hAnsi="仿宋" w:eastAsia="仿宋"/>
          <w:b/>
          <w:color w:val="auto"/>
          <w:sz w:val="24"/>
        </w:rPr>
      </w:pPr>
    </w:p>
    <w:p w14:paraId="7EB8C05C">
      <w:pPr>
        <w:snapToGrid w:val="0"/>
        <w:spacing w:beforeLines="50" w:after="50"/>
        <w:jc w:val="left"/>
        <w:rPr>
          <w:rFonts w:ascii="仿宋" w:hAnsi="仿宋" w:eastAsia="仿宋"/>
          <w:b/>
          <w:color w:val="auto"/>
          <w:sz w:val="24"/>
        </w:rPr>
      </w:pPr>
    </w:p>
    <w:p w14:paraId="49486FFA">
      <w:pPr>
        <w:snapToGrid w:val="0"/>
        <w:spacing w:beforeLines="50" w:after="50"/>
        <w:jc w:val="left"/>
        <w:rPr>
          <w:rFonts w:ascii="仿宋" w:hAnsi="仿宋" w:eastAsia="仿宋"/>
          <w:b/>
          <w:color w:val="auto"/>
          <w:sz w:val="24"/>
        </w:rPr>
      </w:pPr>
      <w:r>
        <w:rPr>
          <w:rFonts w:hint="eastAsia" w:ascii="仿宋" w:hAnsi="仿宋" w:eastAsia="仿宋"/>
          <w:b/>
          <w:color w:val="auto"/>
          <w:sz w:val="24"/>
        </w:rPr>
        <w:t>4.投标人廉洁承诺函</w:t>
      </w:r>
    </w:p>
    <w:p w14:paraId="3243351F">
      <w:pPr>
        <w:snapToGrid w:val="0"/>
        <w:spacing w:beforeLines="50" w:after="50"/>
        <w:jc w:val="left"/>
        <w:rPr>
          <w:rFonts w:ascii="仿宋" w:hAnsi="仿宋" w:eastAsia="仿宋"/>
          <w:b/>
          <w:color w:val="auto"/>
          <w:sz w:val="24"/>
        </w:rPr>
      </w:pPr>
    </w:p>
    <w:p w14:paraId="6FA66CDE">
      <w:pPr>
        <w:spacing w:line="360" w:lineRule="auto"/>
        <w:ind w:left="420"/>
        <w:contextualSpacing/>
        <w:jc w:val="center"/>
        <w:rPr>
          <w:rFonts w:ascii="仿宋" w:hAnsi="仿宋" w:eastAsia="仿宋"/>
          <w:b/>
          <w:color w:val="auto"/>
          <w:sz w:val="24"/>
        </w:rPr>
      </w:pPr>
      <w:r>
        <w:rPr>
          <w:rFonts w:hint="eastAsia" w:ascii="仿宋" w:hAnsi="仿宋" w:eastAsia="仿宋" w:cs="方正小标宋简体"/>
          <w:bCs/>
          <w:color w:val="auto"/>
          <w:spacing w:val="-11"/>
          <w:sz w:val="44"/>
          <w:szCs w:val="44"/>
        </w:rPr>
        <w:t>投标人廉洁承诺函</w:t>
      </w:r>
    </w:p>
    <w:p w14:paraId="42E10C87">
      <w:pPr>
        <w:spacing w:line="400" w:lineRule="exact"/>
        <w:contextualSpacing/>
        <w:jc w:val="left"/>
        <w:rPr>
          <w:rFonts w:ascii="仿宋" w:hAnsi="仿宋" w:eastAsia="仿宋"/>
          <w:b/>
          <w:color w:val="auto"/>
          <w:sz w:val="24"/>
        </w:rPr>
      </w:pPr>
      <w:r>
        <w:rPr>
          <w:rFonts w:hint="eastAsia" w:ascii="仿宋" w:hAnsi="仿宋" w:eastAsia="仿宋"/>
          <w:b/>
          <w:color w:val="auto"/>
          <w:sz w:val="24"/>
          <w:lang w:eastAsia="zh-CN"/>
        </w:rPr>
        <w:t>广西机电工程学校</w:t>
      </w:r>
      <w:r>
        <w:rPr>
          <w:rFonts w:hint="eastAsia" w:ascii="仿宋" w:hAnsi="仿宋" w:eastAsia="仿宋"/>
          <w:b/>
          <w:color w:val="auto"/>
          <w:sz w:val="24"/>
        </w:rPr>
        <w:t>：</w:t>
      </w:r>
    </w:p>
    <w:p w14:paraId="2C12A928">
      <w:pPr>
        <w:spacing w:line="400" w:lineRule="exact"/>
        <w:ind w:firstLine="470" w:firstLineChars="196"/>
        <w:contextualSpacing/>
        <w:jc w:val="left"/>
        <w:rPr>
          <w:rFonts w:ascii="仿宋" w:hAnsi="仿宋" w:eastAsia="仿宋"/>
          <w:color w:val="auto"/>
          <w:sz w:val="24"/>
        </w:rPr>
      </w:pPr>
      <w:r>
        <w:rPr>
          <w:rFonts w:hint="eastAsia" w:ascii="仿宋" w:hAnsi="仿宋" w:eastAsia="仿宋"/>
          <w:color w:val="auto"/>
          <w:sz w:val="24"/>
        </w:rPr>
        <w:t>为了积极配合贵单位进行的</w:t>
      </w:r>
      <w:r>
        <w:rPr>
          <w:rFonts w:hint="eastAsia" w:ascii="仿宋" w:hAnsi="仿宋" w:eastAsia="仿宋"/>
          <w:color w:val="auto"/>
          <w:sz w:val="24"/>
          <w:u w:val="single"/>
          <w:lang w:eastAsia="zh-CN"/>
        </w:rPr>
        <w:t>广西机电工程学校专用设备采购</w:t>
      </w:r>
      <w:r>
        <w:rPr>
          <w:rFonts w:hint="eastAsia" w:ascii="仿宋" w:hAnsi="仿宋" w:eastAsia="仿宋"/>
          <w:color w:val="auto"/>
          <w:sz w:val="24"/>
        </w:rPr>
        <w:t>项目招标工作，有效遏制不公平竞争和违规违纪行为的发生，确保招标工作的公平、公正、公开、有序进行，我们保证认真贯彻执行《中华人民共和国政府采购法》、《中华人民共和国政府采购法实施条例》等法律法规以及与廉洁有关的规章制度，特向贵单位承诺如下事项：</w:t>
      </w:r>
    </w:p>
    <w:p w14:paraId="4C695622">
      <w:pPr>
        <w:spacing w:line="400" w:lineRule="exact"/>
        <w:ind w:firstLine="470" w:firstLineChars="196"/>
        <w:contextualSpacing/>
        <w:jc w:val="left"/>
        <w:rPr>
          <w:rFonts w:ascii="仿宋" w:hAnsi="仿宋" w:eastAsia="仿宋"/>
          <w:color w:val="auto"/>
          <w:sz w:val="24"/>
        </w:rPr>
      </w:pPr>
      <w:r>
        <w:rPr>
          <w:rFonts w:hint="eastAsia" w:ascii="仿宋" w:hAnsi="仿宋" w:eastAsia="仿宋"/>
          <w:color w:val="auto"/>
          <w:sz w:val="24"/>
        </w:rPr>
        <w:t>一、自觉遵守国家有关法律法规及廉洁规定。</w:t>
      </w:r>
    </w:p>
    <w:p w14:paraId="59D75CD2">
      <w:pPr>
        <w:spacing w:line="400" w:lineRule="exact"/>
        <w:ind w:firstLine="470" w:firstLineChars="196"/>
        <w:contextualSpacing/>
        <w:jc w:val="left"/>
        <w:rPr>
          <w:rFonts w:ascii="仿宋" w:hAnsi="仿宋" w:eastAsia="仿宋"/>
          <w:color w:val="auto"/>
          <w:sz w:val="24"/>
        </w:rPr>
      </w:pPr>
      <w:r>
        <w:rPr>
          <w:rFonts w:hint="eastAsia" w:ascii="仿宋" w:hAnsi="仿宋" w:eastAsia="仿宋"/>
          <w:color w:val="auto"/>
          <w:sz w:val="24"/>
        </w:rPr>
        <w:t>二、不与招标单位工作人员及代理机构工作人员串通投标，损害国家利益、企业利益以及他人的合法利益；不与其他投标人相互串通投标报价，不排挤其他投标人，不损害招标人或其他投标人的合法权益。</w:t>
      </w:r>
    </w:p>
    <w:p w14:paraId="05B0C802">
      <w:pPr>
        <w:spacing w:line="400" w:lineRule="exact"/>
        <w:ind w:firstLine="470" w:firstLineChars="196"/>
        <w:contextualSpacing/>
        <w:jc w:val="left"/>
        <w:rPr>
          <w:rFonts w:ascii="仿宋" w:hAnsi="仿宋" w:eastAsia="仿宋"/>
          <w:color w:val="auto"/>
          <w:sz w:val="24"/>
        </w:rPr>
      </w:pPr>
      <w:r>
        <w:rPr>
          <w:rFonts w:hint="eastAsia" w:ascii="仿宋" w:hAnsi="仿宋" w:eastAsia="仿宋"/>
          <w:color w:val="auto"/>
          <w:sz w:val="24"/>
        </w:rPr>
        <w:t>三、不以任何名义为参与招标、评标工作的有关人员报销应由参与招标、评标工作的有关人员支付的任何费用。</w:t>
      </w:r>
    </w:p>
    <w:p w14:paraId="027A536B">
      <w:pPr>
        <w:spacing w:line="400" w:lineRule="exact"/>
        <w:ind w:firstLine="470" w:firstLineChars="196"/>
        <w:contextualSpacing/>
        <w:jc w:val="left"/>
        <w:rPr>
          <w:rFonts w:ascii="仿宋" w:hAnsi="仿宋" w:eastAsia="仿宋"/>
          <w:color w:val="auto"/>
          <w:sz w:val="24"/>
        </w:rPr>
      </w:pPr>
      <w:r>
        <w:rPr>
          <w:rFonts w:hint="eastAsia" w:ascii="仿宋" w:hAnsi="仿宋" w:eastAsia="仿宋"/>
          <w:color w:val="auto"/>
          <w:sz w:val="24"/>
        </w:rPr>
        <w:t>四、不得借故到贵单位相关领导、部门负责人及相关工作人员家中访谈并提供任何好处费；不以任何名义向参与招标、评标工作的有关人员赠送回扣、红包、礼金、购物卡、有价证券、贵重物品和好处费、感谢费等。</w:t>
      </w:r>
    </w:p>
    <w:p w14:paraId="5564CC74">
      <w:pPr>
        <w:spacing w:line="400" w:lineRule="exact"/>
        <w:ind w:firstLine="470" w:firstLineChars="196"/>
        <w:contextualSpacing/>
        <w:jc w:val="left"/>
        <w:rPr>
          <w:rFonts w:ascii="仿宋" w:hAnsi="仿宋" w:eastAsia="仿宋"/>
          <w:color w:val="auto"/>
          <w:sz w:val="24"/>
        </w:rPr>
      </w:pPr>
      <w:r>
        <w:rPr>
          <w:rFonts w:hint="eastAsia" w:ascii="仿宋" w:hAnsi="仿宋" w:eastAsia="仿宋"/>
          <w:color w:val="auto"/>
          <w:sz w:val="24"/>
        </w:rPr>
        <w:t>五、不以任何名义向参与招标、评标工作的有关人员提供高消费宴请及娱乐活动。</w:t>
      </w:r>
    </w:p>
    <w:p w14:paraId="02882CAC">
      <w:pPr>
        <w:spacing w:line="400" w:lineRule="exact"/>
        <w:ind w:firstLine="470" w:firstLineChars="196"/>
        <w:contextualSpacing/>
        <w:jc w:val="left"/>
        <w:rPr>
          <w:rFonts w:ascii="仿宋" w:hAnsi="仿宋" w:eastAsia="仿宋"/>
          <w:color w:val="auto"/>
          <w:sz w:val="24"/>
        </w:rPr>
      </w:pPr>
      <w:r>
        <w:rPr>
          <w:rFonts w:hint="eastAsia" w:ascii="仿宋" w:hAnsi="仿宋" w:eastAsia="仿宋"/>
          <w:color w:val="auto"/>
          <w:sz w:val="24"/>
        </w:rPr>
        <w:t>六、不以谋取非正当利益为目的，擅自与参与招标、评标工作的有关人员就业务问题进行私下商谈或者达成利益默契。</w:t>
      </w:r>
    </w:p>
    <w:p w14:paraId="7E199547">
      <w:pPr>
        <w:spacing w:line="400" w:lineRule="exact"/>
        <w:ind w:firstLine="470" w:firstLineChars="196"/>
        <w:contextualSpacing/>
        <w:jc w:val="left"/>
        <w:rPr>
          <w:rFonts w:ascii="仿宋" w:hAnsi="仿宋" w:eastAsia="仿宋"/>
          <w:color w:val="auto"/>
          <w:sz w:val="24"/>
        </w:rPr>
      </w:pPr>
      <w:r>
        <w:rPr>
          <w:rFonts w:hint="eastAsia" w:ascii="仿宋" w:hAnsi="仿宋" w:eastAsia="仿宋"/>
          <w:color w:val="auto"/>
          <w:sz w:val="24"/>
        </w:rPr>
        <w:t>七、不以任何名义接受或暗示为参与招标、评标工作的有关人员装修住房、婚丧嫁取、配偶子女的工作安排以及境内外旅游等提供方便。</w:t>
      </w:r>
    </w:p>
    <w:p w14:paraId="00229FAC">
      <w:pPr>
        <w:spacing w:line="400" w:lineRule="exact"/>
        <w:ind w:firstLine="472" w:firstLineChars="196"/>
        <w:contextualSpacing/>
        <w:jc w:val="left"/>
        <w:rPr>
          <w:rFonts w:ascii="仿宋" w:hAnsi="仿宋" w:eastAsia="仿宋"/>
          <w:color w:val="auto"/>
          <w:sz w:val="24"/>
        </w:rPr>
      </w:pPr>
      <w:r>
        <w:rPr>
          <w:rFonts w:hint="eastAsia" w:ascii="仿宋" w:hAnsi="仿宋" w:eastAsia="仿宋"/>
          <w:b/>
          <w:color w:val="auto"/>
          <w:sz w:val="24"/>
        </w:rPr>
        <w:t>以上情形一经核查属实，我方愿意承担一切后果，并不再寻求任何旨在减轻或者免除法律责任的辩解</w:t>
      </w:r>
      <w:r>
        <w:rPr>
          <w:rFonts w:hint="eastAsia" w:ascii="仿宋" w:hAnsi="仿宋" w:eastAsia="仿宋"/>
          <w:color w:val="auto"/>
          <w:sz w:val="24"/>
        </w:rPr>
        <w:t>。如违反以上承诺，我单位自愿接受</w:t>
      </w:r>
      <w:r>
        <w:rPr>
          <w:rFonts w:hint="eastAsia" w:ascii="仿宋" w:hAnsi="仿宋" w:eastAsia="仿宋"/>
          <w:color w:val="auto"/>
          <w:sz w:val="24"/>
          <w:lang w:eastAsia="zh-CN"/>
        </w:rPr>
        <w:t>广西机电工程学校</w:t>
      </w:r>
      <w:r>
        <w:rPr>
          <w:rFonts w:hint="eastAsia" w:ascii="仿宋" w:hAnsi="仿宋" w:eastAsia="仿宋"/>
          <w:color w:val="auto"/>
          <w:sz w:val="24"/>
        </w:rPr>
        <w:t>依据有关规定对我单位进行严肃处理（包括但不限于实施市场禁入、取消投、中标资格以及终止合同等），给贵单位造成损失的，予以赔偿。我单位的委托人、代理人或与我单位有销售、劳务或服务关系的其他主体在参加贵公司系统的招投标活动或经济往来等过程中发生行贿行为的，视同我单位行为。</w:t>
      </w:r>
    </w:p>
    <w:p w14:paraId="130C41EF">
      <w:pPr>
        <w:spacing w:line="400" w:lineRule="exact"/>
        <w:ind w:firstLine="470" w:firstLineChars="196"/>
        <w:contextualSpacing/>
        <w:jc w:val="left"/>
        <w:rPr>
          <w:rFonts w:ascii="仿宋" w:hAnsi="仿宋" w:eastAsia="仿宋"/>
          <w:color w:val="auto"/>
          <w:sz w:val="24"/>
        </w:rPr>
      </w:pPr>
      <w:r>
        <w:rPr>
          <w:rFonts w:hint="eastAsia" w:ascii="仿宋" w:hAnsi="仿宋" w:eastAsia="仿宋"/>
          <w:color w:val="auto"/>
          <w:sz w:val="24"/>
        </w:rPr>
        <w:t>本廉洁承诺书为我单位应答此次采购项目正式文件的附件，与其他投标文件具有同等法律效力，经我单位法定代表人或其授权委托人签字盖章后立即生效。</w:t>
      </w:r>
    </w:p>
    <w:p w14:paraId="4D482C95">
      <w:pPr>
        <w:pStyle w:val="26"/>
        <w:spacing w:line="440" w:lineRule="exact"/>
        <w:contextualSpacing/>
        <w:jc w:val="center"/>
        <w:rPr>
          <w:rFonts w:ascii="仿宋" w:hAnsi="仿宋" w:eastAsia="仿宋"/>
          <w:color w:val="auto"/>
          <w:sz w:val="24"/>
          <w:szCs w:val="24"/>
        </w:rPr>
      </w:pPr>
      <w:r>
        <w:rPr>
          <w:rFonts w:hint="eastAsia" w:ascii="仿宋" w:hAnsi="仿宋" w:eastAsia="仿宋"/>
          <w:color w:val="auto"/>
          <w:sz w:val="24"/>
          <w:szCs w:val="24"/>
        </w:rPr>
        <w:t>投标人名称：（电子签章）</w:t>
      </w:r>
    </w:p>
    <w:p w14:paraId="1AB3758B">
      <w:pPr>
        <w:pStyle w:val="26"/>
        <w:spacing w:line="440" w:lineRule="exact"/>
        <w:contextualSpacing/>
        <w:rPr>
          <w:rFonts w:ascii="仿宋" w:hAnsi="仿宋" w:eastAsia="仿宋"/>
          <w:color w:val="auto"/>
          <w:sz w:val="24"/>
        </w:rPr>
      </w:pPr>
      <w:r>
        <w:rPr>
          <w:rFonts w:hint="eastAsia" w:ascii="仿宋" w:hAnsi="仿宋" w:eastAsia="仿宋"/>
          <w:color w:val="auto"/>
          <w:sz w:val="24"/>
        </w:rPr>
        <w:t xml:space="preserve">                                       法定代表人或其授权委托人（签章）：</w:t>
      </w:r>
    </w:p>
    <w:p w14:paraId="4919C2DB">
      <w:pPr>
        <w:pStyle w:val="26"/>
        <w:spacing w:line="440" w:lineRule="exact"/>
        <w:contextualSpacing/>
        <w:jc w:val="right"/>
        <w:rPr>
          <w:rFonts w:ascii="仿宋" w:hAnsi="仿宋" w:eastAsia="仿宋"/>
          <w:b/>
          <w:color w:val="auto"/>
          <w:sz w:val="24"/>
        </w:rPr>
      </w:pPr>
      <w:r>
        <w:rPr>
          <w:rFonts w:hint="eastAsia" w:ascii="仿宋" w:hAnsi="仿宋" w:eastAsia="仿宋"/>
          <w:color w:val="auto"/>
          <w:sz w:val="24"/>
        </w:rPr>
        <w:t>年月日</w:t>
      </w:r>
    </w:p>
    <w:p w14:paraId="55BAB333">
      <w:pPr>
        <w:rPr>
          <w:rFonts w:ascii="仿宋" w:hAnsi="仿宋" w:eastAsia="仿宋"/>
          <w:b/>
          <w:color w:val="auto"/>
          <w:sz w:val="24"/>
        </w:rPr>
      </w:pPr>
      <w:r>
        <w:rPr>
          <w:rFonts w:hint="eastAsia" w:ascii="仿宋" w:hAnsi="仿宋" w:eastAsia="仿宋"/>
          <w:b/>
          <w:color w:val="auto"/>
          <w:sz w:val="24"/>
        </w:rPr>
        <w:br w:type="page"/>
      </w:r>
    </w:p>
    <w:p w14:paraId="38E422EB">
      <w:pPr>
        <w:snapToGrid w:val="0"/>
        <w:spacing w:beforeLines="50" w:after="50"/>
        <w:jc w:val="left"/>
        <w:rPr>
          <w:rFonts w:ascii="仿宋" w:hAnsi="仿宋" w:eastAsia="仿宋"/>
          <w:b/>
          <w:color w:val="auto"/>
          <w:sz w:val="24"/>
          <w:szCs w:val="20"/>
        </w:rPr>
      </w:pPr>
      <w:r>
        <w:rPr>
          <w:rFonts w:hint="eastAsia" w:ascii="仿宋" w:hAnsi="仿宋" w:eastAsia="仿宋"/>
          <w:b/>
          <w:color w:val="auto"/>
          <w:sz w:val="24"/>
        </w:rPr>
        <w:t>5.法定代表人身份证明</w:t>
      </w:r>
    </w:p>
    <w:p w14:paraId="43EC19B5">
      <w:pPr>
        <w:spacing w:beforeLines="100" w:afterLines="50"/>
        <w:ind w:left="540"/>
        <w:jc w:val="center"/>
        <w:rPr>
          <w:rFonts w:ascii="仿宋" w:hAnsi="仿宋" w:eastAsia="仿宋" w:cs="方正小标宋简体"/>
          <w:bCs/>
          <w:color w:val="auto"/>
          <w:sz w:val="44"/>
          <w:szCs w:val="44"/>
        </w:rPr>
      </w:pPr>
    </w:p>
    <w:p w14:paraId="4A52AF4F">
      <w:pPr>
        <w:spacing w:beforeLines="100" w:afterLines="50"/>
        <w:ind w:left="540"/>
        <w:jc w:val="center"/>
        <w:rPr>
          <w:rFonts w:ascii="仿宋" w:hAnsi="仿宋" w:eastAsia="仿宋" w:cs="方正小标宋简体"/>
          <w:bCs/>
          <w:color w:val="auto"/>
          <w:sz w:val="44"/>
          <w:szCs w:val="44"/>
        </w:rPr>
      </w:pPr>
      <w:r>
        <w:rPr>
          <w:rFonts w:hint="eastAsia" w:ascii="仿宋" w:hAnsi="仿宋" w:eastAsia="仿宋" w:cs="方正小标宋简体"/>
          <w:bCs/>
          <w:color w:val="auto"/>
          <w:sz w:val="44"/>
          <w:szCs w:val="44"/>
        </w:rPr>
        <w:t>法定代表人身份证明</w:t>
      </w:r>
    </w:p>
    <w:p w14:paraId="5693D203">
      <w:pPr>
        <w:spacing w:line="500" w:lineRule="exact"/>
        <w:ind w:left="540"/>
        <w:rPr>
          <w:rFonts w:ascii="仿宋" w:hAnsi="仿宋" w:eastAsia="仿宋"/>
          <w:color w:val="auto"/>
          <w:sz w:val="24"/>
        </w:rPr>
      </w:pPr>
      <w:r>
        <w:rPr>
          <w:rFonts w:hint="eastAsia" w:ascii="仿宋" w:hAnsi="仿宋" w:eastAsia="仿宋"/>
          <w:color w:val="auto"/>
          <w:sz w:val="24"/>
        </w:rPr>
        <w:t>投 标 人：</w:t>
      </w:r>
    </w:p>
    <w:p w14:paraId="4ECF5E61">
      <w:pPr>
        <w:spacing w:line="500" w:lineRule="exact"/>
        <w:ind w:left="540"/>
        <w:rPr>
          <w:rFonts w:ascii="仿宋" w:hAnsi="仿宋" w:eastAsia="仿宋"/>
          <w:color w:val="auto"/>
          <w:sz w:val="24"/>
        </w:rPr>
      </w:pPr>
      <w:r>
        <w:rPr>
          <w:rFonts w:hint="eastAsia" w:ascii="仿宋" w:hAnsi="仿宋" w:eastAsia="仿宋"/>
          <w:color w:val="auto"/>
          <w:sz w:val="24"/>
        </w:rPr>
        <w:t>地    址：</w:t>
      </w:r>
    </w:p>
    <w:p w14:paraId="058F12F4">
      <w:pPr>
        <w:spacing w:line="500" w:lineRule="exact"/>
        <w:ind w:left="540"/>
        <w:rPr>
          <w:rFonts w:ascii="仿宋" w:hAnsi="仿宋" w:eastAsia="仿宋"/>
          <w:color w:val="auto"/>
          <w:sz w:val="24"/>
        </w:rPr>
      </w:pPr>
      <w:r>
        <w:rPr>
          <w:rFonts w:hint="eastAsia" w:ascii="仿宋" w:hAnsi="仿宋" w:eastAsia="仿宋"/>
          <w:color w:val="auto"/>
          <w:sz w:val="24"/>
        </w:rPr>
        <w:t>姓    名：性      别：</w:t>
      </w:r>
    </w:p>
    <w:p w14:paraId="4BB2B0B3">
      <w:pPr>
        <w:spacing w:line="500" w:lineRule="exact"/>
        <w:ind w:left="540"/>
        <w:rPr>
          <w:rFonts w:ascii="仿宋" w:hAnsi="仿宋" w:eastAsia="仿宋"/>
          <w:color w:val="auto"/>
          <w:sz w:val="24"/>
          <w:u w:val="single"/>
        </w:rPr>
      </w:pPr>
      <w:r>
        <w:rPr>
          <w:rFonts w:hint="eastAsia" w:ascii="仿宋" w:hAnsi="仿宋" w:eastAsia="仿宋"/>
          <w:color w:val="auto"/>
          <w:sz w:val="24"/>
        </w:rPr>
        <w:t>年    龄：职      务：</w:t>
      </w:r>
    </w:p>
    <w:p w14:paraId="043A6A3C">
      <w:pPr>
        <w:spacing w:line="500" w:lineRule="exact"/>
        <w:ind w:left="540"/>
        <w:rPr>
          <w:rFonts w:ascii="仿宋" w:hAnsi="仿宋" w:eastAsia="仿宋"/>
          <w:color w:val="auto"/>
          <w:sz w:val="24"/>
        </w:rPr>
      </w:pPr>
      <w:r>
        <w:rPr>
          <w:rFonts w:hint="eastAsia" w:ascii="仿宋" w:hAnsi="仿宋" w:eastAsia="仿宋"/>
          <w:color w:val="auto"/>
          <w:sz w:val="24"/>
        </w:rPr>
        <w:t>身份证号码：</w:t>
      </w:r>
    </w:p>
    <w:p w14:paraId="20B09FE1">
      <w:pPr>
        <w:spacing w:line="500" w:lineRule="exact"/>
        <w:ind w:left="540"/>
        <w:rPr>
          <w:rFonts w:ascii="仿宋" w:hAnsi="仿宋" w:eastAsia="仿宋"/>
          <w:color w:val="auto"/>
          <w:sz w:val="24"/>
        </w:rPr>
      </w:pPr>
      <w:r>
        <w:rPr>
          <w:rFonts w:hint="eastAsia" w:ascii="仿宋" w:hAnsi="仿宋" w:eastAsia="仿宋"/>
          <w:color w:val="auto"/>
          <w:sz w:val="24"/>
        </w:rPr>
        <w:t>系</w:t>
      </w:r>
      <w:r>
        <w:rPr>
          <w:rFonts w:hint="eastAsia" w:ascii="仿宋" w:hAnsi="仿宋" w:eastAsia="仿宋"/>
          <w:color w:val="auto"/>
          <w:sz w:val="24"/>
          <w:u w:val="single"/>
        </w:rPr>
        <w:t xml:space="preserve">            （投标人名称）              </w:t>
      </w:r>
      <w:r>
        <w:rPr>
          <w:rFonts w:hint="eastAsia" w:ascii="仿宋" w:hAnsi="仿宋" w:eastAsia="仿宋"/>
          <w:color w:val="auto"/>
          <w:sz w:val="24"/>
        </w:rPr>
        <w:t>的法定代表人。</w:t>
      </w:r>
    </w:p>
    <w:p w14:paraId="0B44F159">
      <w:pPr>
        <w:spacing w:line="500" w:lineRule="exact"/>
        <w:ind w:left="540"/>
        <w:rPr>
          <w:rFonts w:ascii="仿宋" w:hAnsi="仿宋" w:eastAsia="仿宋"/>
          <w:color w:val="auto"/>
          <w:sz w:val="24"/>
        </w:rPr>
      </w:pPr>
      <w:r>
        <w:rPr>
          <w:rFonts w:hint="eastAsia" w:ascii="仿宋" w:hAnsi="仿宋" w:eastAsia="仿宋"/>
          <w:color w:val="auto"/>
          <w:sz w:val="24"/>
        </w:rPr>
        <w:t>特此证明。</w:t>
      </w:r>
    </w:p>
    <w:p w14:paraId="28809330">
      <w:pPr>
        <w:spacing w:line="500" w:lineRule="exact"/>
        <w:ind w:left="540"/>
        <w:rPr>
          <w:rFonts w:ascii="仿宋" w:hAnsi="仿宋" w:eastAsia="仿宋"/>
          <w:color w:val="auto"/>
          <w:sz w:val="24"/>
        </w:rPr>
      </w:pPr>
    </w:p>
    <w:p w14:paraId="3A425E75">
      <w:pPr>
        <w:spacing w:line="500" w:lineRule="exact"/>
        <w:ind w:left="540"/>
        <w:rPr>
          <w:rFonts w:ascii="仿宋" w:hAnsi="仿宋" w:eastAsia="仿宋"/>
          <w:color w:val="auto"/>
          <w:sz w:val="24"/>
        </w:rPr>
      </w:pPr>
    </w:p>
    <w:p w14:paraId="4FA8B4CD">
      <w:pPr>
        <w:spacing w:line="500" w:lineRule="exact"/>
        <w:ind w:left="540"/>
        <w:rPr>
          <w:rFonts w:ascii="仿宋" w:hAnsi="仿宋" w:eastAsia="仿宋"/>
          <w:color w:val="auto"/>
          <w:sz w:val="24"/>
        </w:rPr>
      </w:pPr>
      <w:r>
        <w:rPr>
          <w:rFonts w:hint="eastAsia" w:ascii="仿宋" w:hAnsi="仿宋" w:eastAsia="仿宋"/>
          <w:color w:val="auto"/>
          <w:sz w:val="24"/>
        </w:rPr>
        <w:t>附件：法定代表人有效身份证正反面复印件</w:t>
      </w:r>
    </w:p>
    <w:p w14:paraId="09575988">
      <w:pPr>
        <w:spacing w:line="500" w:lineRule="exact"/>
        <w:ind w:left="540"/>
        <w:rPr>
          <w:rFonts w:ascii="仿宋" w:hAnsi="仿宋" w:eastAsia="仿宋"/>
          <w:color w:val="auto"/>
          <w:sz w:val="24"/>
        </w:rPr>
      </w:pPr>
    </w:p>
    <w:p w14:paraId="4CE4E676">
      <w:pPr>
        <w:spacing w:line="500" w:lineRule="exact"/>
        <w:ind w:left="540"/>
        <w:jc w:val="right"/>
        <w:rPr>
          <w:rFonts w:ascii="仿宋" w:hAnsi="仿宋" w:eastAsia="仿宋"/>
          <w:color w:val="auto"/>
          <w:sz w:val="24"/>
        </w:rPr>
      </w:pPr>
      <w:r>
        <w:rPr>
          <w:rFonts w:hint="eastAsia" w:ascii="仿宋" w:hAnsi="仿宋" w:eastAsia="仿宋"/>
          <w:color w:val="auto"/>
          <w:sz w:val="24"/>
        </w:rPr>
        <w:t>投标人名称（电子签章）</w:t>
      </w:r>
    </w:p>
    <w:p w14:paraId="59DA883D">
      <w:pPr>
        <w:spacing w:line="500" w:lineRule="exact"/>
        <w:ind w:left="540"/>
        <w:jc w:val="right"/>
        <w:rPr>
          <w:rFonts w:ascii="仿宋" w:hAnsi="仿宋" w:eastAsia="仿宋"/>
          <w:color w:val="auto"/>
          <w:sz w:val="24"/>
        </w:rPr>
      </w:pPr>
    </w:p>
    <w:p w14:paraId="091F63CD">
      <w:pPr>
        <w:snapToGrid w:val="0"/>
        <w:spacing w:beforeLines="50" w:after="50"/>
        <w:ind w:left="540"/>
        <w:jc w:val="right"/>
        <w:rPr>
          <w:rFonts w:ascii="仿宋" w:hAnsi="仿宋" w:eastAsia="仿宋"/>
          <w:color w:val="auto"/>
          <w:sz w:val="24"/>
        </w:rPr>
      </w:pPr>
      <w:r>
        <w:rPr>
          <w:rFonts w:hint="eastAsia" w:ascii="仿宋" w:hAnsi="仿宋" w:eastAsia="仿宋"/>
          <w:color w:val="auto"/>
          <w:sz w:val="24"/>
        </w:rPr>
        <w:t>年月日</w:t>
      </w:r>
    </w:p>
    <w:p w14:paraId="1B18637D">
      <w:pPr>
        <w:snapToGrid w:val="0"/>
        <w:spacing w:beforeLines="50" w:after="50"/>
        <w:jc w:val="center"/>
        <w:rPr>
          <w:rFonts w:ascii="仿宋" w:hAnsi="仿宋" w:eastAsia="仿宋"/>
          <w:b/>
          <w:color w:val="auto"/>
          <w:sz w:val="24"/>
        </w:rPr>
      </w:pPr>
    </w:p>
    <w:p w14:paraId="334393C5">
      <w:pPr>
        <w:snapToGrid w:val="0"/>
        <w:spacing w:beforeLines="50" w:after="50"/>
        <w:jc w:val="left"/>
        <w:rPr>
          <w:rFonts w:ascii="仿宋" w:hAnsi="仿宋" w:eastAsia="仿宋"/>
          <w:b/>
          <w:color w:val="auto"/>
          <w:sz w:val="24"/>
          <w:szCs w:val="20"/>
        </w:rPr>
      </w:pPr>
      <w:r>
        <w:rPr>
          <w:rFonts w:hint="eastAsia" w:ascii="仿宋" w:hAnsi="仿宋" w:eastAsia="仿宋"/>
          <w:color w:val="auto"/>
          <w:sz w:val="24"/>
        </w:rPr>
        <w:t>注：自然人投标的无需提供</w:t>
      </w:r>
    </w:p>
    <w:p w14:paraId="6676A3A0">
      <w:pPr>
        <w:snapToGrid w:val="0"/>
        <w:spacing w:beforeLines="50" w:after="50"/>
        <w:jc w:val="left"/>
        <w:rPr>
          <w:rFonts w:ascii="仿宋" w:hAnsi="仿宋" w:eastAsia="仿宋"/>
          <w:b/>
          <w:color w:val="auto"/>
          <w:sz w:val="24"/>
          <w:szCs w:val="20"/>
        </w:rPr>
      </w:pPr>
      <w:r>
        <w:rPr>
          <w:rFonts w:ascii="仿宋" w:hAnsi="仿宋" w:eastAsia="仿宋"/>
          <w:b/>
          <w:color w:val="auto"/>
          <w:sz w:val="24"/>
        </w:rPr>
        <w:br w:type="page"/>
      </w:r>
      <w:r>
        <w:rPr>
          <w:rFonts w:hint="eastAsia" w:ascii="仿宋" w:hAnsi="仿宋" w:eastAsia="仿宋"/>
          <w:b/>
          <w:color w:val="auto"/>
          <w:sz w:val="24"/>
        </w:rPr>
        <w:t>6.授权委托书格式</w:t>
      </w:r>
    </w:p>
    <w:p w14:paraId="478E25EC">
      <w:pPr>
        <w:snapToGrid w:val="0"/>
        <w:spacing w:beforeLines="50" w:after="50"/>
        <w:jc w:val="center"/>
        <w:rPr>
          <w:rFonts w:ascii="仿宋" w:hAnsi="仿宋" w:eastAsia="仿宋"/>
          <w:b/>
          <w:color w:val="auto"/>
          <w:sz w:val="44"/>
          <w:szCs w:val="44"/>
        </w:rPr>
      </w:pPr>
    </w:p>
    <w:p w14:paraId="2D1485AC">
      <w:pPr>
        <w:spacing w:line="360" w:lineRule="auto"/>
        <w:contextualSpacing/>
        <w:jc w:val="center"/>
        <w:rPr>
          <w:rFonts w:ascii="仿宋" w:hAnsi="仿宋" w:eastAsia="仿宋" w:cs="方正小标宋简体"/>
          <w:bCs/>
          <w:color w:val="auto"/>
          <w:sz w:val="44"/>
          <w:szCs w:val="44"/>
        </w:rPr>
      </w:pPr>
      <w:r>
        <w:rPr>
          <w:rFonts w:hint="eastAsia" w:ascii="仿宋" w:hAnsi="仿宋" w:eastAsia="仿宋" w:cs="方正小标宋简体"/>
          <w:bCs/>
          <w:color w:val="auto"/>
          <w:sz w:val="44"/>
          <w:szCs w:val="44"/>
        </w:rPr>
        <w:t>授权委托书</w:t>
      </w:r>
    </w:p>
    <w:p w14:paraId="467B4AD5">
      <w:pPr>
        <w:spacing w:line="360" w:lineRule="auto"/>
        <w:contextualSpacing/>
        <w:jc w:val="center"/>
        <w:rPr>
          <w:rFonts w:ascii="仿宋" w:hAnsi="仿宋" w:eastAsia="仿宋" w:cs="方正小标宋简体"/>
          <w:bCs/>
          <w:color w:val="auto"/>
          <w:sz w:val="24"/>
        </w:rPr>
      </w:pPr>
      <w:r>
        <w:rPr>
          <w:rFonts w:hint="eastAsia" w:ascii="仿宋" w:hAnsi="仿宋" w:eastAsia="仿宋" w:cs="方正小标宋简体"/>
          <w:bCs/>
          <w:color w:val="auto"/>
          <w:sz w:val="32"/>
          <w:szCs w:val="32"/>
        </w:rPr>
        <w:t>（如有委托时）</w:t>
      </w:r>
    </w:p>
    <w:p w14:paraId="06939B85">
      <w:pPr>
        <w:spacing w:line="440" w:lineRule="exact"/>
        <w:contextualSpacing/>
        <w:jc w:val="center"/>
        <w:rPr>
          <w:rFonts w:ascii="仿宋" w:hAnsi="仿宋" w:eastAsia="仿宋"/>
          <w:b/>
          <w:color w:val="auto"/>
          <w:sz w:val="24"/>
        </w:rPr>
      </w:pPr>
    </w:p>
    <w:p w14:paraId="0FF0D841">
      <w:pPr>
        <w:spacing w:line="440" w:lineRule="exact"/>
        <w:contextualSpacing/>
        <w:rPr>
          <w:rFonts w:ascii="仿宋" w:hAnsi="仿宋" w:eastAsia="仿宋"/>
          <w:b/>
          <w:bCs/>
          <w:color w:val="auto"/>
          <w:sz w:val="24"/>
        </w:rPr>
      </w:pPr>
      <w:r>
        <w:rPr>
          <w:rFonts w:hint="eastAsia" w:ascii="仿宋" w:hAnsi="仿宋" w:eastAsia="仿宋"/>
          <w:bCs/>
          <w:color w:val="auto"/>
          <w:sz w:val="24"/>
        </w:rPr>
        <w:t>致：</w:t>
      </w:r>
      <w:r>
        <w:rPr>
          <w:rFonts w:hint="eastAsia" w:ascii="仿宋" w:hAnsi="仿宋" w:eastAsia="仿宋"/>
          <w:color w:val="auto"/>
          <w:sz w:val="24"/>
          <w:u w:val="single"/>
        </w:rPr>
        <w:t>采购人名称</w:t>
      </w:r>
      <w:r>
        <w:rPr>
          <w:rFonts w:hint="eastAsia" w:ascii="仿宋" w:hAnsi="仿宋" w:eastAsia="仿宋"/>
          <w:color w:val="auto"/>
          <w:sz w:val="24"/>
        </w:rPr>
        <w:t>：</w:t>
      </w:r>
    </w:p>
    <w:p w14:paraId="3CF32FE2">
      <w:pPr>
        <w:spacing w:line="440" w:lineRule="exact"/>
        <w:ind w:firstLine="566" w:firstLineChars="236"/>
        <w:contextualSpacing/>
        <w:rPr>
          <w:rFonts w:ascii="仿宋" w:hAnsi="仿宋" w:eastAsia="仿宋"/>
          <w:color w:val="auto"/>
          <w:sz w:val="24"/>
        </w:rPr>
      </w:pPr>
      <w:r>
        <w:rPr>
          <w:rFonts w:hint="eastAsia" w:ascii="仿宋" w:hAnsi="仿宋" w:eastAsia="仿宋"/>
          <w:color w:val="auto"/>
          <w:sz w:val="24"/>
        </w:rPr>
        <w:t>我（姓名）系（投标人名称）的法定代表人，现授权委托</w:t>
      </w:r>
      <w:r>
        <w:rPr>
          <w:rFonts w:hint="eastAsia" w:ascii="仿宋" w:hAnsi="仿宋" w:eastAsia="仿宋"/>
          <w:color w:val="auto"/>
          <w:sz w:val="24"/>
          <w:u w:val="single"/>
        </w:rPr>
        <w:t xml:space="preserve">       （姓名）</w:t>
      </w:r>
      <w:r>
        <w:rPr>
          <w:rFonts w:hint="eastAsia" w:ascii="仿宋" w:hAnsi="仿宋" w:eastAsia="仿宋"/>
          <w:color w:val="auto"/>
          <w:sz w:val="24"/>
        </w:rPr>
        <w:t>以我方的名义参加项目的投标活动，并代表我方全权办理针对上述项目的所有采购程序和环节的具体事务和签署相关文件。</w:t>
      </w:r>
    </w:p>
    <w:p w14:paraId="195C8C1C">
      <w:pPr>
        <w:spacing w:line="440" w:lineRule="exact"/>
        <w:contextualSpacing/>
        <w:rPr>
          <w:rFonts w:ascii="仿宋" w:hAnsi="仿宋" w:eastAsia="仿宋"/>
          <w:color w:val="auto"/>
          <w:sz w:val="24"/>
        </w:rPr>
      </w:pPr>
      <w:r>
        <w:rPr>
          <w:rFonts w:hint="eastAsia" w:ascii="仿宋" w:hAnsi="仿宋" w:eastAsia="仿宋"/>
          <w:color w:val="auto"/>
          <w:sz w:val="24"/>
        </w:rPr>
        <w:t xml:space="preserve">    我方对委托代理人的签字事项负全部责任。</w:t>
      </w:r>
    </w:p>
    <w:p w14:paraId="7CD173CC">
      <w:pPr>
        <w:spacing w:line="440" w:lineRule="exact"/>
        <w:ind w:firstLine="480"/>
        <w:contextualSpacing/>
        <w:rPr>
          <w:rFonts w:ascii="仿宋" w:hAnsi="仿宋" w:eastAsia="仿宋"/>
          <w:color w:val="auto"/>
          <w:sz w:val="24"/>
        </w:rPr>
      </w:pPr>
      <w:r>
        <w:rPr>
          <w:rFonts w:hint="eastAsia" w:ascii="仿宋" w:hAnsi="仿宋" w:eastAsia="仿宋"/>
          <w:color w:val="auto"/>
          <w:sz w:val="24"/>
          <w:u w:val="single"/>
        </w:rPr>
        <w:t>本授权书自签署之日起生效，在撤销授权的书面通知以前，本授权书一直有效。委托代理人在授权书有效期内签署的所有文件不因授权的撤销而失效。</w:t>
      </w:r>
    </w:p>
    <w:p w14:paraId="01D03462">
      <w:pPr>
        <w:spacing w:line="440" w:lineRule="exact"/>
        <w:ind w:firstLine="480"/>
        <w:contextualSpacing/>
        <w:rPr>
          <w:rFonts w:ascii="仿宋" w:hAnsi="仿宋" w:eastAsia="仿宋"/>
          <w:color w:val="auto"/>
          <w:sz w:val="24"/>
        </w:rPr>
      </w:pPr>
      <w:r>
        <w:rPr>
          <w:rFonts w:hint="eastAsia" w:ascii="仿宋" w:hAnsi="仿宋" w:eastAsia="仿宋"/>
          <w:color w:val="auto"/>
          <w:sz w:val="24"/>
        </w:rPr>
        <w:t>委托代理人无转委托权，特此委托。</w:t>
      </w:r>
    </w:p>
    <w:p w14:paraId="644EAF34">
      <w:pPr>
        <w:spacing w:line="440" w:lineRule="exact"/>
        <w:ind w:firstLine="480"/>
        <w:contextualSpacing/>
        <w:rPr>
          <w:rFonts w:ascii="仿宋" w:hAnsi="仿宋" w:eastAsia="仿宋"/>
          <w:color w:val="auto"/>
          <w:sz w:val="24"/>
        </w:rPr>
      </w:pPr>
      <w:r>
        <w:rPr>
          <w:rFonts w:hint="eastAsia" w:ascii="仿宋" w:hAnsi="仿宋" w:eastAsia="仿宋"/>
          <w:color w:val="auto"/>
          <w:sz w:val="24"/>
        </w:rPr>
        <w:t>附：法定代表人身份证明及委托代理人有效身份证正反面复印件</w:t>
      </w:r>
    </w:p>
    <w:p w14:paraId="4A0305D7">
      <w:pPr>
        <w:spacing w:line="440" w:lineRule="exact"/>
        <w:contextualSpacing/>
        <w:rPr>
          <w:rFonts w:ascii="仿宋" w:hAnsi="仿宋" w:eastAsia="仿宋"/>
          <w:color w:val="auto"/>
          <w:sz w:val="24"/>
        </w:rPr>
      </w:pPr>
    </w:p>
    <w:p w14:paraId="117C46E2">
      <w:pPr>
        <w:spacing w:line="440" w:lineRule="exact"/>
        <w:contextualSpacing/>
        <w:rPr>
          <w:rFonts w:ascii="仿宋" w:hAnsi="仿宋" w:eastAsia="仿宋"/>
          <w:color w:val="auto"/>
          <w:sz w:val="24"/>
          <w:u w:val="single"/>
        </w:rPr>
      </w:pPr>
      <w:r>
        <w:rPr>
          <w:rFonts w:hint="eastAsia" w:ascii="仿宋" w:hAnsi="仿宋" w:eastAsia="仿宋"/>
          <w:color w:val="auto"/>
          <w:sz w:val="24"/>
        </w:rPr>
        <w:t>委托代理人（签字）：            法定代表人（签字或者盖章）：</w:t>
      </w:r>
    </w:p>
    <w:p w14:paraId="15CB7E87">
      <w:pPr>
        <w:spacing w:line="440" w:lineRule="exact"/>
        <w:contextualSpacing/>
        <w:rPr>
          <w:rFonts w:ascii="仿宋" w:hAnsi="仿宋" w:eastAsia="仿宋"/>
          <w:color w:val="auto"/>
          <w:sz w:val="24"/>
        </w:rPr>
      </w:pPr>
      <w:r>
        <w:rPr>
          <w:rFonts w:hint="eastAsia" w:ascii="仿宋" w:hAnsi="仿宋" w:eastAsia="仿宋"/>
          <w:color w:val="auto"/>
          <w:sz w:val="24"/>
        </w:rPr>
        <w:t>委托代理人身份证号码：</w:t>
      </w:r>
    </w:p>
    <w:p w14:paraId="6B2F4C13">
      <w:pPr>
        <w:spacing w:line="440" w:lineRule="exact"/>
        <w:contextualSpacing/>
        <w:jc w:val="center"/>
        <w:rPr>
          <w:rFonts w:ascii="仿宋" w:hAnsi="仿宋" w:eastAsia="仿宋"/>
          <w:color w:val="auto"/>
          <w:sz w:val="24"/>
        </w:rPr>
      </w:pPr>
    </w:p>
    <w:p w14:paraId="54A4ABF4">
      <w:pPr>
        <w:spacing w:line="440" w:lineRule="exact"/>
        <w:contextualSpacing/>
        <w:jc w:val="center"/>
        <w:rPr>
          <w:rFonts w:ascii="仿宋" w:hAnsi="仿宋" w:eastAsia="仿宋"/>
          <w:color w:val="auto"/>
          <w:sz w:val="24"/>
        </w:rPr>
      </w:pPr>
      <w:r>
        <w:rPr>
          <w:rFonts w:hint="eastAsia" w:ascii="仿宋" w:hAnsi="仿宋" w:eastAsia="仿宋"/>
          <w:color w:val="auto"/>
          <w:sz w:val="24"/>
        </w:rPr>
        <w:t xml:space="preserve">   投标人名称（电子签章）：</w:t>
      </w:r>
    </w:p>
    <w:p w14:paraId="1F5FDFCF">
      <w:pPr>
        <w:spacing w:line="440" w:lineRule="exact"/>
        <w:contextualSpacing/>
        <w:jc w:val="center"/>
        <w:rPr>
          <w:rFonts w:ascii="仿宋" w:hAnsi="仿宋" w:eastAsia="仿宋"/>
          <w:color w:val="auto"/>
          <w:sz w:val="24"/>
        </w:rPr>
      </w:pPr>
      <w:r>
        <w:rPr>
          <w:rFonts w:hint="eastAsia" w:ascii="仿宋" w:hAnsi="仿宋" w:eastAsia="仿宋"/>
          <w:color w:val="auto"/>
          <w:sz w:val="24"/>
        </w:rPr>
        <w:t xml:space="preserve">                                              年    月    日</w:t>
      </w:r>
    </w:p>
    <w:p w14:paraId="262FCBB0">
      <w:pPr>
        <w:spacing w:line="440" w:lineRule="exact"/>
        <w:contextualSpacing/>
        <w:rPr>
          <w:rFonts w:ascii="仿宋" w:hAnsi="仿宋" w:eastAsia="仿宋" w:cs="仿宋_GB2312"/>
          <w:color w:val="auto"/>
          <w:sz w:val="24"/>
        </w:rPr>
      </w:pPr>
      <w:r>
        <w:rPr>
          <w:rFonts w:hint="eastAsia" w:ascii="仿宋" w:hAnsi="仿宋" w:eastAsia="仿宋" w:cs="仿宋_GB2312"/>
          <w:color w:val="auto"/>
          <w:sz w:val="24"/>
        </w:rPr>
        <w:t>注：1.</w:t>
      </w:r>
      <w:bookmarkStart w:id="157" w:name="_Hlk65851555"/>
      <w:bookmarkStart w:id="158" w:name="_Hlk65851620"/>
      <w:r>
        <w:rPr>
          <w:rFonts w:hint="eastAsia" w:ascii="仿宋" w:hAnsi="仿宋" w:eastAsia="仿宋" w:cs="仿宋_GB2312"/>
          <w:color w:val="auto"/>
          <w:sz w:val="24"/>
        </w:rPr>
        <w:t>法定代表人必须在授权委托书上亲笔签字或者盖章，</w:t>
      </w:r>
      <w:bookmarkEnd w:id="157"/>
      <w:r>
        <w:rPr>
          <w:rFonts w:hint="eastAsia" w:ascii="仿宋" w:hAnsi="仿宋" w:eastAsia="仿宋" w:cs="仿宋_GB2312"/>
          <w:color w:val="auto"/>
          <w:sz w:val="24"/>
        </w:rPr>
        <w:t>委托代理人必须在授权委托书上亲笔签字，</w:t>
      </w:r>
      <w:r>
        <w:rPr>
          <w:rFonts w:hint="eastAsia" w:ascii="仿宋" w:hAnsi="仿宋" w:eastAsia="仿宋" w:cs="仿宋_GB2312"/>
          <w:b/>
          <w:bCs/>
          <w:color w:val="auto"/>
          <w:sz w:val="24"/>
        </w:rPr>
        <w:t>否则按无效投标处理</w:t>
      </w:r>
      <w:r>
        <w:rPr>
          <w:rFonts w:hint="eastAsia" w:ascii="仿宋" w:hAnsi="仿宋" w:eastAsia="仿宋" w:cs="仿宋_GB2312"/>
          <w:color w:val="auto"/>
          <w:sz w:val="24"/>
        </w:rPr>
        <w:t>；</w:t>
      </w:r>
      <w:bookmarkEnd w:id="158"/>
    </w:p>
    <w:p w14:paraId="29B7CA33">
      <w:pPr>
        <w:spacing w:line="440" w:lineRule="exact"/>
        <w:ind w:firstLine="480" w:firstLineChars="200"/>
        <w:contextualSpacing/>
        <w:jc w:val="left"/>
        <w:rPr>
          <w:rFonts w:ascii="仿宋" w:hAnsi="仿宋" w:eastAsia="仿宋"/>
          <w:color w:val="auto"/>
          <w:sz w:val="24"/>
        </w:rPr>
      </w:pPr>
      <w:r>
        <w:rPr>
          <w:rFonts w:hint="eastAsia" w:ascii="仿宋" w:hAnsi="仿宋" w:eastAsia="仿宋" w:cs="仿宋_GB2312"/>
          <w:color w:val="auto"/>
          <w:sz w:val="24"/>
        </w:rPr>
        <w:t>2.法人、其他组织投标时“我方”是指“我单位”，自然人投标时“我方”是指“本人”。</w:t>
      </w:r>
    </w:p>
    <w:p w14:paraId="655326A3">
      <w:pPr>
        <w:snapToGrid w:val="0"/>
        <w:spacing w:beforeLines="50" w:after="50"/>
        <w:ind w:firstLine="566" w:firstLineChars="236"/>
        <w:jc w:val="center"/>
        <w:rPr>
          <w:rFonts w:ascii="仿宋" w:hAnsi="仿宋" w:eastAsia="仿宋" w:cs="方正小标宋简体"/>
          <w:color w:val="auto"/>
          <w:sz w:val="44"/>
          <w:szCs w:val="44"/>
        </w:rPr>
      </w:pPr>
      <w:r>
        <w:rPr>
          <w:rFonts w:ascii="仿宋" w:hAnsi="仿宋" w:eastAsia="仿宋"/>
          <w:color w:val="auto"/>
          <w:sz w:val="24"/>
        </w:rPr>
        <w:br w:type="page"/>
      </w:r>
      <w:r>
        <w:rPr>
          <w:rFonts w:hint="eastAsia" w:ascii="仿宋" w:hAnsi="仿宋" w:eastAsia="仿宋" w:cs="方正小标宋简体"/>
          <w:color w:val="auto"/>
          <w:sz w:val="44"/>
          <w:szCs w:val="44"/>
        </w:rPr>
        <w:t>授权委托书</w:t>
      </w:r>
    </w:p>
    <w:p w14:paraId="39BF44FD">
      <w:pPr>
        <w:snapToGrid w:val="0"/>
        <w:spacing w:beforeLines="50" w:after="50"/>
        <w:ind w:firstLine="755" w:firstLineChars="236"/>
        <w:jc w:val="center"/>
        <w:rPr>
          <w:rFonts w:ascii="仿宋" w:hAnsi="仿宋" w:eastAsia="仿宋" w:cs="方正小标宋简体"/>
          <w:color w:val="auto"/>
          <w:sz w:val="32"/>
          <w:szCs w:val="32"/>
        </w:rPr>
      </w:pPr>
      <w:r>
        <w:rPr>
          <w:rFonts w:hint="eastAsia" w:ascii="仿宋" w:hAnsi="仿宋" w:eastAsia="仿宋" w:cs="方正小标宋简体"/>
          <w:color w:val="auto"/>
          <w:sz w:val="32"/>
          <w:szCs w:val="32"/>
        </w:rPr>
        <w:t>（联合体投标格式）</w:t>
      </w:r>
    </w:p>
    <w:p w14:paraId="2463191E">
      <w:pPr>
        <w:snapToGrid w:val="0"/>
        <w:spacing w:beforeLines="50" w:after="50"/>
        <w:ind w:firstLine="755" w:firstLineChars="236"/>
        <w:jc w:val="center"/>
        <w:rPr>
          <w:rFonts w:ascii="仿宋" w:hAnsi="仿宋" w:eastAsia="仿宋" w:cs="方正小标宋简体"/>
          <w:color w:val="auto"/>
          <w:sz w:val="24"/>
        </w:rPr>
      </w:pPr>
      <w:r>
        <w:rPr>
          <w:rFonts w:hint="eastAsia" w:ascii="仿宋" w:hAnsi="仿宋" w:eastAsia="仿宋" w:cs="方正小标宋简体"/>
          <w:color w:val="auto"/>
          <w:sz w:val="32"/>
          <w:szCs w:val="32"/>
        </w:rPr>
        <w:t>（如有委托时）</w:t>
      </w:r>
    </w:p>
    <w:p w14:paraId="559D6840">
      <w:pPr>
        <w:spacing w:line="440" w:lineRule="exact"/>
        <w:contextualSpacing/>
        <w:jc w:val="left"/>
        <w:rPr>
          <w:rFonts w:ascii="仿宋" w:hAnsi="仿宋" w:eastAsia="仿宋"/>
          <w:color w:val="auto"/>
          <w:sz w:val="24"/>
        </w:rPr>
      </w:pPr>
      <w:r>
        <w:rPr>
          <w:rFonts w:hint="eastAsia" w:ascii="仿宋" w:hAnsi="仿宋" w:eastAsia="仿宋"/>
          <w:bCs/>
          <w:color w:val="auto"/>
          <w:sz w:val="24"/>
        </w:rPr>
        <w:t>致：</w:t>
      </w:r>
      <w:r>
        <w:rPr>
          <w:rFonts w:hint="eastAsia" w:ascii="仿宋" w:hAnsi="仿宋" w:eastAsia="仿宋"/>
          <w:color w:val="auto"/>
          <w:sz w:val="24"/>
          <w:u w:val="single"/>
        </w:rPr>
        <w:t>采购人名称</w:t>
      </w:r>
      <w:r>
        <w:rPr>
          <w:rFonts w:hint="eastAsia" w:ascii="仿宋" w:hAnsi="仿宋" w:eastAsia="仿宋"/>
          <w:color w:val="auto"/>
          <w:sz w:val="24"/>
        </w:rPr>
        <w:t>：</w:t>
      </w:r>
    </w:p>
    <w:p w14:paraId="39135FFC">
      <w:pPr>
        <w:spacing w:line="440" w:lineRule="exact"/>
        <w:ind w:firstLine="566" w:firstLineChars="236"/>
        <w:contextualSpacing/>
        <w:rPr>
          <w:rFonts w:ascii="仿宋" w:hAnsi="仿宋" w:eastAsia="仿宋"/>
          <w:color w:val="auto"/>
          <w:sz w:val="24"/>
        </w:rPr>
      </w:pPr>
      <w:r>
        <w:rPr>
          <w:rFonts w:hint="eastAsia" w:ascii="仿宋" w:hAnsi="仿宋" w:eastAsia="仿宋"/>
          <w:color w:val="auto"/>
          <w:sz w:val="24"/>
        </w:rPr>
        <w:t xml:space="preserve">根据 </w:t>
      </w:r>
      <w:r>
        <w:rPr>
          <w:rFonts w:hint="eastAsia" w:ascii="仿宋" w:hAnsi="仿宋" w:eastAsia="仿宋"/>
          <w:color w:val="auto"/>
          <w:sz w:val="24"/>
          <w:u w:val="single"/>
        </w:rPr>
        <w:t xml:space="preserve"> （牵头人名称）</w:t>
      </w:r>
      <w:r>
        <w:rPr>
          <w:rFonts w:hint="eastAsia" w:ascii="仿宋" w:hAnsi="仿宋" w:eastAsia="仿宋"/>
          <w:color w:val="auto"/>
          <w:sz w:val="24"/>
        </w:rPr>
        <w:t>与</w:t>
      </w:r>
      <w:r>
        <w:rPr>
          <w:rFonts w:hint="eastAsia" w:ascii="仿宋" w:hAnsi="仿宋" w:eastAsia="仿宋"/>
          <w:color w:val="auto"/>
          <w:sz w:val="24"/>
          <w:u w:val="single"/>
        </w:rPr>
        <w:t>（联合体其他成员名称）</w:t>
      </w:r>
      <w:r>
        <w:rPr>
          <w:rFonts w:hint="eastAsia" w:ascii="仿宋" w:hAnsi="仿宋" w:eastAsia="仿宋"/>
          <w:color w:val="auto"/>
          <w:sz w:val="24"/>
        </w:rPr>
        <w:t>签订的《联合体投标协议书》的内容，</w:t>
      </w:r>
      <w:r>
        <w:rPr>
          <w:rFonts w:hint="eastAsia" w:ascii="仿宋" w:hAnsi="仿宋" w:eastAsia="仿宋"/>
          <w:color w:val="auto"/>
          <w:sz w:val="24"/>
          <w:u w:val="single"/>
        </w:rPr>
        <w:t>（牵头人名称）</w:t>
      </w:r>
      <w:r>
        <w:rPr>
          <w:rFonts w:hint="eastAsia" w:ascii="仿宋" w:hAnsi="仿宋" w:eastAsia="仿宋"/>
          <w:color w:val="auto"/>
          <w:sz w:val="24"/>
        </w:rPr>
        <w:t>的法定代表人</w:t>
      </w:r>
      <w:r>
        <w:rPr>
          <w:rFonts w:hint="eastAsia" w:ascii="仿宋" w:hAnsi="仿宋" w:eastAsia="仿宋"/>
          <w:color w:val="auto"/>
          <w:sz w:val="24"/>
          <w:u w:val="single"/>
        </w:rPr>
        <w:t>（姓名）</w:t>
      </w:r>
      <w:r>
        <w:rPr>
          <w:rFonts w:hint="eastAsia" w:ascii="仿宋" w:hAnsi="仿宋" w:eastAsia="仿宋"/>
          <w:color w:val="auto"/>
          <w:sz w:val="24"/>
        </w:rPr>
        <w:t>现授权委托</w:t>
      </w:r>
      <w:r>
        <w:rPr>
          <w:rFonts w:hint="eastAsia" w:ascii="仿宋" w:hAnsi="仿宋" w:eastAsia="仿宋"/>
          <w:color w:val="auto"/>
          <w:sz w:val="24"/>
          <w:u w:val="single"/>
        </w:rPr>
        <w:t xml:space="preserve">              （姓名）</w:t>
      </w:r>
      <w:r>
        <w:rPr>
          <w:rFonts w:hint="eastAsia" w:ascii="仿宋" w:hAnsi="仿宋" w:eastAsia="仿宋"/>
          <w:color w:val="auto"/>
          <w:sz w:val="24"/>
        </w:rPr>
        <w:t>以我方的名义参加项目的投标活动，并代表我方全权办理针对上述项目的所有采购程序和环节的具体事务和签署相关文件。</w:t>
      </w:r>
    </w:p>
    <w:p w14:paraId="32BABC52">
      <w:pPr>
        <w:spacing w:line="440" w:lineRule="exact"/>
        <w:ind w:firstLine="566" w:firstLineChars="236"/>
        <w:contextualSpacing/>
        <w:rPr>
          <w:rFonts w:ascii="仿宋" w:hAnsi="仿宋" w:eastAsia="仿宋"/>
          <w:color w:val="auto"/>
          <w:sz w:val="24"/>
        </w:rPr>
      </w:pPr>
      <w:r>
        <w:rPr>
          <w:rFonts w:hint="eastAsia" w:ascii="仿宋" w:hAnsi="仿宋" w:eastAsia="仿宋"/>
          <w:color w:val="auto"/>
          <w:sz w:val="24"/>
        </w:rPr>
        <w:t>我方对委托代理人的签字事项负全部责任。</w:t>
      </w:r>
    </w:p>
    <w:p w14:paraId="13974382">
      <w:pPr>
        <w:spacing w:line="440" w:lineRule="exact"/>
        <w:ind w:firstLine="566" w:firstLineChars="236"/>
        <w:contextualSpacing/>
        <w:rPr>
          <w:rFonts w:ascii="仿宋" w:hAnsi="仿宋" w:eastAsia="仿宋"/>
          <w:color w:val="auto"/>
          <w:sz w:val="24"/>
        </w:rPr>
      </w:pPr>
      <w:r>
        <w:rPr>
          <w:rFonts w:hint="eastAsia" w:ascii="仿宋" w:hAnsi="仿宋" w:eastAsia="仿宋"/>
          <w:color w:val="auto"/>
          <w:sz w:val="24"/>
        </w:rPr>
        <w:t>本授权书自签署之日起生效，在撤销授权的书面通知以前，本授权书一直有效。委托代理人在授权书有效期内签署的所有文件不因授权的撤销而失效。</w:t>
      </w:r>
    </w:p>
    <w:p w14:paraId="0ED8C73A">
      <w:pPr>
        <w:spacing w:line="440" w:lineRule="exact"/>
        <w:ind w:firstLine="566" w:firstLineChars="236"/>
        <w:contextualSpacing/>
        <w:rPr>
          <w:rFonts w:ascii="仿宋" w:hAnsi="仿宋" w:eastAsia="仿宋"/>
          <w:color w:val="auto"/>
          <w:sz w:val="24"/>
        </w:rPr>
      </w:pPr>
      <w:r>
        <w:rPr>
          <w:rFonts w:hint="eastAsia" w:ascii="仿宋" w:hAnsi="仿宋" w:eastAsia="仿宋"/>
          <w:color w:val="auto"/>
          <w:sz w:val="24"/>
        </w:rPr>
        <w:t>委托代理人无转委托权，特此委托。</w:t>
      </w:r>
    </w:p>
    <w:p w14:paraId="51752DCB">
      <w:pPr>
        <w:spacing w:line="440" w:lineRule="exact"/>
        <w:ind w:firstLine="566" w:firstLineChars="236"/>
        <w:contextualSpacing/>
        <w:rPr>
          <w:rFonts w:ascii="仿宋" w:hAnsi="仿宋" w:eastAsia="仿宋"/>
          <w:color w:val="auto"/>
          <w:sz w:val="24"/>
        </w:rPr>
      </w:pPr>
      <w:r>
        <w:rPr>
          <w:rFonts w:hint="eastAsia" w:ascii="仿宋" w:hAnsi="仿宋" w:eastAsia="仿宋"/>
          <w:color w:val="auto"/>
          <w:sz w:val="24"/>
        </w:rPr>
        <w:t>附：牵头人法定代表人身份证明及委托代理人有效身份证正反面复印件</w:t>
      </w:r>
    </w:p>
    <w:p w14:paraId="35B900DE">
      <w:pPr>
        <w:spacing w:line="440" w:lineRule="exact"/>
        <w:ind w:firstLine="566" w:firstLineChars="236"/>
        <w:contextualSpacing/>
        <w:rPr>
          <w:rFonts w:ascii="仿宋" w:hAnsi="仿宋" w:eastAsia="仿宋"/>
          <w:color w:val="auto"/>
          <w:sz w:val="24"/>
        </w:rPr>
      </w:pPr>
    </w:p>
    <w:p w14:paraId="69A5849B">
      <w:pPr>
        <w:spacing w:line="440" w:lineRule="exact"/>
        <w:ind w:firstLine="566" w:firstLineChars="236"/>
        <w:contextualSpacing/>
        <w:rPr>
          <w:rFonts w:ascii="仿宋" w:hAnsi="仿宋" w:eastAsia="仿宋"/>
          <w:color w:val="auto"/>
          <w:sz w:val="24"/>
        </w:rPr>
      </w:pPr>
      <w:r>
        <w:rPr>
          <w:rFonts w:hint="eastAsia" w:ascii="仿宋" w:hAnsi="仿宋" w:eastAsia="仿宋"/>
          <w:color w:val="auto"/>
          <w:sz w:val="24"/>
        </w:rPr>
        <w:t>牵头人法定代表人（签字或者盖章）：</w:t>
      </w:r>
    </w:p>
    <w:p w14:paraId="3BB574A5">
      <w:pPr>
        <w:spacing w:line="440" w:lineRule="exact"/>
        <w:ind w:firstLine="566" w:firstLineChars="236"/>
        <w:contextualSpacing/>
        <w:rPr>
          <w:rFonts w:ascii="仿宋" w:hAnsi="仿宋" w:eastAsia="仿宋"/>
          <w:color w:val="auto"/>
          <w:sz w:val="24"/>
        </w:rPr>
      </w:pPr>
      <w:r>
        <w:rPr>
          <w:rFonts w:hint="eastAsia" w:ascii="仿宋" w:hAnsi="仿宋" w:eastAsia="仿宋"/>
          <w:color w:val="auto"/>
          <w:sz w:val="24"/>
        </w:rPr>
        <w:t>牵头人（电子签章）：</w:t>
      </w:r>
    </w:p>
    <w:p w14:paraId="1BD0B3C2">
      <w:pPr>
        <w:spacing w:line="440" w:lineRule="exact"/>
        <w:ind w:firstLine="566" w:firstLineChars="236"/>
        <w:contextualSpacing/>
        <w:rPr>
          <w:rFonts w:ascii="仿宋" w:hAnsi="仿宋" w:eastAsia="仿宋"/>
          <w:color w:val="auto"/>
          <w:sz w:val="24"/>
        </w:rPr>
      </w:pPr>
      <w:r>
        <w:rPr>
          <w:rFonts w:hint="eastAsia" w:ascii="仿宋" w:hAnsi="仿宋" w:eastAsia="仿宋"/>
          <w:color w:val="auto"/>
          <w:sz w:val="24"/>
        </w:rPr>
        <w:t>日期：    年   月   日</w:t>
      </w:r>
    </w:p>
    <w:p w14:paraId="51CF45C9">
      <w:pPr>
        <w:spacing w:line="440" w:lineRule="exact"/>
        <w:ind w:firstLine="566" w:firstLineChars="236"/>
        <w:contextualSpacing/>
        <w:rPr>
          <w:rFonts w:ascii="仿宋" w:hAnsi="仿宋" w:eastAsia="仿宋"/>
          <w:color w:val="auto"/>
          <w:sz w:val="24"/>
        </w:rPr>
      </w:pPr>
    </w:p>
    <w:p w14:paraId="64DF9DCC">
      <w:pPr>
        <w:spacing w:line="440" w:lineRule="exact"/>
        <w:ind w:firstLine="566" w:firstLineChars="236"/>
        <w:contextualSpacing/>
        <w:rPr>
          <w:rFonts w:ascii="仿宋" w:hAnsi="仿宋" w:eastAsia="仿宋"/>
          <w:color w:val="auto"/>
          <w:sz w:val="24"/>
        </w:rPr>
      </w:pPr>
      <w:r>
        <w:rPr>
          <w:rFonts w:hint="eastAsia" w:ascii="仿宋" w:hAnsi="仿宋" w:eastAsia="仿宋"/>
          <w:color w:val="auto"/>
          <w:sz w:val="24"/>
        </w:rPr>
        <w:t>被授权人（签字）：</w:t>
      </w:r>
    </w:p>
    <w:p w14:paraId="72F4391E">
      <w:pPr>
        <w:spacing w:line="440" w:lineRule="exact"/>
        <w:ind w:firstLine="566" w:firstLineChars="236"/>
        <w:contextualSpacing/>
        <w:rPr>
          <w:rFonts w:ascii="仿宋" w:hAnsi="仿宋" w:eastAsia="仿宋" w:cs="仿宋_GB2312"/>
          <w:color w:val="auto"/>
          <w:sz w:val="32"/>
          <w:szCs w:val="32"/>
        </w:rPr>
      </w:pPr>
      <w:r>
        <w:rPr>
          <w:rFonts w:hint="eastAsia" w:ascii="仿宋" w:hAnsi="仿宋" w:eastAsia="仿宋"/>
          <w:color w:val="auto"/>
          <w:sz w:val="24"/>
        </w:rPr>
        <w:t>日期：    年   月   日</w:t>
      </w:r>
    </w:p>
    <w:p w14:paraId="4EF5E9DC">
      <w:pPr>
        <w:spacing w:line="440" w:lineRule="exact"/>
        <w:contextualSpacing/>
        <w:rPr>
          <w:rFonts w:ascii="仿宋" w:hAnsi="仿宋" w:eastAsia="仿宋" w:cs="仿宋_GB2312"/>
          <w:color w:val="auto"/>
          <w:sz w:val="24"/>
        </w:rPr>
      </w:pPr>
      <w:r>
        <w:rPr>
          <w:rFonts w:hint="eastAsia" w:ascii="仿宋" w:hAnsi="仿宋" w:eastAsia="仿宋" w:cs="仿宋_GB2312"/>
          <w:color w:val="auto"/>
          <w:sz w:val="24"/>
        </w:rPr>
        <w:t>注：1. 法定代表人必须在授权委托书上亲笔签字或者盖章，委托代理人必须在授权委托书上亲笔签字，</w:t>
      </w:r>
      <w:r>
        <w:rPr>
          <w:rFonts w:hint="eastAsia" w:ascii="仿宋" w:hAnsi="仿宋" w:eastAsia="仿宋" w:cs="仿宋_GB2312"/>
          <w:b/>
          <w:bCs/>
          <w:color w:val="auto"/>
          <w:sz w:val="24"/>
        </w:rPr>
        <w:t>否则按无效投标处理</w:t>
      </w:r>
      <w:r>
        <w:rPr>
          <w:rFonts w:hint="eastAsia" w:ascii="仿宋" w:hAnsi="仿宋" w:eastAsia="仿宋" w:cs="仿宋_GB2312"/>
          <w:color w:val="auto"/>
          <w:sz w:val="24"/>
        </w:rPr>
        <w:t>；</w:t>
      </w:r>
    </w:p>
    <w:p w14:paraId="4B08DE2D">
      <w:pPr>
        <w:spacing w:line="440" w:lineRule="exact"/>
        <w:ind w:firstLine="480" w:firstLineChars="200"/>
        <w:contextualSpacing/>
        <w:jc w:val="left"/>
        <w:rPr>
          <w:rFonts w:ascii="仿宋" w:hAnsi="仿宋" w:eastAsia="仿宋" w:cs="仿宋_GB2312"/>
          <w:color w:val="auto"/>
          <w:sz w:val="24"/>
        </w:rPr>
      </w:pPr>
      <w:r>
        <w:rPr>
          <w:rFonts w:hint="eastAsia" w:ascii="仿宋" w:hAnsi="仿宋" w:eastAsia="仿宋" w:cs="仿宋_GB2312"/>
          <w:color w:val="auto"/>
          <w:sz w:val="24"/>
        </w:rPr>
        <w:t>2.本授权委托书应由联合体牵头人的法定代表人按上述规定签字。</w:t>
      </w:r>
    </w:p>
    <w:p w14:paraId="35210104">
      <w:pPr>
        <w:spacing w:line="440" w:lineRule="exact"/>
        <w:ind w:firstLine="480" w:firstLineChars="200"/>
        <w:contextualSpacing/>
        <w:jc w:val="left"/>
        <w:rPr>
          <w:rFonts w:ascii="仿宋" w:hAnsi="仿宋" w:eastAsia="仿宋"/>
          <w:color w:val="auto"/>
          <w:sz w:val="24"/>
        </w:rPr>
      </w:pPr>
      <w:r>
        <w:rPr>
          <w:rFonts w:hint="eastAsia" w:ascii="仿宋" w:hAnsi="仿宋" w:eastAsia="仿宋" w:cs="仿宋_GB2312"/>
          <w:color w:val="auto"/>
          <w:sz w:val="24"/>
        </w:rPr>
        <w:t>3</w:t>
      </w:r>
      <w:r>
        <w:rPr>
          <w:rFonts w:ascii="仿宋" w:hAnsi="仿宋" w:eastAsia="仿宋" w:cs="仿宋_GB2312"/>
          <w:color w:val="auto"/>
          <w:sz w:val="24"/>
        </w:rPr>
        <w:t>.</w:t>
      </w:r>
      <w:r>
        <w:rPr>
          <w:rFonts w:hint="eastAsia" w:ascii="仿宋" w:hAnsi="仿宋" w:eastAsia="仿宋" w:cs="仿宋_GB2312"/>
          <w:color w:val="auto"/>
          <w:sz w:val="24"/>
        </w:rPr>
        <w:t>法人、其他组织投标时“我方”是指“我单位”，自然人投标时“我方”是指“本人”。</w:t>
      </w:r>
    </w:p>
    <w:p w14:paraId="315B0F0C">
      <w:pPr>
        <w:snapToGrid w:val="0"/>
        <w:spacing w:before="50" w:afterLines="50"/>
        <w:ind w:firstLine="480" w:firstLineChars="200"/>
        <w:jc w:val="left"/>
        <w:rPr>
          <w:rFonts w:ascii="仿宋" w:hAnsi="仿宋" w:eastAsia="仿宋"/>
          <w:color w:val="auto"/>
          <w:sz w:val="24"/>
        </w:rPr>
        <w:sectPr>
          <w:footerReference r:id="rId5" w:type="default"/>
          <w:pgSz w:w="11906" w:h="16838"/>
          <w:pgMar w:top="1134" w:right="849" w:bottom="1134" w:left="1134" w:header="851" w:footer="567" w:gutter="0"/>
          <w:pgNumType w:start="1"/>
          <w:cols w:space="720" w:num="1"/>
          <w:docGrid w:linePitch="312" w:charSpace="0"/>
        </w:sectPr>
      </w:pPr>
    </w:p>
    <w:p w14:paraId="1CB4572D">
      <w:pPr>
        <w:rPr>
          <w:rFonts w:ascii="仿宋" w:hAnsi="仿宋" w:eastAsia="仿宋"/>
          <w:color w:val="auto"/>
          <w:sz w:val="24"/>
        </w:rPr>
      </w:pPr>
    </w:p>
    <w:p w14:paraId="4565C4A9">
      <w:pPr>
        <w:rPr>
          <w:rFonts w:ascii="仿宋" w:hAnsi="仿宋" w:eastAsia="仿宋"/>
          <w:b/>
          <w:color w:val="auto"/>
          <w:sz w:val="24"/>
          <w:szCs w:val="20"/>
        </w:rPr>
      </w:pPr>
      <w:r>
        <w:rPr>
          <w:rFonts w:hint="eastAsia" w:ascii="仿宋" w:hAnsi="仿宋" w:eastAsia="仿宋"/>
          <w:b/>
          <w:color w:val="auto"/>
          <w:sz w:val="24"/>
        </w:rPr>
        <w:t>7.商务要求偏离表格式（注：按项目需求表具体项目修改）</w:t>
      </w:r>
    </w:p>
    <w:p w14:paraId="7D0CD2F9">
      <w:pPr>
        <w:snapToGrid w:val="0"/>
        <w:spacing w:before="50"/>
        <w:jc w:val="left"/>
        <w:rPr>
          <w:rFonts w:ascii="仿宋" w:hAnsi="仿宋" w:eastAsia="仿宋"/>
          <w:color w:val="auto"/>
          <w:sz w:val="24"/>
        </w:rPr>
      </w:pPr>
    </w:p>
    <w:p w14:paraId="4062DDE1">
      <w:pPr>
        <w:pStyle w:val="26"/>
        <w:rPr>
          <w:rFonts w:ascii="仿宋" w:hAnsi="仿宋" w:eastAsia="仿宋"/>
          <w:color w:val="auto"/>
          <w:sz w:val="24"/>
          <w:szCs w:val="24"/>
        </w:rPr>
      </w:pPr>
      <w:r>
        <w:rPr>
          <w:rFonts w:hint="eastAsia" w:ascii="仿宋" w:hAnsi="仿宋" w:eastAsia="仿宋"/>
          <w:color w:val="auto"/>
          <w:sz w:val="24"/>
          <w:szCs w:val="24"/>
        </w:rPr>
        <w:t>所投分标：分标</w:t>
      </w:r>
    </w:p>
    <w:p w14:paraId="636FDDD9">
      <w:pPr>
        <w:snapToGrid w:val="0"/>
        <w:spacing w:before="50"/>
        <w:jc w:val="left"/>
        <w:rPr>
          <w:rFonts w:ascii="仿宋" w:hAnsi="仿宋" w:eastAsia="仿宋"/>
          <w:color w:val="auto"/>
          <w:sz w:val="24"/>
          <w:u w:val="single"/>
        </w:rPr>
      </w:pPr>
    </w:p>
    <w:tbl>
      <w:tblPr>
        <w:tblStyle w:val="47"/>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424F5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13A43B86">
            <w:pPr>
              <w:spacing w:line="340" w:lineRule="exact"/>
              <w:jc w:val="center"/>
              <w:rPr>
                <w:rFonts w:ascii="仿宋_GB2312" w:hAnsi="宋体" w:eastAsia="仿宋_GB2312"/>
                <w:color w:val="auto"/>
                <w:szCs w:val="21"/>
              </w:rPr>
            </w:pPr>
            <w:r>
              <w:rPr>
                <w:rFonts w:hint="eastAsia" w:ascii="仿宋_GB2312" w:hAnsi="宋体" w:eastAsia="仿宋_GB2312"/>
                <w:color w:val="auto"/>
                <w:szCs w:val="21"/>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02CF9C75">
            <w:pPr>
              <w:spacing w:line="340" w:lineRule="exact"/>
              <w:jc w:val="center"/>
              <w:rPr>
                <w:rFonts w:ascii="仿宋_GB2312" w:hAnsi="宋体" w:eastAsia="仿宋_GB2312"/>
                <w:color w:val="auto"/>
                <w:szCs w:val="21"/>
              </w:rPr>
            </w:pPr>
            <w:r>
              <w:rPr>
                <w:rFonts w:hint="eastAsia" w:ascii="仿宋_GB2312" w:hAnsi="宋体" w:eastAsia="仿宋_GB2312"/>
                <w:color w:val="auto"/>
                <w:szCs w:val="21"/>
              </w:rPr>
              <w:t>招标文件的商务需求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2C0A5899">
            <w:pPr>
              <w:spacing w:line="340" w:lineRule="exact"/>
              <w:jc w:val="center"/>
              <w:rPr>
                <w:rFonts w:ascii="仿宋_GB2312" w:hAnsi="宋体" w:eastAsia="仿宋_GB2312"/>
                <w:color w:val="auto"/>
                <w:szCs w:val="21"/>
              </w:rPr>
            </w:pPr>
            <w:r>
              <w:rPr>
                <w:rFonts w:hint="eastAsia" w:ascii="仿宋_GB2312" w:hAnsi="宋体" w:eastAsia="仿宋_GB2312"/>
                <w:color w:val="auto"/>
                <w:szCs w:val="21"/>
              </w:rPr>
              <w:t>投标文件承诺的商务条款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3159AFBF">
            <w:pPr>
              <w:spacing w:line="340" w:lineRule="exact"/>
              <w:jc w:val="center"/>
              <w:rPr>
                <w:rFonts w:ascii="仿宋_GB2312" w:hAnsi="宋体" w:eastAsia="仿宋_GB2312"/>
                <w:color w:val="auto"/>
                <w:szCs w:val="21"/>
              </w:rPr>
            </w:pPr>
            <w:r>
              <w:rPr>
                <w:rFonts w:hint="eastAsia" w:ascii="仿宋_GB2312" w:hAnsi="宋体" w:eastAsia="仿宋_GB2312"/>
                <w:color w:val="auto"/>
                <w:szCs w:val="21"/>
              </w:rPr>
              <w:t>偏离说明</w:t>
            </w:r>
          </w:p>
        </w:tc>
      </w:tr>
      <w:tr w14:paraId="50604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00696FDA">
            <w:pPr>
              <w:spacing w:line="340" w:lineRule="exact"/>
              <w:rPr>
                <w:rFonts w:ascii="仿宋_GB2312" w:hAnsi="宋体" w:eastAsia="仿宋_GB2312"/>
                <w:color w:val="auto"/>
                <w:szCs w:val="21"/>
              </w:rPr>
            </w:pPr>
            <w:r>
              <w:rPr>
                <w:rFonts w:hint="eastAsia" w:ascii="仿宋_GB2312" w:hAnsi="宋体" w:eastAsia="仿宋_GB2312"/>
                <w:color w:val="auto"/>
                <w:szCs w:val="21"/>
              </w:rPr>
              <w:t>一</w:t>
            </w:r>
          </w:p>
        </w:tc>
        <w:tc>
          <w:tcPr>
            <w:tcW w:w="3926" w:type="dxa"/>
            <w:tcBorders>
              <w:top w:val="single" w:color="auto" w:sz="4" w:space="0"/>
              <w:left w:val="single" w:color="auto" w:sz="4" w:space="0"/>
              <w:bottom w:val="single" w:color="auto" w:sz="4" w:space="0"/>
              <w:right w:val="single" w:color="auto" w:sz="4" w:space="0"/>
            </w:tcBorders>
          </w:tcPr>
          <w:p w14:paraId="4C8B25ED">
            <w:pPr>
              <w:spacing w:line="340" w:lineRule="exact"/>
              <w:rPr>
                <w:rFonts w:ascii="仿宋_GB2312" w:hAnsi="宋体" w:eastAsia="仿宋_GB2312"/>
                <w:color w:val="auto"/>
                <w:szCs w:val="21"/>
              </w:rPr>
            </w:pPr>
            <w:r>
              <w:rPr>
                <w:rFonts w:hint="eastAsia" w:ascii="仿宋_GB2312" w:hAnsi="宋体" w:eastAsia="仿宋_GB2312"/>
                <w:color w:val="auto"/>
                <w:szCs w:val="21"/>
              </w:rPr>
              <w:t>1  ……</w:t>
            </w:r>
          </w:p>
          <w:p w14:paraId="31DE79E8">
            <w:pPr>
              <w:spacing w:line="340" w:lineRule="exact"/>
              <w:rPr>
                <w:rFonts w:ascii="仿宋_GB2312" w:hAnsi="宋体" w:eastAsia="仿宋_GB2312"/>
                <w:color w:val="auto"/>
                <w:szCs w:val="21"/>
              </w:rPr>
            </w:pPr>
            <w:r>
              <w:rPr>
                <w:rFonts w:hint="eastAsia" w:ascii="仿宋_GB2312" w:hAnsi="宋体" w:eastAsia="仿宋_GB2312"/>
                <w:color w:val="auto"/>
                <w:szCs w:val="21"/>
              </w:rPr>
              <w:t>2  ……</w:t>
            </w:r>
          </w:p>
          <w:p w14:paraId="4BD87D17">
            <w:pPr>
              <w:spacing w:line="340" w:lineRule="exact"/>
              <w:rPr>
                <w:rFonts w:ascii="仿宋_GB2312" w:hAnsi="宋体" w:eastAsia="仿宋_GB2312"/>
                <w:color w:val="auto"/>
                <w:szCs w:val="21"/>
              </w:rPr>
            </w:pPr>
            <w:r>
              <w:rPr>
                <w:rFonts w:hint="eastAsia" w:ascii="仿宋_GB2312" w:hAnsi="宋体" w:eastAsia="仿宋_GB2312"/>
                <w:color w:val="auto"/>
                <w:szCs w:val="21"/>
              </w:rPr>
              <w:t>3  ……</w:t>
            </w:r>
          </w:p>
          <w:p w14:paraId="7E81F2CF">
            <w:pPr>
              <w:spacing w:line="340" w:lineRule="exact"/>
              <w:rPr>
                <w:rFonts w:ascii="仿宋_GB2312" w:hAnsi="宋体" w:eastAsia="仿宋_GB2312"/>
                <w:color w:val="auto"/>
                <w:szCs w:val="21"/>
              </w:rPr>
            </w:pPr>
            <w:r>
              <w:rPr>
                <w:rFonts w:hint="eastAsia" w:ascii="仿宋_GB2312" w:hAnsi="宋体" w:eastAsia="仿宋_GB2312"/>
                <w:color w:val="auto"/>
                <w:szCs w:val="21"/>
              </w:rPr>
              <w:t>……</w:t>
            </w:r>
          </w:p>
        </w:tc>
        <w:tc>
          <w:tcPr>
            <w:tcW w:w="3589" w:type="dxa"/>
            <w:tcBorders>
              <w:top w:val="single" w:color="auto" w:sz="4" w:space="0"/>
              <w:left w:val="single" w:color="auto" w:sz="4" w:space="0"/>
              <w:bottom w:val="single" w:color="auto" w:sz="4" w:space="0"/>
              <w:right w:val="single" w:color="auto" w:sz="4" w:space="0"/>
            </w:tcBorders>
          </w:tcPr>
          <w:p w14:paraId="52B08E78">
            <w:pPr>
              <w:spacing w:line="340" w:lineRule="exact"/>
              <w:rPr>
                <w:rFonts w:ascii="仿宋_GB2312" w:hAnsi="宋体" w:eastAsia="仿宋_GB2312"/>
                <w:color w:val="auto"/>
                <w:szCs w:val="21"/>
              </w:rPr>
            </w:pPr>
            <w:r>
              <w:rPr>
                <w:rFonts w:hint="eastAsia" w:ascii="仿宋_GB2312" w:hAnsi="宋体" w:eastAsia="仿宋_GB2312"/>
                <w:color w:val="auto"/>
                <w:szCs w:val="21"/>
              </w:rPr>
              <w:t>1  ……</w:t>
            </w:r>
          </w:p>
          <w:p w14:paraId="1C532919">
            <w:pPr>
              <w:spacing w:line="340" w:lineRule="exact"/>
              <w:rPr>
                <w:rFonts w:ascii="仿宋_GB2312" w:hAnsi="宋体" w:eastAsia="仿宋_GB2312"/>
                <w:color w:val="auto"/>
                <w:szCs w:val="21"/>
              </w:rPr>
            </w:pPr>
            <w:r>
              <w:rPr>
                <w:rFonts w:hint="eastAsia" w:ascii="仿宋_GB2312" w:hAnsi="宋体" w:eastAsia="仿宋_GB2312"/>
                <w:color w:val="auto"/>
                <w:szCs w:val="21"/>
              </w:rPr>
              <w:t>2  ……</w:t>
            </w:r>
          </w:p>
          <w:p w14:paraId="58B19CB8">
            <w:pPr>
              <w:spacing w:line="340" w:lineRule="exact"/>
              <w:rPr>
                <w:rFonts w:ascii="仿宋_GB2312" w:hAnsi="宋体" w:eastAsia="仿宋_GB2312"/>
                <w:color w:val="auto"/>
                <w:szCs w:val="21"/>
              </w:rPr>
            </w:pPr>
            <w:r>
              <w:rPr>
                <w:rFonts w:hint="eastAsia" w:ascii="仿宋_GB2312" w:hAnsi="宋体" w:eastAsia="仿宋_GB2312"/>
                <w:color w:val="auto"/>
                <w:szCs w:val="21"/>
              </w:rPr>
              <w:t>3  ……</w:t>
            </w:r>
          </w:p>
          <w:p w14:paraId="5BB809F7">
            <w:pPr>
              <w:spacing w:line="340" w:lineRule="exact"/>
              <w:rPr>
                <w:rFonts w:ascii="仿宋_GB2312" w:hAnsi="宋体" w:eastAsia="仿宋_GB2312"/>
                <w:color w:val="auto"/>
                <w:szCs w:val="21"/>
              </w:rPr>
            </w:pPr>
            <w:r>
              <w:rPr>
                <w:rFonts w:hint="eastAsia" w:ascii="仿宋_GB2312" w:hAnsi="宋体" w:eastAsia="仿宋_GB2312"/>
                <w:color w:val="auto"/>
                <w:szCs w:val="21"/>
              </w:rPr>
              <w:t>……</w:t>
            </w:r>
          </w:p>
        </w:tc>
        <w:tc>
          <w:tcPr>
            <w:tcW w:w="1274" w:type="dxa"/>
            <w:tcBorders>
              <w:top w:val="single" w:color="auto" w:sz="4" w:space="0"/>
              <w:left w:val="single" w:color="auto" w:sz="4" w:space="0"/>
              <w:bottom w:val="single" w:color="auto" w:sz="4" w:space="0"/>
              <w:right w:val="single" w:color="auto" w:sz="4" w:space="0"/>
            </w:tcBorders>
          </w:tcPr>
          <w:p w14:paraId="3AAB06CB">
            <w:pPr>
              <w:spacing w:line="300" w:lineRule="exact"/>
              <w:rPr>
                <w:rFonts w:ascii="仿宋_GB2312" w:hAnsi="宋体" w:eastAsia="仿宋_GB2312"/>
                <w:color w:val="auto"/>
                <w:szCs w:val="21"/>
              </w:rPr>
            </w:pPr>
          </w:p>
        </w:tc>
      </w:tr>
      <w:tr w14:paraId="3C89B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33FFF143">
            <w:pPr>
              <w:spacing w:line="340" w:lineRule="exact"/>
              <w:rPr>
                <w:rFonts w:ascii="仿宋_GB2312" w:hAnsi="宋体" w:eastAsia="仿宋_GB2312"/>
                <w:color w:val="auto"/>
                <w:szCs w:val="21"/>
              </w:rPr>
            </w:pPr>
            <w:r>
              <w:rPr>
                <w:rFonts w:hint="eastAsia" w:ascii="仿宋_GB2312" w:hAnsi="宋体" w:eastAsia="仿宋_GB2312"/>
                <w:color w:val="auto"/>
                <w:szCs w:val="21"/>
              </w:rPr>
              <w:t>二</w:t>
            </w:r>
          </w:p>
        </w:tc>
        <w:tc>
          <w:tcPr>
            <w:tcW w:w="3926" w:type="dxa"/>
            <w:tcBorders>
              <w:top w:val="single" w:color="auto" w:sz="4" w:space="0"/>
              <w:left w:val="single" w:color="auto" w:sz="4" w:space="0"/>
              <w:bottom w:val="single" w:color="auto" w:sz="4" w:space="0"/>
              <w:right w:val="single" w:color="auto" w:sz="4" w:space="0"/>
            </w:tcBorders>
          </w:tcPr>
          <w:p w14:paraId="59EF66F1">
            <w:pPr>
              <w:spacing w:line="340" w:lineRule="exact"/>
              <w:rPr>
                <w:rFonts w:ascii="仿宋_GB2312" w:hAnsi="宋体" w:eastAsia="仿宋_GB2312"/>
                <w:color w:val="auto"/>
                <w:szCs w:val="21"/>
              </w:rPr>
            </w:pPr>
            <w:r>
              <w:rPr>
                <w:rFonts w:hint="eastAsia" w:ascii="仿宋_GB2312" w:hAnsi="宋体" w:eastAsia="仿宋_GB2312"/>
                <w:color w:val="auto"/>
                <w:szCs w:val="21"/>
              </w:rPr>
              <w:t>1  ……</w:t>
            </w:r>
          </w:p>
          <w:p w14:paraId="0EBD5BC0">
            <w:pPr>
              <w:spacing w:line="340" w:lineRule="exact"/>
              <w:rPr>
                <w:rFonts w:ascii="仿宋_GB2312" w:hAnsi="宋体" w:eastAsia="仿宋_GB2312"/>
                <w:color w:val="auto"/>
                <w:szCs w:val="21"/>
              </w:rPr>
            </w:pPr>
            <w:r>
              <w:rPr>
                <w:rFonts w:hint="eastAsia" w:ascii="仿宋_GB2312" w:hAnsi="宋体" w:eastAsia="仿宋_GB2312"/>
                <w:color w:val="auto"/>
                <w:szCs w:val="21"/>
              </w:rPr>
              <w:t>2  ……</w:t>
            </w:r>
          </w:p>
          <w:p w14:paraId="3B1B0FBB">
            <w:pPr>
              <w:spacing w:line="340" w:lineRule="exact"/>
              <w:rPr>
                <w:rFonts w:ascii="仿宋_GB2312" w:hAnsi="宋体" w:eastAsia="仿宋_GB2312"/>
                <w:color w:val="auto"/>
                <w:szCs w:val="21"/>
              </w:rPr>
            </w:pPr>
            <w:r>
              <w:rPr>
                <w:rFonts w:hint="eastAsia" w:ascii="仿宋_GB2312" w:hAnsi="宋体" w:eastAsia="仿宋_GB2312"/>
                <w:color w:val="auto"/>
                <w:szCs w:val="21"/>
              </w:rPr>
              <w:t>3  ……</w:t>
            </w:r>
          </w:p>
          <w:p w14:paraId="15713F58">
            <w:pPr>
              <w:spacing w:line="340" w:lineRule="exact"/>
              <w:rPr>
                <w:rFonts w:ascii="仿宋_GB2312" w:hAnsi="宋体" w:eastAsia="仿宋_GB2312"/>
                <w:color w:val="auto"/>
                <w:szCs w:val="21"/>
              </w:rPr>
            </w:pPr>
            <w:r>
              <w:rPr>
                <w:rFonts w:hint="eastAsia" w:ascii="仿宋_GB2312" w:hAnsi="宋体" w:eastAsia="仿宋_GB2312"/>
                <w:color w:val="auto"/>
                <w:szCs w:val="21"/>
              </w:rPr>
              <w:t>……</w:t>
            </w:r>
          </w:p>
        </w:tc>
        <w:tc>
          <w:tcPr>
            <w:tcW w:w="3589" w:type="dxa"/>
            <w:tcBorders>
              <w:top w:val="single" w:color="auto" w:sz="4" w:space="0"/>
              <w:left w:val="single" w:color="auto" w:sz="4" w:space="0"/>
              <w:bottom w:val="single" w:color="auto" w:sz="4" w:space="0"/>
              <w:right w:val="single" w:color="auto" w:sz="4" w:space="0"/>
            </w:tcBorders>
          </w:tcPr>
          <w:p w14:paraId="16DD5083">
            <w:pPr>
              <w:spacing w:line="340" w:lineRule="exact"/>
              <w:rPr>
                <w:rFonts w:ascii="仿宋_GB2312" w:hAnsi="宋体" w:eastAsia="仿宋_GB2312"/>
                <w:color w:val="auto"/>
                <w:szCs w:val="21"/>
              </w:rPr>
            </w:pPr>
            <w:r>
              <w:rPr>
                <w:rFonts w:hint="eastAsia" w:ascii="仿宋_GB2312" w:hAnsi="宋体" w:eastAsia="仿宋_GB2312"/>
                <w:color w:val="auto"/>
                <w:szCs w:val="21"/>
              </w:rPr>
              <w:t>1  ……</w:t>
            </w:r>
          </w:p>
          <w:p w14:paraId="597FEB24">
            <w:pPr>
              <w:spacing w:line="340" w:lineRule="exact"/>
              <w:rPr>
                <w:rFonts w:ascii="仿宋_GB2312" w:hAnsi="宋体" w:eastAsia="仿宋_GB2312"/>
                <w:color w:val="auto"/>
                <w:szCs w:val="21"/>
              </w:rPr>
            </w:pPr>
            <w:r>
              <w:rPr>
                <w:rFonts w:hint="eastAsia" w:ascii="仿宋_GB2312" w:hAnsi="宋体" w:eastAsia="仿宋_GB2312"/>
                <w:color w:val="auto"/>
                <w:szCs w:val="21"/>
              </w:rPr>
              <w:t>2  ……</w:t>
            </w:r>
          </w:p>
          <w:p w14:paraId="0602B9BF">
            <w:pPr>
              <w:spacing w:line="340" w:lineRule="exact"/>
              <w:rPr>
                <w:rFonts w:ascii="仿宋_GB2312" w:hAnsi="宋体" w:eastAsia="仿宋_GB2312"/>
                <w:color w:val="auto"/>
                <w:szCs w:val="21"/>
              </w:rPr>
            </w:pPr>
            <w:r>
              <w:rPr>
                <w:rFonts w:hint="eastAsia" w:ascii="仿宋_GB2312" w:hAnsi="宋体" w:eastAsia="仿宋_GB2312"/>
                <w:color w:val="auto"/>
                <w:szCs w:val="21"/>
              </w:rPr>
              <w:t>3  ……</w:t>
            </w:r>
          </w:p>
          <w:p w14:paraId="2C7FF37D">
            <w:pPr>
              <w:spacing w:line="340" w:lineRule="exact"/>
              <w:rPr>
                <w:rFonts w:ascii="仿宋_GB2312" w:hAnsi="宋体" w:eastAsia="仿宋_GB2312"/>
                <w:color w:val="auto"/>
                <w:szCs w:val="21"/>
              </w:rPr>
            </w:pPr>
            <w:r>
              <w:rPr>
                <w:rFonts w:hint="eastAsia" w:ascii="仿宋_GB2312" w:hAnsi="宋体" w:eastAsia="仿宋_GB2312"/>
                <w:color w:val="auto"/>
                <w:szCs w:val="21"/>
              </w:rPr>
              <w:t>……</w:t>
            </w:r>
          </w:p>
        </w:tc>
        <w:tc>
          <w:tcPr>
            <w:tcW w:w="1274" w:type="dxa"/>
            <w:tcBorders>
              <w:top w:val="single" w:color="auto" w:sz="4" w:space="0"/>
              <w:left w:val="single" w:color="auto" w:sz="4" w:space="0"/>
              <w:bottom w:val="single" w:color="auto" w:sz="4" w:space="0"/>
              <w:right w:val="single" w:color="auto" w:sz="4" w:space="0"/>
            </w:tcBorders>
          </w:tcPr>
          <w:p w14:paraId="305502C9">
            <w:pPr>
              <w:spacing w:line="300" w:lineRule="exact"/>
              <w:rPr>
                <w:rFonts w:ascii="仿宋_GB2312" w:hAnsi="宋体" w:eastAsia="仿宋_GB2312"/>
                <w:color w:val="auto"/>
                <w:szCs w:val="21"/>
              </w:rPr>
            </w:pPr>
          </w:p>
        </w:tc>
      </w:tr>
      <w:tr w14:paraId="3FAFE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41FC465F">
            <w:pPr>
              <w:spacing w:line="340" w:lineRule="exact"/>
              <w:rPr>
                <w:rFonts w:ascii="仿宋_GB2312" w:hAnsi="宋体" w:eastAsia="仿宋_GB2312"/>
                <w:color w:val="auto"/>
                <w:szCs w:val="21"/>
              </w:rPr>
            </w:pPr>
            <w:r>
              <w:rPr>
                <w:rFonts w:hint="eastAsia" w:ascii="仿宋_GB2312" w:hAnsi="宋体" w:eastAsia="仿宋_GB2312"/>
                <w:color w:val="auto"/>
                <w:szCs w:val="21"/>
              </w:rPr>
              <w:t>...</w:t>
            </w:r>
          </w:p>
        </w:tc>
        <w:tc>
          <w:tcPr>
            <w:tcW w:w="3926" w:type="dxa"/>
            <w:tcBorders>
              <w:top w:val="single" w:color="auto" w:sz="4" w:space="0"/>
              <w:left w:val="single" w:color="auto" w:sz="4" w:space="0"/>
              <w:bottom w:val="single" w:color="auto" w:sz="4" w:space="0"/>
              <w:right w:val="single" w:color="auto" w:sz="4" w:space="0"/>
            </w:tcBorders>
          </w:tcPr>
          <w:p w14:paraId="05B927C2">
            <w:pPr>
              <w:spacing w:line="340" w:lineRule="exact"/>
              <w:rPr>
                <w:rFonts w:ascii="仿宋_GB2312" w:hAnsi="宋体" w:eastAsia="仿宋_GB2312"/>
                <w:color w:val="auto"/>
                <w:szCs w:val="21"/>
              </w:rPr>
            </w:pPr>
            <w:r>
              <w:rPr>
                <w:rFonts w:hint="eastAsia" w:ascii="仿宋_GB2312" w:hAnsi="宋体" w:eastAsia="仿宋_GB2312"/>
                <w:color w:val="auto"/>
                <w:szCs w:val="21"/>
              </w:rPr>
              <w:t>1  ……</w:t>
            </w:r>
          </w:p>
          <w:p w14:paraId="172D9E51">
            <w:pPr>
              <w:spacing w:line="340" w:lineRule="exact"/>
              <w:rPr>
                <w:rFonts w:ascii="仿宋_GB2312" w:hAnsi="宋体" w:eastAsia="仿宋_GB2312"/>
                <w:color w:val="auto"/>
                <w:szCs w:val="21"/>
              </w:rPr>
            </w:pPr>
            <w:r>
              <w:rPr>
                <w:rFonts w:hint="eastAsia" w:ascii="仿宋_GB2312" w:hAnsi="宋体" w:eastAsia="仿宋_GB2312"/>
                <w:color w:val="auto"/>
                <w:szCs w:val="21"/>
              </w:rPr>
              <w:t>2  ……</w:t>
            </w:r>
          </w:p>
          <w:p w14:paraId="38C29B6A">
            <w:pPr>
              <w:spacing w:line="340" w:lineRule="exact"/>
              <w:rPr>
                <w:rFonts w:ascii="仿宋_GB2312" w:hAnsi="宋体" w:eastAsia="仿宋_GB2312"/>
                <w:color w:val="auto"/>
                <w:szCs w:val="21"/>
              </w:rPr>
            </w:pPr>
            <w:r>
              <w:rPr>
                <w:rFonts w:hint="eastAsia" w:ascii="仿宋_GB2312" w:hAnsi="宋体" w:eastAsia="仿宋_GB2312"/>
                <w:color w:val="auto"/>
                <w:szCs w:val="21"/>
              </w:rPr>
              <w:t>3  ……</w:t>
            </w:r>
          </w:p>
          <w:p w14:paraId="6085FAB0">
            <w:pPr>
              <w:spacing w:line="340" w:lineRule="exact"/>
              <w:rPr>
                <w:rFonts w:ascii="仿宋_GB2312" w:hAnsi="宋体" w:eastAsia="仿宋_GB2312"/>
                <w:color w:val="auto"/>
                <w:szCs w:val="21"/>
              </w:rPr>
            </w:pPr>
            <w:r>
              <w:rPr>
                <w:rFonts w:hint="eastAsia" w:ascii="仿宋_GB2312" w:hAnsi="宋体" w:eastAsia="仿宋_GB2312"/>
                <w:color w:val="auto"/>
                <w:szCs w:val="21"/>
              </w:rPr>
              <w:t>……</w:t>
            </w:r>
          </w:p>
        </w:tc>
        <w:tc>
          <w:tcPr>
            <w:tcW w:w="3589" w:type="dxa"/>
            <w:tcBorders>
              <w:top w:val="single" w:color="auto" w:sz="4" w:space="0"/>
              <w:left w:val="single" w:color="auto" w:sz="4" w:space="0"/>
              <w:bottom w:val="single" w:color="auto" w:sz="4" w:space="0"/>
              <w:right w:val="single" w:color="auto" w:sz="4" w:space="0"/>
            </w:tcBorders>
          </w:tcPr>
          <w:p w14:paraId="0827DF43">
            <w:pPr>
              <w:spacing w:line="340" w:lineRule="exact"/>
              <w:rPr>
                <w:rFonts w:ascii="仿宋_GB2312" w:hAnsi="宋体" w:eastAsia="仿宋_GB2312"/>
                <w:color w:val="auto"/>
                <w:szCs w:val="21"/>
              </w:rPr>
            </w:pPr>
            <w:r>
              <w:rPr>
                <w:rFonts w:hint="eastAsia" w:ascii="仿宋_GB2312" w:hAnsi="宋体" w:eastAsia="仿宋_GB2312"/>
                <w:color w:val="auto"/>
                <w:szCs w:val="21"/>
              </w:rPr>
              <w:t>1  ……</w:t>
            </w:r>
          </w:p>
          <w:p w14:paraId="621540C4">
            <w:pPr>
              <w:spacing w:line="340" w:lineRule="exact"/>
              <w:rPr>
                <w:rFonts w:ascii="仿宋_GB2312" w:hAnsi="宋体" w:eastAsia="仿宋_GB2312"/>
                <w:color w:val="auto"/>
                <w:szCs w:val="21"/>
              </w:rPr>
            </w:pPr>
            <w:r>
              <w:rPr>
                <w:rFonts w:hint="eastAsia" w:ascii="仿宋_GB2312" w:hAnsi="宋体" w:eastAsia="仿宋_GB2312"/>
                <w:color w:val="auto"/>
                <w:szCs w:val="21"/>
              </w:rPr>
              <w:t>2  ……</w:t>
            </w:r>
          </w:p>
          <w:p w14:paraId="4B8EB629">
            <w:pPr>
              <w:spacing w:line="340" w:lineRule="exact"/>
              <w:rPr>
                <w:rFonts w:ascii="仿宋_GB2312" w:hAnsi="宋体" w:eastAsia="仿宋_GB2312"/>
                <w:color w:val="auto"/>
                <w:szCs w:val="21"/>
              </w:rPr>
            </w:pPr>
            <w:r>
              <w:rPr>
                <w:rFonts w:hint="eastAsia" w:ascii="仿宋_GB2312" w:hAnsi="宋体" w:eastAsia="仿宋_GB2312"/>
                <w:color w:val="auto"/>
                <w:szCs w:val="21"/>
              </w:rPr>
              <w:t>3  ……</w:t>
            </w:r>
          </w:p>
          <w:p w14:paraId="5FA46B77">
            <w:pPr>
              <w:spacing w:line="340" w:lineRule="exact"/>
              <w:rPr>
                <w:rFonts w:ascii="仿宋_GB2312" w:hAnsi="宋体" w:eastAsia="仿宋_GB2312"/>
                <w:color w:val="auto"/>
                <w:szCs w:val="21"/>
              </w:rPr>
            </w:pPr>
            <w:r>
              <w:rPr>
                <w:rFonts w:hint="eastAsia" w:ascii="仿宋_GB2312" w:hAnsi="宋体" w:eastAsia="仿宋_GB2312"/>
                <w:color w:val="auto"/>
                <w:szCs w:val="21"/>
              </w:rPr>
              <w:t>……</w:t>
            </w:r>
          </w:p>
        </w:tc>
        <w:tc>
          <w:tcPr>
            <w:tcW w:w="1274" w:type="dxa"/>
            <w:tcBorders>
              <w:top w:val="single" w:color="auto" w:sz="4" w:space="0"/>
              <w:left w:val="single" w:color="auto" w:sz="4" w:space="0"/>
              <w:bottom w:val="single" w:color="auto" w:sz="4" w:space="0"/>
              <w:right w:val="single" w:color="auto" w:sz="4" w:space="0"/>
            </w:tcBorders>
          </w:tcPr>
          <w:p w14:paraId="6C39383B">
            <w:pPr>
              <w:spacing w:line="300" w:lineRule="exact"/>
              <w:rPr>
                <w:rFonts w:ascii="仿宋_GB2312" w:hAnsi="宋体" w:eastAsia="仿宋_GB2312"/>
                <w:color w:val="auto"/>
                <w:szCs w:val="21"/>
              </w:rPr>
            </w:pPr>
          </w:p>
        </w:tc>
      </w:tr>
    </w:tbl>
    <w:p w14:paraId="28D54B4C">
      <w:pPr>
        <w:snapToGrid w:val="0"/>
        <w:spacing w:before="50"/>
        <w:jc w:val="left"/>
        <w:rPr>
          <w:rFonts w:ascii="仿宋" w:hAnsi="仿宋" w:eastAsia="仿宋"/>
          <w:color w:val="auto"/>
          <w:sz w:val="24"/>
          <w:u w:val="single"/>
        </w:rPr>
      </w:pPr>
    </w:p>
    <w:p w14:paraId="4B1DFA38">
      <w:pPr>
        <w:pStyle w:val="18"/>
        <w:rPr>
          <w:rFonts w:ascii="仿宋" w:hAnsi="仿宋" w:eastAsia="仿宋"/>
          <w:color w:val="auto"/>
        </w:rPr>
      </w:pPr>
      <w:r>
        <w:rPr>
          <w:rFonts w:hint="eastAsia" w:ascii="仿宋" w:hAnsi="仿宋" w:eastAsia="仿宋"/>
          <w:color w:val="auto"/>
        </w:rPr>
        <w:t>注：</w:t>
      </w:r>
    </w:p>
    <w:p w14:paraId="6E1986D6">
      <w:pPr>
        <w:pStyle w:val="21"/>
        <w:spacing w:line="520" w:lineRule="exact"/>
        <w:ind w:firstLine="0" w:firstLineChars="0"/>
        <w:rPr>
          <w:rFonts w:ascii="仿宋" w:hAnsi="仿宋" w:eastAsia="仿宋" w:cs="仿宋_GB2312"/>
          <w:color w:val="auto"/>
          <w:szCs w:val="32"/>
        </w:rPr>
      </w:pPr>
      <w:r>
        <w:rPr>
          <w:rFonts w:hint="eastAsia" w:ascii="仿宋" w:hAnsi="仿宋" w:eastAsia="仿宋"/>
          <w:color w:val="auto"/>
          <w:sz w:val="24"/>
          <w:szCs w:val="24"/>
        </w:rPr>
        <w:t>1.说明：应对照招标文件“第二章 采购需求”中的商务要求逐条作明确的投标响应，并作出偏离说明。</w:t>
      </w:r>
    </w:p>
    <w:p w14:paraId="3EBBFDB5">
      <w:pPr>
        <w:pStyle w:val="18"/>
        <w:rPr>
          <w:rFonts w:ascii="仿宋" w:hAnsi="仿宋" w:eastAsia="仿宋"/>
          <w:b w:val="0"/>
          <w:bCs w:val="0"/>
          <w:color w:val="auto"/>
        </w:rPr>
      </w:pPr>
      <w:r>
        <w:rPr>
          <w:rFonts w:ascii="仿宋" w:hAnsi="仿宋" w:eastAsia="仿宋"/>
          <w:b w:val="0"/>
          <w:bCs w:val="0"/>
          <w:color w:val="auto"/>
        </w:rPr>
        <w:t>2.</w:t>
      </w:r>
      <w:r>
        <w:rPr>
          <w:rFonts w:hint="eastAsia" w:ascii="仿宋" w:hAnsi="仿宋" w:eastAsia="仿宋"/>
          <w:b w:val="0"/>
          <w:bCs w:val="0"/>
          <w:color w:val="auto"/>
        </w:rPr>
        <w:t>投标人应根据自身的承诺，对照招标文件要求在“偏离说明”中注明“</w:t>
      </w:r>
      <w:r>
        <w:rPr>
          <w:rFonts w:hint="eastAsia" w:ascii="仿宋" w:hAnsi="仿宋" w:eastAsia="仿宋"/>
          <w:color w:val="auto"/>
        </w:rPr>
        <w:t>正偏离</w:t>
      </w:r>
      <w:r>
        <w:rPr>
          <w:rFonts w:hint="eastAsia" w:ascii="仿宋" w:hAnsi="仿宋" w:eastAsia="仿宋"/>
          <w:b w:val="0"/>
          <w:bCs w:val="0"/>
          <w:color w:val="auto"/>
        </w:rPr>
        <w:t>”、“</w:t>
      </w:r>
      <w:r>
        <w:rPr>
          <w:rFonts w:hint="eastAsia" w:ascii="仿宋" w:hAnsi="仿宋" w:eastAsia="仿宋"/>
          <w:color w:val="auto"/>
        </w:rPr>
        <w:t>负偏离</w:t>
      </w:r>
      <w:r>
        <w:rPr>
          <w:rFonts w:hint="eastAsia" w:ascii="仿宋" w:hAnsi="仿宋" w:eastAsia="仿宋"/>
          <w:b w:val="0"/>
          <w:bCs w:val="0"/>
          <w:color w:val="auto"/>
        </w:rPr>
        <w:t>”或者“</w:t>
      </w:r>
      <w:r>
        <w:rPr>
          <w:rFonts w:hint="eastAsia" w:ascii="仿宋" w:hAnsi="仿宋" w:eastAsia="仿宋"/>
          <w:color w:val="auto"/>
        </w:rPr>
        <w:t>无偏离</w:t>
      </w:r>
      <w:r>
        <w:rPr>
          <w:rFonts w:hint="eastAsia" w:ascii="仿宋" w:hAnsi="仿宋" w:eastAsia="仿宋"/>
          <w:b w:val="0"/>
          <w:bCs w:val="0"/>
          <w:color w:val="auto"/>
        </w:rPr>
        <w:t>”。既不属于“</w:t>
      </w:r>
      <w:r>
        <w:rPr>
          <w:rFonts w:hint="eastAsia" w:ascii="仿宋" w:hAnsi="仿宋" w:eastAsia="仿宋"/>
          <w:color w:val="auto"/>
        </w:rPr>
        <w:t>正偏离</w:t>
      </w:r>
      <w:r>
        <w:rPr>
          <w:rFonts w:hint="eastAsia" w:ascii="仿宋" w:hAnsi="仿宋" w:eastAsia="仿宋"/>
          <w:b w:val="0"/>
          <w:bCs w:val="0"/>
          <w:color w:val="auto"/>
        </w:rPr>
        <w:t>”也不属于“</w:t>
      </w:r>
      <w:r>
        <w:rPr>
          <w:rFonts w:hint="eastAsia" w:ascii="仿宋" w:hAnsi="仿宋" w:eastAsia="仿宋"/>
          <w:color w:val="auto"/>
        </w:rPr>
        <w:t>负偏离</w:t>
      </w:r>
      <w:r>
        <w:rPr>
          <w:rFonts w:hint="eastAsia" w:ascii="仿宋" w:hAnsi="仿宋" w:eastAsia="仿宋"/>
          <w:b w:val="0"/>
          <w:bCs w:val="0"/>
          <w:color w:val="auto"/>
        </w:rPr>
        <w:t>”即为“</w:t>
      </w:r>
      <w:r>
        <w:rPr>
          <w:rFonts w:hint="eastAsia" w:ascii="仿宋" w:hAnsi="仿宋" w:eastAsia="仿宋"/>
          <w:color w:val="auto"/>
        </w:rPr>
        <w:t>无偏离</w:t>
      </w:r>
      <w:r>
        <w:rPr>
          <w:rFonts w:hint="eastAsia" w:ascii="仿宋" w:hAnsi="仿宋" w:eastAsia="仿宋"/>
          <w:b w:val="0"/>
          <w:bCs w:val="0"/>
          <w:color w:val="auto"/>
        </w:rPr>
        <w:t>”。</w:t>
      </w:r>
    </w:p>
    <w:p w14:paraId="2AA68FC6">
      <w:pPr>
        <w:snapToGrid w:val="0"/>
        <w:spacing w:before="50" w:after="50"/>
        <w:rPr>
          <w:rFonts w:ascii="仿宋" w:hAnsi="仿宋" w:eastAsia="仿宋"/>
          <w:color w:val="auto"/>
          <w:sz w:val="24"/>
        </w:rPr>
      </w:pPr>
    </w:p>
    <w:p w14:paraId="7AC58275">
      <w:pPr>
        <w:snapToGrid w:val="0"/>
        <w:spacing w:before="50" w:after="50"/>
        <w:rPr>
          <w:rFonts w:ascii="仿宋" w:hAnsi="仿宋" w:eastAsia="仿宋"/>
          <w:color w:val="auto"/>
          <w:sz w:val="24"/>
        </w:rPr>
      </w:pPr>
    </w:p>
    <w:p w14:paraId="512E459F">
      <w:pPr>
        <w:snapToGrid w:val="0"/>
        <w:spacing w:before="50" w:after="50"/>
        <w:rPr>
          <w:rFonts w:ascii="仿宋" w:hAnsi="仿宋" w:eastAsia="仿宋"/>
          <w:color w:val="auto"/>
          <w:spacing w:val="20"/>
          <w:sz w:val="24"/>
          <w:u w:val="single"/>
        </w:rPr>
      </w:pPr>
      <w:r>
        <w:rPr>
          <w:rFonts w:hint="eastAsia" w:ascii="仿宋" w:hAnsi="仿宋" w:eastAsia="仿宋"/>
          <w:color w:val="auto"/>
          <w:sz w:val="24"/>
        </w:rPr>
        <w:t>法定代表人或者委托代理人</w:t>
      </w:r>
      <w:r>
        <w:rPr>
          <w:rFonts w:hint="eastAsia" w:ascii="仿宋" w:hAnsi="仿宋" w:eastAsia="仿宋"/>
          <w:color w:val="auto"/>
          <w:spacing w:val="20"/>
          <w:sz w:val="24"/>
        </w:rPr>
        <w:t>（签字）：</w:t>
      </w:r>
    </w:p>
    <w:p w14:paraId="4C4E8C8E">
      <w:pPr>
        <w:snapToGrid w:val="0"/>
        <w:spacing w:beforeLines="50"/>
        <w:rPr>
          <w:rFonts w:ascii="仿宋" w:hAnsi="仿宋" w:eastAsia="仿宋"/>
          <w:color w:val="auto"/>
          <w:spacing w:val="20"/>
          <w:sz w:val="24"/>
        </w:rPr>
      </w:pPr>
      <w:r>
        <w:rPr>
          <w:rFonts w:hint="eastAsia" w:ascii="仿宋" w:hAnsi="仿宋" w:eastAsia="仿宋"/>
          <w:color w:val="auto"/>
          <w:spacing w:val="20"/>
          <w:sz w:val="24"/>
        </w:rPr>
        <w:t>投标人名称（电子签章）：</w:t>
      </w:r>
    </w:p>
    <w:p w14:paraId="1C2424C6">
      <w:pPr>
        <w:snapToGrid w:val="0"/>
        <w:spacing w:beforeLines="50"/>
        <w:rPr>
          <w:rFonts w:ascii="仿宋" w:hAnsi="仿宋" w:eastAsia="仿宋"/>
          <w:color w:val="auto"/>
          <w:sz w:val="24"/>
          <w:szCs w:val="20"/>
        </w:rPr>
      </w:pPr>
      <w:r>
        <w:rPr>
          <w:rFonts w:hint="eastAsia" w:ascii="仿宋" w:hAnsi="仿宋" w:eastAsia="仿宋"/>
          <w:color w:val="auto"/>
          <w:spacing w:val="20"/>
          <w:sz w:val="24"/>
        </w:rPr>
        <w:t>日  期：</w:t>
      </w:r>
    </w:p>
    <w:p w14:paraId="09079995">
      <w:pPr>
        <w:snapToGrid w:val="0"/>
        <w:spacing w:beforeLines="50"/>
        <w:rPr>
          <w:rFonts w:ascii="仿宋" w:hAnsi="仿宋" w:eastAsia="仿宋"/>
          <w:color w:val="auto"/>
          <w:sz w:val="24"/>
          <w:szCs w:val="20"/>
        </w:rPr>
      </w:pPr>
    </w:p>
    <w:p w14:paraId="114498E2">
      <w:pPr>
        <w:snapToGrid w:val="0"/>
        <w:spacing w:beforeLines="50" w:after="50"/>
        <w:jc w:val="left"/>
        <w:rPr>
          <w:rFonts w:ascii="仿宋" w:hAnsi="仿宋" w:eastAsia="仿宋"/>
          <w:color w:val="auto"/>
          <w:sz w:val="24"/>
          <w:szCs w:val="20"/>
        </w:rPr>
      </w:pPr>
    </w:p>
    <w:p w14:paraId="1AE377EE">
      <w:pPr>
        <w:snapToGrid w:val="0"/>
        <w:spacing w:beforeLines="50" w:after="50"/>
        <w:jc w:val="left"/>
        <w:rPr>
          <w:rFonts w:ascii="仿宋" w:hAnsi="仿宋" w:eastAsia="仿宋"/>
          <w:b/>
          <w:color w:val="auto"/>
          <w:sz w:val="24"/>
        </w:rPr>
      </w:pPr>
      <w:r>
        <w:rPr>
          <w:rFonts w:ascii="仿宋" w:hAnsi="仿宋" w:eastAsia="仿宋"/>
          <w:color w:val="auto"/>
          <w:sz w:val="24"/>
          <w:szCs w:val="20"/>
        </w:rPr>
        <w:br w:type="page"/>
      </w:r>
      <w:r>
        <w:rPr>
          <w:rFonts w:hint="eastAsia" w:ascii="仿宋" w:hAnsi="仿宋" w:eastAsia="仿宋"/>
          <w:b/>
          <w:color w:val="auto"/>
          <w:sz w:val="24"/>
        </w:rPr>
        <w:t>8.投标人业绩证明材料</w:t>
      </w:r>
    </w:p>
    <w:p w14:paraId="6A57CBA3">
      <w:pPr>
        <w:pStyle w:val="36"/>
        <w:snapToGrid w:val="0"/>
        <w:ind w:left="480" w:hanging="480"/>
        <w:rPr>
          <w:rFonts w:ascii="仿宋" w:hAnsi="仿宋" w:eastAsia="仿宋"/>
          <w:color w:val="auto"/>
          <w:sz w:val="24"/>
        </w:rPr>
      </w:pPr>
    </w:p>
    <w:p w14:paraId="6C7C2BEC">
      <w:pPr>
        <w:pStyle w:val="36"/>
        <w:snapToGrid w:val="0"/>
        <w:ind w:left="480" w:hanging="480"/>
        <w:rPr>
          <w:rFonts w:ascii="仿宋" w:hAnsi="仿宋" w:eastAsia="仿宋"/>
          <w:color w:val="auto"/>
          <w:sz w:val="24"/>
        </w:rPr>
      </w:pPr>
      <w:r>
        <w:rPr>
          <w:rFonts w:hint="eastAsia" w:ascii="仿宋" w:hAnsi="仿宋" w:eastAsia="仿宋"/>
          <w:color w:val="auto"/>
          <w:sz w:val="24"/>
        </w:rPr>
        <w:t xml:space="preserve">投标人业绩情况一览表格式： </w:t>
      </w:r>
    </w:p>
    <w:tbl>
      <w:tblPr>
        <w:tblStyle w:val="4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32"/>
        <w:gridCol w:w="1770"/>
        <w:gridCol w:w="1770"/>
        <w:gridCol w:w="2856"/>
      </w:tblGrid>
      <w:tr w14:paraId="2B9938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1250" w:type="pct"/>
            <w:vMerge w:val="restart"/>
            <w:tcBorders>
              <w:top w:val="single" w:color="auto" w:sz="4" w:space="0"/>
              <w:left w:val="single" w:color="auto" w:sz="4" w:space="0"/>
              <w:bottom w:val="single" w:color="auto" w:sz="4" w:space="0"/>
              <w:right w:val="single" w:color="auto" w:sz="4" w:space="0"/>
            </w:tcBorders>
            <w:vAlign w:val="center"/>
          </w:tcPr>
          <w:p w14:paraId="30472B2D">
            <w:pPr>
              <w:snapToGrid w:val="0"/>
              <w:spacing w:line="240" w:lineRule="exact"/>
              <w:jc w:val="center"/>
              <w:rPr>
                <w:rFonts w:ascii="仿宋" w:hAnsi="仿宋" w:eastAsia="仿宋"/>
                <w:color w:val="auto"/>
                <w:sz w:val="24"/>
              </w:rPr>
            </w:pPr>
            <w:r>
              <w:rPr>
                <w:rFonts w:hint="eastAsia" w:ascii="仿宋" w:hAnsi="仿宋" w:eastAsia="仿宋"/>
                <w:color w:val="auto"/>
                <w:sz w:val="24"/>
              </w:rPr>
              <w:t>采购人名称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43CC402A">
            <w:pPr>
              <w:snapToGrid w:val="0"/>
              <w:spacing w:line="240" w:lineRule="exact"/>
              <w:jc w:val="center"/>
              <w:rPr>
                <w:rFonts w:ascii="仿宋" w:hAnsi="仿宋" w:eastAsia="仿宋"/>
                <w:color w:val="auto"/>
                <w:sz w:val="24"/>
              </w:rPr>
            </w:pPr>
            <w:r>
              <w:rPr>
                <w:rFonts w:hint="eastAsia" w:ascii="仿宋" w:hAnsi="仿宋" w:eastAsia="仿宋"/>
                <w:color w:val="auto"/>
                <w:sz w:val="24"/>
              </w:rPr>
              <w:t>项目名称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65631BA9">
            <w:pPr>
              <w:snapToGrid w:val="0"/>
              <w:spacing w:line="240" w:lineRule="exact"/>
              <w:jc w:val="center"/>
              <w:rPr>
                <w:rFonts w:ascii="仿宋" w:hAnsi="仿宋" w:eastAsia="仿宋"/>
                <w:color w:val="auto"/>
                <w:sz w:val="24"/>
              </w:rPr>
            </w:pPr>
            <w:r>
              <w:rPr>
                <w:rFonts w:hint="eastAsia" w:ascii="仿宋" w:hAnsi="仿宋" w:eastAsia="仿宋"/>
                <w:color w:val="auto"/>
                <w:sz w:val="24"/>
              </w:rPr>
              <w:t>合同金额</w:t>
            </w:r>
          </w:p>
          <w:p w14:paraId="045D6F5E">
            <w:pPr>
              <w:snapToGrid w:val="0"/>
              <w:spacing w:line="240" w:lineRule="exact"/>
              <w:jc w:val="center"/>
              <w:rPr>
                <w:rFonts w:ascii="仿宋" w:hAnsi="仿宋" w:eastAsia="仿宋"/>
                <w:color w:val="auto"/>
                <w:sz w:val="24"/>
              </w:rPr>
            </w:pPr>
            <w:r>
              <w:rPr>
                <w:rFonts w:hint="eastAsia" w:ascii="仿宋" w:hAnsi="仿宋" w:eastAsia="仿宋"/>
                <w:color w:val="auto"/>
                <w:sz w:val="24"/>
              </w:rPr>
              <w:t>（万元）</w:t>
            </w:r>
          </w:p>
        </w:tc>
        <w:tc>
          <w:tcPr>
            <w:tcW w:w="1674" w:type="pct"/>
            <w:vMerge w:val="restart"/>
            <w:tcBorders>
              <w:top w:val="single" w:color="auto" w:sz="4" w:space="0"/>
              <w:left w:val="single" w:color="auto" w:sz="4" w:space="0"/>
              <w:bottom w:val="single" w:color="auto" w:sz="4" w:space="0"/>
              <w:right w:val="single" w:color="auto" w:sz="4" w:space="0"/>
            </w:tcBorders>
            <w:vAlign w:val="center"/>
          </w:tcPr>
          <w:p w14:paraId="255A4E03">
            <w:pPr>
              <w:snapToGrid w:val="0"/>
              <w:spacing w:line="240" w:lineRule="exact"/>
              <w:jc w:val="center"/>
              <w:rPr>
                <w:rFonts w:ascii="仿宋" w:hAnsi="仿宋" w:eastAsia="仿宋"/>
                <w:color w:val="auto"/>
                <w:sz w:val="24"/>
              </w:rPr>
            </w:pPr>
            <w:r>
              <w:rPr>
                <w:rFonts w:hint="eastAsia" w:ascii="仿宋" w:hAnsi="仿宋" w:eastAsia="仿宋"/>
                <w:color w:val="auto"/>
                <w:sz w:val="24"/>
              </w:rPr>
              <w:t>采购人联系人及</w:t>
            </w:r>
          </w:p>
          <w:p w14:paraId="155494CF">
            <w:pPr>
              <w:snapToGrid w:val="0"/>
              <w:spacing w:line="240" w:lineRule="exact"/>
              <w:jc w:val="center"/>
              <w:rPr>
                <w:rFonts w:ascii="仿宋" w:hAnsi="仿宋" w:eastAsia="仿宋"/>
                <w:color w:val="auto"/>
                <w:sz w:val="24"/>
              </w:rPr>
            </w:pPr>
            <w:r>
              <w:rPr>
                <w:rFonts w:hint="eastAsia" w:ascii="仿宋" w:hAnsi="仿宋" w:eastAsia="仿宋"/>
                <w:color w:val="auto"/>
                <w:sz w:val="24"/>
              </w:rPr>
              <w:t>联系电话</w:t>
            </w:r>
          </w:p>
        </w:tc>
      </w:tr>
      <w:tr w14:paraId="21FA28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jc w:val="center"/>
        </w:trPr>
        <w:tc>
          <w:tcPr>
            <w:tcW w:w="1250" w:type="pct"/>
            <w:vMerge w:val="continue"/>
            <w:tcBorders>
              <w:top w:val="single" w:color="auto" w:sz="4" w:space="0"/>
              <w:left w:val="single" w:color="auto" w:sz="4" w:space="0"/>
              <w:bottom w:val="single" w:color="auto" w:sz="4" w:space="0"/>
              <w:right w:val="single" w:color="auto" w:sz="4" w:space="0"/>
            </w:tcBorders>
            <w:vAlign w:val="center"/>
          </w:tcPr>
          <w:p w14:paraId="4BC8D723">
            <w:pPr>
              <w:jc w:val="left"/>
              <w:rPr>
                <w:rFonts w:ascii="仿宋" w:hAnsi="仿宋" w:eastAsia="仿宋"/>
                <w:color w:val="auto"/>
                <w:sz w:val="24"/>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03BEBD06">
            <w:pPr>
              <w:jc w:val="left"/>
              <w:rPr>
                <w:rFonts w:ascii="仿宋" w:hAnsi="仿宋" w:eastAsia="仿宋"/>
                <w:color w:val="auto"/>
                <w:sz w:val="24"/>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34AD7994">
            <w:pPr>
              <w:jc w:val="left"/>
              <w:rPr>
                <w:rFonts w:ascii="仿宋" w:hAnsi="仿宋" w:eastAsia="仿宋"/>
                <w:color w:val="auto"/>
                <w:sz w:val="24"/>
              </w:rPr>
            </w:pPr>
          </w:p>
        </w:tc>
        <w:tc>
          <w:tcPr>
            <w:tcW w:w="1674" w:type="pct"/>
            <w:vMerge w:val="continue"/>
            <w:tcBorders>
              <w:top w:val="single" w:color="auto" w:sz="4" w:space="0"/>
              <w:left w:val="single" w:color="auto" w:sz="4" w:space="0"/>
              <w:bottom w:val="single" w:color="auto" w:sz="4" w:space="0"/>
              <w:right w:val="single" w:color="auto" w:sz="4" w:space="0"/>
            </w:tcBorders>
            <w:vAlign w:val="center"/>
          </w:tcPr>
          <w:p w14:paraId="70A36921">
            <w:pPr>
              <w:jc w:val="left"/>
              <w:rPr>
                <w:rFonts w:ascii="仿宋" w:hAnsi="仿宋" w:eastAsia="仿宋"/>
                <w:color w:val="auto"/>
                <w:sz w:val="24"/>
              </w:rPr>
            </w:pPr>
          </w:p>
        </w:tc>
      </w:tr>
      <w:tr w14:paraId="0708BA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1250" w:type="pct"/>
            <w:tcBorders>
              <w:top w:val="single" w:color="auto" w:sz="4" w:space="0"/>
              <w:left w:val="single" w:color="auto" w:sz="4" w:space="0"/>
              <w:bottom w:val="single" w:color="auto" w:sz="4" w:space="0"/>
              <w:right w:val="single" w:color="auto" w:sz="4" w:space="0"/>
            </w:tcBorders>
          </w:tcPr>
          <w:p w14:paraId="71874B81">
            <w:pPr>
              <w:snapToGrid w:val="0"/>
              <w:spacing w:line="240" w:lineRule="exact"/>
              <w:jc w:val="left"/>
              <w:rPr>
                <w:rFonts w:ascii="仿宋" w:hAnsi="仿宋" w:eastAsia="仿宋"/>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152B6B46">
            <w:pPr>
              <w:snapToGrid w:val="0"/>
              <w:spacing w:line="240" w:lineRule="exact"/>
              <w:jc w:val="left"/>
              <w:rPr>
                <w:rFonts w:ascii="仿宋" w:hAnsi="仿宋" w:eastAsia="仿宋"/>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6A49310C">
            <w:pPr>
              <w:snapToGrid w:val="0"/>
              <w:spacing w:line="240" w:lineRule="exact"/>
              <w:jc w:val="left"/>
              <w:rPr>
                <w:rFonts w:ascii="仿宋" w:hAnsi="仿宋" w:eastAsia="仿宋"/>
                <w:color w:val="auto"/>
                <w:sz w:val="24"/>
              </w:rPr>
            </w:pPr>
          </w:p>
        </w:tc>
        <w:tc>
          <w:tcPr>
            <w:tcW w:w="1674" w:type="pct"/>
            <w:tcBorders>
              <w:top w:val="single" w:color="auto" w:sz="4" w:space="0"/>
              <w:left w:val="single" w:color="auto" w:sz="4" w:space="0"/>
              <w:bottom w:val="single" w:color="auto" w:sz="4" w:space="0"/>
              <w:right w:val="single" w:color="auto" w:sz="4" w:space="0"/>
            </w:tcBorders>
          </w:tcPr>
          <w:p w14:paraId="79E78CA1">
            <w:pPr>
              <w:snapToGrid w:val="0"/>
              <w:spacing w:line="240" w:lineRule="exact"/>
              <w:jc w:val="left"/>
              <w:rPr>
                <w:rFonts w:ascii="仿宋" w:hAnsi="仿宋" w:eastAsia="仿宋"/>
                <w:color w:val="auto"/>
                <w:sz w:val="24"/>
              </w:rPr>
            </w:pPr>
          </w:p>
        </w:tc>
      </w:tr>
      <w:tr w14:paraId="3A64FF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50" w:type="pct"/>
            <w:tcBorders>
              <w:top w:val="single" w:color="auto" w:sz="4" w:space="0"/>
              <w:left w:val="single" w:color="auto" w:sz="4" w:space="0"/>
              <w:bottom w:val="single" w:color="auto" w:sz="4" w:space="0"/>
              <w:right w:val="single" w:color="auto" w:sz="4" w:space="0"/>
            </w:tcBorders>
          </w:tcPr>
          <w:p w14:paraId="17EA31D9">
            <w:pPr>
              <w:snapToGrid w:val="0"/>
              <w:spacing w:before="50" w:afterLines="50" w:line="400" w:lineRule="exact"/>
              <w:jc w:val="left"/>
              <w:rPr>
                <w:rFonts w:ascii="仿宋" w:hAnsi="仿宋" w:eastAsia="仿宋"/>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4502836A">
            <w:pPr>
              <w:snapToGrid w:val="0"/>
              <w:spacing w:before="50" w:afterLines="50" w:line="400" w:lineRule="exact"/>
              <w:jc w:val="left"/>
              <w:rPr>
                <w:rFonts w:ascii="仿宋" w:hAnsi="仿宋" w:eastAsia="仿宋"/>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122DB220">
            <w:pPr>
              <w:snapToGrid w:val="0"/>
              <w:spacing w:before="50" w:afterLines="50" w:line="400" w:lineRule="exact"/>
              <w:jc w:val="left"/>
              <w:rPr>
                <w:rFonts w:ascii="仿宋" w:hAnsi="仿宋" w:eastAsia="仿宋"/>
                <w:color w:val="auto"/>
                <w:sz w:val="24"/>
              </w:rPr>
            </w:pPr>
          </w:p>
        </w:tc>
        <w:tc>
          <w:tcPr>
            <w:tcW w:w="1674" w:type="pct"/>
            <w:tcBorders>
              <w:top w:val="single" w:color="auto" w:sz="4" w:space="0"/>
              <w:left w:val="single" w:color="auto" w:sz="4" w:space="0"/>
              <w:bottom w:val="single" w:color="auto" w:sz="4" w:space="0"/>
              <w:right w:val="single" w:color="auto" w:sz="4" w:space="0"/>
            </w:tcBorders>
          </w:tcPr>
          <w:p w14:paraId="6DE64974">
            <w:pPr>
              <w:snapToGrid w:val="0"/>
              <w:spacing w:before="50" w:afterLines="50" w:line="400" w:lineRule="exact"/>
              <w:jc w:val="left"/>
              <w:rPr>
                <w:rFonts w:ascii="仿宋" w:hAnsi="仿宋" w:eastAsia="仿宋"/>
                <w:color w:val="auto"/>
                <w:sz w:val="24"/>
              </w:rPr>
            </w:pPr>
          </w:p>
        </w:tc>
      </w:tr>
      <w:tr w14:paraId="59FE90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250" w:type="pct"/>
            <w:tcBorders>
              <w:top w:val="single" w:color="auto" w:sz="4" w:space="0"/>
              <w:left w:val="single" w:color="auto" w:sz="4" w:space="0"/>
              <w:bottom w:val="single" w:color="auto" w:sz="4" w:space="0"/>
              <w:right w:val="single" w:color="auto" w:sz="4" w:space="0"/>
            </w:tcBorders>
          </w:tcPr>
          <w:p w14:paraId="0844114E">
            <w:pPr>
              <w:snapToGrid w:val="0"/>
              <w:spacing w:before="50" w:afterLines="50" w:line="400" w:lineRule="exact"/>
              <w:jc w:val="left"/>
              <w:rPr>
                <w:rFonts w:ascii="仿宋" w:hAnsi="仿宋" w:eastAsia="仿宋"/>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108D9123">
            <w:pPr>
              <w:snapToGrid w:val="0"/>
              <w:spacing w:before="50" w:afterLines="50" w:line="400" w:lineRule="exact"/>
              <w:jc w:val="left"/>
              <w:rPr>
                <w:rFonts w:ascii="仿宋" w:hAnsi="仿宋" w:eastAsia="仿宋"/>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499F0D81">
            <w:pPr>
              <w:snapToGrid w:val="0"/>
              <w:spacing w:before="50" w:afterLines="50" w:line="400" w:lineRule="exact"/>
              <w:jc w:val="left"/>
              <w:rPr>
                <w:rFonts w:ascii="仿宋" w:hAnsi="仿宋" w:eastAsia="仿宋"/>
                <w:color w:val="auto"/>
                <w:sz w:val="24"/>
              </w:rPr>
            </w:pPr>
          </w:p>
        </w:tc>
        <w:tc>
          <w:tcPr>
            <w:tcW w:w="1674" w:type="pct"/>
            <w:tcBorders>
              <w:top w:val="single" w:color="auto" w:sz="4" w:space="0"/>
              <w:left w:val="single" w:color="auto" w:sz="4" w:space="0"/>
              <w:bottom w:val="single" w:color="auto" w:sz="4" w:space="0"/>
              <w:right w:val="single" w:color="auto" w:sz="4" w:space="0"/>
            </w:tcBorders>
          </w:tcPr>
          <w:p w14:paraId="2E48024E">
            <w:pPr>
              <w:snapToGrid w:val="0"/>
              <w:spacing w:before="50" w:afterLines="50" w:line="400" w:lineRule="exact"/>
              <w:jc w:val="left"/>
              <w:rPr>
                <w:rFonts w:ascii="仿宋" w:hAnsi="仿宋" w:eastAsia="仿宋"/>
                <w:color w:val="auto"/>
                <w:sz w:val="24"/>
              </w:rPr>
            </w:pPr>
          </w:p>
        </w:tc>
      </w:tr>
      <w:tr w14:paraId="1EDC9A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1250" w:type="pct"/>
            <w:tcBorders>
              <w:top w:val="single" w:color="auto" w:sz="4" w:space="0"/>
              <w:left w:val="single" w:color="auto" w:sz="4" w:space="0"/>
              <w:bottom w:val="single" w:color="auto" w:sz="4" w:space="0"/>
              <w:right w:val="single" w:color="auto" w:sz="4" w:space="0"/>
            </w:tcBorders>
          </w:tcPr>
          <w:p w14:paraId="53CD3B14">
            <w:pPr>
              <w:snapToGrid w:val="0"/>
              <w:spacing w:before="50" w:afterLines="50" w:line="400" w:lineRule="exact"/>
              <w:jc w:val="left"/>
              <w:rPr>
                <w:rFonts w:ascii="仿宋" w:hAnsi="仿宋" w:eastAsia="仿宋"/>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345BA031">
            <w:pPr>
              <w:snapToGrid w:val="0"/>
              <w:spacing w:before="50" w:afterLines="50" w:line="400" w:lineRule="exact"/>
              <w:jc w:val="left"/>
              <w:rPr>
                <w:rFonts w:ascii="仿宋" w:hAnsi="仿宋" w:eastAsia="仿宋"/>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231B3A58">
            <w:pPr>
              <w:snapToGrid w:val="0"/>
              <w:spacing w:before="50" w:afterLines="50" w:line="400" w:lineRule="exact"/>
              <w:jc w:val="left"/>
              <w:rPr>
                <w:rFonts w:ascii="仿宋" w:hAnsi="仿宋" w:eastAsia="仿宋"/>
                <w:color w:val="auto"/>
                <w:sz w:val="24"/>
              </w:rPr>
            </w:pPr>
          </w:p>
        </w:tc>
        <w:tc>
          <w:tcPr>
            <w:tcW w:w="1674" w:type="pct"/>
            <w:tcBorders>
              <w:top w:val="single" w:color="auto" w:sz="4" w:space="0"/>
              <w:left w:val="single" w:color="auto" w:sz="4" w:space="0"/>
              <w:bottom w:val="single" w:color="auto" w:sz="4" w:space="0"/>
              <w:right w:val="single" w:color="auto" w:sz="4" w:space="0"/>
            </w:tcBorders>
          </w:tcPr>
          <w:p w14:paraId="62859A59">
            <w:pPr>
              <w:snapToGrid w:val="0"/>
              <w:spacing w:before="50" w:afterLines="50" w:line="400" w:lineRule="exact"/>
              <w:jc w:val="left"/>
              <w:rPr>
                <w:rFonts w:ascii="仿宋" w:hAnsi="仿宋" w:eastAsia="仿宋"/>
                <w:color w:val="auto"/>
                <w:sz w:val="24"/>
              </w:rPr>
            </w:pPr>
          </w:p>
        </w:tc>
      </w:tr>
      <w:tr w14:paraId="781F35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50" w:type="pct"/>
            <w:tcBorders>
              <w:top w:val="single" w:color="auto" w:sz="4" w:space="0"/>
              <w:left w:val="single" w:color="auto" w:sz="4" w:space="0"/>
              <w:bottom w:val="single" w:color="auto" w:sz="4" w:space="0"/>
              <w:right w:val="single" w:color="auto" w:sz="4" w:space="0"/>
            </w:tcBorders>
          </w:tcPr>
          <w:p w14:paraId="52915769">
            <w:pPr>
              <w:snapToGrid w:val="0"/>
              <w:spacing w:before="50" w:afterLines="50" w:line="400" w:lineRule="exact"/>
              <w:jc w:val="left"/>
              <w:rPr>
                <w:rFonts w:ascii="仿宋" w:hAnsi="仿宋" w:eastAsia="仿宋"/>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1208CD57">
            <w:pPr>
              <w:snapToGrid w:val="0"/>
              <w:spacing w:before="50" w:afterLines="50" w:line="400" w:lineRule="exact"/>
              <w:jc w:val="left"/>
              <w:rPr>
                <w:rFonts w:ascii="仿宋" w:hAnsi="仿宋" w:eastAsia="仿宋"/>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10392F0B">
            <w:pPr>
              <w:snapToGrid w:val="0"/>
              <w:spacing w:before="50" w:afterLines="50" w:line="400" w:lineRule="exact"/>
              <w:jc w:val="left"/>
              <w:rPr>
                <w:rFonts w:ascii="仿宋" w:hAnsi="仿宋" w:eastAsia="仿宋"/>
                <w:color w:val="auto"/>
                <w:sz w:val="24"/>
              </w:rPr>
            </w:pPr>
          </w:p>
        </w:tc>
        <w:tc>
          <w:tcPr>
            <w:tcW w:w="1674" w:type="pct"/>
            <w:tcBorders>
              <w:top w:val="single" w:color="auto" w:sz="4" w:space="0"/>
              <w:left w:val="single" w:color="auto" w:sz="4" w:space="0"/>
              <w:bottom w:val="single" w:color="auto" w:sz="4" w:space="0"/>
              <w:right w:val="single" w:color="auto" w:sz="4" w:space="0"/>
            </w:tcBorders>
          </w:tcPr>
          <w:p w14:paraId="01AEAA87">
            <w:pPr>
              <w:snapToGrid w:val="0"/>
              <w:spacing w:before="50" w:afterLines="50" w:line="400" w:lineRule="exact"/>
              <w:jc w:val="left"/>
              <w:rPr>
                <w:rFonts w:ascii="仿宋" w:hAnsi="仿宋" w:eastAsia="仿宋"/>
                <w:color w:val="auto"/>
                <w:sz w:val="24"/>
              </w:rPr>
            </w:pPr>
          </w:p>
        </w:tc>
      </w:tr>
    </w:tbl>
    <w:p w14:paraId="76E9E962">
      <w:pPr>
        <w:pStyle w:val="15"/>
        <w:spacing w:before="0" w:after="0" w:line="360" w:lineRule="auto"/>
        <w:contextualSpacing/>
        <w:rPr>
          <w:rFonts w:ascii="仿宋" w:hAnsi="仿宋" w:eastAsia="仿宋"/>
          <w:color w:val="auto"/>
          <w:sz w:val="24"/>
          <w:szCs w:val="24"/>
        </w:rPr>
      </w:pPr>
    </w:p>
    <w:p w14:paraId="28CD2580">
      <w:pPr>
        <w:pStyle w:val="15"/>
        <w:spacing w:before="0" w:after="0" w:line="360" w:lineRule="auto"/>
        <w:contextualSpacing/>
        <w:rPr>
          <w:rFonts w:ascii="仿宋" w:hAnsi="仿宋" w:eastAsia="仿宋"/>
          <w:color w:val="auto"/>
          <w:sz w:val="24"/>
          <w:szCs w:val="24"/>
        </w:rPr>
      </w:pPr>
    </w:p>
    <w:p w14:paraId="6D455AAA">
      <w:pPr>
        <w:pStyle w:val="15"/>
        <w:spacing w:before="0" w:after="0" w:line="360" w:lineRule="auto"/>
        <w:contextualSpacing/>
        <w:rPr>
          <w:rFonts w:ascii="仿宋" w:hAnsi="仿宋" w:eastAsia="仿宋"/>
          <w:color w:val="auto"/>
          <w:sz w:val="24"/>
          <w:szCs w:val="24"/>
        </w:rPr>
      </w:pPr>
    </w:p>
    <w:p w14:paraId="3E2A41EB">
      <w:pPr>
        <w:pStyle w:val="15"/>
        <w:spacing w:before="0" w:after="0" w:line="360" w:lineRule="auto"/>
        <w:contextualSpacing/>
        <w:rPr>
          <w:rFonts w:ascii="仿宋" w:hAnsi="仿宋" w:eastAsia="仿宋"/>
          <w:color w:val="auto"/>
          <w:sz w:val="24"/>
          <w:szCs w:val="24"/>
        </w:rPr>
      </w:pPr>
      <w:r>
        <w:rPr>
          <w:rFonts w:hint="eastAsia" w:ascii="仿宋" w:hAnsi="仿宋" w:eastAsia="仿宋"/>
          <w:color w:val="auto"/>
          <w:sz w:val="24"/>
          <w:szCs w:val="24"/>
        </w:rPr>
        <w:t>注：</w:t>
      </w:r>
      <w:r>
        <w:rPr>
          <w:rFonts w:hint="eastAsia" w:ascii="仿宋" w:hAnsi="仿宋" w:eastAsia="仿宋"/>
          <w:color w:val="auto"/>
          <w:sz w:val="24"/>
        </w:rPr>
        <w:t>投标人根据评标标准具体要求附业绩证明材料。</w:t>
      </w:r>
    </w:p>
    <w:p w14:paraId="292A5441">
      <w:pPr>
        <w:pStyle w:val="15"/>
        <w:spacing w:before="0" w:after="0" w:line="360" w:lineRule="auto"/>
        <w:contextualSpacing/>
        <w:jc w:val="left"/>
        <w:rPr>
          <w:rFonts w:ascii="仿宋" w:hAnsi="仿宋" w:eastAsia="仿宋"/>
          <w:color w:val="auto"/>
          <w:sz w:val="24"/>
          <w:szCs w:val="24"/>
          <w:u w:val="single"/>
        </w:rPr>
      </w:pPr>
      <w:r>
        <w:rPr>
          <w:rFonts w:hint="eastAsia" w:ascii="仿宋" w:hAnsi="仿宋" w:eastAsia="仿宋"/>
          <w:color w:val="auto"/>
          <w:sz w:val="24"/>
          <w:szCs w:val="24"/>
        </w:rPr>
        <w:t>法定代表人或者委托代理人（签字）：</w:t>
      </w:r>
      <w:r>
        <w:rPr>
          <w:rFonts w:hint="eastAsia" w:ascii="仿宋" w:hAnsi="仿宋" w:eastAsia="仿宋"/>
          <w:color w:val="auto"/>
          <w:sz w:val="24"/>
          <w:szCs w:val="24"/>
          <w:u w:val="single"/>
        </w:rPr>
        <w:t>　　　　　</w:t>
      </w:r>
    </w:p>
    <w:p w14:paraId="08FA0F0B">
      <w:pPr>
        <w:snapToGrid w:val="0"/>
        <w:spacing w:beforeLines="50" w:after="50"/>
        <w:jc w:val="left"/>
        <w:rPr>
          <w:rFonts w:hint="eastAsia" w:ascii="仿宋" w:hAnsi="仿宋" w:eastAsia="仿宋"/>
          <w:color w:val="auto"/>
          <w:sz w:val="24"/>
        </w:rPr>
      </w:pPr>
      <w:r>
        <w:rPr>
          <w:rFonts w:hint="eastAsia" w:ascii="仿宋" w:hAnsi="仿宋" w:eastAsia="仿宋" w:cs="Arial"/>
          <w:color w:val="auto"/>
          <w:sz w:val="24"/>
        </w:rPr>
        <w:t xml:space="preserve">投标人名称（电子签章）： </w:t>
      </w:r>
      <w:r>
        <w:rPr>
          <w:rFonts w:hint="eastAsia" w:ascii="仿宋" w:hAnsi="仿宋" w:eastAsia="仿宋"/>
          <w:color w:val="auto"/>
          <w:sz w:val="24"/>
        </w:rPr>
        <w:t xml:space="preserve">                                                              年    月    日</w:t>
      </w:r>
    </w:p>
    <w:p w14:paraId="5E576D8F">
      <w:pPr>
        <w:rPr>
          <w:rFonts w:hint="eastAsia" w:ascii="仿宋" w:hAnsi="仿宋" w:eastAsia="仿宋"/>
          <w:b/>
          <w:color w:val="auto"/>
          <w:sz w:val="24"/>
        </w:rPr>
      </w:pPr>
      <w:r>
        <w:rPr>
          <w:rFonts w:hint="eastAsia" w:ascii="仿宋" w:hAnsi="仿宋" w:eastAsia="仿宋"/>
          <w:b/>
          <w:color w:val="auto"/>
          <w:sz w:val="24"/>
        </w:rPr>
        <w:br w:type="page"/>
      </w:r>
    </w:p>
    <w:p w14:paraId="6BEDEF69">
      <w:pPr>
        <w:snapToGrid w:val="0"/>
        <w:spacing w:beforeLines="50" w:after="50"/>
        <w:jc w:val="left"/>
        <w:rPr>
          <w:rFonts w:ascii="仿宋" w:hAnsi="仿宋" w:eastAsia="仿宋"/>
          <w:b/>
          <w:color w:val="auto"/>
          <w:sz w:val="24"/>
        </w:rPr>
      </w:pPr>
      <w:r>
        <w:rPr>
          <w:rFonts w:hint="eastAsia" w:ascii="仿宋" w:hAnsi="仿宋" w:eastAsia="仿宋"/>
          <w:b/>
          <w:color w:val="auto"/>
          <w:sz w:val="24"/>
          <w:lang w:val="en-US" w:eastAsia="zh-CN"/>
        </w:rPr>
        <w:t>9</w:t>
      </w:r>
      <w:r>
        <w:rPr>
          <w:rFonts w:hint="eastAsia" w:ascii="仿宋" w:hAnsi="仿宋" w:eastAsia="仿宋"/>
          <w:b/>
          <w:color w:val="auto"/>
          <w:sz w:val="24"/>
        </w:rPr>
        <w:t>. 设备性能配置清单格式</w:t>
      </w:r>
    </w:p>
    <w:p w14:paraId="697A2182">
      <w:pPr>
        <w:snapToGrid w:val="0"/>
        <w:spacing w:beforeLines="50" w:after="50"/>
        <w:ind w:left="142"/>
        <w:jc w:val="left"/>
        <w:rPr>
          <w:rFonts w:ascii="仿宋" w:hAnsi="仿宋" w:eastAsia="仿宋"/>
          <w:b/>
          <w:color w:val="auto"/>
          <w:sz w:val="24"/>
        </w:rPr>
      </w:pPr>
    </w:p>
    <w:p w14:paraId="50816BC8">
      <w:pPr>
        <w:snapToGrid w:val="0"/>
        <w:spacing w:beforeLines="50" w:after="50"/>
        <w:ind w:left="142"/>
        <w:jc w:val="center"/>
        <w:rPr>
          <w:rFonts w:ascii="仿宋" w:hAnsi="仿宋" w:eastAsia="仿宋"/>
          <w:b/>
          <w:color w:val="auto"/>
          <w:sz w:val="32"/>
          <w:szCs w:val="32"/>
        </w:rPr>
      </w:pPr>
      <w:r>
        <w:rPr>
          <w:rFonts w:hint="eastAsia" w:ascii="仿宋" w:hAnsi="仿宋" w:eastAsia="仿宋"/>
          <w:b/>
          <w:color w:val="auto"/>
          <w:sz w:val="32"/>
          <w:szCs w:val="32"/>
        </w:rPr>
        <w:t>设备性能配置清单</w:t>
      </w:r>
    </w:p>
    <w:p w14:paraId="1FE3B94E">
      <w:pPr>
        <w:pStyle w:val="26"/>
        <w:rPr>
          <w:rFonts w:ascii="仿宋" w:hAnsi="仿宋" w:eastAsia="仿宋"/>
          <w:color w:val="auto"/>
          <w:sz w:val="24"/>
          <w:szCs w:val="24"/>
        </w:rPr>
      </w:pPr>
      <w:r>
        <w:rPr>
          <w:rFonts w:hint="eastAsia" w:ascii="仿宋" w:hAnsi="仿宋" w:eastAsia="仿宋"/>
          <w:color w:val="auto"/>
          <w:sz w:val="24"/>
          <w:szCs w:val="24"/>
        </w:rPr>
        <w:t>所投分标：分标</w:t>
      </w:r>
    </w:p>
    <w:tbl>
      <w:tblPr>
        <w:tblStyle w:val="47"/>
        <w:tblW w:w="53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03"/>
        <w:gridCol w:w="1188"/>
        <w:gridCol w:w="911"/>
        <w:gridCol w:w="709"/>
        <w:gridCol w:w="1701"/>
        <w:gridCol w:w="1188"/>
        <w:gridCol w:w="703"/>
        <w:gridCol w:w="1937"/>
      </w:tblGrid>
      <w:tr w14:paraId="1EEE00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389" w:type="pct"/>
            <w:tcBorders>
              <w:top w:val="single" w:color="auto" w:sz="4" w:space="0"/>
              <w:left w:val="single" w:color="auto" w:sz="4" w:space="0"/>
              <w:bottom w:val="single" w:color="auto" w:sz="4" w:space="0"/>
              <w:right w:val="single" w:color="auto" w:sz="4" w:space="0"/>
            </w:tcBorders>
            <w:vAlign w:val="center"/>
          </w:tcPr>
          <w:p w14:paraId="00A328FC">
            <w:pPr>
              <w:snapToGrid w:val="0"/>
              <w:spacing w:before="50" w:after="50"/>
              <w:jc w:val="center"/>
              <w:rPr>
                <w:rFonts w:ascii="仿宋" w:hAnsi="仿宋" w:eastAsia="仿宋"/>
                <w:color w:val="auto"/>
                <w:sz w:val="24"/>
              </w:rPr>
            </w:pPr>
            <w:r>
              <w:rPr>
                <w:rFonts w:hint="eastAsia" w:ascii="仿宋" w:hAnsi="仿宋" w:eastAsia="仿宋"/>
                <w:color w:val="auto"/>
                <w:sz w:val="24"/>
              </w:rPr>
              <w:t>序号</w:t>
            </w:r>
          </w:p>
        </w:tc>
        <w:tc>
          <w:tcPr>
            <w:tcW w:w="657" w:type="pct"/>
            <w:tcBorders>
              <w:top w:val="single" w:color="auto" w:sz="4" w:space="0"/>
              <w:left w:val="single" w:color="auto" w:sz="4" w:space="0"/>
              <w:bottom w:val="single" w:color="auto" w:sz="4" w:space="0"/>
              <w:right w:val="single" w:color="auto" w:sz="4" w:space="0"/>
            </w:tcBorders>
            <w:vAlign w:val="center"/>
          </w:tcPr>
          <w:p w14:paraId="1637899B">
            <w:pPr>
              <w:snapToGrid w:val="0"/>
              <w:spacing w:before="50" w:after="50"/>
              <w:jc w:val="center"/>
              <w:rPr>
                <w:rFonts w:ascii="仿宋" w:hAnsi="仿宋" w:eastAsia="仿宋"/>
                <w:color w:val="auto"/>
                <w:sz w:val="24"/>
              </w:rPr>
            </w:pPr>
            <w:r>
              <w:rPr>
                <w:rFonts w:hint="eastAsia" w:ascii="仿宋" w:hAnsi="仿宋" w:eastAsia="仿宋"/>
                <w:color w:val="auto"/>
                <w:sz w:val="24"/>
              </w:rPr>
              <w:t>货物名称</w:t>
            </w:r>
          </w:p>
        </w:tc>
        <w:tc>
          <w:tcPr>
            <w:tcW w:w="504" w:type="pct"/>
            <w:tcBorders>
              <w:top w:val="single" w:color="auto" w:sz="4" w:space="0"/>
              <w:left w:val="single" w:color="auto" w:sz="4" w:space="0"/>
              <w:bottom w:val="single" w:color="auto" w:sz="4" w:space="0"/>
              <w:right w:val="single" w:color="auto" w:sz="4" w:space="0"/>
            </w:tcBorders>
            <w:vAlign w:val="center"/>
          </w:tcPr>
          <w:p w14:paraId="6A8CE8FD">
            <w:pPr>
              <w:snapToGrid w:val="0"/>
              <w:spacing w:before="50" w:after="50"/>
              <w:jc w:val="center"/>
              <w:rPr>
                <w:rFonts w:ascii="仿宋" w:hAnsi="仿宋" w:eastAsia="仿宋"/>
                <w:color w:val="auto"/>
                <w:sz w:val="24"/>
              </w:rPr>
            </w:pPr>
            <w:r>
              <w:rPr>
                <w:rFonts w:hint="eastAsia" w:ascii="仿宋" w:hAnsi="仿宋" w:eastAsia="仿宋"/>
                <w:color w:val="auto"/>
                <w:sz w:val="24"/>
              </w:rPr>
              <w:t>数量及单位</w:t>
            </w:r>
          </w:p>
        </w:tc>
        <w:tc>
          <w:tcPr>
            <w:tcW w:w="392" w:type="pct"/>
            <w:tcBorders>
              <w:top w:val="single" w:color="auto" w:sz="4" w:space="0"/>
              <w:left w:val="single" w:color="auto" w:sz="4" w:space="0"/>
              <w:bottom w:val="single" w:color="auto" w:sz="4" w:space="0"/>
              <w:right w:val="single" w:color="auto" w:sz="4" w:space="0"/>
            </w:tcBorders>
            <w:vAlign w:val="center"/>
          </w:tcPr>
          <w:p w14:paraId="4394B7D4">
            <w:pPr>
              <w:snapToGrid w:val="0"/>
              <w:spacing w:before="50" w:after="50"/>
              <w:jc w:val="center"/>
              <w:rPr>
                <w:rFonts w:ascii="仿宋" w:hAnsi="仿宋" w:eastAsia="仿宋"/>
                <w:color w:val="auto"/>
                <w:sz w:val="24"/>
              </w:rPr>
            </w:pPr>
            <w:r>
              <w:rPr>
                <w:rFonts w:hint="eastAsia" w:ascii="仿宋" w:hAnsi="仿宋" w:eastAsia="仿宋"/>
                <w:color w:val="auto"/>
                <w:sz w:val="24"/>
              </w:rPr>
              <w:t>品牌</w:t>
            </w:r>
          </w:p>
        </w:tc>
        <w:tc>
          <w:tcPr>
            <w:tcW w:w="941" w:type="pct"/>
            <w:tcBorders>
              <w:top w:val="single" w:color="auto" w:sz="4" w:space="0"/>
              <w:left w:val="single" w:color="auto" w:sz="4" w:space="0"/>
              <w:bottom w:val="single" w:color="auto" w:sz="4" w:space="0"/>
              <w:right w:val="single" w:color="auto" w:sz="4" w:space="0"/>
            </w:tcBorders>
          </w:tcPr>
          <w:p w14:paraId="4533AFE8">
            <w:pPr>
              <w:snapToGrid w:val="0"/>
              <w:spacing w:before="50" w:after="50"/>
              <w:jc w:val="center"/>
              <w:rPr>
                <w:rFonts w:ascii="仿宋" w:hAnsi="仿宋" w:eastAsia="仿宋"/>
                <w:color w:val="auto"/>
                <w:sz w:val="24"/>
              </w:rPr>
            </w:pPr>
          </w:p>
          <w:p w14:paraId="6D6B5856">
            <w:pPr>
              <w:snapToGrid w:val="0"/>
              <w:spacing w:before="50" w:after="50"/>
              <w:jc w:val="center"/>
              <w:rPr>
                <w:rFonts w:ascii="仿宋" w:hAnsi="仿宋" w:eastAsia="仿宋"/>
                <w:color w:val="auto"/>
                <w:sz w:val="24"/>
              </w:rPr>
            </w:pPr>
            <w:r>
              <w:rPr>
                <w:rFonts w:hint="eastAsia" w:ascii="仿宋" w:hAnsi="仿宋" w:eastAsia="仿宋"/>
                <w:color w:val="auto"/>
                <w:sz w:val="24"/>
              </w:rPr>
              <w:t>规格型号</w:t>
            </w:r>
          </w:p>
        </w:tc>
        <w:tc>
          <w:tcPr>
            <w:tcW w:w="657" w:type="pct"/>
            <w:tcBorders>
              <w:top w:val="single" w:color="auto" w:sz="4" w:space="0"/>
              <w:left w:val="single" w:color="auto" w:sz="4" w:space="0"/>
              <w:bottom w:val="single" w:color="auto" w:sz="4" w:space="0"/>
              <w:right w:val="single" w:color="auto" w:sz="4" w:space="0"/>
            </w:tcBorders>
            <w:vAlign w:val="center"/>
          </w:tcPr>
          <w:p w14:paraId="2375BF42">
            <w:pPr>
              <w:snapToGrid w:val="0"/>
              <w:spacing w:before="50" w:after="50"/>
              <w:jc w:val="center"/>
              <w:rPr>
                <w:rFonts w:ascii="仿宋" w:hAnsi="仿宋" w:eastAsia="仿宋"/>
                <w:color w:val="auto"/>
                <w:sz w:val="24"/>
              </w:rPr>
            </w:pPr>
            <w:r>
              <w:rPr>
                <w:rFonts w:hint="eastAsia" w:ascii="仿宋" w:hAnsi="仿宋" w:eastAsia="仿宋"/>
                <w:color w:val="auto"/>
                <w:sz w:val="24"/>
              </w:rPr>
              <w:t>制造商</w:t>
            </w:r>
          </w:p>
        </w:tc>
        <w:tc>
          <w:tcPr>
            <w:tcW w:w="389" w:type="pct"/>
            <w:tcBorders>
              <w:top w:val="single" w:color="auto" w:sz="4" w:space="0"/>
              <w:left w:val="single" w:color="auto" w:sz="4" w:space="0"/>
              <w:bottom w:val="single" w:color="auto" w:sz="4" w:space="0"/>
              <w:right w:val="single" w:color="auto" w:sz="4" w:space="0"/>
            </w:tcBorders>
            <w:vAlign w:val="center"/>
          </w:tcPr>
          <w:p w14:paraId="5C369370">
            <w:pPr>
              <w:snapToGrid w:val="0"/>
              <w:spacing w:before="50" w:after="50"/>
              <w:jc w:val="center"/>
              <w:rPr>
                <w:rFonts w:ascii="仿宋" w:hAnsi="仿宋" w:eastAsia="仿宋"/>
                <w:color w:val="auto"/>
                <w:sz w:val="24"/>
              </w:rPr>
            </w:pPr>
            <w:r>
              <w:rPr>
                <w:rFonts w:hint="eastAsia" w:ascii="仿宋" w:hAnsi="仿宋" w:eastAsia="仿宋"/>
                <w:color w:val="auto"/>
                <w:sz w:val="24"/>
              </w:rPr>
              <w:t>原产地</w:t>
            </w:r>
          </w:p>
        </w:tc>
        <w:tc>
          <w:tcPr>
            <w:tcW w:w="1071" w:type="pct"/>
            <w:tcBorders>
              <w:top w:val="single" w:color="auto" w:sz="4" w:space="0"/>
              <w:left w:val="single" w:color="auto" w:sz="4" w:space="0"/>
              <w:bottom w:val="single" w:color="auto" w:sz="4" w:space="0"/>
              <w:right w:val="single" w:color="auto" w:sz="4" w:space="0"/>
            </w:tcBorders>
            <w:vAlign w:val="center"/>
          </w:tcPr>
          <w:p w14:paraId="61BE2D4D">
            <w:pPr>
              <w:snapToGrid w:val="0"/>
              <w:spacing w:before="50" w:after="50"/>
              <w:jc w:val="center"/>
              <w:rPr>
                <w:rFonts w:ascii="仿宋" w:hAnsi="仿宋" w:eastAsia="仿宋"/>
                <w:color w:val="auto"/>
                <w:sz w:val="24"/>
              </w:rPr>
            </w:pPr>
            <w:r>
              <w:rPr>
                <w:rFonts w:hint="eastAsia" w:ascii="仿宋" w:hAnsi="仿宋" w:eastAsia="仿宋"/>
                <w:color w:val="auto"/>
                <w:sz w:val="24"/>
              </w:rPr>
              <w:t>参数性能、指标及配置</w:t>
            </w:r>
          </w:p>
        </w:tc>
      </w:tr>
      <w:tr w14:paraId="1E4287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389" w:type="pct"/>
            <w:tcBorders>
              <w:top w:val="single" w:color="auto" w:sz="4" w:space="0"/>
              <w:left w:val="single" w:color="auto" w:sz="4" w:space="0"/>
              <w:bottom w:val="single" w:color="auto" w:sz="4" w:space="0"/>
              <w:right w:val="single" w:color="auto" w:sz="4" w:space="0"/>
            </w:tcBorders>
            <w:vAlign w:val="center"/>
          </w:tcPr>
          <w:p w14:paraId="3CE52702">
            <w:pPr>
              <w:snapToGrid w:val="0"/>
              <w:spacing w:before="50" w:after="50"/>
              <w:jc w:val="center"/>
              <w:rPr>
                <w:rFonts w:ascii="仿宋" w:hAnsi="仿宋" w:eastAsia="仿宋"/>
                <w:color w:val="auto"/>
                <w:sz w:val="24"/>
              </w:rPr>
            </w:pPr>
          </w:p>
        </w:tc>
        <w:tc>
          <w:tcPr>
            <w:tcW w:w="657" w:type="pct"/>
            <w:tcBorders>
              <w:top w:val="single" w:color="auto" w:sz="4" w:space="0"/>
              <w:left w:val="single" w:color="auto" w:sz="4" w:space="0"/>
              <w:bottom w:val="single" w:color="auto" w:sz="4" w:space="0"/>
              <w:right w:val="single" w:color="auto" w:sz="4" w:space="0"/>
            </w:tcBorders>
            <w:vAlign w:val="center"/>
          </w:tcPr>
          <w:p w14:paraId="62D7F194">
            <w:pPr>
              <w:snapToGrid w:val="0"/>
              <w:spacing w:before="50" w:after="50"/>
              <w:jc w:val="center"/>
              <w:rPr>
                <w:rFonts w:ascii="仿宋" w:hAnsi="仿宋" w:eastAsia="仿宋"/>
                <w:color w:val="auto"/>
                <w:sz w:val="24"/>
              </w:rPr>
            </w:pPr>
          </w:p>
        </w:tc>
        <w:tc>
          <w:tcPr>
            <w:tcW w:w="504" w:type="pct"/>
            <w:tcBorders>
              <w:top w:val="single" w:color="auto" w:sz="4" w:space="0"/>
              <w:left w:val="single" w:color="auto" w:sz="4" w:space="0"/>
              <w:bottom w:val="single" w:color="auto" w:sz="4" w:space="0"/>
              <w:right w:val="single" w:color="auto" w:sz="4" w:space="0"/>
            </w:tcBorders>
            <w:vAlign w:val="center"/>
          </w:tcPr>
          <w:p w14:paraId="1071E898">
            <w:pPr>
              <w:snapToGrid w:val="0"/>
              <w:spacing w:before="50" w:after="50"/>
              <w:jc w:val="center"/>
              <w:rPr>
                <w:rFonts w:ascii="仿宋" w:hAnsi="仿宋" w:eastAsia="仿宋"/>
                <w:color w:val="auto"/>
                <w:sz w:val="24"/>
              </w:rPr>
            </w:pPr>
          </w:p>
        </w:tc>
        <w:tc>
          <w:tcPr>
            <w:tcW w:w="392" w:type="pct"/>
            <w:tcBorders>
              <w:top w:val="single" w:color="auto" w:sz="4" w:space="0"/>
              <w:left w:val="single" w:color="auto" w:sz="4" w:space="0"/>
              <w:bottom w:val="single" w:color="auto" w:sz="4" w:space="0"/>
              <w:right w:val="single" w:color="auto" w:sz="4" w:space="0"/>
            </w:tcBorders>
            <w:vAlign w:val="center"/>
          </w:tcPr>
          <w:p w14:paraId="3901511C">
            <w:pPr>
              <w:snapToGrid w:val="0"/>
              <w:spacing w:before="50" w:after="50"/>
              <w:jc w:val="center"/>
              <w:rPr>
                <w:rFonts w:ascii="仿宋" w:hAnsi="仿宋" w:eastAsia="仿宋"/>
                <w:color w:val="auto"/>
                <w:sz w:val="24"/>
              </w:rPr>
            </w:pPr>
          </w:p>
        </w:tc>
        <w:tc>
          <w:tcPr>
            <w:tcW w:w="941" w:type="pct"/>
            <w:tcBorders>
              <w:top w:val="single" w:color="auto" w:sz="4" w:space="0"/>
              <w:left w:val="single" w:color="auto" w:sz="4" w:space="0"/>
              <w:bottom w:val="single" w:color="auto" w:sz="4" w:space="0"/>
              <w:right w:val="single" w:color="auto" w:sz="4" w:space="0"/>
            </w:tcBorders>
          </w:tcPr>
          <w:p w14:paraId="415324F6">
            <w:pPr>
              <w:snapToGrid w:val="0"/>
              <w:spacing w:before="50" w:after="50"/>
              <w:jc w:val="center"/>
              <w:rPr>
                <w:rFonts w:ascii="仿宋" w:hAnsi="仿宋" w:eastAsia="仿宋"/>
                <w:color w:val="auto"/>
                <w:sz w:val="24"/>
              </w:rPr>
            </w:pPr>
          </w:p>
        </w:tc>
        <w:tc>
          <w:tcPr>
            <w:tcW w:w="657" w:type="pct"/>
            <w:tcBorders>
              <w:top w:val="single" w:color="auto" w:sz="4" w:space="0"/>
              <w:left w:val="single" w:color="auto" w:sz="4" w:space="0"/>
              <w:bottom w:val="single" w:color="auto" w:sz="4" w:space="0"/>
              <w:right w:val="single" w:color="auto" w:sz="4" w:space="0"/>
            </w:tcBorders>
            <w:vAlign w:val="center"/>
          </w:tcPr>
          <w:p w14:paraId="6DB5D8AE">
            <w:pPr>
              <w:snapToGrid w:val="0"/>
              <w:spacing w:before="50" w:after="50"/>
              <w:jc w:val="center"/>
              <w:rPr>
                <w:rFonts w:ascii="仿宋" w:hAnsi="仿宋" w:eastAsia="仿宋"/>
                <w:color w:val="auto"/>
                <w:sz w:val="24"/>
              </w:rPr>
            </w:pPr>
          </w:p>
        </w:tc>
        <w:tc>
          <w:tcPr>
            <w:tcW w:w="389" w:type="pct"/>
            <w:tcBorders>
              <w:top w:val="single" w:color="auto" w:sz="4" w:space="0"/>
              <w:left w:val="single" w:color="auto" w:sz="4" w:space="0"/>
              <w:bottom w:val="single" w:color="auto" w:sz="4" w:space="0"/>
              <w:right w:val="single" w:color="auto" w:sz="4" w:space="0"/>
            </w:tcBorders>
            <w:vAlign w:val="center"/>
          </w:tcPr>
          <w:p w14:paraId="18BA395B">
            <w:pPr>
              <w:snapToGrid w:val="0"/>
              <w:spacing w:before="50" w:after="50"/>
              <w:jc w:val="center"/>
              <w:rPr>
                <w:rFonts w:ascii="仿宋" w:hAnsi="仿宋" w:eastAsia="仿宋"/>
                <w:color w:val="auto"/>
                <w:sz w:val="24"/>
              </w:rPr>
            </w:pPr>
          </w:p>
        </w:tc>
        <w:tc>
          <w:tcPr>
            <w:tcW w:w="1071" w:type="pct"/>
            <w:tcBorders>
              <w:top w:val="single" w:color="auto" w:sz="4" w:space="0"/>
              <w:left w:val="single" w:color="auto" w:sz="4" w:space="0"/>
              <w:bottom w:val="single" w:color="auto" w:sz="4" w:space="0"/>
              <w:right w:val="single" w:color="auto" w:sz="4" w:space="0"/>
            </w:tcBorders>
            <w:vAlign w:val="center"/>
          </w:tcPr>
          <w:p w14:paraId="35822D5A">
            <w:pPr>
              <w:snapToGrid w:val="0"/>
              <w:spacing w:before="50" w:after="50"/>
              <w:jc w:val="center"/>
              <w:rPr>
                <w:rFonts w:ascii="仿宋" w:hAnsi="仿宋" w:eastAsia="仿宋"/>
                <w:color w:val="auto"/>
                <w:sz w:val="24"/>
              </w:rPr>
            </w:pPr>
          </w:p>
        </w:tc>
      </w:tr>
      <w:tr w14:paraId="12784B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389" w:type="pct"/>
            <w:tcBorders>
              <w:top w:val="single" w:color="auto" w:sz="4" w:space="0"/>
              <w:left w:val="single" w:color="auto" w:sz="4" w:space="0"/>
              <w:bottom w:val="single" w:color="auto" w:sz="4" w:space="0"/>
              <w:right w:val="single" w:color="auto" w:sz="4" w:space="0"/>
            </w:tcBorders>
            <w:vAlign w:val="center"/>
          </w:tcPr>
          <w:p w14:paraId="452971C4">
            <w:pPr>
              <w:snapToGrid w:val="0"/>
              <w:spacing w:before="50" w:after="50"/>
              <w:jc w:val="center"/>
              <w:rPr>
                <w:rFonts w:ascii="仿宋" w:hAnsi="仿宋" w:eastAsia="仿宋"/>
                <w:color w:val="auto"/>
                <w:sz w:val="24"/>
              </w:rPr>
            </w:pPr>
          </w:p>
        </w:tc>
        <w:tc>
          <w:tcPr>
            <w:tcW w:w="657" w:type="pct"/>
            <w:tcBorders>
              <w:top w:val="single" w:color="auto" w:sz="4" w:space="0"/>
              <w:left w:val="single" w:color="auto" w:sz="4" w:space="0"/>
              <w:bottom w:val="single" w:color="auto" w:sz="4" w:space="0"/>
              <w:right w:val="single" w:color="auto" w:sz="4" w:space="0"/>
            </w:tcBorders>
            <w:vAlign w:val="center"/>
          </w:tcPr>
          <w:p w14:paraId="18A3DF9A">
            <w:pPr>
              <w:snapToGrid w:val="0"/>
              <w:spacing w:before="50" w:after="50"/>
              <w:jc w:val="center"/>
              <w:rPr>
                <w:rFonts w:ascii="仿宋" w:hAnsi="仿宋" w:eastAsia="仿宋"/>
                <w:color w:val="auto"/>
                <w:sz w:val="24"/>
              </w:rPr>
            </w:pPr>
          </w:p>
        </w:tc>
        <w:tc>
          <w:tcPr>
            <w:tcW w:w="504" w:type="pct"/>
            <w:tcBorders>
              <w:top w:val="single" w:color="auto" w:sz="4" w:space="0"/>
              <w:left w:val="single" w:color="auto" w:sz="4" w:space="0"/>
              <w:bottom w:val="single" w:color="auto" w:sz="4" w:space="0"/>
              <w:right w:val="single" w:color="auto" w:sz="4" w:space="0"/>
            </w:tcBorders>
            <w:vAlign w:val="center"/>
          </w:tcPr>
          <w:p w14:paraId="11987500">
            <w:pPr>
              <w:snapToGrid w:val="0"/>
              <w:spacing w:before="50" w:after="50"/>
              <w:jc w:val="center"/>
              <w:rPr>
                <w:rFonts w:ascii="仿宋" w:hAnsi="仿宋" w:eastAsia="仿宋"/>
                <w:color w:val="auto"/>
                <w:sz w:val="24"/>
              </w:rPr>
            </w:pPr>
          </w:p>
        </w:tc>
        <w:tc>
          <w:tcPr>
            <w:tcW w:w="392" w:type="pct"/>
            <w:tcBorders>
              <w:top w:val="single" w:color="auto" w:sz="4" w:space="0"/>
              <w:left w:val="single" w:color="auto" w:sz="4" w:space="0"/>
              <w:bottom w:val="single" w:color="auto" w:sz="4" w:space="0"/>
              <w:right w:val="single" w:color="auto" w:sz="4" w:space="0"/>
            </w:tcBorders>
            <w:vAlign w:val="center"/>
          </w:tcPr>
          <w:p w14:paraId="37B17CCA">
            <w:pPr>
              <w:snapToGrid w:val="0"/>
              <w:spacing w:before="50" w:after="50"/>
              <w:jc w:val="center"/>
              <w:rPr>
                <w:rFonts w:ascii="仿宋" w:hAnsi="仿宋" w:eastAsia="仿宋"/>
                <w:color w:val="auto"/>
                <w:sz w:val="24"/>
              </w:rPr>
            </w:pPr>
          </w:p>
        </w:tc>
        <w:tc>
          <w:tcPr>
            <w:tcW w:w="941" w:type="pct"/>
            <w:tcBorders>
              <w:top w:val="single" w:color="auto" w:sz="4" w:space="0"/>
              <w:left w:val="single" w:color="auto" w:sz="4" w:space="0"/>
              <w:bottom w:val="single" w:color="auto" w:sz="4" w:space="0"/>
              <w:right w:val="single" w:color="auto" w:sz="4" w:space="0"/>
            </w:tcBorders>
          </w:tcPr>
          <w:p w14:paraId="42EED980">
            <w:pPr>
              <w:snapToGrid w:val="0"/>
              <w:spacing w:before="50" w:after="50"/>
              <w:jc w:val="center"/>
              <w:rPr>
                <w:rFonts w:ascii="仿宋" w:hAnsi="仿宋" w:eastAsia="仿宋"/>
                <w:color w:val="auto"/>
                <w:sz w:val="24"/>
              </w:rPr>
            </w:pPr>
          </w:p>
        </w:tc>
        <w:tc>
          <w:tcPr>
            <w:tcW w:w="657" w:type="pct"/>
            <w:tcBorders>
              <w:top w:val="single" w:color="auto" w:sz="4" w:space="0"/>
              <w:left w:val="single" w:color="auto" w:sz="4" w:space="0"/>
              <w:bottom w:val="single" w:color="auto" w:sz="4" w:space="0"/>
              <w:right w:val="single" w:color="auto" w:sz="4" w:space="0"/>
            </w:tcBorders>
            <w:vAlign w:val="center"/>
          </w:tcPr>
          <w:p w14:paraId="739C75AD">
            <w:pPr>
              <w:snapToGrid w:val="0"/>
              <w:spacing w:before="50" w:after="50"/>
              <w:jc w:val="center"/>
              <w:rPr>
                <w:rFonts w:ascii="仿宋" w:hAnsi="仿宋" w:eastAsia="仿宋"/>
                <w:color w:val="auto"/>
                <w:sz w:val="24"/>
              </w:rPr>
            </w:pPr>
          </w:p>
        </w:tc>
        <w:tc>
          <w:tcPr>
            <w:tcW w:w="389" w:type="pct"/>
            <w:tcBorders>
              <w:top w:val="single" w:color="auto" w:sz="4" w:space="0"/>
              <w:left w:val="single" w:color="auto" w:sz="4" w:space="0"/>
              <w:bottom w:val="single" w:color="auto" w:sz="4" w:space="0"/>
              <w:right w:val="single" w:color="auto" w:sz="4" w:space="0"/>
            </w:tcBorders>
            <w:vAlign w:val="center"/>
          </w:tcPr>
          <w:p w14:paraId="59B706A7">
            <w:pPr>
              <w:snapToGrid w:val="0"/>
              <w:spacing w:before="50" w:after="50"/>
              <w:jc w:val="center"/>
              <w:rPr>
                <w:rFonts w:ascii="仿宋" w:hAnsi="仿宋" w:eastAsia="仿宋"/>
                <w:color w:val="auto"/>
                <w:sz w:val="24"/>
              </w:rPr>
            </w:pPr>
          </w:p>
        </w:tc>
        <w:tc>
          <w:tcPr>
            <w:tcW w:w="1071" w:type="pct"/>
            <w:tcBorders>
              <w:top w:val="single" w:color="auto" w:sz="4" w:space="0"/>
              <w:left w:val="single" w:color="auto" w:sz="4" w:space="0"/>
              <w:bottom w:val="single" w:color="auto" w:sz="4" w:space="0"/>
              <w:right w:val="single" w:color="auto" w:sz="4" w:space="0"/>
            </w:tcBorders>
            <w:vAlign w:val="center"/>
          </w:tcPr>
          <w:p w14:paraId="6610F3B6">
            <w:pPr>
              <w:snapToGrid w:val="0"/>
              <w:spacing w:before="50" w:after="50"/>
              <w:jc w:val="center"/>
              <w:rPr>
                <w:rFonts w:ascii="仿宋" w:hAnsi="仿宋" w:eastAsia="仿宋"/>
                <w:color w:val="auto"/>
                <w:sz w:val="24"/>
              </w:rPr>
            </w:pPr>
          </w:p>
        </w:tc>
      </w:tr>
      <w:tr w14:paraId="415038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389" w:type="pct"/>
            <w:tcBorders>
              <w:top w:val="single" w:color="auto" w:sz="4" w:space="0"/>
              <w:left w:val="single" w:color="auto" w:sz="4" w:space="0"/>
              <w:bottom w:val="single" w:color="auto" w:sz="4" w:space="0"/>
              <w:right w:val="single" w:color="auto" w:sz="4" w:space="0"/>
            </w:tcBorders>
            <w:vAlign w:val="center"/>
          </w:tcPr>
          <w:p w14:paraId="7365B0D9">
            <w:pPr>
              <w:snapToGrid w:val="0"/>
              <w:spacing w:before="50" w:after="50"/>
              <w:jc w:val="center"/>
              <w:rPr>
                <w:rFonts w:ascii="仿宋" w:hAnsi="仿宋" w:eastAsia="仿宋"/>
                <w:color w:val="auto"/>
                <w:sz w:val="24"/>
              </w:rPr>
            </w:pPr>
          </w:p>
        </w:tc>
        <w:tc>
          <w:tcPr>
            <w:tcW w:w="657" w:type="pct"/>
            <w:tcBorders>
              <w:top w:val="single" w:color="auto" w:sz="4" w:space="0"/>
              <w:left w:val="single" w:color="auto" w:sz="4" w:space="0"/>
              <w:bottom w:val="single" w:color="auto" w:sz="4" w:space="0"/>
              <w:right w:val="single" w:color="auto" w:sz="4" w:space="0"/>
            </w:tcBorders>
            <w:vAlign w:val="center"/>
          </w:tcPr>
          <w:p w14:paraId="1104CB2C">
            <w:pPr>
              <w:snapToGrid w:val="0"/>
              <w:spacing w:before="50" w:after="50"/>
              <w:jc w:val="center"/>
              <w:rPr>
                <w:rFonts w:ascii="仿宋" w:hAnsi="仿宋" w:eastAsia="仿宋"/>
                <w:color w:val="auto"/>
                <w:sz w:val="24"/>
              </w:rPr>
            </w:pPr>
          </w:p>
        </w:tc>
        <w:tc>
          <w:tcPr>
            <w:tcW w:w="504" w:type="pct"/>
            <w:tcBorders>
              <w:top w:val="single" w:color="auto" w:sz="4" w:space="0"/>
              <w:left w:val="single" w:color="auto" w:sz="4" w:space="0"/>
              <w:bottom w:val="single" w:color="auto" w:sz="4" w:space="0"/>
              <w:right w:val="single" w:color="auto" w:sz="4" w:space="0"/>
            </w:tcBorders>
            <w:vAlign w:val="center"/>
          </w:tcPr>
          <w:p w14:paraId="3DC8100F">
            <w:pPr>
              <w:snapToGrid w:val="0"/>
              <w:spacing w:before="50" w:after="50"/>
              <w:jc w:val="center"/>
              <w:rPr>
                <w:rFonts w:ascii="仿宋" w:hAnsi="仿宋" w:eastAsia="仿宋"/>
                <w:color w:val="auto"/>
                <w:sz w:val="24"/>
              </w:rPr>
            </w:pPr>
          </w:p>
        </w:tc>
        <w:tc>
          <w:tcPr>
            <w:tcW w:w="392" w:type="pct"/>
            <w:tcBorders>
              <w:top w:val="single" w:color="auto" w:sz="4" w:space="0"/>
              <w:left w:val="single" w:color="auto" w:sz="4" w:space="0"/>
              <w:bottom w:val="single" w:color="auto" w:sz="4" w:space="0"/>
              <w:right w:val="single" w:color="auto" w:sz="4" w:space="0"/>
            </w:tcBorders>
            <w:vAlign w:val="center"/>
          </w:tcPr>
          <w:p w14:paraId="30A10018">
            <w:pPr>
              <w:snapToGrid w:val="0"/>
              <w:spacing w:before="50" w:after="50"/>
              <w:jc w:val="center"/>
              <w:rPr>
                <w:rFonts w:ascii="仿宋" w:hAnsi="仿宋" w:eastAsia="仿宋"/>
                <w:color w:val="auto"/>
                <w:sz w:val="24"/>
              </w:rPr>
            </w:pPr>
          </w:p>
        </w:tc>
        <w:tc>
          <w:tcPr>
            <w:tcW w:w="941" w:type="pct"/>
            <w:tcBorders>
              <w:top w:val="single" w:color="auto" w:sz="4" w:space="0"/>
              <w:left w:val="single" w:color="auto" w:sz="4" w:space="0"/>
              <w:bottom w:val="single" w:color="auto" w:sz="4" w:space="0"/>
              <w:right w:val="single" w:color="auto" w:sz="4" w:space="0"/>
            </w:tcBorders>
          </w:tcPr>
          <w:p w14:paraId="0C326B4E">
            <w:pPr>
              <w:snapToGrid w:val="0"/>
              <w:spacing w:before="50" w:after="50"/>
              <w:jc w:val="center"/>
              <w:rPr>
                <w:rFonts w:ascii="仿宋" w:hAnsi="仿宋" w:eastAsia="仿宋"/>
                <w:color w:val="auto"/>
                <w:sz w:val="24"/>
              </w:rPr>
            </w:pPr>
          </w:p>
        </w:tc>
        <w:tc>
          <w:tcPr>
            <w:tcW w:w="657" w:type="pct"/>
            <w:tcBorders>
              <w:top w:val="single" w:color="auto" w:sz="4" w:space="0"/>
              <w:left w:val="single" w:color="auto" w:sz="4" w:space="0"/>
              <w:bottom w:val="single" w:color="auto" w:sz="4" w:space="0"/>
              <w:right w:val="single" w:color="auto" w:sz="4" w:space="0"/>
            </w:tcBorders>
            <w:vAlign w:val="center"/>
          </w:tcPr>
          <w:p w14:paraId="6A750305">
            <w:pPr>
              <w:snapToGrid w:val="0"/>
              <w:spacing w:before="50" w:after="50"/>
              <w:jc w:val="center"/>
              <w:rPr>
                <w:rFonts w:ascii="仿宋" w:hAnsi="仿宋" w:eastAsia="仿宋"/>
                <w:color w:val="auto"/>
                <w:sz w:val="24"/>
              </w:rPr>
            </w:pPr>
          </w:p>
        </w:tc>
        <w:tc>
          <w:tcPr>
            <w:tcW w:w="389" w:type="pct"/>
            <w:tcBorders>
              <w:top w:val="single" w:color="auto" w:sz="4" w:space="0"/>
              <w:left w:val="single" w:color="auto" w:sz="4" w:space="0"/>
              <w:bottom w:val="single" w:color="auto" w:sz="4" w:space="0"/>
              <w:right w:val="single" w:color="auto" w:sz="4" w:space="0"/>
            </w:tcBorders>
            <w:vAlign w:val="center"/>
          </w:tcPr>
          <w:p w14:paraId="5AC06F95">
            <w:pPr>
              <w:snapToGrid w:val="0"/>
              <w:spacing w:before="50" w:after="50"/>
              <w:jc w:val="center"/>
              <w:rPr>
                <w:rFonts w:ascii="仿宋" w:hAnsi="仿宋" w:eastAsia="仿宋"/>
                <w:color w:val="auto"/>
                <w:sz w:val="24"/>
              </w:rPr>
            </w:pPr>
          </w:p>
        </w:tc>
        <w:tc>
          <w:tcPr>
            <w:tcW w:w="1071" w:type="pct"/>
            <w:tcBorders>
              <w:top w:val="single" w:color="auto" w:sz="4" w:space="0"/>
              <w:left w:val="single" w:color="auto" w:sz="4" w:space="0"/>
              <w:bottom w:val="single" w:color="auto" w:sz="4" w:space="0"/>
              <w:right w:val="single" w:color="auto" w:sz="4" w:space="0"/>
            </w:tcBorders>
            <w:vAlign w:val="center"/>
          </w:tcPr>
          <w:p w14:paraId="327B4698">
            <w:pPr>
              <w:snapToGrid w:val="0"/>
              <w:spacing w:before="50" w:after="50"/>
              <w:jc w:val="center"/>
              <w:rPr>
                <w:rFonts w:ascii="仿宋" w:hAnsi="仿宋" w:eastAsia="仿宋"/>
                <w:color w:val="auto"/>
                <w:sz w:val="24"/>
              </w:rPr>
            </w:pPr>
          </w:p>
        </w:tc>
      </w:tr>
    </w:tbl>
    <w:p w14:paraId="1FD6DB4F">
      <w:pPr>
        <w:spacing w:line="360" w:lineRule="auto"/>
        <w:contextualSpacing/>
        <w:rPr>
          <w:rFonts w:ascii="仿宋" w:hAnsi="仿宋" w:eastAsia="仿宋"/>
          <w:color w:val="auto"/>
          <w:sz w:val="24"/>
        </w:rPr>
      </w:pPr>
    </w:p>
    <w:p w14:paraId="622B5B21">
      <w:pPr>
        <w:spacing w:line="360" w:lineRule="auto"/>
        <w:contextualSpacing/>
        <w:rPr>
          <w:rFonts w:ascii="仿宋" w:hAnsi="仿宋" w:eastAsia="仿宋"/>
          <w:color w:val="auto"/>
          <w:sz w:val="24"/>
        </w:rPr>
      </w:pPr>
    </w:p>
    <w:p w14:paraId="6BB0CFA8">
      <w:pPr>
        <w:spacing w:line="360" w:lineRule="auto"/>
        <w:contextualSpacing/>
        <w:rPr>
          <w:rFonts w:ascii="仿宋" w:hAnsi="仿宋" w:eastAsia="仿宋"/>
          <w:color w:val="auto"/>
          <w:sz w:val="24"/>
        </w:rPr>
      </w:pPr>
      <w:r>
        <w:rPr>
          <w:rFonts w:hint="eastAsia" w:ascii="仿宋" w:hAnsi="仿宋" w:eastAsia="仿宋"/>
          <w:color w:val="auto"/>
          <w:sz w:val="24"/>
        </w:rPr>
        <w:t>备注：</w:t>
      </w:r>
    </w:p>
    <w:p w14:paraId="659BB0E8">
      <w:pPr>
        <w:spacing w:line="360" w:lineRule="auto"/>
        <w:ind w:firstLine="480" w:firstLineChars="200"/>
        <w:contextualSpacing/>
        <w:rPr>
          <w:rFonts w:ascii="仿宋" w:hAnsi="仿宋" w:eastAsia="仿宋"/>
          <w:b/>
          <w:color w:val="auto"/>
          <w:sz w:val="24"/>
        </w:rPr>
      </w:pPr>
      <w:r>
        <w:rPr>
          <w:rFonts w:hint="eastAsia" w:ascii="仿宋" w:hAnsi="仿宋" w:eastAsia="仿宋"/>
          <w:color w:val="auto"/>
          <w:sz w:val="24"/>
        </w:rPr>
        <w:t>以上设备性能配置清单中“货物名称、数量及单位、品牌、规格型号、制造商、原产地、参数性能、指标及配置”必须如实填写完整品牌、规格型号，没有则填无，填写有缺漏</w:t>
      </w:r>
      <w:r>
        <w:rPr>
          <w:rFonts w:hint="eastAsia" w:ascii="仿宋" w:hAnsi="仿宋" w:eastAsia="仿宋"/>
          <w:bCs/>
          <w:color w:val="auto"/>
          <w:sz w:val="24"/>
        </w:rPr>
        <w:t>的，</w:t>
      </w:r>
      <w:r>
        <w:rPr>
          <w:rFonts w:hint="eastAsia" w:ascii="仿宋" w:hAnsi="仿宋" w:eastAsia="仿宋"/>
          <w:b/>
          <w:color w:val="auto"/>
          <w:sz w:val="24"/>
        </w:rPr>
        <w:t>作无效投标处理。</w:t>
      </w:r>
      <w:r>
        <w:rPr>
          <w:rFonts w:hint="eastAsia" w:ascii="仿宋" w:hAnsi="仿宋" w:eastAsia="仿宋"/>
          <w:color w:val="auto"/>
          <w:sz w:val="24"/>
        </w:rPr>
        <w:t>货物名称、数量及单位、品牌必须与“开标一览表”一致，</w:t>
      </w:r>
      <w:r>
        <w:rPr>
          <w:rFonts w:hint="eastAsia" w:ascii="仿宋" w:hAnsi="仿宋" w:eastAsia="仿宋"/>
          <w:b/>
          <w:color w:val="auto"/>
          <w:sz w:val="24"/>
        </w:rPr>
        <w:t>否则按无效投标处理。</w:t>
      </w:r>
    </w:p>
    <w:p w14:paraId="6B3FB77C">
      <w:pPr>
        <w:spacing w:line="360" w:lineRule="auto"/>
        <w:ind w:firstLine="480" w:firstLineChars="200"/>
        <w:contextualSpacing/>
        <w:rPr>
          <w:rFonts w:ascii="仿宋" w:hAnsi="仿宋" w:eastAsia="仿宋"/>
          <w:color w:val="auto"/>
          <w:sz w:val="24"/>
        </w:rPr>
      </w:pPr>
    </w:p>
    <w:p w14:paraId="0EEC1D46">
      <w:pPr>
        <w:spacing w:line="360" w:lineRule="auto"/>
        <w:contextualSpacing/>
        <w:rPr>
          <w:rFonts w:ascii="仿宋" w:hAnsi="仿宋" w:eastAsia="仿宋"/>
          <w:color w:val="auto"/>
          <w:spacing w:val="20"/>
          <w:sz w:val="24"/>
          <w:u w:val="single"/>
        </w:rPr>
      </w:pPr>
      <w:r>
        <w:rPr>
          <w:rFonts w:hint="eastAsia" w:ascii="仿宋" w:hAnsi="仿宋" w:eastAsia="仿宋"/>
          <w:color w:val="auto"/>
          <w:sz w:val="24"/>
        </w:rPr>
        <w:t>法定代表人或者委托代理人</w:t>
      </w:r>
      <w:r>
        <w:rPr>
          <w:rFonts w:hint="eastAsia" w:ascii="仿宋" w:hAnsi="仿宋" w:eastAsia="仿宋"/>
          <w:color w:val="auto"/>
          <w:spacing w:val="20"/>
          <w:sz w:val="24"/>
        </w:rPr>
        <w:t>（签字）：</w:t>
      </w:r>
    </w:p>
    <w:p w14:paraId="1B1BCF31">
      <w:pPr>
        <w:spacing w:line="360" w:lineRule="auto"/>
        <w:contextualSpacing/>
        <w:rPr>
          <w:rFonts w:ascii="仿宋" w:hAnsi="仿宋" w:eastAsia="仿宋"/>
          <w:color w:val="auto"/>
          <w:spacing w:val="20"/>
          <w:sz w:val="24"/>
        </w:rPr>
      </w:pPr>
      <w:r>
        <w:rPr>
          <w:rFonts w:hint="eastAsia" w:ascii="仿宋" w:hAnsi="仿宋" w:eastAsia="仿宋"/>
          <w:color w:val="auto"/>
          <w:spacing w:val="20"/>
          <w:sz w:val="24"/>
        </w:rPr>
        <w:t>投标人名称（电子签章）：</w:t>
      </w:r>
    </w:p>
    <w:p w14:paraId="2774ECBD">
      <w:pPr>
        <w:spacing w:line="360" w:lineRule="auto"/>
        <w:contextualSpacing/>
        <w:rPr>
          <w:rFonts w:ascii="仿宋" w:hAnsi="仿宋" w:eastAsia="仿宋"/>
          <w:color w:val="auto"/>
          <w:sz w:val="24"/>
          <w:szCs w:val="20"/>
        </w:rPr>
      </w:pPr>
      <w:r>
        <w:rPr>
          <w:rFonts w:hint="eastAsia" w:ascii="仿宋" w:hAnsi="仿宋" w:eastAsia="仿宋"/>
          <w:color w:val="auto"/>
          <w:spacing w:val="20"/>
          <w:sz w:val="24"/>
        </w:rPr>
        <w:t>日  期：</w:t>
      </w:r>
    </w:p>
    <w:p w14:paraId="011CDD94">
      <w:pPr>
        <w:snapToGrid w:val="0"/>
        <w:spacing w:before="50" w:afterLines="50"/>
        <w:jc w:val="left"/>
        <w:rPr>
          <w:rFonts w:ascii="仿宋" w:hAnsi="仿宋" w:eastAsia="仿宋"/>
          <w:color w:val="auto"/>
          <w:sz w:val="24"/>
          <w:szCs w:val="20"/>
        </w:rPr>
      </w:pPr>
    </w:p>
    <w:p w14:paraId="2266E38F">
      <w:pPr>
        <w:snapToGrid w:val="0"/>
        <w:spacing w:before="50" w:afterLines="50"/>
        <w:jc w:val="left"/>
        <w:rPr>
          <w:rFonts w:ascii="仿宋" w:hAnsi="仿宋" w:eastAsia="仿宋"/>
          <w:color w:val="auto"/>
          <w:sz w:val="24"/>
          <w:szCs w:val="20"/>
        </w:rPr>
      </w:pPr>
    </w:p>
    <w:p w14:paraId="270B758D">
      <w:pPr>
        <w:snapToGrid w:val="0"/>
        <w:spacing w:beforeLines="50" w:after="50"/>
        <w:ind w:left="142"/>
        <w:jc w:val="left"/>
        <w:rPr>
          <w:rFonts w:ascii="仿宋" w:hAnsi="仿宋" w:eastAsia="仿宋"/>
          <w:b/>
          <w:color w:val="auto"/>
          <w:sz w:val="24"/>
        </w:rPr>
      </w:pPr>
      <w:r>
        <w:rPr>
          <w:rFonts w:ascii="仿宋" w:hAnsi="仿宋" w:eastAsia="仿宋"/>
          <w:b/>
          <w:color w:val="auto"/>
          <w:sz w:val="24"/>
        </w:rPr>
        <w:br w:type="page"/>
      </w:r>
      <w:r>
        <w:rPr>
          <w:rFonts w:hint="eastAsia" w:ascii="仿宋" w:hAnsi="仿宋" w:eastAsia="仿宋"/>
          <w:b/>
          <w:color w:val="auto"/>
          <w:sz w:val="24"/>
          <w:lang w:val="en-US" w:eastAsia="zh-CN"/>
        </w:rPr>
        <w:t>10</w:t>
      </w:r>
      <w:r>
        <w:rPr>
          <w:rFonts w:hint="eastAsia" w:ascii="仿宋" w:hAnsi="仿宋" w:eastAsia="仿宋"/>
          <w:b/>
          <w:color w:val="auto"/>
          <w:sz w:val="24"/>
        </w:rPr>
        <w:t>. 技术要求偏离表格式</w:t>
      </w:r>
    </w:p>
    <w:p w14:paraId="147754D5">
      <w:pPr>
        <w:snapToGrid w:val="0"/>
        <w:spacing w:beforeLines="50" w:after="50"/>
        <w:ind w:left="142"/>
        <w:jc w:val="left"/>
        <w:rPr>
          <w:rFonts w:ascii="仿宋" w:hAnsi="仿宋" w:eastAsia="仿宋"/>
          <w:b/>
          <w:color w:val="auto"/>
          <w:sz w:val="24"/>
        </w:rPr>
      </w:pPr>
    </w:p>
    <w:p w14:paraId="2DF245F7">
      <w:pPr>
        <w:snapToGrid w:val="0"/>
        <w:spacing w:beforeLines="50" w:after="50"/>
        <w:ind w:left="142"/>
        <w:jc w:val="center"/>
        <w:rPr>
          <w:rFonts w:ascii="仿宋" w:hAnsi="仿宋" w:eastAsia="仿宋"/>
          <w:b/>
          <w:color w:val="auto"/>
          <w:sz w:val="32"/>
          <w:szCs w:val="32"/>
        </w:rPr>
      </w:pPr>
      <w:r>
        <w:rPr>
          <w:rFonts w:hint="eastAsia" w:ascii="仿宋" w:hAnsi="仿宋" w:eastAsia="仿宋"/>
          <w:b/>
          <w:color w:val="auto"/>
          <w:sz w:val="32"/>
          <w:szCs w:val="32"/>
        </w:rPr>
        <w:t>技术要求偏离表</w:t>
      </w:r>
    </w:p>
    <w:p w14:paraId="11022827">
      <w:pPr>
        <w:pStyle w:val="26"/>
        <w:rPr>
          <w:rFonts w:ascii="仿宋" w:hAnsi="仿宋" w:eastAsia="仿宋"/>
          <w:color w:val="auto"/>
          <w:sz w:val="24"/>
          <w:szCs w:val="24"/>
        </w:rPr>
      </w:pPr>
      <w:r>
        <w:rPr>
          <w:rFonts w:hint="eastAsia" w:ascii="仿宋" w:hAnsi="仿宋" w:eastAsia="仿宋"/>
          <w:color w:val="auto"/>
          <w:sz w:val="24"/>
          <w:szCs w:val="24"/>
        </w:rPr>
        <w:t>所投分标：分标</w:t>
      </w:r>
    </w:p>
    <w:p w14:paraId="2DEE92E4">
      <w:pPr>
        <w:pStyle w:val="26"/>
        <w:rPr>
          <w:rFonts w:ascii="仿宋" w:hAnsi="仿宋" w:eastAsia="仿宋"/>
          <w:color w:val="auto"/>
          <w:sz w:val="24"/>
          <w:szCs w:val="24"/>
        </w:rPr>
      </w:pPr>
    </w:p>
    <w:tbl>
      <w:tblPr>
        <w:tblStyle w:val="47"/>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851"/>
        <w:gridCol w:w="708"/>
        <w:gridCol w:w="1843"/>
        <w:gridCol w:w="851"/>
        <w:gridCol w:w="708"/>
        <w:gridCol w:w="2268"/>
        <w:gridCol w:w="1225"/>
      </w:tblGrid>
      <w:tr w14:paraId="55046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426" w:type="dxa"/>
            <w:vMerge w:val="restart"/>
            <w:tcBorders>
              <w:top w:val="single" w:color="auto" w:sz="4" w:space="0"/>
              <w:left w:val="single" w:color="auto" w:sz="4" w:space="0"/>
              <w:bottom w:val="single" w:color="auto" w:sz="4" w:space="0"/>
              <w:right w:val="single" w:color="auto" w:sz="4" w:space="0"/>
            </w:tcBorders>
            <w:vAlign w:val="center"/>
          </w:tcPr>
          <w:p w14:paraId="4492D416">
            <w:pPr>
              <w:rPr>
                <w:rFonts w:ascii="仿宋_GB2312" w:hAnsi="宋体" w:eastAsia="仿宋_GB2312"/>
                <w:color w:val="auto"/>
                <w:szCs w:val="21"/>
              </w:rPr>
            </w:pPr>
            <w:r>
              <w:rPr>
                <w:rFonts w:hint="eastAsia" w:ascii="仿宋_GB2312" w:hAnsi="宋体" w:eastAsia="仿宋_GB2312"/>
                <w:color w:val="auto"/>
                <w:szCs w:val="21"/>
              </w:rPr>
              <w:t>项号</w:t>
            </w:r>
          </w:p>
        </w:tc>
        <w:tc>
          <w:tcPr>
            <w:tcW w:w="3402" w:type="dxa"/>
            <w:gridSpan w:val="3"/>
            <w:tcBorders>
              <w:top w:val="single" w:color="auto" w:sz="4" w:space="0"/>
              <w:left w:val="single" w:color="auto" w:sz="4" w:space="0"/>
              <w:bottom w:val="single" w:color="auto" w:sz="4" w:space="0"/>
              <w:right w:val="single" w:color="auto" w:sz="4" w:space="0"/>
            </w:tcBorders>
            <w:vAlign w:val="center"/>
          </w:tcPr>
          <w:p w14:paraId="01766B30">
            <w:pPr>
              <w:jc w:val="center"/>
              <w:rPr>
                <w:rFonts w:ascii="仿宋_GB2312" w:hAnsi="宋体" w:eastAsia="仿宋_GB2312"/>
                <w:color w:val="auto"/>
                <w:szCs w:val="21"/>
              </w:rPr>
            </w:pPr>
            <w:r>
              <w:rPr>
                <w:rFonts w:hint="eastAsia" w:ascii="仿宋_GB2312" w:hAnsi="宋体" w:eastAsia="仿宋_GB2312"/>
                <w:color w:val="auto"/>
                <w:szCs w:val="21"/>
              </w:rPr>
              <w:t>招标文件技术参数需求</w:t>
            </w:r>
          </w:p>
        </w:tc>
        <w:tc>
          <w:tcPr>
            <w:tcW w:w="3827" w:type="dxa"/>
            <w:gridSpan w:val="3"/>
            <w:tcBorders>
              <w:top w:val="single" w:color="auto" w:sz="4" w:space="0"/>
              <w:left w:val="single" w:color="auto" w:sz="4" w:space="0"/>
              <w:bottom w:val="single" w:color="auto" w:sz="4" w:space="0"/>
              <w:right w:val="single" w:color="auto" w:sz="4" w:space="0"/>
            </w:tcBorders>
            <w:vAlign w:val="center"/>
          </w:tcPr>
          <w:p w14:paraId="5C7B58EA">
            <w:pPr>
              <w:jc w:val="center"/>
              <w:rPr>
                <w:rFonts w:ascii="仿宋_GB2312" w:hAnsi="宋体" w:eastAsia="仿宋_GB2312"/>
                <w:color w:val="auto"/>
                <w:szCs w:val="21"/>
              </w:rPr>
            </w:pPr>
            <w:r>
              <w:rPr>
                <w:rFonts w:hint="eastAsia" w:ascii="仿宋_GB2312" w:hAnsi="宋体" w:eastAsia="仿宋_GB2312"/>
                <w:color w:val="auto"/>
                <w:szCs w:val="21"/>
              </w:rPr>
              <w:t>投标文件技术参数承诺</w:t>
            </w:r>
          </w:p>
        </w:tc>
        <w:tc>
          <w:tcPr>
            <w:tcW w:w="1225" w:type="dxa"/>
            <w:tcBorders>
              <w:top w:val="single" w:color="auto" w:sz="4" w:space="0"/>
              <w:left w:val="single" w:color="auto" w:sz="4" w:space="0"/>
              <w:bottom w:val="single" w:color="auto" w:sz="4" w:space="0"/>
              <w:right w:val="single" w:color="auto" w:sz="4" w:space="0"/>
            </w:tcBorders>
            <w:vAlign w:val="center"/>
          </w:tcPr>
          <w:p w14:paraId="0E7D3537">
            <w:pPr>
              <w:jc w:val="center"/>
              <w:rPr>
                <w:rFonts w:ascii="仿宋_GB2312" w:hAnsi="宋体" w:eastAsia="仿宋_GB2312"/>
                <w:color w:val="auto"/>
                <w:szCs w:val="21"/>
              </w:rPr>
            </w:pPr>
            <w:r>
              <w:rPr>
                <w:rFonts w:hint="eastAsia" w:ascii="仿宋_GB2312" w:hAnsi="宋体" w:eastAsia="仿宋_GB2312"/>
                <w:color w:val="auto"/>
                <w:szCs w:val="21"/>
              </w:rPr>
              <w:t>偏离说明</w:t>
            </w:r>
          </w:p>
        </w:tc>
      </w:tr>
      <w:tr w14:paraId="25A52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426" w:type="dxa"/>
            <w:vMerge w:val="continue"/>
            <w:tcBorders>
              <w:top w:val="single" w:color="auto" w:sz="4" w:space="0"/>
              <w:left w:val="single" w:color="auto" w:sz="4" w:space="0"/>
              <w:bottom w:val="single" w:color="auto" w:sz="4" w:space="0"/>
              <w:right w:val="single" w:color="auto" w:sz="4" w:space="0"/>
            </w:tcBorders>
            <w:vAlign w:val="center"/>
          </w:tcPr>
          <w:p w14:paraId="6E294167">
            <w:pPr>
              <w:widowControl/>
              <w:jc w:val="left"/>
              <w:rPr>
                <w:rFonts w:ascii="仿宋_GB2312" w:hAnsi="宋体" w:eastAsia="仿宋_GB2312"/>
                <w:color w:val="auto"/>
                <w:szCs w:val="21"/>
              </w:rPr>
            </w:pPr>
          </w:p>
        </w:tc>
        <w:tc>
          <w:tcPr>
            <w:tcW w:w="851" w:type="dxa"/>
            <w:tcBorders>
              <w:top w:val="single" w:color="auto" w:sz="4" w:space="0"/>
              <w:left w:val="single" w:color="auto" w:sz="4" w:space="0"/>
              <w:bottom w:val="single" w:color="auto" w:sz="4" w:space="0"/>
              <w:right w:val="single" w:color="auto" w:sz="4" w:space="0"/>
            </w:tcBorders>
            <w:vAlign w:val="center"/>
          </w:tcPr>
          <w:p w14:paraId="1B1DF574">
            <w:pPr>
              <w:rPr>
                <w:rFonts w:ascii="仿宋_GB2312" w:hAnsi="宋体" w:eastAsia="仿宋_GB2312"/>
                <w:color w:val="auto"/>
                <w:szCs w:val="21"/>
              </w:rPr>
            </w:pPr>
            <w:r>
              <w:rPr>
                <w:rFonts w:hint="eastAsia" w:ascii="仿宋_GB2312" w:hAnsi="宋体" w:eastAsia="仿宋_GB2312"/>
                <w:color w:val="auto"/>
                <w:szCs w:val="21"/>
              </w:rPr>
              <w:t>货物</w:t>
            </w:r>
          </w:p>
          <w:p w14:paraId="76243B58">
            <w:pPr>
              <w:rPr>
                <w:rFonts w:ascii="仿宋_GB2312" w:hAnsi="宋体" w:eastAsia="仿宋_GB2312"/>
                <w:color w:val="auto"/>
                <w:szCs w:val="21"/>
              </w:rPr>
            </w:pPr>
            <w:r>
              <w:rPr>
                <w:rFonts w:hint="eastAsia" w:ascii="仿宋_GB2312" w:hAnsi="宋体" w:eastAsia="仿宋_GB2312"/>
                <w:color w:val="auto"/>
                <w:szCs w:val="21"/>
              </w:rPr>
              <w:t>名称</w:t>
            </w:r>
          </w:p>
        </w:tc>
        <w:tc>
          <w:tcPr>
            <w:tcW w:w="708" w:type="dxa"/>
            <w:tcBorders>
              <w:top w:val="single" w:color="auto" w:sz="4" w:space="0"/>
              <w:left w:val="single" w:color="auto" w:sz="4" w:space="0"/>
              <w:bottom w:val="single" w:color="auto" w:sz="4" w:space="0"/>
              <w:right w:val="single" w:color="auto" w:sz="4" w:space="0"/>
            </w:tcBorders>
            <w:vAlign w:val="center"/>
          </w:tcPr>
          <w:p w14:paraId="26E66606">
            <w:pPr>
              <w:rPr>
                <w:rFonts w:ascii="仿宋_GB2312" w:hAnsi="宋体" w:eastAsia="仿宋_GB2312"/>
                <w:color w:val="auto"/>
                <w:szCs w:val="21"/>
              </w:rPr>
            </w:pPr>
            <w:r>
              <w:rPr>
                <w:rFonts w:hint="eastAsia" w:ascii="仿宋_GB2312" w:hAnsi="宋体" w:eastAsia="仿宋_GB2312"/>
                <w:color w:val="auto"/>
                <w:szCs w:val="21"/>
              </w:rPr>
              <w:t>数量</w:t>
            </w:r>
          </w:p>
        </w:tc>
        <w:tc>
          <w:tcPr>
            <w:tcW w:w="1843" w:type="dxa"/>
            <w:tcBorders>
              <w:top w:val="single" w:color="auto" w:sz="4" w:space="0"/>
              <w:left w:val="single" w:color="auto" w:sz="4" w:space="0"/>
              <w:bottom w:val="single" w:color="auto" w:sz="4" w:space="0"/>
              <w:right w:val="single" w:color="auto" w:sz="4" w:space="0"/>
            </w:tcBorders>
            <w:vAlign w:val="center"/>
          </w:tcPr>
          <w:p w14:paraId="2C794A77">
            <w:pPr>
              <w:rPr>
                <w:rFonts w:ascii="仿宋_GB2312" w:hAnsi="宋体" w:eastAsia="仿宋_GB2312"/>
                <w:color w:val="auto"/>
                <w:szCs w:val="21"/>
              </w:rPr>
            </w:pPr>
            <w:r>
              <w:rPr>
                <w:rFonts w:hint="eastAsia" w:ascii="仿宋_GB2312" w:hAnsi="宋体" w:eastAsia="仿宋_GB2312"/>
                <w:color w:val="auto"/>
                <w:szCs w:val="21"/>
              </w:rPr>
              <w:t>货物参数要求</w:t>
            </w:r>
          </w:p>
        </w:tc>
        <w:tc>
          <w:tcPr>
            <w:tcW w:w="851" w:type="dxa"/>
            <w:tcBorders>
              <w:top w:val="single" w:color="auto" w:sz="4" w:space="0"/>
              <w:left w:val="single" w:color="auto" w:sz="4" w:space="0"/>
              <w:bottom w:val="single" w:color="auto" w:sz="4" w:space="0"/>
              <w:right w:val="single" w:color="auto" w:sz="4" w:space="0"/>
            </w:tcBorders>
            <w:vAlign w:val="center"/>
          </w:tcPr>
          <w:p w14:paraId="182866CA">
            <w:pPr>
              <w:jc w:val="center"/>
              <w:rPr>
                <w:rFonts w:ascii="仿宋_GB2312" w:hAnsi="宋体" w:eastAsia="仿宋_GB2312"/>
                <w:color w:val="auto"/>
                <w:szCs w:val="21"/>
              </w:rPr>
            </w:pPr>
            <w:r>
              <w:rPr>
                <w:rFonts w:hint="eastAsia" w:ascii="仿宋_GB2312" w:hAnsi="宋体" w:eastAsia="仿宋_GB2312"/>
                <w:color w:val="auto"/>
                <w:szCs w:val="21"/>
              </w:rPr>
              <w:t>货物</w:t>
            </w:r>
          </w:p>
          <w:p w14:paraId="399F75C1">
            <w:pPr>
              <w:jc w:val="center"/>
              <w:rPr>
                <w:rFonts w:ascii="仿宋_GB2312" w:hAnsi="宋体" w:eastAsia="仿宋_GB2312"/>
                <w:color w:val="auto"/>
                <w:szCs w:val="21"/>
              </w:rPr>
            </w:pPr>
            <w:r>
              <w:rPr>
                <w:rFonts w:hint="eastAsia" w:ascii="仿宋_GB2312" w:hAnsi="宋体" w:eastAsia="仿宋_GB2312"/>
                <w:color w:val="auto"/>
                <w:szCs w:val="21"/>
              </w:rPr>
              <w:t>名称</w:t>
            </w:r>
          </w:p>
        </w:tc>
        <w:tc>
          <w:tcPr>
            <w:tcW w:w="708" w:type="dxa"/>
            <w:tcBorders>
              <w:top w:val="single" w:color="auto" w:sz="4" w:space="0"/>
              <w:left w:val="single" w:color="auto" w:sz="4" w:space="0"/>
              <w:bottom w:val="single" w:color="auto" w:sz="4" w:space="0"/>
              <w:right w:val="single" w:color="auto" w:sz="4" w:space="0"/>
            </w:tcBorders>
            <w:vAlign w:val="center"/>
          </w:tcPr>
          <w:p w14:paraId="45B69C42">
            <w:pPr>
              <w:jc w:val="center"/>
              <w:rPr>
                <w:rFonts w:ascii="仿宋_GB2312" w:hAnsi="宋体" w:eastAsia="仿宋_GB2312"/>
                <w:color w:val="auto"/>
                <w:szCs w:val="21"/>
              </w:rPr>
            </w:pPr>
            <w:r>
              <w:rPr>
                <w:rFonts w:hint="eastAsia" w:ascii="仿宋_GB2312" w:hAnsi="宋体" w:eastAsia="仿宋_GB2312"/>
                <w:color w:val="auto"/>
                <w:szCs w:val="21"/>
              </w:rPr>
              <w:t>数量</w:t>
            </w:r>
          </w:p>
        </w:tc>
        <w:tc>
          <w:tcPr>
            <w:tcW w:w="2268" w:type="dxa"/>
            <w:tcBorders>
              <w:top w:val="single" w:color="auto" w:sz="4" w:space="0"/>
              <w:left w:val="single" w:color="auto" w:sz="4" w:space="0"/>
              <w:bottom w:val="single" w:color="auto" w:sz="4" w:space="0"/>
              <w:right w:val="single" w:color="auto" w:sz="4" w:space="0"/>
            </w:tcBorders>
            <w:vAlign w:val="center"/>
          </w:tcPr>
          <w:p w14:paraId="466FE31A">
            <w:pPr>
              <w:rPr>
                <w:rFonts w:ascii="仿宋_GB2312" w:hAnsi="宋体" w:eastAsia="仿宋_GB2312"/>
                <w:color w:val="auto"/>
                <w:szCs w:val="21"/>
              </w:rPr>
            </w:pPr>
            <w:r>
              <w:rPr>
                <w:rFonts w:hint="eastAsia" w:ascii="仿宋_GB2312" w:hAnsi="宋体" w:eastAsia="仿宋_GB2312"/>
                <w:color w:val="auto"/>
                <w:szCs w:val="21"/>
              </w:rPr>
              <w:t>货物参数</w:t>
            </w:r>
          </w:p>
        </w:tc>
        <w:tc>
          <w:tcPr>
            <w:tcW w:w="1225" w:type="dxa"/>
            <w:tcBorders>
              <w:top w:val="single" w:color="auto" w:sz="4" w:space="0"/>
              <w:left w:val="single" w:color="auto" w:sz="4" w:space="0"/>
              <w:bottom w:val="single" w:color="auto" w:sz="4" w:space="0"/>
              <w:right w:val="single" w:color="auto" w:sz="4" w:space="0"/>
            </w:tcBorders>
            <w:vAlign w:val="center"/>
          </w:tcPr>
          <w:p w14:paraId="68F13CE9">
            <w:pPr>
              <w:widowControl/>
              <w:jc w:val="left"/>
              <w:rPr>
                <w:rFonts w:ascii="仿宋_GB2312" w:hAnsi="宋体" w:eastAsia="仿宋_GB2312"/>
                <w:color w:val="auto"/>
                <w:szCs w:val="21"/>
              </w:rPr>
            </w:pPr>
          </w:p>
        </w:tc>
      </w:tr>
      <w:tr w14:paraId="50370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22676E7A">
            <w:pPr>
              <w:rPr>
                <w:rFonts w:ascii="仿宋_GB2312" w:hAnsi="宋体" w:eastAsia="仿宋_GB2312"/>
                <w:color w:val="auto"/>
                <w:szCs w:val="21"/>
              </w:rPr>
            </w:pPr>
            <w:r>
              <w:rPr>
                <w:rFonts w:hint="eastAsia" w:ascii="仿宋_GB2312" w:hAnsi="宋体" w:eastAsia="仿宋_GB2312"/>
                <w:color w:val="auto"/>
                <w:szCs w:val="21"/>
              </w:rPr>
              <w:t>1</w:t>
            </w:r>
          </w:p>
        </w:tc>
        <w:tc>
          <w:tcPr>
            <w:tcW w:w="851" w:type="dxa"/>
            <w:tcBorders>
              <w:top w:val="single" w:color="auto" w:sz="4" w:space="0"/>
              <w:left w:val="single" w:color="auto" w:sz="4" w:space="0"/>
              <w:bottom w:val="single" w:color="auto" w:sz="4" w:space="0"/>
              <w:right w:val="single" w:color="auto" w:sz="4" w:space="0"/>
            </w:tcBorders>
            <w:vAlign w:val="center"/>
          </w:tcPr>
          <w:p w14:paraId="5D214690">
            <w:pPr>
              <w:rPr>
                <w:rFonts w:ascii="仿宋_GB2312" w:hAnsi="宋体" w:eastAsia="仿宋_GB2312"/>
                <w:color w:val="auto"/>
                <w:szCs w:val="21"/>
              </w:rPr>
            </w:pPr>
            <w:r>
              <w:rPr>
                <w:rFonts w:hint="eastAsia" w:ascii="仿宋_GB2312" w:hAnsi="宋体" w:eastAsia="仿宋_GB2312"/>
                <w:color w:val="auto"/>
                <w:szCs w:val="21"/>
              </w:rPr>
              <w:t>……</w:t>
            </w:r>
          </w:p>
        </w:tc>
        <w:tc>
          <w:tcPr>
            <w:tcW w:w="708" w:type="dxa"/>
            <w:tcBorders>
              <w:top w:val="single" w:color="auto" w:sz="4" w:space="0"/>
              <w:left w:val="single" w:color="auto" w:sz="4" w:space="0"/>
              <w:bottom w:val="single" w:color="auto" w:sz="4" w:space="0"/>
              <w:right w:val="single" w:color="auto" w:sz="4" w:space="0"/>
            </w:tcBorders>
            <w:vAlign w:val="center"/>
          </w:tcPr>
          <w:p w14:paraId="436C44A2">
            <w:pPr>
              <w:rPr>
                <w:rFonts w:ascii="仿宋_GB2312" w:hAnsi="宋体" w:eastAsia="仿宋_GB2312"/>
                <w:color w:val="auto"/>
                <w:szCs w:val="21"/>
              </w:rPr>
            </w:pPr>
            <w:r>
              <w:rPr>
                <w:rFonts w:hint="eastAsia" w:ascii="仿宋_GB2312" w:hAnsi="宋体" w:eastAsia="仿宋_GB2312"/>
                <w:color w:val="auto"/>
                <w:szCs w:val="21"/>
              </w:rPr>
              <w:t>…</w:t>
            </w:r>
          </w:p>
        </w:tc>
        <w:tc>
          <w:tcPr>
            <w:tcW w:w="1843" w:type="dxa"/>
            <w:tcBorders>
              <w:top w:val="single" w:color="auto" w:sz="4" w:space="0"/>
              <w:left w:val="single" w:color="auto" w:sz="4" w:space="0"/>
              <w:bottom w:val="single" w:color="auto" w:sz="4" w:space="0"/>
              <w:right w:val="single" w:color="auto" w:sz="4" w:space="0"/>
            </w:tcBorders>
            <w:vAlign w:val="center"/>
          </w:tcPr>
          <w:p w14:paraId="38D7FB1A">
            <w:pPr>
              <w:rPr>
                <w:rFonts w:ascii="仿宋_GB2312" w:hAnsi="宋体" w:eastAsia="仿宋_GB2312"/>
                <w:color w:val="auto"/>
                <w:szCs w:val="21"/>
              </w:rPr>
            </w:pPr>
            <w:r>
              <w:rPr>
                <w:rFonts w:hint="eastAsia" w:ascii="仿宋_GB2312" w:hAnsi="宋体" w:eastAsia="仿宋_GB2312"/>
                <w:color w:val="auto"/>
                <w:szCs w:val="21"/>
              </w:rPr>
              <w:t>1  ……</w:t>
            </w:r>
          </w:p>
          <w:p w14:paraId="59A68B2A">
            <w:pPr>
              <w:rPr>
                <w:rFonts w:ascii="仿宋_GB2312" w:hAnsi="宋体" w:eastAsia="仿宋_GB2312"/>
                <w:color w:val="auto"/>
                <w:szCs w:val="21"/>
              </w:rPr>
            </w:pPr>
            <w:r>
              <w:rPr>
                <w:rFonts w:hint="eastAsia" w:ascii="仿宋_GB2312" w:hAnsi="宋体" w:eastAsia="仿宋_GB2312"/>
                <w:color w:val="auto"/>
                <w:szCs w:val="21"/>
              </w:rPr>
              <w:t>2  ……</w:t>
            </w:r>
          </w:p>
          <w:p w14:paraId="7FFFD21D">
            <w:pPr>
              <w:rPr>
                <w:rFonts w:ascii="仿宋_GB2312" w:hAnsi="宋体" w:eastAsia="仿宋_GB2312"/>
                <w:color w:val="auto"/>
                <w:szCs w:val="21"/>
              </w:rPr>
            </w:pPr>
            <w:r>
              <w:rPr>
                <w:rFonts w:hint="eastAsia" w:ascii="仿宋_GB2312" w:hAnsi="宋体" w:eastAsia="仿宋_GB2312"/>
                <w:color w:val="auto"/>
                <w:szCs w:val="21"/>
              </w:rPr>
              <w:t>3  ……</w:t>
            </w:r>
          </w:p>
          <w:p w14:paraId="785EBC6A">
            <w:pPr>
              <w:rPr>
                <w:rFonts w:ascii="仿宋_GB2312" w:hAnsi="宋体" w:eastAsia="仿宋_GB2312"/>
                <w:color w:val="auto"/>
                <w:szCs w:val="21"/>
              </w:rPr>
            </w:pPr>
            <w:r>
              <w:rPr>
                <w:rFonts w:hint="eastAsia" w:ascii="仿宋_GB2312" w:hAnsi="宋体" w:eastAsia="仿宋_GB2312"/>
                <w:color w:val="auto"/>
                <w:szCs w:val="21"/>
              </w:rPr>
              <w:t>……</w:t>
            </w:r>
          </w:p>
        </w:tc>
        <w:tc>
          <w:tcPr>
            <w:tcW w:w="851" w:type="dxa"/>
            <w:tcBorders>
              <w:top w:val="single" w:color="auto" w:sz="4" w:space="0"/>
              <w:left w:val="single" w:color="auto" w:sz="4" w:space="0"/>
              <w:bottom w:val="single" w:color="auto" w:sz="4" w:space="0"/>
              <w:right w:val="single" w:color="auto" w:sz="4" w:space="0"/>
            </w:tcBorders>
            <w:vAlign w:val="center"/>
          </w:tcPr>
          <w:p w14:paraId="28DF6224">
            <w:pPr>
              <w:rPr>
                <w:rFonts w:ascii="仿宋_GB2312" w:hAnsi="宋体" w:eastAsia="仿宋_GB2312"/>
                <w:color w:val="auto"/>
                <w:szCs w:val="21"/>
              </w:rPr>
            </w:pPr>
            <w:r>
              <w:rPr>
                <w:rFonts w:hint="eastAsia" w:ascii="仿宋_GB2312" w:hAnsi="宋体" w:eastAsia="仿宋_GB2312"/>
                <w:color w:val="auto"/>
                <w:szCs w:val="21"/>
              </w:rPr>
              <w:t>……</w:t>
            </w:r>
          </w:p>
        </w:tc>
        <w:tc>
          <w:tcPr>
            <w:tcW w:w="708" w:type="dxa"/>
            <w:tcBorders>
              <w:top w:val="single" w:color="auto" w:sz="4" w:space="0"/>
              <w:left w:val="single" w:color="auto" w:sz="4" w:space="0"/>
              <w:bottom w:val="single" w:color="auto" w:sz="4" w:space="0"/>
              <w:right w:val="single" w:color="auto" w:sz="4" w:space="0"/>
            </w:tcBorders>
            <w:vAlign w:val="center"/>
          </w:tcPr>
          <w:p w14:paraId="5F445AE7">
            <w:pPr>
              <w:rPr>
                <w:rFonts w:ascii="仿宋_GB2312" w:hAnsi="宋体" w:eastAsia="仿宋_GB2312"/>
                <w:color w:val="auto"/>
                <w:szCs w:val="21"/>
              </w:rPr>
            </w:pPr>
            <w:r>
              <w:rPr>
                <w:rFonts w:hint="eastAsia" w:ascii="仿宋_GB2312" w:hAnsi="宋体" w:eastAsia="仿宋_GB2312"/>
                <w:color w:val="auto"/>
                <w:szCs w:val="21"/>
              </w:rPr>
              <w:t>…</w:t>
            </w:r>
          </w:p>
        </w:tc>
        <w:tc>
          <w:tcPr>
            <w:tcW w:w="2268" w:type="dxa"/>
            <w:tcBorders>
              <w:top w:val="single" w:color="auto" w:sz="4" w:space="0"/>
              <w:left w:val="single" w:color="auto" w:sz="4" w:space="0"/>
              <w:bottom w:val="single" w:color="auto" w:sz="4" w:space="0"/>
              <w:right w:val="single" w:color="auto" w:sz="4" w:space="0"/>
            </w:tcBorders>
            <w:vAlign w:val="center"/>
          </w:tcPr>
          <w:p w14:paraId="135037EC">
            <w:pPr>
              <w:rPr>
                <w:rFonts w:ascii="仿宋_GB2312" w:hAnsi="宋体" w:eastAsia="仿宋_GB2312"/>
                <w:color w:val="auto"/>
                <w:szCs w:val="21"/>
              </w:rPr>
            </w:pPr>
            <w:r>
              <w:rPr>
                <w:rFonts w:hint="eastAsia" w:ascii="仿宋_GB2312" w:hAnsi="宋体" w:eastAsia="仿宋_GB2312"/>
                <w:color w:val="auto"/>
                <w:szCs w:val="21"/>
              </w:rPr>
              <w:t>1  ……</w:t>
            </w:r>
          </w:p>
          <w:p w14:paraId="6BF6AE40">
            <w:pPr>
              <w:rPr>
                <w:rFonts w:ascii="仿宋_GB2312" w:hAnsi="宋体" w:eastAsia="仿宋_GB2312"/>
                <w:color w:val="auto"/>
                <w:szCs w:val="21"/>
              </w:rPr>
            </w:pPr>
            <w:r>
              <w:rPr>
                <w:rFonts w:hint="eastAsia" w:ascii="仿宋_GB2312" w:hAnsi="宋体" w:eastAsia="仿宋_GB2312"/>
                <w:color w:val="auto"/>
                <w:szCs w:val="21"/>
              </w:rPr>
              <w:t>2  ……</w:t>
            </w:r>
          </w:p>
          <w:p w14:paraId="58F6F086">
            <w:pPr>
              <w:rPr>
                <w:rFonts w:ascii="仿宋_GB2312" w:hAnsi="宋体" w:eastAsia="仿宋_GB2312"/>
                <w:color w:val="auto"/>
                <w:szCs w:val="21"/>
              </w:rPr>
            </w:pPr>
            <w:r>
              <w:rPr>
                <w:rFonts w:hint="eastAsia" w:ascii="仿宋_GB2312" w:hAnsi="宋体" w:eastAsia="仿宋_GB2312"/>
                <w:color w:val="auto"/>
                <w:szCs w:val="21"/>
              </w:rPr>
              <w:t>3  ……</w:t>
            </w:r>
          </w:p>
          <w:p w14:paraId="7E3AA450">
            <w:pPr>
              <w:rPr>
                <w:rFonts w:ascii="仿宋_GB2312" w:hAnsi="宋体" w:eastAsia="仿宋_GB2312"/>
                <w:color w:val="auto"/>
                <w:szCs w:val="21"/>
              </w:rPr>
            </w:pPr>
            <w:r>
              <w:rPr>
                <w:rFonts w:hint="eastAsia" w:ascii="仿宋_GB2312" w:hAnsi="宋体" w:eastAsia="仿宋_GB2312"/>
                <w:color w:val="auto"/>
                <w:szCs w:val="21"/>
              </w:rPr>
              <w:t>……</w:t>
            </w:r>
          </w:p>
        </w:tc>
        <w:tc>
          <w:tcPr>
            <w:tcW w:w="1225" w:type="dxa"/>
            <w:tcBorders>
              <w:top w:val="single" w:color="auto" w:sz="4" w:space="0"/>
              <w:left w:val="single" w:color="auto" w:sz="4" w:space="0"/>
              <w:bottom w:val="single" w:color="auto" w:sz="4" w:space="0"/>
              <w:right w:val="single" w:color="auto" w:sz="4" w:space="0"/>
            </w:tcBorders>
            <w:vAlign w:val="center"/>
          </w:tcPr>
          <w:p w14:paraId="5ED5451D">
            <w:pPr>
              <w:rPr>
                <w:rFonts w:ascii="仿宋_GB2312" w:hAnsi="宋体" w:eastAsia="仿宋_GB2312"/>
                <w:color w:val="auto"/>
                <w:szCs w:val="21"/>
              </w:rPr>
            </w:pPr>
          </w:p>
        </w:tc>
      </w:tr>
      <w:tr w14:paraId="14CCF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017235B6">
            <w:pPr>
              <w:rPr>
                <w:rFonts w:ascii="仿宋_GB2312" w:hAnsi="宋体" w:eastAsia="仿宋_GB2312"/>
                <w:color w:val="auto"/>
                <w:szCs w:val="21"/>
              </w:rPr>
            </w:pPr>
            <w:r>
              <w:rPr>
                <w:rFonts w:hint="eastAsia" w:ascii="仿宋_GB2312" w:hAnsi="宋体" w:eastAsia="仿宋_GB2312"/>
                <w:color w:val="auto"/>
                <w:szCs w:val="21"/>
              </w:rPr>
              <w:t>2</w:t>
            </w:r>
          </w:p>
        </w:tc>
        <w:tc>
          <w:tcPr>
            <w:tcW w:w="851" w:type="dxa"/>
            <w:tcBorders>
              <w:top w:val="single" w:color="auto" w:sz="4" w:space="0"/>
              <w:left w:val="single" w:color="auto" w:sz="4" w:space="0"/>
              <w:bottom w:val="single" w:color="auto" w:sz="4" w:space="0"/>
              <w:right w:val="single" w:color="auto" w:sz="4" w:space="0"/>
            </w:tcBorders>
            <w:vAlign w:val="center"/>
          </w:tcPr>
          <w:p w14:paraId="69AC93B0">
            <w:pPr>
              <w:rPr>
                <w:rFonts w:ascii="仿宋_GB2312" w:hAnsi="宋体" w:eastAsia="仿宋_GB2312"/>
                <w:color w:val="auto"/>
                <w:szCs w:val="21"/>
              </w:rPr>
            </w:pPr>
            <w:r>
              <w:rPr>
                <w:rFonts w:hint="eastAsia" w:ascii="仿宋_GB2312" w:hAnsi="宋体" w:eastAsia="仿宋_GB2312"/>
                <w:color w:val="auto"/>
                <w:szCs w:val="21"/>
              </w:rPr>
              <w:t>……</w:t>
            </w:r>
          </w:p>
        </w:tc>
        <w:tc>
          <w:tcPr>
            <w:tcW w:w="708" w:type="dxa"/>
            <w:tcBorders>
              <w:top w:val="single" w:color="auto" w:sz="4" w:space="0"/>
              <w:left w:val="single" w:color="auto" w:sz="4" w:space="0"/>
              <w:bottom w:val="single" w:color="auto" w:sz="4" w:space="0"/>
              <w:right w:val="single" w:color="auto" w:sz="4" w:space="0"/>
            </w:tcBorders>
            <w:vAlign w:val="center"/>
          </w:tcPr>
          <w:p w14:paraId="1553EF85">
            <w:pPr>
              <w:rPr>
                <w:rFonts w:ascii="仿宋_GB2312" w:hAnsi="宋体" w:eastAsia="仿宋_GB2312"/>
                <w:color w:val="auto"/>
                <w:szCs w:val="21"/>
              </w:rPr>
            </w:pPr>
            <w:r>
              <w:rPr>
                <w:rFonts w:hint="eastAsia" w:ascii="仿宋_GB2312" w:hAnsi="宋体" w:eastAsia="仿宋_GB2312"/>
                <w:color w:val="auto"/>
                <w:szCs w:val="21"/>
              </w:rPr>
              <w:t>…</w:t>
            </w:r>
          </w:p>
        </w:tc>
        <w:tc>
          <w:tcPr>
            <w:tcW w:w="1843" w:type="dxa"/>
            <w:tcBorders>
              <w:top w:val="single" w:color="auto" w:sz="4" w:space="0"/>
              <w:left w:val="single" w:color="auto" w:sz="4" w:space="0"/>
              <w:bottom w:val="single" w:color="auto" w:sz="4" w:space="0"/>
              <w:right w:val="single" w:color="auto" w:sz="4" w:space="0"/>
            </w:tcBorders>
            <w:vAlign w:val="center"/>
          </w:tcPr>
          <w:p w14:paraId="36692CD4">
            <w:pPr>
              <w:rPr>
                <w:rFonts w:ascii="仿宋_GB2312" w:hAnsi="宋体" w:eastAsia="仿宋_GB2312"/>
                <w:color w:val="auto"/>
                <w:szCs w:val="21"/>
              </w:rPr>
            </w:pPr>
            <w:r>
              <w:rPr>
                <w:rFonts w:hint="eastAsia" w:ascii="仿宋_GB2312" w:hAnsi="宋体" w:eastAsia="仿宋_GB2312"/>
                <w:color w:val="auto"/>
                <w:szCs w:val="21"/>
              </w:rPr>
              <w:t>1  ……</w:t>
            </w:r>
          </w:p>
          <w:p w14:paraId="42E1530F">
            <w:pPr>
              <w:rPr>
                <w:rFonts w:ascii="仿宋_GB2312" w:hAnsi="宋体" w:eastAsia="仿宋_GB2312"/>
                <w:color w:val="auto"/>
                <w:szCs w:val="21"/>
              </w:rPr>
            </w:pPr>
            <w:r>
              <w:rPr>
                <w:rFonts w:hint="eastAsia" w:ascii="仿宋_GB2312" w:hAnsi="宋体" w:eastAsia="仿宋_GB2312"/>
                <w:color w:val="auto"/>
                <w:szCs w:val="21"/>
              </w:rPr>
              <w:t>2  ……</w:t>
            </w:r>
          </w:p>
          <w:p w14:paraId="762186F5">
            <w:pPr>
              <w:rPr>
                <w:rFonts w:ascii="仿宋_GB2312" w:hAnsi="宋体" w:eastAsia="仿宋_GB2312"/>
                <w:color w:val="auto"/>
                <w:szCs w:val="21"/>
              </w:rPr>
            </w:pPr>
            <w:r>
              <w:rPr>
                <w:rFonts w:hint="eastAsia" w:ascii="仿宋_GB2312" w:hAnsi="宋体" w:eastAsia="仿宋_GB2312"/>
                <w:color w:val="auto"/>
                <w:szCs w:val="21"/>
              </w:rPr>
              <w:t>3  ……</w:t>
            </w:r>
          </w:p>
          <w:p w14:paraId="496C1451">
            <w:pPr>
              <w:rPr>
                <w:rFonts w:ascii="仿宋_GB2312" w:hAnsi="宋体" w:eastAsia="仿宋_GB2312"/>
                <w:color w:val="auto"/>
                <w:szCs w:val="21"/>
              </w:rPr>
            </w:pPr>
            <w:r>
              <w:rPr>
                <w:rFonts w:hint="eastAsia" w:ascii="仿宋_GB2312" w:hAnsi="宋体" w:eastAsia="仿宋_GB2312"/>
                <w:color w:val="auto"/>
                <w:szCs w:val="21"/>
              </w:rPr>
              <w:t>……</w:t>
            </w:r>
          </w:p>
        </w:tc>
        <w:tc>
          <w:tcPr>
            <w:tcW w:w="851" w:type="dxa"/>
            <w:tcBorders>
              <w:top w:val="single" w:color="auto" w:sz="4" w:space="0"/>
              <w:left w:val="single" w:color="auto" w:sz="4" w:space="0"/>
              <w:bottom w:val="single" w:color="auto" w:sz="4" w:space="0"/>
              <w:right w:val="single" w:color="auto" w:sz="4" w:space="0"/>
            </w:tcBorders>
            <w:vAlign w:val="center"/>
          </w:tcPr>
          <w:p w14:paraId="771B6885">
            <w:pPr>
              <w:rPr>
                <w:rFonts w:ascii="仿宋_GB2312" w:hAnsi="宋体" w:eastAsia="仿宋_GB2312"/>
                <w:color w:val="auto"/>
                <w:szCs w:val="21"/>
              </w:rPr>
            </w:pPr>
            <w:r>
              <w:rPr>
                <w:rFonts w:hint="eastAsia" w:ascii="仿宋_GB2312" w:hAnsi="宋体" w:eastAsia="仿宋_GB2312"/>
                <w:color w:val="auto"/>
                <w:szCs w:val="21"/>
              </w:rPr>
              <w:t>……</w:t>
            </w:r>
          </w:p>
        </w:tc>
        <w:tc>
          <w:tcPr>
            <w:tcW w:w="708" w:type="dxa"/>
            <w:tcBorders>
              <w:top w:val="single" w:color="auto" w:sz="4" w:space="0"/>
              <w:left w:val="single" w:color="auto" w:sz="4" w:space="0"/>
              <w:bottom w:val="single" w:color="auto" w:sz="4" w:space="0"/>
              <w:right w:val="single" w:color="auto" w:sz="4" w:space="0"/>
            </w:tcBorders>
            <w:vAlign w:val="center"/>
          </w:tcPr>
          <w:p w14:paraId="02A4F32A">
            <w:pPr>
              <w:rPr>
                <w:rFonts w:ascii="仿宋_GB2312" w:hAnsi="宋体" w:eastAsia="仿宋_GB2312"/>
                <w:color w:val="auto"/>
                <w:szCs w:val="21"/>
              </w:rPr>
            </w:pPr>
            <w:r>
              <w:rPr>
                <w:rFonts w:hint="eastAsia" w:ascii="仿宋_GB2312" w:hAnsi="宋体" w:eastAsia="仿宋_GB2312"/>
                <w:color w:val="auto"/>
                <w:szCs w:val="21"/>
              </w:rPr>
              <w:t>…</w:t>
            </w:r>
          </w:p>
        </w:tc>
        <w:tc>
          <w:tcPr>
            <w:tcW w:w="2268" w:type="dxa"/>
            <w:tcBorders>
              <w:top w:val="single" w:color="auto" w:sz="4" w:space="0"/>
              <w:left w:val="single" w:color="auto" w:sz="4" w:space="0"/>
              <w:bottom w:val="single" w:color="auto" w:sz="4" w:space="0"/>
              <w:right w:val="single" w:color="auto" w:sz="4" w:space="0"/>
            </w:tcBorders>
            <w:vAlign w:val="center"/>
          </w:tcPr>
          <w:p w14:paraId="0214E382">
            <w:pPr>
              <w:rPr>
                <w:rFonts w:ascii="仿宋_GB2312" w:hAnsi="宋体" w:eastAsia="仿宋_GB2312"/>
                <w:color w:val="auto"/>
                <w:szCs w:val="21"/>
              </w:rPr>
            </w:pPr>
            <w:r>
              <w:rPr>
                <w:rFonts w:hint="eastAsia" w:ascii="仿宋_GB2312" w:hAnsi="宋体" w:eastAsia="仿宋_GB2312"/>
                <w:color w:val="auto"/>
                <w:szCs w:val="21"/>
              </w:rPr>
              <w:t>1  ……</w:t>
            </w:r>
          </w:p>
          <w:p w14:paraId="4564ECD7">
            <w:pPr>
              <w:rPr>
                <w:rFonts w:ascii="仿宋_GB2312" w:hAnsi="宋体" w:eastAsia="仿宋_GB2312"/>
                <w:color w:val="auto"/>
                <w:szCs w:val="21"/>
              </w:rPr>
            </w:pPr>
            <w:r>
              <w:rPr>
                <w:rFonts w:hint="eastAsia" w:ascii="仿宋_GB2312" w:hAnsi="宋体" w:eastAsia="仿宋_GB2312"/>
                <w:color w:val="auto"/>
                <w:szCs w:val="21"/>
              </w:rPr>
              <w:t>2  ……</w:t>
            </w:r>
          </w:p>
          <w:p w14:paraId="0C18F219">
            <w:pPr>
              <w:rPr>
                <w:rFonts w:ascii="仿宋_GB2312" w:hAnsi="宋体" w:eastAsia="仿宋_GB2312"/>
                <w:color w:val="auto"/>
                <w:szCs w:val="21"/>
              </w:rPr>
            </w:pPr>
            <w:r>
              <w:rPr>
                <w:rFonts w:hint="eastAsia" w:ascii="仿宋_GB2312" w:hAnsi="宋体" w:eastAsia="仿宋_GB2312"/>
                <w:color w:val="auto"/>
                <w:szCs w:val="21"/>
              </w:rPr>
              <w:t>3  ……</w:t>
            </w:r>
          </w:p>
          <w:p w14:paraId="1DDF9E10">
            <w:pPr>
              <w:rPr>
                <w:rFonts w:ascii="仿宋_GB2312" w:hAnsi="宋体" w:eastAsia="仿宋_GB2312"/>
                <w:color w:val="auto"/>
                <w:szCs w:val="21"/>
              </w:rPr>
            </w:pPr>
            <w:r>
              <w:rPr>
                <w:rFonts w:hint="eastAsia" w:ascii="仿宋_GB2312" w:hAnsi="宋体" w:eastAsia="仿宋_GB2312"/>
                <w:color w:val="auto"/>
                <w:szCs w:val="21"/>
              </w:rPr>
              <w:t>……</w:t>
            </w:r>
          </w:p>
        </w:tc>
        <w:tc>
          <w:tcPr>
            <w:tcW w:w="1225" w:type="dxa"/>
            <w:tcBorders>
              <w:top w:val="single" w:color="auto" w:sz="4" w:space="0"/>
              <w:left w:val="single" w:color="auto" w:sz="4" w:space="0"/>
              <w:bottom w:val="single" w:color="auto" w:sz="4" w:space="0"/>
              <w:right w:val="single" w:color="auto" w:sz="4" w:space="0"/>
            </w:tcBorders>
            <w:vAlign w:val="center"/>
          </w:tcPr>
          <w:p w14:paraId="188ADEC5">
            <w:pPr>
              <w:rPr>
                <w:rFonts w:ascii="仿宋_GB2312" w:hAnsi="宋体" w:eastAsia="仿宋_GB2312"/>
                <w:color w:val="auto"/>
                <w:szCs w:val="21"/>
              </w:rPr>
            </w:pPr>
          </w:p>
        </w:tc>
      </w:tr>
      <w:tr w14:paraId="0B5CA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6EA0A677">
            <w:pPr>
              <w:rPr>
                <w:rFonts w:ascii="仿宋_GB2312" w:hAnsi="宋体" w:eastAsia="仿宋_GB2312"/>
                <w:color w:val="auto"/>
                <w:szCs w:val="21"/>
              </w:rPr>
            </w:pPr>
            <w:r>
              <w:rPr>
                <w:rFonts w:hint="eastAsia" w:ascii="仿宋_GB2312" w:hAnsi="宋体" w:eastAsia="仿宋_GB2312"/>
                <w:color w:val="auto"/>
                <w:szCs w:val="21"/>
              </w:rPr>
              <w:t>...</w:t>
            </w:r>
          </w:p>
        </w:tc>
        <w:tc>
          <w:tcPr>
            <w:tcW w:w="851" w:type="dxa"/>
            <w:tcBorders>
              <w:top w:val="single" w:color="auto" w:sz="4" w:space="0"/>
              <w:left w:val="single" w:color="auto" w:sz="4" w:space="0"/>
              <w:bottom w:val="single" w:color="auto" w:sz="4" w:space="0"/>
              <w:right w:val="single" w:color="auto" w:sz="4" w:space="0"/>
            </w:tcBorders>
            <w:vAlign w:val="center"/>
          </w:tcPr>
          <w:p w14:paraId="4E0F73C6">
            <w:pPr>
              <w:rPr>
                <w:rFonts w:ascii="仿宋_GB2312" w:hAnsi="宋体" w:eastAsia="仿宋_GB2312"/>
                <w:color w:val="auto"/>
                <w:szCs w:val="21"/>
              </w:rPr>
            </w:pPr>
          </w:p>
        </w:tc>
        <w:tc>
          <w:tcPr>
            <w:tcW w:w="708" w:type="dxa"/>
            <w:tcBorders>
              <w:top w:val="single" w:color="auto" w:sz="4" w:space="0"/>
              <w:left w:val="single" w:color="auto" w:sz="4" w:space="0"/>
              <w:bottom w:val="single" w:color="auto" w:sz="4" w:space="0"/>
              <w:right w:val="single" w:color="auto" w:sz="4" w:space="0"/>
            </w:tcBorders>
            <w:vAlign w:val="center"/>
          </w:tcPr>
          <w:p w14:paraId="4EE77C8F">
            <w:pPr>
              <w:rPr>
                <w:rFonts w:ascii="仿宋_GB2312" w:hAnsi="宋体" w:eastAsia="仿宋_GB2312"/>
                <w:color w:val="auto"/>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47629309">
            <w:pPr>
              <w:rPr>
                <w:rFonts w:ascii="仿宋_GB2312" w:hAnsi="宋体" w:eastAsia="仿宋_GB2312"/>
                <w:color w:val="auto"/>
                <w:szCs w:val="21"/>
              </w:rPr>
            </w:pPr>
          </w:p>
        </w:tc>
        <w:tc>
          <w:tcPr>
            <w:tcW w:w="851" w:type="dxa"/>
            <w:tcBorders>
              <w:top w:val="single" w:color="auto" w:sz="4" w:space="0"/>
              <w:left w:val="single" w:color="auto" w:sz="4" w:space="0"/>
              <w:bottom w:val="single" w:color="auto" w:sz="4" w:space="0"/>
              <w:right w:val="single" w:color="auto" w:sz="4" w:space="0"/>
            </w:tcBorders>
            <w:vAlign w:val="center"/>
          </w:tcPr>
          <w:p w14:paraId="57790DED">
            <w:pPr>
              <w:rPr>
                <w:rFonts w:ascii="仿宋_GB2312" w:hAnsi="宋体" w:eastAsia="仿宋_GB2312"/>
                <w:color w:val="auto"/>
                <w:szCs w:val="21"/>
              </w:rPr>
            </w:pPr>
          </w:p>
        </w:tc>
        <w:tc>
          <w:tcPr>
            <w:tcW w:w="708" w:type="dxa"/>
            <w:tcBorders>
              <w:top w:val="single" w:color="auto" w:sz="4" w:space="0"/>
              <w:left w:val="single" w:color="auto" w:sz="4" w:space="0"/>
              <w:bottom w:val="single" w:color="auto" w:sz="4" w:space="0"/>
              <w:right w:val="single" w:color="auto" w:sz="4" w:space="0"/>
            </w:tcBorders>
            <w:vAlign w:val="center"/>
          </w:tcPr>
          <w:p w14:paraId="123B6F94">
            <w:pPr>
              <w:rPr>
                <w:rFonts w:ascii="仿宋_GB2312" w:hAnsi="宋体" w:eastAsia="仿宋_GB2312"/>
                <w:color w:val="auto"/>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3B154958">
            <w:pPr>
              <w:rPr>
                <w:rFonts w:ascii="仿宋_GB2312" w:hAnsi="宋体" w:eastAsia="仿宋_GB2312"/>
                <w:color w:val="auto"/>
                <w:szCs w:val="21"/>
              </w:rPr>
            </w:pPr>
          </w:p>
        </w:tc>
        <w:tc>
          <w:tcPr>
            <w:tcW w:w="1225" w:type="dxa"/>
            <w:tcBorders>
              <w:top w:val="single" w:color="auto" w:sz="4" w:space="0"/>
              <w:left w:val="single" w:color="auto" w:sz="4" w:space="0"/>
              <w:bottom w:val="single" w:color="auto" w:sz="4" w:space="0"/>
              <w:right w:val="single" w:color="auto" w:sz="4" w:space="0"/>
            </w:tcBorders>
            <w:vAlign w:val="center"/>
          </w:tcPr>
          <w:p w14:paraId="732736BC">
            <w:pPr>
              <w:rPr>
                <w:rFonts w:ascii="仿宋_GB2312" w:hAnsi="宋体" w:eastAsia="仿宋_GB2312"/>
                <w:color w:val="auto"/>
                <w:szCs w:val="21"/>
              </w:rPr>
            </w:pPr>
          </w:p>
        </w:tc>
      </w:tr>
    </w:tbl>
    <w:p w14:paraId="26142557">
      <w:pPr>
        <w:pStyle w:val="26"/>
        <w:rPr>
          <w:rFonts w:ascii="仿宋" w:hAnsi="仿宋" w:eastAsia="仿宋"/>
          <w:color w:val="auto"/>
          <w:sz w:val="24"/>
          <w:szCs w:val="24"/>
        </w:rPr>
      </w:pPr>
    </w:p>
    <w:p w14:paraId="75D234E3">
      <w:pPr>
        <w:pStyle w:val="18"/>
        <w:rPr>
          <w:rFonts w:ascii="仿宋" w:hAnsi="仿宋" w:eastAsia="仿宋"/>
          <w:color w:val="auto"/>
        </w:rPr>
      </w:pPr>
      <w:r>
        <w:rPr>
          <w:rFonts w:hint="eastAsia" w:ascii="仿宋" w:hAnsi="仿宋" w:eastAsia="仿宋"/>
          <w:color w:val="auto"/>
        </w:rPr>
        <w:t>注：</w:t>
      </w:r>
    </w:p>
    <w:p w14:paraId="252814C3">
      <w:pPr>
        <w:pStyle w:val="21"/>
        <w:spacing w:line="360" w:lineRule="auto"/>
        <w:ind w:firstLine="0" w:firstLineChars="0"/>
        <w:rPr>
          <w:rFonts w:ascii="仿宋" w:hAnsi="仿宋" w:eastAsia="仿宋" w:cs="仿宋_GB2312"/>
          <w:color w:val="auto"/>
          <w:szCs w:val="32"/>
        </w:rPr>
      </w:pPr>
      <w:r>
        <w:rPr>
          <w:rFonts w:hint="eastAsia" w:ascii="仿宋" w:hAnsi="仿宋" w:eastAsia="仿宋"/>
          <w:color w:val="auto"/>
          <w:sz w:val="24"/>
          <w:szCs w:val="24"/>
        </w:rPr>
        <w:t>1. 说明：应对照招标文件“第二章 采购需求”中的“技术要求”逐条作明确的投标响应，并作出偏离说明。</w:t>
      </w:r>
    </w:p>
    <w:p w14:paraId="2EC2EB24">
      <w:pPr>
        <w:pStyle w:val="18"/>
        <w:spacing w:line="360" w:lineRule="auto"/>
        <w:rPr>
          <w:rFonts w:ascii="仿宋" w:hAnsi="仿宋" w:eastAsia="仿宋"/>
          <w:b w:val="0"/>
          <w:bCs w:val="0"/>
          <w:color w:val="auto"/>
        </w:rPr>
      </w:pPr>
      <w:r>
        <w:rPr>
          <w:rFonts w:ascii="仿宋" w:hAnsi="仿宋" w:eastAsia="仿宋"/>
          <w:b w:val="0"/>
          <w:bCs w:val="0"/>
          <w:color w:val="auto"/>
        </w:rPr>
        <w:t>2.</w:t>
      </w:r>
      <w:r>
        <w:rPr>
          <w:rFonts w:hint="eastAsia" w:ascii="仿宋" w:hAnsi="仿宋" w:eastAsia="仿宋"/>
          <w:b w:val="0"/>
          <w:bCs w:val="0"/>
          <w:color w:val="auto"/>
        </w:rPr>
        <w:t>投标人根据投标货物的性能指标，对照招标文件技术要求，在“偏离说明”中注明“</w:t>
      </w:r>
      <w:r>
        <w:rPr>
          <w:rFonts w:hint="eastAsia" w:ascii="仿宋" w:hAnsi="仿宋" w:eastAsia="仿宋"/>
          <w:color w:val="auto"/>
        </w:rPr>
        <w:t>正偏离</w:t>
      </w:r>
      <w:r>
        <w:rPr>
          <w:rFonts w:hint="eastAsia" w:ascii="仿宋" w:hAnsi="仿宋" w:eastAsia="仿宋"/>
          <w:b w:val="0"/>
          <w:bCs w:val="0"/>
          <w:color w:val="auto"/>
        </w:rPr>
        <w:t>”、“</w:t>
      </w:r>
      <w:r>
        <w:rPr>
          <w:rFonts w:hint="eastAsia" w:ascii="仿宋" w:hAnsi="仿宋" w:eastAsia="仿宋"/>
          <w:color w:val="auto"/>
        </w:rPr>
        <w:t>负偏离</w:t>
      </w:r>
      <w:r>
        <w:rPr>
          <w:rFonts w:hint="eastAsia" w:ascii="仿宋" w:hAnsi="仿宋" w:eastAsia="仿宋"/>
          <w:b w:val="0"/>
          <w:bCs w:val="0"/>
          <w:color w:val="auto"/>
        </w:rPr>
        <w:t>”或者“</w:t>
      </w:r>
      <w:r>
        <w:rPr>
          <w:rFonts w:hint="eastAsia" w:ascii="仿宋" w:hAnsi="仿宋" w:eastAsia="仿宋"/>
          <w:color w:val="auto"/>
        </w:rPr>
        <w:t>无偏离</w:t>
      </w:r>
      <w:r>
        <w:rPr>
          <w:rFonts w:hint="eastAsia" w:ascii="仿宋" w:hAnsi="仿宋" w:eastAsia="仿宋"/>
          <w:b w:val="0"/>
          <w:bCs w:val="0"/>
          <w:color w:val="auto"/>
        </w:rPr>
        <w:t>”。既不属于“</w:t>
      </w:r>
      <w:r>
        <w:rPr>
          <w:rFonts w:hint="eastAsia" w:ascii="仿宋" w:hAnsi="仿宋" w:eastAsia="仿宋"/>
          <w:color w:val="auto"/>
        </w:rPr>
        <w:t>正偏离</w:t>
      </w:r>
      <w:r>
        <w:rPr>
          <w:rFonts w:hint="eastAsia" w:ascii="仿宋" w:hAnsi="仿宋" w:eastAsia="仿宋"/>
          <w:b w:val="0"/>
          <w:bCs w:val="0"/>
          <w:color w:val="auto"/>
        </w:rPr>
        <w:t>”也不属于“</w:t>
      </w:r>
      <w:r>
        <w:rPr>
          <w:rFonts w:hint="eastAsia" w:ascii="仿宋" w:hAnsi="仿宋" w:eastAsia="仿宋"/>
          <w:color w:val="auto"/>
        </w:rPr>
        <w:t>负偏离</w:t>
      </w:r>
      <w:r>
        <w:rPr>
          <w:rFonts w:hint="eastAsia" w:ascii="仿宋" w:hAnsi="仿宋" w:eastAsia="仿宋"/>
          <w:b w:val="0"/>
          <w:bCs w:val="0"/>
          <w:color w:val="auto"/>
        </w:rPr>
        <w:t>”即为“</w:t>
      </w:r>
      <w:r>
        <w:rPr>
          <w:rFonts w:hint="eastAsia" w:ascii="仿宋" w:hAnsi="仿宋" w:eastAsia="仿宋"/>
          <w:color w:val="auto"/>
        </w:rPr>
        <w:t>无偏离</w:t>
      </w:r>
      <w:r>
        <w:rPr>
          <w:rFonts w:hint="eastAsia" w:ascii="仿宋" w:hAnsi="仿宋" w:eastAsia="仿宋"/>
          <w:b w:val="0"/>
          <w:bCs w:val="0"/>
          <w:color w:val="auto"/>
        </w:rPr>
        <w:t>”。</w:t>
      </w:r>
    </w:p>
    <w:p w14:paraId="06B4AB44">
      <w:pPr>
        <w:pStyle w:val="21"/>
        <w:spacing w:line="360" w:lineRule="auto"/>
        <w:ind w:firstLine="0" w:firstLineChars="0"/>
        <w:rPr>
          <w:rFonts w:ascii="仿宋" w:hAnsi="仿宋" w:eastAsia="仿宋"/>
          <w:color w:val="auto"/>
          <w:sz w:val="24"/>
          <w:szCs w:val="24"/>
        </w:rPr>
      </w:pPr>
      <w:r>
        <w:rPr>
          <w:rFonts w:hint="eastAsia" w:ascii="仿宋" w:hAnsi="仿宋" w:eastAsia="仿宋"/>
          <w:color w:val="auto"/>
          <w:sz w:val="24"/>
          <w:szCs w:val="24"/>
        </w:rPr>
        <w:t>3</w:t>
      </w:r>
      <w:r>
        <w:rPr>
          <w:rFonts w:ascii="仿宋" w:hAnsi="仿宋" w:eastAsia="仿宋"/>
          <w:color w:val="auto"/>
          <w:sz w:val="24"/>
          <w:szCs w:val="24"/>
        </w:rPr>
        <w:t>.</w:t>
      </w:r>
      <w:r>
        <w:rPr>
          <w:rFonts w:hint="eastAsia" w:ascii="仿宋" w:hAnsi="仿宋" w:eastAsia="仿宋"/>
          <w:color w:val="auto"/>
          <w:sz w:val="24"/>
          <w:szCs w:val="24"/>
        </w:rPr>
        <w:t xml:space="preserve"> 如技术要求偏离表中的投标响应与佐证材料不一致的</w:t>
      </w:r>
      <w:r>
        <w:rPr>
          <w:rFonts w:hint="eastAsia" w:ascii="仿宋" w:hAnsi="仿宋" w:eastAsia="仿宋"/>
          <w:b/>
          <w:bCs/>
          <w:color w:val="auto"/>
          <w:sz w:val="24"/>
          <w:szCs w:val="24"/>
        </w:rPr>
        <w:t>，按无效投标处理</w:t>
      </w:r>
      <w:r>
        <w:rPr>
          <w:rFonts w:hint="eastAsia" w:ascii="仿宋" w:hAnsi="仿宋" w:eastAsia="仿宋"/>
          <w:color w:val="auto"/>
          <w:sz w:val="24"/>
          <w:szCs w:val="24"/>
        </w:rPr>
        <w:t>。</w:t>
      </w:r>
    </w:p>
    <w:p w14:paraId="40F350BF">
      <w:pPr>
        <w:snapToGrid w:val="0"/>
        <w:spacing w:before="50" w:after="50" w:line="360" w:lineRule="auto"/>
        <w:rPr>
          <w:rFonts w:ascii="仿宋" w:hAnsi="仿宋" w:eastAsia="仿宋"/>
          <w:color w:val="auto"/>
          <w:sz w:val="24"/>
        </w:rPr>
      </w:pPr>
    </w:p>
    <w:p w14:paraId="27F37C1F">
      <w:pPr>
        <w:snapToGrid w:val="0"/>
        <w:spacing w:before="50" w:after="50" w:line="360" w:lineRule="auto"/>
        <w:rPr>
          <w:rFonts w:ascii="仿宋" w:hAnsi="仿宋" w:eastAsia="仿宋"/>
          <w:color w:val="auto"/>
          <w:spacing w:val="20"/>
          <w:sz w:val="24"/>
          <w:u w:val="single"/>
        </w:rPr>
      </w:pPr>
      <w:r>
        <w:rPr>
          <w:rFonts w:hint="eastAsia" w:ascii="仿宋" w:hAnsi="仿宋" w:eastAsia="仿宋"/>
          <w:color w:val="auto"/>
          <w:sz w:val="24"/>
        </w:rPr>
        <w:t>法定代表人或者委托代理人</w:t>
      </w:r>
      <w:r>
        <w:rPr>
          <w:rFonts w:hint="eastAsia" w:ascii="仿宋" w:hAnsi="仿宋" w:eastAsia="仿宋"/>
          <w:color w:val="auto"/>
          <w:spacing w:val="20"/>
          <w:sz w:val="24"/>
        </w:rPr>
        <w:t>（签字）：</w:t>
      </w:r>
    </w:p>
    <w:p w14:paraId="13F6A8D3">
      <w:pPr>
        <w:snapToGrid w:val="0"/>
        <w:spacing w:before="50" w:after="50" w:line="360" w:lineRule="auto"/>
        <w:rPr>
          <w:rFonts w:ascii="仿宋" w:hAnsi="仿宋" w:eastAsia="仿宋"/>
          <w:color w:val="auto"/>
          <w:spacing w:val="20"/>
          <w:sz w:val="24"/>
        </w:rPr>
      </w:pPr>
      <w:r>
        <w:rPr>
          <w:rFonts w:hint="eastAsia" w:ascii="仿宋" w:hAnsi="仿宋" w:eastAsia="仿宋"/>
          <w:color w:val="auto"/>
          <w:spacing w:val="20"/>
          <w:sz w:val="24"/>
        </w:rPr>
        <w:t>投标人名称（电子签章）：</w:t>
      </w:r>
    </w:p>
    <w:p w14:paraId="73EFDC28">
      <w:pPr>
        <w:snapToGrid w:val="0"/>
        <w:spacing w:before="50" w:after="50" w:line="360" w:lineRule="auto"/>
        <w:rPr>
          <w:rFonts w:ascii="仿宋" w:hAnsi="仿宋" w:eastAsia="仿宋"/>
          <w:color w:val="auto"/>
          <w:spacing w:val="20"/>
          <w:sz w:val="24"/>
        </w:rPr>
      </w:pPr>
      <w:r>
        <w:rPr>
          <w:rFonts w:hint="eastAsia" w:ascii="仿宋" w:hAnsi="仿宋" w:eastAsia="仿宋"/>
          <w:color w:val="auto"/>
          <w:spacing w:val="20"/>
          <w:sz w:val="24"/>
        </w:rPr>
        <w:t>日 期：</w:t>
      </w:r>
    </w:p>
    <w:p w14:paraId="531CE70B">
      <w:pPr>
        <w:pStyle w:val="19"/>
        <w:rPr>
          <w:color w:val="auto"/>
        </w:rPr>
      </w:pPr>
    </w:p>
    <w:p w14:paraId="15BA3254">
      <w:pPr>
        <w:snapToGrid w:val="0"/>
        <w:spacing w:beforeLines="50" w:after="50"/>
        <w:jc w:val="left"/>
        <w:rPr>
          <w:rFonts w:hint="eastAsia" w:ascii="仿宋" w:hAnsi="仿宋" w:eastAsia="仿宋"/>
          <w:b/>
          <w:color w:val="auto"/>
          <w:sz w:val="24"/>
        </w:rPr>
      </w:pPr>
    </w:p>
    <w:p w14:paraId="7F8902EC">
      <w:pPr>
        <w:snapToGrid w:val="0"/>
        <w:spacing w:beforeLines="50" w:after="50"/>
        <w:jc w:val="left"/>
        <w:rPr>
          <w:rFonts w:ascii="仿宋" w:hAnsi="仿宋" w:eastAsia="仿宋"/>
          <w:b/>
          <w:color w:val="auto"/>
          <w:sz w:val="24"/>
        </w:rPr>
      </w:pPr>
      <w:r>
        <w:rPr>
          <w:rFonts w:hint="eastAsia" w:ascii="仿宋" w:hAnsi="仿宋" w:eastAsia="仿宋"/>
          <w:b/>
          <w:color w:val="auto"/>
          <w:sz w:val="24"/>
          <w:lang w:val="en-US" w:eastAsia="zh-CN"/>
        </w:rPr>
        <w:t>11</w:t>
      </w:r>
      <w:r>
        <w:rPr>
          <w:rFonts w:hint="eastAsia" w:ascii="仿宋" w:hAnsi="仿宋" w:eastAsia="仿宋"/>
          <w:b/>
          <w:color w:val="auto"/>
          <w:sz w:val="24"/>
        </w:rPr>
        <w:t>. 项目实施人员一览表格式</w:t>
      </w:r>
    </w:p>
    <w:p w14:paraId="5CFEC0CC">
      <w:pPr>
        <w:snapToGrid w:val="0"/>
        <w:spacing w:beforeLines="50" w:after="50"/>
        <w:ind w:left="142"/>
        <w:jc w:val="left"/>
        <w:rPr>
          <w:rFonts w:ascii="仿宋" w:hAnsi="仿宋" w:eastAsia="仿宋"/>
          <w:b/>
          <w:color w:val="auto"/>
          <w:sz w:val="24"/>
        </w:rPr>
      </w:pPr>
    </w:p>
    <w:p w14:paraId="582B080F">
      <w:pPr>
        <w:snapToGrid w:val="0"/>
        <w:spacing w:beforeLines="50" w:after="50"/>
        <w:ind w:left="142"/>
        <w:jc w:val="center"/>
        <w:rPr>
          <w:rFonts w:ascii="仿宋" w:hAnsi="仿宋" w:eastAsia="仿宋"/>
          <w:b/>
          <w:color w:val="auto"/>
          <w:sz w:val="32"/>
          <w:szCs w:val="32"/>
        </w:rPr>
      </w:pPr>
      <w:r>
        <w:rPr>
          <w:rFonts w:hint="eastAsia" w:ascii="仿宋" w:hAnsi="仿宋" w:eastAsia="仿宋"/>
          <w:b/>
          <w:color w:val="auto"/>
          <w:sz w:val="32"/>
          <w:szCs w:val="32"/>
        </w:rPr>
        <w:t>项目实施人员一览表</w:t>
      </w:r>
    </w:p>
    <w:p w14:paraId="6FFC1BA6">
      <w:pPr>
        <w:pStyle w:val="26"/>
        <w:rPr>
          <w:rFonts w:ascii="仿宋" w:hAnsi="仿宋" w:eastAsia="仿宋"/>
          <w:color w:val="auto"/>
          <w:sz w:val="24"/>
          <w:szCs w:val="24"/>
        </w:rPr>
      </w:pPr>
      <w:r>
        <w:rPr>
          <w:rFonts w:hint="eastAsia" w:ascii="仿宋" w:hAnsi="仿宋" w:eastAsia="仿宋"/>
          <w:color w:val="auto"/>
          <w:sz w:val="24"/>
          <w:szCs w:val="24"/>
        </w:rPr>
        <w:t>所投分标：分标</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984"/>
        <w:gridCol w:w="1418"/>
        <w:gridCol w:w="1417"/>
        <w:gridCol w:w="1843"/>
      </w:tblGrid>
      <w:tr w14:paraId="039EC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4E86BFD">
            <w:pPr>
              <w:snapToGrid w:val="0"/>
              <w:spacing w:before="50" w:afterLines="50"/>
              <w:jc w:val="center"/>
              <w:rPr>
                <w:rFonts w:ascii="仿宋" w:hAnsi="仿宋" w:eastAsia="仿宋"/>
                <w:color w:val="auto"/>
                <w:sz w:val="24"/>
                <w:szCs w:val="20"/>
              </w:rPr>
            </w:pPr>
            <w:r>
              <w:rPr>
                <w:rFonts w:hint="eastAsia" w:ascii="仿宋" w:hAnsi="仿宋" w:eastAsia="仿宋"/>
                <w:color w:val="auto"/>
                <w:sz w:val="24"/>
                <w:szCs w:val="20"/>
              </w:rPr>
              <w:t>姓名</w:t>
            </w:r>
          </w:p>
        </w:tc>
        <w:tc>
          <w:tcPr>
            <w:tcW w:w="709" w:type="dxa"/>
            <w:vAlign w:val="center"/>
          </w:tcPr>
          <w:p w14:paraId="298109CD">
            <w:pPr>
              <w:snapToGrid w:val="0"/>
              <w:spacing w:before="50" w:afterLines="50"/>
              <w:jc w:val="center"/>
              <w:rPr>
                <w:rFonts w:ascii="仿宋" w:hAnsi="仿宋" w:eastAsia="仿宋"/>
                <w:color w:val="auto"/>
                <w:sz w:val="24"/>
                <w:szCs w:val="20"/>
              </w:rPr>
            </w:pPr>
            <w:r>
              <w:rPr>
                <w:rFonts w:hint="eastAsia" w:ascii="仿宋" w:hAnsi="仿宋" w:eastAsia="仿宋"/>
                <w:color w:val="auto"/>
                <w:sz w:val="24"/>
                <w:szCs w:val="20"/>
              </w:rPr>
              <w:t>职务</w:t>
            </w:r>
          </w:p>
        </w:tc>
        <w:tc>
          <w:tcPr>
            <w:tcW w:w="1984" w:type="dxa"/>
            <w:vAlign w:val="center"/>
          </w:tcPr>
          <w:p w14:paraId="78C9F4D5">
            <w:pPr>
              <w:snapToGrid w:val="0"/>
              <w:spacing w:before="50" w:afterLines="50"/>
              <w:jc w:val="center"/>
              <w:rPr>
                <w:rFonts w:ascii="仿宋" w:hAnsi="仿宋" w:eastAsia="仿宋"/>
                <w:color w:val="auto"/>
                <w:sz w:val="24"/>
                <w:szCs w:val="20"/>
              </w:rPr>
            </w:pPr>
            <w:r>
              <w:rPr>
                <w:rFonts w:hint="eastAsia" w:ascii="仿宋" w:hAnsi="仿宋" w:eastAsia="仿宋"/>
                <w:color w:val="auto"/>
                <w:sz w:val="24"/>
                <w:szCs w:val="20"/>
              </w:rPr>
              <w:t>专业技术资格（职称）或者职业资格或者执业资格证或者其他证书</w:t>
            </w:r>
          </w:p>
        </w:tc>
        <w:tc>
          <w:tcPr>
            <w:tcW w:w="1418" w:type="dxa"/>
            <w:vAlign w:val="center"/>
          </w:tcPr>
          <w:p w14:paraId="70B9EB97">
            <w:pPr>
              <w:snapToGrid w:val="0"/>
              <w:spacing w:before="50" w:afterLines="50"/>
              <w:jc w:val="center"/>
              <w:rPr>
                <w:rFonts w:ascii="仿宋" w:hAnsi="仿宋" w:eastAsia="仿宋"/>
                <w:color w:val="auto"/>
                <w:sz w:val="24"/>
                <w:szCs w:val="20"/>
              </w:rPr>
            </w:pPr>
            <w:r>
              <w:rPr>
                <w:rFonts w:hint="eastAsia" w:ascii="仿宋" w:hAnsi="仿宋" w:eastAsia="仿宋"/>
                <w:color w:val="auto"/>
                <w:sz w:val="24"/>
                <w:szCs w:val="20"/>
              </w:rPr>
              <w:t>证书编号</w:t>
            </w:r>
          </w:p>
        </w:tc>
        <w:tc>
          <w:tcPr>
            <w:tcW w:w="1417" w:type="dxa"/>
            <w:vAlign w:val="center"/>
          </w:tcPr>
          <w:p w14:paraId="46324AE9">
            <w:pPr>
              <w:snapToGrid w:val="0"/>
              <w:spacing w:before="50" w:afterLines="50"/>
              <w:jc w:val="center"/>
              <w:rPr>
                <w:rFonts w:ascii="仿宋" w:hAnsi="仿宋" w:eastAsia="仿宋"/>
                <w:color w:val="auto"/>
                <w:sz w:val="24"/>
                <w:szCs w:val="20"/>
              </w:rPr>
            </w:pPr>
            <w:r>
              <w:rPr>
                <w:rFonts w:hint="eastAsia" w:ascii="仿宋" w:hAnsi="仿宋" w:eastAsia="仿宋"/>
                <w:color w:val="auto"/>
                <w:sz w:val="24"/>
                <w:szCs w:val="20"/>
              </w:rPr>
              <w:t>参加本单位</w:t>
            </w:r>
          </w:p>
          <w:p w14:paraId="6494E63E">
            <w:pPr>
              <w:snapToGrid w:val="0"/>
              <w:spacing w:before="50" w:afterLines="50"/>
              <w:jc w:val="center"/>
              <w:rPr>
                <w:rFonts w:ascii="仿宋" w:hAnsi="仿宋" w:eastAsia="仿宋"/>
                <w:color w:val="auto"/>
                <w:sz w:val="24"/>
                <w:szCs w:val="20"/>
              </w:rPr>
            </w:pPr>
            <w:r>
              <w:rPr>
                <w:rFonts w:hint="eastAsia" w:ascii="仿宋" w:hAnsi="仿宋" w:eastAsia="仿宋"/>
                <w:color w:val="auto"/>
                <w:sz w:val="24"/>
                <w:szCs w:val="20"/>
              </w:rPr>
              <w:t>工作时间</w:t>
            </w:r>
          </w:p>
        </w:tc>
        <w:tc>
          <w:tcPr>
            <w:tcW w:w="1843" w:type="dxa"/>
            <w:vAlign w:val="center"/>
          </w:tcPr>
          <w:p w14:paraId="7A8B7A88">
            <w:pPr>
              <w:snapToGrid w:val="0"/>
              <w:spacing w:before="50" w:afterLines="50"/>
              <w:jc w:val="center"/>
              <w:rPr>
                <w:rFonts w:ascii="仿宋" w:hAnsi="仿宋" w:eastAsia="仿宋"/>
                <w:color w:val="auto"/>
                <w:sz w:val="24"/>
                <w:szCs w:val="20"/>
              </w:rPr>
            </w:pPr>
            <w:r>
              <w:rPr>
                <w:rFonts w:hint="eastAsia" w:ascii="仿宋" w:hAnsi="仿宋" w:eastAsia="仿宋"/>
                <w:color w:val="auto"/>
                <w:sz w:val="24"/>
                <w:szCs w:val="20"/>
              </w:rPr>
              <w:t>劳动合同编号</w:t>
            </w:r>
          </w:p>
        </w:tc>
      </w:tr>
      <w:tr w14:paraId="6354B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3EB4DFB">
            <w:pPr>
              <w:snapToGrid w:val="0"/>
              <w:spacing w:before="50" w:afterLines="50"/>
              <w:jc w:val="center"/>
              <w:rPr>
                <w:rFonts w:ascii="仿宋" w:hAnsi="仿宋" w:eastAsia="仿宋"/>
                <w:color w:val="auto"/>
                <w:sz w:val="24"/>
                <w:szCs w:val="20"/>
              </w:rPr>
            </w:pPr>
          </w:p>
        </w:tc>
        <w:tc>
          <w:tcPr>
            <w:tcW w:w="709" w:type="dxa"/>
            <w:vAlign w:val="center"/>
          </w:tcPr>
          <w:p w14:paraId="7C1AC9F2">
            <w:pPr>
              <w:snapToGrid w:val="0"/>
              <w:spacing w:before="50" w:afterLines="50"/>
              <w:jc w:val="center"/>
              <w:rPr>
                <w:rFonts w:ascii="仿宋" w:hAnsi="仿宋" w:eastAsia="仿宋"/>
                <w:color w:val="auto"/>
                <w:sz w:val="24"/>
                <w:szCs w:val="20"/>
              </w:rPr>
            </w:pPr>
          </w:p>
        </w:tc>
        <w:tc>
          <w:tcPr>
            <w:tcW w:w="1984" w:type="dxa"/>
            <w:vAlign w:val="center"/>
          </w:tcPr>
          <w:p w14:paraId="0F26045D">
            <w:pPr>
              <w:snapToGrid w:val="0"/>
              <w:spacing w:before="50" w:afterLines="50"/>
              <w:jc w:val="center"/>
              <w:rPr>
                <w:rFonts w:ascii="仿宋" w:hAnsi="仿宋" w:eastAsia="仿宋"/>
                <w:color w:val="auto"/>
                <w:sz w:val="24"/>
                <w:szCs w:val="20"/>
              </w:rPr>
            </w:pPr>
          </w:p>
        </w:tc>
        <w:tc>
          <w:tcPr>
            <w:tcW w:w="1418" w:type="dxa"/>
            <w:vAlign w:val="center"/>
          </w:tcPr>
          <w:p w14:paraId="4C020931">
            <w:pPr>
              <w:snapToGrid w:val="0"/>
              <w:spacing w:before="50" w:afterLines="50"/>
              <w:jc w:val="center"/>
              <w:rPr>
                <w:rFonts w:ascii="仿宋" w:hAnsi="仿宋" w:eastAsia="仿宋"/>
                <w:color w:val="auto"/>
                <w:sz w:val="24"/>
                <w:szCs w:val="20"/>
              </w:rPr>
            </w:pPr>
          </w:p>
        </w:tc>
        <w:tc>
          <w:tcPr>
            <w:tcW w:w="1417" w:type="dxa"/>
            <w:vAlign w:val="center"/>
          </w:tcPr>
          <w:p w14:paraId="5646A6F6">
            <w:pPr>
              <w:snapToGrid w:val="0"/>
              <w:spacing w:before="50" w:afterLines="50"/>
              <w:jc w:val="center"/>
              <w:rPr>
                <w:rFonts w:ascii="仿宋" w:hAnsi="仿宋" w:eastAsia="仿宋"/>
                <w:color w:val="auto"/>
                <w:sz w:val="24"/>
                <w:szCs w:val="20"/>
              </w:rPr>
            </w:pPr>
          </w:p>
        </w:tc>
        <w:tc>
          <w:tcPr>
            <w:tcW w:w="1843" w:type="dxa"/>
            <w:vAlign w:val="center"/>
          </w:tcPr>
          <w:p w14:paraId="7E138FE3">
            <w:pPr>
              <w:snapToGrid w:val="0"/>
              <w:spacing w:before="50" w:afterLines="50"/>
              <w:jc w:val="center"/>
              <w:rPr>
                <w:rFonts w:ascii="仿宋" w:hAnsi="仿宋" w:eastAsia="仿宋"/>
                <w:color w:val="auto"/>
                <w:sz w:val="24"/>
                <w:szCs w:val="20"/>
              </w:rPr>
            </w:pPr>
          </w:p>
        </w:tc>
      </w:tr>
      <w:tr w14:paraId="660D0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0AB0FCA">
            <w:pPr>
              <w:snapToGrid w:val="0"/>
              <w:spacing w:before="50" w:afterLines="50"/>
              <w:jc w:val="center"/>
              <w:rPr>
                <w:rFonts w:ascii="仿宋" w:hAnsi="仿宋" w:eastAsia="仿宋"/>
                <w:color w:val="auto"/>
                <w:sz w:val="24"/>
                <w:szCs w:val="20"/>
              </w:rPr>
            </w:pPr>
          </w:p>
        </w:tc>
        <w:tc>
          <w:tcPr>
            <w:tcW w:w="709" w:type="dxa"/>
            <w:vAlign w:val="center"/>
          </w:tcPr>
          <w:p w14:paraId="2646B894">
            <w:pPr>
              <w:snapToGrid w:val="0"/>
              <w:spacing w:before="50" w:afterLines="50"/>
              <w:jc w:val="center"/>
              <w:rPr>
                <w:rFonts w:ascii="仿宋" w:hAnsi="仿宋" w:eastAsia="仿宋"/>
                <w:color w:val="auto"/>
                <w:sz w:val="24"/>
                <w:szCs w:val="20"/>
              </w:rPr>
            </w:pPr>
          </w:p>
        </w:tc>
        <w:tc>
          <w:tcPr>
            <w:tcW w:w="1984" w:type="dxa"/>
            <w:vAlign w:val="center"/>
          </w:tcPr>
          <w:p w14:paraId="652187D4">
            <w:pPr>
              <w:snapToGrid w:val="0"/>
              <w:spacing w:before="50" w:afterLines="50"/>
              <w:jc w:val="center"/>
              <w:rPr>
                <w:rFonts w:ascii="仿宋" w:hAnsi="仿宋" w:eastAsia="仿宋"/>
                <w:color w:val="auto"/>
                <w:sz w:val="24"/>
                <w:szCs w:val="20"/>
              </w:rPr>
            </w:pPr>
          </w:p>
        </w:tc>
        <w:tc>
          <w:tcPr>
            <w:tcW w:w="1418" w:type="dxa"/>
            <w:vAlign w:val="center"/>
          </w:tcPr>
          <w:p w14:paraId="3D5FA0E4">
            <w:pPr>
              <w:snapToGrid w:val="0"/>
              <w:spacing w:before="50" w:afterLines="50"/>
              <w:jc w:val="center"/>
              <w:rPr>
                <w:rFonts w:ascii="仿宋" w:hAnsi="仿宋" w:eastAsia="仿宋"/>
                <w:color w:val="auto"/>
                <w:sz w:val="24"/>
                <w:szCs w:val="20"/>
              </w:rPr>
            </w:pPr>
          </w:p>
        </w:tc>
        <w:tc>
          <w:tcPr>
            <w:tcW w:w="1417" w:type="dxa"/>
            <w:vAlign w:val="center"/>
          </w:tcPr>
          <w:p w14:paraId="14D25D9A">
            <w:pPr>
              <w:snapToGrid w:val="0"/>
              <w:spacing w:before="50" w:afterLines="50"/>
              <w:jc w:val="center"/>
              <w:rPr>
                <w:rFonts w:ascii="仿宋" w:hAnsi="仿宋" w:eastAsia="仿宋"/>
                <w:color w:val="auto"/>
                <w:sz w:val="24"/>
                <w:szCs w:val="20"/>
              </w:rPr>
            </w:pPr>
          </w:p>
        </w:tc>
        <w:tc>
          <w:tcPr>
            <w:tcW w:w="1843" w:type="dxa"/>
            <w:vAlign w:val="center"/>
          </w:tcPr>
          <w:p w14:paraId="71A0DCC7">
            <w:pPr>
              <w:snapToGrid w:val="0"/>
              <w:spacing w:before="50" w:afterLines="50"/>
              <w:jc w:val="center"/>
              <w:rPr>
                <w:rFonts w:ascii="仿宋" w:hAnsi="仿宋" w:eastAsia="仿宋"/>
                <w:color w:val="auto"/>
                <w:sz w:val="24"/>
                <w:szCs w:val="20"/>
              </w:rPr>
            </w:pPr>
          </w:p>
        </w:tc>
      </w:tr>
      <w:tr w14:paraId="66452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A459B11">
            <w:pPr>
              <w:snapToGrid w:val="0"/>
              <w:spacing w:before="50" w:afterLines="50"/>
              <w:jc w:val="center"/>
              <w:rPr>
                <w:rFonts w:ascii="仿宋" w:hAnsi="仿宋" w:eastAsia="仿宋"/>
                <w:color w:val="auto"/>
                <w:sz w:val="24"/>
                <w:szCs w:val="20"/>
              </w:rPr>
            </w:pPr>
          </w:p>
        </w:tc>
        <w:tc>
          <w:tcPr>
            <w:tcW w:w="709" w:type="dxa"/>
            <w:vAlign w:val="center"/>
          </w:tcPr>
          <w:p w14:paraId="1E74FF90">
            <w:pPr>
              <w:snapToGrid w:val="0"/>
              <w:spacing w:before="50" w:afterLines="50"/>
              <w:jc w:val="center"/>
              <w:rPr>
                <w:rFonts w:ascii="仿宋" w:hAnsi="仿宋" w:eastAsia="仿宋"/>
                <w:color w:val="auto"/>
                <w:sz w:val="24"/>
                <w:szCs w:val="20"/>
              </w:rPr>
            </w:pPr>
          </w:p>
        </w:tc>
        <w:tc>
          <w:tcPr>
            <w:tcW w:w="1984" w:type="dxa"/>
            <w:vAlign w:val="center"/>
          </w:tcPr>
          <w:p w14:paraId="01B192C2">
            <w:pPr>
              <w:snapToGrid w:val="0"/>
              <w:spacing w:before="50" w:afterLines="50"/>
              <w:jc w:val="center"/>
              <w:rPr>
                <w:rFonts w:ascii="仿宋" w:hAnsi="仿宋" w:eastAsia="仿宋"/>
                <w:color w:val="auto"/>
                <w:sz w:val="24"/>
                <w:szCs w:val="20"/>
              </w:rPr>
            </w:pPr>
          </w:p>
        </w:tc>
        <w:tc>
          <w:tcPr>
            <w:tcW w:w="1418" w:type="dxa"/>
            <w:vAlign w:val="center"/>
          </w:tcPr>
          <w:p w14:paraId="5FFE3DDB">
            <w:pPr>
              <w:snapToGrid w:val="0"/>
              <w:spacing w:before="50" w:afterLines="50"/>
              <w:jc w:val="center"/>
              <w:rPr>
                <w:rFonts w:ascii="仿宋" w:hAnsi="仿宋" w:eastAsia="仿宋"/>
                <w:color w:val="auto"/>
                <w:sz w:val="24"/>
                <w:szCs w:val="20"/>
              </w:rPr>
            </w:pPr>
          </w:p>
        </w:tc>
        <w:tc>
          <w:tcPr>
            <w:tcW w:w="1417" w:type="dxa"/>
            <w:vAlign w:val="center"/>
          </w:tcPr>
          <w:p w14:paraId="07479A11">
            <w:pPr>
              <w:snapToGrid w:val="0"/>
              <w:spacing w:before="50" w:afterLines="50"/>
              <w:jc w:val="center"/>
              <w:rPr>
                <w:rFonts w:ascii="仿宋" w:hAnsi="仿宋" w:eastAsia="仿宋"/>
                <w:color w:val="auto"/>
                <w:sz w:val="24"/>
                <w:szCs w:val="20"/>
              </w:rPr>
            </w:pPr>
          </w:p>
        </w:tc>
        <w:tc>
          <w:tcPr>
            <w:tcW w:w="1843" w:type="dxa"/>
            <w:vAlign w:val="center"/>
          </w:tcPr>
          <w:p w14:paraId="35C1A1C6">
            <w:pPr>
              <w:snapToGrid w:val="0"/>
              <w:spacing w:before="50" w:afterLines="50"/>
              <w:jc w:val="center"/>
              <w:rPr>
                <w:rFonts w:ascii="仿宋" w:hAnsi="仿宋" w:eastAsia="仿宋"/>
                <w:color w:val="auto"/>
                <w:sz w:val="24"/>
                <w:szCs w:val="20"/>
              </w:rPr>
            </w:pPr>
          </w:p>
        </w:tc>
      </w:tr>
    </w:tbl>
    <w:p w14:paraId="10EAAD45">
      <w:pPr>
        <w:snapToGrid w:val="0"/>
        <w:spacing w:before="50" w:afterLines="50"/>
        <w:jc w:val="left"/>
        <w:rPr>
          <w:rFonts w:ascii="仿宋" w:hAnsi="仿宋" w:eastAsia="仿宋"/>
          <w:color w:val="auto"/>
          <w:sz w:val="24"/>
          <w:szCs w:val="20"/>
        </w:rPr>
      </w:pPr>
    </w:p>
    <w:p w14:paraId="6898060C">
      <w:pPr>
        <w:spacing w:line="360" w:lineRule="auto"/>
        <w:contextualSpacing/>
        <w:jc w:val="left"/>
        <w:rPr>
          <w:rFonts w:ascii="仿宋" w:hAnsi="仿宋" w:eastAsia="仿宋"/>
          <w:color w:val="auto"/>
          <w:sz w:val="24"/>
          <w:szCs w:val="20"/>
        </w:rPr>
      </w:pPr>
      <w:r>
        <w:rPr>
          <w:rFonts w:hint="eastAsia" w:ascii="仿宋" w:hAnsi="仿宋" w:eastAsia="仿宋"/>
          <w:color w:val="auto"/>
          <w:sz w:val="24"/>
          <w:szCs w:val="20"/>
        </w:rPr>
        <w:t>注：</w:t>
      </w:r>
    </w:p>
    <w:p w14:paraId="490786A4">
      <w:pPr>
        <w:spacing w:line="360" w:lineRule="auto"/>
        <w:contextualSpacing/>
        <w:jc w:val="left"/>
        <w:rPr>
          <w:rFonts w:ascii="仿宋" w:hAnsi="仿宋" w:eastAsia="仿宋"/>
          <w:color w:val="auto"/>
          <w:sz w:val="24"/>
          <w:szCs w:val="20"/>
        </w:rPr>
      </w:pPr>
      <w:r>
        <w:rPr>
          <w:rFonts w:hint="eastAsia" w:ascii="仿宋" w:hAnsi="仿宋" w:eastAsia="仿宋"/>
          <w:color w:val="auto"/>
          <w:sz w:val="24"/>
          <w:szCs w:val="20"/>
        </w:rPr>
        <w:t>1</w:t>
      </w:r>
      <w:r>
        <w:rPr>
          <w:rFonts w:ascii="仿宋" w:hAnsi="仿宋" w:eastAsia="仿宋"/>
          <w:color w:val="auto"/>
          <w:sz w:val="24"/>
          <w:szCs w:val="20"/>
        </w:rPr>
        <w:t>.</w:t>
      </w:r>
      <w:r>
        <w:rPr>
          <w:rFonts w:hint="eastAsia" w:ascii="仿宋" w:hAnsi="仿宋" w:eastAsia="仿宋"/>
          <w:color w:val="auto"/>
          <w:sz w:val="24"/>
          <w:szCs w:val="20"/>
        </w:rPr>
        <w:t>在填写时，如本表格不适合投标单位的实际情况，可根据本表格式自行制表填写。</w:t>
      </w:r>
    </w:p>
    <w:p w14:paraId="0FF614CD">
      <w:pPr>
        <w:spacing w:line="360" w:lineRule="auto"/>
        <w:contextualSpacing/>
        <w:jc w:val="left"/>
        <w:rPr>
          <w:rFonts w:ascii="仿宋" w:hAnsi="仿宋" w:eastAsia="仿宋"/>
          <w:color w:val="auto"/>
          <w:sz w:val="24"/>
          <w:szCs w:val="20"/>
        </w:rPr>
      </w:pPr>
      <w:r>
        <w:rPr>
          <w:rFonts w:ascii="仿宋" w:hAnsi="仿宋" w:eastAsia="仿宋"/>
          <w:color w:val="auto"/>
          <w:sz w:val="24"/>
          <w:szCs w:val="20"/>
        </w:rPr>
        <w:t>2.</w:t>
      </w:r>
      <w:r>
        <w:rPr>
          <w:rFonts w:hint="eastAsia" w:ascii="仿宋" w:hAnsi="仿宋" w:eastAsia="仿宋"/>
          <w:color w:val="auto"/>
          <w:sz w:val="24"/>
          <w:szCs w:val="20"/>
        </w:rPr>
        <w:t>投标人应当附本表所列证书的复印件并加盖投标人公章。</w:t>
      </w:r>
    </w:p>
    <w:p w14:paraId="58BE5955">
      <w:pPr>
        <w:spacing w:line="360" w:lineRule="auto"/>
        <w:contextualSpacing/>
        <w:rPr>
          <w:rFonts w:ascii="仿宋" w:hAnsi="仿宋" w:eastAsia="仿宋"/>
          <w:color w:val="auto"/>
          <w:sz w:val="24"/>
        </w:rPr>
      </w:pPr>
    </w:p>
    <w:p w14:paraId="0DD2D697">
      <w:pPr>
        <w:spacing w:line="360" w:lineRule="auto"/>
        <w:contextualSpacing/>
        <w:rPr>
          <w:rFonts w:ascii="仿宋" w:hAnsi="仿宋" w:eastAsia="仿宋"/>
          <w:color w:val="auto"/>
          <w:sz w:val="24"/>
        </w:rPr>
      </w:pPr>
    </w:p>
    <w:p w14:paraId="20EB81DF">
      <w:pPr>
        <w:spacing w:line="360" w:lineRule="auto"/>
        <w:contextualSpacing/>
        <w:rPr>
          <w:rFonts w:ascii="仿宋" w:hAnsi="仿宋" w:eastAsia="仿宋"/>
          <w:color w:val="auto"/>
          <w:spacing w:val="20"/>
          <w:sz w:val="24"/>
          <w:szCs w:val="20"/>
          <w:u w:val="single"/>
        </w:rPr>
      </w:pPr>
      <w:r>
        <w:rPr>
          <w:rFonts w:hint="eastAsia" w:ascii="仿宋" w:hAnsi="仿宋" w:eastAsia="仿宋"/>
          <w:color w:val="auto"/>
          <w:sz w:val="24"/>
        </w:rPr>
        <w:t>法定代表人或者委托代理人</w:t>
      </w:r>
      <w:r>
        <w:rPr>
          <w:rFonts w:hint="eastAsia" w:ascii="仿宋" w:hAnsi="仿宋" w:eastAsia="仿宋"/>
          <w:color w:val="auto"/>
          <w:spacing w:val="20"/>
          <w:sz w:val="24"/>
        </w:rPr>
        <w:t>（签字）：</w:t>
      </w:r>
    </w:p>
    <w:p w14:paraId="7F893175">
      <w:pPr>
        <w:spacing w:line="360" w:lineRule="auto"/>
        <w:contextualSpacing/>
        <w:jc w:val="left"/>
        <w:rPr>
          <w:rFonts w:ascii="仿宋" w:hAnsi="仿宋" w:eastAsia="仿宋"/>
          <w:color w:val="auto"/>
          <w:spacing w:val="20"/>
          <w:sz w:val="24"/>
        </w:rPr>
      </w:pPr>
      <w:r>
        <w:rPr>
          <w:rFonts w:hint="eastAsia" w:ascii="仿宋" w:hAnsi="仿宋" w:eastAsia="仿宋"/>
          <w:color w:val="auto"/>
          <w:spacing w:val="20"/>
          <w:sz w:val="24"/>
        </w:rPr>
        <w:t>投标人名称（电子签章）：</w:t>
      </w:r>
    </w:p>
    <w:p w14:paraId="2ED6773F">
      <w:pPr>
        <w:spacing w:line="360" w:lineRule="auto"/>
        <w:contextualSpacing/>
        <w:jc w:val="left"/>
        <w:rPr>
          <w:rFonts w:ascii="仿宋" w:hAnsi="仿宋" w:eastAsia="仿宋"/>
          <w:color w:val="auto"/>
          <w:sz w:val="24"/>
          <w:szCs w:val="20"/>
        </w:rPr>
      </w:pPr>
      <w:r>
        <w:rPr>
          <w:rFonts w:hint="eastAsia" w:ascii="仿宋" w:hAnsi="仿宋" w:eastAsia="仿宋"/>
          <w:color w:val="auto"/>
          <w:spacing w:val="20"/>
          <w:sz w:val="24"/>
        </w:rPr>
        <w:t>日 期：</w:t>
      </w:r>
    </w:p>
    <w:p w14:paraId="4DF5ABA9">
      <w:pPr>
        <w:snapToGrid w:val="0"/>
        <w:spacing w:before="50" w:afterLines="50"/>
        <w:jc w:val="left"/>
        <w:rPr>
          <w:rFonts w:ascii="仿宋" w:hAnsi="仿宋" w:eastAsia="仿宋"/>
          <w:color w:val="auto"/>
          <w:sz w:val="24"/>
          <w:szCs w:val="20"/>
        </w:rPr>
      </w:pPr>
    </w:p>
    <w:p w14:paraId="7CB83464">
      <w:pPr>
        <w:snapToGrid w:val="0"/>
        <w:spacing w:beforeLines="50" w:after="50"/>
        <w:ind w:left="142"/>
        <w:jc w:val="left"/>
        <w:rPr>
          <w:rFonts w:ascii="仿宋" w:hAnsi="仿宋" w:eastAsia="仿宋"/>
          <w:b/>
          <w:color w:val="auto"/>
          <w:sz w:val="24"/>
        </w:rPr>
      </w:pPr>
      <w:r>
        <w:rPr>
          <w:rFonts w:ascii="仿宋" w:hAnsi="仿宋" w:eastAsia="仿宋"/>
          <w:b/>
          <w:color w:val="auto"/>
          <w:sz w:val="24"/>
        </w:rPr>
        <w:br w:type="page"/>
      </w:r>
      <w:r>
        <w:rPr>
          <w:rFonts w:hint="eastAsia" w:ascii="仿宋" w:hAnsi="仿宋" w:eastAsia="仿宋"/>
          <w:b/>
          <w:color w:val="auto"/>
          <w:sz w:val="24"/>
          <w:lang w:val="en-US" w:eastAsia="zh-CN"/>
        </w:rPr>
        <w:t>12</w:t>
      </w:r>
      <w:r>
        <w:rPr>
          <w:rFonts w:hint="eastAsia" w:ascii="仿宋" w:hAnsi="仿宋" w:eastAsia="仿宋"/>
          <w:b/>
          <w:color w:val="auto"/>
          <w:sz w:val="24"/>
        </w:rPr>
        <w:t>. 选配件、专用耗材、售后服务优惠表格式（注：按项目需求表具体项目修改）</w:t>
      </w:r>
    </w:p>
    <w:p w14:paraId="0C84BFB9">
      <w:pPr>
        <w:snapToGrid w:val="0"/>
        <w:spacing w:beforeLines="50" w:after="50"/>
        <w:ind w:left="142"/>
        <w:jc w:val="left"/>
        <w:rPr>
          <w:rFonts w:ascii="仿宋" w:hAnsi="仿宋" w:eastAsia="仿宋"/>
          <w:b/>
          <w:color w:val="auto"/>
          <w:sz w:val="24"/>
        </w:rPr>
      </w:pPr>
    </w:p>
    <w:p w14:paraId="7917D6A1">
      <w:pPr>
        <w:snapToGrid w:val="0"/>
        <w:spacing w:beforeLines="50" w:after="50"/>
        <w:ind w:left="142"/>
        <w:jc w:val="center"/>
        <w:rPr>
          <w:rFonts w:ascii="仿宋" w:hAnsi="仿宋" w:eastAsia="仿宋"/>
          <w:b/>
          <w:color w:val="auto"/>
          <w:sz w:val="32"/>
          <w:szCs w:val="32"/>
        </w:rPr>
      </w:pPr>
      <w:r>
        <w:rPr>
          <w:rFonts w:hint="eastAsia" w:ascii="仿宋" w:hAnsi="仿宋" w:eastAsia="仿宋"/>
          <w:b/>
          <w:color w:val="auto"/>
          <w:sz w:val="32"/>
          <w:szCs w:val="32"/>
        </w:rPr>
        <w:t>选配件、专用耗材、售后服务优惠表</w:t>
      </w:r>
    </w:p>
    <w:p w14:paraId="162F80F1">
      <w:pPr>
        <w:pStyle w:val="26"/>
        <w:rPr>
          <w:rFonts w:ascii="仿宋" w:hAnsi="仿宋" w:eastAsia="仿宋"/>
          <w:color w:val="auto"/>
          <w:sz w:val="24"/>
          <w:szCs w:val="24"/>
        </w:rPr>
      </w:pPr>
      <w:r>
        <w:rPr>
          <w:rFonts w:hint="eastAsia" w:ascii="仿宋" w:hAnsi="仿宋" w:eastAsia="仿宋"/>
          <w:color w:val="auto"/>
          <w:sz w:val="24"/>
          <w:szCs w:val="24"/>
        </w:rPr>
        <w:t>所投分标：分标</w:t>
      </w:r>
    </w:p>
    <w:tbl>
      <w:tblPr>
        <w:tblStyle w:val="4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14:paraId="033C46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D1B4140">
            <w:pPr>
              <w:pStyle w:val="26"/>
              <w:snapToGrid w:val="0"/>
              <w:spacing w:before="295" w:after="295"/>
              <w:jc w:val="center"/>
              <w:rPr>
                <w:rFonts w:ascii="仿宋" w:hAnsi="仿宋" w:eastAsia="仿宋" w:cs="Courier New"/>
                <w:color w:val="auto"/>
                <w:kern w:val="2"/>
                <w:sz w:val="24"/>
                <w:szCs w:val="24"/>
              </w:rPr>
            </w:pPr>
            <w:r>
              <w:rPr>
                <w:rFonts w:hint="eastAsia" w:ascii="仿宋" w:hAnsi="仿宋" w:eastAsia="仿宋" w:cs="Courier New"/>
                <w:color w:val="auto"/>
                <w:kern w:val="2"/>
                <w:sz w:val="24"/>
                <w:szCs w:val="24"/>
              </w:rPr>
              <w:t>序号</w:t>
            </w:r>
          </w:p>
        </w:tc>
        <w:tc>
          <w:tcPr>
            <w:tcW w:w="2700" w:type="dxa"/>
            <w:tcBorders>
              <w:top w:val="single" w:color="auto" w:sz="4" w:space="0"/>
              <w:left w:val="single" w:color="auto" w:sz="4" w:space="0"/>
              <w:bottom w:val="single" w:color="auto" w:sz="2" w:space="0"/>
              <w:right w:val="single" w:color="auto" w:sz="4" w:space="0"/>
            </w:tcBorders>
            <w:vAlign w:val="center"/>
          </w:tcPr>
          <w:p w14:paraId="67000B28">
            <w:pPr>
              <w:pStyle w:val="26"/>
              <w:snapToGrid w:val="0"/>
              <w:spacing w:before="295" w:after="295"/>
              <w:jc w:val="center"/>
              <w:rPr>
                <w:rFonts w:ascii="仿宋" w:hAnsi="仿宋" w:eastAsia="仿宋" w:cs="Courier New"/>
                <w:color w:val="auto"/>
                <w:kern w:val="2"/>
                <w:sz w:val="24"/>
                <w:szCs w:val="24"/>
              </w:rPr>
            </w:pPr>
            <w:r>
              <w:rPr>
                <w:rFonts w:hint="eastAsia" w:ascii="仿宋" w:hAnsi="仿宋" w:eastAsia="仿宋" w:cs="Courier New"/>
                <w:color w:val="auto"/>
                <w:kern w:val="2"/>
                <w:sz w:val="24"/>
                <w:szCs w:val="24"/>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14:paraId="725B5B96">
            <w:pPr>
              <w:pStyle w:val="26"/>
              <w:snapToGrid w:val="0"/>
              <w:spacing w:before="295" w:after="295"/>
              <w:jc w:val="center"/>
              <w:rPr>
                <w:rFonts w:ascii="仿宋" w:hAnsi="仿宋" w:eastAsia="仿宋" w:cs="Courier New"/>
                <w:color w:val="auto"/>
                <w:kern w:val="2"/>
                <w:sz w:val="24"/>
                <w:szCs w:val="24"/>
              </w:rPr>
            </w:pPr>
            <w:r>
              <w:rPr>
                <w:rFonts w:hint="eastAsia" w:ascii="仿宋" w:hAnsi="仿宋" w:eastAsia="仿宋" w:cs="Courier New"/>
                <w:color w:val="auto"/>
                <w:kern w:val="2"/>
                <w:sz w:val="24"/>
                <w:szCs w:val="24"/>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18A6CB9B">
            <w:pPr>
              <w:pStyle w:val="26"/>
              <w:snapToGrid w:val="0"/>
              <w:spacing w:before="295" w:after="295"/>
              <w:jc w:val="center"/>
              <w:rPr>
                <w:rFonts w:ascii="仿宋" w:hAnsi="仿宋" w:eastAsia="仿宋" w:cs="Courier New"/>
                <w:color w:val="auto"/>
                <w:kern w:val="2"/>
                <w:sz w:val="24"/>
                <w:szCs w:val="24"/>
              </w:rPr>
            </w:pPr>
            <w:r>
              <w:rPr>
                <w:rFonts w:hint="eastAsia" w:ascii="仿宋" w:hAnsi="仿宋" w:eastAsia="仿宋" w:cs="Courier New"/>
                <w:color w:val="auto"/>
                <w:kern w:val="2"/>
                <w:sz w:val="24"/>
                <w:szCs w:val="24"/>
              </w:rPr>
              <w:t>单价</w:t>
            </w:r>
          </w:p>
        </w:tc>
        <w:tc>
          <w:tcPr>
            <w:tcW w:w="2340" w:type="dxa"/>
            <w:tcBorders>
              <w:top w:val="single" w:color="auto" w:sz="4" w:space="0"/>
              <w:left w:val="single" w:color="auto" w:sz="4" w:space="0"/>
              <w:bottom w:val="single" w:color="auto" w:sz="2" w:space="0"/>
              <w:right w:val="single" w:color="auto" w:sz="4" w:space="0"/>
            </w:tcBorders>
            <w:vAlign w:val="center"/>
          </w:tcPr>
          <w:p w14:paraId="4AB007F2">
            <w:pPr>
              <w:pStyle w:val="26"/>
              <w:snapToGrid w:val="0"/>
              <w:spacing w:before="295" w:after="295"/>
              <w:jc w:val="center"/>
              <w:rPr>
                <w:rFonts w:ascii="仿宋" w:hAnsi="仿宋" w:eastAsia="仿宋" w:cs="Courier New"/>
                <w:color w:val="auto"/>
                <w:kern w:val="2"/>
                <w:sz w:val="24"/>
                <w:szCs w:val="24"/>
              </w:rPr>
            </w:pPr>
            <w:r>
              <w:rPr>
                <w:rFonts w:hint="eastAsia" w:ascii="仿宋" w:hAnsi="仿宋" w:eastAsia="仿宋" w:cs="Courier New"/>
                <w:color w:val="auto"/>
                <w:kern w:val="2"/>
                <w:sz w:val="24"/>
                <w:szCs w:val="24"/>
              </w:rPr>
              <w:t>比市场价优惠率</w:t>
            </w:r>
          </w:p>
        </w:tc>
      </w:tr>
      <w:tr w14:paraId="4EEB43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0704AF1C">
            <w:pPr>
              <w:pStyle w:val="26"/>
              <w:snapToGrid w:val="0"/>
              <w:spacing w:before="295" w:after="295"/>
              <w:jc w:val="center"/>
              <w:rPr>
                <w:rFonts w:ascii="仿宋" w:hAnsi="仿宋" w:eastAsia="仿宋"/>
                <w:color w:val="auto"/>
                <w:kern w:val="2"/>
                <w:sz w:val="24"/>
                <w:szCs w:val="24"/>
              </w:rPr>
            </w:pPr>
            <w:r>
              <w:rPr>
                <w:rFonts w:hint="eastAsia" w:ascii="仿宋" w:hAnsi="仿宋" w:eastAsia="仿宋"/>
                <w:color w:val="auto"/>
                <w:kern w:val="2"/>
                <w:sz w:val="24"/>
                <w:szCs w:val="24"/>
              </w:rPr>
              <w:t>1</w:t>
            </w:r>
          </w:p>
        </w:tc>
        <w:tc>
          <w:tcPr>
            <w:tcW w:w="2700" w:type="dxa"/>
            <w:tcBorders>
              <w:top w:val="single" w:color="auto" w:sz="2" w:space="0"/>
              <w:left w:val="single" w:color="auto" w:sz="2" w:space="0"/>
              <w:bottom w:val="single" w:color="auto" w:sz="6" w:space="0"/>
              <w:right w:val="single" w:color="auto" w:sz="4" w:space="0"/>
            </w:tcBorders>
            <w:vAlign w:val="center"/>
          </w:tcPr>
          <w:p w14:paraId="7EC05244">
            <w:pPr>
              <w:pStyle w:val="26"/>
              <w:snapToGrid w:val="0"/>
              <w:spacing w:before="295" w:after="295"/>
              <w:jc w:val="center"/>
              <w:rPr>
                <w:rFonts w:ascii="仿宋" w:hAnsi="仿宋" w:eastAsia="仿宋"/>
                <w:color w:val="auto"/>
                <w:kern w:val="2"/>
                <w:sz w:val="24"/>
                <w:szCs w:val="24"/>
              </w:rPr>
            </w:pPr>
          </w:p>
        </w:tc>
        <w:tc>
          <w:tcPr>
            <w:tcW w:w="1440" w:type="dxa"/>
            <w:tcBorders>
              <w:top w:val="single" w:color="auto" w:sz="2" w:space="0"/>
              <w:left w:val="single" w:color="auto" w:sz="4" w:space="0"/>
              <w:bottom w:val="single" w:color="auto" w:sz="6" w:space="0"/>
              <w:right w:val="single" w:color="auto" w:sz="6" w:space="0"/>
            </w:tcBorders>
            <w:vAlign w:val="center"/>
          </w:tcPr>
          <w:p w14:paraId="0F2FA601">
            <w:pPr>
              <w:pStyle w:val="26"/>
              <w:snapToGrid w:val="0"/>
              <w:spacing w:before="295" w:after="295"/>
              <w:jc w:val="center"/>
              <w:rPr>
                <w:rFonts w:ascii="仿宋" w:hAnsi="仿宋" w:eastAsia="仿宋"/>
                <w:color w:val="auto"/>
                <w:kern w:val="2"/>
                <w:sz w:val="24"/>
                <w:szCs w:val="24"/>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14:paraId="64D2E59B">
            <w:pPr>
              <w:pStyle w:val="26"/>
              <w:snapToGrid w:val="0"/>
              <w:spacing w:before="295" w:after="295"/>
              <w:jc w:val="center"/>
              <w:rPr>
                <w:rFonts w:ascii="仿宋" w:hAnsi="仿宋" w:eastAsia="仿宋"/>
                <w:color w:val="auto"/>
                <w:kern w:val="2"/>
                <w:sz w:val="24"/>
                <w:szCs w:val="24"/>
              </w:rPr>
            </w:pPr>
          </w:p>
        </w:tc>
        <w:tc>
          <w:tcPr>
            <w:tcW w:w="2340" w:type="dxa"/>
            <w:tcBorders>
              <w:top w:val="single" w:color="auto" w:sz="2" w:space="0"/>
              <w:left w:val="single" w:color="auto" w:sz="6" w:space="0"/>
              <w:bottom w:val="single" w:color="auto" w:sz="6" w:space="0"/>
              <w:right w:val="single" w:color="auto" w:sz="2" w:space="0"/>
            </w:tcBorders>
            <w:vAlign w:val="center"/>
          </w:tcPr>
          <w:p w14:paraId="00261ECD">
            <w:pPr>
              <w:pStyle w:val="26"/>
              <w:snapToGrid w:val="0"/>
              <w:spacing w:before="295" w:after="295"/>
              <w:jc w:val="center"/>
              <w:rPr>
                <w:rFonts w:ascii="仿宋" w:hAnsi="仿宋" w:eastAsia="仿宋"/>
                <w:color w:val="auto"/>
                <w:kern w:val="2"/>
                <w:sz w:val="24"/>
                <w:szCs w:val="24"/>
              </w:rPr>
            </w:pPr>
            <w:r>
              <w:rPr>
                <w:rFonts w:hint="eastAsia" w:ascii="仿宋" w:hAnsi="仿宋" w:eastAsia="仿宋"/>
                <w:color w:val="auto"/>
                <w:kern w:val="2"/>
                <w:sz w:val="24"/>
                <w:szCs w:val="24"/>
              </w:rPr>
              <w:t>%</w:t>
            </w:r>
          </w:p>
        </w:tc>
      </w:tr>
      <w:tr w14:paraId="714E4C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35C43A1B">
            <w:pPr>
              <w:pStyle w:val="26"/>
              <w:snapToGrid w:val="0"/>
              <w:spacing w:before="295" w:after="295"/>
              <w:jc w:val="center"/>
              <w:rPr>
                <w:rFonts w:ascii="仿宋" w:hAnsi="仿宋" w:eastAsia="仿宋"/>
                <w:color w:val="auto"/>
                <w:kern w:val="2"/>
                <w:sz w:val="24"/>
                <w:szCs w:val="24"/>
              </w:rPr>
            </w:pPr>
            <w:r>
              <w:rPr>
                <w:rFonts w:hint="eastAsia" w:ascii="仿宋" w:hAnsi="仿宋" w:eastAsia="仿宋"/>
                <w:color w:val="auto"/>
                <w:kern w:val="2"/>
                <w:sz w:val="24"/>
                <w:szCs w:val="24"/>
              </w:rPr>
              <w:t>2</w:t>
            </w:r>
          </w:p>
        </w:tc>
        <w:tc>
          <w:tcPr>
            <w:tcW w:w="2700" w:type="dxa"/>
            <w:tcBorders>
              <w:top w:val="single" w:color="auto" w:sz="6" w:space="0"/>
              <w:left w:val="single" w:color="auto" w:sz="2" w:space="0"/>
              <w:bottom w:val="single" w:color="auto" w:sz="6" w:space="0"/>
              <w:right w:val="single" w:color="auto" w:sz="4" w:space="0"/>
            </w:tcBorders>
            <w:vAlign w:val="center"/>
          </w:tcPr>
          <w:p w14:paraId="1409C06E">
            <w:pPr>
              <w:pStyle w:val="26"/>
              <w:snapToGrid w:val="0"/>
              <w:spacing w:before="295" w:after="295"/>
              <w:jc w:val="center"/>
              <w:rPr>
                <w:rFonts w:ascii="仿宋" w:hAnsi="仿宋" w:eastAsia="仿宋"/>
                <w:color w:val="auto"/>
                <w:kern w:val="2"/>
                <w:sz w:val="24"/>
                <w:szCs w:val="24"/>
              </w:rPr>
            </w:pPr>
          </w:p>
        </w:tc>
        <w:tc>
          <w:tcPr>
            <w:tcW w:w="1440" w:type="dxa"/>
            <w:tcBorders>
              <w:top w:val="single" w:color="auto" w:sz="6" w:space="0"/>
              <w:left w:val="single" w:color="auto" w:sz="4" w:space="0"/>
              <w:bottom w:val="single" w:color="auto" w:sz="6" w:space="0"/>
              <w:right w:val="single" w:color="auto" w:sz="6" w:space="0"/>
            </w:tcBorders>
            <w:vAlign w:val="center"/>
          </w:tcPr>
          <w:p w14:paraId="6DE40B57">
            <w:pPr>
              <w:pStyle w:val="26"/>
              <w:snapToGrid w:val="0"/>
              <w:spacing w:before="295" w:after="295"/>
              <w:jc w:val="center"/>
              <w:rPr>
                <w:rFonts w:ascii="仿宋" w:hAnsi="仿宋" w:eastAsia="仿宋"/>
                <w:color w:val="auto"/>
                <w:kern w:val="2"/>
                <w:sz w:val="24"/>
                <w:szCs w:val="24"/>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6BC6F8A0">
            <w:pPr>
              <w:pStyle w:val="26"/>
              <w:snapToGrid w:val="0"/>
              <w:spacing w:before="295" w:after="295"/>
              <w:jc w:val="center"/>
              <w:rPr>
                <w:rFonts w:ascii="仿宋" w:hAnsi="仿宋" w:eastAsia="仿宋"/>
                <w:color w:val="auto"/>
                <w:kern w:val="2"/>
                <w:sz w:val="24"/>
                <w:szCs w:val="24"/>
              </w:rPr>
            </w:pPr>
          </w:p>
        </w:tc>
        <w:tc>
          <w:tcPr>
            <w:tcW w:w="2340" w:type="dxa"/>
            <w:tcBorders>
              <w:top w:val="single" w:color="auto" w:sz="6" w:space="0"/>
              <w:left w:val="single" w:color="auto" w:sz="6" w:space="0"/>
              <w:bottom w:val="single" w:color="auto" w:sz="6" w:space="0"/>
              <w:right w:val="single" w:color="auto" w:sz="2" w:space="0"/>
            </w:tcBorders>
            <w:vAlign w:val="center"/>
          </w:tcPr>
          <w:p w14:paraId="4D22C39F">
            <w:pPr>
              <w:pStyle w:val="26"/>
              <w:snapToGrid w:val="0"/>
              <w:spacing w:before="295" w:after="295"/>
              <w:jc w:val="center"/>
              <w:rPr>
                <w:rFonts w:ascii="仿宋" w:hAnsi="仿宋" w:eastAsia="仿宋"/>
                <w:color w:val="auto"/>
                <w:kern w:val="2"/>
                <w:sz w:val="24"/>
                <w:szCs w:val="24"/>
              </w:rPr>
            </w:pPr>
            <w:r>
              <w:rPr>
                <w:rFonts w:hint="eastAsia" w:ascii="仿宋" w:hAnsi="仿宋" w:eastAsia="仿宋"/>
                <w:color w:val="auto"/>
                <w:kern w:val="2"/>
                <w:sz w:val="24"/>
                <w:szCs w:val="24"/>
              </w:rPr>
              <w:t>%</w:t>
            </w:r>
          </w:p>
        </w:tc>
      </w:tr>
      <w:tr w14:paraId="391A1E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25531D61">
            <w:pPr>
              <w:pStyle w:val="26"/>
              <w:snapToGrid w:val="0"/>
              <w:spacing w:before="295" w:after="295"/>
              <w:jc w:val="center"/>
              <w:rPr>
                <w:rFonts w:ascii="仿宋" w:hAnsi="仿宋" w:eastAsia="仿宋"/>
                <w:color w:val="auto"/>
                <w:kern w:val="2"/>
                <w:sz w:val="24"/>
                <w:szCs w:val="24"/>
              </w:rPr>
            </w:pPr>
            <w:r>
              <w:rPr>
                <w:rFonts w:hint="eastAsia" w:ascii="仿宋" w:hAnsi="仿宋" w:eastAsia="仿宋"/>
                <w:color w:val="auto"/>
                <w:kern w:val="2"/>
                <w:sz w:val="24"/>
                <w:szCs w:val="24"/>
              </w:rPr>
              <w:t>3</w:t>
            </w:r>
          </w:p>
        </w:tc>
        <w:tc>
          <w:tcPr>
            <w:tcW w:w="2700" w:type="dxa"/>
            <w:tcBorders>
              <w:top w:val="single" w:color="auto" w:sz="6" w:space="0"/>
              <w:left w:val="single" w:color="auto" w:sz="2" w:space="0"/>
              <w:bottom w:val="single" w:color="auto" w:sz="6" w:space="0"/>
              <w:right w:val="single" w:color="auto" w:sz="4" w:space="0"/>
            </w:tcBorders>
            <w:vAlign w:val="center"/>
          </w:tcPr>
          <w:p w14:paraId="5945AB68">
            <w:pPr>
              <w:pStyle w:val="26"/>
              <w:snapToGrid w:val="0"/>
              <w:spacing w:before="295" w:after="295"/>
              <w:jc w:val="center"/>
              <w:rPr>
                <w:rFonts w:ascii="仿宋" w:hAnsi="仿宋" w:eastAsia="仿宋"/>
                <w:color w:val="auto"/>
                <w:kern w:val="2"/>
                <w:sz w:val="24"/>
                <w:szCs w:val="24"/>
              </w:rPr>
            </w:pPr>
          </w:p>
        </w:tc>
        <w:tc>
          <w:tcPr>
            <w:tcW w:w="1440" w:type="dxa"/>
            <w:tcBorders>
              <w:top w:val="single" w:color="auto" w:sz="6" w:space="0"/>
              <w:left w:val="single" w:color="auto" w:sz="4" w:space="0"/>
              <w:bottom w:val="single" w:color="auto" w:sz="6" w:space="0"/>
              <w:right w:val="single" w:color="auto" w:sz="6" w:space="0"/>
            </w:tcBorders>
            <w:vAlign w:val="center"/>
          </w:tcPr>
          <w:p w14:paraId="1DEF2265">
            <w:pPr>
              <w:pStyle w:val="26"/>
              <w:snapToGrid w:val="0"/>
              <w:spacing w:before="295" w:after="295"/>
              <w:jc w:val="center"/>
              <w:rPr>
                <w:rFonts w:ascii="仿宋" w:hAnsi="仿宋" w:eastAsia="仿宋"/>
                <w:color w:val="auto"/>
                <w:kern w:val="2"/>
                <w:sz w:val="24"/>
                <w:szCs w:val="24"/>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3D08819A">
            <w:pPr>
              <w:pStyle w:val="26"/>
              <w:snapToGrid w:val="0"/>
              <w:spacing w:before="295" w:after="295"/>
              <w:jc w:val="center"/>
              <w:rPr>
                <w:rFonts w:ascii="仿宋" w:hAnsi="仿宋" w:eastAsia="仿宋"/>
                <w:color w:val="auto"/>
                <w:kern w:val="2"/>
                <w:sz w:val="24"/>
                <w:szCs w:val="24"/>
              </w:rPr>
            </w:pPr>
          </w:p>
        </w:tc>
        <w:tc>
          <w:tcPr>
            <w:tcW w:w="2340" w:type="dxa"/>
            <w:tcBorders>
              <w:top w:val="single" w:color="auto" w:sz="6" w:space="0"/>
              <w:left w:val="single" w:color="auto" w:sz="6" w:space="0"/>
              <w:bottom w:val="single" w:color="auto" w:sz="6" w:space="0"/>
              <w:right w:val="single" w:color="auto" w:sz="2" w:space="0"/>
            </w:tcBorders>
            <w:vAlign w:val="center"/>
          </w:tcPr>
          <w:p w14:paraId="2CC82D70">
            <w:pPr>
              <w:pStyle w:val="26"/>
              <w:snapToGrid w:val="0"/>
              <w:spacing w:before="295" w:after="295"/>
              <w:jc w:val="center"/>
              <w:rPr>
                <w:rFonts w:ascii="仿宋" w:hAnsi="仿宋" w:eastAsia="仿宋"/>
                <w:color w:val="auto"/>
                <w:kern w:val="2"/>
                <w:sz w:val="24"/>
                <w:szCs w:val="24"/>
              </w:rPr>
            </w:pPr>
            <w:r>
              <w:rPr>
                <w:rFonts w:hint="eastAsia" w:ascii="仿宋" w:hAnsi="仿宋" w:eastAsia="仿宋"/>
                <w:color w:val="auto"/>
                <w:kern w:val="2"/>
                <w:sz w:val="24"/>
                <w:szCs w:val="24"/>
              </w:rPr>
              <w:t>%</w:t>
            </w:r>
          </w:p>
        </w:tc>
      </w:tr>
    </w:tbl>
    <w:p w14:paraId="0E6810FD">
      <w:pPr>
        <w:spacing w:line="360" w:lineRule="auto"/>
        <w:contextualSpacing/>
        <w:rPr>
          <w:rFonts w:ascii="仿宋" w:hAnsi="仿宋" w:eastAsia="仿宋"/>
          <w:color w:val="auto"/>
          <w:sz w:val="24"/>
        </w:rPr>
      </w:pPr>
    </w:p>
    <w:p w14:paraId="08D1B29B">
      <w:pPr>
        <w:spacing w:line="360" w:lineRule="auto"/>
        <w:contextualSpacing/>
        <w:rPr>
          <w:rFonts w:ascii="仿宋" w:hAnsi="仿宋" w:eastAsia="仿宋"/>
          <w:color w:val="auto"/>
          <w:sz w:val="24"/>
        </w:rPr>
      </w:pPr>
    </w:p>
    <w:p w14:paraId="55C5FD0A">
      <w:pPr>
        <w:spacing w:line="360" w:lineRule="auto"/>
        <w:contextualSpacing/>
        <w:rPr>
          <w:rFonts w:ascii="仿宋" w:hAnsi="仿宋" w:eastAsia="仿宋"/>
          <w:color w:val="auto"/>
          <w:sz w:val="24"/>
        </w:rPr>
      </w:pPr>
    </w:p>
    <w:p w14:paraId="2F30E6A2">
      <w:pPr>
        <w:spacing w:line="360" w:lineRule="auto"/>
        <w:contextualSpacing/>
        <w:rPr>
          <w:rFonts w:ascii="仿宋" w:hAnsi="仿宋" w:eastAsia="仿宋"/>
          <w:color w:val="auto"/>
          <w:spacing w:val="20"/>
          <w:sz w:val="24"/>
          <w:u w:val="single"/>
        </w:rPr>
      </w:pPr>
      <w:r>
        <w:rPr>
          <w:rFonts w:hint="eastAsia" w:ascii="仿宋" w:hAnsi="仿宋" w:eastAsia="仿宋"/>
          <w:color w:val="auto"/>
          <w:sz w:val="24"/>
        </w:rPr>
        <w:t>法定代表人或者委托代理人</w:t>
      </w:r>
      <w:r>
        <w:rPr>
          <w:rFonts w:hint="eastAsia" w:ascii="仿宋" w:hAnsi="仿宋" w:eastAsia="仿宋"/>
          <w:color w:val="auto"/>
          <w:spacing w:val="20"/>
          <w:sz w:val="24"/>
        </w:rPr>
        <w:t>（签字）：</w:t>
      </w:r>
    </w:p>
    <w:p w14:paraId="2327DC74">
      <w:pPr>
        <w:spacing w:line="360" w:lineRule="auto"/>
        <w:contextualSpacing/>
        <w:rPr>
          <w:rFonts w:ascii="仿宋" w:hAnsi="仿宋" w:eastAsia="仿宋"/>
          <w:color w:val="auto"/>
          <w:spacing w:val="20"/>
          <w:sz w:val="24"/>
        </w:rPr>
      </w:pPr>
      <w:r>
        <w:rPr>
          <w:rFonts w:hint="eastAsia" w:ascii="仿宋" w:hAnsi="仿宋" w:eastAsia="仿宋"/>
          <w:color w:val="auto"/>
          <w:spacing w:val="20"/>
          <w:sz w:val="24"/>
        </w:rPr>
        <w:t>投标人名称（电子签章）：</w:t>
      </w:r>
    </w:p>
    <w:p w14:paraId="5FADE7CE">
      <w:pPr>
        <w:spacing w:line="360" w:lineRule="auto"/>
        <w:contextualSpacing/>
        <w:rPr>
          <w:rFonts w:ascii="仿宋" w:hAnsi="仿宋" w:eastAsia="仿宋"/>
          <w:color w:val="auto"/>
          <w:sz w:val="24"/>
          <w:szCs w:val="20"/>
        </w:rPr>
      </w:pPr>
      <w:r>
        <w:rPr>
          <w:rFonts w:hint="eastAsia" w:ascii="仿宋" w:hAnsi="仿宋" w:eastAsia="仿宋"/>
          <w:color w:val="auto"/>
          <w:spacing w:val="20"/>
          <w:sz w:val="24"/>
        </w:rPr>
        <w:t>日 期：</w:t>
      </w:r>
    </w:p>
    <w:p w14:paraId="0E508615">
      <w:pPr>
        <w:snapToGrid w:val="0"/>
        <w:spacing w:before="50" w:afterLines="50"/>
        <w:jc w:val="left"/>
        <w:rPr>
          <w:rFonts w:ascii="仿宋" w:hAnsi="仿宋" w:eastAsia="仿宋"/>
          <w:color w:val="auto"/>
          <w:sz w:val="24"/>
          <w:szCs w:val="20"/>
        </w:rPr>
      </w:pPr>
    </w:p>
    <w:p w14:paraId="5156AA84">
      <w:pPr>
        <w:rPr>
          <w:rFonts w:ascii="仿宋" w:hAnsi="仿宋" w:eastAsia="仿宋"/>
          <w:b/>
          <w:color w:val="auto"/>
          <w:sz w:val="28"/>
          <w:szCs w:val="28"/>
        </w:rPr>
      </w:pPr>
      <w:r>
        <w:rPr>
          <w:rFonts w:ascii="仿宋" w:hAnsi="仿宋" w:eastAsia="仿宋"/>
          <w:b/>
          <w:bCs/>
          <w:color w:val="auto"/>
          <w:sz w:val="24"/>
        </w:rPr>
        <w:br w:type="page"/>
      </w:r>
      <w:r>
        <w:rPr>
          <w:rFonts w:hint="eastAsia" w:ascii="仿宋" w:hAnsi="仿宋" w:eastAsia="仿宋"/>
          <w:b/>
          <w:color w:val="auto"/>
          <w:sz w:val="28"/>
          <w:szCs w:val="28"/>
        </w:rPr>
        <w:t>五、其他文书、文件格式</w:t>
      </w:r>
    </w:p>
    <w:p w14:paraId="76887D0C">
      <w:pPr>
        <w:snapToGrid w:val="0"/>
        <w:spacing w:beforeLines="50" w:after="50"/>
        <w:ind w:left="142"/>
        <w:jc w:val="left"/>
        <w:rPr>
          <w:rFonts w:ascii="仿宋" w:hAnsi="仿宋" w:eastAsia="仿宋"/>
          <w:b/>
          <w:color w:val="auto"/>
          <w:spacing w:val="20"/>
          <w:sz w:val="24"/>
        </w:rPr>
      </w:pPr>
      <w:r>
        <w:rPr>
          <w:rFonts w:hint="eastAsia" w:ascii="仿宋" w:hAnsi="仿宋" w:eastAsia="仿宋"/>
          <w:b/>
          <w:color w:val="auto"/>
          <w:spacing w:val="20"/>
          <w:sz w:val="24"/>
        </w:rPr>
        <w:t>1.联合投标协议书格式</w:t>
      </w:r>
    </w:p>
    <w:p w14:paraId="1F2CDEE0">
      <w:pPr>
        <w:snapToGrid w:val="0"/>
        <w:spacing w:beforeLines="50" w:after="50"/>
        <w:ind w:left="142"/>
        <w:jc w:val="left"/>
        <w:rPr>
          <w:rFonts w:ascii="仿宋" w:hAnsi="仿宋" w:eastAsia="仿宋"/>
          <w:b/>
          <w:color w:val="auto"/>
          <w:spacing w:val="20"/>
          <w:sz w:val="24"/>
        </w:rPr>
      </w:pPr>
    </w:p>
    <w:p w14:paraId="3259318D">
      <w:pPr>
        <w:pStyle w:val="10"/>
        <w:overflowPunct w:val="0"/>
        <w:jc w:val="center"/>
        <w:rPr>
          <w:rFonts w:ascii="仿宋" w:hAnsi="仿宋" w:eastAsia="仿宋" w:cs="方正小标宋简体"/>
          <w:color w:val="auto"/>
          <w:sz w:val="44"/>
          <w:szCs w:val="44"/>
        </w:rPr>
      </w:pPr>
      <w:r>
        <w:rPr>
          <w:rFonts w:hint="eastAsia" w:ascii="仿宋" w:hAnsi="仿宋" w:eastAsia="仿宋" w:cs="方正小标宋简体"/>
          <w:color w:val="auto"/>
          <w:sz w:val="44"/>
          <w:szCs w:val="44"/>
        </w:rPr>
        <w:t>联合体协议书</w:t>
      </w:r>
    </w:p>
    <w:p w14:paraId="10D568D9">
      <w:pPr>
        <w:pStyle w:val="10"/>
        <w:overflowPunct w:val="0"/>
        <w:rPr>
          <w:rFonts w:ascii="仿宋" w:hAnsi="仿宋" w:eastAsia="仿宋"/>
          <w:color w:val="auto"/>
          <w:sz w:val="24"/>
        </w:rPr>
      </w:pPr>
    </w:p>
    <w:p w14:paraId="6099621B">
      <w:pPr>
        <w:pStyle w:val="10"/>
        <w:overflowPunct w:val="0"/>
        <w:spacing w:line="360" w:lineRule="auto"/>
        <w:contextualSpacing/>
        <w:rPr>
          <w:rFonts w:ascii="仿宋" w:hAnsi="仿宋" w:eastAsia="仿宋"/>
          <w:color w:val="auto"/>
          <w:sz w:val="24"/>
        </w:rPr>
      </w:pPr>
      <w:r>
        <w:rPr>
          <w:rFonts w:ascii="仿宋" w:hAnsi="仿宋" w:eastAsia="仿宋"/>
          <w:color w:val="auto"/>
          <w:sz w:val="24"/>
          <w:u w:val="single"/>
        </w:rPr>
        <w:tab/>
      </w:r>
      <w:r>
        <w:rPr>
          <w:rFonts w:hint="eastAsia" w:ascii="仿宋" w:hAnsi="仿宋" w:eastAsia="仿宋"/>
          <w:color w:val="auto"/>
          <w:sz w:val="24"/>
        </w:rPr>
        <w:t>（所有成员单位名称）自愿组成</w:t>
      </w:r>
      <w:r>
        <w:rPr>
          <w:rFonts w:ascii="仿宋" w:hAnsi="仿宋" w:eastAsia="仿宋"/>
          <w:color w:val="auto"/>
          <w:sz w:val="24"/>
          <w:u w:val="single"/>
        </w:rPr>
        <w:tab/>
      </w:r>
      <w:r>
        <w:rPr>
          <w:rFonts w:hint="eastAsia" w:ascii="仿宋" w:hAnsi="仿宋" w:eastAsia="仿宋"/>
          <w:color w:val="auto"/>
          <w:sz w:val="24"/>
        </w:rPr>
        <w:t>（联合体名称）联合体，共同参加</w:t>
      </w:r>
      <w:r>
        <w:rPr>
          <w:rFonts w:ascii="仿宋" w:hAnsi="仿宋" w:eastAsia="仿宋"/>
          <w:color w:val="auto"/>
          <w:sz w:val="24"/>
          <w:u w:val="single"/>
        </w:rPr>
        <w:tab/>
      </w:r>
      <w:r>
        <w:rPr>
          <w:rFonts w:hint="eastAsia" w:ascii="仿宋" w:hAnsi="仿宋" w:eastAsia="仿宋"/>
          <w:color w:val="auto"/>
          <w:sz w:val="24"/>
          <w:u w:val="single"/>
        </w:rPr>
        <w:t>（项</w:t>
      </w:r>
      <w:r>
        <w:rPr>
          <w:rFonts w:hint="eastAsia" w:ascii="仿宋" w:hAnsi="仿宋" w:eastAsia="仿宋"/>
          <w:color w:val="auto"/>
          <w:sz w:val="24"/>
        </w:rPr>
        <w:t>目名称）采购招标项目投标。现就联合体投标事宜订立如下协议。</w:t>
      </w:r>
    </w:p>
    <w:p w14:paraId="185C99E7">
      <w:pPr>
        <w:pStyle w:val="10"/>
        <w:overflowPunct w:val="0"/>
        <w:spacing w:line="360" w:lineRule="auto"/>
        <w:ind w:firstLineChars="175"/>
        <w:contextualSpacing/>
        <w:rPr>
          <w:rFonts w:ascii="仿宋" w:hAnsi="仿宋" w:eastAsia="仿宋"/>
          <w:color w:val="auto"/>
          <w:sz w:val="24"/>
        </w:rPr>
      </w:pPr>
      <w:r>
        <w:rPr>
          <w:rFonts w:ascii="仿宋" w:hAnsi="仿宋" w:eastAsia="仿宋"/>
          <w:color w:val="auto"/>
          <w:sz w:val="24"/>
        </w:rPr>
        <w:t xml:space="preserve">1.  </w:t>
      </w:r>
      <w:r>
        <w:rPr>
          <w:rFonts w:ascii="仿宋" w:hAnsi="仿宋" w:eastAsia="仿宋"/>
          <w:color w:val="auto"/>
          <w:sz w:val="24"/>
          <w:u w:val="single"/>
        </w:rPr>
        <w:tab/>
      </w:r>
      <w:r>
        <w:rPr>
          <w:rFonts w:hint="eastAsia" w:ascii="仿宋" w:hAnsi="仿宋" w:eastAsia="仿宋"/>
          <w:color w:val="auto"/>
          <w:sz w:val="24"/>
        </w:rPr>
        <w:t>（某成员单位名称）为</w:t>
      </w:r>
      <w:r>
        <w:rPr>
          <w:rFonts w:ascii="仿宋" w:hAnsi="仿宋" w:eastAsia="仿宋"/>
          <w:color w:val="auto"/>
          <w:sz w:val="24"/>
          <w:u w:val="single"/>
        </w:rPr>
        <w:tab/>
      </w:r>
      <w:r>
        <w:rPr>
          <w:rFonts w:hint="eastAsia" w:ascii="仿宋" w:hAnsi="仿宋" w:eastAsia="仿宋"/>
          <w:color w:val="auto"/>
          <w:sz w:val="24"/>
        </w:rPr>
        <w:t>（联合体名称）牵头人。</w:t>
      </w:r>
    </w:p>
    <w:p w14:paraId="736892B4">
      <w:pPr>
        <w:pStyle w:val="10"/>
        <w:overflowPunct w:val="0"/>
        <w:spacing w:line="360" w:lineRule="auto"/>
        <w:ind w:firstLineChars="175"/>
        <w:contextualSpacing/>
        <w:rPr>
          <w:rFonts w:ascii="仿宋" w:hAnsi="仿宋" w:eastAsia="仿宋"/>
          <w:color w:val="auto"/>
          <w:sz w:val="24"/>
        </w:rPr>
      </w:pPr>
      <w:r>
        <w:rPr>
          <w:rFonts w:ascii="仿宋" w:hAnsi="仿宋" w:eastAsia="仿宋"/>
          <w:color w:val="auto"/>
          <w:sz w:val="24"/>
        </w:rPr>
        <w:t>2.</w:t>
      </w:r>
      <w:r>
        <w:rPr>
          <w:rFonts w:hint="eastAsia" w:ascii="仿宋" w:hAnsi="仿宋" w:eastAsia="仿宋"/>
          <w:color w:val="auto"/>
          <w:sz w:val="24"/>
        </w:rPr>
        <w:t>联合体各成员授权牵头人代表联合体参加投标活动，签署文件及对文件的盖章，提交和接收相关的资料、信息及指示，进行合同谈判活动，负责合同实施阶段的组织和协调工作，以及处理与本招标项目有关的一切事宜。</w:t>
      </w:r>
    </w:p>
    <w:p w14:paraId="0DDBD4F5">
      <w:pPr>
        <w:pStyle w:val="10"/>
        <w:overflowPunct w:val="0"/>
        <w:spacing w:line="360" w:lineRule="auto"/>
        <w:ind w:firstLineChars="175"/>
        <w:contextualSpacing/>
        <w:rPr>
          <w:rFonts w:ascii="仿宋" w:hAnsi="仿宋" w:eastAsia="仿宋"/>
          <w:color w:val="auto"/>
          <w:sz w:val="24"/>
        </w:rPr>
      </w:pPr>
      <w:r>
        <w:rPr>
          <w:rFonts w:ascii="仿宋" w:hAnsi="仿宋" w:eastAsia="仿宋"/>
          <w:color w:val="auto"/>
          <w:sz w:val="24"/>
        </w:rPr>
        <w:t>3.</w:t>
      </w:r>
      <w:r>
        <w:rPr>
          <w:rFonts w:hint="eastAsia" w:ascii="仿宋" w:hAnsi="仿宋" w:eastAsia="仿宋"/>
          <w:color w:val="auto"/>
          <w:sz w:val="24"/>
        </w:rPr>
        <w:t>联合体牵头人在本项目中签署和盖章的一切文件和处理的一切事宜，联合体各成员均予以承认。联合体各成员将严格按照招标文件、投标文件和合同的要求全面履行义务，并向招标人承担连带责任。</w:t>
      </w:r>
    </w:p>
    <w:p w14:paraId="2B2ECF47">
      <w:pPr>
        <w:pStyle w:val="10"/>
        <w:overflowPunct w:val="0"/>
        <w:spacing w:line="360" w:lineRule="auto"/>
        <w:ind w:firstLineChars="175"/>
        <w:contextualSpacing/>
        <w:rPr>
          <w:rFonts w:ascii="仿宋" w:hAnsi="仿宋" w:eastAsia="仿宋"/>
          <w:color w:val="auto"/>
          <w:sz w:val="24"/>
        </w:rPr>
      </w:pPr>
      <w:r>
        <w:rPr>
          <w:rFonts w:ascii="仿宋" w:hAnsi="仿宋" w:eastAsia="仿宋"/>
          <w:color w:val="auto"/>
          <w:sz w:val="24"/>
        </w:rPr>
        <w:t>4.</w:t>
      </w:r>
      <w:r>
        <w:rPr>
          <w:rFonts w:hint="eastAsia" w:ascii="仿宋" w:hAnsi="仿宋" w:eastAsia="仿宋"/>
          <w:color w:val="auto"/>
          <w:sz w:val="24"/>
        </w:rPr>
        <w:t>联合体各成员单位内部的职责分工如下：</w:t>
      </w:r>
      <w:r>
        <w:rPr>
          <w:rFonts w:ascii="仿宋" w:hAnsi="仿宋" w:eastAsia="仿宋"/>
          <w:color w:val="auto"/>
          <w:sz w:val="24"/>
          <w:u w:val="single"/>
        </w:rPr>
        <w:tab/>
      </w:r>
      <w:r>
        <w:rPr>
          <w:rFonts w:hint="eastAsia" w:ascii="仿宋" w:hAnsi="仿宋" w:eastAsia="仿宋"/>
          <w:color w:val="auto"/>
          <w:sz w:val="24"/>
        </w:rPr>
        <w:t>。</w:t>
      </w:r>
    </w:p>
    <w:p w14:paraId="0BE05390">
      <w:pPr>
        <w:pStyle w:val="10"/>
        <w:overflowPunct w:val="0"/>
        <w:spacing w:line="360" w:lineRule="auto"/>
        <w:ind w:firstLineChars="175"/>
        <w:contextualSpacing/>
        <w:rPr>
          <w:rFonts w:ascii="仿宋" w:hAnsi="仿宋" w:eastAsia="仿宋"/>
          <w:color w:val="auto"/>
          <w:sz w:val="24"/>
        </w:rPr>
      </w:pPr>
      <w:r>
        <w:rPr>
          <w:rFonts w:ascii="仿宋" w:hAnsi="仿宋" w:eastAsia="仿宋"/>
          <w:color w:val="auto"/>
          <w:sz w:val="24"/>
        </w:rPr>
        <w:t>5.</w:t>
      </w:r>
      <w:r>
        <w:rPr>
          <w:rFonts w:hint="eastAsia" w:ascii="仿宋" w:hAnsi="仿宋" w:eastAsia="仿宋"/>
          <w:color w:val="auto"/>
          <w:sz w:val="24"/>
        </w:rPr>
        <w:t>本协议书自所有成员单位法定代表人或者其委托代理人签字或者盖公章之日起生效，合同履行完毕后自动失效。</w:t>
      </w:r>
    </w:p>
    <w:p w14:paraId="32637B9B">
      <w:pPr>
        <w:pStyle w:val="10"/>
        <w:overflowPunct w:val="0"/>
        <w:spacing w:line="360" w:lineRule="auto"/>
        <w:ind w:firstLineChars="175"/>
        <w:contextualSpacing/>
        <w:rPr>
          <w:rFonts w:ascii="仿宋" w:hAnsi="仿宋" w:eastAsia="仿宋"/>
          <w:color w:val="auto"/>
          <w:sz w:val="24"/>
        </w:rPr>
      </w:pPr>
      <w:r>
        <w:rPr>
          <w:rFonts w:ascii="仿宋" w:hAnsi="仿宋" w:eastAsia="仿宋"/>
          <w:color w:val="auto"/>
          <w:sz w:val="24"/>
        </w:rPr>
        <w:t>6.</w:t>
      </w:r>
      <w:r>
        <w:rPr>
          <w:rFonts w:hint="eastAsia" w:ascii="仿宋" w:hAnsi="仿宋" w:eastAsia="仿宋"/>
          <w:color w:val="auto"/>
          <w:sz w:val="24"/>
        </w:rPr>
        <w:t>本协议书一式</w:t>
      </w:r>
      <w:r>
        <w:rPr>
          <w:rFonts w:ascii="仿宋" w:hAnsi="仿宋" w:eastAsia="仿宋"/>
          <w:color w:val="auto"/>
          <w:sz w:val="24"/>
          <w:u w:val="single"/>
        </w:rPr>
        <w:tab/>
      </w:r>
      <w:r>
        <w:rPr>
          <w:rFonts w:hint="eastAsia" w:ascii="仿宋" w:hAnsi="仿宋" w:eastAsia="仿宋"/>
          <w:color w:val="auto"/>
          <w:sz w:val="24"/>
        </w:rPr>
        <w:t>份，联合体成员和招标人各执一份。</w:t>
      </w:r>
    </w:p>
    <w:p w14:paraId="4AD2A5AE">
      <w:pPr>
        <w:pStyle w:val="10"/>
        <w:overflowPunct w:val="0"/>
        <w:spacing w:line="360" w:lineRule="auto"/>
        <w:ind w:firstLineChars="175"/>
        <w:contextualSpacing/>
        <w:rPr>
          <w:rFonts w:ascii="仿宋" w:hAnsi="仿宋" w:eastAsia="仿宋"/>
          <w:color w:val="auto"/>
          <w:sz w:val="24"/>
        </w:rPr>
      </w:pPr>
      <w:r>
        <w:rPr>
          <w:rFonts w:hint="eastAsia" w:ascii="仿宋" w:hAnsi="仿宋" w:eastAsia="仿宋"/>
          <w:color w:val="auto"/>
          <w:sz w:val="24"/>
        </w:rPr>
        <w:t>注：本协议书由法定代表人签字的，应附法定代表人身份证明；由委托代理人签字的，应附授权委托书。</w:t>
      </w:r>
    </w:p>
    <w:p w14:paraId="4DA004B9">
      <w:pPr>
        <w:pStyle w:val="10"/>
        <w:overflowPunct w:val="0"/>
        <w:spacing w:line="360" w:lineRule="auto"/>
        <w:ind w:firstLineChars="175"/>
        <w:contextualSpacing/>
        <w:rPr>
          <w:rFonts w:ascii="仿宋" w:hAnsi="仿宋" w:eastAsia="仿宋"/>
          <w:color w:val="auto"/>
          <w:sz w:val="24"/>
        </w:rPr>
      </w:pPr>
      <w:r>
        <w:rPr>
          <w:rFonts w:hint="eastAsia" w:ascii="仿宋" w:hAnsi="仿宋" w:eastAsia="仿宋"/>
          <w:color w:val="auto"/>
          <w:sz w:val="24"/>
        </w:rPr>
        <w:t>联合体牵头人名称（电子签章）：</w:t>
      </w:r>
    </w:p>
    <w:p w14:paraId="2A54C280">
      <w:pPr>
        <w:pStyle w:val="10"/>
        <w:overflowPunct w:val="0"/>
        <w:spacing w:line="360" w:lineRule="auto"/>
        <w:ind w:firstLineChars="175"/>
        <w:contextualSpacing/>
        <w:rPr>
          <w:rFonts w:ascii="仿宋" w:hAnsi="仿宋" w:eastAsia="仿宋"/>
          <w:color w:val="auto"/>
          <w:sz w:val="24"/>
        </w:rPr>
      </w:pPr>
      <w:r>
        <w:rPr>
          <w:rFonts w:hint="eastAsia" w:ascii="仿宋" w:hAnsi="仿宋" w:eastAsia="仿宋"/>
          <w:color w:val="auto"/>
          <w:sz w:val="24"/>
        </w:rPr>
        <w:t>法定代表人或者其委托代理人：</w:t>
      </w:r>
      <w:r>
        <w:rPr>
          <w:rFonts w:ascii="仿宋" w:hAnsi="仿宋" w:eastAsia="仿宋"/>
          <w:color w:val="auto"/>
          <w:sz w:val="24"/>
        </w:rPr>
        <w:tab/>
      </w:r>
      <w:r>
        <w:rPr>
          <w:rFonts w:hint="eastAsia" w:ascii="仿宋" w:hAnsi="仿宋" w:eastAsia="仿宋"/>
          <w:color w:val="auto"/>
          <w:sz w:val="24"/>
        </w:rPr>
        <w:t>（签字）</w:t>
      </w:r>
    </w:p>
    <w:p w14:paraId="57047B86">
      <w:pPr>
        <w:pStyle w:val="10"/>
        <w:overflowPunct w:val="0"/>
        <w:spacing w:line="360" w:lineRule="auto"/>
        <w:ind w:firstLineChars="175"/>
        <w:contextualSpacing/>
        <w:rPr>
          <w:rFonts w:ascii="仿宋" w:hAnsi="仿宋" w:eastAsia="仿宋"/>
          <w:color w:val="auto"/>
          <w:sz w:val="24"/>
        </w:rPr>
      </w:pPr>
    </w:p>
    <w:p w14:paraId="27218CCD">
      <w:pPr>
        <w:pStyle w:val="10"/>
        <w:overflowPunct w:val="0"/>
        <w:spacing w:line="360" w:lineRule="auto"/>
        <w:ind w:firstLineChars="175"/>
        <w:contextualSpacing/>
        <w:rPr>
          <w:rFonts w:ascii="仿宋" w:hAnsi="仿宋" w:eastAsia="仿宋"/>
          <w:color w:val="auto"/>
          <w:sz w:val="24"/>
        </w:rPr>
      </w:pPr>
      <w:r>
        <w:rPr>
          <w:rFonts w:hint="eastAsia" w:ascii="仿宋" w:hAnsi="仿宋" w:eastAsia="仿宋"/>
          <w:color w:val="auto"/>
          <w:sz w:val="24"/>
        </w:rPr>
        <w:t>联合体成员名称（电子签章）：</w:t>
      </w:r>
    </w:p>
    <w:p w14:paraId="753A34EB">
      <w:pPr>
        <w:pStyle w:val="10"/>
        <w:overflowPunct w:val="0"/>
        <w:spacing w:line="360" w:lineRule="auto"/>
        <w:ind w:firstLineChars="175"/>
        <w:contextualSpacing/>
        <w:rPr>
          <w:rFonts w:ascii="仿宋" w:hAnsi="仿宋" w:eastAsia="仿宋"/>
          <w:color w:val="auto"/>
          <w:sz w:val="24"/>
        </w:rPr>
      </w:pPr>
      <w:r>
        <w:rPr>
          <w:rFonts w:hint="eastAsia" w:ascii="仿宋" w:hAnsi="仿宋" w:eastAsia="仿宋"/>
          <w:color w:val="auto"/>
          <w:sz w:val="24"/>
        </w:rPr>
        <w:t>法定代表人或者其委托代理人：</w:t>
      </w:r>
      <w:r>
        <w:rPr>
          <w:rFonts w:ascii="仿宋" w:hAnsi="仿宋" w:eastAsia="仿宋"/>
          <w:color w:val="auto"/>
          <w:sz w:val="24"/>
        </w:rPr>
        <w:tab/>
      </w:r>
      <w:r>
        <w:rPr>
          <w:rFonts w:hint="eastAsia" w:ascii="仿宋" w:hAnsi="仿宋" w:eastAsia="仿宋"/>
          <w:color w:val="auto"/>
          <w:sz w:val="24"/>
        </w:rPr>
        <w:t>（签字）</w:t>
      </w:r>
    </w:p>
    <w:p w14:paraId="6C511D90">
      <w:pPr>
        <w:pStyle w:val="10"/>
        <w:overflowPunct w:val="0"/>
        <w:spacing w:line="360" w:lineRule="auto"/>
        <w:ind w:firstLineChars="175"/>
        <w:contextualSpacing/>
        <w:rPr>
          <w:rFonts w:ascii="仿宋" w:hAnsi="仿宋" w:eastAsia="仿宋"/>
          <w:color w:val="auto"/>
          <w:sz w:val="24"/>
        </w:rPr>
      </w:pPr>
      <w:r>
        <w:rPr>
          <w:rFonts w:ascii="仿宋" w:hAnsi="仿宋" w:eastAsia="仿宋"/>
          <w:color w:val="auto"/>
          <w:sz w:val="24"/>
        </w:rPr>
        <w:t>……</w:t>
      </w:r>
    </w:p>
    <w:p w14:paraId="7DDCFB94">
      <w:pPr>
        <w:pStyle w:val="10"/>
        <w:overflowPunct w:val="0"/>
        <w:spacing w:line="360" w:lineRule="auto"/>
        <w:ind w:firstLineChars="175"/>
        <w:contextualSpacing/>
        <w:rPr>
          <w:rFonts w:ascii="仿宋" w:hAnsi="仿宋" w:eastAsia="仿宋"/>
          <w:color w:val="auto"/>
          <w:sz w:val="24"/>
        </w:rPr>
      </w:pPr>
    </w:p>
    <w:p w14:paraId="28615530">
      <w:pPr>
        <w:pStyle w:val="10"/>
        <w:overflowPunct w:val="0"/>
        <w:spacing w:line="360" w:lineRule="auto"/>
        <w:ind w:firstLineChars="175"/>
        <w:contextualSpacing/>
        <w:jc w:val="right"/>
        <w:rPr>
          <w:rFonts w:ascii="仿宋" w:hAnsi="仿宋" w:eastAsia="仿宋"/>
          <w:b/>
          <w:color w:val="auto"/>
          <w:sz w:val="24"/>
        </w:rPr>
      </w:pPr>
      <w:r>
        <w:rPr>
          <w:rFonts w:ascii="仿宋" w:hAnsi="仿宋" w:eastAsia="仿宋"/>
          <w:color w:val="auto"/>
          <w:sz w:val="24"/>
        </w:rPr>
        <w:tab/>
      </w:r>
      <w:r>
        <w:rPr>
          <w:rFonts w:hint="eastAsia" w:ascii="仿宋" w:hAnsi="仿宋" w:eastAsia="仿宋"/>
          <w:color w:val="auto"/>
          <w:sz w:val="24"/>
        </w:rPr>
        <w:t>年</w:t>
      </w:r>
      <w:r>
        <w:rPr>
          <w:rFonts w:ascii="仿宋" w:hAnsi="仿宋" w:eastAsia="仿宋"/>
          <w:color w:val="auto"/>
          <w:sz w:val="24"/>
        </w:rPr>
        <w:tab/>
      </w:r>
      <w:r>
        <w:rPr>
          <w:rFonts w:hint="eastAsia" w:ascii="仿宋" w:hAnsi="仿宋" w:eastAsia="仿宋"/>
          <w:color w:val="auto"/>
          <w:sz w:val="24"/>
        </w:rPr>
        <w:t>月</w:t>
      </w:r>
      <w:r>
        <w:rPr>
          <w:rFonts w:ascii="仿宋" w:hAnsi="仿宋" w:eastAsia="仿宋"/>
          <w:color w:val="auto"/>
          <w:sz w:val="24"/>
        </w:rPr>
        <w:tab/>
      </w:r>
      <w:r>
        <w:rPr>
          <w:rFonts w:hint="eastAsia" w:ascii="仿宋" w:hAnsi="仿宋" w:eastAsia="仿宋"/>
          <w:color w:val="auto"/>
          <w:sz w:val="24"/>
        </w:rPr>
        <w:t>日</w:t>
      </w:r>
    </w:p>
    <w:p w14:paraId="23ABC4F2">
      <w:pPr>
        <w:snapToGrid w:val="0"/>
        <w:spacing w:beforeLines="50" w:after="50"/>
        <w:jc w:val="left"/>
        <w:rPr>
          <w:rFonts w:ascii="仿宋" w:hAnsi="仿宋" w:eastAsia="仿宋"/>
          <w:color w:val="auto"/>
        </w:rPr>
      </w:pPr>
      <w:r>
        <w:rPr>
          <w:rFonts w:hint="eastAsia" w:ascii="仿宋" w:hAnsi="仿宋" w:eastAsia="仿宋"/>
          <w:b/>
          <w:color w:val="auto"/>
          <w:sz w:val="24"/>
        </w:rPr>
        <w:t xml:space="preserve"> 2.中小企业声明函格式</w:t>
      </w:r>
    </w:p>
    <w:p w14:paraId="507FFDC2">
      <w:pPr>
        <w:rPr>
          <w:rFonts w:ascii="仿宋" w:hAnsi="仿宋" w:eastAsia="仿宋"/>
          <w:color w:val="auto"/>
        </w:rPr>
      </w:pPr>
    </w:p>
    <w:p w14:paraId="7B7671DC">
      <w:pPr>
        <w:jc w:val="center"/>
        <w:rPr>
          <w:rFonts w:ascii="仿宋" w:hAnsi="仿宋" w:eastAsia="仿宋" w:cs="方正小标宋简体"/>
          <w:color w:val="auto"/>
          <w:sz w:val="44"/>
          <w:szCs w:val="44"/>
        </w:rPr>
      </w:pPr>
      <w:r>
        <w:rPr>
          <w:rFonts w:hint="eastAsia" w:ascii="仿宋" w:hAnsi="仿宋" w:eastAsia="仿宋" w:cs="方正小标宋简体"/>
          <w:color w:val="auto"/>
          <w:sz w:val="44"/>
          <w:szCs w:val="44"/>
        </w:rPr>
        <w:t>中小企业声明函（货物）</w:t>
      </w:r>
    </w:p>
    <w:p w14:paraId="6B005532">
      <w:pPr>
        <w:spacing w:before="2" w:line="500" w:lineRule="exact"/>
        <w:rPr>
          <w:rFonts w:ascii="仿宋" w:hAnsi="仿宋" w:eastAsia="仿宋" w:cs="宋体"/>
          <w:b/>
          <w:bCs/>
          <w:color w:val="auto"/>
          <w:sz w:val="27"/>
          <w:szCs w:val="27"/>
        </w:rPr>
      </w:pPr>
    </w:p>
    <w:p w14:paraId="40DA4F49">
      <w:pPr>
        <w:pStyle w:val="19"/>
        <w:spacing w:line="360" w:lineRule="auto"/>
        <w:ind w:left="-426" w:leftChars="-203" w:right="142" w:firstLine="480" w:firstLineChars="200"/>
        <w:contextualSpacing/>
        <w:rPr>
          <w:rFonts w:ascii="仿宋" w:hAnsi="仿宋" w:eastAsia="仿宋"/>
          <w:color w:val="auto"/>
          <w:kern w:val="24"/>
        </w:rPr>
      </w:pPr>
      <w:r>
        <w:rPr>
          <w:rFonts w:ascii="仿宋" w:hAnsi="仿宋" w:eastAsia="仿宋"/>
          <w:color w:val="auto"/>
          <w:kern w:val="24"/>
        </w:rPr>
        <w:t>本公司（联合体）郑重声明，根据《政府采购促进中小企业发展管理办法》（财库﹝2020﹞46号）的规定，本公司（联合体）参加</w:t>
      </w:r>
      <w:r>
        <w:rPr>
          <w:rFonts w:ascii="仿宋" w:hAnsi="仿宋" w:eastAsia="仿宋"/>
          <w:color w:val="auto"/>
          <w:kern w:val="24"/>
          <w:u w:val="single"/>
        </w:rPr>
        <w:t>（单位名称）</w:t>
      </w:r>
      <w:r>
        <w:rPr>
          <w:rFonts w:ascii="仿宋" w:hAnsi="仿宋" w:eastAsia="仿宋"/>
          <w:color w:val="auto"/>
          <w:kern w:val="24"/>
        </w:rPr>
        <w:t>的</w:t>
      </w:r>
      <w:r>
        <w:rPr>
          <w:rFonts w:ascii="仿宋" w:hAnsi="仿宋" w:eastAsia="仿宋"/>
          <w:color w:val="auto"/>
          <w:kern w:val="24"/>
          <w:u w:val="single"/>
        </w:rPr>
        <w:t>（项目名称）</w:t>
      </w:r>
      <w:r>
        <w:rPr>
          <w:rFonts w:ascii="仿宋" w:hAnsi="仿宋" w:eastAsia="仿宋"/>
          <w:color w:val="auto"/>
          <w:kern w:val="24"/>
        </w:rPr>
        <w:t>采购活动，提供的货物全部由符合政策要求的中小企业制造。相关企业（含联合体中的中小企业、签订分包意向协议的中小企业）的具体情况如下：</w:t>
      </w:r>
    </w:p>
    <w:p w14:paraId="6C906D62">
      <w:pPr>
        <w:tabs>
          <w:tab w:val="left" w:pos="1384"/>
          <w:tab w:val="left" w:pos="4562"/>
          <w:tab w:val="left" w:pos="6803"/>
        </w:tabs>
        <w:spacing w:line="360" w:lineRule="auto"/>
        <w:ind w:left="-426" w:right="-58" w:firstLine="655"/>
        <w:contextualSpacing/>
        <w:rPr>
          <w:rFonts w:ascii="仿宋" w:hAnsi="仿宋" w:eastAsia="仿宋"/>
          <w:color w:val="auto"/>
          <w:kern w:val="24"/>
          <w:sz w:val="24"/>
        </w:rPr>
      </w:pPr>
      <w:r>
        <w:rPr>
          <w:rFonts w:ascii="仿宋" w:hAnsi="仿宋" w:eastAsia="仿宋"/>
          <w:color w:val="auto"/>
          <w:kern w:val="24"/>
          <w:sz w:val="24"/>
        </w:rPr>
        <w:t>1.</w:t>
      </w:r>
      <w:r>
        <w:rPr>
          <w:rFonts w:ascii="仿宋" w:hAnsi="仿宋" w:eastAsia="仿宋"/>
          <w:color w:val="auto"/>
          <w:kern w:val="24"/>
          <w:sz w:val="24"/>
          <w:u w:val="single"/>
        </w:rPr>
        <w:t>（标的名称）</w:t>
      </w:r>
      <w:r>
        <w:rPr>
          <w:rFonts w:ascii="仿宋" w:hAnsi="仿宋" w:eastAsia="仿宋"/>
          <w:color w:val="auto"/>
          <w:kern w:val="24"/>
          <w:sz w:val="24"/>
        </w:rPr>
        <w:t>，属于</w:t>
      </w:r>
      <w:r>
        <w:rPr>
          <w:rFonts w:ascii="仿宋" w:hAnsi="仿宋" w:eastAsia="仿宋"/>
          <w:color w:val="auto"/>
          <w:kern w:val="24"/>
          <w:sz w:val="24"/>
          <w:u w:val="single"/>
        </w:rPr>
        <w:t>（采购文件中明确的所属行业）</w:t>
      </w:r>
      <w:r>
        <w:rPr>
          <w:rFonts w:ascii="仿宋" w:hAnsi="仿宋" w:eastAsia="仿宋"/>
          <w:color w:val="auto"/>
          <w:kern w:val="24"/>
          <w:sz w:val="24"/>
        </w:rPr>
        <w:t>行业；制造商为</w:t>
      </w:r>
      <w:r>
        <w:rPr>
          <w:rFonts w:ascii="仿宋" w:hAnsi="仿宋" w:eastAsia="仿宋"/>
          <w:color w:val="auto"/>
          <w:kern w:val="24"/>
          <w:sz w:val="24"/>
          <w:u w:val="single"/>
        </w:rPr>
        <w:t>（企业名称）</w:t>
      </w:r>
      <w:r>
        <w:rPr>
          <w:rFonts w:ascii="仿宋" w:hAnsi="仿宋" w:eastAsia="仿宋"/>
          <w:color w:val="auto"/>
          <w:kern w:val="24"/>
          <w:sz w:val="24"/>
        </w:rPr>
        <w:t>，从业人员人，营业收入为万元，资产总额为万元，属于</w:t>
      </w:r>
      <w:r>
        <w:rPr>
          <w:rFonts w:ascii="仿宋" w:hAnsi="仿宋" w:eastAsia="仿宋"/>
          <w:color w:val="auto"/>
          <w:kern w:val="24"/>
          <w:sz w:val="24"/>
          <w:u w:val="single"/>
        </w:rPr>
        <w:t>（中型企业、小型企业、微型企业）</w:t>
      </w:r>
      <w:r>
        <w:rPr>
          <w:rFonts w:ascii="仿宋" w:hAnsi="仿宋" w:eastAsia="仿宋"/>
          <w:color w:val="auto"/>
          <w:kern w:val="24"/>
          <w:sz w:val="24"/>
        </w:rPr>
        <w:t>；</w:t>
      </w:r>
    </w:p>
    <w:p w14:paraId="57C76A03">
      <w:pPr>
        <w:tabs>
          <w:tab w:val="left" w:pos="1065"/>
          <w:tab w:val="left" w:pos="6477"/>
        </w:tabs>
        <w:spacing w:line="360" w:lineRule="auto"/>
        <w:ind w:left="-426" w:right="-58" w:firstLine="655"/>
        <w:contextualSpacing/>
        <w:rPr>
          <w:rFonts w:ascii="仿宋" w:hAnsi="仿宋" w:eastAsia="仿宋"/>
          <w:color w:val="auto"/>
          <w:kern w:val="24"/>
          <w:sz w:val="24"/>
        </w:rPr>
      </w:pPr>
      <w:r>
        <w:rPr>
          <w:rFonts w:ascii="仿宋" w:hAnsi="仿宋" w:eastAsia="仿宋"/>
          <w:color w:val="auto"/>
          <w:kern w:val="24"/>
          <w:sz w:val="24"/>
        </w:rPr>
        <w:t>2.</w:t>
      </w:r>
      <w:r>
        <w:rPr>
          <w:rFonts w:ascii="仿宋" w:hAnsi="仿宋" w:eastAsia="仿宋"/>
          <w:color w:val="auto"/>
          <w:kern w:val="24"/>
          <w:sz w:val="24"/>
          <w:u w:val="single"/>
        </w:rPr>
        <w:t>（标的名称）</w:t>
      </w:r>
      <w:r>
        <w:rPr>
          <w:rFonts w:ascii="仿宋" w:hAnsi="仿宋" w:eastAsia="仿宋"/>
          <w:color w:val="auto"/>
          <w:kern w:val="24"/>
          <w:sz w:val="24"/>
        </w:rPr>
        <w:t>，属于</w:t>
      </w:r>
      <w:r>
        <w:rPr>
          <w:rFonts w:ascii="仿宋" w:hAnsi="仿宋" w:eastAsia="仿宋"/>
          <w:color w:val="auto"/>
          <w:kern w:val="24"/>
          <w:sz w:val="24"/>
          <w:u w:val="single"/>
        </w:rPr>
        <w:t>（采购文件中明确的所属行业）</w:t>
      </w:r>
      <w:r>
        <w:rPr>
          <w:rFonts w:ascii="仿宋" w:hAnsi="仿宋" w:eastAsia="仿宋"/>
          <w:color w:val="auto"/>
          <w:kern w:val="24"/>
          <w:sz w:val="24"/>
        </w:rPr>
        <w:t>行业；制造商为</w:t>
      </w:r>
      <w:r>
        <w:rPr>
          <w:rFonts w:ascii="仿宋" w:hAnsi="仿宋" w:eastAsia="仿宋"/>
          <w:color w:val="auto"/>
          <w:kern w:val="24"/>
          <w:sz w:val="24"/>
          <w:u w:val="single"/>
        </w:rPr>
        <w:t>（企业名称）</w:t>
      </w:r>
      <w:r>
        <w:rPr>
          <w:rFonts w:ascii="仿宋" w:hAnsi="仿宋" w:eastAsia="仿宋"/>
          <w:color w:val="auto"/>
          <w:kern w:val="24"/>
          <w:sz w:val="24"/>
        </w:rPr>
        <w:t>，从业人员人，营业收入为万元，资产总额为万元，属于</w:t>
      </w:r>
      <w:r>
        <w:rPr>
          <w:rFonts w:ascii="仿宋" w:hAnsi="仿宋" w:eastAsia="仿宋"/>
          <w:color w:val="auto"/>
          <w:kern w:val="24"/>
          <w:sz w:val="24"/>
          <w:u w:val="single"/>
        </w:rPr>
        <w:t>（中型企业、小型企业、微型企业）</w:t>
      </w:r>
      <w:r>
        <w:rPr>
          <w:rFonts w:ascii="仿宋" w:hAnsi="仿宋" w:eastAsia="仿宋"/>
          <w:color w:val="auto"/>
          <w:kern w:val="24"/>
          <w:sz w:val="24"/>
        </w:rPr>
        <w:t>；</w:t>
      </w:r>
    </w:p>
    <w:p w14:paraId="47EE0036">
      <w:pPr>
        <w:pStyle w:val="19"/>
        <w:spacing w:line="360" w:lineRule="auto"/>
        <w:ind w:left="142" w:right="142"/>
        <w:contextualSpacing/>
        <w:rPr>
          <w:rFonts w:ascii="仿宋" w:hAnsi="仿宋" w:eastAsia="仿宋"/>
          <w:color w:val="auto"/>
          <w:kern w:val="24"/>
        </w:rPr>
      </w:pPr>
      <w:r>
        <w:rPr>
          <w:rFonts w:ascii="仿宋" w:hAnsi="仿宋" w:eastAsia="仿宋"/>
          <w:color w:val="auto"/>
          <w:kern w:val="24"/>
        </w:rPr>
        <w:t xml:space="preserve">…… </w:t>
      </w:r>
    </w:p>
    <w:p w14:paraId="4BE60E45">
      <w:pPr>
        <w:pStyle w:val="19"/>
        <w:spacing w:line="360" w:lineRule="auto"/>
        <w:ind w:left="-405" w:leftChars="-193" w:right="142" w:firstLine="453" w:firstLineChars="189"/>
        <w:contextualSpacing/>
        <w:rPr>
          <w:rFonts w:ascii="仿宋" w:hAnsi="仿宋" w:eastAsia="仿宋"/>
          <w:color w:val="auto"/>
          <w:kern w:val="24"/>
        </w:rPr>
      </w:pPr>
      <w:r>
        <w:rPr>
          <w:rFonts w:ascii="仿宋" w:hAnsi="仿宋" w:eastAsia="仿宋"/>
          <w:color w:val="auto"/>
          <w:kern w:val="24"/>
        </w:rPr>
        <w:t>以上企业，不属于大企业的分支机构，不存在控股股东为大企业的情形，也不存在与大企业的负责人为同一人的情形。</w:t>
      </w:r>
    </w:p>
    <w:p w14:paraId="0BBDC074">
      <w:pPr>
        <w:pStyle w:val="19"/>
        <w:spacing w:line="360" w:lineRule="auto"/>
        <w:ind w:left="-426" w:right="142" w:firstLine="567"/>
        <w:contextualSpacing/>
        <w:rPr>
          <w:rFonts w:ascii="仿宋" w:hAnsi="仿宋" w:eastAsia="仿宋"/>
          <w:color w:val="auto"/>
          <w:kern w:val="24"/>
        </w:rPr>
      </w:pPr>
      <w:r>
        <w:rPr>
          <w:rFonts w:ascii="仿宋" w:hAnsi="仿宋" w:eastAsia="仿宋"/>
          <w:color w:val="auto"/>
          <w:kern w:val="24"/>
        </w:rPr>
        <w:t>本企业对上述声明内容的真实性负责。如有虚假，将依法承担相应责任。</w:t>
      </w:r>
    </w:p>
    <w:p w14:paraId="37075619">
      <w:pPr>
        <w:pStyle w:val="19"/>
        <w:spacing w:line="360" w:lineRule="auto"/>
        <w:ind w:left="3960" w:right="1808"/>
        <w:contextualSpacing/>
        <w:rPr>
          <w:rFonts w:ascii="仿宋" w:hAnsi="仿宋" w:eastAsia="仿宋"/>
          <w:color w:val="auto"/>
          <w:kern w:val="24"/>
        </w:rPr>
      </w:pPr>
    </w:p>
    <w:p w14:paraId="39011686">
      <w:pPr>
        <w:pStyle w:val="19"/>
        <w:spacing w:line="360" w:lineRule="auto"/>
        <w:ind w:left="3960" w:right="1808"/>
        <w:contextualSpacing/>
        <w:rPr>
          <w:rFonts w:ascii="仿宋" w:hAnsi="仿宋" w:eastAsia="仿宋"/>
          <w:color w:val="auto"/>
          <w:kern w:val="24"/>
        </w:rPr>
      </w:pPr>
      <w:r>
        <w:rPr>
          <w:rFonts w:ascii="仿宋" w:hAnsi="仿宋" w:eastAsia="仿宋"/>
          <w:color w:val="auto"/>
          <w:kern w:val="24"/>
        </w:rPr>
        <w:t xml:space="preserve">企业名称（章）： </w:t>
      </w:r>
    </w:p>
    <w:p w14:paraId="2F7FA01E">
      <w:pPr>
        <w:pStyle w:val="19"/>
        <w:spacing w:line="360" w:lineRule="auto"/>
        <w:ind w:left="3960" w:right="1808"/>
        <w:contextualSpacing/>
        <w:rPr>
          <w:rFonts w:ascii="仿宋" w:hAnsi="仿宋" w:eastAsia="仿宋"/>
          <w:color w:val="auto"/>
          <w:kern w:val="24"/>
        </w:rPr>
      </w:pPr>
      <w:r>
        <w:rPr>
          <w:rFonts w:ascii="仿宋" w:hAnsi="仿宋" w:eastAsia="仿宋"/>
          <w:color w:val="auto"/>
          <w:kern w:val="24"/>
        </w:rPr>
        <w:t>日期：</w:t>
      </w:r>
    </w:p>
    <w:p w14:paraId="5542FE06">
      <w:pPr>
        <w:pStyle w:val="19"/>
        <w:spacing w:line="360" w:lineRule="auto"/>
        <w:ind w:left="3960" w:right="1808"/>
        <w:contextualSpacing/>
        <w:rPr>
          <w:rFonts w:ascii="仿宋" w:hAnsi="仿宋" w:eastAsia="仿宋"/>
          <w:color w:val="auto"/>
          <w:kern w:val="24"/>
        </w:rPr>
      </w:pPr>
    </w:p>
    <w:p w14:paraId="60338E02">
      <w:pPr>
        <w:pStyle w:val="19"/>
        <w:spacing w:line="360" w:lineRule="auto"/>
        <w:ind w:left="3960" w:right="1808"/>
        <w:contextualSpacing/>
        <w:rPr>
          <w:rFonts w:ascii="仿宋" w:hAnsi="仿宋" w:eastAsia="仿宋"/>
          <w:color w:val="auto"/>
          <w:kern w:val="24"/>
        </w:rPr>
      </w:pPr>
    </w:p>
    <w:p w14:paraId="02A77680">
      <w:pPr>
        <w:pStyle w:val="19"/>
        <w:spacing w:line="360" w:lineRule="auto"/>
        <w:ind w:left="-426" w:right="142" w:firstLine="567"/>
        <w:contextualSpacing/>
        <w:rPr>
          <w:rFonts w:ascii="仿宋" w:hAnsi="仿宋" w:eastAsia="仿宋"/>
          <w:color w:val="auto"/>
          <w:kern w:val="24"/>
        </w:rPr>
      </w:pPr>
      <w:r>
        <w:rPr>
          <w:rFonts w:hint="eastAsia" w:ascii="仿宋" w:hAnsi="仿宋" w:eastAsia="仿宋"/>
          <w:color w:val="auto"/>
          <w:kern w:val="24"/>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519DF9EA">
      <w:pPr>
        <w:snapToGrid w:val="0"/>
        <w:spacing w:beforeLines="50" w:after="50"/>
        <w:ind w:left="142"/>
        <w:jc w:val="left"/>
        <w:rPr>
          <w:rFonts w:ascii="仿宋" w:hAnsi="仿宋" w:eastAsia="仿宋"/>
          <w:b/>
          <w:color w:val="auto"/>
          <w:sz w:val="24"/>
        </w:rPr>
      </w:pPr>
    </w:p>
    <w:p w14:paraId="6D326A56">
      <w:pPr>
        <w:pStyle w:val="26"/>
        <w:jc w:val="left"/>
        <w:rPr>
          <w:rFonts w:ascii="仿宋" w:hAnsi="仿宋" w:eastAsia="仿宋" w:cs="Arial Unicode MS"/>
          <w:color w:val="auto"/>
          <w:sz w:val="32"/>
          <w:szCs w:val="32"/>
        </w:rPr>
      </w:pPr>
      <w:r>
        <w:rPr>
          <w:rFonts w:hint="eastAsia" w:ascii="仿宋" w:hAnsi="仿宋" w:eastAsia="仿宋" w:cs="Arial Unicode MS"/>
          <w:color w:val="auto"/>
          <w:sz w:val="32"/>
          <w:szCs w:val="32"/>
        </w:rPr>
        <w:t>附：</w:t>
      </w:r>
    </w:p>
    <w:p w14:paraId="6E3468B9">
      <w:pPr>
        <w:jc w:val="center"/>
        <w:rPr>
          <w:rFonts w:ascii="仿宋" w:hAnsi="仿宋" w:eastAsia="仿宋" w:cs="Arial Unicode MS"/>
          <w:color w:val="auto"/>
          <w:sz w:val="44"/>
          <w:szCs w:val="44"/>
        </w:rPr>
      </w:pPr>
      <w:r>
        <w:rPr>
          <w:rFonts w:hint="eastAsia" w:ascii="仿宋" w:hAnsi="仿宋" w:eastAsia="仿宋" w:cs="Arial Unicode MS"/>
          <w:color w:val="auto"/>
          <w:sz w:val="44"/>
          <w:szCs w:val="44"/>
        </w:rPr>
        <w:t>中小微企业划型标准</w:t>
      </w:r>
    </w:p>
    <w:p w14:paraId="7AA62A77">
      <w:pPr>
        <w:ind w:left="1871"/>
        <w:rPr>
          <w:rFonts w:ascii="仿宋" w:hAnsi="仿宋" w:eastAsia="仿宋" w:cs="Arial Unicode MS"/>
          <w:color w:val="auto"/>
          <w:szCs w:val="21"/>
        </w:rPr>
      </w:pPr>
    </w:p>
    <w:tbl>
      <w:tblPr>
        <w:tblStyle w:val="47"/>
        <w:tblW w:w="7983" w:type="dxa"/>
        <w:jc w:val="center"/>
        <w:tblLayout w:type="fixed"/>
        <w:tblCellMar>
          <w:top w:w="0" w:type="dxa"/>
          <w:left w:w="108" w:type="dxa"/>
          <w:bottom w:w="0" w:type="dxa"/>
          <w:right w:w="108" w:type="dxa"/>
        </w:tblCellMar>
      </w:tblPr>
      <w:tblGrid>
        <w:gridCol w:w="1701"/>
        <w:gridCol w:w="1384"/>
        <w:gridCol w:w="913"/>
        <w:gridCol w:w="1620"/>
        <w:gridCol w:w="1440"/>
        <w:gridCol w:w="925"/>
      </w:tblGrid>
      <w:tr w14:paraId="474C5FE0">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6D7D1A0A">
            <w:pPr>
              <w:widowControl/>
              <w:jc w:val="left"/>
              <w:rPr>
                <w:rFonts w:ascii="仿宋" w:hAnsi="仿宋" w:eastAsia="仿宋" w:cs="宋体"/>
                <w:b/>
                <w:color w:val="auto"/>
                <w:kern w:val="0"/>
                <w:sz w:val="24"/>
              </w:rPr>
            </w:pPr>
            <w:r>
              <w:rPr>
                <w:rFonts w:hint="eastAsia" w:ascii="仿宋" w:hAnsi="仿宋" w:eastAsia="仿宋" w:cs="宋体"/>
                <w:b/>
                <w:color w:val="auto"/>
                <w:kern w:val="0"/>
                <w:sz w:val="24"/>
              </w:rPr>
              <w:t>行业名称</w:t>
            </w:r>
          </w:p>
        </w:tc>
        <w:tc>
          <w:tcPr>
            <w:tcW w:w="1384" w:type="dxa"/>
            <w:tcBorders>
              <w:top w:val="single" w:color="auto" w:sz="4" w:space="0"/>
              <w:left w:val="nil"/>
              <w:bottom w:val="single" w:color="auto" w:sz="4" w:space="0"/>
              <w:right w:val="single" w:color="auto" w:sz="4" w:space="0"/>
            </w:tcBorders>
            <w:vAlign w:val="center"/>
          </w:tcPr>
          <w:p w14:paraId="3811734E">
            <w:pPr>
              <w:widowControl/>
              <w:jc w:val="left"/>
              <w:rPr>
                <w:rFonts w:ascii="仿宋" w:hAnsi="仿宋" w:eastAsia="仿宋" w:cs="宋体"/>
                <w:b/>
                <w:color w:val="auto"/>
                <w:kern w:val="0"/>
                <w:sz w:val="24"/>
              </w:rPr>
            </w:pPr>
            <w:r>
              <w:rPr>
                <w:rFonts w:hint="eastAsia" w:ascii="仿宋" w:hAnsi="仿宋" w:eastAsia="仿宋" w:cs="宋体"/>
                <w:b/>
                <w:color w:val="auto"/>
                <w:kern w:val="0"/>
                <w:sz w:val="24"/>
              </w:rPr>
              <w:t>指标名称</w:t>
            </w:r>
          </w:p>
        </w:tc>
        <w:tc>
          <w:tcPr>
            <w:tcW w:w="913" w:type="dxa"/>
            <w:tcBorders>
              <w:top w:val="single" w:color="auto" w:sz="4" w:space="0"/>
              <w:left w:val="nil"/>
              <w:bottom w:val="single" w:color="auto" w:sz="4" w:space="0"/>
              <w:right w:val="single" w:color="auto" w:sz="4" w:space="0"/>
            </w:tcBorders>
            <w:vAlign w:val="center"/>
          </w:tcPr>
          <w:p w14:paraId="0946A48D">
            <w:pPr>
              <w:widowControl/>
              <w:jc w:val="left"/>
              <w:rPr>
                <w:rFonts w:ascii="仿宋" w:hAnsi="仿宋" w:eastAsia="仿宋" w:cs="宋体"/>
                <w:b/>
                <w:color w:val="auto"/>
                <w:kern w:val="0"/>
                <w:sz w:val="24"/>
              </w:rPr>
            </w:pPr>
            <w:r>
              <w:rPr>
                <w:rFonts w:hint="eastAsia" w:ascii="仿宋" w:hAnsi="仿宋" w:eastAsia="仿宋" w:cs="宋体"/>
                <w:b/>
                <w:color w:val="auto"/>
                <w:kern w:val="0"/>
                <w:sz w:val="24"/>
              </w:rPr>
              <w:t>计量单位</w:t>
            </w:r>
          </w:p>
        </w:tc>
        <w:tc>
          <w:tcPr>
            <w:tcW w:w="1620" w:type="dxa"/>
            <w:tcBorders>
              <w:top w:val="single" w:color="auto" w:sz="4" w:space="0"/>
              <w:left w:val="nil"/>
              <w:bottom w:val="single" w:color="auto" w:sz="4" w:space="0"/>
              <w:right w:val="single" w:color="auto" w:sz="4" w:space="0"/>
            </w:tcBorders>
            <w:vAlign w:val="center"/>
          </w:tcPr>
          <w:p w14:paraId="230AB1F7">
            <w:pPr>
              <w:widowControl/>
              <w:jc w:val="left"/>
              <w:rPr>
                <w:rFonts w:ascii="仿宋" w:hAnsi="仿宋" w:eastAsia="仿宋" w:cs="宋体"/>
                <w:b/>
                <w:color w:val="auto"/>
                <w:kern w:val="0"/>
                <w:sz w:val="24"/>
              </w:rPr>
            </w:pPr>
            <w:r>
              <w:rPr>
                <w:rFonts w:hint="eastAsia" w:ascii="仿宋" w:hAnsi="仿宋" w:eastAsia="仿宋" w:cs="宋体"/>
                <w:b/>
                <w:color w:val="auto"/>
                <w:kern w:val="0"/>
                <w:sz w:val="24"/>
              </w:rPr>
              <w:t>中型</w:t>
            </w:r>
          </w:p>
        </w:tc>
        <w:tc>
          <w:tcPr>
            <w:tcW w:w="1440" w:type="dxa"/>
            <w:tcBorders>
              <w:top w:val="single" w:color="auto" w:sz="4" w:space="0"/>
              <w:left w:val="nil"/>
              <w:bottom w:val="single" w:color="auto" w:sz="4" w:space="0"/>
              <w:right w:val="single" w:color="auto" w:sz="4" w:space="0"/>
            </w:tcBorders>
            <w:vAlign w:val="center"/>
          </w:tcPr>
          <w:p w14:paraId="79FA8D6D">
            <w:pPr>
              <w:widowControl/>
              <w:jc w:val="left"/>
              <w:rPr>
                <w:rFonts w:ascii="仿宋" w:hAnsi="仿宋" w:eastAsia="仿宋" w:cs="宋体"/>
                <w:b/>
                <w:color w:val="auto"/>
                <w:kern w:val="0"/>
                <w:sz w:val="24"/>
              </w:rPr>
            </w:pPr>
            <w:r>
              <w:rPr>
                <w:rFonts w:hint="eastAsia" w:ascii="仿宋" w:hAnsi="仿宋" w:eastAsia="仿宋" w:cs="宋体"/>
                <w:b/>
                <w:color w:val="auto"/>
                <w:kern w:val="0"/>
                <w:sz w:val="24"/>
              </w:rPr>
              <w:t>小型</w:t>
            </w:r>
          </w:p>
        </w:tc>
        <w:tc>
          <w:tcPr>
            <w:tcW w:w="925" w:type="dxa"/>
            <w:tcBorders>
              <w:top w:val="single" w:color="auto" w:sz="4" w:space="0"/>
              <w:left w:val="nil"/>
              <w:bottom w:val="single" w:color="auto" w:sz="4" w:space="0"/>
              <w:right w:val="single" w:color="auto" w:sz="4" w:space="0"/>
            </w:tcBorders>
            <w:vAlign w:val="center"/>
          </w:tcPr>
          <w:p w14:paraId="4AF0B4DC">
            <w:pPr>
              <w:widowControl/>
              <w:jc w:val="left"/>
              <w:rPr>
                <w:rFonts w:ascii="仿宋" w:hAnsi="仿宋" w:eastAsia="仿宋" w:cs="宋体"/>
                <w:b/>
                <w:color w:val="auto"/>
                <w:kern w:val="0"/>
                <w:sz w:val="24"/>
              </w:rPr>
            </w:pPr>
            <w:r>
              <w:rPr>
                <w:rFonts w:hint="eastAsia" w:ascii="仿宋" w:hAnsi="仿宋" w:eastAsia="仿宋" w:cs="宋体"/>
                <w:b/>
                <w:color w:val="auto"/>
                <w:kern w:val="0"/>
                <w:sz w:val="24"/>
              </w:rPr>
              <w:t>微型</w:t>
            </w:r>
          </w:p>
        </w:tc>
      </w:tr>
      <w:tr w14:paraId="2A07D4DE">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bottom"/>
          </w:tcPr>
          <w:p w14:paraId="6836F5D4">
            <w:pPr>
              <w:widowControl/>
              <w:jc w:val="center"/>
              <w:rPr>
                <w:rFonts w:ascii="仿宋" w:hAnsi="仿宋" w:eastAsia="仿宋" w:cs="宋体"/>
                <w:b/>
                <w:bCs/>
                <w:color w:val="auto"/>
                <w:kern w:val="0"/>
                <w:sz w:val="18"/>
                <w:szCs w:val="18"/>
              </w:rPr>
            </w:pPr>
            <w:r>
              <w:rPr>
                <w:rFonts w:hint="eastAsia" w:ascii="仿宋" w:hAnsi="仿宋" w:eastAsia="仿宋" w:cs="宋体"/>
                <w:b/>
                <w:bCs/>
                <w:color w:val="auto"/>
                <w:kern w:val="0"/>
                <w:sz w:val="18"/>
                <w:szCs w:val="18"/>
              </w:rPr>
              <w:t>农、林、牧、渔</w:t>
            </w:r>
          </w:p>
        </w:tc>
        <w:tc>
          <w:tcPr>
            <w:tcW w:w="1384" w:type="dxa"/>
            <w:tcBorders>
              <w:top w:val="nil"/>
              <w:left w:val="nil"/>
              <w:bottom w:val="single" w:color="auto" w:sz="4" w:space="0"/>
              <w:right w:val="single" w:color="auto" w:sz="4" w:space="0"/>
            </w:tcBorders>
            <w:vAlign w:val="center"/>
          </w:tcPr>
          <w:p w14:paraId="41D1B9A4">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212D9C2C">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37600C1C">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500≤Y＜20000</w:t>
            </w:r>
          </w:p>
        </w:tc>
        <w:tc>
          <w:tcPr>
            <w:tcW w:w="1440" w:type="dxa"/>
            <w:tcBorders>
              <w:top w:val="nil"/>
              <w:left w:val="nil"/>
              <w:bottom w:val="single" w:color="auto" w:sz="4" w:space="0"/>
              <w:right w:val="single" w:color="auto" w:sz="4" w:space="0"/>
            </w:tcBorders>
            <w:vAlign w:val="center"/>
          </w:tcPr>
          <w:p w14:paraId="0D32B4EF">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50≤Y＜500</w:t>
            </w:r>
          </w:p>
        </w:tc>
        <w:tc>
          <w:tcPr>
            <w:tcW w:w="925" w:type="dxa"/>
            <w:tcBorders>
              <w:top w:val="nil"/>
              <w:left w:val="nil"/>
              <w:bottom w:val="single" w:color="auto" w:sz="4" w:space="0"/>
              <w:right w:val="single" w:color="auto" w:sz="4" w:space="0"/>
            </w:tcBorders>
            <w:vAlign w:val="center"/>
          </w:tcPr>
          <w:p w14:paraId="6120D3A5">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Y＜50</w:t>
            </w:r>
          </w:p>
        </w:tc>
      </w:tr>
      <w:tr w14:paraId="136CC047">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03B4B3D7">
            <w:pPr>
              <w:widowControl/>
              <w:jc w:val="center"/>
              <w:rPr>
                <w:rFonts w:ascii="仿宋" w:hAnsi="仿宋" w:eastAsia="仿宋" w:cs="宋体"/>
                <w:b/>
                <w:bCs/>
                <w:color w:val="auto"/>
                <w:kern w:val="0"/>
                <w:sz w:val="18"/>
                <w:szCs w:val="18"/>
              </w:rPr>
            </w:pPr>
            <w:r>
              <w:rPr>
                <w:rFonts w:hint="eastAsia" w:ascii="仿宋" w:hAnsi="仿宋" w:eastAsia="仿宋" w:cs="宋体"/>
                <w:b/>
                <w:bCs/>
                <w:color w:val="auto"/>
                <w:kern w:val="0"/>
                <w:sz w:val="18"/>
                <w:szCs w:val="18"/>
              </w:rPr>
              <w:t>工业</w:t>
            </w:r>
          </w:p>
        </w:tc>
        <w:tc>
          <w:tcPr>
            <w:tcW w:w="1384" w:type="dxa"/>
            <w:tcBorders>
              <w:top w:val="nil"/>
              <w:left w:val="nil"/>
              <w:bottom w:val="single" w:color="auto" w:sz="4" w:space="0"/>
              <w:right w:val="single" w:color="auto" w:sz="4" w:space="0"/>
            </w:tcBorders>
            <w:vAlign w:val="center"/>
          </w:tcPr>
          <w:p w14:paraId="76C1B07A">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1D47421D">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14:paraId="1F71507F">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300≤X＜1000</w:t>
            </w:r>
          </w:p>
        </w:tc>
        <w:tc>
          <w:tcPr>
            <w:tcW w:w="1440" w:type="dxa"/>
            <w:tcBorders>
              <w:top w:val="nil"/>
              <w:left w:val="nil"/>
              <w:bottom w:val="single" w:color="auto" w:sz="4" w:space="0"/>
              <w:right w:val="single" w:color="auto" w:sz="4" w:space="0"/>
            </w:tcBorders>
            <w:vAlign w:val="center"/>
          </w:tcPr>
          <w:p w14:paraId="13B8D19B">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20≤X＜300</w:t>
            </w:r>
          </w:p>
        </w:tc>
        <w:tc>
          <w:tcPr>
            <w:tcW w:w="925" w:type="dxa"/>
            <w:tcBorders>
              <w:top w:val="nil"/>
              <w:left w:val="nil"/>
              <w:bottom w:val="single" w:color="auto" w:sz="4" w:space="0"/>
              <w:right w:val="single" w:color="auto" w:sz="4" w:space="0"/>
            </w:tcBorders>
            <w:vAlign w:val="center"/>
          </w:tcPr>
          <w:p w14:paraId="0D94B76D">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X＜20</w:t>
            </w:r>
          </w:p>
        </w:tc>
      </w:tr>
      <w:tr w14:paraId="2716B0DA">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D221C78">
            <w:pPr>
              <w:widowControl/>
              <w:jc w:val="left"/>
              <w:rPr>
                <w:rFonts w:ascii="仿宋" w:hAnsi="仿宋" w:eastAsia="仿宋"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0D2AF132">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6C865E25">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6C951FE3">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2000≤Y＜40000</w:t>
            </w:r>
          </w:p>
        </w:tc>
        <w:tc>
          <w:tcPr>
            <w:tcW w:w="1440" w:type="dxa"/>
            <w:tcBorders>
              <w:top w:val="nil"/>
              <w:left w:val="nil"/>
              <w:bottom w:val="single" w:color="auto" w:sz="4" w:space="0"/>
              <w:right w:val="single" w:color="auto" w:sz="4" w:space="0"/>
            </w:tcBorders>
            <w:vAlign w:val="center"/>
          </w:tcPr>
          <w:p w14:paraId="158FB1DD">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300≤Y＜2000</w:t>
            </w:r>
          </w:p>
        </w:tc>
        <w:tc>
          <w:tcPr>
            <w:tcW w:w="925" w:type="dxa"/>
            <w:tcBorders>
              <w:top w:val="nil"/>
              <w:left w:val="nil"/>
              <w:bottom w:val="single" w:color="auto" w:sz="4" w:space="0"/>
              <w:right w:val="single" w:color="auto" w:sz="4" w:space="0"/>
            </w:tcBorders>
            <w:vAlign w:val="center"/>
          </w:tcPr>
          <w:p w14:paraId="6515B4DC">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Y＜300</w:t>
            </w:r>
          </w:p>
        </w:tc>
      </w:tr>
      <w:tr w14:paraId="0CFED9FD">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1FEAF0D">
            <w:pPr>
              <w:widowControl/>
              <w:jc w:val="center"/>
              <w:rPr>
                <w:rFonts w:ascii="仿宋" w:hAnsi="仿宋" w:eastAsia="仿宋" w:cs="宋体"/>
                <w:b/>
                <w:bCs/>
                <w:color w:val="auto"/>
                <w:kern w:val="0"/>
                <w:sz w:val="18"/>
                <w:szCs w:val="18"/>
              </w:rPr>
            </w:pPr>
            <w:r>
              <w:rPr>
                <w:rFonts w:hint="eastAsia" w:ascii="仿宋" w:hAnsi="仿宋" w:eastAsia="仿宋" w:cs="宋体"/>
                <w:b/>
                <w:bCs/>
                <w:color w:val="auto"/>
                <w:kern w:val="0"/>
                <w:sz w:val="18"/>
                <w:szCs w:val="18"/>
              </w:rPr>
              <w:t>建筑业</w:t>
            </w:r>
          </w:p>
        </w:tc>
        <w:tc>
          <w:tcPr>
            <w:tcW w:w="1384" w:type="dxa"/>
            <w:tcBorders>
              <w:top w:val="nil"/>
              <w:left w:val="nil"/>
              <w:bottom w:val="single" w:color="auto" w:sz="4" w:space="0"/>
              <w:right w:val="single" w:color="auto" w:sz="4" w:space="0"/>
            </w:tcBorders>
            <w:vAlign w:val="center"/>
          </w:tcPr>
          <w:p w14:paraId="6D288115">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610D7AF9">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620152D4">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6000≤Y＜80000</w:t>
            </w:r>
          </w:p>
        </w:tc>
        <w:tc>
          <w:tcPr>
            <w:tcW w:w="1440" w:type="dxa"/>
            <w:tcBorders>
              <w:top w:val="nil"/>
              <w:left w:val="nil"/>
              <w:bottom w:val="single" w:color="auto" w:sz="4" w:space="0"/>
              <w:right w:val="single" w:color="auto" w:sz="4" w:space="0"/>
            </w:tcBorders>
            <w:vAlign w:val="center"/>
          </w:tcPr>
          <w:p w14:paraId="3AACF8E2">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300≤Y＜6000</w:t>
            </w:r>
          </w:p>
        </w:tc>
        <w:tc>
          <w:tcPr>
            <w:tcW w:w="925" w:type="dxa"/>
            <w:tcBorders>
              <w:top w:val="nil"/>
              <w:left w:val="nil"/>
              <w:bottom w:val="single" w:color="auto" w:sz="4" w:space="0"/>
              <w:right w:val="single" w:color="auto" w:sz="4" w:space="0"/>
            </w:tcBorders>
            <w:vAlign w:val="center"/>
          </w:tcPr>
          <w:p w14:paraId="3C5A6385">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Y＜300</w:t>
            </w:r>
          </w:p>
        </w:tc>
      </w:tr>
      <w:tr w14:paraId="436C7526">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347F114C">
            <w:pPr>
              <w:widowControl/>
              <w:jc w:val="left"/>
              <w:rPr>
                <w:rFonts w:ascii="仿宋" w:hAnsi="仿宋" w:eastAsia="仿宋"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78475BA7">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资产总额（Z）</w:t>
            </w:r>
          </w:p>
        </w:tc>
        <w:tc>
          <w:tcPr>
            <w:tcW w:w="913" w:type="dxa"/>
            <w:tcBorders>
              <w:top w:val="nil"/>
              <w:left w:val="nil"/>
              <w:bottom w:val="single" w:color="auto" w:sz="4" w:space="0"/>
              <w:right w:val="single" w:color="auto" w:sz="4" w:space="0"/>
            </w:tcBorders>
            <w:vAlign w:val="center"/>
          </w:tcPr>
          <w:p w14:paraId="4D7FF0B9">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75BEAE3D">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5000≤Z＜80000</w:t>
            </w:r>
          </w:p>
        </w:tc>
        <w:tc>
          <w:tcPr>
            <w:tcW w:w="1440" w:type="dxa"/>
            <w:tcBorders>
              <w:top w:val="nil"/>
              <w:left w:val="nil"/>
              <w:bottom w:val="single" w:color="auto" w:sz="4" w:space="0"/>
              <w:right w:val="single" w:color="auto" w:sz="4" w:space="0"/>
            </w:tcBorders>
            <w:vAlign w:val="center"/>
          </w:tcPr>
          <w:p w14:paraId="5742EFBD">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300≤Z＜5000</w:t>
            </w:r>
          </w:p>
        </w:tc>
        <w:tc>
          <w:tcPr>
            <w:tcW w:w="925" w:type="dxa"/>
            <w:tcBorders>
              <w:top w:val="nil"/>
              <w:left w:val="nil"/>
              <w:bottom w:val="single" w:color="auto" w:sz="4" w:space="0"/>
              <w:right w:val="single" w:color="auto" w:sz="4" w:space="0"/>
            </w:tcBorders>
            <w:vAlign w:val="center"/>
          </w:tcPr>
          <w:p w14:paraId="1744931E">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Z＜300</w:t>
            </w:r>
          </w:p>
        </w:tc>
      </w:tr>
      <w:tr w14:paraId="51AD77B4">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14AB309B">
            <w:pPr>
              <w:widowControl/>
              <w:jc w:val="center"/>
              <w:rPr>
                <w:rFonts w:ascii="仿宋" w:hAnsi="仿宋" w:eastAsia="仿宋" w:cs="宋体"/>
                <w:b/>
                <w:bCs/>
                <w:color w:val="auto"/>
                <w:kern w:val="0"/>
                <w:sz w:val="18"/>
                <w:szCs w:val="18"/>
              </w:rPr>
            </w:pPr>
            <w:r>
              <w:rPr>
                <w:rFonts w:hint="eastAsia" w:ascii="仿宋" w:hAnsi="仿宋" w:eastAsia="仿宋" w:cs="宋体"/>
                <w:b/>
                <w:bCs/>
                <w:color w:val="auto"/>
                <w:kern w:val="0"/>
                <w:sz w:val="18"/>
                <w:szCs w:val="18"/>
              </w:rPr>
              <w:t>批发业</w:t>
            </w:r>
          </w:p>
        </w:tc>
        <w:tc>
          <w:tcPr>
            <w:tcW w:w="1384" w:type="dxa"/>
            <w:tcBorders>
              <w:top w:val="nil"/>
              <w:left w:val="nil"/>
              <w:bottom w:val="single" w:color="auto" w:sz="4" w:space="0"/>
              <w:right w:val="single" w:color="auto" w:sz="4" w:space="0"/>
            </w:tcBorders>
            <w:vAlign w:val="center"/>
          </w:tcPr>
          <w:p w14:paraId="71D1A7A1">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49081C8A">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14:paraId="7A78936B">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20≤X＜200</w:t>
            </w:r>
          </w:p>
        </w:tc>
        <w:tc>
          <w:tcPr>
            <w:tcW w:w="1440" w:type="dxa"/>
            <w:tcBorders>
              <w:top w:val="nil"/>
              <w:left w:val="nil"/>
              <w:bottom w:val="single" w:color="auto" w:sz="4" w:space="0"/>
              <w:right w:val="single" w:color="auto" w:sz="4" w:space="0"/>
            </w:tcBorders>
            <w:vAlign w:val="center"/>
          </w:tcPr>
          <w:p w14:paraId="1F8BAE73">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5≤X＜20</w:t>
            </w:r>
          </w:p>
        </w:tc>
        <w:tc>
          <w:tcPr>
            <w:tcW w:w="925" w:type="dxa"/>
            <w:tcBorders>
              <w:top w:val="nil"/>
              <w:left w:val="nil"/>
              <w:bottom w:val="single" w:color="auto" w:sz="4" w:space="0"/>
              <w:right w:val="single" w:color="auto" w:sz="4" w:space="0"/>
            </w:tcBorders>
            <w:vAlign w:val="center"/>
          </w:tcPr>
          <w:p w14:paraId="2F211D33">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X＜5</w:t>
            </w:r>
          </w:p>
        </w:tc>
      </w:tr>
      <w:tr w14:paraId="7E6F2B0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DD43D9F">
            <w:pPr>
              <w:widowControl/>
              <w:jc w:val="left"/>
              <w:rPr>
                <w:rFonts w:ascii="仿宋" w:hAnsi="仿宋" w:eastAsia="仿宋"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1A96790C">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7A4D75BC">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5D482446">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5000≤Y＜40000</w:t>
            </w:r>
          </w:p>
        </w:tc>
        <w:tc>
          <w:tcPr>
            <w:tcW w:w="1440" w:type="dxa"/>
            <w:tcBorders>
              <w:top w:val="nil"/>
              <w:left w:val="nil"/>
              <w:bottom w:val="single" w:color="auto" w:sz="4" w:space="0"/>
              <w:right w:val="single" w:color="auto" w:sz="4" w:space="0"/>
            </w:tcBorders>
            <w:vAlign w:val="center"/>
          </w:tcPr>
          <w:p w14:paraId="2042F0B8">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1000≤Y＜5000</w:t>
            </w:r>
          </w:p>
        </w:tc>
        <w:tc>
          <w:tcPr>
            <w:tcW w:w="925" w:type="dxa"/>
            <w:tcBorders>
              <w:top w:val="nil"/>
              <w:left w:val="nil"/>
              <w:bottom w:val="single" w:color="auto" w:sz="4" w:space="0"/>
              <w:right w:val="single" w:color="auto" w:sz="4" w:space="0"/>
            </w:tcBorders>
            <w:vAlign w:val="center"/>
          </w:tcPr>
          <w:p w14:paraId="689AD0C6">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Y＜1000</w:t>
            </w:r>
          </w:p>
        </w:tc>
      </w:tr>
      <w:tr w14:paraId="78987783">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5F706579">
            <w:pPr>
              <w:widowControl/>
              <w:jc w:val="center"/>
              <w:rPr>
                <w:rFonts w:ascii="仿宋" w:hAnsi="仿宋" w:eastAsia="仿宋" w:cs="宋体"/>
                <w:b/>
                <w:bCs/>
                <w:color w:val="auto"/>
                <w:kern w:val="0"/>
                <w:sz w:val="18"/>
                <w:szCs w:val="18"/>
              </w:rPr>
            </w:pPr>
            <w:r>
              <w:rPr>
                <w:rFonts w:hint="eastAsia" w:ascii="仿宋" w:hAnsi="仿宋" w:eastAsia="仿宋" w:cs="宋体"/>
                <w:b/>
                <w:bCs/>
                <w:color w:val="auto"/>
                <w:kern w:val="0"/>
                <w:sz w:val="18"/>
                <w:szCs w:val="18"/>
              </w:rPr>
              <w:t>零售业</w:t>
            </w:r>
          </w:p>
        </w:tc>
        <w:tc>
          <w:tcPr>
            <w:tcW w:w="1384" w:type="dxa"/>
            <w:tcBorders>
              <w:top w:val="nil"/>
              <w:left w:val="nil"/>
              <w:bottom w:val="single" w:color="auto" w:sz="4" w:space="0"/>
              <w:right w:val="single" w:color="auto" w:sz="4" w:space="0"/>
            </w:tcBorders>
            <w:vAlign w:val="center"/>
          </w:tcPr>
          <w:p w14:paraId="25048E15">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51EDCB17">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14:paraId="201EFD0A">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50≤X＜300</w:t>
            </w:r>
          </w:p>
        </w:tc>
        <w:tc>
          <w:tcPr>
            <w:tcW w:w="1440" w:type="dxa"/>
            <w:tcBorders>
              <w:top w:val="nil"/>
              <w:left w:val="nil"/>
              <w:bottom w:val="single" w:color="auto" w:sz="4" w:space="0"/>
              <w:right w:val="single" w:color="auto" w:sz="4" w:space="0"/>
            </w:tcBorders>
            <w:vAlign w:val="center"/>
          </w:tcPr>
          <w:p w14:paraId="2F156D72">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10≤X＜50</w:t>
            </w:r>
          </w:p>
        </w:tc>
        <w:tc>
          <w:tcPr>
            <w:tcW w:w="925" w:type="dxa"/>
            <w:tcBorders>
              <w:top w:val="nil"/>
              <w:left w:val="nil"/>
              <w:bottom w:val="single" w:color="auto" w:sz="4" w:space="0"/>
              <w:right w:val="single" w:color="auto" w:sz="4" w:space="0"/>
            </w:tcBorders>
            <w:vAlign w:val="center"/>
          </w:tcPr>
          <w:p w14:paraId="612B59CA">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X＜10</w:t>
            </w:r>
          </w:p>
        </w:tc>
      </w:tr>
      <w:tr w14:paraId="1CE560B5">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27036A4A">
            <w:pPr>
              <w:widowControl/>
              <w:jc w:val="left"/>
              <w:rPr>
                <w:rFonts w:ascii="仿宋" w:hAnsi="仿宋" w:eastAsia="仿宋"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64147695">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7E5D9B66">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301AF2D3">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500≤Y＜20000</w:t>
            </w:r>
          </w:p>
        </w:tc>
        <w:tc>
          <w:tcPr>
            <w:tcW w:w="1440" w:type="dxa"/>
            <w:tcBorders>
              <w:top w:val="nil"/>
              <w:left w:val="nil"/>
              <w:bottom w:val="single" w:color="auto" w:sz="4" w:space="0"/>
              <w:right w:val="single" w:color="auto" w:sz="4" w:space="0"/>
            </w:tcBorders>
            <w:vAlign w:val="center"/>
          </w:tcPr>
          <w:p w14:paraId="4D21282A">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100≤Y＜500</w:t>
            </w:r>
          </w:p>
        </w:tc>
        <w:tc>
          <w:tcPr>
            <w:tcW w:w="925" w:type="dxa"/>
            <w:tcBorders>
              <w:top w:val="nil"/>
              <w:left w:val="nil"/>
              <w:bottom w:val="single" w:color="auto" w:sz="4" w:space="0"/>
              <w:right w:val="single" w:color="auto" w:sz="4" w:space="0"/>
            </w:tcBorders>
            <w:vAlign w:val="center"/>
          </w:tcPr>
          <w:p w14:paraId="2366F2FD">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Y＜100</w:t>
            </w:r>
          </w:p>
        </w:tc>
      </w:tr>
      <w:tr w14:paraId="19E8D943">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762A93C5">
            <w:pPr>
              <w:widowControl/>
              <w:jc w:val="center"/>
              <w:rPr>
                <w:rFonts w:ascii="仿宋" w:hAnsi="仿宋" w:eastAsia="仿宋" w:cs="宋体"/>
                <w:b/>
                <w:bCs/>
                <w:color w:val="auto"/>
                <w:kern w:val="0"/>
                <w:sz w:val="18"/>
                <w:szCs w:val="18"/>
              </w:rPr>
            </w:pPr>
            <w:r>
              <w:rPr>
                <w:rFonts w:hint="eastAsia" w:ascii="仿宋" w:hAnsi="仿宋" w:eastAsia="仿宋" w:cs="宋体"/>
                <w:b/>
                <w:bCs/>
                <w:color w:val="auto"/>
                <w:kern w:val="0"/>
                <w:sz w:val="18"/>
                <w:szCs w:val="18"/>
              </w:rPr>
              <w:t>交通运输业</w:t>
            </w:r>
          </w:p>
        </w:tc>
        <w:tc>
          <w:tcPr>
            <w:tcW w:w="1384" w:type="dxa"/>
            <w:tcBorders>
              <w:top w:val="nil"/>
              <w:left w:val="nil"/>
              <w:bottom w:val="single" w:color="auto" w:sz="4" w:space="0"/>
              <w:right w:val="single" w:color="auto" w:sz="4" w:space="0"/>
            </w:tcBorders>
            <w:vAlign w:val="center"/>
          </w:tcPr>
          <w:p w14:paraId="475C4A1D">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4C342045">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14:paraId="0CDE3CF5">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300≤X＜1000</w:t>
            </w:r>
          </w:p>
        </w:tc>
        <w:tc>
          <w:tcPr>
            <w:tcW w:w="1440" w:type="dxa"/>
            <w:tcBorders>
              <w:top w:val="nil"/>
              <w:left w:val="nil"/>
              <w:bottom w:val="single" w:color="auto" w:sz="4" w:space="0"/>
              <w:right w:val="single" w:color="auto" w:sz="4" w:space="0"/>
            </w:tcBorders>
            <w:vAlign w:val="center"/>
          </w:tcPr>
          <w:p w14:paraId="1935FE26">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20≤X＜300</w:t>
            </w:r>
          </w:p>
        </w:tc>
        <w:tc>
          <w:tcPr>
            <w:tcW w:w="925" w:type="dxa"/>
            <w:tcBorders>
              <w:top w:val="nil"/>
              <w:left w:val="nil"/>
              <w:bottom w:val="single" w:color="auto" w:sz="4" w:space="0"/>
              <w:right w:val="single" w:color="auto" w:sz="4" w:space="0"/>
            </w:tcBorders>
            <w:vAlign w:val="center"/>
          </w:tcPr>
          <w:p w14:paraId="384EA6D7">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X＜20</w:t>
            </w:r>
          </w:p>
        </w:tc>
      </w:tr>
      <w:tr w14:paraId="4752B168">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50EC82F8">
            <w:pPr>
              <w:widowControl/>
              <w:jc w:val="left"/>
              <w:rPr>
                <w:rFonts w:ascii="仿宋" w:hAnsi="仿宋" w:eastAsia="仿宋"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44E30426">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0274A569">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6D517D95">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3000≤Y＜30000</w:t>
            </w:r>
          </w:p>
        </w:tc>
        <w:tc>
          <w:tcPr>
            <w:tcW w:w="1440" w:type="dxa"/>
            <w:tcBorders>
              <w:top w:val="nil"/>
              <w:left w:val="nil"/>
              <w:bottom w:val="single" w:color="auto" w:sz="4" w:space="0"/>
              <w:right w:val="single" w:color="auto" w:sz="4" w:space="0"/>
            </w:tcBorders>
            <w:vAlign w:val="center"/>
          </w:tcPr>
          <w:p w14:paraId="34864BE1">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200≤Y＜3000</w:t>
            </w:r>
          </w:p>
        </w:tc>
        <w:tc>
          <w:tcPr>
            <w:tcW w:w="925" w:type="dxa"/>
            <w:tcBorders>
              <w:top w:val="nil"/>
              <w:left w:val="nil"/>
              <w:bottom w:val="single" w:color="auto" w:sz="4" w:space="0"/>
              <w:right w:val="single" w:color="auto" w:sz="4" w:space="0"/>
            </w:tcBorders>
            <w:vAlign w:val="center"/>
          </w:tcPr>
          <w:p w14:paraId="42A6DF9A">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Y＜200</w:t>
            </w:r>
          </w:p>
        </w:tc>
      </w:tr>
      <w:tr w14:paraId="0D5CE29F">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6C497338">
            <w:pPr>
              <w:widowControl/>
              <w:jc w:val="center"/>
              <w:rPr>
                <w:rFonts w:ascii="仿宋" w:hAnsi="仿宋" w:eastAsia="仿宋" w:cs="宋体"/>
                <w:b/>
                <w:bCs/>
                <w:color w:val="auto"/>
                <w:kern w:val="0"/>
                <w:sz w:val="18"/>
                <w:szCs w:val="18"/>
              </w:rPr>
            </w:pPr>
            <w:r>
              <w:rPr>
                <w:rFonts w:hint="eastAsia" w:ascii="仿宋" w:hAnsi="仿宋" w:eastAsia="仿宋" w:cs="宋体"/>
                <w:b/>
                <w:bCs/>
                <w:color w:val="auto"/>
                <w:kern w:val="0"/>
                <w:sz w:val="18"/>
                <w:szCs w:val="18"/>
              </w:rPr>
              <w:t>仓储业</w:t>
            </w:r>
          </w:p>
        </w:tc>
        <w:tc>
          <w:tcPr>
            <w:tcW w:w="1384" w:type="dxa"/>
            <w:tcBorders>
              <w:top w:val="nil"/>
              <w:left w:val="nil"/>
              <w:bottom w:val="single" w:color="auto" w:sz="4" w:space="0"/>
              <w:right w:val="single" w:color="auto" w:sz="4" w:space="0"/>
            </w:tcBorders>
            <w:vAlign w:val="center"/>
          </w:tcPr>
          <w:p w14:paraId="528ED0B1">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220389D3">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14:paraId="56E97AD3">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100≤X＜200</w:t>
            </w:r>
          </w:p>
        </w:tc>
        <w:tc>
          <w:tcPr>
            <w:tcW w:w="1440" w:type="dxa"/>
            <w:tcBorders>
              <w:top w:val="nil"/>
              <w:left w:val="nil"/>
              <w:bottom w:val="single" w:color="auto" w:sz="4" w:space="0"/>
              <w:right w:val="single" w:color="auto" w:sz="4" w:space="0"/>
            </w:tcBorders>
            <w:vAlign w:val="center"/>
          </w:tcPr>
          <w:p w14:paraId="3A1305F4">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20≤X＜100</w:t>
            </w:r>
          </w:p>
        </w:tc>
        <w:tc>
          <w:tcPr>
            <w:tcW w:w="925" w:type="dxa"/>
            <w:tcBorders>
              <w:top w:val="nil"/>
              <w:left w:val="nil"/>
              <w:bottom w:val="single" w:color="auto" w:sz="4" w:space="0"/>
              <w:right w:val="single" w:color="auto" w:sz="4" w:space="0"/>
            </w:tcBorders>
            <w:vAlign w:val="center"/>
          </w:tcPr>
          <w:p w14:paraId="142AA54D">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X＜20</w:t>
            </w:r>
          </w:p>
        </w:tc>
      </w:tr>
      <w:tr w14:paraId="631A7053">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7D91033">
            <w:pPr>
              <w:widowControl/>
              <w:jc w:val="left"/>
              <w:rPr>
                <w:rFonts w:ascii="仿宋" w:hAnsi="仿宋" w:eastAsia="仿宋"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328EBB66">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3CABDEA5">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4AFAA38C">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1000≤Y＜30000</w:t>
            </w:r>
          </w:p>
        </w:tc>
        <w:tc>
          <w:tcPr>
            <w:tcW w:w="1440" w:type="dxa"/>
            <w:tcBorders>
              <w:top w:val="nil"/>
              <w:left w:val="nil"/>
              <w:bottom w:val="single" w:color="auto" w:sz="4" w:space="0"/>
              <w:right w:val="single" w:color="auto" w:sz="4" w:space="0"/>
            </w:tcBorders>
            <w:vAlign w:val="center"/>
          </w:tcPr>
          <w:p w14:paraId="0B4AD52D">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100≤Y＜1000</w:t>
            </w:r>
          </w:p>
        </w:tc>
        <w:tc>
          <w:tcPr>
            <w:tcW w:w="925" w:type="dxa"/>
            <w:tcBorders>
              <w:top w:val="nil"/>
              <w:left w:val="nil"/>
              <w:bottom w:val="single" w:color="auto" w:sz="4" w:space="0"/>
              <w:right w:val="single" w:color="auto" w:sz="4" w:space="0"/>
            </w:tcBorders>
            <w:vAlign w:val="center"/>
          </w:tcPr>
          <w:p w14:paraId="13B405FF">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Y＜100</w:t>
            </w:r>
          </w:p>
        </w:tc>
      </w:tr>
      <w:tr w14:paraId="01B8BEC3">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30F9910A">
            <w:pPr>
              <w:widowControl/>
              <w:jc w:val="center"/>
              <w:rPr>
                <w:rFonts w:ascii="仿宋" w:hAnsi="仿宋" w:eastAsia="仿宋" w:cs="宋体"/>
                <w:b/>
                <w:bCs/>
                <w:color w:val="auto"/>
                <w:kern w:val="0"/>
                <w:sz w:val="18"/>
                <w:szCs w:val="18"/>
              </w:rPr>
            </w:pPr>
            <w:r>
              <w:rPr>
                <w:rFonts w:hint="eastAsia" w:ascii="仿宋" w:hAnsi="仿宋" w:eastAsia="仿宋" w:cs="宋体"/>
                <w:b/>
                <w:bCs/>
                <w:color w:val="auto"/>
                <w:kern w:val="0"/>
                <w:sz w:val="18"/>
                <w:szCs w:val="18"/>
              </w:rPr>
              <w:t>邮政业</w:t>
            </w:r>
          </w:p>
        </w:tc>
        <w:tc>
          <w:tcPr>
            <w:tcW w:w="1384" w:type="dxa"/>
            <w:tcBorders>
              <w:top w:val="nil"/>
              <w:left w:val="nil"/>
              <w:bottom w:val="single" w:color="auto" w:sz="4" w:space="0"/>
              <w:right w:val="single" w:color="auto" w:sz="4" w:space="0"/>
            </w:tcBorders>
            <w:vAlign w:val="center"/>
          </w:tcPr>
          <w:p w14:paraId="0B879DE5">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49864C72">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14:paraId="32CB1150">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300≤X＜1000</w:t>
            </w:r>
          </w:p>
        </w:tc>
        <w:tc>
          <w:tcPr>
            <w:tcW w:w="1440" w:type="dxa"/>
            <w:tcBorders>
              <w:top w:val="nil"/>
              <w:left w:val="nil"/>
              <w:bottom w:val="single" w:color="auto" w:sz="4" w:space="0"/>
              <w:right w:val="single" w:color="auto" w:sz="4" w:space="0"/>
            </w:tcBorders>
            <w:vAlign w:val="center"/>
          </w:tcPr>
          <w:p w14:paraId="67AB3109">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20≤X＜300</w:t>
            </w:r>
          </w:p>
        </w:tc>
        <w:tc>
          <w:tcPr>
            <w:tcW w:w="925" w:type="dxa"/>
            <w:tcBorders>
              <w:top w:val="nil"/>
              <w:left w:val="nil"/>
              <w:bottom w:val="single" w:color="auto" w:sz="4" w:space="0"/>
              <w:right w:val="single" w:color="auto" w:sz="4" w:space="0"/>
            </w:tcBorders>
            <w:vAlign w:val="center"/>
          </w:tcPr>
          <w:p w14:paraId="184AF6A5">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X＜20</w:t>
            </w:r>
          </w:p>
        </w:tc>
      </w:tr>
      <w:tr w14:paraId="34095B3F">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135E644">
            <w:pPr>
              <w:widowControl/>
              <w:jc w:val="left"/>
              <w:rPr>
                <w:rFonts w:ascii="仿宋" w:hAnsi="仿宋" w:eastAsia="仿宋"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7D178057">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2BC00E45">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08BC67DE">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2000≤Y＜30000</w:t>
            </w:r>
          </w:p>
        </w:tc>
        <w:tc>
          <w:tcPr>
            <w:tcW w:w="1440" w:type="dxa"/>
            <w:tcBorders>
              <w:top w:val="nil"/>
              <w:left w:val="nil"/>
              <w:bottom w:val="single" w:color="auto" w:sz="4" w:space="0"/>
              <w:right w:val="single" w:color="auto" w:sz="4" w:space="0"/>
            </w:tcBorders>
            <w:vAlign w:val="center"/>
          </w:tcPr>
          <w:p w14:paraId="5F66678B">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100≤Y＜2000</w:t>
            </w:r>
          </w:p>
        </w:tc>
        <w:tc>
          <w:tcPr>
            <w:tcW w:w="925" w:type="dxa"/>
            <w:tcBorders>
              <w:top w:val="nil"/>
              <w:left w:val="nil"/>
              <w:bottom w:val="single" w:color="auto" w:sz="4" w:space="0"/>
              <w:right w:val="single" w:color="auto" w:sz="4" w:space="0"/>
            </w:tcBorders>
            <w:vAlign w:val="center"/>
          </w:tcPr>
          <w:p w14:paraId="6C49FF77">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Y＜100</w:t>
            </w:r>
          </w:p>
        </w:tc>
      </w:tr>
      <w:tr w14:paraId="0093E6DA">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5D0CBE0">
            <w:pPr>
              <w:widowControl/>
              <w:jc w:val="center"/>
              <w:rPr>
                <w:rFonts w:ascii="仿宋" w:hAnsi="仿宋" w:eastAsia="仿宋" w:cs="宋体"/>
                <w:b/>
                <w:bCs/>
                <w:color w:val="auto"/>
                <w:kern w:val="0"/>
                <w:sz w:val="18"/>
                <w:szCs w:val="18"/>
              </w:rPr>
            </w:pPr>
            <w:r>
              <w:rPr>
                <w:rFonts w:hint="eastAsia" w:ascii="仿宋" w:hAnsi="仿宋" w:eastAsia="仿宋" w:cs="宋体"/>
                <w:b/>
                <w:bCs/>
                <w:color w:val="auto"/>
                <w:kern w:val="0"/>
                <w:sz w:val="18"/>
                <w:szCs w:val="18"/>
              </w:rPr>
              <w:t>住宿业</w:t>
            </w:r>
          </w:p>
        </w:tc>
        <w:tc>
          <w:tcPr>
            <w:tcW w:w="1384" w:type="dxa"/>
            <w:tcBorders>
              <w:top w:val="nil"/>
              <w:left w:val="nil"/>
              <w:bottom w:val="single" w:color="auto" w:sz="4" w:space="0"/>
              <w:right w:val="single" w:color="auto" w:sz="4" w:space="0"/>
            </w:tcBorders>
            <w:vAlign w:val="center"/>
          </w:tcPr>
          <w:p w14:paraId="4F445798">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52273004">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14:paraId="48CE9C9A">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100≤X＜300</w:t>
            </w:r>
          </w:p>
        </w:tc>
        <w:tc>
          <w:tcPr>
            <w:tcW w:w="1440" w:type="dxa"/>
            <w:tcBorders>
              <w:top w:val="nil"/>
              <w:left w:val="nil"/>
              <w:bottom w:val="single" w:color="auto" w:sz="4" w:space="0"/>
              <w:right w:val="single" w:color="auto" w:sz="4" w:space="0"/>
            </w:tcBorders>
            <w:vAlign w:val="center"/>
          </w:tcPr>
          <w:p w14:paraId="671FA04B">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10≤X＜100</w:t>
            </w:r>
          </w:p>
        </w:tc>
        <w:tc>
          <w:tcPr>
            <w:tcW w:w="925" w:type="dxa"/>
            <w:tcBorders>
              <w:top w:val="nil"/>
              <w:left w:val="nil"/>
              <w:bottom w:val="single" w:color="auto" w:sz="4" w:space="0"/>
              <w:right w:val="single" w:color="auto" w:sz="4" w:space="0"/>
            </w:tcBorders>
            <w:vAlign w:val="center"/>
          </w:tcPr>
          <w:p w14:paraId="4E1E445E">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X＜10</w:t>
            </w:r>
          </w:p>
        </w:tc>
      </w:tr>
      <w:tr w14:paraId="315C4CB2">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4BD4F800">
            <w:pPr>
              <w:widowControl/>
              <w:jc w:val="left"/>
              <w:rPr>
                <w:rFonts w:ascii="仿宋" w:hAnsi="仿宋" w:eastAsia="仿宋"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7E231B73">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552B03F5">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6521D429">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2000≤Y＜10000</w:t>
            </w:r>
          </w:p>
        </w:tc>
        <w:tc>
          <w:tcPr>
            <w:tcW w:w="1440" w:type="dxa"/>
            <w:tcBorders>
              <w:top w:val="nil"/>
              <w:left w:val="nil"/>
              <w:bottom w:val="single" w:color="auto" w:sz="4" w:space="0"/>
              <w:right w:val="single" w:color="auto" w:sz="4" w:space="0"/>
            </w:tcBorders>
            <w:vAlign w:val="center"/>
          </w:tcPr>
          <w:p w14:paraId="32B5520A">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100≤Y＜2000</w:t>
            </w:r>
          </w:p>
        </w:tc>
        <w:tc>
          <w:tcPr>
            <w:tcW w:w="925" w:type="dxa"/>
            <w:tcBorders>
              <w:top w:val="nil"/>
              <w:left w:val="nil"/>
              <w:bottom w:val="single" w:color="auto" w:sz="4" w:space="0"/>
              <w:right w:val="single" w:color="auto" w:sz="4" w:space="0"/>
            </w:tcBorders>
            <w:vAlign w:val="center"/>
          </w:tcPr>
          <w:p w14:paraId="7B9DAC22">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Y＜100</w:t>
            </w:r>
          </w:p>
        </w:tc>
      </w:tr>
      <w:tr w14:paraId="400091C1">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0942F3F6">
            <w:pPr>
              <w:widowControl/>
              <w:jc w:val="center"/>
              <w:rPr>
                <w:rFonts w:ascii="仿宋" w:hAnsi="仿宋" w:eastAsia="仿宋" w:cs="宋体"/>
                <w:b/>
                <w:bCs/>
                <w:color w:val="auto"/>
                <w:kern w:val="0"/>
                <w:sz w:val="18"/>
                <w:szCs w:val="18"/>
              </w:rPr>
            </w:pPr>
            <w:r>
              <w:rPr>
                <w:rFonts w:hint="eastAsia" w:ascii="仿宋" w:hAnsi="仿宋" w:eastAsia="仿宋" w:cs="宋体"/>
                <w:b/>
                <w:bCs/>
                <w:color w:val="auto"/>
                <w:kern w:val="0"/>
                <w:sz w:val="18"/>
                <w:szCs w:val="18"/>
              </w:rPr>
              <w:t>餐饮业</w:t>
            </w:r>
          </w:p>
        </w:tc>
        <w:tc>
          <w:tcPr>
            <w:tcW w:w="1384" w:type="dxa"/>
            <w:tcBorders>
              <w:top w:val="nil"/>
              <w:left w:val="nil"/>
              <w:bottom w:val="single" w:color="auto" w:sz="4" w:space="0"/>
              <w:right w:val="single" w:color="auto" w:sz="4" w:space="0"/>
            </w:tcBorders>
            <w:vAlign w:val="center"/>
          </w:tcPr>
          <w:p w14:paraId="250A1AF3">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356DA681">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14:paraId="781CAC8D">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100≤X＜300</w:t>
            </w:r>
          </w:p>
        </w:tc>
        <w:tc>
          <w:tcPr>
            <w:tcW w:w="1440" w:type="dxa"/>
            <w:tcBorders>
              <w:top w:val="nil"/>
              <w:left w:val="nil"/>
              <w:bottom w:val="single" w:color="auto" w:sz="4" w:space="0"/>
              <w:right w:val="single" w:color="auto" w:sz="4" w:space="0"/>
            </w:tcBorders>
            <w:vAlign w:val="center"/>
          </w:tcPr>
          <w:p w14:paraId="2D346646">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10≤X＜100</w:t>
            </w:r>
          </w:p>
        </w:tc>
        <w:tc>
          <w:tcPr>
            <w:tcW w:w="925" w:type="dxa"/>
            <w:tcBorders>
              <w:top w:val="nil"/>
              <w:left w:val="nil"/>
              <w:bottom w:val="single" w:color="auto" w:sz="4" w:space="0"/>
              <w:right w:val="single" w:color="auto" w:sz="4" w:space="0"/>
            </w:tcBorders>
            <w:vAlign w:val="center"/>
          </w:tcPr>
          <w:p w14:paraId="2541EC06">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X＜10</w:t>
            </w:r>
          </w:p>
        </w:tc>
      </w:tr>
      <w:tr w14:paraId="594533C1">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226EC3ED">
            <w:pPr>
              <w:widowControl/>
              <w:jc w:val="left"/>
              <w:rPr>
                <w:rFonts w:ascii="仿宋" w:hAnsi="仿宋" w:eastAsia="仿宋"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5A01A723">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5C9EC80D">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119BEC36">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2000≤Y＜10000</w:t>
            </w:r>
          </w:p>
        </w:tc>
        <w:tc>
          <w:tcPr>
            <w:tcW w:w="1440" w:type="dxa"/>
            <w:tcBorders>
              <w:top w:val="nil"/>
              <w:left w:val="nil"/>
              <w:bottom w:val="single" w:color="auto" w:sz="4" w:space="0"/>
              <w:right w:val="single" w:color="auto" w:sz="4" w:space="0"/>
            </w:tcBorders>
            <w:vAlign w:val="center"/>
          </w:tcPr>
          <w:p w14:paraId="0B8DFF55">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100≤Y＜2000</w:t>
            </w:r>
          </w:p>
        </w:tc>
        <w:tc>
          <w:tcPr>
            <w:tcW w:w="925" w:type="dxa"/>
            <w:tcBorders>
              <w:top w:val="nil"/>
              <w:left w:val="nil"/>
              <w:bottom w:val="single" w:color="auto" w:sz="4" w:space="0"/>
              <w:right w:val="single" w:color="auto" w:sz="4" w:space="0"/>
            </w:tcBorders>
            <w:vAlign w:val="center"/>
          </w:tcPr>
          <w:p w14:paraId="615BC358">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Y＜100</w:t>
            </w:r>
          </w:p>
        </w:tc>
      </w:tr>
      <w:tr w14:paraId="27183F7B">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2ED15A5">
            <w:pPr>
              <w:widowControl/>
              <w:jc w:val="center"/>
              <w:rPr>
                <w:rFonts w:ascii="仿宋" w:hAnsi="仿宋" w:eastAsia="仿宋" w:cs="宋体"/>
                <w:b/>
                <w:bCs/>
                <w:color w:val="auto"/>
                <w:kern w:val="0"/>
                <w:sz w:val="18"/>
                <w:szCs w:val="18"/>
              </w:rPr>
            </w:pPr>
            <w:r>
              <w:rPr>
                <w:rFonts w:hint="eastAsia" w:ascii="仿宋" w:hAnsi="仿宋" w:eastAsia="仿宋" w:cs="宋体"/>
                <w:b/>
                <w:bCs/>
                <w:color w:val="auto"/>
                <w:kern w:val="0"/>
                <w:sz w:val="18"/>
                <w:szCs w:val="18"/>
              </w:rPr>
              <w:t>信息传输业</w:t>
            </w:r>
          </w:p>
        </w:tc>
        <w:tc>
          <w:tcPr>
            <w:tcW w:w="1384" w:type="dxa"/>
            <w:tcBorders>
              <w:top w:val="nil"/>
              <w:left w:val="nil"/>
              <w:bottom w:val="single" w:color="auto" w:sz="4" w:space="0"/>
              <w:right w:val="single" w:color="auto" w:sz="4" w:space="0"/>
            </w:tcBorders>
            <w:vAlign w:val="center"/>
          </w:tcPr>
          <w:p w14:paraId="17177321">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3F34EE11">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14:paraId="24D80265">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100≤X＜2000</w:t>
            </w:r>
          </w:p>
        </w:tc>
        <w:tc>
          <w:tcPr>
            <w:tcW w:w="1440" w:type="dxa"/>
            <w:tcBorders>
              <w:top w:val="nil"/>
              <w:left w:val="nil"/>
              <w:bottom w:val="single" w:color="auto" w:sz="4" w:space="0"/>
              <w:right w:val="single" w:color="auto" w:sz="4" w:space="0"/>
            </w:tcBorders>
            <w:vAlign w:val="center"/>
          </w:tcPr>
          <w:p w14:paraId="3DB4CFE9">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10≤X＜100</w:t>
            </w:r>
          </w:p>
        </w:tc>
        <w:tc>
          <w:tcPr>
            <w:tcW w:w="925" w:type="dxa"/>
            <w:tcBorders>
              <w:top w:val="nil"/>
              <w:left w:val="nil"/>
              <w:bottom w:val="single" w:color="auto" w:sz="4" w:space="0"/>
              <w:right w:val="single" w:color="auto" w:sz="4" w:space="0"/>
            </w:tcBorders>
            <w:vAlign w:val="center"/>
          </w:tcPr>
          <w:p w14:paraId="58BD0B2C">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X＜10</w:t>
            </w:r>
          </w:p>
        </w:tc>
      </w:tr>
      <w:tr w14:paraId="24975EE6">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B4BBFA0">
            <w:pPr>
              <w:widowControl/>
              <w:jc w:val="left"/>
              <w:rPr>
                <w:rFonts w:ascii="仿宋" w:hAnsi="仿宋" w:eastAsia="仿宋"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1C218B04">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39016A53">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4B174051">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1000≤Y＜100000</w:t>
            </w:r>
          </w:p>
        </w:tc>
        <w:tc>
          <w:tcPr>
            <w:tcW w:w="1440" w:type="dxa"/>
            <w:tcBorders>
              <w:top w:val="nil"/>
              <w:left w:val="nil"/>
              <w:bottom w:val="single" w:color="auto" w:sz="4" w:space="0"/>
              <w:right w:val="single" w:color="auto" w:sz="4" w:space="0"/>
            </w:tcBorders>
            <w:vAlign w:val="center"/>
          </w:tcPr>
          <w:p w14:paraId="0BC8F1D8">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100≤Y＜1000</w:t>
            </w:r>
          </w:p>
        </w:tc>
        <w:tc>
          <w:tcPr>
            <w:tcW w:w="925" w:type="dxa"/>
            <w:tcBorders>
              <w:top w:val="nil"/>
              <w:left w:val="nil"/>
              <w:bottom w:val="single" w:color="auto" w:sz="4" w:space="0"/>
              <w:right w:val="single" w:color="auto" w:sz="4" w:space="0"/>
            </w:tcBorders>
            <w:vAlign w:val="center"/>
          </w:tcPr>
          <w:p w14:paraId="29AD68AF">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Y＜100</w:t>
            </w:r>
          </w:p>
        </w:tc>
      </w:tr>
      <w:tr w14:paraId="556A1883">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6C5029F7">
            <w:pPr>
              <w:widowControl/>
              <w:jc w:val="center"/>
              <w:rPr>
                <w:rFonts w:ascii="仿宋" w:hAnsi="仿宋" w:eastAsia="仿宋" w:cs="宋体"/>
                <w:b/>
                <w:bCs/>
                <w:color w:val="auto"/>
                <w:kern w:val="0"/>
                <w:sz w:val="18"/>
                <w:szCs w:val="18"/>
              </w:rPr>
            </w:pPr>
            <w:r>
              <w:rPr>
                <w:rFonts w:hint="eastAsia" w:ascii="仿宋" w:hAnsi="仿宋" w:eastAsia="仿宋" w:cs="宋体"/>
                <w:b/>
                <w:bCs/>
                <w:color w:val="auto"/>
                <w:kern w:val="0"/>
                <w:sz w:val="18"/>
                <w:szCs w:val="18"/>
              </w:rPr>
              <w:t>软件和信息技术服务业</w:t>
            </w:r>
          </w:p>
        </w:tc>
        <w:tc>
          <w:tcPr>
            <w:tcW w:w="1384" w:type="dxa"/>
            <w:tcBorders>
              <w:top w:val="nil"/>
              <w:left w:val="nil"/>
              <w:bottom w:val="single" w:color="auto" w:sz="4" w:space="0"/>
              <w:right w:val="single" w:color="auto" w:sz="4" w:space="0"/>
            </w:tcBorders>
            <w:vAlign w:val="center"/>
          </w:tcPr>
          <w:p w14:paraId="6B87FB33">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5A38CB66">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14:paraId="21C4BFDE">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100≤X＜300</w:t>
            </w:r>
          </w:p>
        </w:tc>
        <w:tc>
          <w:tcPr>
            <w:tcW w:w="1440" w:type="dxa"/>
            <w:tcBorders>
              <w:top w:val="nil"/>
              <w:left w:val="nil"/>
              <w:bottom w:val="single" w:color="auto" w:sz="4" w:space="0"/>
              <w:right w:val="single" w:color="auto" w:sz="4" w:space="0"/>
            </w:tcBorders>
            <w:vAlign w:val="center"/>
          </w:tcPr>
          <w:p w14:paraId="3AB582FB">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10≤X＜100</w:t>
            </w:r>
          </w:p>
        </w:tc>
        <w:tc>
          <w:tcPr>
            <w:tcW w:w="925" w:type="dxa"/>
            <w:tcBorders>
              <w:top w:val="nil"/>
              <w:left w:val="nil"/>
              <w:bottom w:val="single" w:color="auto" w:sz="4" w:space="0"/>
              <w:right w:val="single" w:color="auto" w:sz="4" w:space="0"/>
            </w:tcBorders>
            <w:vAlign w:val="center"/>
          </w:tcPr>
          <w:p w14:paraId="2D085401">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X＜10</w:t>
            </w:r>
          </w:p>
        </w:tc>
      </w:tr>
      <w:tr w14:paraId="04F7275E">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1F3C1E0">
            <w:pPr>
              <w:widowControl/>
              <w:jc w:val="left"/>
              <w:rPr>
                <w:rFonts w:ascii="仿宋" w:hAnsi="仿宋" w:eastAsia="仿宋"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64E3CB4F">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17B04A19">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6AC791D5">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1000≤Y＜10000</w:t>
            </w:r>
          </w:p>
        </w:tc>
        <w:tc>
          <w:tcPr>
            <w:tcW w:w="1440" w:type="dxa"/>
            <w:tcBorders>
              <w:top w:val="nil"/>
              <w:left w:val="nil"/>
              <w:bottom w:val="single" w:color="auto" w:sz="4" w:space="0"/>
              <w:right w:val="single" w:color="auto" w:sz="4" w:space="0"/>
            </w:tcBorders>
            <w:vAlign w:val="center"/>
          </w:tcPr>
          <w:p w14:paraId="68232A94">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50≤Y＜1000</w:t>
            </w:r>
          </w:p>
        </w:tc>
        <w:tc>
          <w:tcPr>
            <w:tcW w:w="925" w:type="dxa"/>
            <w:tcBorders>
              <w:top w:val="nil"/>
              <w:left w:val="nil"/>
              <w:bottom w:val="single" w:color="auto" w:sz="4" w:space="0"/>
              <w:right w:val="single" w:color="auto" w:sz="4" w:space="0"/>
            </w:tcBorders>
            <w:vAlign w:val="center"/>
          </w:tcPr>
          <w:p w14:paraId="77B26446">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Y＜50</w:t>
            </w:r>
          </w:p>
        </w:tc>
      </w:tr>
      <w:tr w14:paraId="37C197C7">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7F5DA378">
            <w:pPr>
              <w:widowControl/>
              <w:jc w:val="center"/>
              <w:rPr>
                <w:rFonts w:ascii="仿宋" w:hAnsi="仿宋" w:eastAsia="仿宋" w:cs="宋体"/>
                <w:b/>
                <w:bCs/>
                <w:color w:val="auto"/>
                <w:kern w:val="0"/>
                <w:sz w:val="18"/>
                <w:szCs w:val="18"/>
              </w:rPr>
            </w:pPr>
            <w:r>
              <w:rPr>
                <w:rFonts w:hint="eastAsia" w:ascii="仿宋" w:hAnsi="仿宋" w:eastAsia="仿宋" w:cs="宋体"/>
                <w:b/>
                <w:bCs/>
                <w:color w:val="auto"/>
                <w:kern w:val="0"/>
                <w:sz w:val="18"/>
                <w:szCs w:val="18"/>
              </w:rPr>
              <w:t>房地产开发经营</w:t>
            </w:r>
          </w:p>
        </w:tc>
        <w:tc>
          <w:tcPr>
            <w:tcW w:w="1384" w:type="dxa"/>
            <w:tcBorders>
              <w:top w:val="nil"/>
              <w:left w:val="nil"/>
              <w:bottom w:val="single" w:color="auto" w:sz="4" w:space="0"/>
              <w:right w:val="single" w:color="auto" w:sz="4" w:space="0"/>
            </w:tcBorders>
            <w:vAlign w:val="center"/>
          </w:tcPr>
          <w:p w14:paraId="7DFEADDC">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0D515B52">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38BE5B30">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1000≤Y＜200000</w:t>
            </w:r>
          </w:p>
        </w:tc>
        <w:tc>
          <w:tcPr>
            <w:tcW w:w="1440" w:type="dxa"/>
            <w:tcBorders>
              <w:top w:val="nil"/>
              <w:left w:val="nil"/>
              <w:bottom w:val="single" w:color="auto" w:sz="4" w:space="0"/>
              <w:right w:val="single" w:color="auto" w:sz="4" w:space="0"/>
            </w:tcBorders>
            <w:vAlign w:val="center"/>
          </w:tcPr>
          <w:p w14:paraId="19D927DF">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100≤X＜1000</w:t>
            </w:r>
          </w:p>
        </w:tc>
        <w:tc>
          <w:tcPr>
            <w:tcW w:w="925" w:type="dxa"/>
            <w:tcBorders>
              <w:top w:val="nil"/>
              <w:left w:val="nil"/>
              <w:bottom w:val="single" w:color="auto" w:sz="4" w:space="0"/>
              <w:right w:val="single" w:color="auto" w:sz="4" w:space="0"/>
            </w:tcBorders>
            <w:vAlign w:val="center"/>
          </w:tcPr>
          <w:p w14:paraId="4026AB28">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X＜100</w:t>
            </w:r>
          </w:p>
        </w:tc>
      </w:tr>
      <w:tr w14:paraId="5666947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772056AB">
            <w:pPr>
              <w:widowControl/>
              <w:jc w:val="left"/>
              <w:rPr>
                <w:rFonts w:ascii="仿宋" w:hAnsi="仿宋" w:eastAsia="仿宋"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08C8B5BA">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资产总额（Z）</w:t>
            </w:r>
          </w:p>
        </w:tc>
        <w:tc>
          <w:tcPr>
            <w:tcW w:w="913" w:type="dxa"/>
            <w:tcBorders>
              <w:top w:val="nil"/>
              <w:left w:val="nil"/>
              <w:bottom w:val="single" w:color="auto" w:sz="4" w:space="0"/>
              <w:right w:val="single" w:color="auto" w:sz="4" w:space="0"/>
            </w:tcBorders>
            <w:vAlign w:val="center"/>
          </w:tcPr>
          <w:p w14:paraId="6A6BB262">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174A647C">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5000≤Z＜10000</w:t>
            </w:r>
          </w:p>
        </w:tc>
        <w:tc>
          <w:tcPr>
            <w:tcW w:w="1440" w:type="dxa"/>
            <w:tcBorders>
              <w:top w:val="nil"/>
              <w:left w:val="nil"/>
              <w:bottom w:val="single" w:color="auto" w:sz="4" w:space="0"/>
              <w:right w:val="single" w:color="auto" w:sz="4" w:space="0"/>
            </w:tcBorders>
            <w:vAlign w:val="center"/>
          </w:tcPr>
          <w:p w14:paraId="36A2F434">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2000≤Y＜5000</w:t>
            </w:r>
          </w:p>
        </w:tc>
        <w:tc>
          <w:tcPr>
            <w:tcW w:w="925" w:type="dxa"/>
            <w:tcBorders>
              <w:top w:val="nil"/>
              <w:left w:val="nil"/>
              <w:bottom w:val="single" w:color="auto" w:sz="4" w:space="0"/>
              <w:right w:val="single" w:color="auto" w:sz="4" w:space="0"/>
            </w:tcBorders>
            <w:vAlign w:val="center"/>
          </w:tcPr>
          <w:p w14:paraId="76A7FDE5">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Y＜2000</w:t>
            </w:r>
          </w:p>
        </w:tc>
      </w:tr>
      <w:tr w14:paraId="229DEF76">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627F68D3">
            <w:pPr>
              <w:widowControl/>
              <w:jc w:val="center"/>
              <w:rPr>
                <w:rFonts w:ascii="仿宋" w:hAnsi="仿宋" w:eastAsia="仿宋" w:cs="宋体"/>
                <w:b/>
                <w:bCs/>
                <w:color w:val="auto"/>
                <w:kern w:val="0"/>
                <w:sz w:val="18"/>
                <w:szCs w:val="18"/>
              </w:rPr>
            </w:pPr>
            <w:r>
              <w:rPr>
                <w:rFonts w:hint="eastAsia" w:ascii="仿宋" w:hAnsi="仿宋" w:eastAsia="仿宋" w:cs="宋体"/>
                <w:b/>
                <w:bCs/>
                <w:color w:val="auto"/>
                <w:kern w:val="0"/>
                <w:sz w:val="18"/>
                <w:szCs w:val="18"/>
              </w:rPr>
              <w:t>物业管理</w:t>
            </w:r>
          </w:p>
        </w:tc>
        <w:tc>
          <w:tcPr>
            <w:tcW w:w="1384" w:type="dxa"/>
            <w:tcBorders>
              <w:top w:val="nil"/>
              <w:left w:val="nil"/>
              <w:bottom w:val="single" w:color="auto" w:sz="4" w:space="0"/>
              <w:right w:val="single" w:color="auto" w:sz="4" w:space="0"/>
            </w:tcBorders>
            <w:vAlign w:val="center"/>
          </w:tcPr>
          <w:p w14:paraId="2682A23B">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5D12FE0B">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14:paraId="09784961">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300≤X＜1000</w:t>
            </w:r>
          </w:p>
        </w:tc>
        <w:tc>
          <w:tcPr>
            <w:tcW w:w="1440" w:type="dxa"/>
            <w:tcBorders>
              <w:top w:val="nil"/>
              <w:left w:val="nil"/>
              <w:bottom w:val="single" w:color="auto" w:sz="4" w:space="0"/>
              <w:right w:val="single" w:color="auto" w:sz="4" w:space="0"/>
            </w:tcBorders>
            <w:vAlign w:val="center"/>
          </w:tcPr>
          <w:p w14:paraId="3D5CAD81">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100≤X＜300</w:t>
            </w:r>
          </w:p>
        </w:tc>
        <w:tc>
          <w:tcPr>
            <w:tcW w:w="925" w:type="dxa"/>
            <w:tcBorders>
              <w:top w:val="nil"/>
              <w:left w:val="nil"/>
              <w:bottom w:val="single" w:color="auto" w:sz="4" w:space="0"/>
              <w:right w:val="single" w:color="auto" w:sz="4" w:space="0"/>
            </w:tcBorders>
            <w:vAlign w:val="center"/>
          </w:tcPr>
          <w:p w14:paraId="14FEB69B">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X＜100</w:t>
            </w:r>
          </w:p>
        </w:tc>
      </w:tr>
      <w:tr w14:paraId="1D6C291C">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3522F6BB">
            <w:pPr>
              <w:widowControl/>
              <w:jc w:val="left"/>
              <w:rPr>
                <w:rFonts w:ascii="仿宋" w:hAnsi="仿宋" w:eastAsia="仿宋"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0FF21807">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4B25C35E">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5336DE08">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1000≤Y＜5000</w:t>
            </w:r>
          </w:p>
        </w:tc>
        <w:tc>
          <w:tcPr>
            <w:tcW w:w="1440" w:type="dxa"/>
            <w:tcBorders>
              <w:top w:val="nil"/>
              <w:left w:val="nil"/>
              <w:bottom w:val="single" w:color="auto" w:sz="4" w:space="0"/>
              <w:right w:val="single" w:color="auto" w:sz="4" w:space="0"/>
            </w:tcBorders>
            <w:vAlign w:val="center"/>
          </w:tcPr>
          <w:p w14:paraId="34F86F3D">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500≤Y＜1000</w:t>
            </w:r>
          </w:p>
        </w:tc>
        <w:tc>
          <w:tcPr>
            <w:tcW w:w="925" w:type="dxa"/>
            <w:tcBorders>
              <w:top w:val="nil"/>
              <w:left w:val="nil"/>
              <w:bottom w:val="single" w:color="auto" w:sz="4" w:space="0"/>
              <w:right w:val="single" w:color="auto" w:sz="4" w:space="0"/>
            </w:tcBorders>
            <w:vAlign w:val="center"/>
          </w:tcPr>
          <w:p w14:paraId="4D83B7CB">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Y＜500</w:t>
            </w:r>
          </w:p>
        </w:tc>
      </w:tr>
      <w:tr w14:paraId="73D15267">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3D63B4B">
            <w:pPr>
              <w:widowControl/>
              <w:jc w:val="center"/>
              <w:rPr>
                <w:rFonts w:ascii="仿宋" w:hAnsi="仿宋" w:eastAsia="仿宋" w:cs="宋体"/>
                <w:b/>
                <w:bCs/>
                <w:color w:val="auto"/>
                <w:kern w:val="0"/>
                <w:sz w:val="18"/>
                <w:szCs w:val="18"/>
              </w:rPr>
            </w:pPr>
            <w:r>
              <w:rPr>
                <w:rFonts w:hint="eastAsia" w:ascii="仿宋" w:hAnsi="仿宋" w:eastAsia="仿宋" w:cs="宋体"/>
                <w:b/>
                <w:bCs/>
                <w:color w:val="auto"/>
                <w:kern w:val="0"/>
                <w:sz w:val="18"/>
                <w:szCs w:val="18"/>
              </w:rPr>
              <w:t>租赁和商务服务业</w:t>
            </w:r>
          </w:p>
        </w:tc>
        <w:tc>
          <w:tcPr>
            <w:tcW w:w="1384" w:type="dxa"/>
            <w:tcBorders>
              <w:top w:val="nil"/>
              <w:left w:val="nil"/>
              <w:bottom w:val="single" w:color="auto" w:sz="4" w:space="0"/>
              <w:right w:val="single" w:color="auto" w:sz="4" w:space="0"/>
            </w:tcBorders>
            <w:vAlign w:val="center"/>
          </w:tcPr>
          <w:p w14:paraId="6F24E777">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5CE6E448">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14:paraId="190A59B2">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100≤X＜300</w:t>
            </w:r>
          </w:p>
        </w:tc>
        <w:tc>
          <w:tcPr>
            <w:tcW w:w="1440" w:type="dxa"/>
            <w:tcBorders>
              <w:top w:val="nil"/>
              <w:left w:val="nil"/>
              <w:bottom w:val="single" w:color="auto" w:sz="4" w:space="0"/>
              <w:right w:val="single" w:color="auto" w:sz="4" w:space="0"/>
            </w:tcBorders>
            <w:vAlign w:val="center"/>
          </w:tcPr>
          <w:p w14:paraId="76DFAE8A">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10≤X＜100</w:t>
            </w:r>
          </w:p>
        </w:tc>
        <w:tc>
          <w:tcPr>
            <w:tcW w:w="925" w:type="dxa"/>
            <w:tcBorders>
              <w:top w:val="nil"/>
              <w:left w:val="nil"/>
              <w:bottom w:val="single" w:color="auto" w:sz="4" w:space="0"/>
              <w:right w:val="single" w:color="auto" w:sz="4" w:space="0"/>
            </w:tcBorders>
            <w:vAlign w:val="center"/>
          </w:tcPr>
          <w:p w14:paraId="21262659">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X＜10</w:t>
            </w:r>
          </w:p>
        </w:tc>
      </w:tr>
      <w:tr w14:paraId="704B9FFD">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789F0B31">
            <w:pPr>
              <w:widowControl/>
              <w:jc w:val="left"/>
              <w:rPr>
                <w:rFonts w:ascii="仿宋" w:hAnsi="仿宋" w:eastAsia="仿宋"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14:paraId="73EBEAF2">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资产总额（Z）</w:t>
            </w:r>
          </w:p>
        </w:tc>
        <w:tc>
          <w:tcPr>
            <w:tcW w:w="913" w:type="dxa"/>
            <w:tcBorders>
              <w:top w:val="nil"/>
              <w:left w:val="nil"/>
              <w:bottom w:val="single" w:color="auto" w:sz="4" w:space="0"/>
              <w:right w:val="single" w:color="auto" w:sz="4" w:space="0"/>
            </w:tcBorders>
            <w:vAlign w:val="center"/>
          </w:tcPr>
          <w:p w14:paraId="30F5E2A6">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0AF1DB68">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8000≤Z＜120000</w:t>
            </w:r>
          </w:p>
        </w:tc>
        <w:tc>
          <w:tcPr>
            <w:tcW w:w="1440" w:type="dxa"/>
            <w:tcBorders>
              <w:top w:val="nil"/>
              <w:left w:val="nil"/>
              <w:bottom w:val="single" w:color="auto" w:sz="4" w:space="0"/>
              <w:right w:val="single" w:color="auto" w:sz="4" w:space="0"/>
            </w:tcBorders>
            <w:vAlign w:val="center"/>
          </w:tcPr>
          <w:p w14:paraId="254634A0">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100≤Z＜8000</w:t>
            </w:r>
          </w:p>
        </w:tc>
        <w:tc>
          <w:tcPr>
            <w:tcW w:w="925" w:type="dxa"/>
            <w:tcBorders>
              <w:top w:val="nil"/>
              <w:left w:val="nil"/>
              <w:bottom w:val="single" w:color="auto" w:sz="4" w:space="0"/>
              <w:right w:val="single" w:color="auto" w:sz="4" w:space="0"/>
            </w:tcBorders>
            <w:vAlign w:val="center"/>
          </w:tcPr>
          <w:p w14:paraId="6C10E182">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Y＜100</w:t>
            </w:r>
          </w:p>
        </w:tc>
      </w:tr>
      <w:tr w14:paraId="671E1C5A">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bottom"/>
          </w:tcPr>
          <w:p w14:paraId="0B61AE87">
            <w:pPr>
              <w:widowControl/>
              <w:jc w:val="center"/>
              <w:rPr>
                <w:rFonts w:ascii="仿宋" w:hAnsi="仿宋" w:eastAsia="仿宋" w:cs="宋体"/>
                <w:b/>
                <w:bCs/>
                <w:color w:val="auto"/>
                <w:kern w:val="0"/>
                <w:sz w:val="18"/>
                <w:szCs w:val="18"/>
              </w:rPr>
            </w:pPr>
            <w:r>
              <w:rPr>
                <w:rFonts w:hint="eastAsia" w:ascii="仿宋" w:hAnsi="仿宋" w:eastAsia="仿宋" w:cs="宋体"/>
                <w:b/>
                <w:bCs/>
                <w:color w:val="auto"/>
                <w:kern w:val="0"/>
                <w:sz w:val="18"/>
                <w:szCs w:val="18"/>
              </w:rPr>
              <w:t>其他未列明行业</w:t>
            </w:r>
          </w:p>
        </w:tc>
        <w:tc>
          <w:tcPr>
            <w:tcW w:w="1384" w:type="dxa"/>
            <w:tcBorders>
              <w:top w:val="nil"/>
              <w:left w:val="nil"/>
              <w:bottom w:val="single" w:color="auto" w:sz="4" w:space="0"/>
              <w:right w:val="single" w:color="auto" w:sz="4" w:space="0"/>
            </w:tcBorders>
            <w:vAlign w:val="center"/>
          </w:tcPr>
          <w:p w14:paraId="09DCD6CA">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633AF473">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14:paraId="76E72A3C">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100≤X＜300</w:t>
            </w:r>
          </w:p>
        </w:tc>
        <w:tc>
          <w:tcPr>
            <w:tcW w:w="1440" w:type="dxa"/>
            <w:tcBorders>
              <w:top w:val="nil"/>
              <w:left w:val="nil"/>
              <w:bottom w:val="single" w:color="auto" w:sz="4" w:space="0"/>
              <w:right w:val="single" w:color="auto" w:sz="4" w:space="0"/>
            </w:tcBorders>
            <w:vAlign w:val="center"/>
          </w:tcPr>
          <w:p w14:paraId="69802131">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10≤X＜100</w:t>
            </w:r>
          </w:p>
        </w:tc>
        <w:tc>
          <w:tcPr>
            <w:tcW w:w="925" w:type="dxa"/>
            <w:tcBorders>
              <w:top w:val="nil"/>
              <w:left w:val="nil"/>
              <w:bottom w:val="single" w:color="auto" w:sz="4" w:space="0"/>
              <w:right w:val="single" w:color="auto" w:sz="4" w:space="0"/>
            </w:tcBorders>
            <w:vAlign w:val="center"/>
          </w:tcPr>
          <w:p w14:paraId="66398304">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X＜10</w:t>
            </w:r>
          </w:p>
        </w:tc>
      </w:tr>
    </w:tbl>
    <w:p w14:paraId="6857EE83">
      <w:pPr>
        <w:spacing w:line="360" w:lineRule="auto"/>
        <w:ind w:firstLine="525" w:firstLineChars="250"/>
        <w:rPr>
          <w:rFonts w:ascii="仿宋" w:hAnsi="仿宋" w:eastAsia="仿宋"/>
          <w:color w:val="auto"/>
          <w:szCs w:val="21"/>
        </w:rPr>
      </w:pPr>
    </w:p>
    <w:p w14:paraId="6C8AB824">
      <w:pPr>
        <w:spacing w:line="360" w:lineRule="auto"/>
        <w:ind w:firstLine="525" w:firstLineChars="250"/>
        <w:rPr>
          <w:rFonts w:ascii="仿宋" w:hAnsi="仿宋" w:eastAsia="仿宋"/>
          <w:color w:val="auto"/>
          <w:szCs w:val="21"/>
        </w:rPr>
      </w:pPr>
      <w:r>
        <w:rPr>
          <w:rFonts w:hint="eastAsia" w:ascii="仿宋" w:hAnsi="仿宋" w:eastAsia="仿宋"/>
          <w:color w:val="auto"/>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01820081">
      <w:pPr>
        <w:snapToGrid w:val="0"/>
        <w:spacing w:beforeLines="50" w:after="50"/>
        <w:ind w:left="142"/>
        <w:jc w:val="left"/>
        <w:rPr>
          <w:rFonts w:ascii="仿宋" w:hAnsi="仿宋" w:eastAsia="仿宋"/>
          <w:b/>
          <w:color w:val="auto"/>
          <w:sz w:val="24"/>
        </w:rPr>
      </w:pPr>
    </w:p>
    <w:p w14:paraId="7BA40746">
      <w:pPr>
        <w:snapToGrid w:val="0"/>
        <w:spacing w:beforeLines="50" w:after="50"/>
        <w:ind w:left="142"/>
        <w:jc w:val="left"/>
        <w:rPr>
          <w:rFonts w:ascii="仿宋" w:hAnsi="仿宋" w:eastAsia="仿宋"/>
          <w:b/>
          <w:color w:val="auto"/>
          <w:sz w:val="24"/>
        </w:rPr>
      </w:pPr>
    </w:p>
    <w:p w14:paraId="7986903A">
      <w:pPr>
        <w:rPr>
          <w:rFonts w:hint="eastAsia" w:asciiTheme="minorEastAsia" w:hAnsiTheme="minorEastAsia" w:eastAsiaTheme="minorEastAsia"/>
          <w:b/>
          <w:sz w:val="24"/>
        </w:rPr>
      </w:pPr>
    </w:p>
    <w:p w14:paraId="1CF69FD1">
      <w:pPr>
        <w:rPr>
          <w:rFonts w:hint="eastAsia" w:asciiTheme="minorEastAsia" w:hAnsiTheme="minorEastAsia" w:eastAsiaTheme="minorEastAsia"/>
          <w:b/>
          <w:sz w:val="24"/>
        </w:rPr>
      </w:pPr>
      <w:r>
        <w:rPr>
          <w:rFonts w:hint="eastAsia" w:asciiTheme="minorEastAsia" w:hAnsiTheme="minorEastAsia" w:eastAsiaTheme="minorEastAsia"/>
          <w:b/>
          <w:sz w:val="24"/>
        </w:rPr>
        <w:br w:type="page"/>
      </w:r>
    </w:p>
    <w:p w14:paraId="5AE23990">
      <w:pPr>
        <w:numPr>
          <w:ilvl w:val="0"/>
          <w:numId w:val="0"/>
        </w:numPr>
        <w:ind w:left="0" w:leftChars="0" w:firstLine="0" w:firstLineChars="0"/>
        <w:rPr>
          <w:rFonts w:hint="eastAsia" w:asciiTheme="minorEastAsia" w:hAnsiTheme="minorEastAsia" w:eastAsiaTheme="minorEastAsia"/>
          <w:b w:val="0"/>
          <w:bCs/>
          <w:sz w:val="24"/>
        </w:rPr>
      </w:pPr>
      <w:r>
        <w:rPr>
          <w:rFonts w:hint="eastAsia" w:cs="Times New Roman" w:asciiTheme="minorEastAsia" w:hAnsiTheme="minorEastAsia" w:eastAsiaTheme="minorEastAsia"/>
          <w:b w:val="0"/>
          <w:bCs/>
          <w:kern w:val="2"/>
          <w:sz w:val="24"/>
          <w:szCs w:val="24"/>
          <w:lang w:val="en-US" w:eastAsia="zh-CN" w:bidi="ar-SA"/>
        </w:rPr>
        <w:t>4.</w:t>
      </w:r>
      <w:r>
        <w:rPr>
          <w:rFonts w:hint="eastAsia" w:asciiTheme="minorEastAsia" w:hAnsiTheme="minorEastAsia" w:eastAsiaTheme="minorEastAsia"/>
          <w:b w:val="0"/>
          <w:bCs/>
          <w:sz w:val="24"/>
        </w:rPr>
        <w:t>关于符合本国产品标准的声明函</w:t>
      </w:r>
    </w:p>
    <w:p w14:paraId="2BFCF2E3">
      <w:pPr>
        <w:pStyle w:val="57"/>
        <w:numPr>
          <w:ilvl w:val="0"/>
          <w:numId w:val="0"/>
        </w:numPr>
        <w:ind w:leftChars="0"/>
      </w:pPr>
    </w:p>
    <w:p w14:paraId="1EA4F041">
      <w:pPr>
        <w:widowControl/>
        <w:shd w:val="clear" w:color="auto" w:fill="FFFFFF"/>
        <w:spacing w:before="30" w:after="30" w:line="560" w:lineRule="atLeast"/>
        <w:jc w:val="center"/>
        <w:textAlignment w:val="baseline"/>
        <w:rPr>
          <w:rFonts w:ascii="仿宋" w:hAnsi="仿宋" w:eastAsia="仿宋" w:cs="仿宋"/>
          <w:kern w:val="0"/>
          <w:sz w:val="36"/>
          <w:szCs w:val="36"/>
        </w:rPr>
      </w:pPr>
      <w:r>
        <w:rPr>
          <w:rFonts w:hint="eastAsia" w:ascii="仿宋" w:hAnsi="仿宋" w:eastAsia="仿宋" w:cs="仿宋"/>
          <w:b/>
          <w:kern w:val="0"/>
          <w:sz w:val="36"/>
        </w:rPr>
        <w:t>关于符合本国产品标准的声明函</w:t>
      </w:r>
    </w:p>
    <w:p w14:paraId="713D3386">
      <w:pPr>
        <w:widowControl/>
        <w:shd w:val="clear" w:color="auto" w:fill="FFFFFF"/>
        <w:spacing w:before="30" w:after="30" w:line="560" w:lineRule="atLeast"/>
        <w:ind w:firstLine="420"/>
        <w:textAlignment w:val="baseline"/>
        <w:rPr>
          <w:rFonts w:ascii="宋体" w:hAnsi="宋体" w:cs="宋体"/>
          <w:kern w:val="0"/>
          <w:sz w:val="24"/>
        </w:rPr>
      </w:pPr>
      <w:r>
        <w:rPr>
          <w:rFonts w:hint="eastAsia" w:ascii="宋体" w:hAnsi="宋体" w:cs="宋体"/>
          <w:kern w:val="0"/>
          <w:sz w:val="24"/>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425AB43">
      <w:pPr>
        <w:widowControl/>
        <w:shd w:val="clear" w:color="auto" w:fill="FFFFFF"/>
        <w:spacing w:before="30" w:after="30" w:line="560" w:lineRule="atLeast"/>
        <w:ind w:firstLine="420"/>
        <w:textAlignment w:val="baseline"/>
        <w:rPr>
          <w:rFonts w:ascii="宋体" w:hAnsi="宋体" w:cs="宋体"/>
          <w:kern w:val="0"/>
          <w:sz w:val="24"/>
        </w:rPr>
      </w:pPr>
      <w:r>
        <w:rPr>
          <w:rFonts w:hint="eastAsia" w:ascii="宋体" w:hAnsi="宋体" w:cs="宋体"/>
          <w:kern w:val="0"/>
          <w:sz w:val="24"/>
          <w:shd w:val="clear" w:color="auto" w:fill="FFFFFF"/>
        </w:rPr>
        <w:t>1.</w:t>
      </w:r>
      <w:r>
        <w:rPr>
          <w:rFonts w:hint="eastAsia" w:ascii="宋体" w:hAnsi="宋体" w:cs="宋体"/>
          <w:kern w:val="0"/>
          <w:sz w:val="24"/>
          <w:u w:val="single"/>
        </w:rPr>
        <w:t>（产品名称1）</w:t>
      </w:r>
      <w:r>
        <w:rPr>
          <w:rFonts w:hint="eastAsia" w:ascii="宋体" w:hAnsi="宋体" w:cs="宋体"/>
          <w:kern w:val="0"/>
          <w:sz w:val="24"/>
        </w:rPr>
        <w:t>1</w:t>
      </w:r>
      <w:r>
        <w:rPr>
          <w:rFonts w:hint="eastAsia" w:ascii="宋体" w:hAnsi="宋体" w:cs="宋体"/>
          <w:kern w:val="0"/>
          <w:sz w:val="24"/>
          <w:shd w:val="clear" w:color="auto" w:fill="FFFFFF"/>
        </w:rPr>
        <w:t>，生产厂为</w:t>
      </w:r>
      <w:r>
        <w:rPr>
          <w:rFonts w:hint="eastAsia" w:ascii="宋体" w:hAnsi="宋体" w:cs="宋体"/>
          <w:kern w:val="0"/>
          <w:sz w:val="24"/>
          <w:u w:val="single"/>
        </w:rPr>
        <w:t>（厂名）</w:t>
      </w:r>
      <w:r>
        <w:rPr>
          <w:rFonts w:hint="eastAsia" w:ascii="宋体" w:hAnsi="宋体" w:cs="宋体"/>
          <w:kern w:val="0"/>
          <w:sz w:val="24"/>
        </w:rPr>
        <w:t>2</w:t>
      </w:r>
      <w:r>
        <w:rPr>
          <w:rFonts w:hint="eastAsia" w:ascii="宋体" w:hAnsi="宋体" w:cs="宋体"/>
          <w:kern w:val="0"/>
          <w:sz w:val="24"/>
          <w:shd w:val="clear" w:color="auto" w:fill="FFFFFF"/>
        </w:rPr>
        <w:t>，厂址为</w:t>
      </w:r>
      <w:r>
        <w:rPr>
          <w:rFonts w:hint="eastAsia" w:ascii="宋体" w:hAnsi="宋体" w:cs="宋体"/>
          <w:kern w:val="0"/>
          <w:sz w:val="24"/>
          <w:u w:val="single"/>
        </w:rPr>
        <w:t>（生产厂址）</w:t>
      </w:r>
      <w:r>
        <w:rPr>
          <w:rFonts w:hint="eastAsia" w:ascii="宋体" w:hAnsi="宋体" w:cs="宋体"/>
          <w:kern w:val="0"/>
          <w:sz w:val="24"/>
          <w:shd w:val="clear" w:color="auto" w:fill="FFFFFF"/>
        </w:rPr>
        <w:t>。</w:t>
      </w:r>
      <w:r>
        <w:rPr>
          <w:rFonts w:hint="eastAsia" w:ascii="宋体" w:hAnsi="宋体" w:cs="宋体"/>
          <w:kern w:val="0"/>
          <w:sz w:val="24"/>
          <w:u w:val="single"/>
        </w:rPr>
        <w:t>（产品名称1）</w:t>
      </w:r>
      <w:r>
        <w:rPr>
          <w:rFonts w:hint="eastAsia" w:ascii="宋体" w:hAnsi="宋体" w:cs="宋体"/>
          <w:kern w:val="0"/>
          <w:sz w:val="24"/>
          <w:shd w:val="clear" w:color="auto" w:fill="FFFFFF"/>
        </w:rPr>
        <w:t>的中国境内生产的组件成本占比≥</w:t>
      </w:r>
      <w:r>
        <w:rPr>
          <w:rFonts w:hint="eastAsia" w:ascii="宋体" w:hAnsi="宋体" w:cs="宋体"/>
          <w:kern w:val="0"/>
          <w:sz w:val="24"/>
          <w:u w:val="single"/>
        </w:rPr>
        <w:t>（规定比例）</w:t>
      </w:r>
      <w:r>
        <w:rPr>
          <w:rFonts w:hint="eastAsia" w:ascii="宋体" w:hAnsi="宋体" w:cs="宋体"/>
          <w:kern w:val="0"/>
          <w:sz w:val="24"/>
        </w:rPr>
        <w:t>3</w:t>
      </w:r>
      <w:r>
        <w:rPr>
          <w:rFonts w:hint="eastAsia" w:ascii="宋体" w:hAnsi="宋体" w:cs="宋体"/>
          <w:kern w:val="0"/>
          <w:sz w:val="24"/>
          <w:shd w:val="clear" w:color="auto" w:fill="FFFFFF"/>
        </w:rPr>
        <w:t>。</w:t>
      </w:r>
      <w:r>
        <w:rPr>
          <w:rFonts w:hint="eastAsia" w:ascii="宋体" w:hAnsi="宋体" w:cs="宋体"/>
          <w:kern w:val="0"/>
          <w:sz w:val="24"/>
          <w:u w:val="single"/>
        </w:rPr>
        <w:t>（产品名称1）</w:t>
      </w:r>
      <w:r>
        <w:rPr>
          <w:rFonts w:hint="eastAsia" w:ascii="宋体" w:hAnsi="宋体" w:cs="宋体"/>
          <w:kern w:val="0"/>
          <w:sz w:val="24"/>
          <w:shd w:val="clear" w:color="auto" w:fill="FFFFFF"/>
        </w:rPr>
        <w:t>的</w:t>
      </w:r>
      <w:r>
        <w:rPr>
          <w:rFonts w:hint="eastAsia" w:ascii="宋体" w:hAnsi="宋体" w:cs="宋体"/>
          <w:kern w:val="0"/>
          <w:sz w:val="24"/>
          <w:u w:val="single"/>
        </w:rPr>
        <w:t>（关键组件）</w:t>
      </w:r>
      <w:r>
        <w:rPr>
          <w:rFonts w:hint="eastAsia" w:ascii="宋体" w:hAnsi="宋体" w:cs="宋体"/>
          <w:kern w:val="0"/>
          <w:sz w:val="24"/>
        </w:rPr>
        <w:t>4</w:t>
      </w:r>
      <w:r>
        <w:rPr>
          <w:rFonts w:hint="eastAsia" w:ascii="宋体" w:hAnsi="宋体" w:cs="宋体"/>
          <w:kern w:val="0"/>
          <w:sz w:val="24"/>
          <w:shd w:val="clear" w:color="auto" w:fill="FFFFFF"/>
        </w:rPr>
        <w:t>在中国境内生产。</w:t>
      </w:r>
      <w:r>
        <w:rPr>
          <w:rFonts w:hint="eastAsia" w:ascii="宋体" w:hAnsi="宋体" w:cs="宋体"/>
          <w:kern w:val="0"/>
          <w:sz w:val="24"/>
          <w:u w:val="single"/>
        </w:rPr>
        <w:t>（产品名称1）</w:t>
      </w:r>
      <w:r>
        <w:rPr>
          <w:rFonts w:hint="eastAsia" w:ascii="宋体" w:hAnsi="宋体" w:cs="宋体"/>
          <w:kern w:val="0"/>
          <w:sz w:val="24"/>
          <w:shd w:val="clear" w:color="auto" w:fill="FFFFFF"/>
        </w:rPr>
        <w:t>的</w:t>
      </w:r>
      <w:r>
        <w:rPr>
          <w:rFonts w:hint="eastAsia" w:ascii="宋体" w:hAnsi="宋体" w:cs="宋体"/>
          <w:kern w:val="0"/>
          <w:sz w:val="24"/>
          <w:u w:val="single"/>
        </w:rPr>
        <w:t>（关键工序）</w:t>
      </w:r>
      <w:r>
        <w:rPr>
          <w:rFonts w:hint="eastAsia" w:ascii="宋体" w:hAnsi="宋体" w:cs="宋体"/>
          <w:kern w:val="0"/>
          <w:sz w:val="24"/>
        </w:rPr>
        <w:t>5</w:t>
      </w:r>
      <w:r>
        <w:rPr>
          <w:rFonts w:hint="eastAsia" w:ascii="宋体" w:hAnsi="宋体" w:cs="宋体"/>
          <w:kern w:val="0"/>
          <w:sz w:val="24"/>
          <w:shd w:val="clear" w:color="auto" w:fill="FFFFFF"/>
        </w:rPr>
        <w:t>在中国境内完成。</w:t>
      </w:r>
    </w:p>
    <w:p w14:paraId="5A0DE1DF">
      <w:pPr>
        <w:widowControl/>
        <w:shd w:val="clear" w:color="auto" w:fill="FFFFFF"/>
        <w:spacing w:before="30" w:after="30" w:line="560" w:lineRule="atLeast"/>
        <w:ind w:firstLine="420"/>
        <w:textAlignment w:val="baseline"/>
        <w:rPr>
          <w:rFonts w:ascii="宋体" w:hAnsi="宋体" w:cs="宋体"/>
          <w:kern w:val="0"/>
          <w:sz w:val="24"/>
        </w:rPr>
      </w:pPr>
      <w:r>
        <w:rPr>
          <w:rFonts w:hint="eastAsia" w:ascii="宋体" w:hAnsi="宋体" w:cs="宋体"/>
          <w:kern w:val="0"/>
          <w:sz w:val="24"/>
          <w:shd w:val="clear" w:color="auto" w:fill="FFFFFF"/>
        </w:rPr>
        <w:t>2.</w:t>
      </w:r>
      <w:r>
        <w:rPr>
          <w:rFonts w:hint="eastAsia" w:ascii="宋体" w:hAnsi="宋体" w:cs="宋体"/>
          <w:kern w:val="0"/>
          <w:sz w:val="24"/>
          <w:u w:val="single"/>
        </w:rPr>
        <w:t>（产品名称2）</w:t>
      </w:r>
      <w:r>
        <w:rPr>
          <w:rFonts w:hint="eastAsia" w:ascii="宋体" w:hAnsi="宋体" w:cs="宋体"/>
          <w:kern w:val="0"/>
          <w:sz w:val="24"/>
          <w:shd w:val="clear" w:color="auto" w:fill="FFFFFF"/>
        </w:rPr>
        <w:t>，生产厂为</w:t>
      </w:r>
      <w:r>
        <w:rPr>
          <w:rFonts w:hint="eastAsia" w:ascii="宋体" w:hAnsi="宋体" w:cs="宋体"/>
          <w:kern w:val="0"/>
          <w:sz w:val="24"/>
          <w:u w:val="single"/>
        </w:rPr>
        <w:t>（厂名）</w:t>
      </w:r>
      <w:r>
        <w:rPr>
          <w:rFonts w:hint="eastAsia" w:ascii="宋体" w:hAnsi="宋体" w:cs="宋体"/>
          <w:kern w:val="0"/>
          <w:sz w:val="24"/>
          <w:shd w:val="clear" w:color="auto" w:fill="FFFFFF"/>
        </w:rPr>
        <w:t>，厂址为</w:t>
      </w:r>
      <w:r>
        <w:rPr>
          <w:rFonts w:hint="eastAsia" w:ascii="宋体" w:hAnsi="宋体" w:cs="宋体"/>
          <w:kern w:val="0"/>
          <w:sz w:val="24"/>
          <w:u w:val="single"/>
        </w:rPr>
        <w:t>（生产厂址）</w:t>
      </w:r>
      <w:r>
        <w:rPr>
          <w:rFonts w:hint="eastAsia" w:ascii="宋体" w:hAnsi="宋体" w:cs="宋体"/>
          <w:kern w:val="0"/>
          <w:sz w:val="24"/>
          <w:shd w:val="clear" w:color="auto" w:fill="FFFFFF"/>
        </w:rPr>
        <w:t>。</w:t>
      </w:r>
      <w:r>
        <w:rPr>
          <w:rFonts w:hint="eastAsia" w:ascii="宋体" w:hAnsi="宋体" w:cs="宋体"/>
          <w:kern w:val="0"/>
          <w:sz w:val="24"/>
          <w:u w:val="single"/>
        </w:rPr>
        <w:t>（产品名称2）</w:t>
      </w:r>
      <w:r>
        <w:rPr>
          <w:rFonts w:hint="eastAsia" w:ascii="宋体" w:hAnsi="宋体" w:cs="宋体"/>
          <w:kern w:val="0"/>
          <w:sz w:val="24"/>
          <w:shd w:val="clear" w:color="auto" w:fill="FFFFFF"/>
        </w:rPr>
        <w:t>的中国境内生产的组件成本占比≥</w:t>
      </w:r>
      <w:r>
        <w:rPr>
          <w:rFonts w:hint="eastAsia" w:ascii="宋体" w:hAnsi="宋体" w:cs="宋体"/>
          <w:kern w:val="0"/>
          <w:sz w:val="24"/>
          <w:u w:val="single"/>
        </w:rPr>
        <w:t>（规定比例）</w:t>
      </w:r>
      <w:r>
        <w:rPr>
          <w:rFonts w:hint="eastAsia" w:ascii="宋体" w:hAnsi="宋体" w:cs="宋体"/>
          <w:kern w:val="0"/>
          <w:sz w:val="24"/>
          <w:shd w:val="clear" w:color="auto" w:fill="FFFFFF"/>
        </w:rPr>
        <w:t>。</w:t>
      </w:r>
      <w:r>
        <w:rPr>
          <w:rFonts w:hint="eastAsia" w:ascii="宋体" w:hAnsi="宋体" w:cs="宋体"/>
          <w:kern w:val="0"/>
          <w:sz w:val="24"/>
          <w:u w:val="single"/>
        </w:rPr>
        <w:t>（产品名称2）</w:t>
      </w:r>
      <w:r>
        <w:rPr>
          <w:rFonts w:hint="eastAsia" w:ascii="宋体" w:hAnsi="宋体" w:cs="宋体"/>
          <w:kern w:val="0"/>
          <w:sz w:val="24"/>
          <w:shd w:val="clear" w:color="auto" w:fill="FFFFFF"/>
        </w:rPr>
        <w:t>的</w:t>
      </w:r>
      <w:r>
        <w:rPr>
          <w:rFonts w:hint="eastAsia" w:ascii="宋体" w:hAnsi="宋体" w:cs="宋体"/>
          <w:kern w:val="0"/>
          <w:sz w:val="24"/>
          <w:u w:val="single"/>
        </w:rPr>
        <w:t>（关键组件）</w:t>
      </w:r>
      <w:r>
        <w:rPr>
          <w:rFonts w:hint="eastAsia" w:ascii="宋体" w:hAnsi="宋体" w:cs="宋体"/>
          <w:kern w:val="0"/>
          <w:sz w:val="24"/>
          <w:shd w:val="clear" w:color="auto" w:fill="FFFFFF"/>
        </w:rPr>
        <w:t>在中国境内生产。</w:t>
      </w:r>
      <w:r>
        <w:rPr>
          <w:rFonts w:hint="eastAsia" w:ascii="宋体" w:hAnsi="宋体" w:cs="宋体"/>
          <w:kern w:val="0"/>
          <w:sz w:val="24"/>
          <w:u w:val="single"/>
        </w:rPr>
        <w:t>（产品名称2）</w:t>
      </w:r>
      <w:r>
        <w:rPr>
          <w:rFonts w:hint="eastAsia" w:ascii="宋体" w:hAnsi="宋体" w:cs="宋体"/>
          <w:kern w:val="0"/>
          <w:sz w:val="24"/>
          <w:shd w:val="clear" w:color="auto" w:fill="FFFFFF"/>
        </w:rPr>
        <w:t>的</w:t>
      </w:r>
      <w:r>
        <w:rPr>
          <w:rFonts w:hint="eastAsia" w:ascii="宋体" w:hAnsi="宋体" w:cs="宋体"/>
          <w:kern w:val="0"/>
          <w:sz w:val="24"/>
          <w:u w:val="single"/>
        </w:rPr>
        <w:t>（关键工序）</w:t>
      </w:r>
      <w:r>
        <w:rPr>
          <w:rFonts w:hint="eastAsia" w:ascii="宋体" w:hAnsi="宋体" w:cs="宋体"/>
          <w:kern w:val="0"/>
          <w:sz w:val="24"/>
          <w:shd w:val="clear" w:color="auto" w:fill="FFFFFF"/>
        </w:rPr>
        <w:t>在中国境内完成。</w:t>
      </w:r>
    </w:p>
    <w:p w14:paraId="5AF05178">
      <w:pPr>
        <w:widowControl/>
        <w:shd w:val="clear" w:color="auto" w:fill="FFFFFF"/>
        <w:spacing w:before="30" w:after="30" w:line="560" w:lineRule="atLeast"/>
        <w:ind w:firstLine="420"/>
        <w:textAlignment w:val="baseline"/>
        <w:rPr>
          <w:rFonts w:ascii="宋体" w:hAnsi="宋体" w:cs="宋体"/>
          <w:kern w:val="0"/>
          <w:sz w:val="24"/>
        </w:rPr>
      </w:pPr>
      <w:r>
        <w:rPr>
          <w:rFonts w:hint="eastAsia" w:ascii="宋体" w:hAnsi="宋体" w:cs="宋体"/>
          <w:kern w:val="0"/>
          <w:sz w:val="24"/>
          <w:shd w:val="clear" w:color="auto" w:fill="FFFFFF"/>
        </w:rPr>
        <w:t>……</w:t>
      </w:r>
    </w:p>
    <w:p w14:paraId="1ECA66E2">
      <w:pPr>
        <w:widowControl/>
        <w:shd w:val="clear" w:color="auto" w:fill="FFFFFF"/>
        <w:spacing w:before="30" w:after="30" w:line="560" w:lineRule="atLeast"/>
        <w:ind w:firstLine="420"/>
        <w:textAlignment w:val="baseline"/>
        <w:rPr>
          <w:rFonts w:ascii="宋体" w:hAnsi="宋体" w:cs="宋体"/>
          <w:kern w:val="0"/>
          <w:sz w:val="24"/>
        </w:rPr>
      </w:pPr>
      <w:r>
        <w:rPr>
          <w:rFonts w:hint="eastAsia" w:ascii="宋体" w:hAnsi="宋体" w:cs="宋体"/>
          <w:kern w:val="0"/>
          <w:sz w:val="24"/>
          <w:shd w:val="clear" w:color="auto" w:fill="FFFFFF"/>
        </w:rPr>
        <w:t>本公司（单位）对上述声明内容的真实性负责。如有虚假，愿承担相应法律责任。</w:t>
      </w:r>
    </w:p>
    <w:p w14:paraId="0BC1A8EC">
      <w:pPr>
        <w:widowControl/>
        <w:shd w:val="clear" w:color="auto" w:fill="FFFFFF"/>
        <w:spacing w:before="30" w:after="30" w:line="560" w:lineRule="atLeast"/>
        <w:textAlignment w:val="baseline"/>
        <w:rPr>
          <w:rFonts w:ascii="宋体" w:hAnsi="宋体" w:cs="宋体"/>
          <w:kern w:val="0"/>
          <w:sz w:val="24"/>
        </w:rPr>
      </w:pPr>
      <w:r>
        <w:rPr>
          <w:rFonts w:hint="eastAsia" w:ascii="宋体" w:hAnsi="宋体" w:cs="宋体"/>
          <w:kern w:val="0"/>
          <w:sz w:val="24"/>
          <w:shd w:val="clear" w:color="auto" w:fill="FFFFFF"/>
        </w:rPr>
        <w:t> </w:t>
      </w:r>
    </w:p>
    <w:p w14:paraId="623AD2CA">
      <w:pPr>
        <w:widowControl/>
        <w:shd w:val="clear" w:color="auto" w:fill="FFFFFF"/>
        <w:spacing w:before="30" w:after="30" w:line="560" w:lineRule="atLeast"/>
        <w:jc w:val="right"/>
        <w:textAlignment w:val="baseline"/>
        <w:rPr>
          <w:rFonts w:ascii="宋体" w:hAnsi="宋体" w:cs="宋体"/>
          <w:kern w:val="0"/>
          <w:sz w:val="24"/>
        </w:rPr>
      </w:pPr>
      <w:r>
        <w:rPr>
          <w:rFonts w:hint="eastAsia" w:ascii="宋体" w:hAnsi="宋体" w:cs="宋体"/>
          <w:kern w:val="0"/>
          <w:sz w:val="24"/>
          <w:shd w:val="clear" w:color="auto" w:fill="FFFFFF"/>
        </w:rPr>
        <w:t>公司（单位）名称（盖章）：　        </w:t>
      </w:r>
    </w:p>
    <w:p w14:paraId="1A081A51">
      <w:pPr>
        <w:widowControl/>
        <w:shd w:val="clear" w:color="auto" w:fill="FFFFFF"/>
        <w:spacing w:before="30" w:after="30" w:line="560" w:lineRule="atLeast"/>
        <w:jc w:val="right"/>
        <w:textAlignment w:val="baseline"/>
        <w:rPr>
          <w:rFonts w:ascii="宋体" w:hAnsi="宋体" w:cs="宋体"/>
          <w:kern w:val="0"/>
          <w:sz w:val="24"/>
        </w:rPr>
      </w:pPr>
      <w:r>
        <w:rPr>
          <w:rFonts w:hint="eastAsia" w:ascii="宋体" w:hAnsi="宋体" w:cs="宋体"/>
          <w:kern w:val="0"/>
          <w:sz w:val="24"/>
          <w:shd w:val="clear" w:color="auto" w:fill="FFFFFF"/>
        </w:rPr>
        <w:t>日期：　     年　  月　  日         </w:t>
      </w:r>
    </w:p>
    <w:p w14:paraId="74637C55">
      <w:pPr>
        <w:widowControl/>
        <w:shd w:val="clear" w:color="auto" w:fill="FFFFFF"/>
        <w:spacing w:before="30" w:after="30" w:line="560" w:lineRule="atLeast"/>
        <w:textAlignment w:val="baseline"/>
        <w:rPr>
          <w:rFonts w:ascii="宋体" w:hAnsi="宋体" w:cs="宋体"/>
          <w:kern w:val="0"/>
          <w:sz w:val="24"/>
        </w:rPr>
      </w:pPr>
      <w:r>
        <w:rPr>
          <w:rFonts w:hint="eastAsia" w:ascii="宋体" w:hAnsi="宋体" w:cs="宋体"/>
          <w:kern w:val="0"/>
          <w:sz w:val="24"/>
          <w:shd w:val="clear" w:color="auto" w:fill="FFFFFF"/>
        </w:rPr>
        <w:t>__________________</w:t>
      </w:r>
    </w:p>
    <w:p w14:paraId="0312DB75">
      <w:pPr>
        <w:widowControl/>
        <w:shd w:val="clear" w:color="auto" w:fill="FFFFFF"/>
        <w:spacing w:before="30" w:after="30" w:line="560" w:lineRule="atLeast"/>
        <w:ind w:firstLine="420"/>
        <w:textAlignment w:val="baseline"/>
        <w:rPr>
          <w:rFonts w:ascii="宋体" w:hAnsi="宋体" w:cs="宋体"/>
          <w:kern w:val="0"/>
          <w:szCs w:val="21"/>
        </w:rPr>
      </w:pPr>
      <w:r>
        <w:rPr>
          <w:rFonts w:hint="eastAsia" w:ascii="宋体" w:hAnsi="宋体" w:cs="宋体"/>
          <w:kern w:val="0"/>
          <w:szCs w:val="21"/>
          <w:shd w:val="clear" w:color="auto" w:fill="FFFFFF"/>
        </w:rPr>
        <w:t>1.产品如有型号，请在“产品名称”栏一并填写。</w:t>
      </w:r>
    </w:p>
    <w:p w14:paraId="37169CCD">
      <w:pPr>
        <w:widowControl/>
        <w:shd w:val="clear" w:color="auto" w:fill="FFFFFF"/>
        <w:spacing w:before="30" w:after="30" w:line="560" w:lineRule="atLeast"/>
        <w:ind w:firstLine="420"/>
        <w:textAlignment w:val="baseline"/>
        <w:rPr>
          <w:rFonts w:ascii="宋体" w:hAnsi="宋体" w:cs="宋体"/>
          <w:kern w:val="0"/>
          <w:szCs w:val="21"/>
        </w:rPr>
      </w:pPr>
      <w:r>
        <w:rPr>
          <w:rFonts w:hint="eastAsia" w:ascii="宋体" w:hAnsi="宋体" w:cs="宋体"/>
          <w:kern w:val="0"/>
          <w:szCs w:val="21"/>
          <w:shd w:val="clear" w:color="auto" w:fill="FFFFFF"/>
        </w:rPr>
        <w:t>2.生产厂名与厂址应与生产厂营业执照载明的相关信息保持一致。</w:t>
      </w:r>
    </w:p>
    <w:p w14:paraId="3FFDF051">
      <w:pPr>
        <w:widowControl/>
        <w:shd w:val="clear" w:color="auto" w:fill="FFFFFF"/>
        <w:spacing w:before="30" w:after="30" w:line="560" w:lineRule="atLeast"/>
        <w:ind w:firstLine="420"/>
        <w:textAlignment w:val="baseline"/>
        <w:rPr>
          <w:rFonts w:ascii="宋体" w:hAnsi="宋体" w:cs="宋体"/>
          <w:kern w:val="0"/>
          <w:szCs w:val="21"/>
        </w:rPr>
      </w:pPr>
      <w:r>
        <w:rPr>
          <w:rFonts w:hint="eastAsia" w:ascii="宋体" w:hAnsi="宋体" w:cs="宋体"/>
          <w:kern w:val="0"/>
          <w:szCs w:val="21"/>
          <w:shd w:val="clear" w:color="auto" w:fill="FFFFFF"/>
        </w:rPr>
        <w:t>3.该产品的中国境内生产的组件成本占比相关要求实施前，“规定比例”栏可不填，下同。</w:t>
      </w:r>
    </w:p>
    <w:p w14:paraId="617F8498">
      <w:pPr>
        <w:widowControl/>
        <w:shd w:val="clear" w:color="auto" w:fill="FFFFFF"/>
        <w:spacing w:before="30" w:after="30" w:line="560" w:lineRule="atLeast"/>
        <w:ind w:firstLine="420"/>
        <w:textAlignment w:val="baseline"/>
        <w:rPr>
          <w:rFonts w:ascii="宋体" w:hAnsi="宋体" w:cs="宋体"/>
          <w:kern w:val="0"/>
          <w:szCs w:val="21"/>
        </w:rPr>
      </w:pPr>
      <w:r>
        <w:rPr>
          <w:rFonts w:hint="eastAsia" w:ascii="宋体" w:hAnsi="宋体" w:cs="宋体"/>
          <w:kern w:val="0"/>
          <w:szCs w:val="21"/>
          <w:shd w:val="clear" w:color="auto" w:fill="FFFFFF"/>
        </w:rPr>
        <w:t>4.该产品的关键组件要求实施前，“关键组件”栏可不填，下同。</w:t>
      </w:r>
    </w:p>
    <w:p w14:paraId="3199B886">
      <w:pPr>
        <w:widowControl/>
        <w:shd w:val="clear" w:color="auto" w:fill="FFFFFF"/>
        <w:spacing w:before="30" w:after="30" w:line="560" w:lineRule="atLeast"/>
        <w:ind w:firstLine="420"/>
        <w:textAlignment w:val="baseline"/>
        <w:rPr>
          <w:rFonts w:ascii="宋体" w:hAnsi="宋体" w:cs="宋体"/>
          <w:kern w:val="0"/>
          <w:szCs w:val="21"/>
          <w:shd w:val="clear" w:color="auto" w:fill="FFFFFF"/>
        </w:rPr>
      </w:pPr>
      <w:r>
        <w:rPr>
          <w:rFonts w:hint="eastAsia" w:ascii="宋体" w:hAnsi="宋体" w:cs="宋体"/>
          <w:kern w:val="0"/>
          <w:szCs w:val="21"/>
          <w:shd w:val="clear" w:color="auto" w:fill="FFFFFF"/>
        </w:rPr>
        <w:t>5.该产品的关键工序要求实施前，“关键工序”栏可不填，下同。</w:t>
      </w:r>
    </w:p>
    <w:p w14:paraId="0388817E">
      <w:pPr>
        <w:pStyle w:val="57"/>
      </w:pPr>
      <w:r>
        <w:rPr>
          <w:rFonts w:hint="eastAsia" w:ascii="宋体" w:hAnsi="宋体" w:cs="宋体"/>
          <w:kern w:val="0"/>
          <w:szCs w:val="21"/>
          <w:shd w:val="clear" w:color="auto" w:fill="FFFFFF"/>
        </w:rPr>
        <w:t>采购人、采购代理机构应当随中标、成交结果同时公告中标、成交供应商提供的《声明函》或有关证明文件。</w:t>
      </w:r>
      <w:r>
        <w:rPr>
          <w:rFonts w:hint="eastAsia" w:asciiTheme="minorEastAsia" w:hAnsiTheme="minorEastAsia" w:eastAsiaTheme="minorEastAsia" w:cstheme="minorEastAsia"/>
          <w:b/>
          <w:sz w:val="24"/>
        </w:rPr>
        <w:br w:type="page"/>
      </w:r>
    </w:p>
    <w:p w14:paraId="7AE53A8C">
      <w:pPr>
        <w:snapToGrid w:val="0"/>
        <w:spacing w:beforeLines="50" w:after="50"/>
        <w:ind w:left="142"/>
        <w:jc w:val="left"/>
        <w:rPr>
          <w:rFonts w:ascii="仿宋" w:hAnsi="仿宋" w:eastAsia="仿宋"/>
          <w:b/>
          <w:color w:val="auto"/>
          <w:sz w:val="24"/>
        </w:rPr>
      </w:pPr>
      <w:r>
        <w:rPr>
          <w:rFonts w:hint="eastAsia" w:ascii="仿宋" w:hAnsi="仿宋" w:eastAsia="仿宋"/>
          <w:b/>
          <w:color w:val="auto"/>
          <w:sz w:val="24"/>
          <w:lang w:val="en-US" w:eastAsia="zh-CN"/>
        </w:rPr>
        <w:t>4</w:t>
      </w:r>
      <w:r>
        <w:rPr>
          <w:rFonts w:hint="eastAsia" w:ascii="仿宋" w:hAnsi="仿宋" w:eastAsia="仿宋"/>
          <w:b/>
          <w:color w:val="auto"/>
          <w:sz w:val="24"/>
        </w:rPr>
        <w:t>.残疾人福利性单位声明函格式</w:t>
      </w:r>
    </w:p>
    <w:p w14:paraId="2776E94F">
      <w:pPr>
        <w:spacing w:line="588" w:lineRule="exact"/>
        <w:jc w:val="center"/>
        <w:rPr>
          <w:rFonts w:ascii="仿宋" w:hAnsi="仿宋" w:eastAsia="仿宋"/>
          <w:b/>
          <w:color w:val="auto"/>
          <w:spacing w:val="6"/>
          <w:sz w:val="32"/>
          <w:szCs w:val="32"/>
        </w:rPr>
      </w:pPr>
    </w:p>
    <w:p w14:paraId="6133473F">
      <w:pPr>
        <w:spacing w:line="588" w:lineRule="exact"/>
        <w:jc w:val="center"/>
        <w:rPr>
          <w:rFonts w:ascii="仿宋" w:hAnsi="仿宋" w:eastAsia="仿宋" w:cs="方正小标宋简体"/>
          <w:bCs/>
          <w:color w:val="auto"/>
          <w:spacing w:val="6"/>
          <w:sz w:val="44"/>
          <w:szCs w:val="44"/>
        </w:rPr>
      </w:pPr>
      <w:r>
        <w:rPr>
          <w:rFonts w:hint="eastAsia" w:ascii="仿宋" w:hAnsi="仿宋" w:eastAsia="仿宋" w:cs="方正小标宋简体"/>
          <w:bCs/>
          <w:color w:val="auto"/>
          <w:spacing w:val="6"/>
          <w:sz w:val="44"/>
          <w:szCs w:val="44"/>
        </w:rPr>
        <w:t>残疾人福利性单位声明函</w:t>
      </w:r>
    </w:p>
    <w:p w14:paraId="50EE74AE">
      <w:pPr>
        <w:spacing w:line="360" w:lineRule="auto"/>
        <w:contextualSpacing/>
        <w:rPr>
          <w:rFonts w:ascii="仿宋" w:hAnsi="仿宋" w:eastAsia="仿宋"/>
          <w:bCs/>
          <w:color w:val="auto"/>
          <w:spacing w:val="6"/>
          <w:sz w:val="30"/>
          <w:szCs w:val="30"/>
        </w:rPr>
      </w:pPr>
    </w:p>
    <w:p w14:paraId="740D0E3D">
      <w:pPr>
        <w:spacing w:line="360" w:lineRule="auto"/>
        <w:ind w:firstLine="504" w:firstLineChars="200"/>
        <w:contextualSpacing/>
        <w:rPr>
          <w:rFonts w:ascii="仿宋" w:hAnsi="仿宋" w:eastAsia="仿宋"/>
          <w:color w:val="auto"/>
          <w:spacing w:val="6"/>
          <w:sz w:val="24"/>
        </w:rPr>
      </w:pPr>
      <w:r>
        <w:rPr>
          <w:rFonts w:hint="eastAsia" w:ascii="仿宋" w:hAnsi="仿宋" w:eastAsia="仿宋"/>
          <w:color w:val="auto"/>
          <w:spacing w:val="6"/>
          <w:sz w:val="24"/>
        </w:rPr>
        <w:t>本单位郑重声明，根据《财政部 民政部 中国残疾人联合会关于促进残疾人就业政府采购政策的通知》（财库</w:t>
      </w:r>
      <w:r>
        <w:rPr>
          <w:rFonts w:hint="eastAsia" w:ascii="仿宋" w:hAnsi="仿宋" w:eastAsia="仿宋"/>
          <w:color w:val="auto"/>
          <w:sz w:val="24"/>
        </w:rPr>
        <w:t>〔2017〕 141</w:t>
      </w:r>
      <w:r>
        <w:rPr>
          <w:rFonts w:hint="eastAsia" w:ascii="仿宋" w:hAnsi="仿宋" w:eastAsia="仿宋"/>
          <w:color w:val="auto"/>
          <w:spacing w:val="6"/>
          <w:sz w:val="24"/>
        </w:rPr>
        <w:t>号）的规定，本单位为符合条件的残疾人福利性单位，且本单位参加______单位的______项目采购活动提供本单位制造的货物（由本单位承担工程/提供服务），或者提供其他残</w:t>
      </w:r>
      <w:r>
        <w:rPr>
          <w:rFonts w:hint="eastAsia" w:ascii="仿宋" w:hAnsi="仿宋" w:eastAsia="仿宋"/>
          <w:color w:val="auto"/>
          <w:spacing w:val="-6"/>
          <w:sz w:val="24"/>
        </w:rPr>
        <w:t>疾人福利性单位制造的货物（不包括使用非残疾人福利性单位注册商标的货物）。</w:t>
      </w:r>
    </w:p>
    <w:p w14:paraId="5207CEA8">
      <w:pPr>
        <w:spacing w:line="360" w:lineRule="auto"/>
        <w:ind w:firstLine="504" w:firstLineChars="200"/>
        <w:contextualSpacing/>
        <w:rPr>
          <w:rFonts w:ascii="仿宋" w:hAnsi="仿宋" w:eastAsia="仿宋"/>
          <w:color w:val="auto"/>
          <w:spacing w:val="6"/>
          <w:sz w:val="24"/>
        </w:rPr>
      </w:pPr>
      <w:r>
        <w:rPr>
          <w:rFonts w:hint="eastAsia" w:ascii="仿宋" w:hAnsi="仿宋" w:eastAsia="仿宋"/>
          <w:color w:val="auto"/>
          <w:spacing w:val="6"/>
          <w:sz w:val="24"/>
        </w:rPr>
        <w:t>本单位对上述声明的真实性负责。如有虚假，将依法承担相应责任。</w:t>
      </w:r>
    </w:p>
    <w:p w14:paraId="758CC04D">
      <w:pPr>
        <w:spacing w:line="360" w:lineRule="auto"/>
        <w:ind w:firstLine="504" w:firstLineChars="200"/>
        <w:contextualSpacing/>
        <w:rPr>
          <w:rFonts w:ascii="仿宋" w:hAnsi="仿宋" w:eastAsia="仿宋"/>
          <w:color w:val="auto"/>
          <w:spacing w:val="6"/>
          <w:sz w:val="24"/>
        </w:rPr>
      </w:pPr>
    </w:p>
    <w:p w14:paraId="13E8BCF2">
      <w:pPr>
        <w:spacing w:line="360" w:lineRule="auto"/>
        <w:ind w:firstLine="504" w:firstLineChars="200"/>
        <w:contextualSpacing/>
        <w:rPr>
          <w:rFonts w:ascii="仿宋" w:hAnsi="仿宋" w:eastAsia="仿宋"/>
          <w:color w:val="auto"/>
          <w:spacing w:val="6"/>
          <w:sz w:val="24"/>
        </w:rPr>
      </w:pPr>
    </w:p>
    <w:p w14:paraId="15D92B2E">
      <w:pPr>
        <w:tabs>
          <w:tab w:val="left" w:pos="4860"/>
        </w:tabs>
        <w:spacing w:line="360" w:lineRule="auto"/>
        <w:ind w:right="1560" w:firstLine="504" w:firstLineChars="200"/>
        <w:contextualSpacing/>
        <w:jc w:val="center"/>
        <w:rPr>
          <w:rFonts w:ascii="仿宋" w:hAnsi="仿宋" w:eastAsia="仿宋"/>
          <w:color w:val="auto"/>
          <w:spacing w:val="6"/>
          <w:sz w:val="24"/>
        </w:rPr>
      </w:pPr>
      <w:r>
        <w:rPr>
          <w:rFonts w:hint="eastAsia" w:ascii="仿宋" w:hAnsi="仿宋" w:eastAsia="仿宋"/>
          <w:color w:val="auto"/>
          <w:spacing w:val="6"/>
          <w:sz w:val="24"/>
        </w:rPr>
        <w:t>单位名称（电子签章）：</w:t>
      </w:r>
    </w:p>
    <w:p w14:paraId="6909536C">
      <w:pPr>
        <w:tabs>
          <w:tab w:val="left" w:pos="4860"/>
        </w:tabs>
        <w:spacing w:line="360" w:lineRule="auto"/>
        <w:ind w:right="1560" w:firstLine="504" w:firstLineChars="200"/>
        <w:contextualSpacing/>
        <w:jc w:val="center"/>
        <w:rPr>
          <w:rFonts w:ascii="仿宋" w:hAnsi="仿宋" w:eastAsia="仿宋"/>
          <w:color w:val="auto"/>
          <w:spacing w:val="6"/>
          <w:sz w:val="24"/>
        </w:rPr>
      </w:pPr>
      <w:r>
        <w:rPr>
          <w:rFonts w:hint="eastAsia" w:ascii="仿宋" w:hAnsi="仿宋" w:eastAsia="仿宋"/>
          <w:color w:val="auto"/>
          <w:spacing w:val="6"/>
          <w:sz w:val="24"/>
        </w:rPr>
        <w:t>日  期：</w:t>
      </w:r>
    </w:p>
    <w:p w14:paraId="337475BF">
      <w:pPr>
        <w:spacing w:line="360" w:lineRule="auto"/>
        <w:contextualSpacing/>
        <w:rPr>
          <w:rFonts w:ascii="仿宋" w:hAnsi="仿宋" w:eastAsia="仿宋"/>
          <w:color w:val="auto"/>
          <w:sz w:val="24"/>
        </w:rPr>
      </w:pPr>
    </w:p>
    <w:p w14:paraId="0DDE6315">
      <w:pPr>
        <w:spacing w:line="360" w:lineRule="auto"/>
        <w:contextualSpacing/>
        <w:rPr>
          <w:rFonts w:ascii="仿宋" w:hAnsi="仿宋" w:eastAsia="仿宋"/>
          <w:color w:val="auto"/>
          <w:sz w:val="24"/>
        </w:rPr>
      </w:pPr>
    </w:p>
    <w:p w14:paraId="62C63E62">
      <w:pPr>
        <w:spacing w:line="360" w:lineRule="auto"/>
        <w:contextualSpacing/>
        <w:rPr>
          <w:rFonts w:ascii="仿宋" w:hAnsi="仿宋" w:eastAsia="仿宋"/>
          <w:color w:val="auto"/>
          <w:sz w:val="24"/>
        </w:rPr>
      </w:pPr>
    </w:p>
    <w:p w14:paraId="6A8ECAA5">
      <w:pPr>
        <w:spacing w:line="360" w:lineRule="auto"/>
        <w:contextualSpacing/>
        <w:rPr>
          <w:rFonts w:ascii="仿宋" w:hAnsi="仿宋" w:eastAsia="仿宋"/>
          <w:color w:val="auto"/>
          <w:sz w:val="24"/>
        </w:rPr>
      </w:pPr>
      <w:r>
        <w:rPr>
          <w:rFonts w:hint="eastAsia" w:ascii="仿宋" w:hAnsi="仿宋" w:eastAsia="仿宋"/>
          <w:color w:val="auto"/>
          <w:sz w:val="24"/>
        </w:rPr>
        <w:t>注：请根据自己的真实情况出具《残疾人福利性单位声明函》。依法享受中小企业优惠政策的，采购人或者采购代理机构在公告中标结果时，同时公告其《残疾人福利性单位声明函》，接受社会监督。</w:t>
      </w:r>
    </w:p>
    <w:p w14:paraId="6A3BD3C8">
      <w:pPr>
        <w:spacing w:line="360" w:lineRule="auto"/>
        <w:jc w:val="left"/>
        <w:rPr>
          <w:rFonts w:ascii="仿宋" w:hAnsi="仿宋" w:eastAsia="仿宋"/>
          <w:color w:val="auto"/>
          <w:sz w:val="24"/>
        </w:rPr>
      </w:pPr>
      <w:r>
        <w:rPr>
          <w:rFonts w:ascii="仿宋" w:hAnsi="仿宋" w:eastAsia="仿宋"/>
          <w:color w:val="auto"/>
          <w:sz w:val="24"/>
        </w:rPr>
        <w:br w:type="page"/>
      </w:r>
      <w:r>
        <w:rPr>
          <w:rFonts w:hint="eastAsia" w:ascii="仿宋" w:hAnsi="仿宋" w:eastAsia="仿宋"/>
          <w:b/>
          <w:color w:val="auto"/>
          <w:sz w:val="24"/>
          <w:lang w:val="en-US" w:eastAsia="zh-CN"/>
        </w:rPr>
        <w:t>5</w:t>
      </w:r>
      <w:r>
        <w:rPr>
          <w:rFonts w:hint="eastAsia" w:ascii="仿宋" w:hAnsi="仿宋" w:eastAsia="仿宋"/>
          <w:b/>
          <w:color w:val="auto"/>
          <w:sz w:val="24"/>
        </w:rPr>
        <w:t>.质疑函格式</w:t>
      </w:r>
    </w:p>
    <w:p w14:paraId="235D9AA3">
      <w:pPr>
        <w:spacing w:line="360" w:lineRule="auto"/>
        <w:jc w:val="center"/>
        <w:rPr>
          <w:rFonts w:ascii="仿宋" w:hAnsi="仿宋" w:eastAsia="仿宋" w:cs="方正小标宋简体"/>
          <w:color w:val="auto"/>
          <w:sz w:val="44"/>
          <w:szCs w:val="44"/>
        </w:rPr>
      </w:pPr>
      <w:r>
        <w:rPr>
          <w:rFonts w:hint="eastAsia" w:ascii="仿宋" w:hAnsi="仿宋" w:eastAsia="仿宋" w:cs="方正小标宋简体"/>
          <w:color w:val="auto"/>
          <w:sz w:val="44"/>
          <w:szCs w:val="44"/>
        </w:rPr>
        <w:t>质疑函</w:t>
      </w:r>
    </w:p>
    <w:p w14:paraId="0409FBB9">
      <w:pPr>
        <w:pStyle w:val="26"/>
        <w:snapToGrid w:val="0"/>
        <w:spacing w:line="360" w:lineRule="auto"/>
        <w:ind w:firstLine="482" w:firstLineChars="200"/>
        <w:rPr>
          <w:rFonts w:ascii="仿宋" w:hAnsi="仿宋" w:eastAsia="仿宋"/>
          <w:b/>
          <w:bCs/>
          <w:color w:val="auto"/>
          <w:sz w:val="24"/>
          <w:szCs w:val="24"/>
        </w:rPr>
      </w:pPr>
      <w:r>
        <w:rPr>
          <w:rFonts w:hint="eastAsia" w:ascii="仿宋" w:hAnsi="仿宋" w:eastAsia="仿宋"/>
          <w:b/>
          <w:bCs/>
          <w:color w:val="auto"/>
          <w:sz w:val="24"/>
          <w:szCs w:val="24"/>
        </w:rPr>
        <w:t>一、质疑供应商基本信息：</w:t>
      </w:r>
    </w:p>
    <w:p w14:paraId="64EF44FC">
      <w:pPr>
        <w:pStyle w:val="26"/>
        <w:snapToGrid w:val="0"/>
        <w:spacing w:line="360" w:lineRule="auto"/>
        <w:ind w:firstLine="480" w:firstLineChars="200"/>
        <w:rPr>
          <w:rFonts w:ascii="仿宋" w:hAnsi="仿宋" w:eastAsia="仿宋"/>
          <w:bCs/>
          <w:color w:val="auto"/>
          <w:sz w:val="24"/>
          <w:szCs w:val="24"/>
          <w:u w:val="single"/>
        </w:rPr>
      </w:pPr>
      <w:r>
        <w:rPr>
          <w:rFonts w:hint="eastAsia" w:ascii="仿宋" w:hAnsi="仿宋" w:eastAsia="仿宋"/>
          <w:bCs/>
          <w:color w:val="auto"/>
          <w:sz w:val="24"/>
          <w:szCs w:val="24"/>
        </w:rPr>
        <w:t>质疑供应商：</w:t>
      </w:r>
    </w:p>
    <w:p w14:paraId="389DFBD6">
      <w:pPr>
        <w:pStyle w:val="26"/>
        <w:snapToGrid w:val="0"/>
        <w:spacing w:line="360" w:lineRule="auto"/>
        <w:ind w:firstLine="480" w:firstLineChars="200"/>
        <w:rPr>
          <w:rFonts w:ascii="仿宋" w:hAnsi="仿宋" w:eastAsia="仿宋"/>
          <w:bCs/>
          <w:color w:val="auto"/>
          <w:sz w:val="24"/>
          <w:szCs w:val="24"/>
        </w:rPr>
      </w:pPr>
      <w:r>
        <w:rPr>
          <w:rFonts w:ascii="仿宋" w:hAnsi="仿宋" w:eastAsia="仿宋"/>
          <w:bCs/>
          <w:color w:val="auto"/>
          <w:sz w:val="24"/>
          <w:szCs w:val="24"/>
        </w:rPr>
        <w:t>地址</w:t>
      </w:r>
      <w:r>
        <w:rPr>
          <w:rFonts w:hint="eastAsia" w:ascii="仿宋" w:hAnsi="仿宋" w:eastAsia="仿宋"/>
          <w:bCs/>
          <w:color w:val="auto"/>
          <w:sz w:val="24"/>
          <w:szCs w:val="24"/>
        </w:rPr>
        <w:t>：</w:t>
      </w:r>
      <w:r>
        <w:rPr>
          <w:rFonts w:ascii="仿宋" w:hAnsi="仿宋" w:eastAsia="仿宋"/>
          <w:bCs/>
          <w:color w:val="auto"/>
          <w:sz w:val="24"/>
          <w:szCs w:val="24"/>
        </w:rPr>
        <w:t>邮编</w:t>
      </w:r>
      <w:r>
        <w:rPr>
          <w:rFonts w:hint="eastAsia" w:ascii="仿宋" w:hAnsi="仿宋" w:eastAsia="仿宋"/>
          <w:bCs/>
          <w:color w:val="auto"/>
          <w:sz w:val="24"/>
          <w:szCs w:val="24"/>
        </w:rPr>
        <w:t>：</w:t>
      </w:r>
    </w:p>
    <w:p w14:paraId="27ECED38">
      <w:pPr>
        <w:pStyle w:val="26"/>
        <w:snapToGrid w:val="0"/>
        <w:spacing w:line="360" w:lineRule="auto"/>
        <w:ind w:firstLine="480" w:firstLineChars="200"/>
        <w:rPr>
          <w:rFonts w:ascii="仿宋" w:hAnsi="仿宋" w:eastAsia="仿宋"/>
          <w:bCs/>
          <w:color w:val="auto"/>
          <w:sz w:val="24"/>
          <w:szCs w:val="24"/>
        </w:rPr>
      </w:pPr>
      <w:r>
        <w:rPr>
          <w:rFonts w:ascii="仿宋" w:hAnsi="仿宋" w:eastAsia="仿宋"/>
          <w:bCs/>
          <w:color w:val="auto"/>
          <w:sz w:val="24"/>
          <w:szCs w:val="24"/>
        </w:rPr>
        <w:t>联系人</w:t>
      </w:r>
      <w:r>
        <w:rPr>
          <w:rFonts w:hint="eastAsia" w:ascii="仿宋" w:hAnsi="仿宋" w:eastAsia="仿宋"/>
          <w:bCs/>
          <w:color w:val="auto"/>
          <w:sz w:val="24"/>
          <w:szCs w:val="24"/>
        </w:rPr>
        <w:t>：</w:t>
      </w:r>
      <w:r>
        <w:rPr>
          <w:rFonts w:ascii="仿宋" w:hAnsi="仿宋" w:eastAsia="仿宋"/>
          <w:bCs/>
          <w:color w:val="auto"/>
          <w:sz w:val="24"/>
          <w:szCs w:val="24"/>
        </w:rPr>
        <w:t>联系电话</w:t>
      </w:r>
      <w:r>
        <w:rPr>
          <w:rFonts w:hint="eastAsia" w:ascii="仿宋" w:hAnsi="仿宋" w:eastAsia="仿宋"/>
          <w:bCs/>
          <w:color w:val="auto"/>
          <w:sz w:val="24"/>
          <w:szCs w:val="24"/>
        </w:rPr>
        <w:t>：</w:t>
      </w:r>
    </w:p>
    <w:p w14:paraId="5E6D0BD8">
      <w:pPr>
        <w:pStyle w:val="26"/>
        <w:snapToGrid w:val="0"/>
        <w:spacing w:line="360" w:lineRule="auto"/>
        <w:ind w:firstLine="480" w:firstLineChars="200"/>
        <w:rPr>
          <w:rFonts w:ascii="仿宋" w:hAnsi="仿宋" w:eastAsia="仿宋"/>
          <w:bCs/>
          <w:color w:val="auto"/>
          <w:sz w:val="24"/>
          <w:szCs w:val="24"/>
        </w:rPr>
      </w:pPr>
      <w:r>
        <w:rPr>
          <w:rFonts w:hint="eastAsia" w:ascii="仿宋" w:hAnsi="仿宋" w:eastAsia="仿宋"/>
          <w:bCs/>
          <w:color w:val="auto"/>
          <w:sz w:val="24"/>
          <w:szCs w:val="24"/>
        </w:rPr>
        <w:t>授权代表：</w:t>
      </w:r>
    </w:p>
    <w:p w14:paraId="2A4BC746">
      <w:pPr>
        <w:pStyle w:val="26"/>
        <w:snapToGrid w:val="0"/>
        <w:spacing w:line="360" w:lineRule="auto"/>
        <w:ind w:firstLine="480" w:firstLineChars="200"/>
        <w:rPr>
          <w:rFonts w:ascii="仿宋" w:hAnsi="仿宋" w:eastAsia="仿宋"/>
          <w:bCs/>
          <w:color w:val="auto"/>
          <w:sz w:val="24"/>
          <w:szCs w:val="24"/>
          <w:u w:val="single"/>
        </w:rPr>
      </w:pPr>
      <w:r>
        <w:rPr>
          <w:rFonts w:ascii="仿宋" w:hAnsi="仿宋" w:eastAsia="仿宋"/>
          <w:bCs/>
          <w:color w:val="auto"/>
          <w:sz w:val="24"/>
          <w:szCs w:val="24"/>
        </w:rPr>
        <w:t>联系</w:t>
      </w:r>
      <w:r>
        <w:rPr>
          <w:rFonts w:hint="eastAsia" w:ascii="仿宋" w:hAnsi="仿宋" w:eastAsia="仿宋"/>
          <w:bCs/>
          <w:color w:val="auto"/>
          <w:sz w:val="24"/>
          <w:szCs w:val="24"/>
        </w:rPr>
        <w:t>电话：</w:t>
      </w:r>
    </w:p>
    <w:p w14:paraId="190DD39D">
      <w:pPr>
        <w:pStyle w:val="26"/>
        <w:snapToGrid w:val="0"/>
        <w:spacing w:line="360" w:lineRule="auto"/>
        <w:ind w:firstLine="480" w:firstLineChars="200"/>
        <w:rPr>
          <w:rFonts w:ascii="仿宋" w:hAnsi="仿宋" w:eastAsia="仿宋"/>
          <w:bCs/>
          <w:color w:val="auto"/>
          <w:sz w:val="24"/>
          <w:szCs w:val="24"/>
        </w:rPr>
      </w:pPr>
      <w:r>
        <w:rPr>
          <w:rFonts w:ascii="仿宋" w:hAnsi="仿宋" w:eastAsia="仿宋"/>
          <w:bCs/>
          <w:color w:val="auto"/>
          <w:sz w:val="24"/>
          <w:szCs w:val="24"/>
        </w:rPr>
        <w:t>地址</w:t>
      </w:r>
      <w:r>
        <w:rPr>
          <w:rFonts w:hint="eastAsia" w:ascii="仿宋" w:hAnsi="仿宋" w:eastAsia="仿宋"/>
          <w:bCs/>
          <w:color w:val="auto"/>
          <w:sz w:val="24"/>
          <w:szCs w:val="24"/>
        </w:rPr>
        <w:t>：</w:t>
      </w:r>
      <w:r>
        <w:rPr>
          <w:rFonts w:ascii="仿宋" w:hAnsi="仿宋" w:eastAsia="仿宋"/>
          <w:bCs/>
          <w:color w:val="auto"/>
          <w:sz w:val="24"/>
          <w:szCs w:val="24"/>
        </w:rPr>
        <w:t>邮编</w:t>
      </w:r>
      <w:r>
        <w:rPr>
          <w:rFonts w:hint="eastAsia" w:ascii="仿宋" w:hAnsi="仿宋" w:eastAsia="仿宋"/>
          <w:bCs/>
          <w:color w:val="auto"/>
          <w:sz w:val="24"/>
          <w:szCs w:val="24"/>
        </w:rPr>
        <w:t>：</w:t>
      </w:r>
    </w:p>
    <w:p w14:paraId="16F78352">
      <w:pPr>
        <w:pStyle w:val="26"/>
        <w:snapToGrid w:val="0"/>
        <w:spacing w:line="360" w:lineRule="auto"/>
        <w:ind w:firstLine="482" w:firstLineChars="200"/>
        <w:rPr>
          <w:rFonts w:ascii="仿宋" w:hAnsi="仿宋" w:eastAsia="仿宋"/>
          <w:b/>
          <w:bCs/>
          <w:color w:val="auto"/>
          <w:sz w:val="24"/>
          <w:szCs w:val="24"/>
        </w:rPr>
      </w:pPr>
      <w:r>
        <w:rPr>
          <w:rFonts w:hint="eastAsia" w:ascii="仿宋" w:hAnsi="仿宋" w:eastAsia="仿宋"/>
          <w:b/>
          <w:bCs/>
          <w:color w:val="auto"/>
          <w:sz w:val="24"/>
          <w:szCs w:val="24"/>
        </w:rPr>
        <w:t>二、质疑项目基本情况：</w:t>
      </w:r>
    </w:p>
    <w:p w14:paraId="0081EF8D">
      <w:pPr>
        <w:pStyle w:val="26"/>
        <w:spacing w:line="360" w:lineRule="auto"/>
        <w:ind w:left="25" w:leftChars="12" w:firstLine="472" w:firstLineChars="197"/>
        <w:rPr>
          <w:rFonts w:ascii="仿宋" w:hAnsi="仿宋" w:eastAsia="仿宋"/>
          <w:color w:val="auto"/>
          <w:sz w:val="24"/>
          <w:szCs w:val="24"/>
        </w:rPr>
      </w:pPr>
      <w:r>
        <w:rPr>
          <w:rFonts w:hint="eastAsia" w:ascii="仿宋" w:hAnsi="仿宋" w:eastAsia="仿宋"/>
          <w:bCs/>
          <w:color w:val="auto"/>
          <w:sz w:val="24"/>
          <w:szCs w:val="24"/>
        </w:rPr>
        <w:t>质疑</w:t>
      </w:r>
      <w:r>
        <w:rPr>
          <w:rFonts w:hint="eastAsia" w:ascii="仿宋" w:hAnsi="仿宋" w:eastAsia="仿宋"/>
          <w:color w:val="auto"/>
          <w:sz w:val="24"/>
          <w:szCs w:val="24"/>
        </w:rPr>
        <w:t>项目的名称：</w:t>
      </w:r>
    </w:p>
    <w:p w14:paraId="1748F1E6">
      <w:pPr>
        <w:pStyle w:val="26"/>
        <w:spacing w:line="360" w:lineRule="auto"/>
        <w:ind w:left="25" w:leftChars="12" w:firstLine="472" w:firstLineChars="197"/>
        <w:rPr>
          <w:rFonts w:ascii="仿宋" w:hAnsi="仿宋" w:eastAsia="仿宋"/>
          <w:color w:val="auto"/>
          <w:sz w:val="24"/>
          <w:szCs w:val="24"/>
        </w:rPr>
      </w:pPr>
      <w:r>
        <w:rPr>
          <w:rFonts w:hint="eastAsia" w:ascii="仿宋" w:hAnsi="仿宋" w:eastAsia="仿宋"/>
          <w:bCs/>
          <w:color w:val="auto"/>
          <w:sz w:val="24"/>
          <w:szCs w:val="24"/>
        </w:rPr>
        <w:t>质疑</w:t>
      </w:r>
      <w:r>
        <w:rPr>
          <w:rFonts w:hint="eastAsia" w:ascii="仿宋" w:hAnsi="仿宋" w:eastAsia="仿宋"/>
          <w:color w:val="auto"/>
          <w:sz w:val="24"/>
          <w:szCs w:val="24"/>
        </w:rPr>
        <w:t>项目的编号：</w:t>
      </w:r>
    </w:p>
    <w:p w14:paraId="55647ED2">
      <w:pPr>
        <w:pStyle w:val="26"/>
        <w:spacing w:line="360" w:lineRule="auto"/>
        <w:ind w:left="25" w:leftChars="12" w:firstLine="472" w:firstLineChars="197"/>
        <w:rPr>
          <w:rFonts w:ascii="仿宋" w:hAnsi="仿宋" w:eastAsia="仿宋"/>
          <w:color w:val="auto"/>
          <w:sz w:val="24"/>
          <w:szCs w:val="24"/>
        </w:rPr>
      </w:pPr>
      <w:r>
        <w:rPr>
          <w:rFonts w:hint="eastAsia" w:ascii="仿宋" w:hAnsi="仿宋" w:eastAsia="仿宋"/>
          <w:color w:val="auto"/>
          <w:sz w:val="24"/>
          <w:szCs w:val="24"/>
        </w:rPr>
        <w:t>采购人名称：</w:t>
      </w:r>
    </w:p>
    <w:p w14:paraId="65604B5E">
      <w:pPr>
        <w:pStyle w:val="26"/>
        <w:spacing w:line="360" w:lineRule="auto"/>
        <w:ind w:left="25" w:leftChars="12" w:firstLine="472" w:firstLineChars="197"/>
        <w:rPr>
          <w:rFonts w:ascii="仿宋" w:hAnsi="仿宋" w:eastAsia="仿宋"/>
          <w:color w:val="auto"/>
          <w:sz w:val="24"/>
          <w:szCs w:val="24"/>
        </w:rPr>
      </w:pPr>
      <w:r>
        <w:rPr>
          <w:rFonts w:hint="eastAsia" w:ascii="仿宋" w:hAnsi="仿宋" w:eastAsia="仿宋"/>
          <w:color w:val="auto"/>
          <w:sz w:val="24"/>
          <w:szCs w:val="24"/>
        </w:rPr>
        <w:t>质疑事项：</w:t>
      </w:r>
    </w:p>
    <w:p w14:paraId="61C7401F">
      <w:pPr>
        <w:pStyle w:val="26"/>
        <w:spacing w:line="360" w:lineRule="auto"/>
        <w:ind w:left="25" w:leftChars="12" w:firstLine="352" w:firstLineChars="147"/>
        <w:rPr>
          <w:rFonts w:ascii="仿宋" w:hAnsi="仿宋" w:eastAsia="仿宋"/>
          <w:color w:val="auto"/>
          <w:sz w:val="24"/>
          <w:szCs w:val="24"/>
        </w:rPr>
      </w:pPr>
      <w:r>
        <w:rPr>
          <w:rFonts w:hint="eastAsia" w:ascii="仿宋" w:hAnsi="仿宋" w:eastAsia="仿宋"/>
          <w:color w:val="auto"/>
          <w:sz w:val="24"/>
          <w:szCs w:val="24"/>
        </w:rPr>
        <w:t>□招标文件   招标文件获取日期：</w:t>
      </w:r>
    </w:p>
    <w:p w14:paraId="78389405">
      <w:pPr>
        <w:pStyle w:val="26"/>
        <w:spacing w:line="360" w:lineRule="auto"/>
        <w:ind w:left="25" w:leftChars="12" w:firstLine="352" w:firstLineChars="147"/>
        <w:rPr>
          <w:rFonts w:ascii="仿宋" w:hAnsi="仿宋" w:eastAsia="仿宋"/>
          <w:color w:val="auto"/>
          <w:sz w:val="24"/>
          <w:szCs w:val="24"/>
        </w:rPr>
      </w:pPr>
      <w:r>
        <w:rPr>
          <w:rFonts w:hint="eastAsia" w:ascii="仿宋" w:hAnsi="仿宋" w:eastAsia="仿宋"/>
          <w:color w:val="auto"/>
          <w:sz w:val="24"/>
          <w:szCs w:val="24"/>
        </w:rPr>
        <w:t xml:space="preserve">□采购过程   </w:t>
      </w:r>
    </w:p>
    <w:p w14:paraId="2A989072">
      <w:pPr>
        <w:pStyle w:val="26"/>
        <w:spacing w:line="360" w:lineRule="auto"/>
        <w:ind w:left="25" w:leftChars="12" w:firstLine="352" w:firstLineChars="147"/>
        <w:rPr>
          <w:rFonts w:ascii="仿宋" w:hAnsi="仿宋" w:eastAsia="仿宋"/>
          <w:bCs/>
          <w:color w:val="auto"/>
          <w:sz w:val="24"/>
          <w:szCs w:val="24"/>
          <w:u w:val="single"/>
        </w:rPr>
      </w:pPr>
      <w:r>
        <w:rPr>
          <w:rFonts w:hint="eastAsia" w:ascii="仿宋" w:hAnsi="仿宋" w:eastAsia="仿宋"/>
          <w:color w:val="auto"/>
          <w:sz w:val="24"/>
          <w:szCs w:val="24"/>
        </w:rPr>
        <w:t xml:space="preserve">□中标结果   </w:t>
      </w:r>
    </w:p>
    <w:p w14:paraId="61716403">
      <w:pPr>
        <w:pStyle w:val="26"/>
        <w:spacing w:line="360" w:lineRule="auto"/>
        <w:ind w:left="25" w:leftChars="12" w:firstLine="472" w:firstLineChars="196"/>
        <w:rPr>
          <w:rFonts w:ascii="仿宋" w:hAnsi="仿宋" w:eastAsia="仿宋"/>
          <w:b/>
          <w:color w:val="auto"/>
          <w:sz w:val="24"/>
          <w:szCs w:val="24"/>
        </w:rPr>
      </w:pPr>
      <w:r>
        <w:rPr>
          <w:rFonts w:hint="eastAsia" w:ascii="仿宋" w:hAnsi="仿宋" w:eastAsia="仿宋"/>
          <w:b/>
          <w:color w:val="auto"/>
          <w:sz w:val="24"/>
          <w:szCs w:val="24"/>
        </w:rPr>
        <w:t>三、质疑事项具体内容</w:t>
      </w:r>
    </w:p>
    <w:p w14:paraId="3681BBB5">
      <w:pPr>
        <w:pStyle w:val="26"/>
        <w:spacing w:line="360" w:lineRule="auto"/>
        <w:ind w:left="25" w:leftChars="12" w:firstLine="472" w:firstLineChars="197"/>
        <w:rPr>
          <w:rFonts w:ascii="仿宋" w:hAnsi="仿宋" w:eastAsia="仿宋"/>
          <w:color w:val="auto"/>
          <w:sz w:val="24"/>
          <w:szCs w:val="24"/>
        </w:rPr>
      </w:pPr>
      <w:r>
        <w:rPr>
          <w:rFonts w:hint="eastAsia" w:ascii="仿宋" w:hAnsi="仿宋" w:eastAsia="仿宋"/>
          <w:color w:val="auto"/>
          <w:sz w:val="24"/>
          <w:szCs w:val="24"/>
        </w:rPr>
        <w:t>质疑事项1：</w:t>
      </w:r>
    </w:p>
    <w:p w14:paraId="52A4A5E1">
      <w:pPr>
        <w:pStyle w:val="26"/>
        <w:spacing w:line="360" w:lineRule="auto"/>
        <w:ind w:left="25" w:leftChars="12" w:firstLine="472" w:firstLineChars="197"/>
        <w:rPr>
          <w:rFonts w:ascii="仿宋" w:hAnsi="仿宋" w:eastAsia="仿宋"/>
          <w:color w:val="auto"/>
          <w:sz w:val="24"/>
          <w:szCs w:val="24"/>
        </w:rPr>
      </w:pPr>
      <w:r>
        <w:rPr>
          <w:rFonts w:hint="eastAsia" w:ascii="仿宋" w:hAnsi="仿宋" w:eastAsia="仿宋"/>
          <w:color w:val="auto"/>
          <w:sz w:val="24"/>
          <w:szCs w:val="24"/>
        </w:rPr>
        <w:t>事实依据：</w:t>
      </w:r>
    </w:p>
    <w:p w14:paraId="1D02D70A">
      <w:pPr>
        <w:pStyle w:val="26"/>
        <w:spacing w:line="360" w:lineRule="auto"/>
        <w:ind w:left="25" w:leftChars="12" w:firstLine="472" w:firstLineChars="197"/>
        <w:rPr>
          <w:rFonts w:ascii="仿宋" w:hAnsi="仿宋" w:eastAsia="仿宋"/>
          <w:color w:val="auto"/>
          <w:sz w:val="24"/>
          <w:szCs w:val="24"/>
        </w:rPr>
      </w:pPr>
      <w:r>
        <w:rPr>
          <w:rFonts w:hint="eastAsia" w:ascii="仿宋" w:hAnsi="仿宋" w:eastAsia="仿宋"/>
          <w:color w:val="auto"/>
          <w:sz w:val="24"/>
          <w:szCs w:val="24"/>
        </w:rPr>
        <w:t>法律依据：</w:t>
      </w:r>
    </w:p>
    <w:p w14:paraId="6BE07340">
      <w:pPr>
        <w:pStyle w:val="26"/>
        <w:spacing w:line="360" w:lineRule="auto"/>
        <w:ind w:left="25" w:leftChars="12" w:firstLine="472" w:firstLineChars="197"/>
        <w:rPr>
          <w:rFonts w:ascii="仿宋" w:hAnsi="仿宋" w:eastAsia="仿宋"/>
          <w:color w:val="auto"/>
          <w:sz w:val="24"/>
          <w:szCs w:val="24"/>
        </w:rPr>
      </w:pPr>
      <w:r>
        <w:rPr>
          <w:rFonts w:hint="eastAsia" w:ascii="仿宋" w:hAnsi="仿宋" w:eastAsia="仿宋"/>
          <w:color w:val="auto"/>
          <w:sz w:val="24"/>
          <w:szCs w:val="24"/>
        </w:rPr>
        <w:t>质疑事项2</w:t>
      </w:r>
    </w:p>
    <w:p w14:paraId="3DCAAD42">
      <w:pPr>
        <w:pStyle w:val="26"/>
        <w:spacing w:line="360" w:lineRule="auto"/>
        <w:ind w:left="25" w:leftChars="12" w:firstLine="472" w:firstLineChars="197"/>
        <w:rPr>
          <w:rFonts w:ascii="仿宋" w:hAnsi="仿宋" w:eastAsia="仿宋"/>
          <w:color w:val="auto"/>
          <w:sz w:val="24"/>
          <w:szCs w:val="24"/>
        </w:rPr>
      </w:pPr>
      <w:r>
        <w:rPr>
          <w:rFonts w:ascii="仿宋" w:hAnsi="仿宋" w:eastAsia="仿宋"/>
          <w:color w:val="auto"/>
          <w:sz w:val="24"/>
          <w:szCs w:val="24"/>
        </w:rPr>
        <w:t>……</w:t>
      </w:r>
    </w:p>
    <w:p w14:paraId="37F25ABC">
      <w:pPr>
        <w:pStyle w:val="26"/>
        <w:spacing w:line="360" w:lineRule="auto"/>
        <w:ind w:left="25" w:leftChars="12" w:firstLine="472" w:firstLineChars="197"/>
        <w:rPr>
          <w:rFonts w:ascii="仿宋" w:hAnsi="仿宋" w:eastAsia="仿宋"/>
          <w:color w:val="auto"/>
          <w:sz w:val="24"/>
          <w:szCs w:val="24"/>
        </w:rPr>
      </w:pPr>
      <w:r>
        <w:rPr>
          <w:rFonts w:hint="eastAsia" w:ascii="仿宋" w:hAnsi="仿宋" w:eastAsia="仿宋"/>
          <w:color w:val="auto"/>
          <w:sz w:val="24"/>
          <w:szCs w:val="24"/>
        </w:rPr>
        <w:t>四、与质疑事项相关的质疑请求：</w:t>
      </w:r>
    </w:p>
    <w:p w14:paraId="2B7AF9A0">
      <w:pPr>
        <w:pStyle w:val="26"/>
        <w:spacing w:line="360" w:lineRule="auto"/>
        <w:ind w:left="25" w:leftChars="12" w:firstLine="472" w:firstLineChars="197"/>
        <w:rPr>
          <w:rFonts w:ascii="仿宋" w:hAnsi="仿宋" w:eastAsia="仿宋"/>
          <w:color w:val="auto"/>
          <w:sz w:val="24"/>
          <w:szCs w:val="24"/>
        </w:rPr>
      </w:pPr>
      <w:r>
        <w:rPr>
          <w:rFonts w:hint="eastAsia" w:ascii="仿宋" w:hAnsi="仿宋" w:eastAsia="仿宋"/>
          <w:color w:val="auto"/>
          <w:sz w:val="24"/>
          <w:szCs w:val="24"/>
        </w:rPr>
        <w:t>请求：</w:t>
      </w:r>
    </w:p>
    <w:p w14:paraId="0DFC48F4">
      <w:pPr>
        <w:pStyle w:val="26"/>
        <w:spacing w:line="360" w:lineRule="auto"/>
        <w:ind w:left="25" w:leftChars="12" w:firstLine="472" w:firstLineChars="197"/>
        <w:rPr>
          <w:rFonts w:ascii="仿宋" w:hAnsi="仿宋" w:eastAsia="仿宋"/>
          <w:color w:val="auto"/>
          <w:sz w:val="24"/>
          <w:szCs w:val="24"/>
        </w:rPr>
      </w:pPr>
      <w:r>
        <w:rPr>
          <w:rFonts w:hint="eastAsia" w:ascii="仿宋" w:hAnsi="仿宋" w:eastAsia="仿宋"/>
          <w:color w:val="auto"/>
          <w:sz w:val="24"/>
          <w:szCs w:val="24"/>
        </w:rPr>
        <w:t>签字（签章）：                                       公章：</w:t>
      </w:r>
    </w:p>
    <w:p w14:paraId="57EAB8D8">
      <w:pPr>
        <w:pStyle w:val="26"/>
        <w:spacing w:line="360" w:lineRule="auto"/>
        <w:ind w:left="25" w:leftChars="12" w:firstLine="472" w:firstLineChars="197"/>
        <w:rPr>
          <w:rFonts w:ascii="仿宋" w:hAnsi="仿宋" w:eastAsia="仿宋"/>
          <w:color w:val="auto"/>
          <w:sz w:val="24"/>
          <w:szCs w:val="24"/>
        </w:rPr>
      </w:pPr>
      <w:r>
        <w:rPr>
          <w:rFonts w:hint="eastAsia" w:ascii="仿宋" w:hAnsi="仿宋" w:eastAsia="仿宋"/>
          <w:color w:val="auto"/>
          <w:sz w:val="24"/>
          <w:szCs w:val="24"/>
        </w:rPr>
        <w:t>日期：</w:t>
      </w:r>
    </w:p>
    <w:p w14:paraId="6A9BC757">
      <w:pPr>
        <w:pStyle w:val="26"/>
        <w:snapToGrid w:val="0"/>
        <w:spacing w:line="360" w:lineRule="auto"/>
        <w:rPr>
          <w:rFonts w:ascii="仿宋" w:hAnsi="仿宋" w:eastAsia="仿宋"/>
          <w:b/>
          <w:color w:val="auto"/>
          <w:sz w:val="24"/>
          <w:szCs w:val="24"/>
        </w:rPr>
      </w:pPr>
    </w:p>
    <w:p w14:paraId="04467F68">
      <w:pPr>
        <w:pStyle w:val="26"/>
        <w:snapToGrid w:val="0"/>
        <w:spacing w:line="360" w:lineRule="auto"/>
        <w:rPr>
          <w:rFonts w:ascii="仿宋" w:hAnsi="仿宋" w:eastAsia="仿宋"/>
          <w:b/>
          <w:color w:val="auto"/>
          <w:sz w:val="24"/>
          <w:szCs w:val="24"/>
        </w:rPr>
      </w:pPr>
      <w:r>
        <w:rPr>
          <w:rFonts w:hint="eastAsia" w:ascii="仿宋" w:hAnsi="仿宋" w:eastAsia="仿宋"/>
          <w:b/>
          <w:color w:val="auto"/>
          <w:sz w:val="24"/>
          <w:szCs w:val="24"/>
        </w:rPr>
        <w:t>说明：</w:t>
      </w:r>
    </w:p>
    <w:p w14:paraId="2BB90C44">
      <w:pPr>
        <w:pStyle w:val="26"/>
        <w:spacing w:line="360" w:lineRule="auto"/>
        <w:ind w:left="25" w:leftChars="12" w:firstLine="354" w:firstLineChars="147"/>
        <w:rPr>
          <w:rFonts w:ascii="仿宋" w:hAnsi="仿宋" w:eastAsia="仿宋"/>
          <w:b/>
          <w:bCs/>
          <w:color w:val="auto"/>
          <w:sz w:val="24"/>
          <w:szCs w:val="24"/>
        </w:rPr>
      </w:pPr>
      <w:r>
        <w:rPr>
          <w:rFonts w:hint="eastAsia" w:ascii="仿宋" w:hAnsi="仿宋" w:eastAsia="仿宋"/>
          <w:b/>
          <w:color w:val="auto"/>
          <w:sz w:val="24"/>
          <w:szCs w:val="24"/>
        </w:rPr>
        <w:t>1.供应商提出质疑时，应提交质疑函和必要的证明材料</w:t>
      </w:r>
      <w:r>
        <w:rPr>
          <w:rFonts w:hint="eastAsia" w:ascii="仿宋" w:hAnsi="仿宋" w:eastAsia="仿宋"/>
          <w:b/>
          <w:bCs/>
          <w:color w:val="auto"/>
          <w:sz w:val="24"/>
          <w:szCs w:val="24"/>
        </w:rPr>
        <w:t>。</w:t>
      </w:r>
    </w:p>
    <w:p w14:paraId="3BCF6961">
      <w:pPr>
        <w:pStyle w:val="26"/>
        <w:spacing w:line="360" w:lineRule="auto"/>
        <w:ind w:left="25" w:leftChars="12" w:firstLine="354" w:firstLineChars="147"/>
        <w:rPr>
          <w:rFonts w:ascii="仿宋" w:hAnsi="仿宋" w:eastAsia="仿宋"/>
          <w:b/>
          <w:color w:val="auto"/>
          <w:sz w:val="24"/>
          <w:szCs w:val="24"/>
        </w:rPr>
      </w:pPr>
      <w:r>
        <w:rPr>
          <w:rFonts w:hint="eastAsia" w:ascii="仿宋" w:hAnsi="仿宋" w:eastAsia="仿宋"/>
          <w:b/>
          <w:color w:val="auto"/>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9C4EBC2">
      <w:pPr>
        <w:pStyle w:val="26"/>
        <w:spacing w:line="360" w:lineRule="auto"/>
        <w:ind w:left="25" w:leftChars="12" w:firstLine="354" w:firstLineChars="147"/>
        <w:rPr>
          <w:rFonts w:ascii="仿宋" w:hAnsi="仿宋" w:eastAsia="仿宋"/>
          <w:b/>
          <w:color w:val="auto"/>
          <w:sz w:val="24"/>
          <w:szCs w:val="24"/>
        </w:rPr>
      </w:pPr>
      <w:r>
        <w:rPr>
          <w:rFonts w:hint="eastAsia" w:ascii="仿宋" w:hAnsi="仿宋" w:eastAsia="仿宋"/>
          <w:b/>
          <w:color w:val="auto"/>
          <w:sz w:val="24"/>
          <w:szCs w:val="24"/>
        </w:rPr>
        <w:t>3.质疑函的质疑事项应具体、明确，并有必要的事实依据和法律依据。</w:t>
      </w:r>
    </w:p>
    <w:p w14:paraId="7F6D8758">
      <w:pPr>
        <w:pStyle w:val="26"/>
        <w:spacing w:line="360" w:lineRule="auto"/>
        <w:ind w:left="25" w:leftChars="12" w:firstLine="354" w:firstLineChars="147"/>
        <w:rPr>
          <w:rFonts w:ascii="仿宋" w:hAnsi="仿宋" w:eastAsia="仿宋"/>
          <w:b/>
          <w:color w:val="auto"/>
          <w:sz w:val="24"/>
          <w:szCs w:val="24"/>
        </w:rPr>
      </w:pPr>
      <w:r>
        <w:rPr>
          <w:rFonts w:hint="eastAsia" w:ascii="仿宋" w:hAnsi="仿宋" w:eastAsia="仿宋"/>
          <w:b/>
          <w:color w:val="auto"/>
          <w:sz w:val="24"/>
          <w:szCs w:val="24"/>
        </w:rPr>
        <w:t>4.质疑函的质疑请求应与质疑事项相关。</w:t>
      </w:r>
    </w:p>
    <w:p w14:paraId="532CF7D1">
      <w:pPr>
        <w:pStyle w:val="26"/>
        <w:spacing w:line="360" w:lineRule="auto"/>
        <w:ind w:left="25" w:leftChars="12" w:firstLine="354" w:firstLineChars="147"/>
        <w:rPr>
          <w:rFonts w:ascii="仿宋" w:hAnsi="仿宋" w:eastAsia="仿宋"/>
          <w:b/>
          <w:color w:val="auto"/>
        </w:rPr>
      </w:pPr>
      <w:r>
        <w:rPr>
          <w:rFonts w:hint="eastAsia" w:ascii="仿宋" w:hAnsi="仿宋" w:eastAsia="仿宋"/>
          <w:b/>
          <w:color w:val="auto"/>
          <w:sz w:val="24"/>
          <w:szCs w:val="24"/>
        </w:rPr>
        <w:t>5.质疑供应商为法人或者其他组织的，质疑函应由法定代表人、主要负责人，或者其授权代表签字或者盖章，并加盖公章。</w:t>
      </w:r>
    </w:p>
    <w:p w14:paraId="1B4788C6">
      <w:pPr>
        <w:pStyle w:val="26"/>
        <w:snapToGrid w:val="0"/>
        <w:rPr>
          <w:rFonts w:ascii="仿宋" w:hAnsi="仿宋" w:eastAsia="仿宋"/>
          <w:b/>
          <w:color w:val="auto"/>
          <w:sz w:val="24"/>
          <w:szCs w:val="24"/>
        </w:rPr>
      </w:pPr>
    </w:p>
    <w:p w14:paraId="4559AE2C">
      <w:pPr>
        <w:spacing w:line="360" w:lineRule="auto"/>
        <w:jc w:val="left"/>
        <w:rPr>
          <w:rFonts w:ascii="仿宋" w:hAnsi="仿宋" w:eastAsia="仿宋"/>
          <w:b/>
          <w:bCs/>
          <w:color w:val="auto"/>
          <w:sz w:val="32"/>
          <w:szCs w:val="32"/>
        </w:rPr>
      </w:pPr>
      <w:r>
        <w:rPr>
          <w:rFonts w:ascii="仿宋" w:hAnsi="仿宋" w:eastAsia="仿宋"/>
          <w:color w:val="auto"/>
          <w:sz w:val="44"/>
        </w:rPr>
        <w:br w:type="page"/>
      </w:r>
      <w:r>
        <w:rPr>
          <w:rFonts w:hint="eastAsia" w:ascii="仿宋" w:hAnsi="仿宋" w:eastAsia="仿宋"/>
          <w:b/>
          <w:color w:val="auto"/>
          <w:sz w:val="24"/>
          <w:lang w:val="en-US" w:eastAsia="zh-CN"/>
        </w:rPr>
        <w:t>6</w:t>
      </w:r>
      <w:r>
        <w:rPr>
          <w:rFonts w:hint="eastAsia" w:ascii="仿宋" w:hAnsi="仿宋" w:eastAsia="仿宋"/>
          <w:b/>
          <w:color w:val="auto"/>
          <w:sz w:val="24"/>
        </w:rPr>
        <w:t>.投诉书格式</w:t>
      </w:r>
    </w:p>
    <w:p w14:paraId="15B2605F">
      <w:pPr>
        <w:jc w:val="center"/>
        <w:rPr>
          <w:rFonts w:ascii="仿宋" w:hAnsi="仿宋" w:eastAsia="仿宋" w:cs="方正小标宋简体"/>
          <w:color w:val="auto"/>
          <w:sz w:val="44"/>
          <w:szCs w:val="44"/>
        </w:rPr>
      </w:pPr>
      <w:r>
        <w:rPr>
          <w:rFonts w:hint="eastAsia" w:ascii="仿宋" w:hAnsi="仿宋" w:eastAsia="仿宋" w:cs="方正小标宋简体"/>
          <w:color w:val="auto"/>
          <w:sz w:val="44"/>
          <w:szCs w:val="44"/>
        </w:rPr>
        <w:t>投诉书</w:t>
      </w:r>
    </w:p>
    <w:p w14:paraId="43AF2423">
      <w:pPr>
        <w:pStyle w:val="26"/>
        <w:snapToGrid w:val="0"/>
        <w:spacing w:line="440" w:lineRule="exact"/>
        <w:ind w:firstLine="482" w:firstLineChars="200"/>
        <w:rPr>
          <w:rFonts w:ascii="仿宋" w:hAnsi="仿宋" w:eastAsia="仿宋"/>
          <w:b/>
          <w:bCs/>
          <w:color w:val="auto"/>
          <w:sz w:val="24"/>
          <w:szCs w:val="24"/>
        </w:rPr>
      </w:pPr>
    </w:p>
    <w:p w14:paraId="633CD09C">
      <w:pPr>
        <w:pStyle w:val="26"/>
        <w:snapToGrid w:val="0"/>
        <w:spacing w:line="440" w:lineRule="exact"/>
        <w:ind w:firstLine="482" w:firstLineChars="200"/>
        <w:rPr>
          <w:rFonts w:ascii="仿宋" w:hAnsi="仿宋" w:eastAsia="仿宋"/>
          <w:b/>
          <w:bCs/>
          <w:color w:val="auto"/>
          <w:sz w:val="24"/>
          <w:szCs w:val="24"/>
        </w:rPr>
      </w:pPr>
      <w:r>
        <w:rPr>
          <w:rFonts w:hint="eastAsia" w:ascii="仿宋" w:hAnsi="仿宋" w:eastAsia="仿宋"/>
          <w:b/>
          <w:bCs/>
          <w:color w:val="auto"/>
          <w:sz w:val="24"/>
          <w:szCs w:val="24"/>
        </w:rPr>
        <w:t>一、投诉相关主体基本情况：</w:t>
      </w:r>
    </w:p>
    <w:p w14:paraId="728CD9C4">
      <w:pPr>
        <w:pStyle w:val="26"/>
        <w:snapToGrid w:val="0"/>
        <w:spacing w:line="440" w:lineRule="exact"/>
        <w:ind w:firstLine="480" w:firstLineChars="200"/>
        <w:jc w:val="left"/>
        <w:rPr>
          <w:rFonts w:ascii="仿宋" w:hAnsi="仿宋" w:eastAsia="仿宋"/>
          <w:bCs/>
          <w:color w:val="auto"/>
          <w:sz w:val="24"/>
          <w:szCs w:val="24"/>
          <w:u w:val="single"/>
        </w:rPr>
      </w:pPr>
      <w:r>
        <w:rPr>
          <w:rFonts w:hint="eastAsia" w:ascii="仿宋" w:hAnsi="仿宋" w:eastAsia="仿宋"/>
          <w:bCs/>
          <w:color w:val="auto"/>
          <w:sz w:val="24"/>
          <w:szCs w:val="24"/>
        </w:rPr>
        <w:t>投标人：</w:t>
      </w:r>
    </w:p>
    <w:p w14:paraId="4B5ED244">
      <w:pPr>
        <w:pStyle w:val="26"/>
        <w:snapToGrid w:val="0"/>
        <w:spacing w:line="440" w:lineRule="exact"/>
        <w:ind w:firstLine="480" w:firstLineChars="200"/>
        <w:jc w:val="left"/>
        <w:rPr>
          <w:rFonts w:ascii="仿宋" w:hAnsi="仿宋" w:eastAsia="仿宋"/>
          <w:bCs/>
          <w:color w:val="auto"/>
          <w:sz w:val="24"/>
          <w:szCs w:val="24"/>
        </w:rPr>
      </w:pPr>
      <w:r>
        <w:rPr>
          <w:rFonts w:ascii="仿宋" w:hAnsi="仿宋" w:eastAsia="仿宋"/>
          <w:bCs/>
          <w:color w:val="auto"/>
          <w:sz w:val="24"/>
          <w:szCs w:val="24"/>
        </w:rPr>
        <w:t>地址</w:t>
      </w:r>
      <w:r>
        <w:rPr>
          <w:rFonts w:hint="eastAsia" w:ascii="仿宋" w:hAnsi="仿宋" w:eastAsia="仿宋"/>
          <w:bCs/>
          <w:color w:val="auto"/>
          <w:sz w:val="24"/>
          <w:szCs w:val="24"/>
        </w:rPr>
        <w:t>：</w:t>
      </w:r>
      <w:r>
        <w:rPr>
          <w:rFonts w:ascii="仿宋" w:hAnsi="仿宋" w:eastAsia="仿宋"/>
          <w:bCs/>
          <w:color w:val="auto"/>
          <w:sz w:val="24"/>
          <w:szCs w:val="24"/>
        </w:rPr>
        <w:t>邮编</w:t>
      </w:r>
      <w:r>
        <w:rPr>
          <w:rFonts w:hint="eastAsia" w:ascii="仿宋" w:hAnsi="仿宋" w:eastAsia="仿宋"/>
          <w:bCs/>
          <w:color w:val="auto"/>
          <w:sz w:val="24"/>
          <w:szCs w:val="24"/>
        </w:rPr>
        <w:t>：</w:t>
      </w:r>
    </w:p>
    <w:p w14:paraId="17A161A8">
      <w:pPr>
        <w:pStyle w:val="26"/>
        <w:snapToGrid w:val="0"/>
        <w:spacing w:line="440" w:lineRule="exact"/>
        <w:ind w:firstLine="480" w:firstLineChars="200"/>
        <w:jc w:val="left"/>
        <w:rPr>
          <w:rFonts w:ascii="仿宋" w:hAnsi="仿宋" w:eastAsia="仿宋"/>
          <w:bCs/>
          <w:color w:val="auto"/>
          <w:sz w:val="24"/>
          <w:szCs w:val="24"/>
          <w:u w:val="single"/>
        </w:rPr>
      </w:pPr>
      <w:r>
        <w:rPr>
          <w:rFonts w:hint="eastAsia" w:ascii="仿宋" w:hAnsi="仿宋" w:eastAsia="仿宋"/>
          <w:bCs/>
          <w:color w:val="auto"/>
          <w:sz w:val="24"/>
          <w:szCs w:val="24"/>
        </w:rPr>
        <w:t>法定代表人/主要负责人：</w:t>
      </w:r>
    </w:p>
    <w:p w14:paraId="3FC38373">
      <w:pPr>
        <w:pStyle w:val="26"/>
        <w:snapToGrid w:val="0"/>
        <w:spacing w:line="440" w:lineRule="exact"/>
        <w:ind w:firstLine="480" w:firstLineChars="200"/>
        <w:jc w:val="left"/>
        <w:rPr>
          <w:rFonts w:ascii="仿宋" w:hAnsi="仿宋" w:eastAsia="仿宋"/>
          <w:bCs/>
          <w:color w:val="auto"/>
          <w:sz w:val="24"/>
          <w:szCs w:val="24"/>
        </w:rPr>
      </w:pPr>
      <w:r>
        <w:rPr>
          <w:rFonts w:ascii="仿宋" w:hAnsi="仿宋" w:eastAsia="仿宋"/>
          <w:bCs/>
          <w:color w:val="auto"/>
          <w:sz w:val="24"/>
          <w:szCs w:val="24"/>
        </w:rPr>
        <w:t>联系电话</w:t>
      </w:r>
      <w:r>
        <w:rPr>
          <w:rFonts w:hint="eastAsia" w:ascii="仿宋" w:hAnsi="仿宋" w:eastAsia="仿宋"/>
          <w:bCs/>
          <w:color w:val="auto"/>
          <w:sz w:val="24"/>
          <w:szCs w:val="24"/>
        </w:rPr>
        <w:t>：</w:t>
      </w:r>
    </w:p>
    <w:p w14:paraId="47259059">
      <w:pPr>
        <w:pStyle w:val="26"/>
        <w:snapToGrid w:val="0"/>
        <w:spacing w:line="440" w:lineRule="exact"/>
        <w:ind w:firstLine="480" w:firstLineChars="200"/>
        <w:jc w:val="left"/>
        <w:rPr>
          <w:rFonts w:ascii="仿宋" w:hAnsi="仿宋" w:eastAsia="仿宋"/>
          <w:bCs/>
          <w:color w:val="auto"/>
          <w:sz w:val="24"/>
          <w:szCs w:val="24"/>
          <w:u w:val="single"/>
        </w:rPr>
      </w:pPr>
      <w:r>
        <w:rPr>
          <w:rFonts w:hint="eastAsia" w:ascii="仿宋" w:hAnsi="仿宋" w:eastAsia="仿宋"/>
          <w:bCs/>
          <w:color w:val="auto"/>
          <w:sz w:val="24"/>
          <w:szCs w:val="24"/>
        </w:rPr>
        <w:t>授权代表：</w:t>
      </w:r>
      <w:r>
        <w:rPr>
          <w:rFonts w:ascii="仿宋" w:hAnsi="仿宋" w:eastAsia="仿宋"/>
          <w:bCs/>
          <w:color w:val="auto"/>
          <w:sz w:val="24"/>
          <w:szCs w:val="24"/>
        </w:rPr>
        <w:t>联系</w:t>
      </w:r>
      <w:r>
        <w:rPr>
          <w:rFonts w:hint="eastAsia" w:ascii="仿宋" w:hAnsi="仿宋" w:eastAsia="仿宋"/>
          <w:bCs/>
          <w:color w:val="auto"/>
          <w:sz w:val="24"/>
          <w:szCs w:val="24"/>
        </w:rPr>
        <w:t>电话：</w:t>
      </w:r>
    </w:p>
    <w:p w14:paraId="0BD512A8">
      <w:pPr>
        <w:pStyle w:val="26"/>
        <w:snapToGrid w:val="0"/>
        <w:spacing w:line="440" w:lineRule="exact"/>
        <w:ind w:firstLine="480" w:firstLineChars="200"/>
        <w:jc w:val="left"/>
        <w:rPr>
          <w:rFonts w:ascii="仿宋" w:hAnsi="仿宋" w:eastAsia="仿宋"/>
          <w:bCs/>
          <w:color w:val="auto"/>
          <w:sz w:val="24"/>
          <w:szCs w:val="24"/>
          <w:u w:val="single"/>
        </w:rPr>
      </w:pPr>
      <w:r>
        <w:rPr>
          <w:rFonts w:ascii="仿宋" w:hAnsi="仿宋" w:eastAsia="仿宋"/>
          <w:bCs/>
          <w:color w:val="auto"/>
          <w:sz w:val="24"/>
          <w:szCs w:val="24"/>
        </w:rPr>
        <w:t>地址</w:t>
      </w:r>
      <w:r>
        <w:rPr>
          <w:rFonts w:hint="eastAsia" w:ascii="仿宋" w:hAnsi="仿宋" w:eastAsia="仿宋"/>
          <w:bCs/>
          <w:color w:val="auto"/>
          <w:sz w:val="24"/>
          <w:szCs w:val="24"/>
        </w:rPr>
        <w:t>：</w:t>
      </w:r>
    </w:p>
    <w:p w14:paraId="07B62310">
      <w:pPr>
        <w:pStyle w:val="26"/>
        <w:snapToGrid w:val="0"/>
        <w:spacing w:line="440" w:lineRule="exact"/>
        <w:ind w:firstLine="480" w:firstLineChars="200"/>
        <w:jc w:val="left"/>
        <w:rPr>
          <w:rFonts w:ascii="仿宋" w:hAnsi="仿宋" w:eastAsia="仿宋"/>
          <w:bCs/>
          <w:color w:val="auto"/>
          <w:sz w:val="24"/>
          <w:szCs w:val="24"/>
        </w:rPr>
      </w:pPr>
      <w:r>
        <w:rPr>
          <w:rFonts w:ascii="仿宋" w:hAnsi="仿宋" w:eastAsia="仿宋"/>
          <w:bCs/>
          <w:color w:val="auto"/>
          <w:sz w:val="24"/>
          <w:szCs w:val="24"/>
        </w:rPr>
        <w:t>邮编</w:t>
      </w:r>
      <w:r>
        <w:rPr>
          <w:rFonts w:hint="eastAsia" w:ascii="仿宋" w:hAnsi="仿宋" w:eastAsia="仿宋"/>
          <w:bCs/>
          <w:color w:val="auto"/>
          <w:sz w:val="24"/>
          <w:szCs w:val="24"/>
        </w:rPr>
        <w:t>：</w:t>
      </w:r>
    </w:p>
    <w:p w14:paraId="00F4934A">
      <w:pPr>
        <w:pStyle w:val="26"/>
        <w:snapToGrid w:val="0"/>
        <w:spacing w:line="440" w:lineRule="exact"/>
        <w:ind w:firstLine="480" w:firstLineChars="200"/>
        <w:jc w:val="left"/>
        <w:rPr>
          <w:rFonts w:ascii="仿宋" w:hAnsi="仿宋" w:eastAsia="仿宋"/>
          <w:bCs/>
          <w:color w:val="auto"/>
          <w:sz w:val="24"/>
          <w:szCs w:val="24"/>
        </w:rPr>
      </w:pPr>
      <w:r>
        <w:rPr>
          <w:rFonts w:hint="eastAsia" w:ascii="仿宋" w:hAnsi="仿宋" w:eastAsia="仿宋"/>
          <w:bCs/>
          <w:color w:val="auto"/>
          <w:sz w:val="24"/>
          <w:szCs w:val="24"/>
        </w:rPr>
        <w:t>被投诉人1：</w:t>
      </w:r>
    </w:p>
    <w:p w14:paraId="650D159F">
      <w:pPr>
        <w:pStyle w:val="26"/>
        <w:snapToGrid w:val="0"/>
        <w:spacing w:line="440" w:lineRule="exact"/>
        <w:ind w:firstLine="480" w:firstLineChars="200"/>
        <w:jc w:val="left"/>
        <w:rPr>
          <w:rFonts w:ascii="仿宋" w:hAnsi="仿宋" w:eastAsia="仿宋"/>
          <w:bCs/>
          <w:color w:val="auto"/>
          <w:sz w:val="24"/>
          <w:szCs w:val="24"/>
          <w:u w:val="single"/>
        </w:rPr>
      </w:pPr>
      <w:r>
        <w:rPr>
          <w:rFonts w:hint="eastAsia" w:ascii="仿宋" w:hAnsi="仿宋" w:eastAsia="仿宋"/>
          <w:bCs/>
          <w:color w:val="auto"/>
          <w:sz w:val="24"/>
          <w:szCs w:val="24"/>
        </w:rPr>
        <w:t>地址：</w:t>
      </w:r>
    </w:p>
    <w:p w14:paraId="2B876CA6">
      <w:pPr>
        <w:pStyle w:val="26"/>
        <w:snapToGrid w:val="0"/>
        <w:spacing w:line="440" w:lineRule="exact"/>
        <w:ind w:firstLine="480" w:firstLineChars="200"/>
        <w:jc w:val="left"/>
        <w:rPr>
          <w:rFonts w:ascii="仿宋" w:hAnsi="仿宋" w:eastAsia="仿宋"/>
          <w:bCs/>
          <w:color w:val="auto"/>
          <w:sz w:val="24"/>
          <w:szCs w:val="24"/>
        </w:rPr>
      </w:pPr>
      <w:r>
        <w:rPr>
          <w:rFonts w:ascii="仿宋" w:hAnsi="仿宋" w:eastAsia="仿宋"/>
          <w:bCs/>
          <w:color w:val="auto"/>
          <w:sz w:val="24"/>
          <w:szCs w:val="24"/>
        </w:rPr>
        <w:t>邮编</w:t>
      </w:r>
      <w:r>
        <w:rPr>
          <w:rFonts w:hint="eastAsia" w:ascii="仿宋" w:hAnsi="仿宋" w:eastAsia="仿宋"/>
          <w:bCs/>
          <w:color w:val="auto"/>
          <w:sz w:val="24"/>
          <w:szCs w:val="24"/>
        </w:rPr>
        <w:t>：</w:t>
      </w:r>
    </w:p>
    <w:p w14:paraId="0690EC33">
      <w:pPr>
        <w:pStyle w:val="26"/>
        <w:snapToGrid w:val="0"/>
        <w:spacing w:line="440" w:lineRule="exact"/>
        <w:ind w:firstLine="480" w:firstLineChars="200"/>
        <w:jc w:val="left"/>
        <w:rPr>
          <w:rFonts w:ascii="仿宋" w:hAnsi="仿宋" w:eastAsia="仿宋"/>
          <w:bCs/>
          <w:color w:val="auto"/>
          <w:sz w:val="24"/>
          <w:szCs w:val="24"/>
          <w:u w:val="single"/>
        </w:rPr>
      </w:pPr>
      <w:r>
        <w:rPr>
          <w:rFonts w:hint="eastAsia" w:ascii="仿宋" w:hAnsi="仿宋" w:eastAsia="仿宋"/>
          <w:bCs/>
          <w:color w:val="auto"/>
          <w:sz w:val="24"/>
          <w:szCs w:val="24"/>
        </w:rPr>
        <w:t>联系人：</w:t>
      </w:r>
      <w:r>
        <w:rPr>
          <w:rFonts w:ascii="仿宋" w:hAnsi="仿宋" w:eastAsia="仿宋"/>
          <w:bCs/>
          <w:color w:val="auto"/>
          <w:sz w:val="24"/>
          <w:szCs w:val="24"/>
        </w:rPr>
        <w:t>联系</w:t>
      </w:r>
      <w:r>
        <w:rPr>
          <w:rFonts w:hint="eastAsia" w:ascii="仿宋" w:hAnsi="仿宋" w:eastAsia="仿宋"/>
          <w:bCs/>
          <w:color w:val="auto"/>
          <w:sz w:val="24"/>
          <w:szCs w:val="24"/>
        </w:rPr>
        <w:t>电话：</w:t>
      </w:r>
    </w:p>
    <w:p w14:paraId="7C776C93">
      <w:pPr>
        <w:pStyle w:val="26"/>
        <w:snapToGrid w:val="0"/>
        <w:spacing w:line="440" w:lineRule="exact"/>
        <w:ind w:firstLine="480" w:firstLineChars="200"/>
        <w:jc w:val="left"/>
        <w:rPr>
          <w:rFonts w:ascii="仿宋" w:hAnsi="仿宋" w:eastAsia="仿宋"/>
          <w:bCs/>
          <w:color w:val="auto"/>
          <w:sz w:val="24"/>
          <w:szCs w:val="24"/>
        </w:rPr>
      </w:pPr>
      <w:r>
        <w:rPr>
          <w:rFonts w:hint="eastAsia" w:ascii="仿宋" w:hAnsi="仿宋" w:eastAsia="仿宋"/>
          <w:bCs/>
          <w:color w:val="auto"/>
          <w:sz w:val="24"/>
          <w:szCs w:val="24"/>
        </w:rPr>
        <w:t>被投诉人2：</w:t>
      </w:r>
    </w:p>
    <w:p w14:paraId="7D6BF4EF">
      <w:pPr>
        <w:pStyle w:val="26"/>
        <w:snapToGrid w:val="0"/>
        <w:spacing w:line="440" w:lineRule="exact"/>
        <w:ind w:firstLine="480" w:firstLineChars="200"/>
        <w:jc w:val="left"/>
        <w:rPr>
          <w:rFonts w:ascii="仿宋" w:hAnsi="仿宋" w:eastAsia="仿宋"/>
          <w:bCs/>
          <w:color w:val="auto"/>
          <w:sz w:val="24"/>
          <w:szCs w:val="24"/>
        </w:rPr>
      </w:pPr>
      <w:r>
        <w:rPr>
          <w:rFonts w:ascii="仿宋" w:hAnsi="仿宋" w:eastAsia="仿宋"/>
          <w:bCs/>
          <w:color w:val="auto"/>
          <w:sz w:val="24"/>
          <w:szCs w:val="24"/>
        </w:rPr>
        <w:t>……</w:t>
      </w:r>
    </w:p>
    <w:p w14:paraId="6B5A5829">
      <w:pPr>
        <w:pStyle w:val="26"/>
        <w:snapToGrid w:val="0"/>
        <w:spacing w:line="440" w:lineRule="exact"/>
        <w:ind w:firstLine="480" w:firstLineChars="200"/>
        <w:jc w:val="left"/>
        <w:rPr>
          <w:rFonts w:ascii="仿宋" w:hAnsi="仿宋" w:eastAsia="仿宋"/>
          <w:bCs/>
          <w:color w:val="auto"/>
          <w:sz w:val="24"/>
          <w:szCs w:val="24"/>
          <w:u w:val="single"/>
        </w:rPr>
      </w:pPr>
      <w:r>
        <w:rPr>
          <w:rFonts w:hint="eastAsia" w:ascii="仿宋" w:hAnsi="仿宋" w:eastAsia="仿宋"/>
          <w:bCs/>
          <w:color w:val="auto"/>
          <w:sz w:val="24"/>
          <w:szCs w:val="24"/>
        </w:rPr>
        <w:t>相关供应商：</w:t>
      </w:r>
    </w:p>
    <w:p w14:paraId="10717832">
      <w:pPr>
        <w:pStyle w:val="26"/>
        <w:snapToGrid w:val="0"/>
        <w:spacing w:line="440" w:lineRule="exact"/>
        <w:ind w:firstLine="480" w:firstLineChars="200"/>
        <w:jc w:val="left"/>
        <w:rPr>
          <w:rFonts w:ascii="仿宋" w:hAnsi="仿宋" w:eastAsia="仿宋"/>
          <w:bCs/>
          <w:color w:val="auto"/>
          <w:sz w:val="24"/>
          <w:szCs w:val="24"/>
          <w:u w:val="single"/>
        </w:rPr>
      </w:pPr>
      <w:r>
        <w:rPr>
          <w:rFonts w:ascii="仿宋" w:hAnsi="仿宋" w:eastAsia="仿宋"/>
          <w:bCs/>
          <w:color w:val="auto"/>
          <w:sz w:val="24"/>
          <w:szCs w:val="24"/>
        </w:rPr>
        <w:t>地址</w:t>
      </w:r>
      <w:r>
        <w:rPr>
          <w:rFonts w:hint="eastAsia" w:ascii="仿宋" w:hAnsi="仿宋" w:eastAsia="仿宋"/>
          <w:bCs/>
          <w:color w:val="auto"/>
          <w:sz w:val="24"/>
          <w:szCs w:val="24"/>
        </w:rPr>
        <w:t>：</w:t>
      </w:r>
      <w:r>
        <w:rPr>
          <w:rFonts w:ascii="仿宋" w:hAnsi="仿宋" w:eastAsia="仿宋"/>
          <w:bCs/>
          <w:color w:val="auto"/>
          <w:sz w:val="24"/>
          <w:szCs w:val="24"/>
        </w:rPr>
        <w:t>邮编</w:t>
      </w:r>
      <w:r>
        <w:rPr>
          <w:rFonts w:hint="eastAsia" w:ascii="仿宋" w:hAnsi="仿宋" w:eastAsia="仿宋"/>
          <w:bCs/>
          <w:color w:val="auto"/>
          <w:sz w:val="24"/>
          <w:szCs w:val="24"/>
        </w:rPr>
        <w:t>：</w:t>
      </w:r>
    </w:p>
    <w:p w14:paraId="0601329D">
      <w:pPr>
        <w:pStyle w:val="26"/>
        <w:snapToGrid w:val="0"/>
        <w:spacing w:line="440" w:lineRule="exact"/>
        <w:ind w:firstLine="480" w:firstLineChars="200"/>
        <w:jc w:val="left"/>
        <w:rPr>
          <w:rFonts w:ascii="仿宋" w:hAnsi="仿宋" w:eastAsia="仿宋"/>
          <w:bCs/>
          <w:color w:val="auto"/>
          <w:sz w:val="24"/>
          <w:szCs w:val="24"/>
        </w:rPr>
      </w:pPr>
      <w:r>
        <w:rPr>
          <w:rFonts w:hint="eastAsia" w:ascii="仿宋" w:hAnsi="仿宋" w:eastAsia="仿宋"/>
          <w:bCs/>
          <w:color w:val="auto"/>
          <w:sz w:val="24"/>
          <w:szCs w:val="24"/>
        </w:rPr>
        <w:t>联系人：</w:t>
      </w:r>
      <w:r>
        <w:rPr>
          <w:rFonts w:ascii="仿宋" w:hAnsi="仿宋" w:eastAsia="仿宋"/>
          <w:bCs/>
          <w:color w:val="auto"/>
          <w:sz w:val="24"/>
          <w:szCs w:val="24"/>
        </w:rPr>
        <w:t>联系</w:t>
      </w:r>
      <w:r>
        <w:rPr>
          <w:rFonts w:hint="eastAsia" w:ascii="仿宋" w:hAnsi="仿宋" w:eastAsia="仿宋"/>
          <w:bCs/>
          <w:color w:val="auto"/>
          <w:sz w:val="24"/>
          <w:szCs w:val="24"/>
        </w:rPr>
        <w:t>电话：</w:t>
      </w:r>
    </w:p>
    <w:p w14:paraId="66D5F9FE">
      <w:pPr>
        <w:pStyle w:val="26"/>
        <w:snapToGrid w:val="0"/>
        <w:spacing w:line="440" w:lineRule="exact"/>
        <w:ind w:firstLine="482" w:firstLineChars="200"/>
        <w:rPr>
          <w:rFonts w:ascii="仿宋" w:hAnsi="仿宋" w:eastAsia="仿宋"/>
          <w:b/>
          <w:bCs/>
          <w:color w:val="auto"/>
          <w:sz w:val="24"/>
          <w:szCs w:val="24"/>
        </w:rPr>
      </w:pPr>
      <w:r>
        <w:rPr>
          <w:rFonts w:hint="eastAsia" w:ascii="仿宋" w:hAnsi="仿宋" w:eastAsia="仿宋"/>
          <w:b/>
          <w:bCs/>
          <w:color w:val="auto"/>
          <w:sz w:val="24"/>
          <w:szCs w:val="24"/>
        </w:rPr>
        <w:t>二、投诉项目基本情况：</w:t>
      </w:r>
    </w:p>
    <w:p w14:paraId="3541CEC1">
      <w:pPr>
        <w:pStyle w:val="26"/>
        <w:spacing w:line="440" w:lineRule="exact"/>
        <w:ind w:left="25" w:leftChars="12" w:firstLine="472" w:firstLineChars="197"/>
        <w:rPr>
          <w:rFonts w:ascii="仿宋" w:hAnsi="仿宋" w:eastAsia="仿宋"/>
          <w:color w:val="auto"/>
          <w:sz w:val="24"/>
          <w:szCs w:val="24"/>
        </w:rPr>
      </w:pPr>
      <w:r>
        <w:rPr>
          <w:rFonts w:hint="eastAsia" w:ascii="仿宋" w:hAnsi="仿宋" w:eastAsia="仿宋"/>
          <w:bCs/>
          <w:color w:val="auto"/>
          <w:sz w:val="24"/>
          <w:szCs w:val="24"/>
        </w:rPr>
        <w:t>采购</w:t>
      </w:r>
      <w:r>
        <w:rPr>
          <w:rFonts w:hint="eastAsia" w:ascii="仿宋" w:hAnsi="仿宋" w:eastAsia="仿宋"/>
          <w:color w:val="auto"/>
          <w:sz w:val="24"/>
          <w:szCs w:val="24"/>
        </w:rPr>
        <w:t>项目的名称：</w:t>
      </w:r>
    </w:p>
    <w:p w14:paraId="6473E4C7">
      <w:pPr>
        <w:pStyle w:val="26"/>
        <w:spacing w:line="440" w:lineRule="exact"/>
        <w:ind w:left="25" w:leftChars="12" w:firstLine="472" w:firstLineChars="197"/>
        <w:rPr>
          <w:rFonts w:ascii="仿宋" w:hAnsi="仿宋" w:eastAsia="仿宋"/>
          <w:color w:val="auto"/>
          <w:sz w:val="24"/>
          <w:szCs w:val="24"/>
        </w:rPr>
      </w:pPr>
      <w:r>
        <w:rPr>
          <w:rFonts w:hint="eastAsia" w:ascii="仿宋" w:hAnsi="仿宋" w:eastAsia="仿宋"/>
          <w:bCs/>
          <w:color w:val="auto"/>
          <w:sz w:val="24"/>
          <w:szCs w:val="24"/>
        </w:rPr>
        <w:t>采购</w:t>
      </w:r>
      <w:r>
        <w:rPr>
          <w:rFonts w:hint="eastAsia" w:ascii="仿宋" w:hAnsi="仿宋" w:eastAsia="仿宋"/>
          <w:color w:val="auto"/>
          <w:sz w:val="24"/>
          <w:szCs w:val="24"/>
        </w:rPr>
        <w:t>项目的编号：</w:t>
      </w:r>
    </w:p>
    <w:p w14:paraId="590A8114">
      <w:pPr>
        <w:pStyle w:val="26"/>
        <w:spacing w:line="440" w:lineRule="exact"/>
        <w:ind w:left="25" w:leftChars="12" w:firstLine="472" w:firstLineChars="197"/>
        <w:rPr>
          <w:rFonts w:ascii="仿宋" w:hAnsi="仿宋" w:eastAsia="仿宋"/>
          <w:bCs/>
          <w:color w:val="auto"/>
          <w:sz w:val="24"/>
          <w:szCs w:val="24"/>
          <w:u w:val="single"/>
        </w:rPr>
      </w:pPr>
      <w:r>
        <w:rPr>
          <w:rFonts w:hint="eastAsia" w:ascii="仿宋" w:hAnsi="仿宋" w:eastAsia="仿宋"/>
          <w:color w:val="auto"/>
          <w:sz w:val="24"/>
          <w:szCs w:val="24"/>
        </w:rPr>
        <w:t>采购人名称：</w:t>
      </w:r>
    </w:p>
    <w:p w14:paraId="57141A7B">
      <w:pPr>
        <w:pStyle w:val="26"/>
        <w:spacing w:line="440" w:lineRule="exact"/>
        <w:ind w:left="25" w:leftChars="12" w:firstLine="472" w:firstLineChars="197"/>
        <w:rPr>
          <w:rFonts w:ascii="仿宋" w:hAnsi="仿宋" w:eastAsia="仿宋"/>
          <w:bCs/>
          <w:color w:val="auto"/>
          <w:sz w:val="24"/>
          <w:szCs w:val="24"/>
          <w:u w:val="single"/>
        </w:rPr>
      </w:pPr>
      <w:r>
        <w:rPr>
          <w:rFonts w:hint="eastAsia" w:ascii="仿宋" w:hAnsi="仿宋" w:eastAsia="仿宋"/>
          <w:color w:val="auto"/>
          <w:sz w:val="24"/>
          <w:szCs w:val="24"/>
        </w:rPr>
        <w:t>代理机构名称：</w:t>
      </w:r>
    </w:p>
    <w:p w14:paraId="34340EC2">
      <w:pPr>
        <w:pStyle w:val="26"/>
        <w:spacing w:line="440" w:lineRule="exact"/>
        <w:ind w:left="25" w:leftChars="12" w:firstLine="472" w:firstLineChars="197"/>
        <w:rPr>
          <w:rFonts w:ascii="仿宋" w:hAnsi="仿宋" w:eastAsia="仿宋"/>
          <w:bCs/>
          <w:color w:val="auto"/>
          <w:sz w:val="24"/>
          <w:szCs w:val="24"/>
          <w:u w:val="single"/>
        </w:rPr>
      </w:pPr>
      <w:r>
        <w:rPr>
          <w:rFonts w:hint="eastAsia" w:ascii="仿宋" w:hAnsi="仿宋" w:eastAsia="仿宋"/>
          <w:bCs/>
          <w:color w:val="auto"/>
          <w:sz w:val="24"/>
          <w:szCs w:val="24"/>
        </w:rPr>
        <w:t>招标文件公告：</w:t>
      </w:r>
      <w:r>
        <w:rPr>
          <w:rFonts w:hint="eastAsia" w:ascii="仿宋" w:hAnsi="仿宋" w:eastAsia="仿宋"/>
          <w:bCs/>
          <w:color w:val="auto"/>
          <w:sz w:val="24"/>
          <w:szCs w:val="24"/>
          <w:u w:val="single"/>
        </w:rPr>
        <w:t>是/否</w:t>
      </w:r>
      <w:r>
        <w:rPr>
          <w:rFonts w:hint="eastAsia" w:ascii="仿宋" w:hAnsi="仿宋" w:eastAsia="仿宋"/>
          <w:bCs/>
          <w:color w:val="auto"/>
          <w:sz w:val="24"/>
          <w:szCs w:val="24"/>
        </w:rPr>
        <w:t>公告期限：</w:t>
      </w:r>
    </w:p>
    <w:p w14:paraId="742A939E">
      <w:pPr>
        <w:pStyle w:val="26"/>
        <w:spacing w:line="440" w:lineRule="exact"/>
        <w:ind w:left="25" w:leftChars="12" w:firstLine="472" w:firstLineChars="197"/>
        <w:rPr>
          <w:rFonts w:ascii="仿宋" w:hAnsi="仿宋" w:eastAsia="仿宋"/>
          <w:b/>
          <w:color w:val="auto"/>
          <w:sz w:val="24"/>
          <w:szCs w:val="24"/>
        </w:rPr>
      </w:pPr>
      <w:r>
        <w:rPr>
          <w:rFonts w:hint="eastAsia" w:ascii="仿宋" w:hAnsi="仿宋" w:eastAsia="仿宋"/>
          <w:bCs/>
          <w:color w:val="auto"/>
          <w:sz w:val="24"/>
          <w:szCs w:val="24"/>
        </w:rPr>
        <w:t>采购结果公告：</w:t>
      </w:r>
      <w:r>
        <w:rPr>
          <w:rFonts w:hint="eastAsia" w:ascii="仿宋" w:hAnsi="仿宋" w:eastAsia="仿宋"/>
          <w:bCs/>
          <w:color w:val="auto"/>
          <w:sz w:val="24"/>
          <w:szCs w:val="24"/>
          <w:u w:val="single"/>
        </w:rPr>
        <w:t>是/否</w:t>
      </w:r>
      <w:r>
        <w:rPr>
          <w:rFonts w:hint="eastAsia" w:ascii="仿宋" w:hAnsi="仿宋" w:eastAsia="仿宋"/>
          <w:bCs/>
          <w:color w:val="auto"/>
          <w:sz w:val="24"/>
          <w:szCs w:val="24"/>
        </w:rPr>
        <w:t>公告期限：</w:t>
      </w:r>
    </w:p>
    <w:p w14:paraId="05D3869C">
      <w:pPr>
        <w:pStyle w:val="26"/>
        <w:spacing w:line="440" w:lineRule="exact"/>
        <w:ind w:left="25" w:leftChars="12" w:firstLine="472" w:firstLineChars="196"/>
        <w:rPr>
          <w:rFonts w:ascii="仿宋" w:hAnsi="仿宋" w:eastAsia="仿宋"/>
          <w:b/>
          <w:color w:val="auto"/>
          <w:sz w:val="24"/>
          <w:szCs w:val="24"/>
        </w:rPr>
      </w:pPr>
      <w:r>
        <w:rPr>
          <w:rFonts w:hint="eastAsia" w:ascii="仿宋" w:hAnsi="仿宋" w:eastAsia="仿宋"/>
          <w:b/>
          <w:color w:val="auto"/>
          <w:sz w:val="24"/>
          <w:szCs w:val="24"/>
        </w:rPr>
        <w:t>三、质疑基本情况</w:t>
      </w:r>
    </w:p>
    <w:p w14:paraId="715308E5">
      <w:pPr>
        <w:pStyle w:val="26"/>
        <w:spacing w:line="440" w:lineRule="exact"/>
        <w:ind w:left="25" w:leftChars="12" w:firstLine="480" w:firstLineChars="200"/>
        <w:rPr>
          <w:rFonts w:ascii="仿宋" w:hAnsi="仿宋" w:eastAsia="仿宋"/>
          <w:color w:val="auto"/>
          <w:sz w:val="24"/>
          <w:szCs w:val="24"/>
        </w:rPr>
      </w:pPr>
      <w:r>
        <w:rPr>
          <w:rFonts w:hint="eastAsia" w:ascii="仿宋" w:hAnsi="仿宋" w:eastAsia="仿宋"/>
          <w:color w:val="auto"/>
          <w:sz w:val="24"/>
          <w:szCs w:val="24"/>
        </w:rPr>
        <w:t>投诉人于年月日，向提出质疑，质疑事项为：</w:t>
      </w:r>
    </w:p>
    <w:p w14:paraId="7A547DB2">
      <w:pPr>
        <w:pStyle w:val="26"/>
        <w:spacing w:line="440" w:lineRule="exact"/>
        <w:ind w:firstLine="480" w:firstLineChars="200"/>
        <w:rPr>
          <w:rFonts w:ascii="仿宋" w:hAnsi="仿宋" w:eastAsia="仿宋"/>
          <w:color w:val="auto"/>
          <w:sz w:val="24"/>
          <w:szCs w:val="24"/>
        </w:rPr>
      </w:pPr>
      <w:r>
        <w:rPr>
          <w:rFonts w:hint="eastAsia" w:ascii="仿宋" w:hAnsi="仿宋" w:eastAsia="仿宋"/>
          <w:bCs/>
          <w:color w:val="auto"/>
          <w:sz w:val="24"/>
          <w:szCs w:val="24"/>
          <w:u w:val="single"/>
        </w:rPr>
        <w:t>采购人/代理机构</w:t>
      </w:r>
      <w:r>
        <w:rPr>
          <w:rFonts w:hint="eastAsia" w:ascii="仿宋" w:hAnsi="仿宋" w:eastAsia="仿宋"/>
          <w:bCs/>
          <w:color w:val="auto"/>
          <w:sz w:val="24"/>
          <w:szCs w:val="24"/>
        </w:rPr>
        <w:t>于</w:t>
      </w:r>
      <w:r>
        <w:rPr>
          <w:rFonts w:hint="eastAsia" w:ascii="仿宋" w:hAnsi="仿宋" w:eastAsia="仿宋"/>
          <w:color w:val="auto"/>
          <w:sz w:val="24"/>
          <w:szCs w:val="24"/>
        </w:rPr>
        <w:t>年月日，</w:t>
      </w:r>
      <w:r>
        <w:rPr>
          <w:rFonts w:hint="eastAsia" w:ascii="仿宋" w:hAnsi="仿宋" w:eastAsia="仿宋"/>
          <w:bCs/>
          <w:color w:val="auto"/>
          <w:sz w:val="24"/>
          <w:szCs w:val="24"/>
        </w:rPr>
        <w:t xml:space="preserve">就质疑事项作出了答复/没有在法定期限内作出答复。                                                                                             </w:t>
      </w:r>
    </w:p>
    <w:p w14:paraId="6CFFD498">
      <w:pPr>
        <w:pStyle w:val="26"/>
        <w:spacing w:line="440" w:lineRule="exact"/>
        <w:ind w:left="25" w:leftChars="12" w:firstLine="472" w:firstLineChars="196"/>
        <w:rPr>
          <w:rFonts w:ascii="仿宋" w:hAnsi="仿宋" w:eastAsia="仿宋"/>
          <w:b/>
          <w:color w:val="auto"/>
          <w:sz w:val="24"/>
          <w:szCs w:val="24"/>
        </w:rPr>
      </w:pPr>
      <w:r>
        <w:rPr>
          <w:rFonts w:hint="eastAsia" w:ascii="仿宋" w:hAnsi="仿宋" w:eastAsia="仿宋"/>
          <w:b/>
          <w:color w:val="auto"/>
          <w:sz w:val="24"/>
          <w:szCs w:val="24"/>
        </w:rPr>
        <w:t>四、投诉事项具体内容</w:t>
      </w:r>
    </w:p>
    <w:p w14:paraId="2E4E75B8">
      <w:pPr>
        <w:pStyle w:val="26"/>
        <w:spacing w:line="440" w:lineRule="exact"/>
        <w:ind w:left="25" w:leftChars="12" w:firstLine="472" w:firstLineChars="197"/>
        <w:rPr>
          <w:rFonts w:ascii="仿宋" w:hAnsi="仿宋" w:eastAsia="仿宋"/>
          <w:bCs/>
          <w:color w:val="auto"/>
          <w:sz w:val="24"/>
          <w:szCs w:val="24"/>
          <w:u w:val="single"/>
        </w:rPr>
      </w:pPr>
      <w:r>
        <w:rPr>
          <w:rFonts w:hint="eastAsia" w:ascii="仿宋" w:hAnsi="仿宋" w:eastAsia="仿宋"/>
          <w:color w:val="auto"/>
          <w:sz w:val="24"/>
          <w:szCs w:val="24"/>
        </w:rPr>
        <w:t>投诉事项1：</w:t>
      </w:r>
    </w:p>
    <w:p w14:paraId="11A1AD60">
      <w:pPr>
        <w:pStyle w:val="26"/>
        <w:spacing w:line="440" w:lineRule="exact"/>
        <w:ind w:firstLine="480" w:firstLineChars="200"/>
        <w:rPr>
          <w:rFonts w:ascii="仿宋" w:hAnsi="仿宋" w:eastAsia="仿宋"/>
          <w:bCs/>
          <w:color w:val="auto"/>
          <w:sz w:val="24"/>
          <w:szCs w:val="24"/>
          <w:u w:val="single"/>
        </w:rPr>
      </w:pPr>
      <w:r>
        <w:rPr>
          <w:rFonts w:hint="eastAsia" w:ascii="仿宋" w:hAnsi="仿宋" w:eastAsia="仿宋"/>
          <w:bCs/>
          <w:color w:val="auto"/>
          <w:sz w:val="24"/>
          <w:szCs w:val="24"/>
        </w:rPr>
        <w:t>事实依据：</w:t>
      </w:r>
    </w:p>
    <w:p w14:paraId="6281D3CD">
      <w:pPr>
        <w:pStyle w:val="26"/>
        <w:spacing w:line="440" w:lineRule="exact"/>
        <w:ind w:left="25" w:leftChars="12" w:firstLine="472" w:firstLineChars="197"/>
        <w:rPr>
          <w:rFonts w:ascii="仿宋" w:hAnsi="仿宋" w:eastAsia="仿宋"/>
          <w:color w:val="auto"/>
          <w:sz w:val="24"/>
          <w:szCs w:val="24"/>
        </w:rPr>
      </w:pPr>
    </w:p>
    <w:p w14:paraId="1C2FAC1E">
      <w:pPr>
        <w:pStyle w:val="26"/>
        <w:spacing w:line="440" w:lineRule="exact"/>
        <w:ind w:firstLine="480" w:firstLineChars="200"/>
        <w:rPr>
          <w:rFonts w:ascii="仿宋" w:hAnsi="仿宋" w:eastAsia="仿宋"/>
          <w:bCs/>
          <w:color w:val="auto"/>
          <w:sz w:val="24"/>
          <w:szCs w:val="24"/>
          <w:u w:val="single"/>
        </w:rPr>
      </w:pPr>
      <w:r>
        <w:rPr>
          <w:rFonts w:hint="eastAsia" w:ascii="仿宋" w:hAnsi="仿宋" w:eastAsia="仿宋"/>
          <w:bCs/>
          <w:color w:val="auto"/>
          <w:sz w:val="24"/>
          <w:szCs w:val="24"/>
        </w:rPr>
        <w:t>法律依据：</w:t>
      </w:r>
    </w:p>
    <w:p w14:paraId="7A72EC00">
      <w:pPr>
        <w:pStyle w:val="26"/>
        <w:spacing w:line="440" w:lineRule="exact"/>
        <w:ind w:left="25" w:leftChars="12" w:firstLine="352" w:firstLineChars="147"/>
        <w:rPr>
          <w:rFonts w:ascii="仿宋" w:hAnsi="仿宋" w:eastAsia="仿宋"/>
          <w:bCs/>
          <w:color w:val="auto"/>
          <w:sz w:val="24"/>
          <w:szCs w:val="24"/>
          <w:u w:val="single"/>
        </w:rPr>
      </w:pPr>
    </w:p>
    <w:p w14:paraId="0870D30D">
      <w:pPr>
        <w:pStyle w:val="26"/>
        <w:spacing w:line="440" w:lineRule="exact"/>
        <w:ind w:left="25" w:leftChars="12" w:firstLine="472" w:firstLineChars="197"/>
        <w:rPr>
          <w:rFonts w:ascii="仿宋" w:hAnsi="仿宋" w:eastAsia="仿宋"/>
          <w:bCs/>
          <w:color w:val="auto"/>
          <w:sz w:val="24"/>
          <w:szCs w:val="24"/>
        </w:rPr>
      </w:pPr>
      <w:r>
        <w:rPr>
          <w:rFonts w:hint="eastAsia" w:ascii="仿宋" w:hAnsi="仿宋" w:eastAsia="仿宋"/>
          <w:color w:val="auto"/>
          <w:sz w:val="24"/>
          <w:szCs w:val="24"/>
        </w:rPr>
        <w:t xml:space="preserve">投诉事项2  </w:t>
      </w:r>
    </w:p>
    <w:p w14:paraId="4504C7E6">
      <w:pPr>
        <w:pStyle w:val="26"/>
        <w:spacing w:line="440" w:lineRule="exact"/>
        <w:ind w:left="25" w:leftChars="12" w:firstLine="472" w:firstLineChars="197"/>
        <w:rPr>
          <w:rFonts w:ascii="仿宋" w:hAnsi="仿宋" w:eastAsia="仿宋"/>
          <w:bCs/>
          <w:color w:val="auto"/>
          <w:sz w:val="24"/>
          <w:szCs w:val="24"/>
        </w:rPr>
      </w:pPr>
      <w:r>
        <w:rPr>
          <w:rFonts w:ascii="仿宋" w:hAnsi="仿宋" w:eastAsia="仿宋"/>
          <w:bCs/>
          <w:color w:val="auto"/>
          <w:sz w:val="24"/>
          <w:szCs w:val="24"/>
        </w:rPr>
        <w:t>……</w:t>
      </w:r>
    </w:p>
    <w:p w14:paraId="0A563CC0">
      <w:pPr>
        <w:pStyle w:val="26"/>
        <w:spacing w:line="440" w:lineRule="exact"/>
        <w:ind w:left="25" w:leftChars="12" w:firstLine="472" w:firstLineChars="196"/>
        <w:rPr>
          <w:rFonts w:ascii="仿宋" w:hAnsi="仿宋" w:eastAsia="仿宋"/>
          <w:b/>
          <w:color w:val="auto"/>
          <w:sz w:val="24"/>
          <w:szCs w:val="24"/>
        </w:rPr>
      </w:pPr>
      <w:r>
        <w:rPr>
          <w:rFonts w:hint="eastAsia" w:ascii="仿宋" w:hAnsi="仿宋" w:eastAsia="仿宋"/>
          <w:b/>
          <w:color w:val="auto"/>
          <w:sz w:val="24"/>
          <w:szCs w:val="24"/>
        </w:rPr>
        <w:t>五、与投诉事项相关的投诉请求：</w:t>
      </w:r>
    </w:p>
    <w:p w14:paraId="446B8282">
      <w:pPr>
        <w:pStyle w:val="26"/>
        <w:spacing w:line="440" w:lineRule="exact"/>
        <w:ind w:left="25" w:leftChars="12" w:firstLine="472" w:firstLineChars="197"/>
        <w:rPr>
          <w:rFonts w:ascii="仿宋" w:hAnsi="仿宋" w:eastAsia="仿宋"/>
          <w:color w:val="auto"/>
          <w:sz w:val="24"/>
          <w:szCs w:val="24"/>
        </w:rPr>
      </w:pPr>
      <w:r>
        <w:rPr>
          <w:rFonts w:hint="eastAsia" w:ascii="仿宋" w:hAnsi="仿宋" w:eastAsia="仿宋"/>
          <w:color w:val="auto"/>
          <w:sz w:val="24"/>
          <w:szCs w:val="24"/>
        </w:rPr>
        <w:t>请求：</w:t>
      </w:r>
    </w:p>
    <w:p w14:paraId="4DF8CB60">
      <w:pPr>
        <w:pStyle w:val="26"/>
        <w:spacing w:line="440" w:lineRule="exact"/>
        <w:ind w:left="25" w:leftChars="12" w:firstLine="352" w:firstLineChars="147"/>
        <w:rPr>
          <w:rFonts w:ascii="仿宋" w:hAnsi="仿宋" w:eastAsia="仿宋"/>
          <w:color w:val="auto"/>
          <w:sz w:val="24"/>
          <w:szCs w:val="24"/>
        </w:rPr>
      </w:pPr>
    </w:p>
    <w:p w14:paraId="22265C24">
      <w:pPr>
        <w:pStyle w:val="26"/>
        <w:spacing w:line="440" w:lineRule="exact"/>
        <w:ind w:left="25" w:leftChars="12" w:firstLine="472" w:firstLineChars="197"/>
        <w:rPr>
          <w:rFonts w:ascii="仿宋" w:hAnsi="仿宋" w:eastAsia="仿宋"/>
          <w:color w:val="auto"/>
          <w:sz w:val="24"/>
          <w:szCs w:val="24"/>
        </w:rPr>
      </w:pPr>
      <w:r>
        <w:rPr>
          <w:rFonts w:hint="eastAsia" w:ascii="仿宋" w:hAnsi="仿宋" w:eastAsia="仿宋"/>
          <w:color w:val="auto"/>
          <w:sz w:val="24"/>
          <w:szCs w:val="24"/>
        </w:rPr>
        <w:t>签字（签章）：                                       公章：</w:t>
      </w:r>
    </w:p>
    <w:p w14:paraId="2CBBDC89">
      <w:pPr>
        <w:pStyle w:val="26"/>
        <w:spacing w:line="440" w:lineRule="exact"/>
        <w:ind w:left="25" w:leftChars="12" w:firstLine="352" w:firstLineChars="147"/>
        <w:rPr>
          <w:rFonts w:ascii="仿宋" w:hAnsi="仿宋" w:eastAsia="仿宋"/>
          <w:color w:val="auto"/>
          <w:sz w:val="24"/>
          <w:szCs w:val="24"/>
        </w:rPr>
      </w:pPr>
    </w:p>
    <w:p w14:paraId="21B58BB0">
      <w:pPr>
        <w:pStyle w:val="26"/>
        <w:spacing w:line="440" w:lineRule="exact"/>
        <w:ind w:left="25" w:leftChars="12" w:firstLine="472" w:firstLineChars="197"/>
        <w:rPr>
          <w:rFonts w:ascii="仿宋" w:hAnsi="仿宋" w:eastAsia="仿宋"/>
          <w:color w:val="auto"/>
          <w:sz w:val="24"/>
          <w:szCs w:val="24"/>
        </w:rPr>
      </w:pPr>
      <w:r>
        <w:rPr>
          <w:rFonts w:hint="eastAsia" w:ascii="仿宋" w:hAnsi="仿宋" w:eastAsia="仿宋"/>
          <w:color w:val="auto"/>
          <w:sz w:val="24"/>
          <w:szCs w:val="24"/>
        </w:rPr>
        <w:t>日期：</w:t>
      </w:r>
    </w:p>
    <w:p w14:paraId="022B1494">
      <w:pPr>
        <w:pStyle w:val="26"/>
        <w:spacing w:line="440" w:lineRule="exact"/>
        <w:ind w:left="25" w:leftChars="12" w:firstLine="472" w:firstLineChars="197"/>
        <w:rPr>
          <w:rFonts w:ascii="仿宋" w:hAnsi="仿宋" w:eastAsia="仿宋"/>
          <w:color w:val="auto"/>
          <w:sz w:val="24"/>
          <w:szCs w:val="24"/>
        </w:rPr>
      </w:pPr>
    </w:p>
    <w:p w14:paraId="597E0906">
      <w:pPr>
        <w:pStyle w:val="26"/>
        <w:snapToGrid w:val="0"/>
        <w:spacing w:line="440" w:lineRule="exact"/>
        <w:rPr>
          <w:rFonts w:ascii="仿宋" w:hAnsi="仿宋" w:eastAsia="仿宋"/>
          <w:b/>
          <w:color w:val="auto"/>
          <w:sz w:val="24"/>
          <w:szCs w:val="24"/>
        </w:rPr>
      </w:pPr>
      <w:r>
        <w:rPr>
          <w:rFonts w:hint="eastAsia" w:ascii="仿宋" w:hAnsi="仿宋" w:eastAsia="仿宋"/>
          <w:b/>
          <w:color w:val="auto"/>
          <w:sz w:val="24"/>
          <w:szCs w:val="24"/>
        </w:rPr>
        <w:t>说明：</w:t>
      </w:r>
    </w:p>
    <w:p w14:paraId="5688ADE3">
      <w:pPr>
        <w:pStyle w:val="26"/>
        <w:spacing w:line="440" w:lineRule="exact"/>
        <w:ind w:left="25" w:leftChars="12" w:firstLine="354" w:firstLineChars="147"/>
        <w:rPr>
          <w:rFonts w:ascii="仿宋" w:hAnsi="仿宋" w:eastAsia="仿宋"/>
          <w:b/>
          <w:bCs/>
          <w:color w:val="auto"/>
          <w:sz w:val="24"/>
          <w:szCs w:val="24"/>
        </w:rPr>
      </w:pPr>
      <w:r>
        <w:rPr>
          <w:rFonts w:hint="eastAsia" w:ascii="仿宋" w:hAnsi="仿宋" w:eastAsia="仿宋"/>
          <w:b/>
          <w:color w:val="auto"/>
          <w:sz w:val="24"/>
          <w:szCs w:val="24"/>
        </w:rPr>
        <w:t>1.投诉人提起投诉时，应当提交投诉书和必要的证明材料，并按照被投诉人和与投诉事项有关的供应商数量提供投诉书副本</w:t>
      </w:r>
      <w:r>
        <w:rPr>
          <w:rFonts w:hint="eastAsia" w:ascii="仿宋" w:hAnsi="仿宋" w:eastAsia="仿宋"/>
          <w:b/>
          <w:bCs/>
          <w:color w:val="auto"/>
          <w:sz w:val="24"/>
          <w:szCs w:val="24"/>
        </w:rPr>
        <w:t>。</w:t>
      </w:r>
    </w:p>
    <w:p w14:paraId="4FAEADCC">
      <w:pPr>
        <w:pStyle w:val="26"/>
        <w:spacing w:line="440" w:lineRule="exact"/>
        <w:ind w:left="25" w:leftChars="12" w:firstLine="354" w:firstLineChars="147"/>
        <w:rPr>
          <w:rFonts w:ascii="仿宋" w:hAnsi="仿宋" w:eastAsia="仿宋"/>
          <w:b/>
          <w:color w:val="auto"/>
          <w:sz w:val="24"/>
          <w:szCs w:val="24"/>
        </w:rPr>
      </w:pPr>
      <w:r>
        <w:rPr>
          <w:rFonts w:hint="eastAsia" w:ascii="仿宋" w:hAnsi="仿宋" w:eastAsia="仿宋"/>
          <w:b/>
          <w:color w:val="auto"/>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A934C20">
      <w:pPr>
        <w:pStyle w:val="26"/>
        <w:spacing w:line="440" w:lineRule="exact"/>
        <w:ind w:left="25" w:leftChars="12" w:firstLine="354" w:firstLineChars="147"/>
        <w:rPr>
          <w:rFonts w:ascii="仿宋" w:hAnsi="仿宋" w:eastAsia="仿宋"/>
          <w:b/>
          <w:color w:val="auto"/>
          <w:sz w:val="24"/>
          <w:szCs w:val="24"/>
        </w:rPr>
      </w:pPr>
      <w:r>
        <w:rPr>
          <w:rFonts w:hint="eastAsia" w:ascii="仿宋" w:hAnsi="仿宋" w:eastAsia="仿宋"/>
          <w:b/>
          <w:color w:val="auto"/>
          <w:sz w:val="24"/>
          <w:szCs w:val="24"/>
        </w:rPr>
        <w:t>3.投诉书应简要列明质疑事项，质疑函、质疑答复等作为附件材料提供。</w:t>
      </w:r>
    </w:p>
    <w:p w14:paraId="4521532D">
      <w:pPr>
        <w:pStyle w:val="26"/>
        <w:spacing w:line="440" w:lineRule="exact"/>
        <w:ind w:left="25" w:leftChars="12" w:firstLine="354" w:firstLineChars="147"/>
        <w:rPr>
          <w:rFonts w:ascii="仿宋" w:hAnsi="仿宋" w:eastAsia="仿宋"/>
          <w:b/>
          <w:color w:val="auto"/>
          <w:sz w:val="24"/>
          <w:szCs w:val="24"/>
        </w:rPr>
      </w:pPr>
      <w:r>
        <w:rPr>
          <w:rFonts w:hint="eastAsia" w:ascii="仿宋" w:hAnsi="仿宋" w:eastAsia="仿宋"/>
          <w:b/>
          <w:color w:val="auto"/>
          <w:sz w:val="24"/>
          <w:szCs w:val="24"/>
        </w:rPr>
        <w:t>4.投诉书的投诉事项应具体、明确，并有必要的事实依据和法律依据。</w:t>
      </w:r>
    </w:p>
    <w:p w14:paraId="4AD59D8C">
      <w:pPr>
        <w:pStyle w:val="26"/>
        <w:spacing w:line="440" w:lineRule="exact"/>
        <w:ind w:left="25" w:leftChars="12" w:firstLine="354" w:firstLineChars="147"/>
        <w:rPr>
          <w:rFonts w:ascii="仿宋" w:hAnsi="仿宋" w:eastAsia="仿宋"/>
          <w:b/>
          <w:color w:val="auto"/>
          <w:sz w:val="24"/>
          <w:szCs w:val="24"/>
        </w:rPr>
      </w:pPr>
      <w:r>
        <w:rPr>
          <w:rFonts w:hint="eastAsia" w:ascii="仿宋" w:hAnsi="仿宋" w:eastAsia="仿宋"/>
          <w:b/>
          <w:color w:val="auto"/>
          <w:sz w:val="24"/>
          <w:szCs w:val="24"/>
        </w:rPr>
        <w:t>5.投诉书的投诉请求应与投诉事项相关。</w:t>
      </w:r>
    </w:p>
    <w:p w14:paraId="0AFDECC9">
      <w:pPr>
        <w:pStyle w:val="26"/>
        <w:spacing w:line="440" w:lineRule="exact"/>
        <w:ind w:left="25" w:leftChars="12" w:firstLine="354" w:firstLineChars="147"/>
        <w:rPr>
          <w:rFonts w:ascii="仿宋" w:hAnsi="仿宋" w:eastAsia="仿宋"/>
          <w:b/>
          <w:color w:val="auto"/>
        </w:rPr>
      </w:pPr>
      <w:r>
        <w:rPr>
          <w:rFonts w:hint="eastAsia" w:ascii="仿宋" w:hAnsi="仿宋" w:eastAsia="仿宋"/>
          <w:b/>
          <w:color w:val="auto"/>
          <w:sz w:val="24"/>
          <w:szCs w:val="24"/>
        </w:rPr>
        <w:t>6.投诉人为法人或者其他组织的，投诉书应由法定代表人、主要负责人，或者其授权代表签字或者盖章，并加盖公章。</w:t>
      </w:r>
    </w:p>
    <w:sectPr>
      <w:footerReference r:id="rId9" w:type="first"/>
      <w:headerReference r:id="rId6" w:type="default"/>
      <w:footerReference r:id="rId7" w:type="default"/>
      <w:footerReference r:id="rId8" w:type="even"/>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entury">
    <w:panose1 w:val="02040604050505020304"/>
    <w:charset w:val="00"/>
    <w:family w:val="roman"/>
    <w:pitch w:val="default"/>
    <w:sig w:usb0="00000287" w:usb1="00000000" w:usb2="00000000" w:usb3="00000000" w:csb0="2000009F" w:csb1="DFD70000"/>
  </w:font>
  <w:font w:name="Arial Unicode MS">
    <w:altName w:val="宋体"/>
    <w:panose1 w:val="020B0604020202020204"/>
    <w:charset w:val="86"/>
    <w:family w:val="swiss"/>
    <w:pitch w:val="default"/>
    <w:sig w:usb0="00000000" w:usb1="00000000" w:usb2="0000003F" w:usb3="00000000" w:csb0="603F01FF" w:csb1="FFFF0000"/>
  </w:font>
  <w:font w:name="Calibri Light">
    <w:panose1 w:val="020F03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0" w:csb1="00000000"/>
  </w:font>
  <w:font w:name="方正小标宋简体">
    <w:altName w:val="黑体"/>
    <w:panose1 w:val="00000000000000000000"/>
    <w:charset w:val="86"/>
    <w:family w:val="script"/>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DAFA8">
    <w:pPr>
      <w:pStyle w:val="32"/>
      <w:jc w:val="center"/>
    </w:pPr>
    <w:r>
      <w:fldChar w:fldCharType="begin"/>
    </w:r>
    <w:r>
      <w:instrText xml:space="preserve">PAGE   \* MERGEFORMAT</w:instrText>
    </w:r>
    <w:r>
      <w:fldChar w:fldCharType="separate"/>
    </w:r>
    <w:r>
      <w:rPr>
        <w:lang w:val="zh-CN"/>
      </w:rPr>
      <w:t>1</w:t>
    </w:r>
    <w:r>
      <w:rPr>
        <w:lang w:val="zh-CN"/>
      </w:rPr>
      <w:fldChar w:fldCharType="end"/>
    </w:r>
  </w:p>
  <w:p w14:paraId="2132D680">
    <w:pPr>
      <w:pStyle w:val="32"/>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F2FBA">
    <w:pPr>
      <w:pStyle w:val="32"/>
      <w:jc w:val="center"/>
    </w:pPr>
    <w:r>
      <w:fldChar w:fldCharType="begin"/>
    </w:r>
    <w:r>
      <w:instrText xml:space="preserve"> PAGE   \* MERGEFORMAT </w:instrText>
    </w:r>
    <w:r>
      <w:fldChar w:fldCharType="separate"/>
    </w:r>
    <w:r>
      <w:rPr>
        <w:lang w:val="zh-CN"/>
      </w:rPr>
      <w:t>28</w:t>
    </w:r>
    <w:r>
      <w:rPr>
        <w:lang w:val="zh-CN"/>
      </w:rPr>
      <w:fldChar w:fldCharType="end"/>
    </w:r>
  </w:p>
  <w:p w14:paraId="1CDD60CA">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7AB7C">
    <w:pPr>
      <w:pStyle w:val="32"/>
      <w:jc w:val="center"/>
    </w:pPr>
    <w:r>
      <w:fldChar w:fldCharType="begin"/>
    </w:r>
    <w:r>
      <w:instrText xml:space="preserve"> PAGE   \* MERGEFORMAT </w:instrText>
    </w:r>
    <w:r>
      <w:fldChar w:fldCharType="separate"/>
    </w:r>
    <w:r>
      <w:rPr>
        <w:lang w:val="zh-CN"/>
      </w:rPr>
      <w:t>93</w:t>
    </w:r>
    <w:r>
      <w:rPr>
        <w:lang w:val="zh-CN"/>
      </w:rPr>
      <w:fldChar w:fldCharType="end"/>
    </w:r>
  </w:p>
  <w:p w14:paraId="18DD0A96">
    <w:pPr>
      <w:pStyle w:val="32"/>
    </w:pPr>
  </w:p>
  <w:p w14:paraId="6BE0A526"/>
  <w:p w14:paraId="49F55DA6"/>
  <w:p w14:paraId="5755D9F8"/>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CCBF7">
    <w:pPr>
      <w:pStyle w:val="32"/>
      <w:framePr w:wrap="around" w:vAnchor="text" w:hAnchor="margin" w:xAlign="center" w:y="1"/>
      <w:rPr>
        <w:rStyle w:val="52"/>
      </w:rPr>
    </w:pPr>
    <w:r>
      <w:fldChar w:fldCharType="begin"/>
    </w:r>
    <w:r>
      <w:rPr>
        <w:rStyle w:val="52"/>
      </w:rPr>
      <w:instrText xml:space="preserve">PAGE  </w:instrText>
    </w:r>
    <w:r>
      <w:fldChar w:fldCharType="end"/>
    </w:r>
  </w:p>
  <w:p w14:paraId="3DA4A36B">
    <w:pPr>
      <w:pStyle w:val="32"/>
    </w:pPr>
  </w:p>
  <w:p w14:paraId="14E2CB66"/>
  <w:p w14:paraId="7B522F43"/>
  <w:p w14:paraId="249E8888"/>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356D8">
    <w:pPr>
      <w:pStyle w:val="32"/>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297F1">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3AAB8">
    <w:pPr>
      <w:pStyle w:val="33"/>
      <w:pBdr>
        <w:bottom w:val="none" w:color="auto" w:sz="0" w:space="0"/>
      </w:pBdr>
    </w:pPr>
  </w:p>
  <w:p w14:paraId="42FEEA4D"/>
  <w:p w14:paraId="1FE64B67"/>
  <w:p w14:paraId="12F3061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0C6793"/>
    <w:multiLevelType w:val="singleLevel"/>
    <w:tmpl w:val="8C0C6793"/>
    <w:lvl w:ilvl="0" w:tentative="0">
      <w:start w:val="1"/>
      <w:numFmt w:val="chineseCounting"/>
      <w:suff w:val="nothing"/>
      <w:lvlText w:val="%1、"/>
      <w:lvlJc w:val="left"/>
      <w:rPr>
        <w:rFonts w:hint="eastAsia"/>
      </w:rPr>
    </w:lvl>
  </w:abstractNum>
  <w:abstractNum w:abstractNumId="1">
    <w:nsid w:val="A7D26DB4"/>
    <w:multiLevelType w:val="singleLevel"/>
    <w:tmpl w:val="A7D26DB4"/>
    <w:lvl w:ilvl="0" w:tentative="0">
      <w:start w:val="1"/>
      <w:numFmt w:val="chineseCounting"/>
      <w:suff w:val="nothing"/>
      <w:lvlText w:val="%1、"/>
      <w:lvlJc w:val="left"/>
      <w:rPr>
        <w:rFonts w:hint="eastAsia"/>
      </w:rPr>
    </w:lvl>
  </w:abstractNum>
  <w:abstractNum w:abstractNumId="2">
    <w:nsid w:val="CE4FE56D"/>
    <w:multiLevelType w:val="singleLevel"/>
    <w:tmpl w:val="CE4FE56D"/>
    <w:lvl w:ilvl="0" w:tentative="0">
      <w:start w:val="1"/>
      <w:numFmt w:val="decimal"/>
      <w:suff w:val="nothing"/>
      <w:lvlText w:val="%1、"/>
      <w:lvlJc w:val="left"/>
    </w:lvl>
  </w:abstractNum>
  <w:abstractNum w:abstractNumId="3">
    <w:nsid w:val="355C16B2"/>
    <w:multiLevelType w:val="singleLevel"/>
    <w:tmpl w:val="355C16B2"/>
    <w:lvl w:ilvl="0" w:tentative="0">
      <w:start w:val="1"/>
      <w:numFmt w:val="decimal"/>
      <w:suff w:val="nothing"/>
      <w:lvlText w:val="%1、"/>
      <w:lvlJc w:val="left"/>
    </w:lvl>
  </w:abstractNum>
  <w:abstractNum w:abstractNumId="4">
    <w:nsid w:val="4C601917"/>
    <w:multiLevelType w:val="singleLevel"/>
    <w:tmpl w:val="4C601917"/>
    <w:lvl w:ilvl="0" w:tentative="0">
      <w:start w:val="1"/>
      <w:numFmt w:val="decimal"/>
      <w:suff w:val="nothing"/>
      <w:lvlText w:val="（%1）"/>
      <w:lvlJc w:val="left"/>
      <w:pPr>
        <w:ind w:left="-2"/>
      </w:pPr>
    </w:lvl>
  </w:abstractNum>
  <w:abstractNum w:abstractNumId="5">
    <w:nsid w:val="5E335A18"/>
    <w:multiLevelType w:val="singleLevel"/>
    <w:tmpl w:val="5E335A18"/>
    <w:lvl w:ilvl="0" w:tentative="0">
      <w:start w:val="9"/>
      <w:numFmt w:val="decimal"/>
      <w:suff w:val="nothing"/>
      <w:lvlText w:val="%1、"/>
      <w:lvlJc w:val="left"/>
    </w:lvl>
  </w:abstractNum>
  <w:abstractNum w:abstractNumId="6">
    <w:nsid w:val="5FABD14B"/>
    <w:multiLevelType w:val="singleLevel"/>
    <w:tmpl w:val="5FABD14B"/>
    <w:lvl w:ilvl="0" w:tentative="0">
      <w:start w:val="1"/>
      <w:numFmt w:val="decimal"/>
      <w:suff w:val="nothing"/>
      <w:lvlText w:val="（%1）"/>
      <w:lvlJc w:val="left"/>
    </w:lvl>
  </w:abstractNum>
  <w:abstractNum w:abstractNumId="7">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5"/>
  </w:num>
  <w:num w:numId="2">
    <w:abstractNumId w:val="0"/>
  </w:num>
  <w:num w:numId="3">
    <w:abstractNumId w:val="1"/>
  </w:num>
  <w:num w:numId="4">
    <w:abstractNumId w:val="3"/>
  </w:num>
  <w:num w:numId="5">
    <w:abstractNumId w:val="2"/>
  </w:num>
  <w:num w:numId="6">
    <w:abstractNumId w:val="4"/>
  </w:num>
  <w:num w:numId="7">
    <w:abstractNumId w:val="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1YzQyMTBhZDdkMzFjZDM4NDJkYTg5NTk3ZmVmMmMifQ=="/>
    <w:docVar w:name="KSO_WPS_MARK_KEY" w:val="679b1800-d7a1-4fa0-9d74-876ba14534a9"/>
  </w:docVars>
  <w:rsids>
    <w:rsidRoot w:val="00F9008B"/>
    <w:rsid w:val="0000010C"/>
    <w:rsid w:val="000004FE"/>
    <w:rsid w:val="00000FE0"/>
    <w:rsid w:val="00001068"/>
    <w:rsid w:val="0000114A"/>
    <w:rsid w:val="00001731"/>
    <w:rsid w:val="00001C2D"/>
    <w:rsid w:val="00001C55"/>
    <w:rsid w:val="00001CA8"/>
    <w:rsid w:val="00001ECD"/>
    <w:rsid w:val="00001FAE"/>
    <w:rsid w:val="00002291"/>
    <w:rsid w:val="00002DBF"/>
    <w:rsid w:val="00002EC0"/>
    <w:rsid w:val="00003224"/>
    <w:rsid w:val="000033F5"/>
    <w:rsid w:val="0000358C"/>
    <w:rsid w:val="0000361D"/>
    <w:rsid w:val="00003BEF"/>
    <w:rsid w:val="00003D46"/>
    <w:rsid w:val="00004130"/>
    <w:rsid w:val="0000431F"/>
    <w:rsid w:val="00004634"/>
    <w:rsid w:val="00004D8B"/>
    <w:rsid w:val="000059E2"/>
    <w:rsid w:val="000061EA"/>
    <w:rsid w:val="00006AE7"/>
    <w:rsid w:val="00006B9B"/>
    <w:rsid w:val="00006BCA"/>
    <w:rsid w:val="00006C35"/>
    <w:rsid w:val="000072B1"/>
    <w:rsid w:val="00007329"/>
    <w:rsid w:val="00007E28"/>
    <w:rsid w:val="00007E84"/>
    <w:rsid w:val="00010401"/>
    <w:rsid w:val="000105A1"/>
    <w:rsid w:val="000107AD"/>
    <w:rsid w:val="00010835"/>
    <w:rsid w:val="000117D5"/>
    <w:rsid w:val="00011842"/>
    <w:rsid w:val="00012137"/>
    <w:rsid w:val="000121FF"/>
    <w:rsid w:val="00012456"/>
    <w:rsid w:val="000125B8"/>
    <w:rsid w:val="00012692"/>
    <w:rsid w:val="00012705"/>
    <w:rsid w:val="00013446"/>
    <w:rsid w:val="00013509"/>
    <w:rsid w:val="000135BC"/>
    <w:rsid w:val="000135DC"/>
    <w:rsid w:val="00013654"/>
    <w:rsid w:val="000136D6"/>
    <w:rsid w:val="00014085"/>
    <w:rsid w:val="00014267"/>
    <w:rsid w:val="00014D89"/>
    <w:rsid w:val="00014DD9"/>
    <w:rsid w:val="00014EE0"/>
    <w:rsid w:val="000151E4"/>
    <w:rsid w:val="00015577"/>
    <w:rsid w:val="000156E4"/>
    <w:rsid w:val="000159A7"/>
    <w:rsid w:val="00015FB8"/>
    <w:rsid w:val="0001609F"/>
    <w:rsid w:val="0001635B"/>
    <w:rsid w:val="00016549"/>
    <w:rsid w:val="00016814"/>
    <w:rsid w:val="00016BF7"/>
    <w:rsid w:val="0001720C"/>
    <w:rsid w:val="0001767E"/>
    <w:rsid w:val="0001776D"/>
    <w:rsid w:val="00017F31"/>
    <w:rsid w:val="00020607"/>
    <w:rsid w:val="0002103A"/>
    <w:rsid w:val="000217AA"/>
    <w:rsid w:val="000217E4"/>
    <w:rsid w:val="00021852"/>
    <w:rsid w:val="00021A12"/>
    <w:rsid w:val="000223BF"/>
    <w:rsid w:val="00022622"/>
    <w:rsid w:val="000226E5"/>
    <w:rsid w:val="00023363"/>
    <w:rsid w:val="000235F3"/>
    <w:rsid w:val="00023644"/>
    <w:rsid w:val="00023712"/>
    <w:rsid w:val="00024E3C"/>
    <w:rsid w:val="00024EB0"/>
    <w:rsid w:val="00025604"/>
    <w:rsid w:val="00025DAF"/>
    <w:rsid w:val="0002646A"/>
    <w:rsid w:val="0002651D"/>
    <w:rsid w:val="00026CFD"/>
    <w:rsid w:val="00027C8B"/>
    <w:rsid w:val="00027CD9"/>
    <w:rsid w:val="00030242"/>
    <w:rsid w:val="00030B06"/>
    <w:rsid w:val="0003183A"/>
    <w:rsid w:val="00031CDC"/>
    <w:rsid w:val="00032461"/>
    <w:rsid w:val="0003263B"/>
    <w:rsid w:val="0003282C"/>
    <w:rsid w:val="00032F6D"/>
    <w:rsid w:val="0003304A"/>
    <w:rsid w:val="0003310E"/>
    <w:rsid w:val="0003317E"/>
    <w:rsid w:val="00033413"/>
    <w:rsid w:val="000337F3"/>
    <w:rsid w:val="00033DDB"/>
    <w:rsid w:val="00034B24"/>
    <w:rsid w:val="00034C27"/>
    <w:rsid w:val="00034E2A"/>
    <w:rsid w:val="0003577F"/>
    <w:rsid w:val="00035B29"/>
    <w:rsid w:val="00036466"/>
    <w:rsid w:val="0003675E"/>
    <w:rsid w:val="00037F87"/>
    <w:rsid w:val="00037FA2"/>
    <w:rsid w:val="000400D0"/>
    <w:rsid w:val="00040343"/>
    <w:rsid w:val="000403FE"/>
    <w:rsid w:val="0004160D"/>
    <w:rsid w:val="000425AC"/>
    <w:rsid w:val="000427B8"/>
    <w:rsid w:val="00042F4A"/>
    <w:rsid w:val="00043AC8"/>
    <w:rsid w:val="00043BE5"/>
    <w:rsid w:val="00044003"/>
    <w:rsid w:val="00044527"/>
    <w:rsid w:val="000447E8"/>
    <w:rsid w:val="00044897"/>
    <w:rsid w:val="00044ACF"/>
    <w:rsid w:val="000454F4"/>
    <w:rsid w:val="00045D1E"/>
    <w:rsid w:val="00045E69"/>
    <w:rsid w:val="00045E97"/>
    <w:rsid w:val="00045EF4"/>
    <w:rsid w:val="00046547"/>
    <w:rsid w:val="000466D7"/>
    <w:rsid w:val="00046753"/>
    <w:rsid w:val="00047254"/>
    <w:rsid w:val="00047E41"/>
    <w:rsid w:val="0005022B"/>
    <w:rsid w:val="00050450"/>
    <w:rsid w:val="00050771"/>
    <w:rsid w:val="000509BA"/>
    <w:rsid w:val="000513F3"/>
    <w:rsid w:val="00052287"/>
    <w:rsid w:val="000522E0"/>
    <w:rsid w:val="000532F4"/>
    <w:rsid w:val="000535A9"/>
    <w:rsid w:val="000536AE"/>
    <w:rsid w:val="00054C2F"/>
    <w:rsid w:val="00054CD5"/>
    <w:rsid w:val="00054D03"/>
    <w:rsid w:val="000550AC"/>
    <w:rsid w:val="0005584D"/>
    <w:rsid w:val="00055CC3"/>
    <w:rsid w:val="00055CEE"/>
    <w:rsid w:val="00055FB7"/>
    <w:rsid w:val="000566FA"/>
    <w:rsid w:val="00056A2B"/>
    <w:rsid w:val="00056DA8"/>
    <w:rsid w:val="00056E37"/>
    <w:rsid w:val="00056EE2"/>
    <w:rsid w:val="00056FE2"/>
    <w:rsid w:val="000570FB"/>
    <w:rsid w:val="000575B8"/>
    <w:rsid w:val="00057764"/>
    <w:rsid w:val="00060131"/>
    <w:rsid w:val="0006026B"/>
    <w:rsid w:val="00060293"/>
    <w:rsid w:val="00061341"/>
    <w:rsid w:val="00061AA1"/>
    <w:rsid w:val="00061BD3"/>
    <w:rsid w:val="00061BDA"/>
    <w:rsid w:val="000621FE"/>
    <w:rsid w:val="00062B90"/>
    <w:rsid w:val="00062C70"/>
    <w:rsid w:val="00062DD0"/>
    <w:rsid w:val="00062E6F"/>
    <w:rsid w:val="000630C7"/>
    <w:rsid w:val="0006400F"/>
    <w:rsid w:val="000645DD"/>
    <w:rsid w:val="00064D7E"/>
    <w:rsid w:val="00064F65"/>
    <w:rsid w:val="00064FD0"/>
    <w:rsid w:val="0006534A"/>
    <w:rsid w:val="00065A5D"/>
    <w:rsid w:val="00065BA2"/>
    <w:rsid w:val="000661CA"/>
    <w:rsid w:val="0006668D"/>
    <w:rsid w:val="00066896"/>
    <w:rsid w:val="00067002"/>
    <w:rsid w:val="00067993"/>
    <w:rsid w:val="00067B1C"/>
    <w:rsid w:val="00067CED"/>
    <w:rsid w:val="00067F66"/>
    <w:rsid w:val="0007041A"/>
    <w:rsid w:val="00070634"/>
    <w:rsid w:val="0007084D"/>
    <w:rsid w:val="00070883"/>
    <w:rsid w:val="00070C3F"/>
    <w:rsid w:val="0007102C"/>
    <w:rsid w:val="00071D68"/>
    <w:rsid w:val="00071FCE"/>
    <w:rsid w:val="00072661"/>
    <w:rsid w:val="00072CCC"/>
    <w:rsid w:val="0007315D"/>
    <w:rsid w:val="00073549"/>
    <w:rsid w:val="0007483E"/>
    <w:rsid w:val="000751DB"/>
    <w:rsid w:val="0007542D"/>
    <w:rsid w:val="0007578F"/>
    <w:rsid w:val="00075E43"/>
    <w:rsid w:val="00077706"/>
    <w:rsid w:val="00077878"/>
    <w:rsid w:val="000804EF"/>
    <w:rsid w:val="00080558"/>
    <w:rsid w:val="00081230"/>
    <w:rsid w:val="000814E2"/>
    <w:rsid w:val="000818C9"/>
    <w:rsid w:val="00081CBB"/>
    <w:rsid w:val="00081D42"/>
    <w:rsid w:val="000822EF"/>
    <w:rsid w:val="0008241E"/>
    <w:rsid w:val="000826F5"/>
    <w:rsid w:val="000829B1"/>
    <w:rsid w:val="00082AAB"/>
    <w:rsid w:val="0008307D"/>
    <w:rsid w:val="000831E9"/>
    <w:rsid w:val="000833BB"/>
    <w:rsid w:val="0008452D"/>
    <w:rsid w:val="0008467B"/>
    <w:rsid w:val="000850FA"/>
    <w:rsid w:val="000854D6"/>
    <w:rsid w:val="00085758"/>
    <w:rsid w:val="000857A6"/>
    <w:rsid w:val="00085C12"/>
    <w:rsid w:val="00085DA0"/>
    <w:rsid w:val="00085F82"/>
    <w:rsid w:val="00086506"/>
    <w:rsid w:val="00086B6E"/>
    <w:rsid w:val="00086C2F"/>
    <w:rsid w:val="00086C64"/>
    <w:rsid w:val="000874BB"/>
    <w:rsid w:val="0008781A"/>
    <w:rsid w:val="00090951"/>
    <w:rsid w:val="00090A61"/>
    <w:rsid w:val="000918F5"/>
    <w:rsid w:val="000919B5"/>
    <w:rsid w:val="00091C1D"/>
    <w:rsid w:val="00091E08"/>
    <w:rsid w:val="00092100"/>
    <w:rsid w:val="000922D8"/>
    <w:rsid w:val="000932E7"/>
    <w:rsid w:val="0009333A"/>
    <w:rsid w:val="000933C3"/>
    <w:rsid w:val="00093459"/>
    <w:rsid w:val="00093B8B"/>
    <w:rsid w:val="000951E7"/>
    <w:rsid w:val="00095B82"/>
    <w:rsid w:val="00096098"/>
    <w:rsid w:val="000961B2"/>
    <w:rsid w:val="000969D9"/>
    <w:rsid w:val="00096C5A"/>
    <w:rsid w:val="00096C5D"/>
    <w:rsid w:val="00096F37"/>
    <w:rsid w:val="00097FE5"/>
    <w:rsid w:val="000A0354"/>
    <w:rsid w:val="000A091F"/>
    <w:rsid w:val="000A0958"/>
    <w:rsid w:val="000A0FCC"/>
    <w:rsid w:val="000A1033"/>
    <w:rsid w:val="000A2712"/>
    <w:rsid w:val="000A2877"/>
    <w:rsid w:val="000A355D"/>
    <w:rsid w:val="000A35DA"/>
    <w:rsid w:val="000A371E"/>
    <w:rsid w:val="000A382F"/>
    <w:rsid w:val="000A3DE5"/>
    <w:rsid w:val="000A4011"/>
    <w:rsid w:val="000A45D5"/>
    <w:rsid w:val="000A46CD"/>
    <w:rsid w:val="000A490E"/>
    <w:rsid w:val="000A529E"/>
    <w:rsid w:val="000A5B49"/>
    <w:rsid w:val="000A5FE5"/>
    <w:rsid w:val="000A6684"/>
    <w:rsid w:val="000A7194"/>
    <w:rsid w:val="000A7218"/>
    <w:rsid w:val="000A740A"/>
    <w:rsid w:val="000A7446"/>
    <w:rsid w:val="000A7E7F"/>
    <w:rsid w:val="000A7ECD"/>
    <w:rsid w:val="000B04DD"/>
    <w:rsid w:val="000B0F01"/>
    <w:rsid w:val="000B1346"/>
    <w:rsid w:val="000B1914"/>
    <w:rsid w:val="000B19DC"/>
    <w:rsid w:val="000B1B44"/>
    <w:rsid w:val="000B1CA2"/>
    <w:rsid w:val="000B202E"/>
    <w:rsid w:val="000B2293"/>
    <w:rsid w:val="000B24A4"/>
    <w:rsid w:val="000B255C"/>
    <w:rsid w:val="000B395E"/>
    <w:rsid w:val="000B39C3"/>
    <w:rsid w:val="000B3A00"/>
    <w:rsid w:val="000B4840"/>
    <w:rsid w:val="000B4D79"/>
    <w:rsid w:val="000B5627"/>
    <w:rsid w:val="000B5671"/>
    <w:rsid w:val="000B5D9B"/>
    <w:rsid w:val="000B6BF0"/>
    <w:rsid w:val="000B6CE8"/>
    <w:rsid w:val="000B7DAF"/>
    <w:rsid w:val="000C006F"/>
    <w:rsid w:val="000C071C"/>
    <w:rsid w:val="000C0931"/>
    <w:rsid w:val="000C0BB4"/>
    <w:rsid w:val="000C0BEE"/>
    <w:rsid w:val="000C11BE"/>
    <w:rsid w:val="000C1CB9"/>
    <w:rsid w:val="000C1D9A"/>
    <w:rsid w:val="000C2159"/>
    <w:rsid w:val="000C21BB"/>
    <w:rsid w:val="000C289B"/>
    <w:rsid w:val="000C2EB4"/>
    <w:rsid w:val="000C352F"/>
    <w:rsid w:val="000C3F01"/>
    <w:rsid w:val="000C410D"/>
    <w:rsid w:val="000C420D"/>
    <w:rsid w:val="000C4773"/>
    <w:rsid w:val="000C4944"/>
    <w:rsid w:val="000C4E24"/>
    <w:rsid w:val="000C5851"/>
    <w:rsid w:val="000C5C4A"/>
    <w:rsid w:val="000C5D26"/>
    <w:rsid w:val="000C5F01"/>
    <w:rsid w:val="000C63C4"/>
    <w:rsid w:val="000C66C1"/>
    <w:rsid w:val="000C6F0B"/>
    <w:rsid w:val="000C6F32"/>
    <w:rsid w:val="000C6FEF"/>
    <w:rsid w:val="000C7324"/>
    <w:rsid w:val="000C778C"/>
    <w:rsid w:val="000C7833"/>
    <w:rsid w:val="000C7E1B"/>
    <w:rsid w:val="000C7E73"/>
    <w:rsid w:val="000D001B"/>
    <w:rsid w:val="000D0A45"/>
    <w:rsid w:val="000D136E"/>
    <w:rsid w:val="000D14AC"/>
    <w:rsid w:val="000D15BA"/>
    <w:rsid w:val="000D15BE"/>
    <w:rsid w:val="000D252B"/>
    <w:rsid w:val="000D2BCC"/>
    <w:rsid w:val="000D2C9B"/>
    <w:rsid w:val="000D2CCB"/>
    <w:rsid w:val="000D35FD"/>
    <w:rsid w:val="000D3D2D"/>
    <w:rsid w:val="000D3D99"/>
    <w:rsid w:val="000D451B"/>
    <w:rsid w:val="000D4653"/>
    <w:rsid w:val="000D4696"/>
    <w:rsid w:val="000D4817"/>
    <w:rsid w:val="000D4D0C"/>
    <w:rsid w:val="000D4E79"/>
    <w:rsid w:val="000D4FB9"/>
    <w:rsid w:val="000D54B4"/>
    <w:rsid w:val="000D584B"/>
    <w:rsid w:val="000D5EE9"/>
    <w:rsid w:val="000D5F55"/>
    <w:rsid w:val="000D6372"/>
    <w:rsid w:val="000D6979"/>
    <w:rsid w:val="000D6CE7"/>
    <w:rsid w:val="000D6E38"/>
    <w:rsid w:val="000D6E63"/>
    <w:rsid w:val="000D711C"/>
    <w:rsid w:val="000D741B"/>
    <w:rsid w:val="000D7B6E"/>
    <w:rsid w:val="000E0644"/>
    <w:rsid w:val="000E076D"/>
    <w:rsid w:val="000E087C"/>
    <w:rsid w:val="000E187C"/>
    <w:rsid w:val="000E1B28"/>
    <w:rsid w:val="000E1E8D"/>
    <w:rsid w:val="000E1EBC"/>
    <w:rsid w:val="000E2173"/>
    <w:rsid w:val="000E220B"/>
    <w:rsid w:val="000E2266"/>
    <w:rsid w:val="000E2A50"/>
    <w:rsid w:val="000E30F2"/>
    <w:rsid w:val="000E316B"/>
    <w:rsid w:val="000E372D"/>
    <w:rsid w:val="000E3D08"/>
    <w:rsid w:val="000E4728"/>
    <w:rsid w:val="000E4D1F"/>
    <w:rsid w:val="000E5658"/>
    <w:rsid w:val="000E5698"/>
    <w:rsid w:val="000E5723"/>
    <w:rsid w:val="000E581B"/>
    <w:rsid w:val="000E64B2"/>
    <w:rsid w:val="000E65D2"/>
    <w:rsid w:val="000E6919"/>
    <w:rsid w:val="000E6B1B"/>
    <w:rsid w:val="000E6F0C"/>
    <w:rsid w:val="000E732D"/>
    <w:rsid w:val="000F07ED"/>
    <w:rsid w:val="000F0CF2"/>
    <w:rsid w:val="000F1401"/>
    <w:rsid w:val="000F1A32"/>
    <w:rsid w:val="000F1CC2"/>
    <w:rsid w:val="000F1D15"/>
    <w:rsid w:val="000F270A"/>
    <w:rsid w:val="000F2FA3"/>
    <w:rsid w:val="000F34C8"/>
    <w:rsid w:val="000F38BC"/>
    <w:rsid w:val="000F3E2A"/>
    <w:rsid w:val="000F4D26"/>
    <w:rsid w:val="000F5639"/>
    <w:rsid w:val="000F58A4"/>
    <w:rsid w:val="000F5F99"/>
    <w:rsid w:val="000F6271"/>
    <w:rsid w:val="000F6833"/>
    <w:rsid w:val="000F6A24"/>
    <w:rsid w:val="000F7502"/>
    <w:rsid w:val="000F7616"/>
    <w:rsid w:val="000F7DE9"/>
    <w:rsid w:val="000F7F7A"/>
    <w:rsid w:val="001002F4"/>
    <w:rsid w:val="0010050C"/>
    <w:rsid w:val="001006CB"/>
    <w:rsid w:val="001011FC"/>
    <w:rsid w:val="0010165F"/>
    <w:rsid w:val="00101C69"/>
    <w:rsid w:val="00101E7C"/>
    <w:rsid w:val="001023DC"/>
    <w:rsid w:val="00102572"/>
    <w:rsid w:val="00102946"/>
    <w:rsid w:val="00102FBF"/>
    <w:rsid w:val="0010333D"/>
    <w:rsid w:val="0010372A"/>
    <w:rsid w:val="00103F41"/>
    <w:rsid w:val="00104662"/>
    <w:rsid w:val="00104F34"/>
    <w:rsid w:val="0010519C"/>
    <w:rsid w:val="001053C5"/>
    <w:rsid w:val="001055AD"/>
    <w:rsid w:val="00105C14"/>
    <w:rsid w:val="001065A3"/>
    <w:rsid w:val="00106610"/>
    <w:rsid w:val="00106831"/>
    <w:rsid w:val="0010683E"/>
    <w:rsid w:val="0010691D"/>
    <w:rsid w:val="00106B33"/>
    <w:rsid w:val="00106E69"/>
    <w:rsid w:val="0011068D"/>
    <w:rsid w:val="00110AC5"/>
    <w:rsid w:val="00110F0B"/>
    <w:rsid w:val="0011108B"/>
    <w:rsid w:val="00111136"/>
    <w:rsid w:val="00111164"/>
    <w:rsid w:val="00111761"/>
    <w:rsid w:val="00112164"/>
    <w:rsid w:val="0011241F"/>
    <w:rsid w:val="001128BF"/>
    <w:rsid w:val="00112D09"/>
    <w:rsid w:val="00112E8F"/>
    <w:rsid w:val="00112F03"/>
    <w:rsid w:val="00112F38"/>
    <w:rsid w:val="00113821"/>
    <w:rsid w:val="00113927"/>
    <w:rsid w:val="00114058"/>
    <w:rsid w:val="0011449E"/>
    <w:rsid w:val="001153EF"/>
    <w:rsid w:val="00115D55"/>
    <w:rsid w:val="00115E45"/>
    <w:rsid w:val="00115E64"/>
    <w:rsid w:val="00115F85"/>
    <w:rsid w:val="0011688E"/>
    <w:rsid w:val="00116ACD"/>
    <w:rsid w:val="00116E19"/>
    <w:rsid w:val="0011718F"/>
    <w:rsid w:val="00117B7D"/>
    <w:rsid w:val="00117EFC"/>
    <w:rsid w:val="001205A8"/>
    <w:rsid w:val="00121766"/>
    <w:rsid w:val="0012291C"/>
    <w:rsid w:val="00122A64"/>
    <w:rsid w:val="00123694"/>
    <w:rsid w:val="0012388A"/>
    <w:rsid w:val="0012388C"/>
    <w:rsid w:val="00123AFA"/>
    <w:rsid w:val="00123C8C"/>
    <w:rsid w:val="00123E8B"/>
    <w:rsid w:val="00124405"/>
    <w:rsid w:val="00124B43"/>
    <w:rsid w:val="00124DF8"/>
    <w:rsid w:val="001253EA"/>
    <w:rsid w:val="00125B99"/>
    <w:rsid w:val="00126160"/>
    <w:rsid w:val="001264EE"/>
    <w:rsid w:val="00126AEC"/>
    <w:rsid w:val="00126DB5"/>
    <w:rsid w:val="0012711C"/>
    <w:rsid w:val="00127178"/>
    <w:rsid w:val="00127F09"/>
    <w:rsid w:val="0013002A"/>
    <w:rsid w:val="0013085D"/>
    <w:rsid w:val="0013089C"/>
    <w:rsid w:val="00130A2D"/>
    <w:rsid w:val="00130F54"/>
    <w:rsid w:val="00131888"/>
    <w:rsid w:val="00131F17"/>
    <w:rsid w:val="0013212F"/>
    <w:rsid w:val="00132284"/>
    <w:rsid w:val="001323F9"/>
    <w:rsid w:val="0013251F"/>
    <w:rsid w:val="00132B8C"/>
    <w:rsid w:val="00133088"/>
    <w:rsid w:val="00133346"/>
    <w:rsid w:val="001335B1"/>
    <w:rsid w:val="00133B4E"/>
    <w:rsid w:val="0013410F"/>
    <w:rsid w:val="001346AF"/>
    <w:rsid w:val="00134990"/>
    <w:rsid w:val="001354D1"/>
    <w:rsid w:val="00135840"/>
    <w:rsid w:val="00135A0A"/>
    <w:rsid w:val="00135BB9"/>
    <w:rsid w:val="00135C5A"/>
    <w:rsid w:val="0013621D"/>
    <w:rsid w:val="00136354"/>
    <w:rsid w:val="00136674"/>
    <w:rsid w:val="00136B0E"/>
    <w:rsid w:val="00136C3B"/>
    <w:rsid w:val="001376AB"/>
    <w:rsid w:val="0013777C"/>
    <w:rsid w:val="00137D5F"/>
    <w:rsid w:val="00140082"/>
    <w:rsid w:val="001400C5"/>
    <w:rsid w:val="00140175"/>
    <w:rsid w:val="00140757"/>
    <w:rsid w:val="00140D07"/>
    <w:rsid w:val="00141A3A"/>
    <w:rsid w:val="00141FD4"/>
    <w:rsid w:val="001423FA"/>
    <w:rsid w:val="001427B5"/>
    <w:rsid w:val="001428CF"/>
    <w:rsid w:val="00142D0C"/>
    <w:rsid w:val="00142E3C"/>
    <w:rsid w:val="00143387"/>
    <w:rsid w:val="001439BA"/>
    <w:rsid w:val="00144013"/>
    <w:rsid w:val="001455C3"/>
    <w:rsid w:val="00145A17"/>
    <w:rsid w:val="00145BBE"/>
    <w:rsid w:val="001460B5"/>
    <w:rsid w:val="0014641F"/>
    <w:rsid w:val="001464A8"/>
    <w:rsid w:val="001467BB"/>
    <w:rsid w:val="00146CA8"/>
    <w:rsid w:val="00147884"/>
    <w:rsid w:val="00150827"/>
    <w:rsid w:val="00150B0D"/>
    <w:rsid w:val="00150E10"/>
    <w:rsid w:val="0015120D"/>
    <w:rsid w:val="00151A32"/>
    <w:rsid w:val="00151B2C"/>
    <w:rsid w:val="00151E31"/>
    <w:rsid w:val="00151F9B"/>
    <w:rsid w:val="00152289"/>
    <w:rsid w:val="00152425"/>
    <w:rsid w:val="00152BAD"/>
    <w:rsid w:val="00152CE3"/>
    <w:rsid w:val="00153652"/>
    <w:rsid w:val="00153697"/>
    <w:rsid w:val="00153956"/>
    <w:rsid w:val="00153B95"/>
    <w:rsid w:val="00154146"/>
    <w:rsid w:val="00154190"/>
    <w:rsid w:val="001545EA"/>
    <w:rsid w:val="001549BA"/>
    <w:rsid w:val="00154BBF"/>
    <w:rsid w:val="00155099"/>
    <w:rsid w:val="00155C85"/>
    <w:rsid w:val="00156592"/>
    <w:rsid w:val="0015680F"/>
    <w:rsid w:val="00156A6C"/>
    <w:rsid w:val="00156B10"/>
    <w:rsid w:val="001576FE"/>
    <w:rsid w:val="00157823"/>
    <w:rsid w:val="0015790D"/>
    <w:rsid w:val="00157C5E"/>
    <w:rsid w:val="00157DD3"/>
    <w:rsid w:val="0016015A"/>
    <w:rsid w:val="0016020E"/>
    <w:rsid w:val="00160503"/>
    <w:rsid w:val="00160BF6"/>
    <w:rsid w:val="00160D7C"/>
    <w:rsid w:val="00160E30"/>
    <w:rsid w:val="0016106D"/>
    <w:rsid w:val="001612E1"/>
    <w:rsid w:val="001614DB"/>
    <w:rsid w:val="0016194E"/>
    <w:rsid w:val="001619DA"/>
    <w:rsid w:val="0016236C"/>
    <w:rsid w:val="00162625"/>
    <w:rsid w:val="00162DFB"/>
    <w:rsid w:val="001630A8"/>
    <w:rsid w:val="00163233"/>
    <w:rsid w:val="00163826"/>
    <w:rsid w:val="00163943"/>
    <w:rsid w:val="00163BA1"/>
    <w:rsid w:val="00163F22"/>
    <w:rsid w:val="0016417B"/>
    <w:rsid w:val="001643A6"/>
    <w:rsid w:val="00164402"/>
    <w:rsid w:val="0016470E"/>
    <w:rsid w:val="001649D3"/>
    <w:rsid w:val="00164C26"/>
    <w:rsid w:val="00164E0A"/>
    <w:rsid w:val="001652D7"/>
    <w:rsid w:val="00165A5F"/>
    <w:rsid w:val="00166223"/>
    <w:rsid w:val="0016793E"/>
    <w:rsid w:val="00167D4D"/>
    <w:rsid w:val="0017054C"/>
    <w:rsid w:val="00170635"/>
    <w:rsid w:val="0017070D"/>
    <w:rsid w:val="00170837"/>
    <w:rsid w:val="00171035"/>
    <w:rsid w:val="001713B7"/>
    <w:rsid w:val="00171ADB"/>
    <w:rsid w:val="00171E2C"/>
    <w:rsid w:val="00172029"/>
    <w:rsid w:val="001733A4"/>
    <w:rsid w:val="00173AB9"/>
    <w:rsid w:val="00173EED"/>
    <w:rsid w:val="00174368"/>
    <w:rsid w:val="001744EA"/>
    <w:rsid w:val="00174731"/>
    <w:rsid w:val="00174D82"/>
    <w:rsid w:val="00174E44"/>
    <w:rsid w:val="00175053"/>
    <w:rsid w:val="001753B7"/>
    <w:rsid w:val="001757E7"/>
    <w:rsid w:val="00175873"/>
    <w:rsid w:val="00175C59"/>
    <w:rsid w:val="001760BC"/>
    <w:rsid w:val="00176674"/>
    <w:rsid w:val="00176818"/>
    <w:rsid w:val="00176B82"/>
    <w:rsid w:val="00176E3B"/>
    <w:rsid w:val="00176ECB"/>
    <w:rsid w:val="0017752D"/>
    <w:rsid w:val="0017759F"/>
    <w:rsid w:val="00177832"/>
    <w:rsid w:val="00181178"/>
    <w:rsid w:val="0018119E"/>
    <w:rsid w:val="0018152C"/>
    <w:rsid w:val="00181DBA"/>
    <w:rsid w:val="00181EEF"/>
    <w:rsid w:val="00181F3E"/>
    <w:rsid w:val="0018274C"/>
    <w:rsid w:val="00182FE0"/>
    <w:rsid w:val="00183911"/>
    <w:rsid w:val="00184418"/>
    <w:rsid w:val="001845FB"/>
    <w:rsid w:val="001857FB"/>
    <w:rsid w:val="00185A93"/>
    <w:rsid w:val="00185DA6"/>
    <w:rsid w:val="00185F64"/>
    <w:rsid w:val="00186096"/>
    <w:rsid w:val="001862FE"/>
    <w:rsid w:val="001864AC"/>
    <w:rsid w:val="00187317"/>
    <w:rsid w:val="0018772E"/>
    <w:rsid w:val="00187A94"/>
    <w:rsid w:val="0019029E"/>
    <w:rsid w:val="00190804"/>
    <w:rsid w:val="0019088F"/>
    <w:rsid w:val="00190C51"/>
    <w:rsid w:val="00192F00"/>
    <w:rsid w:val="00193ACC"/>
    <w:rsid w:val="00193BFE"/>
    <w:rsid w:val="00194B5A"/>
    <w:rsid w:val="00195322"/>
    <w:rsid w:val="0019560E"/>
    <w:rsid w:val="001958E3"/>
    <w:rsid w:val="00195FFA"/>
    <w:rsid w:val="0019601B"/>
    <w:rsid w:val="00196048"/>
    <w:rsid w:val="00196A82"/>
    <w:rsid w:val="0019769B"/>
    <w:rsid w:val="001979F9"/>
    <w:rsid w:val="00197FFE"/>
    <w:rsid w:val="001A0CA7"/>
    <w:rsid w:val="001A0D25"/>
    <w:rsid w:val="001A0E14"/>
    <w:rsid w:val="001A1570"/>
    <w:rsid w:val="001A1917"/>
    <w:rsid w:val="001A1C64"/>
    <w:rsid w:val="001A1DFB"/>
    <w:rsid w:val="001A1E7F"/>
    <w:rsid w:val="001A2918"/>
    <w:rsid w:val="001A2D02"/>
    <w:rsid w:val="001A3076"/>
    <w:rsid w:val="001A3163"/>
    <w:rsid w:val="001A31A5"/>
    <w:rsid w:val="001A389C"/>
    <w:rsid w:val="001A3B75"/>
    <w:rsid w:val="001A42A3"/>
    <w:rsid w:val="001A46FB"/>
    <w:rsid w:val="001A4EC9"/>
    <w:rsid w:val="001A5944"/>
    <w:rsid w:val="001A5FB1"/>
    <w:rsid w:val="001A618F"/>
    <w:rsid w:val="001A698A"/>
    <w:rsid w:val="001A6CCC"/>
    <w:rsid w:val="001A6E3B"/>
    <w:rsid w:val="001A70C8"/>
    <w:rsid w:val="001A71C9"/>
    <w:rsid w:val="001A7360"/>
    <w:rsid w:val="001A7429"/>
    <w:rsid w:val="001A760C"/>
    <w:rsid w:val="001A76F0"/>
    <w:rsid w:val="001A7977"/>
    <w:rsid w:val="001A799B"/>
    <w:rsid w:val="001A7AC7"/>
    <w:rsid w:val="001A7C38"/>
    <w:rsid w:val="001B02F8"/>
    <w:rsid w:val="001B2104"/>
    <w:rsid w:val="001B2279"/>
    <w:rsid w:val="001B2729"/>
    <w:rsid w:val="001B2866"/>
    <w:rsid w:val="001B2881"/>
    <w:rsid w:val="001B2B73"/>
    <w:rsid w:val="001B3675"/>
    <w:rsid w:val="001B37C8"/>
    <w:rsid w:val="001B48BA"/>
    <w:rsid w:val="001B4B2C"/>
    <w:rsid w:val="001B4F10"/>
    <w:rsid w:val="001B5154"/>
    <w:rsid w:val="001B5AB6"/>
    <w:rsid w:val="001B6E30"/>
    <w:rsid w:val="001B7C83"/>
    <w:rsid w:val="001B7F9E"/>
    <w:rsid w:val="001C0206"/>
    <w:rsid w:val="001C0246"/>
    <w:rsid w:val="001C04D4"/>
    <w:rsid w:val="001C0B34"/>
    <w:rsid w:val="001C12A3"/>
    <w:rsid w:val="001C1419"/>
    <w:rsid w:val="001C15D8"/>
    <w:rsid w:val="001C17BB"/>
    <w:rsid w:val="001C187E"/>
    <w:rsid w:val="001C1A37"/>
    <w:rsid w:val="001C1C49"/>
    <w:rsid w:val="001C286F"/>
    <w:rsid w:val="001C2B86"/>
    <w:rsid w:val="001C2F54"/>
    <w:rsid w:val="001C3308"/>
    <w:rsid w:val="001C3BBB"/>
    <w:rsid w:val="001C40D1"/>
    <w:rsid w:val="001C468A"/>
    <w:rsid w:val="001C4A38"/>
    <w:rsid w:val="001C4A9E"/>
    <w:rsid w:val="001C5001"/>
    <w:rsid w:val="001C5103"/>
    <w:rsid w:val="001C52A8"/>
    <w:rsid w:val="001C5ADF"/>
    <w:rsid w:val="001C5E8E"/>
    <w:rsid w:val="001C6120"/>
    <w:rsid w:val="001C6516"/>
    <w:rsid w:val="001C6B5C"/>
    <w:rsid w:val="001C7155"/>
    <w:rsid w:val="001C7E48"/>
    <w:rsid w:val="001D0190"/>
    <w:rsid w:val="001D039B"/>
    <w:rsid w:val="001D0849"/>
    <w:rsid w:val="001D1258"/>
    <w:rsid w:val="001D1AB8"/>
    <w:rsid w:val="001D26F5"/>
    <w:rsid w:val="001D286F"/>
    <w:rsid w:val="001D2C94"/>
    <w:rsid w:val="001D33D9"/>
    <w:rsid w:val="001D36F6"/>
    <w:rsid w:val="001D4303"/>
    <w:rsid w:val="001D45E5"/>
    <w:rsid w:val="001D461A"/>
    <w:rsid w:val="001D4A9D"/>
    <w:rsid w:val="001D4AAD"/>
    <w:rsid w:val="001D4E16"/>
    <w:rsid w:val="001D5AFA"/>
    <w:rsid w:val="001D652D"/>
    <w:rsid w:val="001D6E5B"/>
    <w:rsid w:val="001D72D9"/>
    <w:rsid w:val="001D784A"/>
    <w:rsid w:val="001E04A4"/>
    <w:rsid w:val="001E07C5"/>
    <w:rsid w:val="001E0B45"/>
    <w:rsid w:val="001E176D"/>
    <w:rsid w:val="001E1BCE"/>
    <w:rsid w:val="001E1E05"/>
    <w:rsid w:val="001E2086"/>
    <w:rsid w:val="001E339F"/>
    <w:rsid w:val="001E3629"/>
    <w:rsid w:val="001E3E7D"/>
    <w:rsid w:val="001E40F0"/>
    <w:rsid w:val="001E4172"/>
    <w:rsid w:val="001E4D83"/>
    <w:rsid w:val="001E4F08"/>
    <w:rsid w:val="001E5490"/>
    <w:rsid w:val="001E5730"/>
    <w:rsid w:val="001E5E2E"/>
    <w:rsid w:val="001E6352"/>
    <w:rsid w:val="001E700A"/>
    <w:rsid w:val="001E70AD"/>
    <w:rsid w:val="001E7237"/>
    <w:rsid w:val="001E7AF6"/>
    <w:rsid w:val="001F01B8"/>
    <w:rsid w:val="001F0FC3"/>
    <w:rsid w:val="001F1188"/>
    <w:rsid w:val="001F1899"/>
    <w:rsid w:val="001F1B8D"/>
    <w:rsid w:val="001F1C50"/>
    <w:rsid w:val="001F274F"/>
    <w:rsid w:val="001F289C"/>
    <w:rsid w:val="001F2BF9"/>
    <w:rsid w:val="001F336D"/>
    <w:rsid w:val="001F3AF2"/>
    <w:rsid w:val="001F6008"/>
    <w:rsid w:val="001F604B"/>
    <w:rsid w:val="001F641B"/>
    <w:rsid w:val="001F6D4D"/>
    <w:rsid w:val="001F7CA7"/>
    <w:rsid w:val="0020125C"/>
    <w:rsid w:val="0020130D"/>
    <w:rsid w:val="00201916"/>
    <w:rsid w:val="00201D06"/>
    <w:rsid w:val="00201E9F"/>
    <w:rsid w:val="00202F25"/>
    <w:rsid w:val="00202FA3"/>
    <w:rsid w:val="002035B3"/>
    <w:rsid w:val="00203929"/>
    <w:rsid w:val="00203CD6"/>
    <w:rsid w:val="00203D01"/>
    <w:rsid w:val="00204460"/>
    <w:rsid w:val="0020488A"/>
    <w:rsid w:val="002051EA"/>
    <w:rsid w:val="00205CBC"/>
    <w:rsid w:val="00206259"/>
    <w:rsid w:val="002074B7"/>
    <w:rsid w:val="0020758D"/>
    <w:rsid w:val="002078B4"/>
    <w:rsid w:val="00207C7B"/>
    <w:rsid w:val="00211470"/>
    <w:rsid w:val="00211922"/>
    <w:rsid w:val="0021213A"/>
    <w:rsid w:val="0021265F"/>
    <w:rsid w:val="00213232"/>
    <w:rsid w:val="00213817"/>
    <w:rsid w:val="00214428"/>
    <w:rsid w:val="002145EB"/>
    <w:rsid w:val="00214F82"/>
    <w:rsid w:val="00214FE7"/>
    <w:rsid w:val="00215033"/>
    <w:rsid w:val="00215834"/>
    <w:rsid w:val="00215CC2"/>
    <w:rsid w:val="00215D95"/>
    <w:rsid w:val="00215ED8"/>
    <w:rsid w:val="00215FAF"/>
    <w:rsid w:val="002173D7"/>
    <w:rsid w:val="00217700"/>
    <w:rsid w:val="002177E2"/>
    <w:rsid w:val="0021783B"/>
    <w:rsid w:val="00217B43"/>
    <w:rsid w:val="002205F3"/>
    <w:rsid w:val="0022085B"/>
    <w:rsid w:val="00220E53"/>
    <w:rsid w:val="00221391"/>
    <w:rsid w:val="0022176C"/>
    <w:rsid w:val="002220BB"/>
    <w:rsid w:val="002225D1"/>
    <w:rsid w:val="002227DC"/>
    <w:rsid w:val="002230FA"/>
    <w:rsid w:val="002232B9"/>
    <w:rsid w:val="0022375F"/>
    <w:rsid w:val="00223DF2"/>
    <w:rsid w:val="002249A2"/>
    <w:rsid w:val="00224C0C"/>
    <w:rsid w:val="002256C2"/>
    <w:rsid w:val="002256D0"/>
    <w:rsid w:val="00225C8E"/>
    <w:rsid w:val="00226428"/>
    <w:rsid w:val="002265A9"/>
    <w:rsid w:val="002266CB"/>
    <w:rsid w:val="00227052"/>
    <w:rsid w:val="002272D5"/>
    <w:rsid w:val="0022738E"/>
    <w:rsid w:val="00227906"/>
    <w:rsid w:val="00227934"/>
    <w:rsid w:val="00227E21"/>
    <w:rsid w:val="0023008A"/>
    <w:rsid w:val="002304A1"/>
    <w:rsid w:val="00231D05"/>
    <w:rsid w:val="0023241A"/>
    <w:rsid w:val="002336E2"/>
    <w:rsid w:val="00233AC2"/>
    <w:rsid w:val="00233BAF"/>
    <w:rsid w:val="00233F80"/>
    <w:rsid w:val="0023423A"/>
    <w:rsid w:val="00235420"/>
    <w:rsid w:val="00235700"/>
    <w:rsid w:val="0023788D"/>
    <w:rsid w:val="00240422"/>
    <w:rsid w:val="0024065B"/>
    <w:rsid w:val="002409A6"/>
    <w:rsid w:val="00240C63"/>
    <w:rsid w:val="00240D91"/>
    <w:rsid w:val="00240EA5"/>
    <w:rsid w:val="00241132"/>
    <w:rsid w:val="00241205"/>
    <w:rsid w:val="002418C5"/>
    <w:rsid w:val="0024261D"/>
    <w:rsid w:val="00242712"/>
    <w:rsid w:val="00242DFB"/>
    <w:rsid w:val="00243807"/>
    <w:rsid w:val="002440AC"/>
    <w:rsid w:val="00244365"/>
    <w:rsid w:val="0024459A"/>
    <w:rsid w:val="002446A3"/>
    <w:rsid w:val="00244771"/>
    <w:rsid w:val="00244903"/>
    <w:rsid w:val="00244AFB"/>
    <w:rsid w:val="002453DF"/>
    <w:rsid w:val="00245A81"/>
    <w:rsid w:val="00245CCD"/>
    <w:rsid w:val="00245D60"/>
    <w:rsid w:val="002462A5"/>
    <w:rsid w:val="00246530"/>
    <w:rsid w:val="00246B86"/>
    <w:rsid w:val="00247335"/>
    <w:rsid w:val="002473EF"/>
    <w:rsid w:val="002477B9"/>
    <w:rsid w:val="00247B69"/>
    <w:rsid w:val="00247BCE"/>
    <w:rsid w:val="00247CBE"/>
    <w:rsid w:val="00250A1F"/>
    <w:rsid w:val="00250ADA"/>
    <w:rsid w:val="00250F1D"/>
    <w:rsid w:val="00251FF1"/>
    <w:rsid w:val="002520BA"/>
    <w:rsid w:val="00252234"/>
    <w:rsid w:val="002528E3"/>
    <w:rsid w:val="00252944"/>
    <w:rsid w:val="00252D55"/>
    <w:rsid w:val="00252D82"/>
    <w:rsid w:val="00253006"/>
    <w:rsid w:val="00253165"/>
    <w:rsid w:val="002531EA"/>
    <w:rsid w:val="002533F5"/>
    <w:rsid w:val="00253C60"/>
    <w:rsid w:val="00253F21"/>
    <w:rsid w:val="0025429D"/>
    <w:rsid w:val="002549E9"/>
    <w:rsid w:val="00254FF6"/>
    <w:rsid w:val="00255099"/>
    <w:rsid w:val="002555C6"/>
    <w:rsid w:val="0025597E"/>
    <w:rsid w:val="00255ABE"/>
    <w:rsid w:val="00255E14"/>
    <w:rsid w:val="00255E45"/>
    <w:rsid w:val="00255FF9"/>
    <w:rsid w:val="00257059"/>
    <w:rsid w:val="0025712F"/>
    <w:rsid w:val="00257395"/>
    <w:rsid w:val="00257857"/>
    <w:rsid w:val="002578DA"/>
    <w:rsid w:val="00257CBC"/>
    <w:rsid w:val="002602C2"/>
    <w:rsid w:val="002602DA"/>
    <w:rsid w:val="0026040B"/>
    <w:rsid w:val="002604F2"/>
    <w:rsid w:val="00260802"/>
    <w:rsid w:val="002609E3"/>
    <w:rsid w:val="00261223"/>
    <w:rsid w:val="002617AB"/>
    <w:rsid w:val="00261D08"/>
    <w:rsid w:val="00261DCC"/>
    <w:rsid w:val="002624D0"/>
    <w:rsid w:val="00263EC7"/>
    <w:rsid w:val="0026491B"/>
    <w:rsid w:val="00264A36"/>
    <w:rsid w:val="00264B06"/>
    <w:rsid w:val="00264C1B"/>
    <w:rsid w:val="002657FB"/>
    <w:rsid w:val="00265D10"/>
    <w:rsid w:val="00265E2E"/>
    <w:rsid w:val="002661AB"/>
    <w:rsid w:val="0026742B"/>
    <w:rsid w:val="002674FE"/>
    <w:rsid w:val="00267E59"/>
    <w:rsid w:val="002702F6"/>
    <w:rsid w:val="00270748"/>
    <w:rsid w:val="00270CAB"/>
    <w:rsid w:val="0027117F"/>
    <w:rsid w:val="002712DC"/>
    <w:rsid w:val="00271875"/>
    <w:rsid w:val="002718FF"/>
    <w:rsid w:val="00271955"/>
    <w:rsid w:val="00272278"/>
    <w:rsid w:val="00272432"/>
    <w:rsid w:val="0027255E"/>
    <w:rsid w:val="00272633"/>
    <w:rsid w:val="00272D36"/>
    <w:rsid w:val="00272E48"/>
    <w:rsid w:val="00272FBF"/>
    <w:rsid w:val="00273A10"/>
    <w:rsid w:val="00273A58"/>
    <w:rsid w:val="00274C6E"/>
    <w:rsid w:val="00274CAB"/>
    <w:rsid w:val="00274E8A"/>
    <w:rsid w:val="002755A8"/>
    <w:rsid w:val="00275E2D"/>
    <w:rsid w:val="00275FCE"/>
    <w:rsid w:val="002766B8"/>
    <w:rsid w:val="0027680F"/>
    <w:rsid w:val="002777C0"/>
    <w:rsid w:val="0028076D"/>
    <w:rsid w:val="00281006"/>
    <w:rsid w:val="002815B1"/>
    <w:rsid w:val="00281893"/>
    <w:rsid w:val="00281C1F"/>
    <w:rsid w:val="00281EEA"/>
    <w:rsid w:val="00281F88"/>
    <w:rsid w:val="0028240D"/>
    <w:rsid w:val="0028288D"/>
    <w:rsid w:val="002829B7"/>
    <w:rsid w:val="00282B82"/>
    <w:rsid w:val="00282C74"/>
    <w:rsid w:val="00282E5B"/>
    <w:rsid w:val="00283995"/>
    <w:rsid w:val="00283B11"/>
    <w:rsid w:val="002841A9"/>
    <w:rsid w:val="00284313"/>
    <w:rsid w:val="00284554"/>
    <w:rsid w:val="002848AD"/>
    <w:rsid w:val="00284DE4"/>
    <w:rsid w:val="00285154"/>
    <w:rsid w:val="00285BF2"/>
    <w:rsid w:val="00285C78"/>
    <w:rsid w:val="002863CE"/>
    <w:rsid w:val="00287E20"/>
    <w:rsid w:val="0029110F"/>
    <w:rsid w:val="00291492"/>
    <w:rsid w:val="00291527"/>
    <w:rsid w:val="002916B4"/>
    <w:rsid w:val="0029199A"/>
    <w:rsid w:val="00291BBE"/>
    <w:rsid w:val="00291FEB"/>
    <w:rsid w:val="00293146"/>
    <w:rsid w:val="0029361E"/>
    <w:rsid w:val="00293D68"/>
    <w:rsid w:val="0029408A"/>
    <w:rsid w:val="00294352"/>
    <w:rsid w:val="002944A0"/>
    <w:rsid w:val="002946E4"/>
    <w:rsid w:val="0029495C"/>
    <w:rsid w:val="002957D9"/>
    <w:rsid w:val="00295B52"/>
    <w:rsid w:val="00296024"/>
    <w:rsid w:val="00296293"/>
    <w:rsid w:val="002969C7"/>
    <w:rsid w:val="00296AF7"/>
    <w:rsid w:val="00297021"/>
    <w:rsid w:val="002972F9"/>
    <w:rsid w:val="00297612"/>
    <w:rsid w:val="002977CA"/>
    <w:rsid w:val="00297ED7"/>
    <w:rsid w:val="002A0007"/>
    <w:rsid w:val="002A03AA"/>
    <w:rsid w:val="002A056D"/>
    <w:rsid w:val="002A07FE"/>
    <w:rsid w:val="002A094D"/>
    <w:rsid w:val="002A0CAF"/>
    <w:rsid w:val="002A0DDB"/>
    <w:rsid w:val="002A1565"/>
    <w:rsid w:val="002A16A9"/>
    <w:rsid w:val="002A2941"/>
    <w:rsid w:val="002A2DC4"/>
    <w:rsid w:val="002A3E69"/>
    <w:rsid w:val="002A44F9"/>
    <w:rsid w:val="002A4946"/>
    <w:rsid w:val="002A49EF"/>
    <w:rsid w:val="002A4B8B"/>
    <w:rsid w:val="002A5107"/>
    <w:rsid w:val="002A535E"/>
    <w:rsid w:val="002A5DBD"/>
    <w:rsid w:val="002A5F9E"/>
    <w:rsid w:val="002A6406"/>
    <w:rsid w:val="002A6432"/>
    <w:rsid w:val="002A6CF0"/>
    <w:rsid w:val="002A6FFC"/>
    <w:rsid w:val="002A7010"/>
    <w:rsid w:val="002A70BA"/>
    <w:rsid w:val="002A7A57"/>
    <w:rsid w:val="002A7BB2"/>
    <w:rsid w:val="002A7CC1"/>
    <w:rsid w:val="002A7DCB"/>
    <w:rsid w:val="002B0685"/>
    <w:rsid w:val="002B0B53"/>
    <w:rsid w:val="002B1617"/>
    <w:rsid w:val="002B1A90"/>
    <w:rsid w:val="002B1D11"/>
    <w:rsid w:val="002B273B"/>
    <w:rsid w:val="002B29AA"/>
    <w:rsid w:val="002B2A7E"/>
    <w:rsid w:val="002B2F1B"/>
    <w:rsid w:val="002B3332"/>
    <w:rsid w:val="002B34C7"/>
    <w:rsid w:val="002B3F25"/>
    <w:rsid w:val="002B4BC0"/>
    <w:rsid w:val="002B5AFB"/>
    <w:rsid w:val="002B5E9E"/>
    <w:rsid w:val="002B6320"/>
    <w:rsid w:val="002B66AC"/>
    <w:rsid w:val="002B6852"/>
    <w:rsid w:val="002B74EF"/>
    <w:rsid w:val="002B77E1"/>
    <w:rsid w:val="002C0656"/>
    <w:rsid w:val="002C0714"/>
    <w:rsid w:val="002C0A96"/>
    <w:rsid w:val="002C13C6"/>
    <w:rsid w:val="002C1BF4"/>
    <w:rsid w:val="002C1E0D"/>
    <w:rsid w:val="002C2266"/>
    <w:rsid w:val="002C2356"/>
    <w:rsid w:val="002C238F"/>
    <w:rsid w:val="002C276F"/>
    <w:rsid w:val="002C28EB"/>
    <w:rsid w:val="002C316C"/>
    <w:rsid w:val="002C3265"/>
    <w:rsid w:val="002C3AED"/>
    <w:rsid w:val="002C3E56"/>
    <w:rsid w:val="002C414C"/>
    <w:rsid w:val="002C49F8"/>
    <w:rsid w:val="002C4BA4"/>
    <w:rsid w:val="002C4C2F"/>
    <w:rsid w:val="002C5776"/>
    <w:rsid w:val="002C5EED"/>
    <w:rsid w:val="002C66DE"/>
    <w:rsid w:val="002C7193"/>
    <w:rsid w:val="002C7699"/>
    <w:rsid w:val="002C7A49"/>
    <w:rsid w:val="002D0128"/>
    <w:rsid w:val="002D0E85"/>
    <w:rsid w:val="002D0FA7"/>
    <w:rsid w:val="002D1131"/>
    <w:rsid w:val="002D12FB"/>
    <w:rsid w:val="002D19D1"/>
    <w:rsid w:val="002D1F35"/>
    <w:rsid w:val="002D1FA3"/>
    <w:rsid w:val="002D20CD"/>
    <w:rsid w:val="002D23C6"/>
    <w:rsid w:val="002D24F0"/>
    <w:rsid w:val="002D25EB"/>
    <w:rsid w:val="002D29F3"/>
    <w:rsid w:val="002D3126"/>
    <w:rsid w:val="002D3529"/>
    <w:rsid w:val="002D3D0A"/>
    <w:rsid w:val="002D3EF0"/>
    <w:rsid w:val="002D478E"/>
    <w:rsid w:val="002D47AE"/>
    <w:rsid w:val="002D4A94"/>
    <w:rsid w:val="002D4AFE"/>
    <w:rsid w:val="002D65FF"/>
    <w:rsid w:val="002D6D10"/>
    <w:rsid w:val="002D71E2"/>
    <w:rsid w:val="002D7B6A"/>
    <w:rsid w:val="002E0026"/>
    <w:rsid w:val="002E08E8"/>
    <w:rsid w:val="002E0918"/>
    <w:rsid w:val="002E0BAA"/>
    <w:rsid w:val="002E0D96"/>
    <w:rsid w:val="002E0EA5"/>
    <w:rsid w:val="002E0F1C"/>
    <w:rsid w:val="002E1E19"/>
    <w:rsid w:val="002E1FAC"/>
    <w:rsid w:val="002E283F"/>
    <w:rsid w:val="002E2854"/>
    <w:rsid w:val="002E2E74"/>
    <w:rsid w:val="002E32D2"/>
    <w:rsid w:val="002E361B"/>
    <w:rsid w:val="002E37AB"/>
    <w:rsid w:val="002E3A80"/>
    <w:rsid w:val="002E41C7"/>
    <w:rsid w:val="002E51DF"/>
    <w:rsid w:val="002E57B9"/>
    <w:rsid w:val="002E5D3D"/>
    <w:rsid w:val="002E6127"/>
    <w:rsid w:val="002E6885"/>
    <w:rsid w:val="002E72E4"/>
    <w:rsid w:val="002E739D"/>
    <w:rsid w:val="002F016F"/>
    <w:rsid w:val="002F0F36"/>
    <w:rsid w:val="002F1276"/>
    <w:rsid w:val="002F1986"/>
    <w:rsid w:val="002F1E5F"/>
    <w:rsid w:val="002F2A49"/>
    <w:rsid w:val="002F3550"/>
    <w:rsid w:val="002F3B63"/>
    <w:rsid w:val="002F3C56"/>
    <w:rsid w:val="002F4271"/>
    <w:rsid w:val="002F46B0"/>
    <w:rsid w:val="002F4B17"/>
    <w:rsid w:val="002F5150"/>
    <w:rsid w:val="002F5463"/>
    <w:rsid w:val="002F58C2"/>
    <w:rsid w:val="002F5932"/>
    <w:rsid w:val="002F5C85"/>
    <w:rsid w:val="002F603B"/>
    <w:rsid w:val="002F6201"/>
    <w:rsid w:val="002F6493"/>
    <w:rsid w:val="002F724B"/>
    <w:rsid w:val="002F72BA"/>
    <w:rsid w:val="00300267"/>
    <w:rsid w:val="003004D2"/>
    <w:rsid w:val="00300D6B"/>
    <w:rsid w:val="00301380"/>
    <w:rsid w:val="003015DA"/>
    <w:rsid w:val="00301D6A"/>
    <w:rsid w:val="00301E89"/>
    <w:rsid w:val="00302052"/>
    <w:rsid w:val="00302142"/>
    <w:rsid w:val="00302169"/>
    <w:rsid w:val="00302612"/>
    <w:rsid w:val="00303254"/>
    <w:rsid w:val="003044D9"/>
    <w:rsid w:val="00304D8A"/>
    <w:rsid w:val="00305216"/>
    <w:rsid w:val="0030555B"/>
    <w:rsid w:val="003061F5"/>
    <w:rsid w:val="00306A49"/>
    <w:rsid w:val="00306D27"/>
    <w:rsid w:val="0030739C"/>
    <w:rsid w:val="00310D51"/>
    <w:rsid w:val="00311B36"/>
    <w:rsid w:val="00311C92"/>
    <w:rsid w:val="00313321"/>
    <w:rsid w:val="003133AE"/>
    <w:rsid w:val="0031371B"/>
    <w:rsid w:val="00314156"/>
    <w:rsid w:val="00314CF8"/>
    <w:rsid w:val="00314E5D"/>
    <w:rsid w:val="0031535B"/>
    <w:rsid w:val="003154DD"/>
    <w:rsid w:val="00316F76"/>
    <w:rsid w:val="003170F4"/>
    <w:rsid w:val="00317A88"/>
    <w:rsid w:val="0032035D"/>
    <w:rsid w:val="003205E9"/>
    <w:rsid w:val="00320B28"/>
    <w:rsid w:val="0032123E"/>
    <w:rsid w:val="003216D5"/>
    <w:rsid w:val="003216FF"/>
    <w:rsid w:val="00321866"/>
    <w:rsid w:val="00321A83"/>
    <w:rsid w:val="00321C1A"/>
    <w:rsid w:val="00321D8E"/>
    <w:rsid w:val="00321F6B"/>
    <w:rsid w:val="00322389"/>
    <w:rsid w:val="003223CA"/>
    <w:rsid w:val="00322BE5"/>
    <w:rsid w:val="00322E87"/>
    <w:rsid w:val="0032312D"/>
    <w:rsid w:val="00323AA5"/>
    <w:rsid w:val="003242E4"/>
    <w:rsid w:val="0032468D"/>
    <w:rsid w:val="00324887"/>
    <w:rsid w:val="00324926"/>
    <w:rsid w:val="00324B25"/>
    <w:rsid w:val="0032522F"/>
    <w:rsid w:val="003253C4"/>
    <w:rsid w:val="0032550F"/>
    <w:rsid w:val="00325992"/>
    <w:rsid w:val="00325B74"/>
    <w:rsid w:val="0032638F"/>
    <w:rsid w:val="003263EA"/>
    <w:rsid w:val="00326B59"/>
    <w:rsid w:val="00326BD4"/>
    <w:rsid w:val="003272C6"/>
    <w:rsid w:val="00327752"/>
    <w:rsid w:val="00327C7C"/>
    <w:rsid w:val="00330009"/>
    <w:rsid w:val="003301E6"/>
    <w:rsid w:val="003310AB"/>
    <w:rsid w:val="003314D2"/>
    <w:rsid w:val="00331712"/>
    <w:rsid w:val="00331A3F"/>
    <w:rsid w:val="00332191"/>
    <w:rsid w:val="00332720"/>
    <w:rsid w:val="0033289F"/>
    <w:rsid w:val="00332EED"/>
    <w:rsid w:val="003334A7"/>
    <w:rsid w:val="00333783"/>
    <w:rsid w:val="003337E8"/>
    <w:rsid w:val="00333A14"/>
    <w:rsid w:val="00333B2A"/>
    <w:rsid w:val="00333FD5"/>
    <w:rsid w:val="00334649"/>
    <w:rsid w:val="003350E9"/>
    <w:rsid w:val="003351BA"/>
    <w:rsid w:val="0033520F"/>
    <w:rsid w:val="0033596B"/>
    <w:rsid w:val="00335A93"/>
    <w:rsid w:val="0033650E"/>
    <w:rsid w:val="00336907"/>
    <w:rsid w:val="003369DF"/>
    <w:rsid w:val="00336AD1"/>
    <w:rsid w:val="00336C71"/>
    <w:rsid w:val="00336D96"/>
    <w:rsid w:val="00336DFC"/>
    <w:rsid w:val="00337230"/>
    <w:rsid w:val="003377D0"/>
    <w:rsid w:val="00337D75"/>
    <w:rsid w:val="00340020"/>
    <w:rsid w:val="00340AFD"/>
    <w:rsid w:val="00341162"/>
    <w:rsid w:val="00341866"/>
    <w:rsid w:val="00341DAF"/>
    <w:rsid w:val="00342181"/>
    <w:rsid w:val="00342B37"/>
    <w:rsid w:val="00343560"/>
    <w:rsid w:val="00343A20"/>
    <w:rsid w:val="0034402B"/>
    <w:rsid w:val="0034449E"/>
    <w:rsid w:val="003449F4"/>
    <w:rsid w:val="00344D46"/>
    <w:rsid w:val="00345337"/>
    <w:rsid w:val="003465A5"/>
    <w:rsid w:val="00346817"/>
    <w:rsid w:val="00347440"/>
    <w:rsid w:val="003475EA"/>
    <w:rsid w:val="00347A27"/>
    <w:rsid w:val="00347CD4"/>
    <w:rsid w:val="00347E2E"/>
    <w:rsid w:val="00350A55"/>
    <w:rsid w:val="00350DF8"/>
    <w:rsid w:val="00351A8A"/>
    <w:rsid w:val="0035244D"/>
    <w:rsid w:val="0035266A"/>
    <w:rsid w:val="0035279C"/>
    <w:rsid w:val="003535D2"/>
    <w:rsid w:val="0035384D"/>
    <w:rsid w:val="00353C0B"/>
    <w:rsid w:val="00354472"/>
    <w:rsid w:val="00354AE4"/>
    <w:rsid w:val="00354B0A"/>
    <w:rsid w:val="0035551B"/>
    <w:rsid w:val="003555ED"/>
    <w:rsid w:val="00355911"/>
    <w:rsid w:val="00355BFC"/>
    <w:rsid w:val="0035636B"/>
    <w:rsid w:val="003564CC"/>
    <w:rsid w:val="00357424"/>
    <w:rsid w:val="00357BE9"/>
    <w:rsid w:val="003601A2"/>
    <w:rsid w:val="003607C7"/>
    <w:rsid w:val="00361789"/>
    <w:rsid w:val="0036196D"/>
    <w:rsid w:val="00361A59"/>
    <w:rsid w:val="00362136"/>
    <w:rsid w:val="003627BD"/>
    <w:rsid w:val="00362997"/>
    <w:rsid w:val="00362C59"/>
    <w:rsid w:val="00363040"/>
    <w:rsid w:val="003630B7"/>
    <w:rsid w:val="00363786"/>
    <w:rsid w:val="003638A4"/>
    <w:rsid w:val="003639BF"/>
    <w:rsid w:val="00363E41"/>
    <w:rsid w:val="00363FD2"/>
    <w:rsid w:val="00364653"/>
    <w:rsid w:val="00364ECA"/>
    <w:rsid w:val="00364FB4"/>
    <w:rsid w:val="0036572E"/>
    <w:rsid w:val="00366168"/>
    <w:rsid w:val="003663D9"/>
    <w:rsid w:val="003666BF"/>
    <w:rsid w:val="00366707"/>
    <w:rsid w:val="00366FA9"/>
    <w:rsid w:val="00367B19"/>
    <w:rsid w:val="00367E49"/>
    <w:rsid w:val="003700E6"/>
    <w:rsid w:val="0037017C"/>
    <w:rsid w:val="00370490"/>
    <w:rsid w:val="00371C86"/>
    <w:rsid w:val="0037236C"/>
    <w:rsid w:val="003729DE"/>
    <w:rsid w:val="00372EA2"/>
    <w:rsid w:val="003735D3"/>
    <w:rsid w:val="0037386D"/>
    <w:rsid w:val="00373956"/>
    <w:rsid w:val="00374153"/>
    <w:rsid w:val="00374671"/>
    <w:rsid w:val="003750E0"/>
    <w:rsid w:val="00375AF1"/>
    <w:rsid w:val="00375C2F"/>
    <w:rsid w:val="00375FC5"/>
    <w:rsid w:val="003769BA"/>
    <w:rsid w:val="00377076"/>
    <w:rsid w:val="00377871"/>
    <w:rsid w:val="003778B2"/>
    <w:rsid w:val="00377E58"/>
    <w:rsid w:val="003805E3"/>
    <w:rsid w:val="00380618"/>
    <w:rsid w:val="0038062E"/>
    <w:rsid w:val="003806D7"/>
    <w:rsid w:val="003807F7"/>
    <w:rsid w:val="00381610"/>
    <w:rsid w:val="00381C9E"/>
    <w:rsid w:val="00381CA8"/>
    <w:rsid w:val="00382106"/>
    <w:rsid w:val="00382657"/>
    <w:rsid w:val="00382708"/>
    <w:rsid w:val="00382B82"/>
    <w:rsid w:val="003844BF"/>
    <w:rsid w:val="003854D5"/>
    <w:rsid w:val="0038552A"/>
    <w:rsid w:val="003859EA"/>
    <w:rsid w:val="0038709E"/>
    <w:rsid w:val="00387D30"/>
    <w:rsid w:val="00391753"/>
    <w:rsid w:val="00391C7F"/>
    <w:rsid w:val="00392454"/>
    <w:rsid w:val="00392C85"/>
    <w:rsid w:val="00392FD8"/>
    <w:rsid w:val="0039346B"/>
    <w:rsid w:val="00393D73"/>
    <w:rsid w:val="00393E11"/>
    <w:rsid w:val="00394475"/>
    <w:rsid w:val="0039517A"/>
    <w:rsid w:val="003954FE"/>
    <w:rsid w:val="00395B51"/>
    <w:rsid w:val="00396796"/>
    <w:rsid w:val="00396EC6"/>
    <w:rsid w:val="003970BA"/>
    <w:rsid w:val="0039746C"/>
    <w:rsid w:val="00397DC6"/>
    <w:rsid w:val="003A0E82"/>
    <w:rsid w:val="003A0FAC"/>
    <w:rsid w:val="003A184D"/>
    <w:rsid w:val="003A1FB7"/>
    <w:rsid w:val="003A2773"/>
    <w:rsid w:val="003A371E"/>
    <w:rsid w:val="003A3957"/>
    <w:rsid w:val="003A3E29"/>
    <w:rsid w:val="003A439B"/>
    <w:rsid w:val="003A462A"/>
    <w:rsid w:val="003A595F"/>
    <w:rsid w:val="003A5EEC"/>
    <w:rsid w:val="003A6B7A"/>
    <w:rsid w:val="003A6C33"/>
    <w:rsid w:val="003A748F"/>
    <w:rsid w:val="003A79AE"/>
    <w:rsid w:val="003A7CA3"/>
    <w:rsid w:val="003B00B6"/>
    <w:rsid w:val="003B01C4"/>
    <w:rsid w:val="003B0BB0"/>
    <w:rsid w:val="003B11EE"/>
    <w:rsid w:val="003B15F8"/>
    <w:rsid w:val="003B166F"/>
    <w:rsid w:val="003B1B60"/>
    <w:rsid w:val="003B1F99"/>
    <w:rsid w:val="003B207E"/>
    <w:rsid w:val="003B230B"/>
    <w:rsid w:val="003B23BC"/>
    <w:rsid w:val="003B28BA"/>
    <w:rsid w:val="003B28F6"/>
    <w:rsid w:val="003B29D1"/>
    <w:rsid w:val="003B2DB5"/>
    <w:rsid w:val="003B2F05"/>
    <w:rsid w:val="003B3966"/>
    <w:rsid w:val="003B39B7"/>
    <w:rsid w:val="003B4754"/>
    <w:rsid w:val="003B4EB0"/>
    <w:rsid w:val="003B5094"/>
    <w:rsid w:val="003B5F6A"/>
    <w:rsid w:val="003B6B7F"/>
    <w:rsid w:val="003B7820"/>
    <w:rsid w:val="003C01A4"/>
    <w:rsid w:val="003C0219"/>
    <w:rsid w:val="003C0941"/>
    <w:rsid w:val="003C0C12"/>
    <w:rsid w:val="003C0E6B"/>
    <w:rsid w:val="003C16EE"/>
    <w:rsid w:val="003C1C87"/>
    <w:rsid w:val="003C1D4D"/>
    <w:rsid w:val="003C2927"/>
    <w:rsid w:val="003C2C85"/>
    <w:rsid w:val="003C2F61"/>
    <w:rsid w:val="003C345E"/>
    <w:rsid w:val="003C4409"/>
    <w:rsid w:val="003C4997"/>
    <w:rsid w:val="003C4DA5"/>
    <w:rsid w:val="003C502A"/>
    <w:rsid w:val="003C5666"/>
    <w:rsid w:val="003C60CC"/>
    <w:rsid w:val="003C64F4"/>
    <w:rsid w:val="003C6D4E"/>
    <w:rsid w:val="003C724B"/>
    <w:rsid w:val="003C73DB"/>
    <w:rsid w:val="003D0185"/>
    <w:rsid w:val="003D02CB"/>
    <w:rsid w:val="003D0382"/>
    <w:rsid w:val="003D069C"/>
    <w:rsid w:val="003D18F6"/>
    <w:rsid w:val="003D191E"/>
    <w:rsid w:val="003D1A19"/>
    <w:rsid w:val="003D2027"/>
    <w:rsid w:val="003D22A5"/>
    <w:rsid w:val="003D23A4"/>
    <w:rsid w:val="003D27DD"/>
    <w:rsid w:val="003D3414"/>
    <w:rsid w:val="003D3426"/>
    <w:rsid w:val="003D3654"/>
    <w:rsid w:val="003D3721"/>
    <w:rsid w:val="003D413A"/>
    <w:rsid w:val="003D6722"/>
    <w:rsid w:val="003D7428"/>
    <w:rsid w:val="003D77F2"/>
    <w:rsid w:val="003D78CC"/>
    <w:rsid w:val="003D7D01"/>
    <w:rsid w:val="003D7ED8"/>
    <w:rsid w:val="003E0003"/>
    <w:rsid w:val="003E0099"/>
    <w:rsid w:val="003E08C7"/>
    <w:rsid w:val="003E122B"/>
    <w:rsid w:val="003E1427"/>
    <w:rsid w:val="003E1A72"/>
    <w:rsid w:val="003E27B8"/>
    <w:rsid w:val="003E2880"/>
    <w:rsid w:val="003E28FB"/>
    <w:rsid w:val="003E2A00"/>
    <w:rsid w:val="003E382C"/>
    <w:rsid w:val="003E3D00"/>
    <w:rsid w:val="003E4487"/>
    <w:rsid w:val="003E4531"/>
    <w:rsid w:val="003E4771"/>
    <w:rsid w:val="003E52E3"/>
    <w:rsid w:val="003E541C"/>
    <w:rsid w:val="003E54A8"/>
    <w:rsid w:val="003E5833"/>
    <w:rsid w:val="003E5DA8"/>
    <w:rsid w:val="003E7109"/>
    <w:rsid w:val="003E77DC"/>
    <w:rsid w:val="003E7BC1"/>
    <w:rsid w:val="003F0453"/>
    <w:rsid w:val="003F0C9F"/>
    <w:rsid w:val="003F144A"/>
    <w:rsid w:val="003F1B02"/>
    <w:rsid w:val="003F1EFE"/>
    <w:rsid w:val="003F2240"/>
    <w:rsid w:val="003F2460"/>
    <w:rsid w:val="003F2E7B"/>
    <w:rsid w:val="003F3CD5"/>
    <w:rsid w:val="003F4473"/>
    <w:rsid w:val="003F4CF5"/>
    <w:rsid w:val="003F4E31"/>
    <w:rsid w:val="003F51EE"/>
    <w:rsid w:val="003F574E"/>
    <w:rsid w:val="003F60D6"/>
    <w:rsid w:val="003F68E9"/>
    <w:rsid w:val="003F728C"/>
    <w:rsid w:val="003F7E15"/>
    <w:rsid w:val="003F7FDA"/>
    <w:rsid w:val="00400E65"/>
    <w:rsid w:val="004013AD"/>
    <w:rsid w:val="00401BCA"/>
    <w:rsid w:val="00401E20"/>
    <w:rsid w:val="004021C0"/>
    <w:rsid w:val="004024F9"/>
    <w:rsid w:val="004028CE"/>
    <w:rsid w:val="0040313D"/>
    <w:rsid w:val="004043FA"/>
    <w:rsid w:val="00404970"/>
    <w:rsid w:val="00405181"/>
    <w:rsid w:val="0040567F"/>
    <w:rsid w:val="00405727"/>
    <w:rsid w:val="00405873"/>
    <w:rsid w:val="00405F09"/>
    <w:rsid w:val="004066F4"/>
    <w:rsid w:val="00406A32"/>
    <w:rsid w:val="0040760B"/>
    <w:rsid w:val="00410117"/>
    <w:rsid w:val="00410C32"/>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D45"/>
    <w:rsid w:val="00414197"/>
    <w:rsid w:val="004144D7"/>
    <w:rsid w:val="00414D68"/>
    <w:rsid w:val="00414FD9"/>
    <w:rsid w:val="00415773"/>
    <w:rsid w:val="00415CAE"/>
    <w:rsid w:val="00415EE7"/>
    <w:rsid w:val="00415FD6"/>
    <w:rsid w:val="004160FA"/>
    <w:rsid w:val="0041669E"/>
    <w:rsid w:val="00416ACA"/>
    <w:rsid w:val="00416C56"/>
    <w:rsid w:val="00417294"/>
    <w:rsid w:val="004176B8"/>
    <w:rsid w:val="00417B99"/>
    <w:rsid w:val="00417CE0"/>
    <w:rsid w:val="004209D5"/>
    <w:rsid w:val="00420FAF"/>
    <w:rsid w:val="00421184"/>
    <w:rsid w:val="004212C1"/>
    <w:rsid w:val="004214B7"/>
    <w:rsid w:val="00421510"/>
    <w:rsid w:val="00421892"/>
    <w:rsid w:val="00421FB5"/>
    <w:rsid w:val="004226ED"/>
    <w:rsid w:val="00422AF4"/>
    <w:rsid w:val="004235F4"/>
    <w:rsid w:val="004236C9"/>
    <w:rsid w:val="00423CF3"/>
    <w:rsid w:val="00423E18"/>
    <w:rsid w:val="004245E4"/>
    <w:rsid w:val="004249A2"/>
    <w:rsid w:val="00424B7C"/>
    <w:rsid w:val="0042500C"/>
    <w:rsid w:val="00425514"/>
    <w:rsid w:val="004256BD"/>
    <w:rsid w:val="00425863"/>
    <w:rsid w:val="00425D02"/>
    <w:rsid w:val="00425D12"/>
    <w:rsid w:val="00425EDC"/>
    <w:rsid w:val="00426C3E"/>
    <w:rsid w:val="00426CF3"/>
    <w:rsid w:val="004275CD"/>
    <w:rsid w:val="00427E74"/>
    <w:rsid w:val="00427FEB"/>
    <w:rsid w:val="00427FF2"/>
    <w:rsid w:val="004305C0"/>
    <w:rsid w:val="00430B20"/>
    <w:rsid w:val="00430B6C"/>
    <w:rsid w:val="0043227C"/>
    <w:rsid w:val="004330B1"/>
    <w:rsid w:val="004335C0"/>
    <w:rsid w:val="00433B34"/>
    <w:rsid w:val="00434176"/>
    <w:rsid w:val="00435121"/>
    <w:rsid w:val="00435715"/>
    <w:rsid w:val="0043571B"/>
    <w:rsid w:val="00435EE0"/>
    <w:rsid w:val="00435F29"/>
    <w:rsid w:val="0043610C"/>
    <w:rsid w:val="004366FF"/>
    <w:rsid w:val="00436BF1"/>
    <w:rsid w:val="00437D83"/>
    <w:rsid w:val="004401DD"/>
    <w:rsid w:val="00440344"/>
    <w:rsid w:val="00441264"/>
    <w:rsid w:val="00441B0F"/>
    <w:rsid w:val="00441F06"/>
    <w:rsid w:val="004425C6"/>
    <w:rsid w:val="00443D5D"/>
    <w:rsid w:val="00445CBA"/>
    <w:rsid w:val="004463CB"/>
    <w:rsid w:val="004466F7"/>
    <w:rsid w:val="00446858"/>
    <w:rsid w:val="00447304"/>
    <w:rsid w:val="004476F6"/>
    <w:rsid w:val="00447CDD"/>
    <w:rsid w:val="00450127"/>
    <w:rsid w:val="0045075F"/>
    <w:rsid w:val="004516AD"/>
    <w:rsid w:val="00451E84"/>
    <w:rsid w:val="00451EA3"/>
    <w:rsid w:val="00451F01"/>
    <w:rsid w:val="00454660"/>
    <w:rsid w:val="004546A7"/>
    <w:rsid w:val="00454831"/>
    <w:rsid w:val="004548DF"/>
    <w:rsid w:val="00456CC0"/>
    <w:rsid w:val="00457933"/>
    <w:rsid w:val="00457C78"/>
    <w:rsid w:val="0046068D"/>
    <w:rsid w:val="00460735"/>
    <w:rsid w:val="00460AD5"/>
    <w:rsid w:val="00460EB8"/>
    <w:rsid w:val="00461090"/>
    <w:rsid w:val="00461991"/>
    <w:rsid w:val="00461ACB"/>
    <w:rsid w:val="00461C43"/>
    <w:rsid w:val="00462125"/>
    <w:rsid w:val="00462EBA"/>
    <w:rsid w:val="00463216"/>
    <w:rsid w:val="0046334D"/>
    <w:rsid w:val="00463911"/>
    <w:rsid w:val="00463C95"/>
    <w:rsid w:val="00463E1C"/>
    <w:rsid w:val="00464052"/>
    <w:rsid w:val="00465153"/>
    <w:rsid w:val="00465602"/>
    <w:rsid w:val="004656A4"/>
    <w:rsid w:val="00466A4A"/>
    <w:rsid w:val="00466AFD"/>
    <w:rsid w:val="00470696"/>
    <w:rsid w:val="004713A5"/>
    <w:rsid w:val="0047162F"/>
    <w:rsid w:val="00472177"/>
    <w:rsid w:val="00472234"/>
    <w:rsid w:val="004724C9"/>
    <w:rsid w:val="00472585"/>
    <w:rsid w:val="00474130"/>
    <w:rsid w:val="00474EDD"/>
    <w:rsid w:val="00475A6C"/>
    <w:rsid w:val="004764AF"/>
    <w:rsid w:val="00476D04"/>
    <w:rsid w:val="00476F58"/>
    <w:rsid w:val="0047775E"/>
    <w:rsid w:val="00477AAE"/>
    <w:rsid w:val="00477AF6"/>
    <w:rsid w:val="00477B3B"/>
    <w:rsid w:val="00477BCB"/>
    <w:rsid w:val="004801A7"/>
    <w:rsid w:val="00480E47"/>
    <w:rsid w:val="00481666"/>
    <w:rsid w:val="0048181B"/>
    <w:rsid w:val="00481F2B"/>
    <w:rsid w:val="004820C5"/>
    <w:rsid w:val="00482198"/>
    <w:rsid w:val="004823D8"/>
    <w:rsid w:val="00482F20"/>
    <w:rsid w:val="00483196"/>
    <w:rsid w:val="0048340F"/>
    <w:rsid w:val="0048423C"/>
    <w:rsid w:val="00484449"/>
    <w:rsid w:val="004852CE"/>
    <w:rsid w:val="0048540C"/>
    <w:rsid w:val="00485F92"/>
    <w:rsid w:val="004860BD"/>
    <w:rsid w:val="004866E1"/>
    <w:rsid w:val="00486C72"/>
    <w:rsid w:val="00487D3A"/>
    <w:rsid w:val="00490954"/>
    <w:rsid w:val="0049102F"/>
    <w:rsid w:val="0049277A"/>
    <w:rsid w:val="00492B38"/>
    <w:rsid w:val="00492FE4"/>
    <w:rsid w:val="00493035"/>
    <w:rsid w:val="0049330F"/>
    <w:rsid w:val="00493321"/>
    <w:rsid w:val="004936DE"/>
    <w:rsid w:val="004949B0"/>
    <w:rsid w:val="00494A50"/>
    <w:rsid w:val="0049544E"/>
    <w:rsid w:val="00495670"/>
    <w:rsid w:val="0049567B"/>
    <w:rsid w:val="0049586C"/>
    <w:rsid w:val="0049604B"/>
    <w:rsid w:val="00496666"/>
    <w:rsid w:val="00496AC9"/>
    <w:rsid w:val="004A040E"/>
    <w:rsid w:val="004A042D"/>
    <w:rsid w:val="004A11E0"/>
    <w:rsid w:val="004A1953"/>
    <w:rsid w:val="004A1FC5"/>
    <w:rsid w:val="004A2158"/>
    <w:rsid w:val="004A29A5"/>
    <w:rsid w:val="004A3225"/>
    <w:rsid w:val="004A374A"/>
    <w:rsid w:val="004A395B"/>
    <w:rsid w:val="004A3C59"/>
    <w:rsid w:val="004A3FE2"/>
    <w:rsid w:val="004A4195"/>
    <w:rsid w:val="004A480D"/>
    <w:rsid w:val="004A4D76"/>
    <w:rsid w:val="004A5851"/>
    <w:rsid w:val="004A5A91"/>
    <w:rsid w:val="004A5B0F"/>
    <w:rsid w:val="004A5CF1"/>
    <w:rsid w:val="004A6363"/>
    <w:rsid w:val="004A66E0"/>
    <w:rsid w:val="004A7AAE"/>
    <w:rsid w:val="004A7D49"/>
    <w:rsid w:val="004A7E52"/>
    <w:rsid w:val="004A7F21"/>
    <w:rsid w:val="004B08DB"/>
    <w:rsid w:val="004B1422"/>
    <w:rsid w:val="004B1DF2"/>
    <w:rsid w:val="004B24EB"/>
    <w:rsid w:val="004B29AC"/>
    <w:rsid w:val="004B29C2"/>
    <w:rsid w:val="004B3C8B"/>
    <w:rsid w:val="004B44A9"/>
    <w:rsid w:val="004B4509"/>
    <w:rsid w:val="004B452A"/>
    <w:rsid w:val="004B4871"/>
    <w:rsid w:val="004B4ADF"/>
    <w:rsid w:val="004B4C00"/>
    <w:rsid w:val="004B4E06"/>
    <w:rsid w:val="004B5493"/>
    <w:rsid w:val="004B5914"/>
    <w:rsid w:val="004B5F70"/>
    <w:rsid w:val="004B6C77"/>
    <w:rsid w:val="004B6D0A"/>
    <w:rsid w:val="004B6DA4"/>
    <w:rsid w:val="004B794C"/>
    <w:rsid w:val="004B7995"/>
    <w:rsid w:val="004C02B3"/>
    <w:rsid w:val="004C098E"/>
    <w:rsid w:val="004C0BBE"/>
    <w:rsid w:val="004C0E2F"/>
    <w:rsid w:val="004C1705"/>
    <w:rsid w:val="004C222E"/>
    <w:rsid w:val="004C2561"/>
    <w:rsid w:val="004C25B4"/>
    <w:rsid w:val="004C2806"/>
    <w:rsid w:val="004C3A7A"/>
    <w:rsid w:val="004C3ADD"/>
    <w:rsid w:val="004C428E"/>
    <w:rsid w:val="004C441A"/>
    <w:rsid w:val="004C4775"/>
    <w:rsid w:val="004C483D"/>
    <w:rsid w:val="004C48A9"/>
    <w:rsid w:val="004C49B3"/>
    <w:rsid w:val="004C4D05"/>
    <w:rsid w:val="004C4FF6"/>
    <w:rsid w:val="004C590B"/>
    <w:rsid w:val="004C6017"/>
    <w:rsid w:val="004C63C7"/>
    <w:rsid w:val="004C6D39"/>
    <w:rsid w:val="004C6D98"/>
    <w:rsid w:val="004C7217"/>
    <w:rsid w:val="004C7743"/>
    <w:rsid w:val="004C77A7"/>
    <w:rsid w:val="004D039E"/>
    <w:rsid w:val="004D04A3"/>
    <w:rsid w:val="004D0C9F"/>
    <w:rsid w:val="004D15FD"/>
    <w:rsid w:val="004D1A0A"/>
    <w:rsid w:val="004D2369"/>
    <w:rsid w:val="004D2485"/>
    <w:rsid w:val="004D249C"/>
    <w:rsid w:val="004D25D5"/>
    <w:rsid w:val="004D292A"/>
    <w:rsid w:val="004D3A57"/>
    <w:rsid w:val="004D47FF"/>
    <w:rsid w:val="004D4D35"/>
    <w:rsid w:val="004D4EA7"/>
    <w:rsid w:val="004D518F"/>
    <w:rsid w:val="004D54D7"/>
    <w:rsid w:val="004D5BB7"/>
    <w:rsid w:val="004D6053"/>
    <w:rsid w:val="004D6899"/>
    <w:rsid w:val="004D6FA4"/>
    <w:rsid w:val="004D71D6"/>
    <w:rsid w:val="004D7816"/>
    <w:rsid w:val="004D7C23"/>
    <w:rsid w:val="004E01C6"/>
    <w:rsid w:val="004E0212"/>
    <w:rsid w:val="004E0ADC"/>
    <w:rsid w:val="004E0FB1"/>
    <w:rsid w:val="004E1043"/>
    <w:rsid w:val="004E1DCA"/>
    <w:rsid w:val="004E21B4"/>
    <w:rsid w:val="004E252B"/>
    <w:rsid w:val="004E2861"/>
    <w:rsid w:val="004E2A85"/>
    <w:rsid w:val="004E3F72"/>
    <w:rsid w:val="004E43BF"/>
    <w:rsid w:val="004E4A78"/>
    <w:rsid w:val="004E551E"/>
    <w:rsid w:val="004E584D"/>
    <w:rsid w:val="004E58F6"/>
    <w:rsid w:val="004E5E37"/>
    <w:rsid w:val="004E5E4C"/>
    <w:rsid w:val="004E5F79"/>
    <w:rsid w:val="004E623E"/>
    <w:rsid w:val="004E6589"/>
    <w:rsid w:val="004E6CF9"/>
    <w:rsid w:val="004E7152"/>
    <w:rsid w:val="004E734E"/>
    <w:rsid w:val="004E7EC0"/>
    <w:rsid w:val="004E7F48"/>
    <w:rsid w:val="004F014E"/>
    <w:rsid w:val="004F023B"/>
    <w:rsid w:val="004F0BC6"/>
    <w:rsid w:val="004F1123"/>
    <w:rsid w:val="004F12D3"/>
    <w:rsid w:val="004F1715"/>
    <w:rsid w:val="004F17DA"/>
    <w:rsid w:val="004F355B"/>
    <w:rsid w:val="004F3620"/>
    <w:rsid w:val="004F3BD2"/>
    <w:rsid w:val="004F4372"/>
    <w:rsid w:val="004F43E0"/>
    <w:rsid w:val="004F45EB"/>
    <w:rsid w:val="004F5079"/>
    <w:rsid w:val="004F521B"/>
    <w:rsid w:val="004F52BB"/>
    <w:rsid w:val="004F5582"/>
    <w:rsid w:val="004F56B1"/>
    <w:rsid w:val="004F59B8"/>
    <w:rsid w:val="004F62A7"/>
    <w:rsid w:val="004F62F9"/>
    <w:rsid w:val="004F66B3"/>
    <w:rsid w:val="004F6FA7"/>
    <w:rsid w:val="004F72DA"/>
    <w:rsid w:val="004F7352"/>
    <w:rsid w:val="004F7889"/>
    <w:rsid w:val="0050015C"/>
    <w:rsid w:val="00500418"/>
    <w:rsid w:val="00500CCF"/>
    <w:rsid w:val="00500E62"/>
    <w:rsid w:val="005010DE"/>
    <w:rsid w:val="005011FD"/>
    <w:rsid w:val="0050164B"/>
    <w:rsid w:val="00501AA5"/>
    <w:rsid w:val="00502958"/>
    <w:rsid w:val="00502BD2"/>
    <w:rsid w:val="00502DA4"/>
    <w:rsid w:val="00502E1B"/>
    <w:rsid w:val="00503790"/>
    <w:rsid w:val="005038F3"/>
    <w:rsid w:val="00503F83"/>
    <w:rsid w:val="0050421C"/>
    <w:rsid w:val="005048FF"/>
    <w:rsid w:val="00504A9B"/>
    <w:rsid w:val="00504E9A"/>
    <w:rsid w:val="00504F83"/>
    <w:rsid w:val="005059B9"/>
    <w:rsid w:val="00505F64"/>
    <w:rsid w:val="0050635A"/>
    <w:rsid w:val="0050675E"/>
    <w:rsid w:val="00506DCD"/>
    <w:rsid w:val="00507325"/>
    <w:rsid w:val="00507583"/>
    <w:rsid w:val="00507C56"/>
    <w:rsid w:val="00507F13"/>
    <w:rsid w:val="005103DB"/>
    <w:rsid w:val="005109D4"/>
    <w:rsid w:val="00510CF4"/>
    <w:rsid w:val="0051160A"/>
    <w:rsid w:val="005118BA"/>
    <w:rsid w:val="00511C56"/>
    <w:rsid w:val="00512385"/>
    <w:rsid w:val="00512A4D"/>
    <w:rsid w:val="00512D87"/>
    <w:rsid w:val="005130DA"/>
    <w:rsid w:val="00513C19"/>
    <w:rsid w:val="00513DDA"/>
    <w:rsid w:val="00513E19"/>
    <w:rsid w:val="005148B4"/>
    <w:rsid w:val="00514B29"/>
    <w:rsid w:val="00514E8C"/>
    <w:rsid w:val="005152B1"/>
    <w:rsid w:val="005152F0"/>
    <w:rsid w:val="0051532D"/>
    <w:rsid w:val="00515856"/>
    <w:rsid w:val="005163E6"/>
    <w:rsid w:val="00516D23"/>
    <w:rsid w:val="005172EC"/>
    <w:rsid w:val="0051740D"/>
    <w:rsid w:val="005178CE"/>
    <w:rsid w:val="00521356"/>
    <w:rsid w:val="00521CAB"/>
    <w:rsid w:val="00521DFB"/>
    <w:rsid w:val="005224EF"/>
    <w:rsid w:val="00522654"/>
    <w:rsid w:val="00522835"/>
    <w:rsid w:val="0052293D"/>
    <w:rsid w:val="00522AF4"/>
    <w:rsid w:val="00523499"/>
    <w:rsid w:val="005236CF"/>
    <w:rsid w:val="00523BC7"/>
    <w:rsid w:val="00523C08"/>
    <w:rsid w:val="00523C10"/>
    <w:rsid w:val="00523E23"/>
    <w:rsid w:val="005245D5"/>
    <w:rsid w:val="005247FE"/>
    <w:rsid w:val="00524889"/>
    <w:rsid w:val="0052575D"/>
    <w:rsid w:val="005259FC"/>
    <w:rsid w:val="00525A53"/>
    <w:rsid w:val="005260F1"/>
    <w:rsid w:val="00526569"/>
    <w:rsid w:val="00526726"/>
    <w:rsid w:val="00526F91"/>
    <w:rsid w:val="00527256"/>
    <w:rsid w:val="00527934"/>
    <w:rsid w:val="00527B57"/>
    <w:rsid w:val="00527C8D"/>
    <w:rsid w:val="00527C9C"/>
    <w:rsid w:val="00530114"/>
    <w:rsid w:val="00530AC4"/>
    <w:rsid w:val="00531F7B"/>
    <w:rsid w:val="00532064"/>
    <w:rsid w:val="0053268A"/>
    <w:rsid w:val="0053309E"/>
    <w:rsid w:val="00533169"/>
    <w:rsid w:val="00533194"/>
    <w:rsid w:val="005332C8"/>
    <w:rsid w:val="00534021"/>
    <w:rsid w:val="0053464E"/>
    <w:rsid w:val="00534CBD"/>
    <w:rsid w:val="005352C8"/>
    <w:rsid w:val="005354C1"/>
    <w:rsid w:val="00535F99"/>
    <w:rsid w:val="005361DE"/>
    <w:rsid w:val="00536356"/>
    <w:rsid w:val="0053693C"/>
    <w:rsid w:val="00536CBB"/>
    <w:rsid w:val="00536DDD"/>
    <w:rsid w:val="00537033"/>
    <w:rsid w:val="00540A37"/>
    <w:rsid w:val="00540B49"/>
    <w:rsid w:val="005415E2"/>
    <w:rsid w:val="005418DB"/>
    <w:rsid w:val="0054230B"/>
    <w:rsid w:val="005434EA"/>
    <w:rsid w:val="00544ABA"/>
    <w:rsid w:val="00545D55"/>
    <w:rsid w:val="005461AB"/>
    <w:rsid w:val="00546C6A"/>
    <w:rsid w:val="00546FBA"/>
    <w:rsid w:val="00547F04"/>
    <w:rsid w:val="00550924"/>
    <w:rsid w:val="00550D63"/>
    <w:rsid w:val="00550EF1"/>
    <w:rsid w:val="00551075"/>
    <w:rsid w:val="005513C8"/>
    <w:rsid w:val="0055236E"/>
    <w:rsid w:val="0055352C"/>
    <w:rsid w:val="005538A6"/>
    <w:rsid w:val="00554F94"/>
    <w:rsid w:val="00555161"/>
    <w:rsid w:val="00555A59"/>
    <w:rsid w:val="00555DE6"/>
    <w:rsid w:val="00555EB3"/>
    <w:rsid w:val="00556776"/>
    <w:rsid w:val="005567F6"/>
    <w:rsid w:val="00556E29"/>
    <w:rsid w:val="00557474"/>
    <w:rsid w:val="00557DAA"/>
    <w:rsid w:val="00557DAD"/>
    <w:rsid w:val="00561138"/>
    <w:rsid w:val="00561699"/>
    <w:rsid w:val="0056194F"/>
    <w:rsid w:val="005619E1"/>
    <w:rsid w:val="00562629"/>
    <w:rsid w:val="005628FE"/>
    <w:rsid w:val="0056364B"/>
    <w:rsid w:val="00563D49"/>
    <w:rsid w:val="00564191"/>
    <w:rsid w:val="00564557"/>
    <w:rsid w:val="0056458C"/>
    <w:rsid w:val="00564628"/>
    <w:rsid w:val="005648B9"/>
    <w:rsid w:val="00564A3C"/>
    <w:rsid w:val="00564F82"/>
    <w:rsid w:val="00564FF6"/>
    <w:rsid w:val="005653AF"/>
    <w:rsid w:val="00565501"/>
    <w:rsid w:val="00565755"/>
    <w:rsid w:val="0056601E"/>
    <w:rsid w:val="00566406"/>
    <w:rsid w:val="005664A6"/>
    <w:rsid w:val="00566538"/>
    <w:rsid w:val="0056725A"/>
    <w:rsid w:val="0056741F"/>
    <w:rsid w:val="00567647"/>
    <w:rsid w:val="0056781B"/>
    <w:rsid w:val="00567BE2"/>
    <w:rsid w:val="00570102"/>
    <w:rsid w:val="00570505"/>
    <w:rsid w:val="005712E6"/>
    <w:rsid w:val="00572942"/>
    <w:rsid w:val="005730DB"/>
    <w:rsid w:val="00573251"/>
    <w:rsid w:val="005733A8"/>
    <w:rsid w:val="005734F9"/>
    <w:rsid w:val="00573B5B"/>
    <w:rsid w:val="00573F55"/>
    <w:rsid w:val="00574070"/>
    <w:rsid w:val="00575148"/>
    <w:rsid w:val="0057540E"/>
    <w:rsid w:val="005757B6"/>
    <w:rsid w:val="005761E2"/>
    <w:rsid w:val="0058000F"/>
    <w:rsid w:val="00580557"/>
    <w:rsid w:val="0058074F"/>
    <w:rsid w:val="00580A76"/>
    <w:rsid w:val="00581042"/>
    <w:rsid w:val="00581703"/>
    <w:rsid w:val="00581B15"/>
    <w:rsid w:val="005821DD"/>
    <w:rsid w:val="00583908"/>
    <w:rsid w:val="00583C9C"/>
    <w:rsid w:val="00584757"/>
    <w:rsid w:val="00584E21"/>
    <w:rsid w:val="005858A9"/>
    <w:rsid w:val="005858EE"/>
    <w:rsid w:val="00585B7D"/>
    <w:rsid w:val="0058608B"/>
    <w:rsid w:val="005863C1"/>
    <w:rsid w:val="0058654D"/>
    <w:rsid w:val="00586786"/>
    <w:rsid w:val="00587729"/>
    <w:rsid w:val="00587886"/>
    <w:rsid w:val="00587A66"/>
    <w:rsid w:val="00590147"/>
    <w:rsid w:val="00590BD1"/>
    <w:rsid w:val="00590D26"/>
    <w:rsid w:val="00591276"/>
    <w:rsid w:val="00591490"/>
    <w:rsid w:val="0059151A"/>
    <w:rsid w:val="005916C9"/>
    <w:rsid w:val="00591C7E"/>
    <w:rsid w:val="00591DCF"/>
    <w:rsid w:val="005929B4"/>
    <w:rsid w:val="00592A3C"/>
    <w:rsid w:val="0059367F"/>
    <w:rsid w:val="00593720"/>
    <w:rsid w:val="00593909"/>
    <w:rsid w:val="00593A71"/>
    <w:rsid w:val="005941E1"/>
    <w:rsid w:val="005943E2"/>
    <w:rsid w:val="005946E1"/>
    <w:rsid w:val="00594B8A"/>
    <w:rsid w:val="00595009"/>
    <w:rsid w:val="005954B7"/>
    <w:rsid w:val="00595A05"/>
    <w:rsid w:val="00595E36"/>
    <w:rsid w:val="00595F17"/>
    <w:rsid w:val="00595F3D"/>
    <w:rsid w:val="00595F89"/>
    <w:rsid w:val="005960C7"/>
    <w:rsid w:val="005963FB"/>
    <w:rsid w:val="00596873"/>
    <w:rsid w:val="00596BB3"/>
    <w:rsid w:val="00596BD4"/>
    <w:rsid w:val="00596FA8"/>
    <w:rsid w:val="005971A7"/>
    <w:rsid w:val="00597310"/>
    <w:rsid w:val="005977AB"/>
    <w:rsid w:val="005A01C5"/>
    <w:rsid w:val="005A0532"/>
    <w:rsid w:val="005A071C"/>
    <w:rsid w:val="005A07E7"/>
    <w:rsid w:val="005A0A57"/>
    <w:rsid w:val="005A0B9F"/>
    <w:rsid w:val="005A0DBB"/>
    <w:rsid w:val="005A0EBD"/>
    <w:rsid w:val="005A1270"/>
    <w:rsid w:val="005A1295"/>
    <w:rsid w:val="005A17CD"/>
    <w:rsid w:val="005A1FBF"/>
    <w:rsid w:val="005A1FD5"/>
    <w:rsid w:val="005A29B1"/>
    <w:rsid w:val="005A2EBF"/>
    <w:rsid w:val="005A3750"/>
    <w:rsid w:val="005A380B"/>
    <w:rsid w:val="005A4890"/>
    <w:rsid w:val="005A49D4"/>
    <w:rsid w:val="005A4D7C"/>
    <w:rsid w:val="005A51C9"/>
    <w:rsid w:val="005A5A96"/>
    <w:rsid w:val="005A5D7F"/>
    <w:rsid w:val="005A5DC0"/>
    <w:rsid w:val="005A65C3"/>
    <w:rsid w:val="005A6B6D"/>
    <w:rsid w:val="005A6ED5"/>
    <w:rsid w:val="005A6F0E"/>
    <w:rsid w:val="005A6F57"/>
    <w:rsid w:val="005A7235"/>
    <w:rsid w:val="005A795B"/>
    <w:rsid w:val="005A7BAF"/>
    <w:rsid w:val="005B05FA"/>
    <w:rsid w:val="005B0652"/>
    <w:rsid w:val="005B1213"/>
    <w:rsid w:val="005B1B55"/>
    <w:rsid w:val="005B1DBD"/>
    <w:rsid w:val="005B26B0"/>
    <w:rsid w:val="005B3EBD"/>
    <w:rsid w:val="005B3F0C"/>
    <w:rsid w:val="005B4173"/>
    <w:rsid w:val="005B48E8"/>
    <w:rsid w:val="005B564F"/>
    <w:rsid w:val="005B56D9"/>
    <w:rsid w:val="005B5BA3"/>
    <w:rsid w:val="005B5E62"/>
    <w:rsid w:val="005B6DBE"/>
    <w:rsid w:val="005B7E97"/>
    <w:rsid w:val="005B7F46"/>
    <w:rsid w:val="005C059E"/>
    <w:rsid w:val="005C07D2"/>
    <w:rsid w:val="005C09A7"/>
    <w:rsid w:val="005C0EA8"/>
    <w:rsid w:val="005C102D"/>
    <w:rsid w:val="005C132C"/>
    <w:rsid w:val="005C17FB"/>
    <w:rsid w:val="005C1833"/>
    <w:rsid w:val="005C1838"/>
    <w:rsid w:val="005C18C2"/>
    <w:rsid w:val="005C2063"/>
    <w:rsid w:val="005C244F"/>
    <w:rsid w:val="005C2767"/>
    <w:rsid w:val="005C2922"/>
    <w:rsid w:val="005C2C01"/>
    <w:rsid w:val="005C2F60"/>
    <w:rsid w:val="005C323D"/>
    <w:rsid w:val="005C3772"/>
    <w:rsid w:val="005C39C3"/>
    <w:rsid w:val="005C4229"/>
    <w:rsid w:val="005C4580"/>
    <w:rsid w:val="005C5065"/>
    <w:rsid w:val="005C52F3"/>
    <w:rsid w:val="005C564C"/>
    <w:rsid w:val="005C6234"/>
    <w:rsid w:val="005C64DC"/>
    <w:rsid w:val="005C6605"/>
    <w:rsid w:val="005C6CCB"/>
    <w:rsid w:val="005C71A0"/>
    <w:rsid w:val="005C7802"/>
    <w:rsid w:val="005C7B50"/>
    <w:rsid w:val="005D029E"/>
    <w:rsid w:val="005D0427"/>
    <w:rsid w:val="005D0776"/>
    <w:rsid w:val="005D07AE"/>
    <w:rsid w:val="005D08FD"/>
    <w:rsid w:val="005D0C83"/>
    <w:rsid w:val="005D113B"/>
    <w:rsid w:val="005D1732"/>
    <w:rsid w:val="005D2D9A"/>
    <w:rsid w:val="005D3A6E"/>
    <w:rsid w:val="005D3B21"/>
    <w:rsid w:val="005D4019"/>
    <w:rsid w:val="005D41DC"/>
    <w:rsid w:val="005D43B7"/>
    <w:rsid w:val="005D460F"/>
    <w:rsid w:val="005D4DC5"/>
    <w:rsid w:val="005D5442"/>
    <w:rsid w:val="005D5C22"/>
    <w:rsid w:val="005D5E6C"/>
    <w:rsid w:val="005D63A9"/>
    <w:rsid w:val="005D65AF"/>
    <w:rsid w:val="005D65D5"/>
    <w:rsid w:val="005D6C56"/>
    <w:rsid w:val="005D6CED"/>
    <w:rsid w:val="005D6DBF"/>
    <w:rsid w:val="005D6F49"/>
    <w:rsid w:val="005D7E8A"/>
    <w:rsid w:val="005E06FA"/>
    <w:rsid w:val="005E1179"/>
    <w:rsid w:val="005E11A5"/>
    <w:rsid w:val="005E13D4"/>
    <w:rsid w:val="005E1435"/>
    <w:rsid w:val="005E21F3"/>
    <w:rsid w:val="005E235C"/>
    <w:rsid w:val="005E3078"/>
    <w:rsid w:val="005E34C0"/>
    <w:rsid w:val="005E45F3"/>
    <w:rsid w:val="005E49CA"/>
    <w:rsid w:val="005E5384"/>
    <w:rsid w:val="005E5427"/>
    <w:rsid w:val="005E5428"/>
    <w:rsid w:val="005E5A7C"/>
    <w:rsid w:val="005E5C33"/>
    <w:rsid w:val="005E6976"/>
    <w:rsid w:val="005E703B"/>
    <w:rsid w:val="005E721A"/>
    <w:rsid w:val="005E74EC"/>
    <w:rsid w:val="005E7917"/>
    <w:rsid w:val="005E7AB6"/>
    <w:rsid w:val="005E7B1E"/>
    <w:rsid w:val="005E7CBC"/>
    <w:rsid w:val="005E7DB0"/>
    <w:rsid w:val="005F05F6"/>
    <w:rsid w:val="005F0A62"/>
    <w:rsid w:val="005F0FA8"/>
    <w:rsid w:val="005F1C5D"/>
    <w:rsid w:val="005F2317"/>
    <w:rsid w:val="005F2550"/>
    <w:rsid w:val="005F2B2D"/>
    <w:rsid w:val="005F2FD5"/>
    <w:rsid w:val="005F340A"/>
    <w:rsid w:val="005F359B"/>
    <w:rsid w:val="005F3869"/>
    <w:rsid w:val="005F3AE8"/>
    <w:rsid w:val="005F3B09"/>
    <w:rsid w:val="005F3B47"/>
    <w:rsid w:val="005F47C1"/>
    <w:rsid w:val="005F4926"/>
    <w:rsid w:val="005F4B6F"/>
    <w:rsid w:val="005F5009"/>
    <w:rsid w:val="005F5054"/>
    <w:rsid w:val="005F5200"/>
    <w:rsid w:val="005F530F"/>
    <w:rsid w:val="005F5D2A"/>
    <w:rsid w:val="005F5E06"/>
    <w:rsid w:val="005F65D9"/>
    <w:rsid w:val="005F6768"/>
    <w:rsid w:val="005F69CF"/>
    <w:rsid w:val="005F6E39"/>
    <w:rsid w:val="005F6E58"/>
    <w:rsid w:val="005F7031"/>
    <w:rsid w:val="005F704C"/>
    <w:rsid w:val="005F72C3"/>
    <w:rsid w:val="005F7A22"/>
    <w:rsid w:val="005F7B9D"/>
    <w:rsid w:val="00600501"/>
    <w:rsid w:val="00600B0C"/>
    <w:rsid w:val="00602DFA"/>
    <w:rsid w:val="006031D1"/>
    <w:rsid w:val="006033BF"/>
    <w:rsid w:val="00603702"/>
    <w:rsid w:val="00603B4B"/>
    <w:rsid w:val="00603F20"/>
    <w:rsid w:val="006046A9"/>
    <w:rsid w:val="0060471B"/>
    <w:rsid w:val="00604F37"/>
    <w:rsid w:val="0060508A"/>
    <w:rsid w:val="006055AF"/>
    <w:rsid w:val="00605942"/>
    <w:rsid w:val="00605A07"/>
    <w:rsid w:val="00605C9F"/>
    <w:rsid w:val="006065C1"/>
    <w:rsid w:val="006068E8"/>
    <w:rsid w:val="00606ADB"/>
    <w:rsid w:val="006072DE"/>
    <w:rsid w:val="006075F4"/>
    <w:rsid w:val="006078A8"/>
    <w:rsid w:val="00607BAD"/>
    <w:rsid w:val="00607EC7"/>
    <w:rsid w:val="006102BC"/>
    <w:rsid w:val="0061048A"/>
    <w:rsid w:val="00610AE7"/>
    <w:rsid w:val="00611178"/>
    <w:rsid w:val="0061148D"/>
    <w:rsid w:val="00611D01"/>
    <w:rsid w:val="006122EC"/>
    <w:rsid w:val="006124B3"/>
    <w:rsid w:val="00612611"/>
    <w:rsid w:val="0061279A"/>
    <w:rsid w:val="00612A10"/>
    <w:rsid w:val="00613009"/>
    <w:rsid w:val="006132EA"/>
    <w:rsid w:val="00613481"/>
    <w:rsid w:val="00613CA5"/>
    <w:rsid w:val="0061401C"/>
    <w:rsid w:val="0061420B"/>
    <w:rsid w:val="00614A59"/>
    <w:rsid w:val="00614BD4"/>
    <w:rsid w:val="00614D33"/>
    <w:rsid w:val="00614E7E"/>
    <w:rsid w:val="0061516F"/>
    <w:rsid w:val="0061537D"/>
    <w:rsid w:val="0061537F"/>
    <w:rsid w:val="006156D7"/>
    <w:rsid w:val="00615CF1"/>
    <w:rsid w:val="00615DEA"/>
    <w:rsid w:val="006165A4"/>
    <w:rsid w:val="00616A60"/>
    <w:rsid w:val="00616D0C"/>
    <w:rsid w:val="00616EE6"/>
    <w:rsid w:val="006171FB"/>
    <w:rsid w:val="00617283"/>
    <w:rsid w:val="00617A2A"/>
    <w:rsid w:val="006207F4"/>
    <w:rsid w:val="00620C67"/>
    <w:rsid w:val="00620D09"/>
    <w:rsid w:val="00621646"/>
    <w:rsid w:val="00621803"/>
    <w:rsid w:val="00621A34"/>
    <w:rsid w:val="006220F1"/>
    <w:rsid w:val="0062306D"/>
    <w:rsid w:val="00623E46"/>
    <w:rsid w:val="00624604"/>
    <w:rsid w:val="00624D2C"/>
    <w:rsid w:val="00624F7F"/>
    <w:rsid w:val="00625142"/>
    <w:rsid w:val="00625145"/>
    <w:rsid w:val="00626768"/>
    <w:rsid w:val="006268A3"/>
    <w:rsid w:val="00626F9D"/>
    <w:rsid w:val="00627402"/>
    <w:rsid w:val="00627403"/>
    <w:rsid w:val="00627474"/>
    <w:rsid w:val="00627CEA"/>
    <w:rsid w:val="00627E37"/>
    <w:rsid w:val="00630480"/>
    <w:rsid w:val="0063058E"/>
    <w:rsid w:val="006305F8"/>
    <w:rsid w:val="0063197B"/>
    <w:rsid w:val="006319D0"/>
    <w:rsid w:val="00631DA7"/>
    <w:rsid w:val="006327BB"/>
    <w:rsid w:val="00632B9C"/>
    <w:rsid w:val="00632F18"/>
    <w:rsid w:val="006332D7"/>
    <w:rsid w:val="0063333D"/>
    <w:rsid w:val="00634225"/>
    <w:rsid w:val="00635003"/>
    <w:rsid w:val="006351CE"/>
    <w:rsid w:val="006352FD"/>
    <w:rsid w:val="00635B15"/>
    <w:rsid w:val="00636037"/>
    <w:rsid w:val="006362E1"/>
    <w:rsid w:val="006367DA"/>
    <w:rsid w:val="00636F62"/>
    <w:rsid w:val="006370E1"/>
    <w:rsid w:val="00637382"/>
    <w:rsid w:val="006375B2"/>
    <w:rsid w:val="006375BB"/>
    <w:rsid w:val="006409EE"/>
    <w:rsid w:val="00640BF7"/>
    <w:rsid w:val="00640FFF"/>
    <w:rsid w:val="00641761"/>
    <w:rsid w:val="006419AF"/>
    <w:rsid w:val="006425FC"/>
    <w:rsid w:val="00642631"/>
    <w:rsid w:val="00642DF5"/>
    <w:rsid w:val="0064304A"/>
    <w:rsid w:val="0064380B"/>
    <w:rsid w:val="00643A4F"/>
    <w:rsid w:val="00643FF5"/>
    <w:rsid w:val="006441FD"/>
    <w:rsid w:val="00644E5A"/>
    <w:rsid w:val="00644F2C"/>
    <w:rsid w:val="00645065"/>
    <w:rsid w:val="006450DD"/>
    <w:rsid w:val="00645141"/>
    <w:rsid w:val="00645AEE"/>
    <w:rsid w:val="00646428"/>
    <w:rsid w:val="00646AFD"/>
    <w:rsid w:val="0064707F"/>
    <w:rsid w:val="006471E8"/>
    <w:rsid w:val="00647E90"/>
    <w:rsid w:val="00647FA3"/>
    <w:rsid w:val="006500F7"/>
    <w:rsid w:val="00650769"/>
    <w:rsid w:val="0065106D"/>
    <w:rsid w:val="006516B7"/>
    <w:rsid w:val="006518E4"/>
    <w:rsid w:val="006519F4"/>
    <w:rsid w:val="00651FB8"/>
    <w:rsid w:val="0065203F"/>
    <w:rsid w:val="006520D5"/>
    <w:rsid w:val="0065239B"/>
    <w:rsid w:val="00652BA0"/>
    <w:rsid w:val="00653045"/>
    <w:rsid w:val="00653A25"/>
    <w:rsid w:val="00653D93"/>
    <w:rsid w:val="00653FDA"/>
    <w:rsid w:val="006541A0"/>
    <w:rsid w:val="00654E99"/>
    <w:rsid w:val="00655104"/>
    <w:rsid w:val="0065548F"/>
    <w:rsid w:val="00655633"/>
    <w:rsid w:val="006559BB"/>
    <w:rsid w:val="00655D93"/>
    <w:rsid w:val="00655E86"/>
    <w:rsid w:val="00656614"/>
    <w:rsid w:val="00656C4D"/>
    <w:rsid w:val="006577CD"/>
    <w:rsid w:val="00657CCC"/>
    <w:rsid w:val="00660162"/>
    <w:rsid w:val="0066036D"/>
    <w:rsid w:val="006604FA"/>
    <w:rsid w:val="00660879"/>
    <w:rsid w:val="00660B3F"/>
    <w:rsid w:val="006610B1"/>
    <w:rsid w:val="00661639"/>
    <w:rsid w:val="00661655"/>
    <w:rsid w:val="0066174D"/>
    <w:rsid w:val="00661E36"/>
    <w:rsid w:val="0066288A"/>
    <w:rsid w:val="0066318A"/>
    <w:rsid w:val="006631D3"/>
    <w:rsid w:val="00663D0F"/>
    <w:rsid w:val="00664525"/>
    <w:rsid w:val="0066465B"/>
    <w:rsid w:val="00664C81"/>
    <w:rsid w:val="0066521A"/>
    <w:rsid w:val="0066540C"/>
    <w:rsid w:val="00665EAE"/>
    <w:rsid w:val="006661EA"/>
    <w:rsid w:val="00666909"/>
    <w:rsid w:val="00666EBC"/>
    <w:rsid w:val="00667189"/>
    <w:rsid w:val="0066749E"/>
    <w:rsid w:val="0066780E"/>
    <w:rsid w:val="00667CCB"/>
    <w:rsid w:val="00667EBD"/>
    <w:rsid w:val="00667EFD"/>
    <w:rsid w:val="00670475"/>
    <w:rsid w:val="00670B8C"/>
    <w:rsid w:val="00670C4A"/>
    <w:rsid w:val="006712FE"/>
    <w:rsid w:val="00671F3E"/>
    <w:rsid w:val="00672482"/>
    <w:rsid w:val="00672A18"/>
    <w:rsid w:val="006735D0"/>
    <w:rsid w:val="006739E9"/>
    <w:rsid w:val="00674D52"/>
    <w:rsid w:val="00674F93"/>
    <w:rsid w:val="0067546F"/>
    <w:rsid w:val="00676287"/>
    <w:rsid w:val="00676CE4"/>
    <w:rsid w:val="00676EC2"/>
    <w:rsid w:val="00676F61"/>
    <w:rsid w:val="00676FA5"/>
    <w:rsid w:val="006771A4"/>
    <w:rsid w:val="006771AD"/>
    <w:rsid w:val="006774A8"/>
    <w:rsid w:val="00677572"/>
    <w:rsid w:val="00681156"/>
    <w:rsid w:val="00681229"/>
    <w:rsid w:val="00681514"/>
    <w:rsid w:val="0068185E"/>
    <w:rsid w:val="00681BE5"/>
    <w:rsid w:val="00681E30"/>
    <w:rsid w:val="00682AFE"/>
    <w:rsid w:val="0068379B"/>
    <w:rsid w:val="00683D98"/>
    <w:rsid w:val="00683D99"/>
    <w:rsid w:val="00684079"/>
    <w:rsid w:val="006848EE"/>
    <w:rsid w:val="0068629B"/>
    <w:rsid w:val="00686425"/>
    <w:rsid w:val="00686C12"/>
    <w:rsid w:val="00686D75"/>
    <w:rsid w:val="0068736A"/>
    <w:rsid w:val="00687D17"/>
    <w:rsid w:val="00690024"/>
    <w:rsid w:val="006903A4"/>
    <w:rsid w:val="00690CAA"/>
    <w:rsid w:val="00690EFB"/>
    <w:rsid w:val="0069137B"/>
    <w:rsid w:val="006913EC"/>
    <w:rsid w:val="006914B7"/>
    <w:rsid w:val="00691742"/>
    <w:rsid w:val="00691DEE"/>
    <w:rsid w:val="00692242"/>
    <w:rsid w:val="0069236E"/>
    <w:rsid w:val="00692704"/>
    <w:rsid w:val="00692E67"/>
    <w:rsid w:val="00693ACF"/>
    <w:rsid w:val="00693EE5"/>
    <w:rsid w:val="006944C5"/>
    <w:rsid w:val="00694B8D"/>
    <w:rsid w:val="0069532F"/>
    <w:rsid w:val="0069561C"/>
    <w:rsid w:val="00695634"/>
    <w:rsid w:val="0069600D"/>
    <w:rsid w:val="006963AE"/>
    <w:rsid w:val="00697053"/>
    <w:rsid w:val="006A0214"/>
    <w:rsid w:val="006A066A"/>
    <w:rsid w:val="006A06CA"/>
    <w:rsid w:val="006A083E"/>
    <w:rsid w:val="006A0FFD"/>
    <w:rsid w:val="006A1170"/>
    <w:rsid w:val="006A14A3"/>
    <w:rsid w:val="006A159D"/>
    <w:rsid w:val="006A18BF"/>
    <w:rsid w:val="006A1F58"/>
    <w:rsid w:val="006A242E"/>
    <w:rsid w:val="006A26AB"/>
    <w:rsid w:val="006A298D"/>
    <w:rsid w:val="006A2F80"/>
    <w:rsid w:val="006A3A48"/>
    <w:rsid w:val="006A3FD6"/>
    <w:rsid w:val="006A4076"/>
    <w:rsid w:val="006A436F"/>
    <w:rsid w:val="006A4E5B"/>
    <w:rsid w:val="006A59D8"/>
    <w:rsid w:val="006A6B7B"/>
    <w:rsid w:val="006A78F8"/>
    <w:rsid w:val="006A7C26"/>
    <w:rsid w:val="006A7E27"/>
    <w:rsid w:val="006B010E"/>
    <w:rsid w:val="006B03CA"/>
    <w:rsid w:val="006B091F"/>
    <w:rsid w:val="006B0CAF"/>
    <w:rsid w:val="006B0ED0"/>
    <w:rsid w:val="006B0EED"/>
    <w:rsid w:val="006B147E"/>
    <w:rsid w:val="006B1DF6"/>
    <w:rsid w:val="006B233F"/>
    <w:rsid w:val="006B275E"/>
    <w:rsid w:val="006B28EA"/>
    <w:rsid w:val="006B2DA3"/>
    <w:rsid w:val="006B2FBB"/>
    <w:rsid w:val="006B378A"/>
    <w:rsid w:val="006B3BD5"/>
    <w:rsid w:val="006B4185"/>
    <w:rsid w:val="006B4224"/>
    <w:rsid w:val="006B4493"/>
    <w:rsid w:val="006B4B62"/>
    <w:rsid w:val="006B53DC"/>
    <w:rsid w:val="006B5423"/>
    <w:rsid w:val="006B5855"/>
    <w:rsid w:val="006B5AB2"/>
    <w:rsid w:val="006B5C67"/>
    <w:rsid w:val="006B6B5D"/>
    <w:rsid w:val="006B6BF6"/>
    <w:rsid w:val="006B6C0D"/>
    <w:rsid w:val="006B6D1F"/>
    <w:rsid w:val="006B7657"/>
    <w:rsid w:val="006C166D"/>
    <w:rsid w:val="006C1818"/>
    <w:rsid w:val="006C1C4F"/>
    <w:rsid w:val="006C1F8B"/>
    <w:rsid w:val="006C2721"/>
    <w:rsid w:val="006C2BE5"/>
    <w:rsid w:val="006C377A"/>
    <w:rsid w:val="006C3868"/>
    <w:rsid w:val="006C38FF"/>
    <w:rsid w:val="006C3E6E"/>
    <w:rsid w:val="006C3EEA"/>
    <w:rsid w:val="006C3F92"/>
    <w:rsid w:val="006C43A6"/>
    <w:rsid w:val="006C4A4A"/>
    <w:rsid w:val="006C4E89"/>
    <w:rsid w:val="006C53EB"/>
    <w:rsid w:val="006C5434"/>
    <w:rsid w:val="006C5D29"/>
    <w:rsid w:val="006C6325"/>
    <w:rsid w:val="006C650D"/>
    <w:rsid w:val="006C69A5"/>
    <w:rsid w:val="006C7740"/>
    <w:rsid w:val="006D0389"/>
    <w:rsid w:val="006D0848"/>
    <w:rsid w:val="006D0BA5"/>
    <w:rsid w:val="006D0C15"/>
    <w:rsid w:val="006D0D8B"/>
    <w:rsid w:val="006D0FBF"/>
    <w:rsid w:val="006D10DC"/>
    <w:rsid w:val="006D1586"/>
    <w:rsid w:val="006D19C1"/>
    <w:rsid w:val="006D2827"/>
    <w:rsid w:val="006D2848"/>
    <w:rsid w:val="006D2B19"/>
    <w:rsid w:val="006D2EC9"/>
    <w:rsid w:val="006D3A05"/>
    <w:rsid w:val="006D3B62"/>
    <w:rsid w:val="006D3FDF"/>
    <w:rsid w:val="006D4527"/>
    <w:rsid w:val="006D4B05"/>
    <w:rsid w:val="006D4F86"/>
    <w:rsid w:val="006D5F98"/>
    <w:rsid w:val="006D6665"/>
    <w:rsid w:val="006D7098"/>
    <w:rsid w:val="006D740E"/>
    <w:rsid w:val="006D7F72"/>
    <w:rsid w:val="006E00B7"/>
    <w:rsid w:val="006E0E5B"/>
    <w:rsid w:val="006E2562"/>
    <w:rsid w:val="006E3023"/>
    <w:rsid w:val="006E3369"/>
    <w:rsid w:val="006E3D12"/>
    <w:rsid w:val="006E449C"/>
    <w:rsid w:val="006E4726"/>
    <w:rsid w:val="006E4E72"/>
    <w:rsid w:val="006E50D0"/>
    <w:rsid w:val="006E663E"/>
    <w:rsid w:val="006E6C0D"/>
    <w:rsid w:val="006E6EDF"/>
    <w:rsid w:val="006E7BA5"/>
    <w:rsid w:val="006F01E8"/>
    <w:rsid w:val="006F02D7"/>
    <w:rsid w:val="006F03EC"/>
    <w:rsid w:val="006F059F"/>
    <w:rsid w:val="006F0EBB"/>
    <w:rsid w:val="006F1E96"/>
    <w:rsid w:val="006F2D24"/>
    <w:rsid w:val="006F3289"/>
    <w:rsid w:val="006F352A"/>
    <w:rsid w:val="006F37F7"/>
    <w:rsid w:val="006F3909"/>
    <w:rsid w:val="006F3D1B"/>
    <w:rsid w:val="006F4036"/>
    <w:rsid w:val="006F428E"/>
    <w:rsid w:val="006F48E1"/>
    <w:rsid w:val="006F4FA0"/>
    <w:rsid w:val="006F5096"/>
    <w:rsid w:val="006F5160"/>
    <w:rsid w:val="006F5374"/>
    <w:rsid w:val="006F57D7"/>
    <w:rsid w:val="006F5C15"/>
    <w:rsid w:val="006F60DF"/>
    <w:rsid w:val="006F64DE"/>
    <w:rsid w:val="006F6766"/>
    <w:rsid w:val="006F67E2"/>
    <w:rsid w:val="006F68C1"/>
    <w:rsid w:val="006F6CE2"/>
    <w:rsid w:val="006F6E10"/>
    <w:rsid w:val="007014F8"/>
    <w:rsid w:val="0070150D"/>
    <w:rsid w:val="007016D2"/>
    <w:rsid w:val="007018D8"/>
    <w:rsid w:val="00701979"/>
    <w:rsid w:val="00701C6E"/>
    <w:rsid w:val="007029E8"/>
    <w:rsid w:val="00703107"/>
    <w:rsid w:val="00703138"/>
    <w:rsid w:val="00703277"/>
    <w:rsid w:val="0070356D"/>
    <w:rsid w:val="00703981"/>
    <w:rsid w:val="00703CDF"/>
    <w:rsid w:val="00703D7E"/>
    <w:rsid w:val="0070495F"/>
    <w:rsid w:val="00704B6E"/>
    <w:rsid w:val="00704F73"/>
    <w:rsid w:val="0070508D"/>
    <w:rsid w:val="0070542E"/>
    <w:rsid w:val="0070604A"/>
    <w:rsid w:val="007060D4"/>
    <w:rsid w:val="0070624C"/>
    <w:rsid w:val="00706451"/>
    <w:rsid w:val="00706721"/>
    <w:rsid w:val="00707E0F"/>
    <w:rsid w:val="0071068A"/>
    <w:rsid w:val="00710E19"/>
    <w:rsid w:val="00710E52"/>
    <w:rsid w:val="0071154B"/>
    <w:rsid w:val="0071174F"/>
    <w:rsid w:val="0071176F"/>
    <w:rsid w:val="0071196A"/>
    <w:rsid w:val="00711B11"/>
    <w:rsid w:val="00712FAE"/>
    <w:rsid w:val="007131CF"/>
    <w:rsid w:val="007133C0"/>
    <w:rsid w:val="00713613"/>
    <w:rsid w:val="007137C6"/>
    <w:rsid w:val="007138FC"/>
    <w:rsid w:val="0071393D"/>
    <w:rsid w:val="00713E79"/>
    <w:rsid w:val="00714245"/>
    <w:rsid w:val="00714457"/>
    <w:rsid w:val="00714A14"/>
    <w:rsid w:val="00715441"/>
    <w:rsid w:val="00715739"/>
    <w:rsid w:val="0071576C"/>
    <w:rsid w:val="00715C94"/>
    <w:rsid w:val="007165F0"/>
    <w:rsid w:val="00716A09"/>
    <w:rsid w:val="007170DB"/>
    <w:rsid w:val="00717880"/>
    <w:rsid w:val="00717CA8"/>
    <w:rsid w:val="007205E7"/>
    <w:rsid w:val="007209C4"/>
    <w:rsid w:val="00720A51"/>
    <w:rsid w:val="00720A9F"/>
    <w:rsid w:val="00721E9E"/>
    <w:rsid w:val="007223C4"/>
    <w:rsid w:val="007227FE"/>
    <w:rsid w:val="007233C3"/>
    <w:rsid w:val="00723C95"/>
    <w:rsid w:val="007244E7"/>
    <w:rsid w:val="00724552"/>
    <w:rsid w:val="0072505F"/>
    <w:rsid w:val="00725B00"/>
    <w:rsid w:val="00726300"/>
    <w:rsid w:val="0072680C"/>
    <w:rsid w:val="00726B3D"/>
    <w:rsid w:val="00726C64"/>
    <w:rsid w:val="007310B7"/>
    <w:rsid w:val="00731237"/>
    <w:rsid w:val="00731A22"/>
    <w:rsid w:val="0073207E"/>
    <w:rsid w:val="00732523"/>
    <w:rsid w:val="0073254B"/>
    <w:rsid w:val="00732664"/>
    <w:rsid w:val="00732BA7"/>
    <w:rsid w:val="007333EA"/>
    <w:rsid w:val="00733601"/>
    <w:rsid w:val="00733A22"/>
    <w:rsid w:val="00733A57"/>
    <w:rsid w:val="00733F36"/>
    <w:rsid w:val="007340CE"/>
    <w:rsid w:val="00734781"/>
    <w:rsid w:val="007349FC"/>
    <w:rsid w:val="00734B6F"/>
    <w:rsid w:val="007351A5"/>
    <w:rsid w:val="00735293"/>
    <w:rsid w:val="00735376"/>
    <w:rsid w:val="00736038"/>
    <w:rsid w:val="007363EA"/>
    <w:rsid w:val="00736A02"/>
    <w:rsid w:val="00736E06"/>
    <w:rsid w:val="00736E37"/>
    <w:rsid w:val="00737286"/>
    <w:rsid w:val="007373DB"/>
    <w:rsid w:val="00737847"/>
    <w:rsid w:val="00737F27"/>
    <w:rsid w:val="00737FD3"/>
    <w:rsid w:val="00740240"/>
    <w:rsid w:val="007407DB"/>
    <w:rsid w:val="0074096D"/>
    <w:rsid w:val="00740BFC"/>
    <w:rsid w:val="00740F76"/>
    <w:rsid w:val="00741037"/>
    <w:rsid w:val="007422B3"/>
    <w:rsid w:val="007424BF"/>
    <w:rsid w:val="007435F1"/>
    <w:rsid w:val="00743BC1"/>
    <w:rsid w:val="00743DDD"/>
    <w:rsid w:val="00744625"/>
    <w:rsid w:val="007446BB"/>
    <w:rsid w:val="00744AF1"/>
    <w:rsid w:val="00745882"/>
    <w:rsid w:val="00745A04"/>
    <w:rsid w:val="00745A0F"/>
    <w:rsid w:val="00745DFD"/>
    <w:rsid w:val="00746197"/>
    <w:rsid w:val="0074689C"/>
    <w:rsid w:val="00746B3F"/>
    <w:rsid w:val="00747117"/>
    <w:rsid w:val="007479C2"/>
    <w:rsid w:val="00747B0D"/>
    <w:rsid w:val="00751452"/>
    <w:rsid w:val="007521A5"/>
    <w:rsid w:val="007524EE"/>
    <w:rsid w:val="00752E99"/>
    <w:rsid w:val="00753959"/>
    <w:rsid w:val="00753DD6"/>
    <w:rsid w:val="007541DF"/>
    <w:rsid w:val="00754A4A"/>
    <w:rsid w:val="00755F9F"/>
    <w:rsid w:val="007566FB"/>
    <w:rsid w:val="007567A8"/>
    <w:rsid w:val="00756D6A"/>
    <w:rsid w:val="00757EE2"/>
    <w:rsid w:val="0076043F"/>
    <w:rsid w:val="00760F66"/>
    <w:rsid w:val="007611F8"/>
    <w:rsid w:val="00761200"/>
    <w:rsid w:val="00761931"/>
    <w:rsid w:val="00761BD1"/>
    <w:rsid w:val="00762323"/>
    <w:rsid w:val="007627BA"/>
    <w:rsid w:val="0076291E"/>
    <w:rsid w:val="00762C76"/>
    <w:rsid w:val="00762D81"/>
    <w:rsid w:val="0076317B"/>
    <w:rsid w:val="00763A9E"/>
    <w:rsid w:val="007643D5"/>
    <w:rsid w:val="00765366"/>
    <w:rsid w:val="00765914"/>
    <w:rsid w:val="00765AC2"/>
    <w:rsid w:val="0076614D"/>
    <w:rsid w:val="0076624C"/>
    <w:rsid w:val="0076627D"/>
    <w:rsid w:val="00766304"/>
    <w:rsid w:val="00766648"/>
    <w:rsid w:val="00767A28"/>
    <w:rsid w:val="00767DCE"/>
    <w:rsid w:val="00767DD2"/>
    <w:rsid w:val="00770264"/>
    <w:rsid w:val="0077082B"/>
    <w:rsid w:val="00770E60"/>
    <w:rsid w:val="00771324"/>
    <w:rsid w:val="00771C8F"/>
    <w:rsid w:val="0077266E"/>
    <w:rsid w:val="0077292E"/>
    <w:rsid w:val="007737D4"/>
    <w:rsid w:val="007737D8"/>
    <w:rsid w:val="0077391C"/>
    <w:rsid w:val="00773D24"/>
    <w:rsid w:val="00774576"/>
    <w:rsid w:val="007745DA"/>
    <w:rsid w:val="0077508A"/>
    <w:rsid w:val="00775475"/>
    <w:rsid w:val="00775567"/>
    <w:rsid w:val="00775E0D"/>
    <w:rsid w:val="00776343"/>
    <w:rsid w:val="00776416"/>
    <w:rsid w:val="00776C7B"/>
    <w:rsid w:val="00776CEF"/>
    <w:rsid w:val="007774AE"/>
    <w:rsid w:val="00777E7E"/>
    <w:rsid w:val="00777EFA"/>
    <w:rsid w:val="007804DD"/>
    <w:rsid w:val="00780EC1"/>
    <w:rsid w:val="00780F3B"/>
    <w:rsid w:val="0078115B"/>
    <w:rsid w:val="007816EE"/>
    <w:rsid w:val="00781B0F"/>
    <w:rsid w:val="00781EAD"/>
    <w:rsid w:val="00782071"/>
    <w:rsid w:val="00782783"/>
    <w:rsid w:val="00782946"/>
    <w:rsid w:val="00782ECD"/>
    <w:rsid w:val="00782F44"/>
    <w:rsid w:val="0078363B"/>
    <w:rsid w:val="00783CCF"/>
    <w:rsid w:val="00783F5B"/>
    <w:rsid w:val="00784609"/>
    <w:rsid w:val="00784720"/>
    <w:rsid w:val="0078481D"/>
    <w:rsid w:val="007848C8"/>
    <w:rsid w:val="00784BE8"/>
    <w:rsid w:val="007859FC"/>
    <w:rsid w:val="00785F1E"/>
    <w:rsid w:val="00785F4C"/>
    <w:rsid w:val="0078609C"/>
    <w:rsid w:val="00786355"/>
    <w:rsid w:val="00787370"/>
    <w:rsid w:val="007874AE"/>
    <w:rsid w:val="0078750B"/>
    <w:rsid w:val="0078768E"/>
    <w:rsid w:val="00787F5E"/>
    <w:rsid w:val="0079024D"/>
    <w:rsid w:val="00791069"/>
    <w:rsid w:val="007911B8"/>
    <w:rsid w:val="00791D00"/>
    <w:rsid w:val="00791DAE"/>
    <w:rsid w:val="007930E8"/>
    <w:rsid w:val="00793A57"/>
    <w:rsid w:val="00793A9C"/>
    <w:rsid w:val="00793AA6"/>
    <w:rsid w:val="00793F28"/>
    <w:rsid w:val="007944D2"/>
    <w:rsid w:val="00794B19"/>
    <w:rsid w:val="00794FFA"/>
    <w:rsid w:val="00795B8D"/>
    <w:rsid w:val="00795E34"/>
    <w:rsid w:val="00795F0E"/>
    <w:rsid w:val="00795F96"/>
    <w:rsid w:val="00796495"/>
    <w:rsid w:val="00797063"/>
    <w:rsid w:val="00797D8F"/>
    <w:rsid w:val="007A0C00"/>
    <w:rsid w:val="007A0E15"/>
    <w:rsid w:val="007A176E"/>
    <w:rsid w:val="007A19BF"/>
    <w:rsid w:val="007A1A17"/>
    <w:rsid w:val="007A2850"/>
    <w:rsid w:val="007A2A69"/>
    <w:rsid w:val="007A2CF1"/>
    <w:rsid w:val="007A384E"/>
    <w:rsid w:val="007A4140"/>
    <w:rsid w:val="007A41B5"/>
    <w:rsid w:val="007A4486"/>
    <w:rsid w:val="007A4682"/>
    <w:rsid w:val="007A5879"/>
    <w:rsid w:val="007A58A8"/>
    <w:rsid w:val="007A5BDC"/>
    <w:rsid w:val="007A629D"/>
    <w:rsid w:val="007A6610"/>
    <w:rsid w:val="007A6D51"/>
    <w:rsid w:val="007A6DD3"/>
    <w:rsid w:val="007A6FF3"/>
    <w:rsid w:val="007A7169"/>
    <w:rsid w:val="007A71DC"/>
    <w:rsid w:val="007A7A04"/>
    <w:rsid w:val="007B04FF"/>
    <w:rsid w:val="007B0976"/>
    <w:rsid w:val="007B0CAC"/>
    <w:rsid w:val="007B15F3"/>
    <w:rsid w:val="007B1701"/>
    <w:rsid w:val="007B1C32"/>
    <w:rsid w:val="007B1DBB"/>
    <w:rsid w:val="007B2319"/>
    <w:rsid w:val="007B2FBF"/>
    <w:rsid w:val="007B3E13"/>
    <w:rsid w:val="007B4044"/>
    <w:rsid w:val="007B4046"/>
    <w:rsid w:val="007B4300"/>
    <w:rsid w:val="007B565C"/>
    <w:rsid w:val="007B595F"/>
    <w:rsid w:val="007B5B7E"/>
    <w:rsid w:val="007B5D75"/>
    <w:rsid w:val="007B6D5E"/>
    <w:rsid w:val="007B7115"/>
    <w:rsid w:val="007B736B"/>
    <w:rsid w:val="007C012E"/>
    <w:rsid w:val="007C055A"/>
    <w:rsid w:val="007C0853"/>
    <w:rsid w:val="007C0C0D"/>
    <w:rsid w:val="007C0C90"/>
    <w:rsid w:val="007C0E07"/>
    <w:rsid w:val="007C0E86"/>
    <w:rsid w:val="007C192C"/>
    <w:rsid w:val="007C249E"/>
    <w:rsid w:val="007C26CF"/>
    <w:rsid w:val="007C271B"/>
    <w:rsid w:val="007C2C14"/>
    <w:rsid w:val="007C389D"/>
    <w:rsid w:val="007C3A55"/>
    <w:rsid w:val="007C404B"/>
    <w:rsid w:val="007C4166"/>
    <w:rsid w:val="007C44E1"/>
    <w:rsid w:val="007C48DD"/>
    <w:rsid w:val="007C4A05"/>
    <w:rsid w:val="007C5711"/>
    <w:rsid w:val="007C57B9"/>
    <w:rsid w:val="007C6325"/>
    <w:rsid w:val="007C73A3"/>
    <w:rsid w:val="007C767E"/>
    <w:rsid w:val="007C7975"/>
    <w:rsid w:val="007C7EF5"/>
    <w:rsid w:val="007D06AC"/>
    <w:rsid w:val="007D0741"/>
    <w:rsid w:val="007D0997"/>
    <w:rsid w:val="007D0A53"/>
    <w:rsid w:val="007D0FFC"/>
    <w:rsid w:val="007D1013"/>
    <w:rsid w:val="007D19EC"/>
    <w:rsid w:val="007D2608"/>
    <w:rsid w:val="007D30C3"/>
    <w:rsid w:val="007D35AC"/>
    <w:rsid w:val="007D36B1"/>
    <w:rsid w:val="007D36D7"/>
    <w:rsid w:val="007D3BA1"/>
    <w:rsid w:val="007D3EC8"/>
    <w:rsid w:val="007D40AC"/>
    <w:rsid w:val="007D4317"/>
    <w:rsid w:val="007D4C12"/>
    <w:rsid w:val="007D57E0"/>
    <w:rsid w:val="007D5946"/>
    <w:rsid w:val="007D5962"/>
    <w:rsid w:val="007D5A2B"/>
    <w:rsid w:val="007D6213"/>
    <w:rsid w:val="007D63B2"/>
    <w:rsid w:val="007D651D"/>
    <w:rsid w:val="007D6E78"/>
    <w:rsid w:val="007D71B7"/>
    <w:rsid w:val="007D7C66"/>
    <w:rsid w:val="007D7CF3"/>
    <w:rsid w:val="007E0274"/>
    <w:rsid w:val="007E02A7"/>
    <w:rsid w:val="007E0415"/>
    <w:rsid w:val="007E0991"/>
    <w:rsid w:val="007E0AFE"/>
    <w:rsid w:val="007E0B2C"/>
    <w:rsid w:val="007E0BD1"/>
    <w:rsid w:val="007E107F"/>
    <w:rsid w:val="007E2FD7"/>
    <w:rsid w:val="007E310B"/>
    <w:rsid w:val="007E38DA"/>
    <w:rsid w:val="007E3D65"/>
    <w:rsid w:val="007E3EE2"/>
    <w:rsid w:val="007E47E7"/>
    <w:rsid w:val="007E4A68"/>
    <w:rsid w:val="007E4A98"/>
    <w:rsid w:val="007E4EB6"/>
    <w:rsid w:val="007E5DD7"/>
    <w:rsid w:val="007E6FB9"/>
    <w:rsid w:val="007E7139"/>
    <w:rsid w:val="007E7366"/>
    <w:rsid w:val="007E7EA1"/>
    <w:rsid w:val="007E7EA4"/>
    <w:rsid w:val="007F03CE"/>
    <w:rsid w:val="007F04D3"/>
    <w:rsid w:val="007F0A1D"/>
    <w:rsid w:val="007F1095"/>
    <w:rsid w:val="007F137D"/>
    <w:rsid w:val="007F17B5"/>
    <w:rsid w:val="007F245F"/>
    <w:rsid w:val="007F2D8D"/>
    <w:rsid w:val="007F2EBF"/>
    <w:rsid w:val="007F3044"/>
    <w:rsid w:val="007F3249"/>
    <w:rsid w:val="007F3704"/>
    <w:rsid w:val="007F4657"/>
    <w:rsid w:val="007F494A"/>
    <w:rsid w:val="007F5609"/>
    <w:rsid w:val="007F5625"/>
    <w:rsid w:val="007F568A"/>
    <w:rsid w:val="007F59F7"/>
    <w:rsid w:val="007F5E21"/>
    <w:rsid w:val="007F6413"/>
    <w:rsid w:val="007F6761"/>
    <w:rsid w:val="007F676E"/>
    <w:rsid w:val="007F6B11"/>
    <w:rsid w:val="007F6E2B"/>
    <w:rsid w:val="007F7D12"/>
    <w:rsid w:val="007F7F02"/>
    <w:rsid w:val="00800258"/>
    <w:rsid w:val="00800C97"/>
    <w:rsid w:val="0080153D"/>
    <w:rsid w:val="0080220F"/>
    <w:rsid w:val="008026A7"/>
    <w:rsid w:val="00802735"/>
    <w:rsid w:val="008028C2"/>
    <w:rsid w:val="00802DDB"/>
    <w:rsid w:val="0080379D"/>
    <w:rsid w:val="008037D8"/>
    <w:rsid w:val="00803B7E"/>
    <w:rsid w:val="00803DA6"/>
    <w:rsid w:val="008040D9"/>
    <w:rsid w:val="0080436E"/>
    <w:rsid w:val="00804937"/>
    <w:rsid w:val="00804E1E"/>
    <w:rsid w:val="00804E43"/>
    <w:rsid w:val="008050F5"/>
    <w:rsid w:val="0080519C"/>
    <w:rsid w:val="0080553F"/>
    <w:rsid w:val="00805E48"/>
    <w:rsid w:val="00807ADD"/>
    <w:rsid w:val="00810BC2"/>
    <w:rsid w:val="00811683"/>
    <w:rsid w:val="00811AFF"/>
    <w:rsid w:val="00812373"/>
    <w:rsid w:val="00812D30"/>
    <w:rsid w:val="00813F3A"/>
    <w:rsid w:val="008140E8"/>
    <w:rsid w:val="008148D4"/>
    <w:rsid w:val="0081491F"/>
    <w:rsid w:val="00814941"/>
    <w:rsid w:val="00814A65"/>
    <w:rsid w:val="00814BD9"/>
    <w:rsid w:val="008158AC"/>
    <w:rsid w:val="00816805"/>
    <w:rsid w:val="008168E2"/>
    <w:rsid w:val="00816BE8"/>
    <w:rsid w:val="00816CD5"/>
    <w:rsid w:val="00816DBD"/>
    <w:rsid w:val="00816FE2"/>
    <w:rsid w:val="00817062"/>
    <w:rsid w:val="00817991"/>
    <w:rsid w:val="00817F58"/>
    <w:rsid w:val="008203C5"/>
    <w:rsid w:val="0082046A"/>
    <w:rsid w:val="00820B84"/>
    <w:rsid w:val="0082199B"/>
    <w:rsid w:val="00821C2A"/>
    <w:rsid w:val="008227B7"/>
    <w:rsid w:val="00824282"/>
    <w:rsid w:val="008243A8"/>
    <w:rsid w:val="00824925"/>
    <w:rsid w:val="00824C8B"/>
    <w:rsid w:val="008252E8"/>
    <w:rsid w:val="00825BA8"/>
    <w:rsid w:val="00825C14"/>
    <w:rsid w:val="0082641D"/>
    <w:rsid w:val="008267CA"/>
    <w:rsid w:val="00826E45"/>
    <w:rsid w:val="008270EE"/>
    <w:rsid w:val="0082722B"/>
    <w:rsid w:val="0082745B"/>
    <w:rsid w:val="00827C1B"/>
    <w:rsid w:val="0083016B"/>
    <w:rsid w:val="008301F1"/>
    <w:rsid w:val="00830C0E"/>
    <w:rsid w:val="008313E0"/>
    <w:rsid w:val="008317EC"/>
    <w:rsid w:val="0083195D"/>
    <w:rsid w:val="00831B7B"/>
    <w:rsid w:val="00831D90"/>
    <w:rsid w:val="008324F3"/>
    <w:rsid w:val="00832691"/>
    <w:rsid w:val="0083296B"/>
    <w:rsid w:val="00832B8A"/>
    <w:rsid w:val="00833547"/>
    <w:rsid w:val="00833852"/>
    <w:rsid w:val="00833AB9"/>
    <w:rsid w:val="00833B62"/>
    <w:rsid w:val="00834820"/>
    <w:rsid w:val="00834C82"/>
    <w:rsid w:val="00834DB6"/>
    <w:rsid w:val="00834F93"/>
    <w:rsid w:val="00835627"/>
    <w:rsid w:val="00835F6D"/>
    <w:rsid w:val="008375DA"/>
    <w:rsid w:val="00840C4A"/>
    <w:rsid w:val="008411B9"/>
    <w:rsid w:val="0084122F"/>
    <w:rsid w:val="00841573"/>
    <w:rsid w:val="00841D08"/>
    <w:rsid w:val="00842D43"/>
    <w:rsid w:val="00842F64"/>
    <w:rsid w:val="0084323E"/>
    <w:rsid w:val="00843D50"/>
    <w:rsid w:val="008441D9"/>
    <w:rsid w:val="0084464E"/>
    <w:rsid w:val="008455E6"/>
    <w:rsid w:val="008458BF"/>
    <w:rsid w:val="00846262"/>
    <w:rsid w:val="00846370"/>
    <w:rsid w:val="008463E8"/>
    <w:rsid w:val="00847665"/>
    <w:rsid w:val="00847BC5"/>
    <w:rsid w:val="00847F11"/>
    <w:rsid w:val="00850010"/>
    <w:rsid w:val="008503F4"/>
    <w:rsid w:val="008504A0"/>
    <w:rsid w:val="00850AC1"/>
    <w:rsid w:val="00850C2A"/>
    <w:rsid w:val="00850DFA"/>
    <w:rsid w:val="00851331"/>
    <w:rsid w:val="008516D1"/>
    <w:rsid w:val="00852003"/>
    <w:rsid w:val="0085212C"/>
    <w:rsid w:val="00852988"/>
    <w:rsid w:val="00852F9E"/>
    <w:rsid w:val="00853FD8"/>
    <w:rsid w:val="00854053"/>
    <w:rsid w:val="008543AC"/>
    <w:rsid w:val="008548B8"/>
    <w:rsid w:val="00854965"/>
    <w:rsid w:val="00855298"/>
    <w:rsid w:val="008554D1"/>
    <w:rsid w:val="008558E0"/>
    <w:rsid w:val="008569E0"/>
    <w:rsid w:val="00857AF7"/>
    <w:rsid w:val="00857BE5"/>
    <w:rsid w:val="00860109"/>
    <w:rsid w:val="008601BD"/>
    <w:rsid w:val="00860359"/>
    <w:rsid w:val="00860E43"/>
    <w:rsid w:val="00861252"/>
    <w:rsid w:val="0086171A"/>
    <w:rsid w:val="0086226C"/>
    <w:rsid w:val="00863237"/>
    <w:rsid w:val="00863B59"/>
    <w:rsid w:val="00863C07"/>
    <w:rsid w:val="008640B7"/>
    <w:rsid w:val="008644A4"/>
    <w:rsid w:val="00864A6C"/>
    <w:rsid w:val="00864BB1"/>
    <w:rsid w:val="00864DF7"/>
    <w:rsid w:val="00865278"/>
    <w:rsid w:val="008654F9"/>
    <w:rsid w:val="008658C0"/>
    <w:rsid w:val="008660F7"/>
    <w:rsid w:val="00866388"/>
    <w:rsid w:val="0086644B"/>
    <w:rsid w:val="00866FE3"/>
    <w:rsid w:val="0086722D"/>
    <w:rsid w:val="00867AD8"/>
    <w:rsid w:val="00867C04"/>
    <w:rsid w:val="00867D56"/>
    <w:rsid w:val="00867D70"/>
    <w:rsid w:val="00870646"/>
    <w:rsid w:val="008706C3"/>
    <w:rsid w:val="00870BAA"/>
    <w:rsid w:val="00870D91"/>
    <w:rsid w:val="008716D1"/>
    <w:rsid w:val="008716ED"/>
    <w:rsid w:val="008718AD"/>
    <w:rsid w:val="0087193F"/>
    <w:rsid w:val="008724E6"/>
    <w:rsid w:val="008728C8"/>
    <w:rsid w:val="00873205"/>
    <w:rsid w:val="008735E8"/>
    <w:rsid w:val="0087377E"/>
    <w:rsid w:val="00874594"/>
    <w:rsid w:val="00874776"/>
    <w:rsid w:val="0087487C"/>
    <w:rsid w:val="00874A07"/>
    <w:rsid w:val="00874B75"/>
    <w:rsid w:val="00875007"/>
    <w:rsid w:val="008750DB"/>
    <w:rsid w:val="008751B4"/>
    <w:rsid w:val="0087527F"/>
    <w:rsid w:val="008754B5"/>
    <w:rsid w:val="00875AF3"/>
    <w:rsid w:val="008765E9"/>
    <w:rsid w:val="00876605"/>
    <w:rsid w:val="00876B13"/>
    <w:rsid w:val="00880017"/>
    <w:rsid w:val="00880305"/>
    <w:rsid w:val="0088088A"/>
    <w:rsid w:val="00880A3F"/>
    <w:rsid w:val="00880EE2"/>
    <w:rsid w:val="008813BC"/>
    <w:rsid w:val="00881732"/>
    <w:rsid w:val="008818A2"/>
    <w:rsid w:val="00881FF9"/>
    <w:rsid w:val="0088213D"/>
    <w:rsid w:val="008821C6"/>
    <w:rsid w:val="0088243D"/>
    <w:rsid w:val="0088251A"/>
    <w:rsid w:val="00882D28"/>
    <w:rsid w:val="008836A3"/>
    <w:rsid w:val="00883A67"/>
    <w:rsid w:val="008848E9"/>
    <w:rsid w:val="00884FD8"/>
    <w:rsid w:val="00885244"/>
    <w:rsid w:val="008857C7"/>
    <w:rsid w:val="008858B3"/>
    <w:rsid w:val="00885BF6"/>
    <w:rsid w:val="008866CF"/>
    <w:rsid w:val="00886782"/>
    <w:rsid w:val="008869A1"/>
    <w:rsid w:val="00886B3F"/>
    <w:rsid w:val="0088727A"/>
    <w:rsid w:val="00887686"/>
    <w:rsid w:val="0089015D"/>
    <w:rsid w:val="0089021A"/>
    <w:rsid w:val="0089022E"/>
    <w:rsid w:val="00890475"/>
    <w:rsid w:val="00890A7C"/>
    <w:rsid w:val="00890D11"/>
    <w:rsid w:val="008910EE"/>
    <w:rsid w:val="00891A26"/>
    <w:rsid w:val="008923F8"/>
    <w:rsid w:val="008928F1"/>
    <w:rsid w:val="00892BBF"/>
    <w:rsid w:val="00892DB5"/>
    <w:rsid w:val="0089346D"/>
    <w:rsid w:val="008935AB"/>
    <w:rsid w:val="00893F27"/>
    <w:rsid w:val="008942BD"/>
    <w:rsid w:val="0089478A"/>
    <w:rsid w:val="0089480A"/>
    <w:rsid w:val="00894FE5"/>
    <w:rsid w:val="00895658"/>
    <w:rsid w:val="008956DA"/>
    <w:rsid w:val="00895BA9"/>
    <w:rsid w:val="00895D79"/>
    <w:rsid w:val="0089601B"/>
    <w:rsid w:val="0089647F"/>
    <w:rsid w:val="0089655D"/>
    <w:rsid w:val="00896784"/>
    <w:rsid w:val="00896C56"/>
    <w:rsid w:val="00897051"/>
    <w:rsid w:val="00897824"/>
    <w:rsid w:val="00897BCB"/>
    <w:rsid w:val="00897C07"/>
    <w:rsid w:val="00897DBA"/>
    <w:rsid w:val="008A02FA"/>
    <w:rsid w:val="008A06A8"/>
    <w:rsid w:val="008A1AAC"/>
    <w:rsid w:val="008A20CA"/>
    <w:rsid w:val="008A239B"/>
    <w:rsid w:val="008A2505"/>
    <w:rsid w:val="008A2956"/>
    <w:rsid w:val="008A2EA1"/>
    <w:rsid w:val="008A2EF6"/>
    <w:rsid w:val="008A3480"/>
    <w:rsid w:val="008A3642"/>
    <w:rsid w:val="008A4F3C"/>
    <w:rsid w:val="008A51AD"/>
    <w:rsid w:val="008A53BA"/>
    <w:rsid w:val="008A551D"/>
    <w:rsid w:val="008A56BA"/>
    <w:rsid w:val="008A570A"/>
    <w:rsid w:val="008A58E4"/>
    <w:rsid w:val="008A58E7"/>
    <w:rsid w:val="008A5C1D"/>
    <w:rsid w:val="008A615A"/>
    <w:rsid w:val="008A6357"/>
    <w:rsid w:val="008A650C"/>
    <w:rsid w:val="008A6A36"/>
    <w:rsid w:val="008A6CB9"/>
    <w:rsid w:val="008A6DC1"/>
    <w:rsid w:val="008A7083"/>
    <w:rsid w:val="008A7100"/>
    <w:rsid w:val="008A7139"/>
    <w:rsid w:val="008A776D"/>
    <w:rsid w:val="008A7A3B"/>
    <w:rsid w:val="008A7BB8"/>
    <w:rsid w:val="008A7C74"/>
    <w:rsid w:val="008B03BD"/>
    <w:rsid w:val="008B04C0"/>
    <w:rsid w:val="008B09E1"/>
    <w:rsid w:val="008B0A83"/>
    <w:rsid w:val="008B0DCF"/>
    <w:rsid w:val="008B0E93"/>
    <w:rsid w:val="008B0F8D"/>
    <w:rsid w:val="008B198D"/>
    <w:rsid w:val="008B1FFB"/>
    <w:rsid w:val="008B23A8"/>
    <w:rsid w:val="008B25AB"/>
    <w:rsid w:val="008B29A4"/>
    <w:rsid w:val="008B2BB4"/>
    <w:rsid w:val="008B2C30"/>
    <w:rsid w:val="008B3C2B"/>
    <w:rsid w:val="008B4679"/>
    <w:rsid w:val="008B4D00"/>
    <w:rsid w:val="008B4D13"/>
    <w:rsid w:val="008B4E78"/>
    <w:rsid w:val="008B4FE2"/>
    <w:rsid w:val="008B61A1"/>
    <w:rsid w:val="008B66D8"/>
    <w:rsid w:val="008B66EE"/>
    <w:rsid w:val="008B6793"/>
    <w:rsid w:val="008B6E87"/>
    <w:rsid w:val="008B75C2"/>
    <w:rsid w:val="008B787A"/>
    <w:rsid w:val="008C0219"/>
    <w:rsid w:val="008C0A89"/>
    <w:rsid w:val="008C0AA9"/>
    <w:rsid w:val="008C0E71"/>
    <w:rsid w:val="008C1852"/>
    <w:rsid w:val="008C2CFF"/>
    <w:rsid w:val="008C2E1E"/>
    <w:rsid w:val="008C2E22"/>
    <w:rsid w:val="008C2ED2"/>
    <w:rsid w:val="008C3612"/>
    <w:rsid w:val="008C3D4D"/>
    <w:rsid w:val="008C4026"/>
    <w:rsid w:val="008C417E"/>
    <w:rsid w:val="008C4E31"/>
    <w:rsid w:val="008C5464"/>
    <w:rsid w:val="008C5B51"/>
    <w:rsid w:val="008C5F0A"/>
    <w:rsid w:val="008C6105"/>
    <w:rsid w:val="008C6124"/>
    <w:rsid w:val="008C6334"/>
    <w:rsid w:val="008C66BD"/>
    <w:rsid w:val="008C6968"/>
    <w:rsid w:val="008C742A"/>
    <w:rsid w:val="008C74C7"/>
    <w:rsid w:val="008C7714"/>
    <w:rsid w:val="008C7F4F"/>
    <w:rsid w:val="008D00F3"/>
    <w:rsid w:val="008D0241"/>
    <w:rsid w:val="008D0B34"/>
    <w:rsid w:val="008D0F27"/>
    <w:rsid w:val="008D11F0"/>
    <w:rsid w:val="008D15A2"/>
    <w:rsid w:val="008D18CD"/>
    <w:rsid w:val="008D1F86"/>
    <w:rsid w:val="008D20E0"/>
    <w:rsid w:val="008D2B6E"/>
    <w:rsid w:val="008D335C"/>
    <w:rsid w:val="008D35B7"/>
    <w:rsid w:val="008D4007"/>
    <w:rsid w:val="008D436A"/>
    <w:rsid w:val="008D4C72"/>
    <w:rsid w:val="008D4CF8"/>
    <w:rsid w:val="008D5246"/>
    <w:rsid w:val="008D5291"/>
    <w:rsid w:val="008D5368"/>
    <w:rsid w:val="008D561B"/>
    <w:rsid w:val="008D582B"/>
    <w:rsid w:val="008D5CF9"/>
    <w:rsid w:val="008D5D0A"/>
    <w:rsid w:val="008D6199"/>
    <w:rsid w:val="008D64B9"/>
    <w:rsid w:val="008D6794"/>
    <w:rsid w:val="008D76AC"/>
    <w:rsid w:val="008D7F65"/>
    <w:rsid w:val="008E0178"/>
    <w:rsid w:val="008E02F8"/>
    <w:rsid w:val="008E12AF"/>
    <w:rsid w:val="008E1342"/>
    <w:rsid w:val="008E1DC9"/>
    <w:rsid w:val="008E211C"/>
    <w:rsid w:val="008E28EC"/>
    <w:rsid w:val="008E2BB3"/>
    <w:rsid w:val="008E2BC5"/>
    <w:rsid w:val="008E2C79"/>
    <w:rsid w:val="008E3176"/>
    <w:rsid w:val="008E3564"/>
    <w:rsid w:val="008E3A0B"/>
    <w:rsid w:val="008E3A90"/>
    <w:rsid w:val="008E3AAB"/>
    <w:rsid w:val="008E3F34"/>
    <w:rsid w:val="008E4043"/>
    <w:rsid w:val="008E4520"/>
    <w:rsid w:val="008E54E8"/>
    <w:rsid w:val="008E5740"/>
    <w:rsid w:val="008E5868"/>
    <w:rsid w:val="008E5ADB"/>
    <w:rsid w:val="008E5DC8"/>
    <w:rsid w:val="008E6465"/>
    <w:rsid w:val="008E6C57"/>
    <w:rsid w:val="008E7082"/>
    <w:rsid w:val="008E72AF"/>
    <w:rsid w:val="008F0952"/>
    <w:rsid w:val="008F1154"/>
    <w:rsid w:val="008F1B84"/>
    <w:rsid w:val="008F1B9D"/>
    <w:rsid w:val="008F1DB6"/>
    <w:rsid w:val="008F337C"/>
    <w:rsid w:val="008F39C0"/>
    <w:rsid w:val="008F39E4"/>
    <w:rsid w:val="008F4610"/>
    <w:rsid w:val="008F51F0"/>
    <w:rsid w:val="008F57CD"/>
    <w:rsid w:val="008F5960"/>
    <w:rsid w:val="008F5CD0"/>
    <w:rsid w:val="008F629A"/>
    <w:rsid w:val="008F6A9B"/>
    <w:rsid w:val="008F6F03"/>
    <w:rsid w:val="008F7603"/>
    <w:rsid w:val="008F769D"/>
    <w:rsid w:val="008F76B7"/>
    <w:rsid w:val="008F76DC"/>
    <w:rsid w:val="008F7AC5"/>
    <w:rsid w:val="008F7D2F"/>
    <w:rsid w:val="008F7E68"/>
    <w:rsid w:val="009013C5"/>
    <w:rsid w:val="0090147B"/>
    <w:rsid w:val="00901649"/>
    <w:rsid w:val="00901CBA"/>
    <w:rsid w:val="00901DC6"/>
    <w:rsid w:val="00901EEE"/>
    <w:rsid w:val="009021DC"/>
    <w:rsid w:val="00902EFD"/>
    <w:rsid w:val="00903026"/>
    <w:rsid w:val="0090357B"/>
    <w:rsid w:val="00903832"/>
    <w:rsid w:val="009042D0"/>
    <w:rsid w:val="009044BE"/>
    <w:rsid w:val="009048EB"/>
    <w:rsid w:val="00904913"/>
    <w:rsid w:val="00904C15"/>
    <w:rsid w:val="009050B3"/>
    <w:rsid w:val="00905298"/>
    <w:rsid w:val="00905945"/>
    <w:rsid w:val="00905FEB"/>
    <w:rsid w:val="00906164"/>
    <w:rsid w:val="00906252"/>
    <w:rsid w:val="0090672E"/>
    <w:rsid w:val="00906A4F"/>
    <w:rsid w:val="00906BD6"/>
    <w:rsid w:val="00907074"/>
    <w:rsid w:val="009073C7"/>
    <w:rsid w:val="009078BA"/>
    <w:rsid w:val="009079C7"/>
    <w:rsid w:val="009079F7"/>
    <w:rsid w:val="00907B44"/>
    <w:rsid w:val="00907C33"/>
    <w:rsid w:val="009108D2"/>
    <w:rsid w:val="00910C20"/>
    <w:rsid w:val="00910FE1"/>
    <w:rsid w:val="0091106A"/>
    <w:rsid w:val="00911C09"/>
    <w:rsid w:val="00911D1C"/>
    <w:rsid w:val="00912F38"/>
    <w:rsid w:val="0091340D"/>
    <w:rsid w:val="00913C58"/>
    <w:rsid w:val="00913D36"/>
    <w:rsid w:val="009140B4"/>
    <w:rsid w:val="00914174"/>
    <w:rsid w:val="0091428A"/>
    <w:rsid w:val="00914733"/>
    <w:rsid w:val="0091495E"/>
    <w:rsid w:val="00914AA5"/>
    <w:rsid w:val="00914EAF"/>
    <w:rsid w:val="00915428"/>
    <w:rsid w:val="009162DD"/>
    <w:rsid w:val="009163E7"/>
    <w:rsid w:val="0091670A"/>
    <w:rsid w:val="0091671A"/>
    <w:rsid w:val="009169F6"/>
    <w:rsid w:val="009170FD"/>
    <w:rsid w:val="0091719D"/>
    <w:rsid w:val="00917903"/>
    <w:rsid w:val="00917BEA"/>
    <w:rsid w:val="00920189"/>
    <w:rsid w:val="00920203"/>
    <w:rsid w:val="00920997"/>
    <w:rsid w:val="00920B1E"/>
    <w:rsid w:val="00920DD5"/>
    <w:rsid w:val="00921161"/>
    <w:rsid w:val="00922492"/>
    <w:rsid w:val="009224EB"/>
    <w:rsid w:val="0092272F"/>
    <w:rsid w:val="00922BE2"/>
    <w:rsid w:val="00922EDE"/>
    <w:rsid w:val="009237D9"/>
    <w:rsid w:val="0092406C"/>
    <w:rsid w:val="00924096"/>
    <w:rsid w:val="009243BC"/>
    <w:rsid w:val="009244D5"/>
    <w:rsid w:val="00925049"/>
    <w:rsid w:val="0092523A"/>
    <w:rsid w:val="009252F1"/>
    <w:rsid w:val="00925588"/>
    <w:rsid w:val="00925733"/>
    <w:rsid w:val="00925AF5"/>
    <w:rsid w:val="00926244"/>
    <w:rsid w:val="00926268"/>
    <w:rsid w:val="009264A2"/>
    <w:rsid w:val="0092715D"/>
    <w:rsid w:val="00927299"/>
    <w:rsid w:val="009278F0"/>
    <w:rsid w:val="00930632"/>
    <w:rsid w:val="009310BC"/>
    <w:rsid w:val="00931D3F"/>
    <w:rsid w:val="009324C4"/>
    <w:rsid w:val="00932671"/>
    <w:rsid w:val="00932A7A"/>
    <w:rsid w:val="00932D26"/>
    <w:rsid w:val="009330BF"/>
    <w:rsid w:val="00933817"/>
    <w:rsid w:val="009340EB"/>
    <w:rsid w:val="00934510"/>
    <w:rsid w:val="0093476C"/>
    <w:rsid w:val="00935A1E"/>
    <w:rsid w:val="00935AA3"/>
    <w:rsid w:val="00935B7C"/>
    <w:rsid w:val="00935E3A"/>
    <w:rsid w:val="00936005"/>
    <w:rsid w:val="0093607C"/>
    <w:rsid w:val="009368F4"/>
    <w:rsid w:val="00940008"/>
    <w:rsid w:val="00940FFA"/>
    <w:rsid w:val="00941010"/>
    <w:rsid w:val="00941503"/>
    <w:rsid w:val="0094187D"/>
    <w:rsid w:val="009423ED"/>
    <w:rsid w:val="00942C90"/>
    <w:rsid w:val="00942F29"/>
    <w:rsid w:val="00942FB6"/>
    <w:rsid w:val="009430E1"/>
    <w:rsid w:val="009434EB"/>
    <w:rsid w:val="00943EA6"/>
    <w:rsid w:val="009443F2"/>
    <w:rsid w:val="009448F2"/>
    <w:rsid w:val="009451E0"/>
    <w:rsid w:val="0094524B"/>
    <w:rsid w:val="00945262"/>
    <w:rsid w:val="009456E3"/>
    <w:rsid w:val="00945759"/>
    <w:rsid w:val="00945925"/>
    <w:rsid w:val="009466E9"/>
    <w:rsid w:val="00946CB3"/>
    <w:rsid w:val="00946D20"/>
    <w:rsid w:val="00946E51"/>
    <w:rsid w:val="009473F4"/>
    <w:rsid w:val="0094767D"/>
    <w:rsid w:val="00950231"/>
    <w:rsid w:val="00950794"/>
    <w:rsid w:val="009507AA"/>
    <w:rsid w:val="009509EF"/>
    <w:rsid w:val="009512DC"/>
    <w:rsid w:val="009515CA"/>
    <w:rsid w:val="00951691"/>
    <w:rsid w:val="00951FCE"/>
    <w:rsid w:val="009521CC"/>
    <w:rsid w:val="0095226C"/>
    <w:rsid w:val="0095269B"/>
    <w:rsid w:val="00952C05"/>
    <w:rsid w:val="00952D52"/>
    <w:rsid w:val="009540B7"/>
    <w:rsid w:val="009543D0"/>
    <w:rsid w:val="00954AF9"/>
    <w:rsid w:val="00954DAE"/>
    <w:rsid w:val="00955410"/>
    <w:rsid w:val="009558EE"/>
    <w:rsid w:val="009559D5"/>
    <w:rsid w:val="00955C17"/>
    <w:rsid w:val="00955FFA"/>
    <w:rsid w:val="00956170"/>
    <w:rsid w:val="009561F8"/>
    <w:rsid w:val="00956BA1"/>
    <w:rsid w:val="00956D42"/>
    <w:rsid w:val="00956F0F"/>
    <w:rsid w:val="0095727F"/>
    <w:rsid w:val="009572AF"/>
    <w:rsid w:val="00957E41"/>
    <w:rsid w:val="0096016E"/>
    <w:rsid w:val="0096023A"/>
    <w:rsid w:val="009607AB"/>
    <w:rsid w:val="00961154"/>
    <w:rsid w:val="009615DB"/>
    <w:rsid w:val="00962683"/>
    <w:rsid w:val="00962ADC"/>
    <w:rsid w:val="00962E23"/>
    <w:rsid w:val="0096487C"/>
    <w:rsid w:val="00964BC2"/>
    <w:rsid w:val="00964D4A"/>
    <w:rsid w:val="00964EAE"/>
    <w:rsid w:val="00965023"/>
    <w:rsid w:val="009650B7"/>
    <w:rsid w:val="0096515D"/>
    <w:rsid w:val="0096554B"/>
    <w:rsid w:val="00965841"/>
    <w:rsid w:val="00966623"/>
    <w:rsid w:val="009678DB"/>
    <w:rsid w:val="00970728"/>
    <w:rsid w:val="009707C9"/>
    <w:rsid w:val="009712CD"/>
    <w:rsid w:val="00971303"/>
    <w:rsid w:val="00971E0B"/>
    <w:rsid w:val="00972101"/>
    <w:rsid w:val="00972285"/>
    <w:rsid w:val="00972FB5"/>
    <w:rsid w:val="00973607"/>
    <w:rsid w:val="009736FE"/>
    <w:rsid w:val="00973AD4"/>
    <w:rsid w:val="00973B96"/>
    <w:rsid w:val="00973E3C"/>
    <w:rsid w:val="00974763"/>
    <w:rsid w:val="00974BA6"/>
    <w:rsid w:val="009757CA"/>
    <w:rsid w:val="00976E76"/>
    <w:rsid w:val="00977A14"/>
    <w:rsid w:val="00977E9B"/>
    <w:rsid w:val="009807BF"/>
    <w:rsid w:val="009809CE"/>
    <w:rsid w:val="0098131F"/>
    <w:rsid w:val="00981479"/>
    <w:rsid w:val="00981F74"/>
    <w:rsid w:val="0098237C"/>
    <w:rsid w:val="009829B3"/>
    <w:rsid w:val="00982C31"/>
    <w:rsid w:val="00982D45"/>
    <w:rsid w:val="00983165"/>
    <w:rsid w:val="00983343"/>
    <w:rsid w:val="009833C4"/>
    <w:rsid w:val="009834E0"/>
    <w:rsid w:val="009838FF"/>
    <w:rsid w:val="00984149"/>
    <w:rsid w:val="00984788"/>
    <w:rsid w:val="00984909"/>
    <w:rsid w:val="00984FF3"/>
    <w:rsid w:val="00984FF9"/>
    <w:rsid w:val="009850C5"/>
    <w:rsid w:val="0098516C"/>
    <w:rsid w:val="00985208"/>
    <w:rsid w:val="00986326"/>
    <w:rsid w:val="00986849"/>
    <w:rsid w:val="00986BB7"/>
    <w:rsid w:val="00986D4B"/>
    <w:rsid w:val="00986F6D"/>
    <w:rsid w:val="0098727C"/>
    <w:rsid w:val="00987708"/>
    <w:rsid w:val="00987DF0"/>
    <w:rsid w:val="00987E2E"/>
    <w:rsid w:val="0099008B"/>
    <w:rsid w:val="00990387"/>
    <w:rsid w:val="0099177B"/>
    <w:rsid w:val="00991B8C"/>
    <w:rsid w:val="0099367E"/>
    <w:rsid w:val="00993FE4"/>
    <w:rsid w:val="0099425E"/>
    <w:rsid w:val="00994CDC"/>
    <w:rsid w:val="009969CD"/>
    <w:rsid w:val="00997159"/>
    <w:rsid w:val="009972FC"/>
    <w:rsid w:val="0099770A"/>
    <w:rsid w:val="00997769"/>
    <w:rsid w:val="00997A2E"/>
    <w:rsid w:val="009A048E"/>
    <w:rsid w:val="009A119F"/>
    <w:rsid w:val="009A1609"/>
    <w:rsid w:val="009A16A3"/>
    <w:rsid w:val="009A1A7E"/>
    <w:rsid w:val="009A3480"/>
    <w:rsid w:val="009A3DB8"/>
    <w:rsid w:val="009A43B3"/>
    <w:rsid w:val="009A464D"/>
    <w:rsid w:val="009A496F"/>
    <w:rsid w:val="009A4B78"/>
    <w:rsid w:val="009A4D73"/>
    <w:rsid w:val="009A4E41"/>
    <w:rsid w:val="009A5297"/>
    <w:rsid w:val="009A5851"/>
    <w:rsid w:val="009A5C0C"/>
    <w:rsid w:val="009A5D40"/>
    <w:rsid w:val="009A5E10"/>
    <w:rsid w:val="009A6665"/>
    <w:rsid w:val="009A743F"/>
    <w:rsid w:val="009A74F7"/>
    <w:rsid w:val="009B00F2"/>
    <w:rsid w:val="009B0E67"/>
    <w:rsid w:val="009B0FB2"/>
    <w:rsid w:val="009B1113"/>
    <w:rsid w:val="009B1C34"/>
    <w:rsid w:val="009B1D22"/>
    <w:rsid w:val="009B1E86"/>
    <w:rsid w:val="009B27C4"/>
    <w:rsid w:val="009B2BE6"/>
    <w:rsid w:val="009B2D92"/>
    <w:rsid w:val="009B31DE"/>
    <w:rsid w:val="009B3250"/>
    <w:rsid w:val="009B35A6"/>
    <w:rsid w:val="009B42A4"/>
    <w:rsid w:val="009B42D2"/>
    <w:rsid w:val="009B44D0"/>
    <w:rsid w:val="009B4A06"/>
    <w:rsid w:val="009B60EA"/>
    <w:rsid w:val="009B70C8"/>
    <w:rsid w:val="009B737C"/>
    <w:rsid w:val="009B742E"/>
    <w:rsid w:val="009C0AC6"/>
    <w:rsid w:val="009C11B2"/>
    <w:rsid w:val="009C1456"/>
    <w:rsid w:val="009C164F"/>
    <w:rsid w:val="009C1C30"/>
    <w:rsid w:val="009C22DD"/>
    <w:rsid w:val="009C29D5"/>
    <w:rsid w:val="009C30A0"/>
    <w:rsid w:val="009C359E"/>
    <w:rsid w:val="009C37FE"/>
    <w:rsid w:val="009C4082"/>
    <w:rsid w:val="009C4A38"/>
    <w:rsid w:val="009C4A72"/>
    <w:rsid w:val="009C4AD8"/>
    <w:rsid w:val="009C4D3D"/>
    <w:rsid w:val="009C55E2"/>
    <w:rsid w:val="009C5A4E"/>
    <w:rsid w:val="009C5EE5"/>
    <w:rsid w:val="009C61E3"/>
    <w:rsid w:val="009C6B56"/>
    <w:rsid w:val="009C7DB8"/>
    <w:rsid w:val="009C7FF0"/>
    <w:rsid w:val="009D010D"/>
    <w:rsid w:val="009D0244"/>
    <w:rsid w:val="009D0F71"/>
    <w:rsid w:val="009D111C"/>
    <w:rsid w:val="009D17A0"/>
    <w:rsid w:val="009D1F7A"/>
    <w:rsid w:val="009D2873"/>
    <w:rsid w:val="009D2942"/>
    <w:rsid w:val="009D2BB8"/>
    <w:rsid w:val="009D3A1A"/>
    <w:rsid w:val="009D426A"/>
    <w:rsid w:val="009D45A4"/>
    <w:rsid w:val="009D5BDB"/>
    <w:rsid w:val="009D6B03"/>
    <w:rsid w:val="009D6B3D"/>
    <w:rsid w:val="009D7422"/>
    <w:rsid w:val="009D7567"/>
    <w:rsid w:val="009D78E7"/>
    <w:rsid w:val="009E0742"/>
    <w:rsid w:val="009E0B29"/>
    <w:rsid w:val="009E1291"/>
    <w:rsid w:val="009E12BC"/>
    <w:rsid w:val="009E139D"/>
    <w:rsid w:val="009E224D"/>
    <w:rsid w:val="009E26D5"/>
    <w:rsid w:val="009E2A07"/>
    <w:rsid w:val="009E3398"/>
    <w:rsid w:val="009E3577"/>
    <w:rsid w:val="009E37A5"/>
    <w:rsid w:val="009E395B"/>
    <w:rsid w:val="009E3D2B"/>
    <w:rsid w:val="009E3DC2"/>
    <w:rsid w:val="009E3E84"/>
    <w:rsid w:val="009E4053"/>
    <w:rsid w:val="009E4097"/>
    <w:rsid w:val="009E4664"/>
    <w:rsid w:val="009E4D8E"/>
    <w:rsid w:val="009E4E90"/>
    <w:rsid w:val="009E4EB7"/>
    <w:rsid w:val="009E57C1"/>
    <w:rsid w:val="009E624A"/>
    <w:rsid w:val="009E6B32"/>
    <w:rsid w:val="009E7039"/>
    <w:rsid w:val="009E70F3"/>
    <w:rsid w:val="009E70F5"/>
    <w:rsid w:val="009E730A"/>
    <w:rsid w:val="009E7E98"/>
    <w:rsid w:val="009F00EE"/>
    <w:rsid w:val="009F0827"/>
    <w:rsid w:val="009F0BED"/>
    <w:rsid w:val="009F1673"/>
    <w:rsid w:val="009F3255"/>
    <w:rsid w:val="009F341D"/>
    <w:rsid w:val="009F34AA"/>
    <w:rsid w:val="009F3DCE"/>
    <w:rsid w:val="009F44FF"/>
    <w:rsid w:val="009F46E8"/>
    <w:rsid w:val="009F472D"/>
    <w:rsid w:val="009F4CF0"/>
    <w:rsid w:val="009F4E88"/>
    <w:rsid w:val="009F50D1"/>
    <w:rsid w:val="009F573B"/>
    <w:rsid w:val="009F5918"/>
    <w:rsid w:val="009F596D"/>
    <w:rsid w:val="009F6A91"/>
    <w:rsid w:val="009F71A6"/>
    <w:rsid w:val="009F71AA"/>
    <w:rsid w:val="009F754A"/>
    <w:rsid w:val="009F791F"/>
    <w:rsid w:val="009F7F86"/>
    <w:rsid w:val="00A0034D"/>
    <w:rsid w:val="00A00BFB"/>
    <w:rsid w:val="00A00DCF"/>
    <w:rsid w:val="00A0126C"/>
    <w:rsid w:val="00A012DA"/>
    <w:rsid w:val="00A0187E"/>
    <w:rsid w:val="00A026F0"/>
    <w:rsid w:val="00A028CA"/>
    <w:rsid w:val="00A02E29"/>
    <w:rsid w:val="00A02F2D"/>
    <w:rsid w:val="00A02F61"/>
    <w:rsid w:val="00A03529"/>
    <w:rsid w:val="00A03E0E"/>
    <w:rsid w:val="00A040D1"/>
    <w:rsid w:val="00A044B7"/>
    <w:rsid w:val="00A04A0A"/>
    <w:rsid w:val="00A050A8"/>
    <w:rsid w:val="00A056A3"/>
    <w:rsid w:val="00A059AF"/>
    <w:rsid w:val="00A05B51"/>
    <w:rsid w:val="00A06286"/>
    <w:rsid w:val="00A06318"/>
    <w:rsid w:val="00A063BC"/>
    <w:rsid w:val="00A068E1"/>
    <w:rsid w:val="00A06A80"/>
    <w:rsid w:val="00A06D8A"/>
    <w:rsid w:val="00A0711F"/>
    <w:rsid w:val="00A07B0B"/>
    <w:rsid w:val="00A102A0"/>
    <w:rsid w:val="00A10860"/>
    <w:rsid w:val="00A114FA"/>
    <w:rsid w:val="00A11615"/>
    <w:rsid w:val="00A11AF3"/>
    <w:rsid w:val="00A12ACF"/>
    <w:rsid w:val="00A12B42"/>
    <w:rsid w:val="00A12BD4"/>
    <w:rsid w:val="00A12C09"/>
    <w:rsid w:val="00A13084"/>
    <w:rsid w:val="00A1327F"/>
    <w:rsid w:val="00A13817"/>
    <w:rsid w:val="00A138D3"/>
    <w:rsid w:val="00A13E0F"/>
    <w:rsid w:val="00A144B7"/>
    <w:rsid w:val="00A149B4"/>
    <w:rsid w:val="00A14F55"/>
    <w:rsid w:val="00A152D3"/>
    <w:rsid w:val="00A15F4F"/>
    <w:rsid w:val="00A160AB"/>
    <w:rsid w:val="00A16745"/>
    <w:rsid w:val="00A16747"/>
    <w:rsid w:val="00A17BE4"/>
    <w:rsid w:val="00A17E93"/>
    <w:rsid w:val="00A20013"/>
    <w:rsid w:val="00A2056F"/>
    <w:rsid w:val="00A20582"/>
    <w:rsid w:val="00A20C65"/>
    <w:rsid w:val="00A21767"/>
    <w:rsid w:val="00A21FD5"/>
    <w:rsid w:val="00A22751"/>
    <w:rsid w:val="00A22940"/>
    <w:rsid w:val="00A22F63"/>
    <w:rsid w:val="00A23102"/>
    <w:rsid w:val="00A233D8"/>
    <w:rsid w:val="00A2343F"/>
    <w:rsid w:val="00A23505"/>
    <w:rsid w:val="00A2428B"/>
    <w:rsid w:val="00A247E5"/>
    <w:rsid w:val="00A248BD"/>
    <w:rsid w:val="00A24D81"/>
    <w:rsid w:val="00A24EA5"/>
    <w:rsid w:val="00A25173"/>
    <w:rsid w:val="00A252F0"/>
    <w:rsid w:val="00A2542D"/>
    <w:rsid w:val="00A259F2"/>
    <w:rsid w:val="00A26463"/>
    <w:rsid w:val="00A2660E"/>
    <w:rsid w:val="00A26916"/>
    <w:rsid w:val="00A26B47"/>
    <w:rsid w:val="00A26FF1"/>
    <w:rsid w:val="00A27547"/>
    <w:rsid w:val="00A2770B"/>
    <w:rsid w:val="00A27806"/>
    <w:rsid w:val="00A3068C"/>
    <w:rsid w:val="00A3127F"/>
    <w:rsid w:val="00A31922"/>
    <w:rsid w:val="00A31BCC"/>
    <w:rsid w:val="00A31C70"/>
    <w:rsid w:val="00A31C87"/>
    <w:rsid w:val="00A31F7E"/>
    <w:rsid w:val="00A31FE6"/>
    <w:rsid w:val="00A325BB"/>
    <w:rsid w:val="00A3297A"/>
    <w:rsid w:val="00A32A58"/>
    <w:rsid w:val="00A32EEC"/>
    <w:rsid w:val="00A33097"/>
    <w:rsid w:val="00A333A5"/>
    <w:rsid w:val="00A336C5"/>
    <w:rsid w:val="00A339D9"/>
    <w:rsid w:val="00A33BD6"/>
    <w:rsid w:val="00A3510A"/>
    <w:rsid w:val="00A3515F"/>
    <w:rsid w:val="00A35751"/>
    <w:rsid w:val="00A3577F"/>
    <w:rsid w:val="00A35BBC"/>
    <w:rsid w:val="00A35DAB"/>
    <w:rsid w:val="00A36724"/>
    <w:rsid w:val="00A367AF"/>
    <w:rsid w:val="00A36C13"/>
    <w:rsid w:val="00A377C2"/>
    <w:rsid w:val="00A37A31"/>
    <w:rsid w:val="00A40B1F"/>
    <w:rsid w:val="00A40B4D"/>
    <w:rsid w:val="00A411E2"/>
    <w:rsid w:val="00A41373"/>
    <w:rsid w:val="00A41638"/>
    <w:rsid w:val="00A41B15"/>
    <w:rsid w:val="00A4224E"/>
    <w:rsid w:val="00A4229F"/>
    <w:rsid w:val="00A428A9"/>
    <w:rsid w:val="00A42ACA"/>
    <w:rsid w:val="00A4327C"/>
    <w:rsid w:val="00A43496"/>
    <w:rsid w:val="00A43665"/>
    <w:rsid w:val="00A43AAB"/>
    <w:rsid w:val="00A43AFE"/>
    <w:rsid w:val="00A441CC"/>
    <w:rsid w:val="00A447E3"/>
    <w:rsid w:val="00A44AAD"/>
    <w:rsid w:val="00A44D3B"/>
    <w:rsid w:val="00A45241"/>
    <w:rsid w:val="00A45280"/>
    <w:rsid w:val="00A452B8"/>
    <w:rsid w:val="00A45BF7"/>
    <w:rsid w:val="00A463B5"/>
    <w:rsid w:val="00A463BA"/>
    <w:rsid w:val="00A46675"/>
    <w:rsid w:val="00A46A5F"/>
    <w:rsid w:val="00A471A3"/>
    <w:rsid w:val="00A47597"/>
    <w:rsid w:val="00A47E44"/>
    <w:rsid w:val="00A47F91"/>
    <w:rsid w:val="00A507D7"/>
    <w:rsid w:val="00A50A5C"/>
    <w:rsid w:val="00A50BE2"/>
    <w:rsid w:val="00A50CC6"/>
    <w:rsid w:val="00A50E40"/>
    <w:rsid w:val="00A51462"/>
    <w:rsid w:val="00A51946"/>
    <w:rsid w:val="00A51FF7"/>
    <w:rsid w:val="00A52079"/>
    <w:rsid w:val="00A52143"/>
    <w:rsid w:val="00A521E9"/>
    <w:rsid w:val="00A5298E"/>
    <w:rsid w:val="00A52B3E"/>
    <w:rsid w:val="00A5313B"/>
    <w:rsid w:val="00A5320E"/>
    <w:rsid w:val="00A53F7B"/>
    <w:rsid w:val="00A54090"/>
    <w:rsid w:val="00A541F3"/>
    <w:rsid w:val="00A54282"/>
    <w:rsid w:val="00A549D3"/>
    <w:rsid w:val="00A54DF0"/>
    <w:rsid w:val="00A55616"/>
    <w:rsid w:val="00A566D5"/>
    <w:rsid w:val="00A57E98"/>
    <w:rsid w:val="00A60017"/>
    <w:rsid w:val="00A60849"/>
    <w:rsid w:val="00A6105B"/>
    <w:rsid w:val="00A61355"/>
    <w:rsid w:val="00A61668"/>
    <w:rsid w:val="00A621D3"/>
    <w:rsid w:val="00A628F8"/>
    <w:rsid w:val="00A62B7A"/>
    <w:rsid w:val="00A631A1"/>
    <w:rsid w:val="00A632EA"/>
    <w:rsid w:val="00A6339D"/>
    <w:rsid w:val="00A634BE"/>
    <w:rsid w:val="00A63AD7"/>
    <w:rsid w:val="00A63BFD"/>
    <w:rsid w:val="00A63E61"/>
    <w:rsid w:val="00A6491F"/>
    <w:rsid w:val="00A64A9E"/>
    <w:rsid w:val="00A64C72"/>
    <w:rsid w:val="00A64D1A"/>
    <w:rsid w:val="00A65320"/>
    <w:rsid w:val="00A65BA5"/>
    <w:rsid w:val="00A66354"/>
    <w:rsid w:val="00A66E37"/>
    <w:rsid w:val="00A66ECF"/>
    <w:rsid w:val="00A67681"/>
    <w:rsid w:val="00A67A20"/>
    <w:rsid w:val="00A67E38"/>
    <w:rsid w:val="00A703E4"/>
    <w:rsid w:val="00A704C9"/>
    <w:rsid w:val="00A70DC6"/>
    <w:rsid w:val="00A71080"/>
    <w:rsid w:val="00A71986"/>
    <w:rsid w:val="00A71E3D"/>
    <w:rsid w:val="00A71E73"/>
    <w:rsid w:val="00A72740"/>
    <w:rsid w:val="00A73A64"/>
    <w:rsid w:val="00A742AD"/>
    <w:rsid w:val="00A746D7"/>
    <w:rsid w:val="00A74AB2"/>
    <w:rsid w:val="00A75A27"/>
    <w:rsid w:val="00A75A46"/>
    <w:rsid w:val="00A75B36"/>
    <w:rsid w:val="00A7623B"/>
    <w:rsid w:val="00A7660A"/>
    <w:rsid w:val="00A7663A"/>
    <w:rsid w:val="00A7691D"/>
    <w:rsid w:val="00A7696B"/>
    <w:rsid w:val="00A769D4"/>
    <w:rsid w:val="00A8008F"/>
    <w:rsid w:val="00A804C7"/>
    <w:rsid w:val="00A80857"/>
    <w:rsid w:val="00A80A39"/>
    <w:rsid w:val="00A80DF0"/>
    <w:rsid w:val="00A80E64"/>
    <w:rsid w:val="00A81A16"/>
    <w:rsid w:val="00A823A7"/>
    <w:rsid w:val="00A824D4"/>
    <w:rsid w:val="00A825C8"/>
    <w:rsid w:val="00A82742"/>
    <w:rsid w:val="00A82A29"/>
    <w:rsid w:val="00A83984"/>
    <w:rsid w:val="00A83A1E"/>
    <w:rsid w:val="00A84198"/>
    <w:rsid w:val="00A841AB"/>
    <w:rsid w:val="00A84FFD"/>
    <w:rsid w:val="00A856A9"/>
    <w:rsid w:val="00A86104"/>
    <w:rsid w:val="00A8655A"/>
    <w:rsid w:val="00A87203"/>
    <w:rsid w:val="00A87744"/>
    <w:rsid w:val="00A87AE6"/>
    <w:rsid w:val="00A87B09"/>
    <w:rsid w:val="00A87C22"/>
    <w:rsid w:val="00A90590"/>
    <w:rsid w:val="00A90856"/>
    <w:rsid w:val="00A90A39"/>
    <w:rsid w:val="00A90A97"/>
    <w:rsid w:val="00A90CB4"/>
    <w:rsid w:val="00A910DA"/>
    <w:rsid w:val="00A920E1"/>
    <w:rsid w:val="00A92998"/>
    <w:rsid w:val="00A933AE"/>
    <w:rsid w:val="00A93863"/>
    <w:rsid w:val="00A93928"/>
    <w:rsid w:val="00A93F73"/>
    <w:rsid w:val="00A9415E"/>
    <w:rsid w:val="00A9423F"/>
    <w:rsid w:val="00A94EBD"/>
    <w:rsid w:val="00A9510D"/>
    <w:rsid w:val="00A95580"/>
    <w:rsid w:val="00A956AC"/>
    <w:rsid w:val="00A95D2A"/>
    <w:rsid w:val="00A961D6"/>
    <w:rsid w:val="00A96214"/>
    <w:rsid w:val="00A967E8"/>
    <w:rsid w:val="00A97F4B"/>
    <w:rsid w:val="00AA04C5"/>
    <w:rsid w:val="00AA10B1"/>
    <w:rsid w:val="00AA2803"/>
    <w:rsid w:val="00AA2BF2"/>
    <w:rsid w:val="00AA2D68"/>
    <w:rsid w:val="00AA2D6F"/>
    <w:rsid w:val="00AA2E92"/>
    <w:rsid w:val="00AA3987"/>
    <w:rsid w:val="00AA3B68"/>
    <w:rsid w:val="00AA3E79"/>
    <w:rsid w:val="00AA4FB4"/>
    <w:rsid w:val="00AA5C0B"/>
    <w:rsid w:val="00AA5E3B"/>
    <w:rsid w:val="00AA63AD"/>
    <w:rsid w:val="00AA65B4"/>
    <w:rsid w:val="00AA6A75"/>
    <w:rsid w:val="00AA745E"/>
    <w:rsid w:val="00AB04AB"/>
    <w:rsid w:val="00AB0733"/>
    <w:rsid w:val="00AB09D2"/>
    <w:rsid w:val="00AB0B64"/>
    <w:rsid w:val="00AB0C30"/>
    <w:rsid w:val="00AB14D3"/>
    <w:rsid w:val="00AB176B"/>
    <w:rsid w:val="00AB2C5F"/>
    <w:rsid w:val="00AB37E6"/>
    <w:rsid w:val="00AB3DBA"/>
    <w:rsid w:val="00AB431C"/>
    <w:rsid w:val="00AB470E"/>
    <w:rsid w:val="00AB4C80"/>
    <w:rsid w:val="00AB506B"/>
    <w:rsid w:val="00AB5467"/>
    <w:rsid w:val="00AB5883"/>
    <w:rsid w:val="00AB5A7E"/>
    <w:rsid w:val="00AB7538"/>
    <w:rsid w:val="00AB77F3"/>
    <w:rsid w:val="00AC0256"/>
    <w:rsid w:val="00AC0AAD"/>
    <w:rsid w:val="00AC1231"/>
    <w:rsid w:val="00AC1992"/>
    <w:rsid w:val="00AC1E14"/>
    <w:rsid w:val="00AC2CFA"/>
    <w:rsid w:val="00AC3263"/>
    <w:rsid w:val="00AC337E"/>
    <w:rsid w:val="00AC3E12"/>
    <w:rsid w:val="00AC406E"/>
    <w:rsid w:val="00AC417C"/>
    <w:rsid w:val="00AC430C"/>
    <w:rsid w:val="00AC4951"/>
    <w:rsid w:val="00AC49C9"/>
    <w:rsid w:val="00AC4A6B"/>
    <w:rsid w:val="00AC5C19"/>
    <w:rsid w:val="00AC60F0"/>
    <w:rsid w:val="00AC63C7"/>
    <w:rsid w:val="00AC6657"/>
    <w:rsid w:val="00AC6D7A"/>
    <w:rsid w:val="00AC7363"/>
    <w:rsid w:val="00AC7401"/>
    <w:rsid w:val="00AC7901"/>
    <w:rsid w:val="00AC79F3"/>
    <w:rsid w:val="00AC7FDD"/>
    <w:rsid w:val="00AD0949"/>
    <w:rsid w:val="00AD0F1D"/>
    <w:rsid w:val="00AD1179"/>
    <w:rsid w:val="00AD1359"/>
    <w:rsid w:val="00AD19F0"/>
    <w:rsid w:val="00AD1FCE"/>
    <w:rsid w:val="00AD26E1"/>
    <w:rsid w:val="00AD29CC"/>
    <w:rsid w:val="00AD3268"/>
    <w:rsid w:val="00AD3652"/>
    <w:rsid w:val="00AD3D6C"/>
    <w:rsid w:val="00AD3DE2"/>
    <w:rsid w:val="00AD4261"/>
    <w:rsid w:val="00AD46F5"/>
    <w:rsid w:val="00AD51A3"/>
    <w:rsid w:val="00AD598B"/>
    <w:rsid w:val="00AD7154"/>
    <w:rsid w:val="00AD793C"/>
    <w:rsid w:val="00AD797D"/>
    <w:rsid w:val="00AD7E02"/>
    <w:rsid w:val="00AE0034"/>
    <w:rsid w:val="00AE0483"/>
    <w:rsid w:val="00AE08DD"/>
    <w:rsid w:val="00AE13BD"/>
    <w:rsid w:val="00AE1ABF"/>
    <w:rsid w:val="00AE1AF9"/>
    <w:rsid w:val="00AE1E60"/>
    <w:rsid w:val="00AE2068"/>
    <w:rsid w:val="00AE2258"/>
    <w:rsid w:val="00AE277E"/>
    <w:rsid w:val="00AE2A36"/>
    <w:rsid w:val="00AE2BC6"/>
    <w:rsid w:val="00AE3251"/>
    <w:rsid w:val="00AE33DA"/>
    <w:rsid w:val="00AE3E3C"/>
    <w:rsid w:val="00AE3FE0"/>
    <w:rsid w:val="00AE5058"/>
    <w:rsid w:val="00AE51CD"/>
    <w:rsid w:val="00AE5471"/>
    <w:rsid w:val="00AE54AA"/>
    <w:rsid w:val="00AE593B"/>
    <w:rsid w:val="00AE60E4"/>
    <w:rsid w:val="00AE6872"/>
    <w:rsid w:val="00AE6C58"/>
    <w:rsid w:val="00AE72C4"/>
    <w:rsid w:val="00AE7F05"/>
    <w:rsid w:val="00AE7F38"/>
    <w:rsid w:val="00AF054D"/>
    <w:rsid w:val="00AF0939"/>
    <w:rsid w:val="00AF0981"/>
    <w:rsid w:val="00AF0F9C"/>
    <w:rsid w:val="00AF10F0"/>
    <w:rsid w:val="00AF18E2"/>
    <w:rsid w:val="00AF19C4"/>
    <w:rsid w:val="00AF24E7"/>
    <w:rsid w:val="00AF272B"/>
    <w:rsid w:val="00AF291B"/>
    <w:rsid w:val="00AF2DAA"/>
    <w:rsid w:val="00AF2EBD"/>
    <w:rsid w:val="00AF33AE"/>
    <w:rsid w:val="00AF3CDC"/>
    <w:rsid w:val="00AF44B1"/>
    <w:rsid w:val="00AF5800"/>
    <w:rsid w:val="00AF6986"/>
    <w:rsid w:val="00AF69FE"/>
    <w:rsid w:val="00AF6A77"/>
    <w:rsid w:val="00AF6D1B"/>
    <w:rsid w:val="00AF73ED"/>
    <w:rsid w:val="00AF76A8"/>
    <w:rsid w:val="00AF7D69"/>
    <w:rsid w:val="00AF7ED2"/>
    <w:rsid w:val="00B004D8"/>
    <w:rsid w:val="00B00830"/>
    <w:rsid w:val="00B00CC5"/>
    <w:rsid w:val="00B016D2"/>
    <w:rsid w:val="00B02091"/>
    <w:rsid w:val="00B0250E"/>
    <w:rsid w:val="00B02B43"/>
    <w:rsid w:val="00B03697"/>
    <w:rsid w:val="00B03D36"/>
    <w:rsid w:val="00B04540"/>
    <w:rsid w:val="00B046F1"/>
    <w:rsid w:val="00B05116"/>
    <w:rsid w:val="00B051A7"/>
    <w:rsid w:val="00B05F1A"/>
    <w:rsid w:val="00B066A2"/>
    <w:rsid w:val="00B06D58"/>
    <w:rsid w:val="00B07B33"/>
    <w:rsid w:val="00B07FA2"/>
    <w:rsid w:val="00B100CF"/>
    <w:rsid w:val="00B1074F"/>
    <w:rsid w:val="00B10E82"/>
    <w:rsid w:val="00B111A6"/>
    <w:rsid w:val="00B115E5"/>
    <w:rsid w:val="00B118EE"/>
    <w:rsid w:val="00B11B03"/>
    <w:rsid w:val="00B11C5B"/>
    <w:rsid w:val="00B121CD"/>
    <w:rsid w:val="00B12343"/>
    <w:rsid w:val="00B12529"/>
    <w:rsid w:val="00B128C5"/>
    <w:rsid w:val="00B12B11"/>
    <w:rsid w:val="00B12C94"/>
    <w:rsid w:val="00B135AB"/>
    <w:rsid w:val="00B135DC"/>
    <w:rsid w:val="00B13797"/>
    <w:rsid w:val="00B137BF"/>
    <w:rsid w:val="00B13A1B"/>
    <w:rsid w:val="00B13A76"/>
    <w:rsid w:val="00B142D9"/>
    <w:rsid w:val="00B145D5"/>
    <w:rsid w:val="00B14BC4"/>
    <w:rsid w:val="00B158A3"/>
    <w:rsid w:val="00B15B25"/>
    <w:rsid w:val="00B15C36"/>
    <w:rsid w:val="00B15EA0"/>
    <w:rsid w:val="00B16069"/>
    <w:rsid w:val="00B16F73"/>
    <w:rsid w:val="00B1745A"/>
    <w:rsid w:val="00B17785"/>
    <w:rsid w:val="00B17A19"/>
    <w:rsid w:val="00B17A4E"/>
    <w:rsid w:val="00B17B30"/>
    <w:rsid w:val="00B17C2F"/>
    <w:rsid w:val="00B2153E"/>
    <w:rsid w:val="00B218CB"/>
    <w:rsid w:val="00B21FA7"/>
    <w:rsid w:val="00B22022"/>
    <w:rsid w:val="00B225E4"/>
    <w:rsid w:val="00B23223"/>
    <w:rsid w:val="00B23F7A"/>
    <w:rsid w:val="00B240B1"/>
    <w:rsid w:val="00B24208"/>
    <w:rsid w:val="00B24374"/>
    <w:rsid w:val="00B24728"/>
    <w:rsid w:val="00B248A9"/>
    <w:rsid w:val="00B2490A"/>
    <w:rsid w:val="00B24BE3"/>
    <w:rsid w:val="00B24D28"/>
    <w:rsid w:val="00B24F1C"/>
    <w:rsid w:val="00B25D76"/>
    <w:rsid w:val="00B27032"/>
    <w:rsid w:val="00B27085"/>
    <w:rsid w:val="00B27583"/>
    <w:rsid w:val="00B30003"/>
    <w:rsid w:val="00B3015C"/>
    <w:rsid w:val="00B30642"/>
    <w:rsid w:val="00B31201"/>
    <w:rsid w:val="00B31B4B"/>
    <w:rsid w:val="00B31E36"/>
    <w:rsid w:val="00B32E26"/>
    <w:rsid w:val="00B338B7"/>
    <w:rsid w:val="00B34061"/>
    <w:rsid w:val="00B34376"/>
    <w:rsid w:val="00B3440A"/>
    <w:rsid w:val="00B34441"/>
    <w:rsid w:val="00B35533"/>
    <w:rsid w:val="00B35534"/>
    <w:rsid w:val="00B35A87"/>
    <w:rsid w:val="00B35AFD"/>
    <w:rsid w:val="00B35F9A"/>
    <w:rsid w:val="00B3609C"/>
    <w:rsid w:val="00B36236"/>
    <w:rsid w:val="00B3662E"/>
    <w:rsid w:val="00B36645"/>
    <w:rsid w:val="00B366D2"/>
    <w:rsid w:val="00B366FA"/>
    <w:rsid w:val="00B36E86"/>
    <w:rsid w:val="00B379BA"/>
    <w:rsid w:val="00B40B30"/>
    <w:rsid w:val="00B40E47"/>
    <w:rsid w:val="00B412FD"/>
    <w:rsid w:val="00B41E1C"/>
    <w:rsid w:val="00B422BE"/>
    <w:rsid w:val="00B4241D"/>
    <w:rsid w:val="00B426BB"/>
    <w:rsid w:val="00B42EB9"/>
    <w:rsid w:val="00B436F0"/>
    <w:rsid w:val="00B441FE"/>
    <w:rsid w:val="00B44821"/>
    <w:rsid w:val="00B44AD3"/>
    <w:rsid w:val="00B450EB"/>
    <w:rsid w:val="00B45152"/>
    <w:rsid w:val="00B454DD"/>
    <w:rsid w:val="00B45E54"/>
    <w:rsid w:val="00B460B8"/>
    <w:rsid w:val="00B464E4"/>
    <w:rsid w:val="00B4689A"/>
    <w:rsid w:val="00B46D5F"/>
    <w:rsid w:val="00B46E7B"/>
    <w:rsid w:val="00B47DC5"/>
    <w:rsid w:val="00B50395"/>
    <w:rsid w:val="00B505B3"/>
    <w:rsid w:val="00B50882"/>
    <w:rsid w:val="00B50A74"/>
    <w:rsid w:val="00B5199C"/>
    <w:rsid w:val="00B520A0"/>
    <w:rsid w:val="00B5257E"/>
    <w:rsid w:val="00B525CE"/>
    <w:rsid w:val="00B52CFD"/>
    <w:rsid w:val="00B545A8"/>
    <w:rsid w:val="00B54E0B"/>
    <w:rsid w:val="00B56527"/>
    <w:rsid w:val="00B56706"/>
    <w:rsid w:val="00B57019"/>
    <w:rsid w:val="00B576DA"/>
    <w:rsid w:val="00B57710"/>
    <w:rsid w:val="00B601C9"/>
    <w:rsid w:val="00B60D04"/>
    <w:rsid w:val="00B6158F"/>
    <w:rsid w:val="00B61EE8"/>
    <w:rsid w:val="00B633A3"/>
    <w:rsid w:val="00B63533"/>
    <w:rsid w:val="00B63BDB"/>
    <w:rsid w:val="00B640D9"/>
    <w:rsid w:val="00B64A0E"/>
    <w:rsid w:val="00B64DDF"/>
    <w:rsid w:val="00B6601E"/>
    <w:rsid w:val="00B663AA"/>
    <w:rsid w:val="00B66DD5"/>
    <w:rsid w:val="00B67722"/>
    <w:rsid w:val="00B67B97"/>
    <w:rsid w:val="00B67F01"/>
    <w:rsid w:val="00B70329"/>
    <w:rsid w:val="00B711AB"/>
    <w:rsid w:val="00B714F0"/>
    <w:rsid w:val="00B71A40"/>
    <w:rsid w:val="00B71C8C"/>
    <w:rsid w:val="00B71CB4"/>
    <w:rsid w:val="00B71FD7"/>
    <w:rsid w:val="00B725E7"/>
    <w:rsid w:val="00B72C07"/>
    <w:rsid w:val="00B72DF7"/>
    <w:rsid w:val="00B72F42"/>
    <w:rsid w:val="00B73E44"/>
    <w:rsid w:val="00B74290"/>
    <w:rsid w:val="00B74510"/>
    <w:rsid w:val="00B74BD4"/>
    <w:rsid w:val="00B74BF7"/>
    <w:rsid w:val="00B751CD"/>
    <w:rsid w:val="00B760FD"/>
    <w:rsid w:val="00B76185"/>
    <w:rsid w:val="00B76BCD"/>
    <w:rsid w:val="00B779E6"/>
    <w:rsid w:val="00B804E2"/>
    <w:rsid w:val="00B811B2"/>
    <w:rsid w:val="00B81BA3"/>
    <w:rsid w:val="00B82213"/>
    <w:rsid w:val="00B8276E"/>
    <w:rsid w:val="00B827A7"/>
    <w:rsid w:val="00B82912"/>
    <w:rsid w:val="00B839A9"/>
    <w:rsid w:val="00B83A62"/>
    <w:rsid w:val="00B83B59"/>
    <w:rsid w:val="00B84252"/>
    <w:rsid w:val="00B8468F"/>
    <w:rsid w:val="00B849F1"/>
    <w:rsid w:val="00B84FC6"/>
    <w:rsid w:val="00B857F5"/>
    <w:rsid w:val="00B86D6C"/>
    <w:rsid w:val="00B86EB5"/>
    <w:rsid w:val="00B86F47"/>
    <w:rsid w:val="00B874B4"/>
    <w:rsid w:val="00B87502"/>
    <w:rsid w:val="00B8787A"/>
    <w:rsid w:val="00B87887"/>
    <w:rsid w:val="00B87A8B"/>
    <w:rsid w:val="00B90123"/>
    <w:rsid w:val="00B90196"/>
    <w:rsid w:val="00B911C1"/>
    <w:rsid w:val="00B91374"/>
    <w:rsid w:val="00B9216A"/>
    <w:rsid w:val="00B922C3"/>
    <w:rsid w:val="00B9272E"/>
    <w:rsid w:val="00B927A7"/>
    <w:rsid w:val="00B92B9E"/>
    <w:rsid w:val="00B93315"/>
    <w:rsid w:val="00B93519"/>
    <w:rsid w:val="00B9372A"/>
    <w:rsid w:val="00B9425C"/>
    <w:rsid w:val="00B9477A"/>
    <w:rsid w:val="00B94AAF"/>
    <w:rsid w:val="00B953FF"/>
    <w:rsid w:val="00B9622D"/>
    <w:rsid w:val="00B96263"/>
    <w:rsid w:val="00B968A5"/>
    <w:rsid w:val="00B972CD"/>
    <w:rsid w:val="00B97D02"/>
    <w:rsid w:val="00BA0304"/>
    <w:rsid w:val="00BA0557"/>
    <w:rsid w:val="00BA19C4"/>
    <w:rsid w:val="00BA3038"/>
    <w:rsid w:val="00BA370A"/>
    <w:rsid w:val="00BA48BC"/>
    <w:rsid w:val="00BA4A29"/>
    <w:rsid w:val="00BA4BE7"/>
    <w:rsid w:val="00BA5F20"/>
    <w:rsid w:val="00BA5F44"/>
    <w:rsid w:val="00BA68D9"/>
    <w:rsid w:val="00BA695F"/>
    <w:rsid w:val="00BA6FD8"/>
    <w:rsid w:val="00BA7172"/>
    <w:rsid w:val="00BA7B01"/>
    <w:rsid w:val="00BB02D7"/>
    <w:rsid w:val="00BB0D9F"/>
    <w:rsid w:val="00BB0DEE"/>
    <w:rsid w:val="00BB0F93"/>
    <w:rsid w:val="00BB1031"/>
    <w:rsid w:val="00BB1B33"/>
    <w:rsid w:val="00BB2480"/>
    <w:rsid w:val="00BB27FD"/>
    <w:rsid w:val="00BB2C4E"/>
    <w:rsid w:val="00BB2E29"/>
    <w:rsid w:val="00BB2F74"/>
    <w:rsid w:val="00BB3206"/>
    <w:rsid w:val="00BB3277"/>
    <w:rsid w:val="00BB32C2"/>
    <w:rsid w:val="00BB39BF"/>
    <w:rsid w:val="00BB3B0D"/>
    <w:rsid w:val="00BB4927"/>
    <w:rsid w:val="00BB524C"/>
    <w:rsid w:val="00BB5DAB"/>
    <w:rsid w:val="00BB6195"/>
    <w:rsid w:val="00BB61A3"/>
    <w:rsid w:val="00BB67EA"/>
    <w:rsid w:val="00BB707E"/>
    <w:rsid w:val="00BB7568"/>
    <w:rsid w:val="00BC007C"/>
    <w:rsid w:val="00BC0986"/>
    <w:rsid w:val="00BC0AB2"/>
    <w:rsid w:val="00BC1308"/>
    <w:rsid w:val="00BC1BF4"/>
    <w:rsid w:val="00BC2600"/>
    <w:rsid w:val="00BC2F24"/>
    <w:rsid w:val="00BC33BE"/>
    <w:rsid w:val="00BC3A47"/>
    <w:rsid w:val="00BC3EEB"/>
    <w:rsid w:val="00BC4780"/>
    <w:rsid w:val="00BC4CDB"/>
    <w:rsid w:val="00BC52C8"/>
    <w:rsid w:val="00BC5485"/>
    <w:rsid w:val="00BC549C"/>
    <w:rsid w:val="00BC570E"/>
    <w:rsid w:val="00BC5A6C"/>
    <w:rsid w:val="00BC5AF6"/>
    <w:rsid w:val="00BC5B4B"/>
    <w:rsid w:val="00BC5E93"/>
    <w:rsid w:val="00BC5EDB"/>
    <w:rsid w:val="00BC69A2"/>
    <w:rsid w:val="00BC6ED6"/>
    <w:rsid w:val="00BC6F03"/>
    <w:rsid w:val="00BC6FA1"/>
    <w:rsid w:val="00BC7487"/>
    <w:rsid w:val="00BD0570"/>
    <w:rsid w:val="00BD0853"/>
    <w:rsid w:val="00BD112D"/>
    <w:rsid w:val="00BD214E"/>
    <w:rsid w:val="00BD2395"/>
    <w:rsid w:val="00BD25B8"/>
    <w:rsid w:val="00BD2842"/>
    <w:rsid w:val="00BD3120"/>
    <w:rsid w:val="00BD3354"/>
    <w:rsid w:val="00BD384E"/>
    <w:rsid w:val="00BD3E76"/>
    <w:rsid w:val="00BD3EE2"/>
    <w:rsid w:val="00BD3FCF"/>
    <w:rsid w:val="00BD42D2"/>
    <w:rsid w:val="00BD47D7"/>
    <w:rsid w:val="00BD4EFB"/>
    <w:rsid w:val="00BD5076"/>
    <w:rsid w:val="00BD5551"/>
    <w:rsid w:val="00BD6D43"/>
    <w:rsid w:val="00BD7090"/>
    <w:rsid w:val="00BD7490"/>
    <w:rsid w:val="00BD767F"/>
    <w:rsid w:val="00BD7DA0"/>
    <w:rsid w:val="00BE096B"/>
    <w:rsid w:val="00BE09C3"/>
    <w:rsid w:val="00BE0C27"/>
    <w:rsid w:val="00BE0F9B"/>
    <w:rsid w:val="00BE15BB"/>
    <w:rsid w:val="00BE198F"/>
    <w:rsid w:val="00BE3D1E"/>
    <w:rsid w:val="00BE4875"/>
    <w:rsid w:val="00BE4CCF"/>
    <w:rsid w:val="00BE5964"/>
    <w:rsid w:val="00BE5CD3"/>
    <w:rsid w:val="00BE660B"/>
    <w:rsid w:val="00BE6AFE"/>
    <w:rsid w:val="00BE6BBE"/>
    <w:rsid w:val="00BE7021"/>
    <w:rsid w:val="00BE7300"/>
    <w:rsid w:val="00BE76F7"/>
    <w:rsid w:val="00BE784F"/>
    <w:rsid w:val="00BE79C6"/>
    <w:rsid w:val="00BF0238"/>
    <w:rsid w:val="00BF0717"/>
    <w:rsid w:val="00BF1750"/>
    <w:rsid w:val="00BF178E"/>
    <w:rsid w:val="00BF189F"/>
    <w:rsid w:val="00BF1B44"/>
    <w:rsid w:val="00BF1D88"/>
    <w:rsid w:val="00BF1F01"/>
    <w:rsid w:val="00BF1FC2"/>
    <w:rsid w:val="00BF23CC"/>
    <w:rsid w:val="00BF243F"/>
    <w:rsid w:val="00BF2708"/>
    <w:rsid w:val="00BF3284"/>
    <w:rsid w:val="00BF3CDF"/>
    <w:rsid w:val="00BF4C2B"/>
    <w:rsid w:val="00BF507A"/>
    <w:rsid w:val="00BF53F1"/>
    <w:rsid w:val="00BF5717"/>
    <w:rsid w:val="00BF5B9D"/>
    <w:rsid w:val="00BF5C45"/>
    <w:rsid w:val="00BF5FA3"/>
    <w:rsid w:val="00BF62F2"/>
    <w:rsid w:val="00BF63A5"/>
    <w:rsid w:val="00BF72A7"/>
    <w:rsid w:val="00BF7558"/>
    <w:rsid w:val="00BF7DD2"/>
    <w:rsid w:val="00C005A0"/>
    <w:rsid w:val="00C0111E"/>
    <w:rsid w:val="00C02676"/>
    <w:rsid w:val="00C029AB"/>
    <w:rsid w:val="00C02D74"/>
    <w:rsid w:val="00C03BD5"/>
    <w:rsid w:val="00C03C8B"/>
    <w:rsid w:val="00C03F3C"/>
    <w:rsid w:val="00C0425C"/>
    <w:rsid w:val="00C049BE"/>
    <w:rsid w:val="00C04A71"/>
    <w:rsid w:val="00C04DF0"/>
    <w:rsid w:val="00C05A4C"/>
    <w:rsid w:val="00C05A67"/>
    <w:rsid w:val="00C0632D"/>
    <w:rsid w:val="00C0641F"/>
    <w:rsid w:val="00C06C9A"/>
    <w:rsid w:val="00C06E6F"/>
    <w:rsid w:val="00C075DB"/>
    <w:rsid w:val="00C07EBA"/>
    <w:rsid w:val="00C07FBC"/>
    <w:rsid w:val="00C100E2"/>
    <w:rsid w:val="00C100E7"/>
    <w:rsid w:val="00C11113"/>
    <w:rsid w:val="00C11687"/>
    <w:rsid w:val="00C11E28"/>
    <w:rsid w:val="00C11F66"/>
    <w:rsid w:val="00C1225B"/>
    <w:rsid w:val="00C122F9"/>
    <w:rsid w:val="00C1253A"/>
    <w:rsid w:val="00C128C9"/>
    <w:rsid w:val="00C12CF3"/>
    <w:rsid w:val="00C12D98"/>
    <w:rsid w:val="00C12F88"/>
    <w:rsid w:val="00C131A8"/>
    <w:rsid w:val="00C1322D"/>
    <w:rsid w:val="00C135A3"/>
    <w:rsid w:val="00C1477A"/>
    <w:rsid w:val="00C14A62"/>
    <w:rsid w:val="00C14B91"/>
    <w:rsid w:val="00C158EB"/>
    <w:rsid w:val="00C159B1"/>
    <w:rsid w:val="00C15D51"/>
    <w:rsid w:val="00C161F5"/>
    <w:rsid w:val="00C16C92"/>
    <w:rsid w:val="00C16ED6"/>
    <w:rsid w:val="00C1706B"/>
    <w:rsid w:val="00C179BC"/>
    <w:rsid w:val="00C17DB7"/>
    <w:rsid w:val="00C17E48"/>
    <w:rsid w:val="00C17E57"/>
    <w:rsid w:val="00C17F0B"/>
    <w:rsid w:val="00C201E7"/>
    <w:rsid w:val="00C20506"/>
    <w:rsid w:val="00C208C5"/>
    <w:rsid w:val="00C20AA2"/>
    <w:rsid w:val="00C20B91"/>
    <w:rsid w:val="00C21155"/>
    <w:rsid w:val="00C2146C"/>
    <w:rsid w:val="00C214D7"/>
    <w:rsid w:val="00C21561"/>
    <w:rsid w:val="00C217EE"/>
    <w:rsid w:val="00C22784"/>
    <w:rsid w:val="00C22FAA"/>
    <w:rsid w:val="00C23A4C"/>
    <w:rsid w:val="00C2419D"/>
    <w:rsid w:val="00C243A4"/>
    <w:rsid w:val="00C24416"/>
    <w:rsid w:val="00C248DB"/>
    <w:rsid w:val="00C26170"/>
    <w:rsid w:val="00C26B5A"/>
    <w:rsid w:val="00C26BB1"/>
    <w:rsid w:val="00C26D52"/>
    <w:rsid w:val="00C303E4"/>
    <w:rsid w:val="00C30775"/>
    <w:rsid w:val="00C30B8D"/>
    <w:rsid w:val="00C30DBE"/>
    <w:rsid w:val="00C3134E"/>
    <w:rsid w:val="00C315D8"/>
    <w:rsid w:val="00C31C4A"/>
    <w:rsid w:val="00C31D2D"/>
    <w:rsid w:val="00C3209A"/>
    <w:rsid w:val="00C32639"/>
    <w:rsid w:val="00C32808"/>
    <w:rsid w:val="00C32AD2"/>
    <w:rsid w:val="00C33114"/>
    <w:rsid w:val="00C3415E"/>
    <w:rsid w:val="00C34193"/>
    <w:rsid w:val="00C347FD"/>
    <w:rsid w:val="00C34DAE"/>
    <w:rsid w:val="00C34E1E"/>
    <w:rsid w:val="00C34E5A"/>
    <w:rsid w:val="00C35553"/>
    <w:rsid w:val="00C35D9C"/>
    <w:rsid w:val="00C36219"/>
    <w:rsid w:val="00C36656"/>
    <w:rsid w:val="00C3698E"/>
    <w:rsid w:val="00C36CCA"/>
    <w:rsid w:val="00C36E1C"/>
    <w:rsid w:val="00C36F42"/>
    <w:rsid w:val="00C3718A"/>
    <w:rsid w:val="00C379C5"/>
    <w:rsid w:val="00C37EEE"/>
    <w:rsid w:val="00C40453"/>
    <w:rsid w:val="00C404A7"/>
    <w:rsid w:val="00C40E71"/>
    <w:rsid w:val="00C41879"/>
    <w:rsid w:val="00C41A7C"/>
    <w:rsid w:val="00C42CEF"/>
    <w:rsid w:val="00C42D55"/>
    <w:rsid w:val="00C43080"/>
    <w:rsid w:val="00C4370E"/>
    <w:rsid w:val="00C43823"/>
    <w:rsid w:val="00C4384B"/>
    <w:rsid w:val="00C4393C"/>
    <w:rsid w:val="00C43F2D"/>
    <w:rsid w:val="00C44068"/>
    <w:rsid w:val="00C442AE"/>
    <w:rsid w:val="00C44C2B"/>
    <w:rsid w:val="00C4518B"/>
    <w:rsid w:val="00C45780"/>
    <w:rsid w:val="00C458D6"/>
    <w:rsid w:val="00C45919"/>
    <w:rsid w:val="00C45A5C"/>
    <w:rsid w:val="00C4655A"/>
    <w:rsid w:val="00C466BF"/>
    <w:rsid w:val="00C47282"/>
    <w:rsid w:val="00C47385"/>
    <w:rsid w:val="00C47555"/>
    <w:rsid w:val="00C476AC"/>
    <w:rsid w:val="00C47E67"/>
    <w:rsid w:val="00C47FD9"/>
    <w:rsid w:val="00C50C1A"/>
    <w:rsid w:val="00C50E1E"/>
    <w:rsid w:val="00C51132"/>
    <w:rsid w:val="00C511A7"/>
    <w:rsid w:val="00C51508"/>
    <w:rsid w:val="00C51D73"/>
    <w:rsid w:val="00C52A05"/>
    <w:rsid w:val="00C52E97"/>
    <w:rsid w:val="00C52EAF"/>
    <w:rsid w:val="00C52FBA"/>
    <w:rsid w:val="00C53189"/>
    <w:rsid w:val="00C534E5"/>
    <w:rsid w:val="00C534F4"/>
    <w:rsid w:val="00C5375B"/>
    <w:rsid w:val="00C53AD3"/>
    <w:rsid w:val="00C53B15"/>
    <w:rsid w:val="00C53DA9"/>
    <w:rsid w:val="00C53EF7"/>
    <w:rsid w:val="00C54280"/>
    <w:rsid w:val="00C54929"/>
    <w:rsid w:val="00C550B6"/>
    <w:rsid w:val="00C556B1"/>
    <w:rsid w:val="00C55A05"/>
    <w:rsid w:val="00C55F8D"/>
    <w:rsid w:val="00C56101"/>
    <w:rsid w:val="00C565F2"/>
    <w:rsid w:val="00C567E3"/>
    <w:rsid w:val="00C56C45"/>
    <w:rsid w:val="00C573CC"/>
    <w:rsid w:val="00C57B81"/>
    <w:rsid w:val="00C57FB9"/>
    <w:rsid w:val="00C6077B"/>
    <w:rsid w:val="00C60950"/>
    <w:rsid w:val="00C60DD1"/>
    <w:rsid w:val="00C61565"/>
    <w:rsid w:val="00C61574"/>
    <w:rsid w:val="00C615B4"/>
    <w:rsid w:val="00C6184A"/>
    <w:rsid w:val="00C61AC6"/>
    <w:rsid w:val="00C61ACF"/>
    <w:rsid w:val="00C6211D"/>
    <w:rsid w:val="00C62376"/>
    <w:rsid w:val="00C62B32"/>
    <w:rsid w:val="00C62D08"/>
    <w:rsid w:val="00C63DED"/>
    <w:rsid w:val="00C63E88"/>
    <w:rsid w:val="00C6436D"/>
    <w:rsid w:val="00C64F97"/>
    <w:rsid w:val="00C65585"/>
    <w:rsid w:val="00C656EB"/>
    <w:rsid w:val="00C65DF4"/>
    <w:rsid w:val="00C667F0"/>
    <w:rsid w:val="00C66AC8"/>
    <w:rsid w:val="00C67B49"/>
    <w:rsid w:val="00C711F5"/>
    <w:rsid w:val="00C713A1"/>
    <w:rsid w:val="00C714A0"/>
    <w:rsid w:val="00C71828"/>
    <w:rsid w:val="00C72105"/>
    <w:rsid w:val="00C74520"/>
    <w:rsid w:val="00C74954"/>
    <w:rsid w:val="00C75765"/>
    <w:rsid w:val="00C76028"/>
    <w:rsid w:val="00C76184"/>
    <w:rsid w:val="00C76462"/>
    <w:rsid w:val="00C7673D"/>
    <w:rsid w:val="00C76A80"/>
    <w:rsid w:val="00C76C27"/>
    <w:rsid w:val="00C76E09"/>
    <w:rsid w:val="00C76F07"/>
    <w:rsid w:val="00C77EF6"/>
    <w:rsid w:val="00C80B4B"/>
    <w:rsid w:val="00C80D63"/>
    <w:rsid w:val="00C80E85"/>
    <w:rsid w:val="00C8129D"/>
    <w:rsid w:val="00C812D5"/>
    <w:rsid w:val="00C81536"/>
    <w:rsid w:val="00C81BEA"/>
    <w:rsid w:val="00C81DF5"/>
    <w:rsid w:val="00C82188"/>
    <w:rsid w:val="00C8242B"/>
    <w:rsid w:val="00C82A50"/>
    <w:rsid w:val="00C83240"/>
    <w:rsid w:val="00C83381"/>
    <w:rsid w:val="00C83607"/>
    <w:rsid w:val="00C83768"/>
    <w:rsid w:val="00C83B18"/>
    <w:rsid w:val="00C840C3"/>
    <w:rsid w:val="00C841B4"/>
    <w:rsid w:val="00C84266"/>
    <w:rsid w:val="00C8466F"/>
    <w:rsid w:val="00C8489E"/>
    <w:rsid w:val="00C849E0"/>
    <w:rsid w:val="00C84B74"/>
    <w:rsid w:val="00C84CBF"/>
    <w:rsid w:val="00C8512A"/>
    <w:rsid w:val="00C85378"/>
    <w:rsid w:val="00C85970"/>
    <w:rsid w:val="00C85E9B"/>
    <w:rsid w:val="00C874C8"/>
    <w:rsid w:val="00C90165"/>
    <w:rsid w:val="00C902DA"/>
    <w:rsid w:val="00C90733"/>
    <w:rsid w:val="00C921C4"/>
    <w:rsid w:val="00C9235F"/>
    <w:rsid w:val="00C9257F"/>
    <w:rsid w:val="00C9302E"/>
    <w:rsid w:val="00C9319C"/>
    <w:rsid w:val="00C9330C"/>
    <w:rsid w:val="00C9341E"/>
    <w:rsid w:val="00C934F6"/>
    <w:rsid w:val="00C93874"/>
    <w:rsid w:val="00C93A4C"/>
    <w:rsid w:val="00C944EB"/>
    <w:rsid w:val="00C94FD2"/>
    <w:rsid w:val="00C95341"/>
    <w:rsid w:val="00C95B76"/>
    <w:rsid w:val="00C964C3"/>
    <w:rsid w:val="00C964D6"/>
    <w:rsid w:val="00C96635"/>
    <w:rsid w:val="00C966B7"/>
    <w:rsid w:val="00C969DB"/>
    <w:rsid w:val="00C96A6E"/>
    <w:rsid w:val="00C97A4A"/>
    <w:rsid w:val="00C97DC9"/>
    <w:rsid w:val="00C97EE3"/>
    <w:rsid w:val="00C97F78"/>
    <w:rsid w:val="00CA042A"/>
    <w:rsid w:val="00CA12BA"/>
    <w:rsid w:val="00CA165C"/>
    <w:rsid w:val="00CA1C0D"/>
    <w:rsid w:val="00CA1DAE"/>
    <w:rsid w:val="00CA1E62"/>
    <w:rsid w:val="00CA2267"/>
    <w:rsid w:val="00CA38AD"/>
    <w:rsid w:val="00CA3EEE"/>
    <w:rsid w:val="00CA5098"/>
    <w:rsid w:val="00CA5503"/>
    <w:rsid w:val="00CA612D"/>
    <w:rsid w:val="00CA66C3"/>
    <w:rsid w:val="00CA6CAD"/>
    <w:rsid w:val="00CA70A8"/>
    <w:rsid w:val="00CA70B8"/>
    <w:rsid w:val="00CA70D0"/>
    <w:rsid w:val="00CA74A4"/>
    <w:rsid w:val="00CA7683"/>
    <w:rsid w:val="00CA77AE"/>
    <w:rsid w:val="00CA7EA1"/>
    <w:rsid w:val="00CA7EEA"/>
    <w:rsid w:val="00CA7EEB"/>
    <w:rsid w:val="00CB009B"/>
    <w:rsid w:val="00CB0231"/>
    <w:rsid w:val="00CB0838"/>
    <w:rsid w:val="00CB092E"/>
    <w:rsid w:val="00CB1AFD"/>
    <w:rsid w:val="00CB1EB3"/>
    <w:rsid w:val="00CB2126"/>
    <w:rsid w:val="00CB2308"/>
    <w:rsid w:val="00CB24AD"/>
    <w:rsid w:val="00CB2C59"/>
    <w:rsid w:val="00CB2D9C"/>
    <w:rsid w:val="00CB34AB"/>
    <w:rsid w:val="00CB3529"/>
    <w:rsid w:val="00CB38A9"/>
    <w:rsid w:val="00CB4728"/>
    <w:rsid w:val="00CB59E7"/>
    <w:rsid w:val="00CB5D27"/>
    <w:rsid w:val="00CB5E4A"/>
    <w:rsid w:val="00CB6FCA"/>
    <w:rsid w:val="00CB724D"/>
    <w:rsid w:val="00CB73EA"/>
    <w:rsid w:val="00CB76E3"/>
    <w:rsid w:val="00CB7D4E"/>
    <w:rsid w:val="00CB7F12"/>
    <w:rsid w:val="00CB7F1F"/>
    <w:rsid w:val="00CC002B"/>
    <w:rsid w:val="00CC07E5"/>
    <w:rsid w:val="00CC09F0"/>
    <w:rsid w:val="00CC0C11"/>
    <w:rsid w:val="00CC1F52"/>
    <w:rsid w:val="00CC233F"/>
    <w:rsid w:val="00CC27FD"/>
    <w:rsid w:val="00CC29A4"/>
    <w:rsid w:val="00CC31E8"/>
    <w:rsid w:val="00CC3AB9"/>
    <w:rsid w:val="00CC3C9E"/>
    <w:rsid w:val="00CC45E0"/>
    <w:rsid w:val="00CC4BBE"/>
    <w:rsid w:val="00CC4BC3"/>
    <w:rsid w:val="00CC50C7"/>
    <w:rsid w:val="00CC55AC"/>
    <w:rsid w:val="00CC5859"/>
    <w:rsid w:val="00CC66CB"/>
    <w:rsid w:val="00CC6D1C"/>
    <w:rsid w:val="00CC71DD"/>
    <w:rsid w:val="00CC71F3"/>
    <w:rsid w:val="00CC72C0"/>
    <w:rsid w:val="00CC757D"/>
    <w:rsid w:val="00CC7C74"/>
    <w:rsid w:val="00CD00DB"/>
    <w:rsid w:val="00CD0119"/>
    <w:rsid w:val="00CD07FD"/>
    <w:rsid w:val="00CD0866"/>
    <w:rsid w:val="00CD1169"/>
    <w:rsid w:val="00CD15F1"/>
    <w:rsid w:val="00CD16C7"/>
    <w:rsid w:val="00CD1A40"/>
    <w:rsid w:val="00CD1B33"/>
    <w:rsid w:val="00CD25F3"/>
    <w:rsid w:val="00CD27FF"/>
    <w:rsid w:val="00CD2875"/>
    <w:rsid w:val="00CD2DF3"/>
    <w:rsid w:val="00CD305C"/>
    <w:rsid w:val="00CD3A6D"/>
    <w:rsid w:val="00CD3BC4"/>
    <w:rsid w:val="00CD3E5A"/>
    <w:rsid w:val="00CD3E63"/>
    <w:rsid w:val="00CD40A3"/>
    <w:rsid w:val="00CD457E"/>
    <w:rsid w:val="00CD4CD3"/>
    <w:rsid w:val="00CD589F"/>
    <w:rsid w:val="00CD60C9"/>
    <w:rsid w:val="00CD6345"/>
    <w:rsid w:val="00CD6835"/>
    <w:rsid w:val="00CD6BBB"/>
    <w:rsid w:val="00CD7482"/>
    <w:rsid w:val="00CE05BD"/>
    <w:rsid w:val="00CE07C1"/>
    <w:rsid w:val="00CE1567"/>
    <w:rsid w:val="00CE1859"/>
    <w:rsid w:val="00CE186F"/>
    <w:rsid w:val="00CE20E3"/>
    <w:rsid w:val="00CE273A"/>
    <w:rsid w:val="00CE321C"/>
    <w:rsid w:val="00CE32E8"/>
    <w:rsid w:val="00CE353C"/>
    <w:rsid w:val="00CE3700"/>
    <w:rsid w:val="00CE3B69"/>
    <w:rsid w:val="00CE4559"/>
    <w:rsid w:val="00CE4B49"/>
    <w:rsid w:val="00CE5118"/>
    <w:rsid w:val="00CE5487"/>
    <w:rsid w:val="00CE59B5"/>
    <w:rsid w:val="00CE59DB"/>
    <w:rsid w:val="00CE5D3A"/>
    <w:rsid w:val="00CE67D8"/>
    <w:rsid w:val="00CE68EA"/>
    <w:rsid w:val="00CE7381"/>
    <w:rsid w:val="00CE7447"/>
    <w:rsid w:val="00CE74CE"/>
    <w:rsid w:val="00CE7510"/>
    <w:rsid w:val="00CF0829"/>
    <w:rsid w:val="00CF0E74"/>
    <w:rsid w:val="00CF1833"/>
    <w:rsid w:val="00CF1AEA"/>
    <w:rsid w:val="00CF2091"/>
    <w:rsid w:val="00CF21F6"/>
    <w:rsid w:val="00CF2278"/>
    <w:rsid w:val="00CF2C62"/>
    <w:rsid w:val="00CF2F66"/>
    <w:rsid w:val="00CF337B"/>
    <w:rsid w:val="00CF3FE7"/>
    <w:rsid w:val="00CF4416"/>
    <w:rsid w:val="00CF5762"/>
    <w:rsid w:val="00CF65B4"/>
    <w:rsid w:val="00CF6806"/>
    <w:rsid w:val="00CF69B0"/>
    <w:rsid w:val="00CF6C05"/>
    <w:rsid w:val="00CF709F"/>
    <w:rsid w:val="00CF7485"/>
    <w:rsid w:val="00CF7E56"/>
    <w:rsid w:val="00D00FCA"/>
    <w:rsid w:val="00D01744"/>
    <w:rsid w:val="00D01C03"/>
    <w:rsid w:val="00D025CE"/>
    <w:rsid w:val="00D026A3"/>
    <w:rsid w:val="00D02A0F"/>
    <w:rsid w:val="00D02CA6"/>
    <w:rsid w:val="00D02DF3"/>
    <w:rsid w:val="00D03181"/>
    <w:rsid w:val="00D037DC"/>
    <w:rsid w:val="00D0383B"/>
    <w:rsid w:val="00D03A8A"/>
    <w:rsid w:val="00D03DA5"/>
    <w:rsid w:val="00D03F27"/>
    <w:rsid w:val="00D043EE"/>
    <w:rsid w:val="00D0470D"/>
    <w:rsid w:val="00D05249"/>
    <w:rsid w:val="00D055CA"/>
    <w:rsid w:val="00D059FC"/>
    <w:rsid w:val="00D05DEF"/>
    <w:rsid w:val="00D06861"/>
    <w:rsid w:val="00D0688A"/>
    <w:rsid w:val="00D06F22"/>
    <w:rsid w:val="00D07A9C"/>
    <w:rsid w:val="00D07B44"/>
    <w:rsid w:val="00D10076"/>
    <w:rsid w:val="00D1033B"/>
    <w:rsid w:val="00D10477"/>
    <w:rsid w:val="00D107E2"/>
    <w:rsid w:val="00D11D76"/>
    <w:rsid w:val="00D121F5"/>
    <w:rsid w:val="00D126E4"/>
    <w:rsid w:val="00D131BF"/>
    <w:rsid w:val="00D136AD"/>
    <w:rsid w:val="00D13A90"/>
    <w:rsid w:val="00D140E6"/>
    <w:rsid w:val="00D14C7E"/>
    <w:rsid w:val="00D158EF"/>
    <w:rsid w:val="00D15C14"/>
    <w:rsid w:val="00D15E74"/>
    <w:rsid w:val="00D15FAA"/>
    <w:rsid w:val="00D16ECB"/>
    <w:rsid w:val="00D16EEE"/>
    <w:rsid w:val="00D17167"/>
    <w:rsid w:val="00D17BA5"/>
    <w:rsid w:val="00D17D56"/>
    <w:rsid w:val="00D2058D"/>
    <w:rsid w:val="00D208E9"/>
    <w:rsid w:val="00D2176E"/>
    <w:rsid w:val="00D2182A"/>
    <w:rsid w:val="00D218BC"/>
    <w:rsid w:val="00D2193D"/>
    <w:rsid w:val="00D22105"/>
    <w:rsid w:val="00D2211C"/>
    <w:rsid w:val="00D22B55"/>
    <w:rsid w:val="00D22C81"/>
    <w:rsid w:val="00D23055"/>
    <w:rsid w:val="00D230AD"/>
    <w:rsid w:val="00D2320E"/>
    <w:rsid w:val="00D2327A"/>
    <w:rsid w:val="00D251AB"/>
    <w:rsid w:val="00D25240"/>
    <w:rsid w:val="00D25AC6"/>
    <w:rsid w:val="00D25BF1"/>
    <w:rsid w:val="00D261D3"/>
    <w:rsid w:val="00D27086"/>
    <w:rsid w:val="00D319DF"/>
    <w:rsid w:val="00D31C02"/>
    <w:rsid w:val="00D3225E"/>
    <w:rsid w:val="00D324BC"/>
    <w:rsid w:val="00D32B9F"/>
    <w:rsid w:val="00D331A5"/>
    <w:rsid w:val="00D33565"/>
    <w:rsid w:val="00D33761"/>
    <w:rsid w:val="00D33762"/>
    <w:rsid w:val="00D33998"/>
    <w:rsid w:val="00D342BA"/>
    <w:rsid w:val="00D34BD1"/>
    <w:rsid w:val="00D35177"/>
    <w:rsid w:val="00D356E1"/>
    <w:rsid w:val="00D40609"/>
    <w:rsid w:val="00D40983"/>
    <w:rsid w:val="00D409ED"/>
    <w:rsid w:val="00D40B3B"/>
    <w:rsid w:val="00D41188"/>
    <w:rsid w:val="00D417D3"/>
    <w:rsid w:val="00D418D5"/>
    <w:rsid w:val="00D41DB1"/>
    <w:rsid w:val="00D42147"/>
    <w:rsid w:val="00D4276D"/>
    <w:rsid w:val="00D42798"/>
    <w:rsid w:val="00D42970"/>
    <w:rsid w:val="00D43468"/>
    <w:rsid w:val="00D43AED"/>
    <w:rsid w:val="00D44916"/>
    <w:rsid w:val="00D45AE4"/>
    <w:rsid w:val="00D45CA4"/>
    <w:rsid w:val="00D45EA7"/>
    <w:rsid w:val="00D45F22"/>
    <w:rsid w:val="00D47178"/>
    <w:rsid w:val="00D4752E"/>
    <w:rsid w:val="00D47842"/>
    <w:rsid w:val="00D47BEF"/>
    <w:rsid w:val="00D50826"/>
    <w:rsid w:val="00D51675"/>
    <w:rsid w:val="00D51EBA"/>
    <w:rsid w:val="00D51F73"/>
    <w:rsid w:val="00D52827"/>
    <w:rsid w:val="00D529BE"/>
    <w:rsid w:val="00D52CF6"/>
    <w:rsid w:val="00D53D3E"/>
    <w:rsid w:val="00D547E0"/>
    <w:rsid w:val="00D54992"/>
    <w:rsid w:val="00D55291"/>
    <w:rsid w:val="00D55C48"/>
    <w:rsid w:val="00D55E47"/>
    <w:rsid w:val="00D56392"/>
    <w:rsid w:val="00D56997"/>
    <w:rsid w:val="00D56BF7"/>
    <w:rsid w:val="00D570E6"/>
    <w:rsid w:val="00D5730F"/>
    <w:rsid w:val="00D575E0"/>
    <w:rsid w:val="00D5774F"/>
    <w:rsid w:val="00D60809"/>
    <w:rsid w:val="00D60D7F"/>
    <w:rsid w:val="00D61066"/>
    <w:rsid w:val="00D61C1A"/>
    <w:rsid w:val="00D61C9C"/>
    <w:rsid w:val="00D61E7B"/>
    <w:rsid w:val="00D62111"/>
    <w:rsid w:val="00D62229"/>
    <w:rsid w:val="00D625B8"/>
    <w:rsid w:val="00D626F8"/>
    <w:rsid w:val="00D636DC"/>
    <w:rsid w:val="00D63F4C"/>
    <w:rsid w:val="00D64613"/>
    <w:rsid w:val="00D64702"/>
    <w:rsid w:val="00D649DC"/>
    <w:rsid w:val="00D65A6A"/>
    <w:rsid w:val="00D66BFD"/>
    <w:rsid w:val="00D66C91"/>
    <w:rsid w:val="00D674EE"/>
    <w:rsid w:val="00D67535"/>
    <w:rsid w:val="00D67BC9"/>
    <w:rsid w:val="00D67DBC"/>
    <w:rsid w:val="00D704D9"/>
    <w:rsid w:val="00D70612"/>
    <w:rsid w:val="00D70934"/>
    <w:rsid w:val="00D70BD2"/>
    <w:rsid w:val="00D713F2"/>
    <w:rsid w:val="00D721B1"/>
    <w:rsid w:val="00D72705"/>
    <w:rsid w:val="00D738BF"/>
    <w:rsid w:val="00D73B93"/>
    <w:rsid w:val="00D73C95"/>
    <w:rsid w:val="00D7400F"/>
    <w:rsid w:val="00D745C1"/>
    <w:rsid w:val="00D74784"/>
    <w:rsid w:val="00D756F6"/>
    <w:rsid w:val="00D75731"/>
    <w:rsid w:val="00D75B45"/>
    <w:rsid w:val="00D75B5C"/>
    <w:rsid w:val="00D75F8C"/>
    <w:rsid w:val="00D76050"/>
    <w:rsid w:val="00D76210"/>
    <w:rsid w:val="00D76309"/>
    <w:rsid w:val="00D76423"/>
    <w:rsid w:val="00D767BF"/>
    <w:rsid w:val="00D77278"/>
    <w:rsid w:val="00D775B5"/>
    <w:rsid w:val="00D77961"/>
    <w:rsid w:val="00D77A47"/>
    <w:rsid w:val="00D77B20"/>
    <w:rsid w:val="00D77B3B"/>
    <w:rsid w:val="00D8007C"/>
    <w:rsid w:val="00D8079F"/>
    <w:rsid w:val="00D8103B"/>
    <w:rsid w:val="00D8111B"/>
    <w:rsid w:val="00D81242"/>
    <w:rsid w:val="00D812D2"/>
    <w:rsid w:val="00D823F6"/>
    <w:rsid w:val="00D82C80"/>
    <w:rsid w:val="00D82D02"/>
    <w:rsid w:val="00D82D0F"/>
    <w:rsid w:val="00D8316C"/>
    <w:rsid w:val="00D83A5A"/>
    <w:rsid w:val="00D84157"/>
    <w:rsid w:val="00D84AB8"/>
    <w:rsid w:val="00D84BD7"/>
    <w:rsid w:val="00D84DCA"/>
    <w:rsid w:val="00D85114"/>
    <w:rsid w:val="00D857BC"/>
    <w:rsid w:val="00D85CC6"/>
    <w:rsid w:val="00D85E10"/>
    <w:rsid w:val="00D86A92"/>
    <w:rsid w:val="00D871B6"/>
    <w:rsid w:val="00D875E1"/>
    <w:rsid w:val="00D90275"/>
    <w:rsid w:val="00D902F5"/>
    <w:rsid w:val="00D9075D"/>
    <w:rsid w:val="00D90959"/>
    <w:rsid w:val="00D91410"/>
    <w:rsid w:val="00D91438"/>
    <w:rsid w:val="00D91594"/>
    <w:rsid w:val="00D91ABE"/>
    <w:rsid w:val="00D91DFB"/>
    <w:rsid w:val="00D921DA"/>
    <w:rsid w:val="00D92A4A"/>
    <w:rsid w:val="00D92C2F"/>
    <w:rsid w:val="00D92F7F"/>
    <w:rsid w:val="00D930AC"/>
    <w:rsid w:val="00D9459D"/>
    <w:rsid w:val="00D94730"/>
    <w:rsid w:val="00D94858"/>
    <w:rsid w:val="00D9487D"/>
    <w:rsid w:val="00D94972"/>
    <w:rsid w:val="00D94C8E"/>
    <w:rsid w:val="00D954A1"/>
    <w:rsid w:val="00D95519"/>
    <w:rsid w:val="00D95744"/>
    <w:rsid w:val="00D958FC"/>
    <w:rsid w:val="00D959AE"/>
    <w:rsid w:val="00D95DC2"/>
    <w:rsid w:val="00D96678"/>
    <w:rsid w:val="00D9673A"/>
    <w:rsid w:val="00D96C73"/>
    <w:rsid w:val="00D96D46"/>
    <w:rsid w:val="00D97C27"/>
    <w:rsid w:val="00DA019F"/>
    <w:rsid w:val="00DA032C"/>
    <w:rsid w:val="00DA0526"/>
    <w:rsid w:val="00DA0639"/>
    <w:rsid w:val="00DA0B8C"/>
    <w:rsid w:val="00DA0CF7"/>
    <w:rsid w:val="00DA0E96"/>
    <w:rsid w:val="00DA1203"/>
    <w:rsid w:val="00DA14A0"/>
    <w:rsid w:val="00DA15AC"/>
    <w:rsid w:val="00DA18DA"/>
    <w:rsid w:val="00DA1F0C"/>
    <w:rsid w:val="00DA2B06"/>
    <w:rsid w:val="00DA2B20"/>
    <w:rsid w:val="00DA3565"/>
    <w:rsid w:val="00DA3A5B"/>
    <w:rsid w:val="00DA3D0B"/>
    <w:rsid w:val="00DA3F51"/>
    <w:rsid w:val="00DA45A0"/>
    <w:rsid w:val="00DA45DB"/>
    <w:rsid w:val="00DA48D9"/>
    <w:rsid w:val="00DA49F8"/>
    <w:rsid w:val="00DA4AAE"/>
    <w:rsid w:val="00DA5572"/>
    <w:rsid w:val="00DA5D5D"/>
    <w:rsid w:val="00DA6A15"/>
    <w:rsid w:val="00DA6B3A"/>
    <w:rsid w:val="00DA6CC2"/>
    <w:rsid w:val="00DA7029"/>
    <w:rsid w:val="00DA77A0"/>
    <w:rsid w:val="00DB09A2"/>
    <w:rsid w:val="00DB103D"/>
    <w:rsid w:val="00DB1448"/>
    <w:rsid w:val="00DB1907"/>
    <w:rsid w:val="00DB1998"/>
    <w:rsid w:val="00DB1FC4"/>
    <w:rsid w:val="00DB21F0"/>
    <w:rsid w:val="00DB2C5F"/>
    <w:rsid w:val="00DB3A58"/>
    <w:rsid w:val="00DB3BDF"/>
    <w:rsid w:val="00DB3C58"/>
    <w:rsid w:val="00DB3D46"/>
    <w:rsid w:val="00DB401C"/>
    <w:rsid w:val="00DB46C8"/>
    <w:rsid w:val="00DB52F0"/>
    <w:rsid w:val="00DB540E"/>
    <w:rsid w:val="00DB5A63"/>
    <w:rsid w:val="00DB6166"/>
    <w:rsid w:val="00DB6520"/>
    <w:rsid w:val="00DB656B"/>
    <w:rsid w:val="00DB6803"/>
    <w:rsid w:val="00DB691E"/>
    <w:rsid w:val="00DB6C99"/>
    <w:rsid w:val="00DB75A3"/>
    <w:rsid w:val="00DC02F5"/>
    <w:rsid w:val="00DC0574"/>
    <w:rsid w:val="00DC0C65"/>
    <w:rsid w:val="00DC10E5"/>
    <w:rsid w:val="00DC16BF"/>
    <w:rsid w:val="00DC16E1"/>
    <w:rsid w:val="00DC16FC"/>
    <w:rsid w:val="00DC1881"/>
    <w:rsid w:val="00DC1ED7"/>
    <w:rsid w:val="00DC294E"/>
    <w:rsid w:val="00DC3A6F"/>
    <w:rsid w:val="00DC3D1C"/>
    <w:rsid w:val="00DC3FD5"/>
    <w:rsid w:val="00DC43E1"/>
    <w:rsid w:val="00DC5199"/>
    <w:rsid w:val="00DC5A32"/>
    <w:rsid w:val="00DC5E4E"/>
    <w:rsid w:val="00DC651B"/>
    <w:rsid w:val="00DC662F"/>
    <w:rsid w:val="00DC6961"/>
    <w:rsid w:val="00DC6E78"/>
    <w:rsid w:val="00DC707F"/>
    <w:rsid w:val="00DC729A"/>
    <w:rsid w:val="00DC73B1"/>
    <w:rsid w:val="00DC7519"/>
    <w:rsid w:val="00DC7630"/>
    <w:rsid w:val="00DC7EB5"/>
    <w:rsid w:val="00DD04AC"/>
    <w:rsid w:val="00DD04DD"/>
    <w:rsid w:val="00DD0891"/>
    <w:rsid w:val="00DD0B35"/>
    <w:rsid w:val="00DD0C4D"/>
    <w:rsid w:val="00DD0F9F"/>
    <w:rsid w:val="00DD11A7"/>
    <w:rsid w:val="00DD1298"/>
    <w:rsid w:val="00DD2300"/>
    <w:rsid w:val="00DD2309"/>
    <w:rsid w:val="00DD28B3"/>
    <w:rsid w:val="00DD2DE3"/>
    <w:rsid w:val="00DD2DE8"/>
    <w:rsid w:val="00DD316F"/>
    <w:rsid w:val="00DD357C"/>
    <w:rsid w:val="00DD37CA"/>
    <w:rsid w:val="00DD3D55"/>
    <w:rsid w:val="00DD3DF7"/>
    <w:rsid w:val="00DD4AE2"/>
    <w:rsid w:val="00DD4BFA"/>
    <w:rsid w:val="00DD51F8"/>
    <w:rsid w:val="00DD6388"/>
    <w:rsid w:val="00DD6C53"/>
    <w:rsid w:val="00DD7198"/>
    <w:rsid w:val="00DD7752"/>
    <w:rsid w:val="00DD7CB6"/>
    <w:rsid w:val="00DE0077"/>
    <w:rsid w:val="00DE0137"/>
    <w:rsid w:val="00DE01BA"/>
    <w:rsid w:val="00DE061F"/>
    <w:rsid w:val="00DE0DCF"/>
    <w:rsid w:val="00DE137B"/>
    <w:rsid w:val="00DE19D9"/>
    <w:rsid w:val="00DE1DC6"/>
    <w:rsid w:val="00DE1F77"/>
    <w:rsid w:val="00DE21C6"/>
    <w:rsid w:val="00DE22AA"/>
    <w:rsid w:val="00DE288F"/>
    <w:rsid w:val="00DE2C45"/>
    <w:rsid w:val="00DE2D49"/>
    <w:rsid w:val="00DE2ED5"/>
    <w:rsid w:val="00DE2F4E"/>
    <w:rsid w:val="00DE2FB5"/>
    <w:rsid w:val="00DE3E66"/>
    <w:rsid w:val="00DE3F75"/>
    <w:rsid w:val="00DE41FC"/>
    <w:rsid w:val="00DE45F5"/>
    <w:rsid w:val="00DE4AAD"/>
    <w:rsid w:val="00DE4C0C"/>
    <w:rsid w:val="00DE4FC8"/>
    <w:rsid w:val="00DE50D0"/>
    <w:rsid w:val="00DE53B5"/>
    <w:rsid w:val="00DE5A50"/>
    <w:rsid w:val="00DE60C5"/>
    <w:rsid w:val="00DE7323"/>
    <w:rsid w:val="00DE75F0"/>
    <w:rsid w:val="00DE77CB"/>
    <w:rsid w:val="00DE7EBA"/>
    <w:rsid w:val="00DF04BD"/>
    <w:rsid w:val="00DF050A"/>
    <w:rsid w:val="00DF068D"/>
    <w:rsid w:val="00DF0D3A"/>
    <w:rsid w:val="00DF140A"/>
    <w:rsid w:val="00DF1A9A"/>
    <w:rsid w:val="00DF1C2D"/>
    <w:rsid w:val="00DF1F8A"/>
    <w:rsid w:val="00DF2209"/>
    <w:rsid w:val="00DF248E"/>
    <w:rsid w:val="00DF2715"/>
    <w:rsid w:val="00DF3577"/>
    <w:rsid w:val="00DF4063"/>
    <w:rsid w:val="00DF5F13"/>
    <w:rsid w:val="00DF63DD"/>
    <w:rsid w:val="00DF6B62"/>
    <w:rsid w:val="00DF7BD0"/>
    <w:rsid w:val="00DF7BDF"/>
    <w:rsid w:val="00E00303"/>
    <w:rsid w:val="00E00A62"/>
    <w:rsid w:val="00E010A0"/>
    <w:rsid w:val="00E0125E"/>
    <w:rsid w:val="00E01668"/>
    <w:rsid w:val="00E0173A"/>
    <w:rsid w:val="00E01849"/>
    <w:rsid w:val="00E020D1"/>
    <w:rsid w:val="00E02B64"/>
    <w:rsid w:val="00E02EAD"/>
    <w:rsid w:val="00E03453"/>
    <w:rsid w:val="00E03D3F"/>
    <w:rsid w:val="00E03DED"/>
    <w:rsid w:val="00E0437C"/>
    <w:rsid w:val="00E0452C"/>
    <w:rsid w:val="00E04D61"/>
    <w:rsid w:val="00E0504C"/>
    <w:rsid w:val="00E05074"/>
    <w:rsid w:val="00E052DA"/>
    <w:rsid w:val="00E05489"/>
    <w:rsid w:val="00E05741"/>
    <w:rsid w:val="00E05F7F"/>
    <w:rsid w:val="00E06549"/>
    <w:rsid w:val="00E06930"/>
    <w:rsid w:val="00E06971"/>
    <w:rsid w:val="00E06C11"/>
    <w:rsid w:val="00E07D90"/>
    <w:rsid w:val="00E105B3"/>
    <w:rsid w:val="00E10846"/>
    <w:rsid w:val="00E10883"/>
    <w:rsid w:val="00E108F4"/>
    <w:rsid w:val="00E10D4E"/>
    <w:rsid w:val="00E1100C"/>
    <w:rsid w:val="00E11489"/>
    <w:rsid w:val="00E11711"/>
    <w:rsid w:val="00E11E63"/>
    <w:rsid w:val="00E11F94"/>
    <w:rsid w:val="00E12696"/>
    <w:rsid w:val="00E1310D"/>
    <w:rsid w:val="00E13359"/>
    <w:rsid w:val="00E138BF"/>
    <w:rsid w:val="00E14EFA"/>
    <w:rsid w:val="00E151B9"/>
    <w:rsid w:val="00E158C4"/>
    <w:rsid w:val="00E15CC4"/>
    <w:rsid w:val="00E161E6"/>
    <w:rsid w:val="00E167C9"/>
    <w:rsid w:val="00E1698C"/>
    <w:rsid w:val="00E16BDB"/>
    <w:rsid w:val="00E172BE"/>
    <w:rsid w:val="00E17CF7"/>
    <w:rsid w:val="00E205D6"/>
    <w:rsid w:val="00E209AB"/>
    <w:rsid w:val="00E216EC"/>
    <w:rsid w:val="00E2189A"/>
    <w:rsid w:val="00E21A60"/>
    <w:rsid w:val="00E22220"/>
    <w:rsid w:val="00E22B5A"/>
    <w:rsid w:val="00E22B68"/>
    <w:rsid w:val="00E231C9"/>
    <w:rsid w:val="00E23EBF"/>
    <w:rsid w:val="00E23F56"/>
    <w:rsid w:val="00E23FD5"/>
    <w:rsid w:val="00E24669"/>
    <w:rsid w:val="00E24A70"/>
    <w:rsid w:val="00E24C48"/>
    <w:rsid w:val="00E24EE4"/>
    <w:rsid w:val="00E25981"/>
    <w:rsid w:val="00E26056"/>
    <w:rsid w:val="00E26141"/>
    <w:rsid w:val="00E266F5"/>
    <w:rsid w:val="00E2673E"/>
    <w:rsid w:val="00E270D3"/>
    <w:rsid w:val="00E27FC7"/>
    <w:rsid w:val="00E3050B"/>
    <w:rsid w:val="00E30700"/>
    <w:rsid w:val="00E31115"/>
    <w:rsid w:val="00E31360"/>
    <w:rsid w:val="00E317F8"/>
    <w:rsid w:val="00E31D28"/>
    <w:rsid w:val="00E32425"/>
    <w:rsid w:val="00E3252C"/>
    <w:rsid w:val="00E325FF"/>
    <w:rsid w:val="00E32CB8"/>
    <w:rsid w:val="00E32F67"/>
    <w:rsid w:val="00E3440F"/>
    <w:rsid w:val="00E34F3A"/>
    <w:rsid w:val="00E35F99"/>
    <w:rsid w:val="00E35F9A"/>
    <w:rsid w:val="00E3637F"/>
    <w:rsid w:val="00E364B6"/>
    <w:rsid w:val="00E36723"/>
    <w:rsid w:val="00E3713C"/>
    <w:rsid w:val="00E3767B"/>
    <w:rsid w:val="00E37E1C"/>
    <w:rsid w:val="00E40079"/>
    <w:rsid w:val="00E40126"/>
    <w:rsid w:val="00E4013B"/>
    <w:rsid w:val="00E40C85"/>
    <w:rsid w:val="00E40CBF"/>
    <w:rsid w:val="00E40E7D"/>
    <w:rsid w:val="00E40EE4"/>
    <w:rsid w:val="00E413C6"/>
    <w:rsid w:val="00E420D5"/>
    <w:rsid w:val="00E42517"/>
    <w:rsid w:val="00E42948"/>
    <w:rsid w:val="00E42D55"/>
    <w:rsid w:val="00E42FFE"/>
    <w:rsid w:val="00E4316E"/>
    <w:rsid w:val="00E435AB"/>
    <w:rsid w:val="00E44275"/>
    <w:rsid w:val="00E44705"/>
    <w:rsid w:val="00E44777"/>
    <w:rsid w:val="00E44F67"/>
    <w:rsid w:val="00E4535F"/>
    <w:rsid w:val="00E455E3"/>
    <w:rsid w:val="00E466BC"/>
    <w:rsid w:val="00E4686A"/>
    <w:rsid w:val="00E479FD"/>
    <w:rsid w:val="00E47A76"/>
    <w:rsid w:val="00E504D6"/>
    <w:rsid w:val="00E50B6F"/>
    <w:rsid w:val="00E50EBE"/>
    <w:rsid w:val="00E50F69"/>
    <w:rsid w:val="00E50FC6"/>
    <w:rsid w:val="00E52372"/>
    <w:rsid w:val="00E5272D"/>
    <w:rsid w:val="00E52786"/>
    <w:rsid w:val="00E52F05"/>
    <w:rsid w:val="00E540CA"/>
    <w:rsid w:val="00E54C83"/>
    <w:rsid w:val="00E55460"/>
    <w:rsid w:val="00E55B28"/>
    <w:rsid w:val="00E56C40"/>
    <w:rsid w:val="00E56D4A"/>
    <w:rsid w:val="00E57119"/>
    <w:rsid w:val="00E5719E"/>
    <w:rsid w:val="00E57D7B"/>
    <w:rsid w:val="00E57EF3"/>
    <w:rsid w:val="00E57F4B"/>
    <w:rsid w:val="00E602E5"/>
    <w:rsid w:val="00E602F8"/>
    <w:rsid w:val="00E6085B"/>
    <w:rsid w:val="00E60FBA"/>
    <w:rsid w:val="00E60FBF"/>
    <w:rsid w:val="00E611AE"/>
    <w:rsid w:val="00E616F9"/>
    <w:rsid w:val="00E61852"/>
    <w:rsid w:val="00E61A0C"/>
    <w:rsid w:val="00E61D22"/>
    <w:rsid w:val="00E61D96"/>
    <w:rsid w:val="00E61E4B"/>
    <w:rsid w:val="00E61E57"/>
    <w:rsid w:val="00E62F6E"/>
    <w:rsid w:val="00E63DA2"/>
    <w:rsid w:val="00E641E8"/>
    <w:rsid w:val="00E642AF"/>
    <w:rsid w:val="00E644C6"/>
    <w:rsid w:val="00E64555"/>
    <w:rsid w:val="00E64595"/>
    <w:rsid w:val="00E646BB"/>
    <w:rsid w:val="00E64B83"/>
    <w:rsid w:val="00E64D24"/>
    <w:rsid w:val="00E64FAF"/>
    <w:rsid w:val="00E653A6"/>
    <w:rsid w:val="00E6549C"/>
    <w:rsid w:val="00E654B9"/>
    <w:rsid w:val="00E65759"/>
    <w:rsid w:val="00E6589D"/>
    <w:rsid w:val="00E65E8C"/>
    <w:rsid w:val="00E665E7"/>
    <w:rsid w:val="00E6661C"/>
    <w:rsid w:val="00E66C96"/>
    <w:rsid w:val="00E70130"/>
    <w:rsid w:val="00E706DE"/>
    <w:rsid w:val="00E71063"/>
    <w:rsid w:val="00E715FC"/>
    <w:rsid w:val="00E71A45"/>
    <w:rsid w:val="00E71C21"/>
    <w:rsid w:val="00E72F23"/>
    <w:rsid w:val="00E730FC"/>
    <w:rsid w:val="00E73481"/>
    <w:rsid w:val="00E7385A"/>
    <w:rsid w:val="00E7391F"/>
    <w:rsid w:val="00E73CE6"/>
    <w:rsid w:val="00E74780"/>
    <w:rsid w:val="00E74956"/>
    <w:rsid w:val="00E752F7"/>
    <w:rsid w:val="00E75848"/>
    <w:rsid w:val="00E759D4"/>
    <w:rsid w:val="00E76A3C"/>
    <w:rsid w:val="00E76F9B"/>
    <w:rsid w:val="00E77100"/>
    <w:rsid w:val="00E771FC"/>
    <w:rsid w:val="00E773E5"/>
    <w:rsid w:val="00E77BDD"/>
    <w:rsid w:val="00E806D3"/>
    <w:rsid w:val="00E8104D"/>
    <w:rsid w:val="00E81C34"/>
    <w:rsid w:val="00E81D83"/>
    <w:rsid w:val="00E821BB"/>
    <w:rsid w:val="00E822E9"/>
    <w:rsid w:val="00E826FE"/>
    <w:rsid w:val="00E8275E"/>
    <w:rsid w:val="00E827AF"/>
    <w:rsid w:val="00E82DE9"/>
    <w:rsid w:val="00E8323F"/>
    <w:rsid w:val="00E83253"/>
    <w:rsid w:val="00E83714"/>
    <w:rsid w:val="00E83831"/>
    <w:rsid w:val="00E844AB"/>
    <w:rsid w:val="00E8463C"/>
    <w:rsid w:val="00E84C97"/>
    <w:rsid w:val="00E85005"/>
    <w:rsid w:val="00E85296"/>
    <w:rsid w:val="00E8533B"/>
    <w:rsid w:val="00E85E4E"/>
    <w:rsid w:val="00E86327"/>
    <w:rsid w:val="00E86DF0"/>
    <w:rsid w:val="00E871B7"/>
    <w:rsid w:val="00E87BD2"/>
    <w:rsid w:val="00E87CDC"/>
    <w:rsid w:val="00E908FD"/>
    <w:rsid w:val="00E90B33"/>
    <w:rsid w:val="00E910E4"/>
    <w:rsid w:val="00E911E0"/>
    <w:rsid w:val="00E92115"/>
    <w:rsid w:val="00E93407"/>
    <w:rsid w:val="00E940A8"/>
    <w:rsid w:val="00E94307"/>
    <w:rsid w:val="00E947E8"/>
    <w:rsid w:val="00E94B0F"/>
    <w:rsid w:val="00E9503F"/>
    <w:rsid w:val="00E956F3"/>
    <w:rsid w:val="00E95AA7"/>
    <w:rsid w:val="00E96E68"/>
    <w:rsid w:val="00E97013"/>
    <w:rsid w:val="00E97EA1"/>
    <w:rsid w:val="00EA0BBE"/>
    <w:rsid w:val="00EA18B9"/>
    <w:rsid w:val="00EA1AED"/>
    <w:rsid w:val="00EA1FBC"/>
    <w:rsid w:val="00EA20A1"/>
    <w:rsid w:val="00EA212B"/>
    <w:rsid w:val="00EA24B5"/>
    <w:rsid w:val="00EA2AAA"/>
    <w:rsid w:val="00EA2D44"/>
    <w:rsid w:val="00EA3A1D"/>
    <w:rsid w:val="00EA3CD7"/>
    <w:rsid w:val="00EA3E2D"/>
    <w:rsid w:val="00EA4010"/>
    <w:rsid w:val="00EA429D"/>
    <w:rsid w:val="00EA43AF"/>
    <w:rsid w:val="00EA4676"/>
    <w:rsid w:val="00EA47FB"/>
    <w:rsid w:val="00EA4C7C"/>
    <w:rsid w:val="00EA4D4C"/>
    <w:rsid w:val="00EA554F"/>
    <w:rsid w:val="00EA6250"/>
    <w:rsid w:val="00EA6340"/>
    <w:rsid w:val="00EA665E"/>
    <w:rsid w:val="00EA66A4"/>
    <w:rsid w:val="00EA6819"/>
    <w:rsid w:val="00EA6A1E"/>
    <w:rsid w:val="00EA6CAC"/>
    <w:rsid w:val="00EA75BD"/>
    <w:rsid w:val="00EA7C47"/>
    <w:rsid w:val="00EB0F0F"/>
    <w:rsid w:val="00EB12A5"/>
    <w:rsid w:val="00EB24D8"/>
    <w:rsid w:val="00EB277B"/>
    <w:rsid w:val="00EB2F20"/>
    <w:rsid w:val="00EB2F35"/>
    <w:rsid w:val="00EB31DB"/>
    <w:rsid w:val="00EB3422"/>
    <w:rsid w:val="00EB3A31"/>
    <w:rsid w:val="00EB4EAF"/>
    <w:rsid w:val="00EB548E"/>
    <w:rsid w:val="00EB5C41"/>
    <w:rsid w:val="00EB5F5A"/>
    <w:rsid w:val="00EB656C"/>
    <w:rsid w:val="00EB657E"/>
    <w:rsid w:val="00EB695E"/>
    <w:rsid w:val="00EB69D1"/>
    <w:rsid w:val="00EB69D4"/>
    <w:rsid w:val="00EB6A3B"/>
    <w:rsid w:val="00EB6FE9"/>
    <w:rsid w:val="00EB72FF"/>
    <w:rsid w:val="00EB756F"/>
    <w:rsid w:val="00EB79C8"/>
    <w:rsid w:val="00EB7D9D"/>
    <w:rsid w:val="00EB7E3F"/>
    <w:rsid w:val="00EB7E78"/>
    <w:rsid w:val="00EC0301"/>
    <w:rsid w:val="00EC08B5"/>
    <w:rsid w:val="00EC09C6"/>
    <w:rsid w:val="00EC0EA5"/>
    <w:rsid w:val="00EC1056"/>
    <w:rsid w:val="00EC1470"/>
    <w:rsid w:val="00EC222E"/>
    <w:rsid w:val="00EC2716"/>
    <w:rsid w:val="00EC2DBB"/>
    <w:rsid w:val="00EC2E83"/>
    <w:rsid w:val="00EC358E"/>
    <w:rsid w:val="00EC3FD2"/>
    <w:rsid w:val="00EC4095"/>
    <w:rsid w:val="00EC43B5"/>
    <w:rsid w:val="00EC4537"/>
    <w:rsid w:val="00EC4960"/>
    <w:rsid w:val="00EC4AE3"/>
    <w:rsid w:val="00EC5414"/>
    <w:rsid w:val="00EC54EE"/>
    <w:rsid w:val="00EC59B2"/>
    <w:rsid w:val="00EC5A3B"/>
    <w:rsid w:val="00EC6424"/>
    <w:rsid w:val="00EC786C"/>
    <w:rsid w:val="00EC7ADD"/>
    <w:rsid w:val="00EC7B23"/>
    <w:rsid w:val="00EC7C26"/>
    <w:rsid w:val="00ED04FE"/>
    <w:rsid w:val="00ED0DD0"/>
    <w:rsid w:val="00ED1122"/>
    <w:rsid w:val="00ED1989"/>
    <w:rsid w:val="00ED28F2"/>
    <w:rsid w:val="00ED2F3E"/>
    <w:rsid w:val="00ED3145"/>
    <w:rsid w:val="00ED3309"/>
    <w:rsid w:val="00ED356E"/>
    <w:rsid w:val="00ED35E1"/>
    <w:rsid w:val="00ED3792"/>
    <w:rsid w:val="00ED3BDA"/>
    <w:rsid w:val="00ED46ED"/>
    <w:rsid w:val="00ED5A3B"/>
    <w:rsid w:val="00ED5C30"/>
    <w:rsid w:val="00ED5E02"/>
    <w:rsid w:val="00ED5EED"/>
    <w:rsid w:val="00ED612A"/>
    <w:rsid w:val="00ED6B1C"/>
    <w:rsid w:val="00ED6CF7"/>
    <w:rsid w:val="00ED6F33"/>
    <w:rsid w:val="00ED70A5"/>
    <w:rsid w:val="00ED7716"/>
    <w:rsid w:val="00ED7737"/>
    <w:rsid w:val="00ED7747"/>
    <w:rsid w:val="00ED7CF4"/>
    <w:rsid w:val="00ED7FA2"/>
    <w:rsid w:val="00EE03EA"/>
    <w:rsid w:val="00EE0786"/>
    <w:rsid w:val="00EE1B0E"/>
    <w:rsid w:val="00EE21D5"/>
    <w:rsid w:val="00EE22FB"/>
    <w:rsid w:val="00EE2407"/>
    <w:rsid w:val="00EE26AE"/>
    <w:rsid w:val="00EE29C8"/>
    <w:rsid w:val="00EE2A54"/>
    <w:rsid w:val="00EE2FC2"/>
    <w:rsid w:val="00EE3B6B"/>
    <w:rsid w:val="00EE3B88"/>
    <w:rsid w:val="00EE4B75"/>
    <w:rsid w:val="00EE4D34"/>
    <w:rsid w:val="00EE4DBD"/>
    <w:rsid w:val="00EE605C"/>
    <w:rsid w:val="00EE6AC6"/>
    <w:rsid w:val="00EE6E26"/>
    <w:rsid w:val="00EE784F"/>
    <w:rsid w:val="00EE7A1D"/>
    <w:rsid w:val="00EE7DBD"/>
    <w:rsid w:val="00EF0500"/>
    <w:rsid w:val="00EF0808"/>
    <w:rsid w:val="00EF1002"/>
    <w:rsid w:val="00EF143F"/>
    <w:rsid w:val="00EF1D3B"/>
    <w:rsid w:val="00EF23D8"/>
    <w:rsid w:val="00EF2A5A"/>
    <w:rsid w:val="00EF2A87"/>
    <w:rsid w:val="00EF3A74"/>
    <w:rsid w:val="00EF3AE9"/>
    <w:rsid w:val="00EF3EA5"/>
    <w:rsid w:val="00EF49FB"/>
    <w:rsid w:val="00EF55D6"/>
    <w:rsid w:val="00EF644D"/>
    <w:rsid w:val="00EF6BAD"/>
    <w:rsid w:val="00EF6D29"/>
    <w:rsid w:val="00EF6E79"/>
    <w:rsid w:val="00EF7138"/>
    <w:rsid w:val="00EF7E0B"/>
    <w:rsid w:val="00F00881"/>
    <w:rsid w:val="00F00917"/>
    <w:rsid w:val="00F00B65"/>
    <w:rsid w:val="00F010BB"/>
    <w:rsid w:val="00F012C1"/>
    <w:rsid w:val="00F0175F"/>
    <w:rsid w:val="00F01A41"/>
    <w:rsid w:val="00F03280"/>
    <w:rsid w:val="00F0362A"/>
    <w:rsid w:val="00F036C9"/>
    <w:rsid w:val="00F0385C"/>
    <w:rsid w:val="00F038BF"/>
    <w:rsid w:val="00F03ABE"/>
    <w:rsid w:val="00F03B69"/>
    <w:rsid w:val="00F041AB"/>
    <w:rsid w:val="00F04345"/>
    <w:rsid w:val="00F047A4"/>
    <w:rsid w:val="00F04F52"/>
    <w:rsid w:val="00F0510F"/>
    <w:rsid w:val="00F0563F"/>
    <w:rsid w:val="00F05973"/>
    <w:rsid w:val="00F064EF"/>
    <w:rsid w:val="00F06558"/>
    <w:rsid w:val="00F06F42"/>
    <w:rsid w:val="00F07122"/>
    <w:rsid w:val="00F074C9"/>
    <w:rsid w:val="00F07588"/>
    <w:rsid w:val="00F07C82"/>
    <w:rsid w:val="00F07F5E"/>
    <w:rsid w:val="00F1001E"/>
    <w:rsid w:val="00F1055F"/>
    <w:rsid w:val="00F106BB"/>
    <w:rsid w:val="00F10BA6"/>
    <w:rsid w:val="00F11027"/>
    <w:rsid w:val="00F111BA"/>
    <w:rsid w:val="00F1155D"/>
    <w:rsid w:val="00F116DD"/>
    <w:rsid w:val="00F11D9F"/>
    <w:rsid w:val="00F11E31"/>
    <w:rsid w:val="00F12C53"/>
    <w:rsid w:val="00F1360C"/>
    <w:rsid w:val="00F13AA1"/>
    <w:rsid w:val="00F13F2A"/>
    <w:rsid w:val="00F14D9E"/>
    <w:rsid w:val="00F15097"/>
    <w:rsid w:val="00F153F8"/>
    <w:rsid w:val="00F15671"/>
    <w:rsid w:val="00F16200"/>
    <w:rsid w:val="00F1643E"/>
    <w:rsid w:val="00F16695"/>
    <w:rsid w:val="00F17159"/>
    <w:rsid w:val="00F1733F"/>
    <w:rsid w:val="00F202E3"/>
    <w:rsid w:val="00F20C6E"/>
    <w:rsid w:val="00F20D6C"/>
    <w:rsid w:val="00F20F03"/>
    <w:rsid w:val="00F218D6"/>
    <w:rsid w:val="00F2255F"/>
    <w:rsid w:val="00F225CF"/>
    <w:rsid w:val="00F22882"/>
    <w:rsid w:val="00F22985"/>
    <w:rsid w:val="00F22AEF"/>
    <w:rsid w:val="00F22F7A"/>
    <w:rsid w:val="00F2343C"/>
    <w:rsid w:val="00F23CFC"/>
    <w:rsid w:val="00F24076"/>
    <w:rsid w:val="00F240CB"/>
    <w:rsid w:val="00F2492F"/>
    <w:rsid w:val="00F2500D"/>
    <w:rsid w:val="00F251B2"/>
    <w:rsid w:val="00F2596D"/>
    <w:rsid w:val="00F25CAA"/>
    <w:rsid w:val="00F2696B"/>
    <w:rsid w:val="00F26AD6"/>
    <w:rsid w:val="00F2711C"/>
    <w:rsid w:val="00F2720E"/>
    <w:rsid w:val="00F27253"/>
    <w:rsid w:val="00F277E8"/>
    <w:rsid w:val="00F27B04"/>
    <w:rsid w:val="00F27E3D"/>
    <w:rsid w:val="00F27EB2"/>
    <w:rsid w:val="00F301D0"/>
    <w:rsid w:val="00F3069F"/>
    <w:rsid w:val="00F30A02"/>
    <w:rsid w:val="00F30C3F"/>
    <w:rsid w:val="00F30C60"/>
    <w:rsid w:val="00F30F38"/>
    <w:rsid w:val="00F311D1"/>
    <w:rsid w:val="00F3158A"/>
    <w:rsid w:val="00F318DB"/>
    <w:rsid w:val="00F3199C"/>
    <w:rsid w:val="00F31F7D"/>
    <w:rsid w:val="00F31FB9"/>
    <w:rsid w:val="00F326F6"/>
    <w:rsid w:val="00F32AFF"/>
    <w:rsid w:val="00F33825"/>
    <w:rsid w:val="00F33A8B"/>
    <w:rsid w:val="00F33D3B"/>
    <w:rsid w:val="00F34A96"/>
    <w:rsid w:val="00F34EBF"/>
    <w:rsid w:val="00F34F05"/>
    <w:rsid w:val="00F356D5"/>
    <w:rsid w:val="00F359A5"/>
    <w:rsid w:val="00F35DA8"/>
    <w:rsid w:val="00F361AE"/>
    <w:rsid w:val="00F36240"/>
    <w:rsid w:val="00F363EB"/>
    <w:rsid w:val="00F365DE"/>
    <w:rsid w:val="00F366DA"/>
    <w:rsid w:val="00F367CF"/>
    <w:rsid w:val="00F36D37"/>
    <w:rsid w:val="00F3719A"/>
    <w:rsid w:val="00F379BF"/>
    <w:rsid w:val="00F37EA7"/>
    <w:rsid w:val="00F40805"/>
    <w:rsid w:val="00F40B93"/>
    <w:rsid w:val="00F40C5E"/>
    <w:rsid w:val="00F40E3E"/>
    <w:rsid w:val="00F4163A"/>
    <w:rsid w:val="00F41873"/>
    <w:rsid w:val="00F419C3"/>
    <w:rsid w:val="00F41D91"/>
    <w:rsid w:val="00F41E2B"/>
    <w:rsid w:val="00F423BE"/>
    <w:rsid w:val="00F424A5"/>
    <w:rsid w:val="00F425EF"/>
    <w:rsid w:val="00F428AC"/>
    <w:rsid w:val="00F42AAD"/>
    <w:rsid w:val="00F42EE3"/>
    <w:rsid w:val="00F43149"/>
    <w:rsid w:val="00F43660"/>
    <w:rsid w:val="00F43B91"/>
    <w:rsid w:val="00F44542"/>
    <w:rsid w:val="00F448DD"/>
    <w:rsid w:val="00F44D6A"/>
    <w:rsid w:val="00F44DB8"/>
    <w:rsid w:val="00F44F03"/>
    <w:rsid w:val="00F45760"/>
    <w:rsid w:val="00F45925"/>
    <w:rsid w:val="00F46BA6"/>
    <w:rsid w:val="00F46C97"/>
    <w:rsid w:val="00F4703E"/>
    <w:rsid w:val="00F4775F"/>
    <w:rsid w:val="00F50781"/>
    <w:rsid w:val="00F50CA3"/>
    <w:rsid w:val="00F517ED"/>
    <w:rsid w:val="00F51F3F"/>
    <w:rsid w:val="00F528B5"/>
    <w:rsid w:val="00F528E7"/>
    <w:rsid w:val="00F52C8A"/>
    <w:rsid w:val="00F5352D"/>
    <w:rsid w:val="00F53615"/>
    <w:rsid w:val="00F53A91"/>
    <w:rsid w:val="00F54466"/>
    <w:rsid w:val="00F54783"/>
    <w:rsid w:val="00F547E9"/>
    <w:rsid w:val="00F5494E"/>
    <w:rsid w:val="00F54ABE"/>
    <w:rsid w:val="00F54C34"/>
    <w:rsid w:val="00F55804"/>
    <w:rsid w:val="00F55F1A"/>
    <w:rsid w:val="00F56310"/>
    <w:rsid w:val="00F5684C"/>
    <w:rsid w:val="00F57210"/>
    <w:rsid w:val="00F577FC"/>
    <w:rsid w:val="00F602F0"/>
    <w:rsid w:val="00F60C90"/>
    <w:rsid w:val="00F619EE"/>
    <w:rsid w:val="00F61CF5"/>
    <w:rsid w:val="00F61FF9"/>
    <w:rsid w:val="00F62069"/>
    <w:rsid w:val="00F62159"/>
    <w:rsid w:val="00F62A7C"/>
    <w:rsid w:val="00F62B93"/>
    <w:rsid w:val="00F63358"/>
    <w:rsid w:val="00F633E5"/>
    <w:rsid w:val="00F63C89"/>
    <w:rsid w:val="00F647EC"/>
    <w:rsid w:val="00F64FAB"/>
    <w:rsid w:val="00F65AC8"/>
    <w:rsid w:val="00F65CEA"/>
    <w:rsid w:val="00F65F15"/>
    <w:rsid w:val="00F66443"/>
    <w:rsid w:val="00F675EA"/>
    <w:rsid w:val="00F7073B"/>
    <w:rsid w:val="00F7074A"/>
    <w:rsid w:val="00F70AD6"/>
    <w:rsid w:val="00F71687"/>
    <w:rsid w:val="00F71708"/>
    <w:rsid w:val="00F717C1"/>
    <w:rsid w:val="00F71AAE"/>
    <w:rsid w:val="00F71CDB"/>
    <w:rsid w:val="00F725D3"/>
    <w:rsid w:val="00F7281E"/>
    <w:rsid w:val="00F72C1A"/>
    <w:rsid w:val="00F72C3D"/>
    <w:rsid w:val="00F737AB"/>
    <w:rsid w:val="00F74216"/>
    <w:rsid w:val="00F74F0F"/>
    <w:rsid w:val="00F75731"/>
    <w:rsid w:val="00F75841"/>
    <w:rsid w:val="00F75D6C"/>
    <w:rsid w:val="00F76333"/>
    <w:rsid w:val="00F770C6"/>
    <w:rsid w:val="00F77100"/>
    <w:rsid w:val="00F8090F"/>
    <w:rsid w:val="00F80A8A"/>
    <w:rsid w:val="00F80B47"/>
    <w:rsid w:val="00F8139A"/>
    <w:rsid w:val="00F82AAE"/>
    <w:rsid w:val="00F834BE"/>
    <w:rsid w:val="00F838A9"/>
    <w:rsid w:val="00F849E3"/>
    <w:rsid w:val="00F84B4E"/>
    <w:rsid w:val="00F84C44"/>
    <w:rsid w:val="00F84F30"/>
    <w:rsid w:val="00F851B7"/>
    <w:rsid w:val="00F8566C"/>
    <w:rsid w:val="00F858D4"/>
    <w:rsid w:val="00F85C65"/>
    <w:rsid w:val="00F860EB"/>
    <w:rsid w:val="00F868B6"/>
    <w:rsid w:val="00F86968"/>
    <w:rsid w:val="00F86E42"/>
    <w:rsid w:val="00F876E6"/>
    <w:rsid w:val="00F87825"/>
    <w:rsid w:val="00F87838"/>
    <w:rsid w:val="00F879E8"/>
    <w:rsid w:val="00F87FCE"/>
    <w:rsid w:val="00F9008B"/>
    <w:rsid w:val="00F90232"/>
    <w:rsid w:val="00F909C7"/>
    <w:rsid w:val="00F91669"/>
    <w:rsid w:val="00F916DE"/>
    <w:rsid w:val="00F9184F"/>
    <w:rsid w:val="00F91943"/>
    <w:rsid w:val="00F9231D"/>
    <w:rsid w:val="00F92A66"/>
    <w:rsid w:val="00F931CF"/>
    <w:rsid w:val="00F93A31"/>
    <w:rsid w:val="00F93D6E"/>
    <w:rsid w:val="00F9423D"/>
    <w:rsid w:val="00F942C2"/>
    <w:rsid w:val="00F94609"/>
    <w:rsid w:val="00F94F16"/>
    <w:rsid w:val="00F95182"/>
    <w:rsid w:val="00F957D2"/>
    <w:rsid w:val="00F95D94"/>
    <w:rsid w:val="00F96F86"/>
    <w:rsid w:val="00FA02B8"/>
    <w:rsid w:val="00FA0980"/>
    <w:rsid w:val="00FA1028"/>
    <w:rsid w:val="00FA157E"/>
    <w:rsid w:val="00FA181F"/>
    <w:rsid w:val="00FA1C1F"/>
    <w:rsid w:val="00FA1E82"/>
    <w:rsid w:val="00FA2137"/>
    <w:rsid w:val="00FA272D"/>
    <w:rsid w:val="00FA338D"/>
    <w:rsid w:val="00FA34A2"/>
    <w:rsid w:val="00FA3742"/>
    <w:rsid w:val="00FA3837"/>
    <w:rsid w:val="00FA39FC"/>
    <w:rsid w:val="00FA44B4"/>
    <w:rsid w:val="00FA4538"/>
    <w:rsid w:val="00FA4998"/>
    <w:rsid w:val="00FA4DC2"/>
    <w:rsid w:val="00FA57D1"/>
    <w:rsid w:val="00FA67E3"/>
    <w:rsid w:val="00FA7029"/>
    <w:rsid w:val="00FA7157"/>
    <w:rsid w:val="00FA73A6"/>
    <w:rsid w:val="00FA7662"/>
    <w:rsid w:val="00FA7698"/>
    <w:rsid w:val="00FA78C2"/>
    <w:rsid w:val="00FA7A2D"/>
    <w:rsid w:val="00FA7B4F"/>
    <w:rsid w:val="00FA7D8F"/>
    <w:rsid w:val="00FA7DA6"/>
    <w:rsid w:val="00FB02F8"/>
    <w:rsid w:val="00FB06E7"/>
    <w:rsid w:val="00FB0822"/>
    <w:rsid w:val="00FB0AC3"/>
    <w:rsid w:val="00FB1093"/>
    <w:rsid w:val="00FB13A0"/>
    <w:rsid w:val="00FB1CB7"/>
    <w:rsid w:val="00FB2142"/>
    <w:rsid w:val="00FB227E"/>
    <w:rsid w:val="00FB25DA"/>
    <w:rsid w:val="00FB267D"/>
    <w:rsid w:val="00FB2A18"/>
    <w:rsid w:val="00FB2BF4"/>
    <w:rsid w:val="00FB2C8D"/>
    <w:rsid w:val="00FB2DC6"/>
    <w:rsid w:val="00FB2FD0"/>
    <w:rsid w:val="00FB333A"/>
    <w:rsid w:val="00FB39EB"/>
    <w:rsid w:val="00FB4267"/>
    <w:rsid w:val="00FB59D4"/>
    <w:rsid w:val="00FB5E81"/>
    <w:rsid w:val="00FB6E6C"/>
    <w:rsid w:val="00FB71B0"/>
    <w:rsid w:val="00FB7ABA"/>
    <w:rsid w:val="00FB7C21"/>
    <w:rsid w:val="00FB7C46"/>
    <w:rsid w:val="00FC04E0"/>
    <w:rsid w:val="00FC06CE"/>
    <w:rsid w:val="00FC0D98"/>
    <w:rsid w:val="00FC0E2F"/>
    <w:rsid w:val="00FC1042"/>
    <w:rsid w:val="00FC11A8"/>
    <w:rsid w:val="00FC11C6"/>
    <w:rsid w:val="00FC17D8"/>
    <w:rsid w:val="00FC279A"/>
    <w:rsid w:val="00FC324D"/>
    <w:rsid w:val="00FC39A1"/>
    <w:rsid w:val="00FC3BC3"/>
    <w:rsid w:val="00FC3D22"/>
    <w:rsid w:val="00FC3E47"/>
    <w:rsid w:val="00FC4B53"/>
    <w:rsid w:val="00FC4BAE"/>
    <w:rsid w:val="00FC4F75"/>
    <w:rsid w:val="00FC5160"/>
    <w:rsid w:val="00FC5A36"/>
    <w:rsid w:val="00FC6353"/>
    <w:rsid w:val="00FC69CF"/>
    <w:rsid w:val="00FC6B0B"/>
    <w:rsid w:val="00FC713B"/>
    <w:rsid w:val="00FC7504"/>
    <w:rsid w:val="00FC7862"/>
    <w:rsid w:val="00FC79D5"/>
    <w:rsid w:val="00FC7B35"/>
    <w:rsid w:val="00FC7B53"/>
    <w:rsid w:val="00FC7BD8"/>
    <w:rsid w:val="00FD0177"/>
    <w:rsid w:val="00FD0AE7"/>
    <w:rsid w:val="00FD0B44"/>
    <w:rsid w:val="00FD0F70"/>
    <w:rsid w:val="00FD0F97"/>
    <w:rsid w:val="00FD2315"/>
    <w:rsid w:val="00FD29A7"/>
    <w:rsid w:val="00FD2B15"/>
    <w:rsid w:val="00FD3092"/>
    <w:rsid w:val="00FD3D48"/>
    <w:rsid w:val="00FD412E"/>
    <w:rsid w:val="00FD420F"/>
    <w:rsid w:val="00FD4339"/>
    <w:rsid w:val="00FD4B0C"/>
    <w:rsid w:val="00FD4F2F"/>
    <w:rsid w:val="00FD51F7"/>
    <w:rsid w:val="00FD5258"/>
    <w:rsid w:val="00FD5602"/>
    <w:rsid w:val="00FD5661"/>
    <w:rsid w:val="00FD5A2A"/>
    <w:rsid w:val="00FD5AE2"/>
    <w:rsid w:val="00FD62B4"/>
    <w:rsid w:val="00FD7142"/>
    <w:rsid w:val="00FD750F"/>
    <w:rsid w:val="00FE011C"/>
    <w:rsid w:val="00FE0458"/>
    <w:rsid w:val="00FE07DC"/>
    <w:rsid w:val="00FE08FB"/>
    <w:rsid w:val="00FE1116"/>
    <w:rsid w:val="00FE2075"/>
    <w:rsid w:val="00FE2080"/>
    <w:rsid w:val="00FE27B9"/>
    <w:rsid w:val="00FE2E37"/>
    <w:rsid w:val="00FE30EF"/>
    <w:rsid w:val="00FE3640"/>
    <w:rsid w:val="00FE36B6"/>
    <w:rsid w:val="00FE3780"/>
    <w:rsid w:val="00FE3954"/>
    <w:rsid w:val="00FE3AE5"/>
    <w:rsid w:val="00FE3CF7"/>
    <w:rsid w:val="00FE4071"/>
    <w:rsid w:val="00FE42E3"/>
    <w:rsid w:val="00FE4ECD"/>
    <w:rsid w:val="00FE52B7"/>
    <w:rsid w:val="00FE53C5"/>
    <w:rsid w:val="00FE56A8"/>
    <w:rsid w:val="00FE5807"/>
    <w:rsid w:val="00FE5C39"/>
    <w:rsid w:val="00FE5C57"/>
    <w:rsid w:val="00FE624E"/>
    <w:rsid w:val="00FE6415"/>
    <w:rsid w:val="00FE69E7"/>
    <w:rsid w:val="00FE6BB8"/>
    <w:rsid w:val="00FE6E76"/>
    <w:rsid w:val="00FF027B"/>
    <w:rsid w:val="00FF1174"/>
    <w:rsid w:val="00FF165A"/>
    <w:rsid w:val="00FF1B72"/>
    <w:rsid w:val="00FF1CF1"/>
    <w:rsid w:val="00FF1F4C"/>
    <w:rsid w:val="00FF1F90"/>
    <w:rsid w:val="00FF228F"/>
    <w:rsid w:val="00FF35DC"/>
    <w:rsid w:val="00FF3A6A"/>
    <w:rsid w:val="00FF3C7A"/>
    <w:rsid w:val="00FF3E09"/>
    <w:rsid w:val="00FF411C"/>
    <w:rsid w:val="00FF44C6"/>
    <w:rsid w:val="00FF4B2E"/>
    <w:rsid w:val="00FF4E4B"/>
    <w:rsid w:val="00FF4E4E"/>
    <w:rsid w:val="00FF5049"/>
    <w:rsid w:val="00FF519C"/>
    <w:rsid w:val="00FF5D1F"/>
    <w:rsid w:val="00FF5F95"/>
    <w:rsid w:val="00FF6126"/>
    <w:rsid w:val="00FF61F5"/>
    <w:rsid w:val="00FF62AA"/>
    <w:rsid w:val="00FF64D7"/>
    <w:rsid w:val="00FF6B6C"/>
    <w:rsid w:val="00FF6DD4"/>
    <w:rsid w:val="010F3B4F"/>
    <w:rsid w:val="011078C7"/>
    <w:rsid w:val="01115B19"/>
    <w:rsid w:val="01145473"/>
    <w:rsid w:val="01170BF2"/>
    <w:rsid w:val="01207171"/>
    <w:rsid w:val="0136732D"/>
    <w:rsid w:val="013C06BC"/>
    <w:rsid w:val="013E61E2"/>
    <w:rsid w:val="01422176"/>
    <w:rsid w:val="0143581A"/>
    <w:rsid w:val="015502C6"/>
    <w:rsid w:val="015B703A"/>
    <w:rsid w:val="015D0D5E"/>
    <w:rsid w:val="0168325F"/>
    <w:rsid w:val="016C2D4F"/>
    <w:rsid w:val="017C6D0A"/>
    <w:rsid w:val="01995B0E"/>
    <w:rsid w:val="01A324E9"/>
    <w:rsid w:val="01A504F7"/>
    <w:rsid w:val="01AA2C10"/>
    <w:rsid w:val="01CA3F1A"/>
    <w:rsid w:val="01D9415D"/>
    <w:rsid w:val="01DD3C4D"/>
    <w:rsid w:val="01E3527C"/>
    <w:rsid w:val="01EF3980"/>
    <w:rsid w:val="01F7126B"/>
    <w:rsid w:val="01F82835"/>
    <w:rsid w:val="02104022"/>
    <w:rsid w:val="021B6523"/>
    <w:rsid w:val="021F6013"/>
    <w:rsid w:val="02423BC5"/>
    <w:rsid w:val="024412E7"/>
    <w:rsid w:val="024535A0"/>
    <w:rsid w:val="024B6E08"/>
    <w:rsid w:val="024E4B4B"/>
    <w:rsid w:val="02500776"/>
    <w:rsid w:val="02555813"/>
    <w:rsid w:val="025657AD"/>
    <w:rsid w:val="02886DC8"/>
    <w:rsid w:val="029F7154"/>
    <w:rsid w:val="02A6094D"/>
    <w:rsid w:val="02B32C00"/>
    <w:rsid w:val="02BA3F8E"/>
    <w:rsid w:val="02C866AB"/>
    <w:rsid w:val="02CF1221"/>
    <w:rsid w:val="02D93C69"/>
    <w:rsid w:val="02DB0B53"/>
    <w:rsid w:val="02DC20C4"/>
    <w:rsid w:val="02DC29D3"/>
    <w:rsid w:val="02E30EB0"/>
    <w:rsid w:val="02EA04F8"/>
    <w:rsid w:val="02ED1A38"/>
    <w:rsid w:val="02F254D6"/>
    <w:rsid w:val="02F33C8E"/>
    <w:rsid w:val="030516AD"/>
    <w:rsid w:val="03123DCA"/>
    <w:rsid w:val="031B650C"/>
    <w:rsid w:val="031B73E3"/>
    <w:rsid w:val="032D4760"/>
    <w:rsid w:val="033643D3"/>
    <w:rsid w:val="033C2BF5"/>
    <w:rsid w:val="033E071B"/>
    <w:rsid w:val="03457CFC"/>
    <w:rsid w:val="034B4BE6"/>
    <w:rsid w:val="034C6030"/>
    <w:rsid w:val="03595555"/>
    <w:rsid w:val="03667C72"/>
    <w:rsid w:val="037738D8"/>
    <w:rsid w:val="037A0B0F"/>
    <w:rsid w:val="03822CFE"/>
    <w:rsid w:val="038502F4"/>
    <w:rsid w:val="03885BCE"/>
    <w:rsid w:val="03891C91"/>
    <w:rsid w:val="038F541B"/>
    <w:rsid w:val="0392072B"/>
    <w:rsid w:val="03A013D6"/>
    <w:rsid w:val="03AE3AF3"/>
    <w:rsid w:val="03AF33C7"/>
    <w:rsid w:val="03DA48E8"/>
    <w:rsid w:val="03DD7F34"/>
    <w:rsid w:val="03E868D9"/>
    <w:rsid w:val="03E94977"/>
    <w:rsid w:val="03EC461B"/>
    <w:rsid w:val="03F05666"/>
    <w:rsid w:val="03F31506"/>
    <w:rsid w:val="03FF60FC"/>
    <w:rsid w:val="04036E52"/>
    <w:rsid w:val="040C0819"/>
    <w:rsid w:val="040C2ED1"/>
    <w:rsid w:val="041D3E0F"/>
    <w:rsid w:val="041E22FB"/>
    <w:rsid w:val="04272850"/>
    <w:rsid w:val="042913CB"/>
    <w:rsid w:val="04310280"/>
    <w:rsid w:val="0442423B"/>
    <w:rsid w:val="044E2BE0"/>
    <w:rsid w:val="044F4634"/>
    <w:rsid w:val="04602913"/>
    <w:rsid w:val="0462668B"/>
    <w:rsid w:val="04765325"/>
    <w:rsid w:val="04781A0B"/>
    <w:rsid w:val="047C774D"/>
    <w:rsid w:val="048D195A"/>
    <w:rsid w:val="049C7DEF"/>
    <w:rsid w:val="049D76C3"/>
    <w:rsid w:val="04A22F2C"/>
    <w:rsid w:val="04A96068"/>
    <w:rsid w:val="04AB0032"/>
    <w:rsid w:val="04B769D7"/>
    <w:rsid w:val="04C25910"/>
    <w:rsid w:val="04C70D83"/>
    <w:rsid w:val="04D03DAE"/>
    <w:rsid w:val="04DC4690"/>
    <w:rsid w:val="04DD5D12"/>
    <w:rsid w:val="04E62E18"/>
    <w:rsid w:val="04E70F4F"/>
    <w:rsid w:val="050D2A9B"/>
    <w:rsid w:val="0523331B"/>
    <w:rsid w:val="05281683"/>
    <w:rsid w:val="05290F57"/>
    <w:rsid w:val="0534627A"/>
    <w:rsid w:val="053578FC"/>
    <w:rsid w:val="054144F3"/>
    <w:rsid w:val="05414E92"/>
    <w:rsid w:val="05524952"/>
    <w:rsid w:val="05526700"/>
    <w:rsid w:val="05720B50"/>
    <w:rsid w:val="05790131"/>
    <w:rsid w:val="05791A60"/>
    <w:rsid w:val="057C19CF"/>
    <w:rsid w:val="05836C32"/>
    <w:rsid w:val="0585481F"/>
    <w:rsid w:val="05854B8E"/>
    <w:rsid w:val="058663AA"/>
    <w:rsid w:val="05886C0F"/>
    <w:rsid w:val="059D3E1F"/>
    <w:rsid w:val="05A312E2"/>
    <w:rsid w:val="05A514AC"/>
    <w:rsid w:val="05A6010F"/>
    <w:rsid w:val="05AA2098"/>
    <w:rsid w:val="05AC4062"/>
    <w:rsid w:val="05B2719F"/>
    <w:rsid w:val="05C375FE"/>
    <w:rsid w:val="05D215EF"/>
    <w:rsid w:val="05E11832"/>
    <w:rsid w:val="05E7762B"/>
    <w:rsid w:val="05EA024D"/>
    <w:rsid w:val="06265907"/>
    <w:rsid w:val="062E4A77"/>
    <w:rsid w:val="063E7B3D"/>
    <w:rsid w:val="067835DA"/>
    <w:rsid w:val="068955F4"/>
    <w:rsid w:val="069468A4"/>
    <w:rsid w:val="06952D48"/>
    <w:rsid w:val="0696086E"/>
    <w:rsid w:val="069A3EBB"/>
    <w:rsid w:val="069F5E8C"/>
    <w:rsid w:val="06A25465"/>
    <w:rsid w:val="06AD6197"/>
    <w:rsid w:val="06D0247A"/>
    <w:rsid w:val="06D373CC"/>
    <w:rsid w:val="06DC0977"/>
    <w:rsid w:val="06DF3FC3"/>
    <w:rsid w:val="06ED4932"/>
    <w:rsid w:val="070D0B30"/>
    <w:rsid w:val="071E3C0C"/>
    <w:rsid w:val="072461A6"/>
    <w:rsid w:val="073D468D"/>
    <w:rsid w:val="073E6F3C"/>
    <w:rsid w:val="075F0692"/>
    <w:rsid w:val="077A65DF"/>
    <w:rsid w:val="07807554"/>
    <w:rsid w:val="07832BA1"/>
    <w:rsid w:val="07886409"/>
    <w:rsid w:val="078D0774"/>
    <w:rsid w:val="07AD2E51"/>
    <w:rsid w:val="07BB7871"/>
    <w:rsid w:val="07CA7F7F"/>
    <w:rsid w:val="07DB054A"/>
    <w:rsid w:val="07EC6998"/>
    <w:rsid w:val="07F7533D"/>
    <w:rsid w:val="07F97408"/>
    <w:rsid w:val="080261BB"/>
    <w:rsid w:val="08030185"/>
    <w:rsid w:val="080D4B60"/>
    <w:rsid w:val="0822685D"/>
    <w:rsid w:val="082F2519"/>
    <w:rsid w:val="0839683B"/>
    <w:rsid w:val="083B347B"/>
    <w:rsid w:val="083D2AF4"/>
    <w:rsid w:val="08504FF6"/>
    <w:rsid w:val="08585DDB"/>
    <w:rsid w:val="08650F92"/>
    <w:rsid w:val="086D5141"/>
    <w:rsid w:val="086E1AA3"/>
    <w:rsid w:val="086F1377"/>
    <w:rsid w:val="0873752E"/>
    <w:rsid w:val="088C017B"/>
    <w:rsid w:val="088F2B8B"/>
    <w:rsid w:val="089303A1"/>
    <w:rsid w:val="089808CE"/>
    <w:rsid w:val="08A47272"/>
    <w:rsid w:val="08BD0ECF"/>
    <w:rsid w:val="08D13DE0"/>
    <w:rsid w:val="08D4415D"/>
    <w:rsid w:val="08D613F6"/>
    <w:rsid w:val="08F53B23"/>
    <w:rsid w:val="09002CAE"/>
    <w:rsid w:val="09151F1E"/>
    <w:rsid w:val="09172732"/>
    <w:rsid w:val="091A424A"/>
    <w:rsid w:val="091E5277"/>
    <w:rsid w:val="092060A3"/>
    <w:rsid w:val="092F3D18"/>
    <w:rsid w:val="093738EA"/>
    <w:rsid w:val="09410F65"/>
    <w:rsid w:val="09756D49"/>
    <w:rsid w:val="097826CE"/>
    <w:rsid w:val="097F383C"/>
    <w:rsid w:val="098D72CE"/>
    <w:rsid w:val="09970B85"/>
    <w:rsid w:val="09976DD7"/>
    <w:rsid w:val="099F4CD6"/>
    <w:rsid w:val="09A6526C"/>
    <w:rsid w:val="09C13200"/>
    <w:rsid w:val="09D05E45"/>
    <w:rsid w:val="09D122E9"/>
    <w:rsid w:val="09E60F96"/>
    <w:rsid w:val="09EB2C7F"/>
    <w:rsid w:val="09F2225F"/>
    <w:rsid w:val="09FF7E17"/>
    <w:rsid w:val="0A053C89"/>
    <w:rsid w:val="0A070656"/>
    <w:rsid w:val="0A0F2E11"/>
    <w:rsid w:val="0A112996"/>
    <w:rsid w:val="0A147C03"/>
    <w:rsid w:val="0A1813C7"/>
    <w:rsid w:val="0A1E592A"/>
    <w:rsid w:val="0A267F19"/>
    <w:rsid w:val="0A3B59B5"/>
    <w:rsid w:val="0A51342A"/>
    <w:rsid w:val="0A5B7E05"/>
    <w:rsid w:val="0A6D18E6"/>
    <w:rsid w:val="0A6E5D8A"/>
    <w:rsid w:val="0A73514E"/>
    <w:rsid w:val="0A7964DD"/>
    <w:rsid w:val="0A913ED8"/>
    <w:rsid w:val="0AA60261"/>
    <w:rsid w:val="0AAB0D8C"/>
    <w:rsid w:val="0AB27352"/>
    <w:rsid w:val="0ABB6AF5"/>
    <w:rsid w:val="0ABD286D"/>
    <w:rsid w:val="0ABF0394"/>
    <w:rsid w:val="0AE61DC4"/>
    <w:rsid w:val="0AE95411"/>
    <w:rsid w:val="0AFA761E"/>
    <w:rsid w:val="0AFB3396"/>
    <w:rsid w:val="0AFD44E7"/>
    <w:rsid w:val="0B00275A"/>
    <w:rsid w:val="0B154457"/>
    <w:rsid w:val="0B161F7E"/>
    <w:rsid w:val="0B24171E"/>
    <w:rsid w:val="0B36617C"/>
    <w:rsid w:val="0B4765DB"/>
    <w:rsid w:val="0B4E5BBB"/>
    <w:rsid w:val="0B552AA6"/>
    <w:rsid w:val="0B5C3243"/>
    <w:rsid w:val="0B5E59FA"/>
    <w:rsid w:val="0B602F7F"/>
    <w:rsid w:val="0B6115E9"/>
    <w:rsid w:val="0B6902FF"/>
    <w:rsid w:val="0B707905"/>
    <w:rsid w:val="0B7242FE"/>
    <w:rsid w:val="0B7A7000"/>
    <w:rsid w:val="0B970D88"/>
    <w:rsid w:val="0B995AC4"/>
    <w:rsid w:val="0B9A7040"/>
    <w:rsid w:val="0BA120A0"/>
    <w:rsid w:val="0BAD59A4"/>
    <w:rsid w:val="0BB329F1"/>
    <w:rsid w:val="0BB53545"/>
    <w:rsid w:val="0BBA4FFF"/>
    <w:rsid w:val="0BCC11C3"/>
    <w:rsid w:val="0BDA2FAB"/>
    <w:rsid w:val="0BDE0106"/>
    <w:rsid w:val="0BEF6A57"/>
    <w:rsid w:val="0BEF6BE8"/>
    <w:rsid w:val="0BF027CF"/>
    <w:rsid w:val="0BF16C73"/>
    <w:rsid w:val="0C0F534B"/>
    <w:rsid w:val="0C104C1F"/>
    <w:rsid w:val="0C234952"/>
    <w:rsid w:val="0C357211"/>
    <w:rsid w:val="0C376758"/>
    <w:rsid w:val="0C3C77C2"/>
    <w:rsid w:val="0C427989"/>
    <w:rsid w:val="0C466B45"/>
    <w:rsid w:val="0C467A13"/>
    <w:rsid w:val="0C762CD4"/>
    <w:rsid w:val="0C7763F9"/>
    <w:rsid w:val="0C7B653C"/>
    <w:rsid w:val="0C7E602C"/>
    <w:rsid w:val="0C8A2C23"/>
    <w:rsid w:val="0C8E2713"/>
    <w:rsid w:val="0C917B0E"/>
    <w:rsid w:val="0C963376"/>
    <w:rsid w:val="0C9E222B"/>
    <w:rsid w:val="0CBD2A2F"/>
    <w:rsid w:val="0CBE467B"/>
    <w:rsid w:val="0CC2416B"/>
    <w:rsid w:val="0CCA3020"/>
    <w:rsid w:val="0CD10852"/>
    <w:rsid w:val="0CD8573D"/>
    <w:rsid w:val="0CDB6FDB"/>
    <w:rsid w:val="0CEC12AF"/>
    <w:rsid w:val="0D04565D"/>
    <w:rsid w:val="0D1B1ACD"/>
    <w:rsid w:val="0D1F6B15"/>
    <w:rsid w:val="0D5079C9"/>
    <w:rsid w:val="0D562B05"/>
    <w:rsid w:val="0D584403"/>
    <w:rsid w:val="0D6B3669"/>
    <w:rsid w:val="0D7F3E0A"/>
    <w:rsid w:val="0D837D9E"/>
    <w:rsid w:val="0D886C01"/>
    <w:rsid w:val="0D913B3D"/>
    <w:rsid w:val="0D9217FF"/>
    <w:rsid w:val="0D9378B6"/>
    <w:rsid w:val="0DA57703"/>
    <w:rsid w:val="0DA6583B"/>
    <w:rsid w:val="0DC24FC9"/>
    <w:rsid w:val="0DC61A39"/>
    <w:rsid w:val="0DE3083D"/>
    <w:rsid w:val="0DEE7765"/>
    <w:rsid w:val="0DF04D08"/>
    <w:rsid w:val="0DF62D23"/>
    <w:rsid w:val="0DF77E44"/>
    <w:rsid w:val="0DF90060"/>
    <w:rsid w:val="0E042561"/>
    <w:rsid w:val="0E0B11FA"/>
    <w:rsid w:val="0E0F33E0"/>
    <w:rsid w:val="0E124C7E"/>
    <w:rsid w:val="0E1A1D85"/>
    <w:rsid w:val="0E1B3F19"/>
    <w:rsid w:val="0E1C78AB"/>
    <w:rsid w:val="0E211365"/>
    <w:rsid w:val="0E2A1FC8"/>
    <w:rsid w:val="0E2B3F92"/>
    <w:rsid w:val="0E4742D5"/>
    <w:rsid w:val="0E4A08BC"/>
    <w:rsid w:val="0E527771"/>
    <w:rsid w:val="0E576B35"/>
    <w:rsid w:val="0E6D6359"/>
    <w:rsid w:val="0E700754"/>
    <w:rsid w:val="0E770F85"/>
    <w:rsid w:val="0E7E2314"/>
    <w:rsid w:val="0E87741A"/>
    <w:rsid w:val="0E95355D"/>
    <w:rsid w:val="0E9D3E12"/>
    <w:rsid w:val="0EA578A0"/>
    <w:rsid w:val="0EAF071F"/>
    <w:rsid w:val="0EB0180F"/>
    <w:rsid w:val="0EBF032A"/>
    <w:rsid w:val="0ECC307F"/>
    <w:rsid w:val="0ED87C76"/>
    <w:rsid w:val="0EDE3842"/>
    <w:rsid w:val="0EE20AF5"/>
    <w:rsid w:val="0F022F45"/>
    <w:rsid w:val="0F0335C9"/>
    <w:rsid w:val="0F136F00"/>
    <w:rsid w:val="0F1D1B2D"/>
    <w:rsid w:val="0F1F58A5"/>
    <w:rsid w:val="0F204221"/>
    <w:rsid w:val="0F213035"/>
    <w:rsid w:val="0F256C33"/>
    <w:rsid w:val="0F276507"/>
    <w:rsid w:val="0F2B5D1F"/>
    <w:rsid w:val="0F3B3D47"/>
    <w:rsid w:val="0F3D5D2B"/>
    <w:rsid w:val="0F4B587D"/>
    <w:rsid w:val="0F6C5FE1"/>
    <w:rsid w:val="0F7B0A06"/>
    <w:rsid w:val="0F7B76C4"/>
    <w:rsid w:val="0F7D081D"/>
    <w:rsid w:val="0F803E6A"/>
    <w:rsid w:val="0F8E37C8"/>
    <w:rsid w:val="0F9A13CF"/>
    <w:rsid w:val="0F9A317D"/>
    <w:rsid w:val="0F9C6EF5"/>
    <w:rsid w:val="0FA250E1"/>
    <w:rsid w:val="0FA35CA6"/>
    <w:rsid w:val="0FC401FA"/>
    <w:rsid w:val="0FD3043D"/>
    <w:rsid w:val="0FD74C28"/>
    <w:rsid w:val="0FE7656F"/>
    <w:rsid w:val="0FE97C61"/>
    <w:rsid w:val="0FF63AA5"/>
    <w:rsid w:val="10011319"/>
    <w:rsid w:val="1006245B"/>
    <w:rsid w:val="10086339"/>
    <w:rsid w:val="100B7BD7"/>
    <w:rsid w:val="100D1BA1"/>
    <w:rsid w:val="10134CDE"/>
    <w:rsid w:val="101A2510"/>
    <w:rsid w:val="101C0A97"/>
    <w:rsid w:val="101F38C3"/>
    <w:rsid w:val="102313C5"/>
    <w:rsid w:val="10234F21"/>
    <w:rsid w:val="102F7D69"/>
    <w:rsid w:val="10401F77"/>
    <w:rsid w:val="104D01F0"/>
    <w:rsid w:val="1054157E"/>
    <w:rsid w:val="105C6685"/>
    <w:rsid w:val="106D1FAD"/>
    <w:rsid w:val="106D43EE"/>
    <w:rsid w:val="108160EB"/>
    <w:rsid w:val="10833C11"/>
    <w:rsid w:val="10945E1E"/>
    <w:rsid w:val="10A622DE"/>
    <w:rsid w:val="10AF4A06"/>
    <w:rsid w:val="10B822C3"/>
    <w:rsid w:val="10CF6E57"/>
    <w:rsid w:val="10D85CC4"/>
    <w:rsid w:val="10E24EFD"/>
    <w:rsid w:val="10F67974"/>
    <w:rsid w:val="10FD1C16"/>
    <w:rsid w:val="11056D1C"/>
    <w:rsid w:val="11066BBB"/>
    <w:rsid w:val="110C4121"/>
    <w:rsid w:val="1111121D"/>
    <w:rsid w:val="111E393A"/>
    <w:rsid w:val="112C42A9"/>
    <w:rsid w:val="11357601"/>
    <w:rsid w:val="11423ACC"/>
    <w:rsid w:val="11435BFC"/>
    <w:rsid w:val="114A0BD3"/>
    <w:rsid w:val="117619EB"/>
    <w:rsid w:val="117B2B3A"/>
    <w:rsid w:val="118934A9"/>
    <w:rsid w:val="119A56B6"/>
    <w:rsid w:val="11A110D7"/>
    <w:rsid w:val="11A622AD"/>
    <w:rsid w:val="11AB15B9"/>
    <w:rsid w:val="11AD1C79"/>
    <w:rsid w:val="11B115F5"/>
    <w:rsid w:val="11BF6ECB"/>
    <w:rsid w:val="11C97D4A"/>
    <w:rsid w:val="11D0732A"/>
    <w:rsid w:val="11D434DA"/>
    <w:rsid w:val="11E626AA"/>
    <w:rsid w:val="120E7E53"/>
    <w:rsid w:val="121865DB"/>
    <w:rsid w:val="122F22A3"/>
    <w:rsid w:val="12312651"/>
    <w:rsid w:val="12331667"/>
    <w:rsid w:val="12685FCD"/>
    <w:rsid w:val="12715AC8"/>
    <w:rsid w:val="1279351E"/>
    <w:rsid w:val="1280574C"/>
    <w:rsid w:val="12AA7B7B"/>
    <w:rsid w:val="12B04A66"/>
    <w:rsid w:val="12CF1390"/>
    <w:rsid w:val="12D62275"/>
    <w:rsid w:val="12E87CB4"/>
    <w:rsid w:val="12EB3CF0"/>
    <w:rsid w:val="12EB70BB"/>
    <w:rsid w:val="12F157AA"/>
    <w:rsid w:val="12F17558"/>
    <w:rsid w:val="12F26454"/>
    <w:rsid w:val="12F26E2C"/>
    <w:rsid w:val="13024F2E"/>
    <w:rsid w:val="13104155"/>
    <w:rsid w:val="131C047C"/>
    <w:rsid w:val="131D659F"/>
    <w:rsid w:val="132536A6"/>
    <w:rsid w:val="1332191F"/>
    <w:rsid w:val="133B07D3"/>
    <w:rsid w:val="13427DB4"/>
    <w:rsid w:val="134753CA"/>
    <w:rsid w:val="135628BD"/>
    <w:rsid w:val="1356385F"/>
    <w:rsid w:val="13A04ADA"/>
    <w:rsid w:val="13A16CBF"/>
    <w:rsid w:val="13AA5959"/>
    <w:rsid w:val="13B660AC"/>
    <w:rsid w:val="13B751E9"/>
    <w:rsid w:val="13BB6B20"/>
    <w:rsid w:val="13C22CA3"/>
    <w:rsid w:val="13D80DE3"/>
    <w:rsid w:val="13DD188A"/>
    <w:rsid w:val="13E44C8F"/>
    <w:rsid w:val="13EF0479"/>
    <w:rsid w:val="13EF0A3E"/>
    <w:rsid w:val="14072DAB"/>
    <w:rsid w:val="141A663B"/>
    <w:rsid w:val="141F66D1"/>
    <w:rsid w:val="143E4A1F"/>
    <w:rsid w:val="14411E19"/>
    <w:rsid w:val="14423DE3"/>
    <w:rsid w:val="144F0E05"/>
    <w:rsid w:val="14551D69"/>
    <w:rsid w:val="146F2C7A"/>
    <w:rsid w:val="14751CD5"/>
    <w:rsid w:val="147C10A3"/>
    <w:rsid w:val="147D6BCA"/>
    <w:rsid w:val="147E306D"/>
    <w:rsid w:val="148937C0"/>
    <w:rsid w:val="149E4992"/>
    <w:rsid w:val="14C11485"/>
    <w:rsid w:val="14CA1955"/>
    <w:rsid w:val="14DE58BA"/>
    <w:rsid w:val="14E530ED"/>
    <w:rsid w:val="14EA7CA7"/>
    <w:rsid w:val="14F00A0F"/>
    <w:rsid w:val="14FE7D0A"/>
    <w:rsid w:val="15080B89"/>
    <w:rsid w:val="150F0169"/>
    <w:rsid w:val="151A0B57"/>
    <w:rsid w:val="152359C3"/>
    <w:rsid w:val="15273705"/>
    <w:rsid w:val="1528122B"/>
    <w:rsid w:val="15311E8E"/>
    <w:rsid w:val="1534372C"/>
    <w:rsid w:val="15436065"/>
    <w:rsid w:val="15485AA9"/>
    <w:rsid w:val="154F1265"/>
    <w:rsid w:val="155618F4"/>
    <w:rsid w:val="15622156"/>
    <w:rsid w:val="15655FDB"/>
    <w:rsid w:val="15783F61"/>
    <w:rsid w:val="158A3C94"/>
    <w:rsid w:val="158C2D9C"/>
    <w:rsid w:val="1594747C"/>
    <w:rsid w:val="159D5775"/>
    <w:rsid w:val="15A13C8F"/>
    <w:rsid w:val="15D05B4B"/>
    <w:rsid w:val="15D268AA"/>
    <w:rsid w:val="15DF7B3C"/>
    <w:rsid w:val="15E74C42"/>
    <w:rsid w:val="15E92769"/>
    <w:rsid w:val="15F07F9B"/>
    <w:rsid w:val="16101D7E"/>
    <w:rsid w:val="161248DA"/>
    <w:rsid w:val="1638724C"/>
    <w:rsid w:val="16397713"/>
    <w:rsid w:val="163A0737"/>
    <w:rsid w:val="163D01FE"/>
    <w:rsid w:val="164B0622"/>
    <w:rsid w:val="164D3443"/>
    <w:rsid w:val="1651030E"/>
    <w:rsid w:val="1653052A"/>
    <w:rsid w:val="16594D29"/>
    <w:rsid w:val="165B0ABE"/>
    <w:rsid w:val="165D5517"/>
    <w:rsid w:val="166167A3"/>
    <w:rsid w:val="16690834"/>
    <w:rsid w:val="166B0DFF"/>
    <w:rsid w:val="166D18B3"/>
    <w:rsid w:val="167069E6"/>
    <w:rsid w:val="168D3A3C"/>
    <w:rsid w:val="16A52D20"/>
    <w:rsid w:val="16A7201F"/>
    <w:rsid w:val="16B77600"/>
    <w:rsid w:val="16BA4105"/>
    <w:rsid w:val="16BE1E47"/>
    <w:rsid w:val="16C3745D"/>
    <w:rsid w:val="16D90A2F"/>
    <w:rsid w:val="16E318AE"/>
    <w:rsid w:val="16ED44DA"/>
    <w:rsid w:val="16EF3DAF"/>
    <w:rsid w:val="16F70437"/>
    <w:rsid w:val="170E5D26"/>
    <w:rsid w:val="171546C6"/>
    <w:rsid w:val="17451C21"/>
    <w:rsid w:val="174E3079"/>
    <w:rsid w:val="174F0CF1"/>
    <w:rsid w:val="1757398F"/>
    <w:rsid w:val="17606E66"/>
    <w:rsid w:val="17626C76"/>
    <w:rsid w:val="17694B12"/>
    <w:rsid w:val="176B3A77"/>
    <w:rsid w:val="176B75F2"/>
    <w:rsid w:val="178633B3"/>
    <w:rsid w:val="17885FB1"/>
    <w:rsid w:val="178A7F7B"/>
    <w:rsid w:val="178B2C19"/>
    <w:rsid w:val="179606CE"/>
    <w:rsid w:val="17966920"/>
    <w:rsid w:val="179B7A92"/>
    <w:rsid w:val="17A27073"/>
    <w:rsid w:val="17AD5A18"/>
    <w:rsid w:val="17AF353E"/>
    <w:rsid w:val="17B15508"/>
    <w:rsid w:val="17BD5C5B"/>
    <w:rsid w:val="17BE59A2"/>
    <w:rsid w:val="17CC1893"/>
    <w:rsid w:val="17D17958"/>
    <w:rsid w:val="17DE3E23"/>
    <w:rsid w:val="17EB24DE"/>
    <w:rsid w:val="17EB6C6C"/>
    <w:rsid w:val="17EC61EC"/>
    <w:rsid w:val="17ED2C6B"/>
    <w:rsid w:val="17F04282"/>
    <w:rsid w:val="17F72142"/>
    <w:rsid w:val="17FD24FB"/>
    <w:rsid w:val="18001DBA"/>
    <w:rsid w:val="180752EF"/>
    <w:rsid w:val="1811244B"/>
    <w:rsid w:val="18117D55"/>
    <w:rsid w:val="18185849"/>
    <w:rsid w:val="18271890"/>
    <w:rsid w:val="18414ADE"/>
    <w:rsid w:val="184A42DA"/>
    <w:rsid w:val="18561C0B"/>
    <w:rsid w:val="18567E5D"/>
    <w:rsid w:val="187F1162"/>
    <w:rsid w:val="18814EDA"/>
    <w:rsid w:val="188F58CF"/>
    <w:rsid w:val="18950986"/>
    <w:rsid w:val="18956BD8"/>
    <w:rsid w:val="18982224"/>
    <w:rsid w:val="189A2440"/>
    <w:rsid w:val="18A94431"/>
    <w:rsid w:val="18C876D8"/>
    <w:rsid w:val="18DB5A75"/>
    <w:rsid w:val="18E611E1"/>
    <w:rsid w:val="18ED735A"/>
    <w:rsid w:val="18F02060"/>
    <w:rsid w:val="18F733EE"/>
    <w:rsid w:val="18FE29CF"/>
    <w:rsid w:val="19033B41"/>
    <w:rsid w:val="19037AF3"/>
    <w:rsid w:val="1912647A"/>
    <w:rsid w:val="192166BD"/>
    <w:rsid w:val="19283568"/>
    <w:rsid w:val="192B3098"/>
    <w:rsid w:val="1934019F"/>
    <w:rsid w:val="193463F1"/>
    <w:rsid w:val="19393A07"/>
    <w:rsid w:val="194B4755"/>
    <w:rsid w:val="1965563C"/>
    <w:rsid w:val="197C1B46"/>
    <w:rsid w:val="197E58BE"/>
    <w:rsid w:val="19960E59"/>
    <w:rsid w:val="19971F9C"/>
    <w:rsid w:val="19A5109C"/>
    <w:rsid w:val="19B65058"/>
    <w:rsid w:val="19C3097F"/>
    <w:rsid w:val="19D674A8"/>
    <w:rsid w:val="19E46D6E"/>
    <w:rsid w:val="1A031D3C"/>
    <w:rsid w:val="1A061349"/>
    <w:rsid w:val="1A073245"/>
    <w:rsid w:val="1A174234"/>
    <w:rsid w:val="1A2C70C8"/>
    <w:rsid w:val="1A3B555D"/>
    <w:rsid w:val="1A4118E9"/>
    <w:rsid w:val="1A442DE9"/>
    <w:rsid w:val="1A56143D"/>
    <w:rsid w:val="1A620D3B"/>
    <w:rsid w:val="1A75281D"/>
    <w:rsid w:val="1A7A42D7"/>
    <w:rsid w:val="1AA616FE"/>
    <w:rsid w:val="1AAA24BD"/>
    <w:rsid w:val="1AB570BD"/>
    <w:rsid w:val="1AC35C98"/>
    <w:rsid w:val="1AC63078"/>
    <w:rsid w:val="1ACA018D"/>
    <w:rsid w:val="1AD25EC1"/>
    <w:rsid w:val="1ADC0AEE"/>
    <w:rsid w:val="1AF53561"/>
    <w:rsid w:val="1AFB2E83"/>
    <w:rsid w:val="1AFF658A"/>
    <w:rsid w:val="1B03607B"/>
    <w:rsid w:val="1B101769"/>
    <w:rsid w:val="1B1738D4"/>
    <w:rsid w:val="1B25482F"/>
    <w:rsid w:val="1B2F3FF6"/>
    <w:rsid w:val="1B372632"/>
    <w:rsid w:val="1B3C0EE4"/>
    <w:rsid w:val="1B530684"/>
    <w:rsid w:val="1B56689D"/>
    <w:rsid w:val="1B854CE1"/>
    <w:rsid w:val="1B953983"/>
    <w:rsid w:val="1BAF3A7B"/>
    <w:rsid w:val="1BC27739"/>
    <w:rsid w:val="1BC305D3"/>
    <w:rsid w:val="1BC3580A"/>
    <w:rsid w:val="1BD6553D"/>
    <w:rsid w:val="1BE06796"/>
    <w:rsid w:val="1BE834C2"/>
    <w:rsid w:val="1BEA548C"/>
    <w:rsid w:val="1BF44E78"/>
    <w:rsid w:val="1BF47D8F"/>
    <w:rsid w:val="1C026332"/>
    <w:rsid w:val="1C086F4F"/>
    <w:rsid w:val="1C1E130C"/>
    <w:rsid w:val="1C24274C"/>
    <w:rsid w:val="1C297D63"/>
    <w:rsid w:val="1C2A7F82"/>
    <w:rsid w:val="1C3B7A96"/>
    <w:rsid w:val="1C44694B"/>
    <w:rsid w:val="1C5841A4"/>
    <w:rsid w:val="1C604A01"/>
    <w:rsid w:val="1C646FED"/>
    <w:rsid w:val="1C7E43A1"/>
    <w:rsid w:val="1C96375A"/>
    <w:rsid w:val="1CAE0268"/>
    <w:rsid w:val="1CBB2985"/>
    <w:rsid w:val="1CC45CDD"/>
    <w:rsid w:val="1CC57360"/>
    <w:rsid w:val="1CCD3D63"/>
    <w:rsid w:val="1CD13F56"/>
    <w:rsid w:val="1CD55680"/>
    <w:rsid w:val="1CE75528"/>
    <w:rsid w:val="1CEE68B6"/>
    <w:rsid w:val="1D167BBB"/>
    <w:rsid w:val="1D235D75"/>
    <w:rsid w:val="1D321E13"/>
    <w:rsid w:val="1D351D4F"/>
    <w:rsid w:val="1D3C4F3E"/>
    <w:rsid w:val="1D497F91"/>
    <w:rsid w:val="1D544BAE"/>
    <w:rsid w:val="1D631052"/>
    <w:rsid w:val="1D660B43"/>
    <w:rsid w:val="1D772D50"/>
    <w:rsid w:val="1D81772B"/>
    <w:rsid w:val="1D8334A3"/>
    <w:rsid w:val="1D84721B"/>
    <w:rsid w:val="1DA022A7"/>
    <w:rsid w:val="1DA344B8"/>
    <w:rsid w:val="1DAC50F0"/>
    <w:rsid w:val="1DB0683B"/>
    <w:rsid w:val="1DBC044E"/>
    <w:rsid w:val="1DD81726"/>
    <w:rsid w:val="1DE33F41"/>
    <w:rsid w:val="1DE702CC"/>
    <w:rsid w:val="1DEF6D8A"/>
    <w:rsid w:val="1E064B3B"/>
    <w:rsid w:val="1E14059F"/>
    <w:rsid w:val="1E1B011F"/>
    <w:rsid w:val="1E485497"/>
    <w:rsid w:val="1E4E3AB1"/>
    <w:rsid w:val="1E5F3164"/>
    <w:rsid w:val="1E62755C"/>
    <w:rsid w:val="1E6A6411"/>
    <w:rsid w:val="1E716868"/>
    <w:rsid w:val="1E7E3C6A"/>
    <w:rsid w:val="1E88623C"/>
    <w:rsid w:val="1E990AA4"/>
    <w:rsid w:val="1E9A6CF6"/>
    <w:rsid w:val="1E9D2342"/>
    <w:rsid w:val="1EA41923"/>
    <w:rsid w:val="1EA5569B"/>
    <w:rsid w:val="1EBB0A1A"/>
    <w:rsid w:val="1EC05AB5"/>
    <w:rsid w:val="1ECE4BF1"/>
    <w:rsid w:val="1ED15378"/>
    <w:rsid w:val="1ED33FB6"/>
    <w:rsid w:val="1EE12B77"/>
    <w:rsid w:val="1F040613"/>
    <w:rsid w:val="1F071EB1"/>
    <w:rsid w:val="1F106FB8"/>
    <w:rsid w:val="1F245696"/>
    <w:rsid w:val="1F2D4C2A"/>
    <w:rsid w:val="1F3507CD"/>
    <w:rsid w:val="1F37200A"/>
    <w:rsid w:val="1F3C7DAD"/>
    <w:rsid w:val="1F437F4A"/>
    <w:rsid w:val="1F4849CA"/>
    <w:rsid w:val="1F4934E4"/>
    <w:rsid w:val="1F4D3D68"/>
    <w:rsid w:val="1F574B03"/>
    <w:rsid w:val="1F6D440A"/>
    <w:rsid w:val="1F751511"/>
    <w:rsid w:val="1F7532BF"/>
    <w:rsid w:val="1F843502"/>
    <w:rsid w:val="1F843F90"/>
    <w:rsid w:val="1F871C7C"/>
    <w:rsid w:val="1F873477"/>
    <w:rsid w:val="1F900A1F"/>
    <w:rsid w:val="1F9D6372"/>
    <w:rsid w:val="1FAD2191"/>
    <w:rsid w:val="1FB21E1D"/>
    <w:rsid w:val="1FB80687"/>
    <w:rsid w:val="1FC16857"/>
    <w:rsid w:val="1FC93481"/>
    <w:rsid w:val="1FD224BF"/>
    <w:rsid w:val="1FD60202"/>
    <w:rsid w:val="1FD71884"/>
    <w:rsid w:val="1FE741BD"/>
    <w:rsid w:val="1FEC4E88"/>
    <w:rsid w:val="200456B9"/>
    <w:rsid w:val="20081A9B"/>
    <w:rsid w:val="200F3EAF"/>
    <w:rsid w:val="20250841"/>
    <w:rsid w:val="202A7DFC"/>
    <w:rsid w:val="20474C5B"/>
    <w:rsid w:val="204A474C"/>
    <w:rsid w:val="204A64FA"/>
    <w:rsid w:val="2059788E"/>
    <w:rsid w:val="205D622D"/>
    <w:rsid w:val="2063580D"/>
    <w:rsid w:val="20670E5A"/>
    <w:rsid w:val="206F7D0E"/>
    <w:rsid w:val="20717F2A"/>
    <w:rsid w:val="20743577"/>
    <w:rsid w:val="2076109D"/>
    <w:rsid w:val="20842038"/>
    <w:rsid w:val="20863CB7"/>
    <w:rsid w:val="208D63E6"/>
    <w:rsid w:val="20AF45AF"/>
    <w:rsid w:val="20B00655"/>
    <w:rsid w:val="20C0517F"/>
    <w:rsid w:val="20C1476D"/>
    <w:rsid w:val="20CC6F0F"/>
    <w:rsid w:val="20D858B3"/>
    <w:rsid w:val="20E06A7D"/>
    <w:rsid w:val="21035A46"/>
    <w:rsid w:val="210404B9"/>
    <w:rsid w:val="21132D8F"/>
    <w:rsid w:val="2117534C"/>
    <w:rsid w:val="2133798D"/>
    <w:rsid w:val="213A47C0"/>
    <w:rsid w:val="213D39FA"/>
    <w:rsid w:val="213D7E0C"/>
    <w:rsid w:val="21455F84"/>
    <w:rsid w:val="21495609"/>
    <w:rsid w:val="214B42D7"/>
    <w:rsid w:val="216D6944"/>
    <w:rsid w:val="21725D08"/>
    <w:rsid w:val="218477E9"/>
    <w:rsid w:val="218872DA"/>
    <w:rsid w:val="218A699A"/>
    <w:rsid w:val="2190618E"/>
    <w:rsid w:val="219C2D85"/>
    <w:rsid w:val="21A07893"/>
    <w:rsid w:val="21A1039B"/>
    <w:rsid w:val="21A7260B"/>
    <w:rsid w:val="21B11354"/>
    <w:rsid w:val="21D95D87"/>
    <w:rsid w:val="21ED4154"/>
    <w:rsid w:val="22105521"/>
    <w:rsid w:val="22117056"/>
    <w:rsid w:val="22145011"/>
    <w:rsid w:val="221C2118"/>
    <w:rsid w:val="22370D00"/>
    <w:rsid w:val="224551CB"/>
    <w:rsid w:val="224869F6"/>
    <w:rsid w:val="225E628C"/>
    <w:rsid w:val="22643966"/>
    <w:rsid w:val="22682C67"/>
    <w:rsid w:val="226A69DF"/>
    <w:rsid w:val="227C4964"/>
    <w:rsid w:val="227F339F"/>
    <w:rsid w:val="22A25CBE"/>
    <w:rsid w:val="22A5210D"/>
    <w:rsid w:val="22B1460E"/>
    <w:rsid w:val="22BE4F7D"/>
    <w:rsid w:val="22CA56D0"/>
    <w:rsid w:val="22D30A28"/>
    <w:rsid w:val="22E04EF3"/>
    <w:rsid w:val="22E83DA8"/>
    <w:rsid w:val="22FA4207"/>
    <w:rsid w:val="22FF7A6F"/>
    <w:rsid w:val="2305307D"/>
    <w:rsid w:val="230C7A96"/>
    <w:rsid w:val="230D5BBE"/>
    <w:rsid w:val="23177672"/>
    <w:rsid w:val="233B037C"/>
    <w:rsid w:val="233F1C1A"/>
    <w:rsid w:val="23425BAE"/>
    <w:rsid w:val="234A2BA6"/>
    <w:rsid w:val="23580F2E"/>
    <w:rsid w:val="23604F8C"/>
    <w:rsid w:val="23674086"/>
    <w:rsid w:val="2389558B"/>
    <w:rsid w:val="23A777BF"/>
    <w:rsid w:val="23B35063"/>
    <w:rsid w:val="23B56380"/>
    <w:rsid w:val="23BF0FAD"/>
    <w:rsid w:val="23C2284B"/>
    <w:rsid w:val="23C30A9D"/>
    <w:rsid w:val="23D26F32"/>
    <w:rsid w:val="23D5257E"/>
    <w:rsid w:val="23D60969"/>
    <w:rsid w:val="23D700A4"/>
    <w:rsid w:val="23D83D9F"/>
    <w:rsid w:val="23D84719"/>
    <w:rsid w:val="23DF164F"/>
    <w:rsid w:val="23FE3883"/>
    <w:rsid w:val="24015121"/>
    <w:rsid w:val="24062738"/>
    <w:rsid w:val="243366B7"/>
    <w:rsid w:val="24417C14"/>
    <w:rsid w:val="2452597D"/>
    <w:rsid w:val="245C67FB"/>
    <w:rsid w:val="246833F2"/>
    <w:rsid w:val="247104F9"/>
    <w:rsid w:val="2471674B"/>
    <w:rsid w:val="24727DCD"/>
    <w:rsid w:val="24816262"/>
    <w:rsid w:val="24942439"/>
    <w:rsid w:val="24977600"/>
    <w:rsid w:val="249E6E14"/>
    <w:rsid w:val="24A10C41"/>
    <w:rsid w:val="24A14194"/>
    <w:rsid w:val="24AA3A0B"/>
    <w:rsid w:val="24AE27A9"/>
    <w:rsid w:val="24AF4B7D"/>
    <w:rsid w:val="24B831E2"/>
    <w:rsid w:val="24BB5C18"/>
    <w:rsid w:val="24C148B0"/>
    <w:rsid w:val="24DB3BC4"/>
    <w:rsid w:val="24ED38F7"/>
    <w:rsid w:val="24F904EE"/>
    <w:rsid w:val="25014E04"/>
    <w:rsid w:val="25072C0B"/>
    <w:rsid w:val="250B120F"/>
    <w:rsid w:val="250E3F9A"/>
    <w:rsid w:val="251F61A7"/>
    <w:rsid w:val="252437BD"/>
    <w:rsid w:val="25257535"/>
    <w:rsid w:val="252C7220"/>
    <w:rsid w:val="252D7B27"/>
    <w:rsid w:val="25382DC5"/>
    <w:rsid w:val="255D282B"/>
    <w:rsid w:val="255E0351"/>
    <w:rsid w:val="256C2A6E"/>
    <w:rsid w:val="2572277A"/>
    <w:rsid w:val="25743604"/>
    <w:rsid w:val="257B0F03"/>
    <w:rsid w:val="25821050"/>
    <w:rsid w:val="25855239"/>
    <w:rsid w:val="25983863"/>
    <w:rsid w:val="25996B41"/>
    <w:rsid w:val="259A582D"/>
    <w:rsid w:val="25A12635"/>
    <w:rsid w:val="25A8248F"/>
    <w:rsid w:val="25BC1C48"/>
    <w:rsid w:val="25BD6D2B"/>
    <w:rsid w:val="25D24FC7"/>
    <w:rsid w:val="25DD3A49"/>
    <w:rsid w:val="25DD571A"/>
    <w:rsid w:val="25EB6089"/>
    <w:rsid w:val="25F018F1"/>
    <w:rsid w:val="25F44C8B"/>
    <w:rsid w:val="26030FFB"/>
    <w:rsid w:val="26062EC3"/>
    <w:rsid w:val="261B78C8"/>
    <w:rsid w:val="261E645E"/>
    <w:rsid w:val="262E235B"/>
    <w:rsid w:val="2637307C"/>
    <w:rsid w:val="263A491A"/>
    <w:rsid w:val="26573BCF"/>
    <w:rsid w:val="2661634B"/>
    <w:rsid w:val="26693A33"/>
    <w:rsid w:val="267C3185"/>
    <w:rsid w:val="26972907"/>
    <w:rsid w:val="26A50560"/>
    <w:rsid w:val="26A74843"/>
    <w:rsid w:val="26AD333E"/>
    <w:rsid w:val="26B57364"/>
    <w:rsid w:val="26BB3CAD"/>
    <w:rsid w:val="26BE379D"/>
    <w:rsid w:val="26C64400"/>
    <w:rsid w:val="26D92385"/>
    <w:rsid w:val="26E86A6C"/>
    <w:rsid w:val="26E975DE"/>
    <w:rsid w:val="26F5471B"/>
    <w:rsid w:val="27027B2E"/>
    <w:rsid w:val="270A69E3"/>
    <w:rsid w:val="270C3E08"/>
    <w:rsid w:val="270F55EE"/>
    <w:rsid w:val="271413C9"/>
    <w:rsid w:val="27257379"/>
    <w:rsid w:val="272F1A96"/>
    <w:rsid w:val="273D46C2"/>
    <w:rsid w:val="2742617D"/>
    <w:rsid w:val="27483067"/>
    <w:rsid w:val="27594FDF"/>
    <w:rsid w:val="27604855"/>
    <w:rsid w:val="27606603"/>
    <w:rsid w:val="276428BB"/>
    <w:rsid w:val="277B168E"/>
    <w:rsid w:val="279D1605"/>
    <w:rsid w:val="27A75FE0"/>
    <w:rsid w:val="27AA5AD0"/>
    <w:rsid w:val="27BE5BBA"/>
    <w:rsid w:val="27D05536"/>
    <w:rsid w:val="27D33279"/>
    <w:rsid w:val="27D56FF1"/>
    <w:rsid w:val="27D843EB"/>
    <w:rsid w:val="27E45486"/>
    <w:rsid w:val="27F51441"/>
    <w:rsid w:val="27F52753"/>
    <w:rsid w:val="28013942"/>
    <w:rsid w:val="280A653B"/>
    <w:rsid w:val="280B315C"/>
    <w:rsid w:val="281E2746"/>
    <w:rsid w:val="28237D5C"/>
    <w:rsid w:val="28292E99"/>
    <w:rsid w:val="282E038C"/>
    <w:rsid w:val="282F4953"/>
    <w:rsid w:val="283B4A62"/>
    <w:rsid w:val="284472C5"/>
    <w:rsid w:val="28461C9C"/>
    <w:rsid w:val="284D6B87"/>
    <w:rsid w:val="285048C9"/>
    <w:rsid w:val="28513FD7"/>
    <w:rsid w:val="2858552C"/>
    <w:rsid w:val="28671930"/>
    <w:rsid w:val="28983C59"/>
    <w:rsid w:val="28996270"/>
    <w:rsid w:val="289A0DF9"/>
    <w:rsid w:val="28A569C3"/>
    <w:rsid w:val="28AE2D85"/>
    <w:rsid w:val="28B05368"/>
    <w:rsid w:val="28DF513D"/>
    <w:rsid w:val="28E079FB"/>
    <w:rsid w:val="28E625C5"/>
    <w:rsid w:val="28F31788"/>
    <w:rsid w:val="2905040B"/>
    <w:rsid w:val="29057B0C"/>
    <w:rsid w:val="290A4A78"/>
    <w:rsid w:val="29140A2C"/>
    <w:rsid w:val="292304C4"/>
    <w:rsid w:val="292D1439"/>
    <w:rsid w:val="293146FB"/>
    <w:rsid w:val="294319DA"/>
    <w:rsid w:val="2944442E"/>
    <w:rsid w:val="29475CCC"/>
    <w:rsid w:val="29477A7A"/>
    <w:rsid w:val="29491A44"/>
    <w:rsid w:val="29530A33"/>
    <w:rsid w:val="2961371B"/>
    <w:rsid w:val="29622B06"/>
    <w:rsid w:val="296E14AB"/>
    <w:rsid w:val="296F27E6"/>
    <w:rsid w:val="29791588"/>
    <w:rsid w:val="297B0CF7"/>
    <w:rsid w:val="298B3D07"/>
    <w:rsid w:val="299A2D2E"/>
    <w:rsid w:val="29AC3D81"/>
    <w:rsid w:val="29BF3AB4"/>
    <w:rsid w:val="29C14FD0"/>
    <w:rsid w:val="29CC4423"/>
    <w:rsid w:val="29CE18C8"/>
    <w:rsid w:val="29CF181E"/>
    <w:rsid w:val="29D07A70"/>
    <w:rsid w:val="29D76564"/>
    <w:rsid w:val="29E3367D"/>
    <w:rsid w:val="29EB2AFB"/>
    <w:rsid w:val="29F15C38"/>
    <w:rsid w:val="29FF57A5"/>
    <w:rsid w:val="2A2313DA"/>
    <w:rsid w:val="2A297180"/>
    <w:rsid w:val="2A44625D"/>
    <w:rsid w:val="2A4A348B"/>
    <w:rsid w:val="2A524929"/>
    <w:rsid w:val="2A610E2D"/>
    <w:rsid w:val="2A61691A"/>
    <w:rsid w:val="2A68171A"/>
    <w:rsid w:val="2A7A79DB"/>
    <w:rsid w:val="2A877421"/>
    <w:rsid w:val="2A8E4195"/>
    <w:rsid w:val="2A97233B"/>
    <w:rsid w:val="2A9860B3"/>
    <w:rsid w:val="2AA15DF8"/>
    <w:rsid w:val="2AAD6003"/>
    <w:rsid w:val="2AB8479E"/>
    <w:rsid w:val="2AC15198"/>
    <w:rsid w:val="2AC5741E"/>
    <w:rsid w:val="2AD4642D"/>
    <w:rsid w:val="2AD52E64"/>
    <w:rsid w:val="2AD569F2"/>
    <w:rsid w:val="2ADA274F"/>
    <w:rsid w:val="2ADE61BC"/>
    <w:rsid w:val="2AE5579D"/>
    <w:rsid w:val="2AF61A56"/>
    <w:rsid w:val="2AF63B60"/>
    <w:rsid w:val="2B0379D1"/>
    <w:rsid w:val="2B0F6376"/>
    <w:rsid w:val="2B1E2A5D"/>
    <w:rsid w:val="2B2067D5"/>
    <w:rsid w:val="2B2D2CA0"/>
    <w:rsid w:val="2B395AE8"/>
    <w:rsid w:val="2B3F63F6"/>
    <w:rsid w:val="2B406E77"/>
    <w:rsid w:val="2B421FE8"/>
    <w:rsid w:val="2B5E72FD"/>
    <w:rsid w:val="2B667F60"/>
    <w:rsid w:val="2B714350"/>
    <w:rsid w:val="2B822DA1"/>
    <w:rsid w:val="2B8A00F2"/>
    <w:rsid w:val="2B940F71"/>
    <w:rsid w:val="2B985FCE"/>
    <w:rsid w:val="2BA07916"/>
    <w:rsid w:val="2BA94A1C"/>
    <w:rsid w:val="2BAD5B8F"/>
    <w:rsid w:val="2BB876EE"/>
    <w:rsid w:val="2BC74EA2"/>
    <w:rsid w:val="2BCE4483"/>
    <w:rsid w:val="2BD5034F"/>
    <w:rsid w:val="2BD559B4"/>
    <w:rsid w:val="2BE81CF0"/>
    <w:rsid w:val="2BF228B3"/>
    <w:rsid w:val="2BF83E9B"/>
    <w:rsid w:val="2C0B1233"/>
    <w:rsid w:val="2C136339"/>
    <w:rsid w:val="2C15751B"/>
    <w:rsid w:val="2C1B0D4A"/>
    <w:rsid w:val="2C1C51EE"/>
    <w:rsid w:val="2C732BFC"/>
    <w:rsid w:val="2C8132A3"/>
    <w:rsid w:val="2C874CEF"/>
    <w:rsid w:val="2C9A6113"/>
    <w:rsid w:val="2CB06F6C"/>
    <w:rsid w:val="2CB847EB"/>
    <w:rsid w:val="2CC17B44"/>
    <w:rsid w:val="2CCE4B60"/>
    <w:rsid w:val="2CD42048"/>
    <w:rsid w:val="2CF00429"/>
    <w:rsid w:val="2CF77A09"/>
    <w:rsid w:val="2CFA4778"/>
    <w:rsid w:val="2D157E8F"/>
    <w:rsid w:val="2D3622E0"/>
    <w:rsid w:val="2D3B5B48"/>
    <w:rsid w:val="2D3C71CA"/>
    <w:rsid w:val="2D4F33A1"/>
    <w:rsid w:val="2D583462"/>
    <w:rsid w:val="2D597D7C"/>
    <w:rsid w:val="2D785E31"/>
    <w:rsid w:val="2D7C025A"/>
    <w:rsid w:val="2D7E77E3"/>
    <w:rsid w:val="2D8D5C78"/>
    <w:rsid w:val="2D99461C"/>
    <w:rsid w:val="2DA52FC1"/>
    <w:rsid w:val="2DAE631A"/>
    <w:rsid w:val="2DB33930"/>
    <w:rsid w:val="2DB71F51"/>
    <w:rsid w:val="2DC25921"/>
    <w:rsid w:val="2DC518B5"/>
    <w:rsid w:val="2DD37B2E"/>
    <w:rsid w:val="2DD41AF8"/>
    <w:rsid w:val="2DE0224B"/>
    <w:rsid w:val="2DFB3102"/>
    <w:rsid w:val="2E0376AF"/>
    <w:rsid w:val="2E0F2B31"/>
    <w:rsid w:val="2E110657"/>
    <w:rsid w:val="2E147AB2"/>
    <w:rsid w:val="2E163EBF"/>
    <w:rsid w:val="2E2C36E3"/>
    <w:rsid w:val="2E3507E9"/>
    <w:rsid w:val="2E3A36BC"/>
    <w:rsid w:val="2E3D58F0"/>
    <w:rsid w:val="2E456552"/>
    <w:rsid w:val="2E556795"/>
    <w:rsid w:val="2E5B5D38"/>
    <w:rsid w:val="2E5F0208"/>
    <w:rsid w:val="2E60513A"/>
    <w:rsid w:val="2E701821"/>
    <w:rsid w:val="2E764C99"/>
    <w:rsid w:val="2E772BB0"/>
    <w:rsid w:val="2E782484"/>
    <w:rsid w:val="2E7B3D22"/>
    <w:rsid w:val="2E8D23D3"/>
    <w:rsid w:val="2E982B26"/>
    <w:rsid w:val="2E9C43C4"/>
    <w:rsid w:val="2EA133AF"/>
    <w:rsid w:val="2EA26F3D"/>
    <w:rsid w:val="2EA27501"/>
    <w:rsid w:val="2EA66020"/>
    <w:rsid w:val="2EAB0AAB"/>
    <w:rsid w:val="2EBA2A9C"/>
    <w:rsid w:val="2EC851B9"/>
    <w:rsid w:val="2ECD6C74"/>
    <w:rsid w:val="2ECF7B95"/>
    <w:rsid w:val="2EDD2DD9"/>
    <w:rsid w:val="2EDE57EA"/>
    <w:rsid w:val="2EE1627B"/>
    <w:rsid w:val="2F0F43EF"/>
    <w:rsid w:val="2F171C9D"/>
    <w:rsid w:val="2F24275C"/>
    <w:rsid w:val="2F361F43"/>
    <w:rsid w:val="2F37233F"/>
    <w:rsid w:val="2F3945C8"/>
    <w:rsid w:val="2F395375"/>
    <w:rsid w:val="2F3B1E2F"/>
    <w:rsid w:val="2F416D1A"/>
    <w:rsid w:val="2F431E4F"/>
    <w:rsid w:val="2F476C68"/>
    <w:rsid w:val="2F541BD8"/>
    <w:rsid w:val="2F5E2E56"/>
    <w:rsid w:val="2F61560E"/>
    <w:rsid w:val="2F656EAC"/>
    <w:rsid w:val="2F666780"/>
    <w:rsid w:val="2F72275C"/>
    <w:rsid w:val="2F723467"/>
    <w:rsid w:val="2F776BDF"/>
    <w:rsid w:val="2F7964B4"/>
    <w:rsid w:val="2F807842"/>
    <w:rsid w:val="2F8310E0"/>
    <w:rsid w:val="2F8C4439"/>
    <w:rsid w:val="2F922149"/>
    <w:rsid w:val="2F95680E"/>
    <w:rsid w:val="2FA72ADC"/>
    <w:rsid w:val="2FB2501E"/>
    <w:rsid w:val="2FBB4D1E"/>
    <w:rsid w:val="2FCA4F61"/>
    <w:rsid w:val="2FDB0F1C"/>
    <w:rsid w:val="2FDC4B3D"/>
    <w:rsid w:val="2FE808CB"/>
    <w:rsid w:val="2FF3245E"/>
    <w:rsid w:val="300E52A4"/>
    <w:rsid w:val="30152896"/>
    <w:rsid w:val="302208F9"/>
    <w:rsid w:val="3038011D"/>
    <w:rsid w:val="303D1BD7"/>
    <w:rsid w:val="303D5733"/>
    <w:rsid w:val="304409AC"/>
    <w:rsid w:val="30542A7D"/>
    <w:rsid w:val="305F7D9F"/>
    <w:rsid w:val="306835D0"/>
    <w:rsid w:val="306B04F2"/>
    <w:rsid w:val="306C426A"/>
    <w:rsid w:val="306C6018"/>
    <w:rsid w:val="307849BD"/>
    <w:rsid w:val="307E11F2"/>
    <w:rsid w:val="30A43A04"/>
    <w:rsid w:val="30AC7B38"/>
    <w:rsid w:val="30B771C8"/>
    <w:rsid w:val="30BA6662"/>
    <w:rsid w:val="30C639C5"/>
    <w:rsid w:val="30CC4192"/>
    <w:rsid w:val="30E91417"/>
    <w:rsid w:val="30E97669"/>
    <w:rsid w:val="30EA3353"/>
    <w:rsid w:val="30F027A5"/>
    <w:rsid w:val="30F229C1"/>
    <w:rsid w:val="30F77FD8"/>
    <w:rsid w:val="30F93D50"/>
    <w:rsid w:val="310413CD"/>
    <w:rsid w:val="311704CD"/>
    <w:rsid w:val="31181CFC"/>
    <w:rsid w:val="313308E4"/>
    <w:rsid w:val="313C3C3D"/>
    <w:rsid w:val="31522AEA"/>
    <w:rsid w:val="315B5C16"/>
    <w:rsid w:val="31644BD5"/>
    <w:rsid w:val="317822E6"/>
    <w:rsid w:val="318737BD"/>
    <w:rsid w:val="318B24CE"/>
    <w:rsid w:val="3192385D"/>
    <w:rsid w:val="31943A79"/>
    <w:rsid w:val="319E01D3"/>
    <w:rsid w:val="31A46759"/>
    <w:rsid w:val="31A83080"/>
    <w:rsid w:val="31CB1E92"/>
    <w:rsid w:val="31CF2FA1"/>
    <w:rsid w:val="31DD71CE"/>
    <w:rsid w:val="31E63BA8"/>
    <w:rsid w:val="31E868A4"/>
    <w:rsid w:val="31F6664E"/>
    <w:rsid w:val="31FB58A6"/>
    <w:rsid w:val="32153FA4"/>
    <w:rsid w:val="321F6D79"/>
    <w:rsid w:val="322F45A1"/>
    <w:rsid w:val="32364B30"/>
    <w:rsid w:val="32456B21"/>
    <w:rsid w:val="32470AEB"/>
    <w:rsid w:val="3264232E"/>
    <w:rsid w:val="32713DBA"/>
    <w:rsid w:val="3276108C"/>
    <w:rsid w:val="32785148"/>
    <w:rsid w:val="327B0795"/>
    <w:rsid w:val="32807168"/>
    <w:rsid w:val="328D33FB"/>
    <w:rsid w:val="32A0292F"/>
    <w:rsid w:val="32A02B99"/>
    <w:rsid w:val="32A7158A"/>
    <w:rsid w:val="32C4038E"/>
    <w:rsid w:val="32C475CE"/>
    <w:rsid w:val="32CD26E3"/>
    <w:rsid w:val="32D61E6F"/>
    <w:rsid w:val="32DC17A7"/>
    <w:rsid w:val="32E93950"/>
    <w:rsid w:val="32EB1DBB"/>
    <w:rsid w:val="32F84EC9"/>
    <w:rsid w:val="330F2BAA"/>
    <w:rsid w:val="331A61FF"/>
    <w:rsid w:val="3333106F"/>
    <w:rsid w:val="3344502A"/>
    <w:rsid w:val="335214F5"/>
    <w:rsid w:val="33522800"/>
    <w:rsid w:val="33541711"/>
    <w:rsid w:val="335970BA"/>
    <w:rsid w:val="33694A91"/>
    <w:rsid w:val="336D4FD3"/>
    <w:rsid w:val="33707BCD"/>
    <w:rsid w:val="337D5F7B"/>
    <w:rsid w:val="338A6DD2"/>
    <w:rsid w:val="339C09C3"/>
    <w:rsid w:val="33A61841"/>
    <w:rsid w:val="33AB30C5"/>
    <w:rsid w:val="33B63AFC"/>
    <w:rsid w:val="33BE2A1A"/>
    <w:rsid w:val="33D414D0"/>
    <w:rsid w:val="33D95773"/>
    <w:rsid w:val="33ED7470"/>
    <w:rsid w:val="33F71E1E"/>
    <w:rsid w:val="33F754AE"/>
    <w:rsid w:val="33F95E15"/>
    <w:rsid w:val="340A6B46"/>
    <w:rsid w:val="340F388A"/>
    <w:rsid w:val="3411197D"/>
    <w:rsid w:val="341B5D8B"/>
    <w:rsid w:val="341E3ACD"/>
    <w:rsid w:val="342009F8"/>
    <w:rsid w:val="342F7A89"/>
    <w:rsid w:val="34314956"/>
    <w:rsid w:val="343E5F1E"/>
    <w:rsid w:val="34403A44"/>
    <w:rsid w:val="34425A0E"/>
    <w:rsid w:val="34480B4A"/>
    <w:rsid w:val="344A041F"/>
    <w:rsid w:val="344C23E9"/>
    <w:rsid w:val="34603E67"/>
    <w:rsid w:val="34611DF3"/>
    <w:rsid w:val="346534AA"/>
    <w:rsid w:val="346E4CE5"/>
    <w:rsid w:val="346F60D7"/>
    <w:rsid w:val="34783FA8"/>
    <w:rsid w:val="34825DD1"/>
    <w:rsid w:val="3483028F"/>
    <w:rsid w:val="349D0E96"/>
    <w:rsid w:val="349E076A"/>
    <w:rsid w:val="34AC2E87"/>
    <w:rsid w:val="34BF2CDE"/>
    <w:rsid w:val="34D146CE"/>
    <w:rsid w:val="34DD5737"/>
    <w:rsid w:val="34E72111"/>
    <w:rsid w:val="34E9055E"/>
    <w:rsid w:val="34F6551E"/>
    <w:rsid w:val="350B22A4"/>
    <w:rsid w:val="351B1DBB"/>
    <w:rsid w:val="352243B5"/>
    <w:rsid w:val="353F29DC"/>
    <w:rsid w:val="35417A73"/>
    <w:rsid w:val="354237EC"/>
    <w:rsid w:val="3546508A"/>
    <w:rsid w:val="35614F37"/>
    <w:rsid w:val="356C5EA4"/>
    <w:rsid w:val="357A11D7"/>
    <w:rsid w:val="357A32B9"/>
    <w:rsid w:val="358F6ED2"/>
    <w:rsid w:val="35973B37"/>
    <w:rsid w:val="359F0C3E"/>
    <w:rsid w:val="35A149B6"/>
    <w:rsid w:val="35A3428A"/>
    <w:rsid w:val="35AB313F"/>
    <w:rsid w:val="35B446E9"/>
    <w:rsid w:val="35CD358A"/>
    <w:rsid w:val="35DF7CEC"/>
    <w:rsid w:val="35E46651"/>
    <w:rsid w:val="35E80D13"/>
    <w:rsid w:val="35E86141"/>
    <w:rsid w:val="35F13A8D"/>
    <w:rsid w:val="36032F7B"/>
    <w:rsid w:val="36034D29"/>
    <w:rsid w:val="36054F45"/>
    <w:rsid w:val="361138EA"/>
    <w:rsid w:val="361707D4"/>
    <w:rsid w:val="36176A26"/>
    <w:rsid w:val="361909F0"/>
    <w:rsid w:val="36232DB0"/>
    <w:rsid w:val="362B4280"/>
    <w:rsid w:val="36316ABD"/>
    <w:rsid w:val="36356EAC"/>
    <w:rsid w:val="363E6617"/>
    <w:rsid w:val="364572F9"/>
    <w:rsid w:val="36470DE7"/>
    <w:rsid w:val="365437D6"/>
    <w:rsid w:val="36653C36"/>
    <w:rsid w:val="367B576D"/>
    <w:rsid w:val="3690539D"/>
    <w:rsid w:val="36932551"/>
    <w:rsid w:val="369B1405"/>
    <w:rsid w:val="36B3674F"/>
    <w:rsid w:val="36C7044C"/>
    <w:rsid w:val="36F11025"/>
    <w:rsid w:val="36FB00F6"/>
    <w:rsid w:val="37262C59"/>
    <w:rsid w:val="37490E61"/>
    <w:rsid w:val="374F5C96"/>
    <w:rsid w:val="37667C65"/>
    <w:rsid w:val="37682591"/>
    <w:rsid w:val="37751C56"/>
    <w:rsid w:val="377D3CD2"/>
    <w:rsid w:val="378105FB"/>
    <w:rsid w:val="37A60062"/>
    <w:rsid w:val="37A8202C"/>
    <w:rsid w:val="37AB5678"/>
    <w:rsid w:val="37B502A5"/>
    <w:rsid w:val="37C354C8"/>
    <w:rsid w:val="37C449B8"/>
    <w:rsid w:val="37CC121B"/>
    <w:rsid w:val="37D57F4F"/>
    <w:rsid w:val="37DE3C9F"/>
    <w:rsid w:val="37E17227"/>
    <w:rsid w:val="37ED7F71"/>
    <w:rsid w:val="37F30DCD"/>
    <w:rsid w:val="37F4390C"/>
    <w:rsid w:val="380B6117"/>
    <w:rsid w:val="38112C01"/>
    <w:rsid w:val="38163439"/>
    <w:rsid w:val="38190834"/>
    <w:rsid w:val="381C0277"/>
    <w:rsid w:val="381C6576"/>
    <w:rsid w:val="381E409C"/>
    <w:rsid w:val="3821593A"/>
    <w:rsid w:val="382E4AD2"/>
    <w:rsid w:val="383733B0"/>
    <w:rsid w:val="38506245"/>
    <w:rsid w:val="385201EA"/>
    <w:rsid w:val="385F359C"/>
    <w:rsid w:val="38683569"/>
    <w:rsid w:val="386F66A6"/>
    <w:rsid w:val="38726196"/>
    <w:rsid w:val="388D4D7E"/>
    <w:rsid w:val="38926838"/>
    <w:rsid w:val="38B4055C"/>
    <w:rsid w:val="38C5276A"/>
    <w:rsid w:val="38D368CE"/>
    <w:rsid w:val="38E54BBA"/>
    <w:rsid w:val="38F60F50"/>
    <w:rsid w:val="38F92413"/>
    <w:rsid w:val="38FE4B0D"/>
    <w:rsid w:val="3902751A"/>
    <w:rsid w:val="392A081F"/>
    <w:rsid w:val="393022D9"/>
    <w:rsid w:val="393578EF"/>
    <w:rsid w:val="39363667"/>
    <w:rsid w:val="393B0C7E"/>
    <w:rsid w:val="3951224F"/>
    <w:rsid w:val="39535FC7"/>
    <w:rsid w:val="395B1F09"/>
    <w:rsid w:val="395E3DBA"/>
    <w:rsid w:val="39726893"/>
    <w:rsid w:val="39783C80"/>
    <w:rsid w:val="397F0106"/>
    <w:rsid w:val="3982065B"/>
    <w:rsid w:val="3991089E"/>
    <w:rsid w:val="39A16D33"/>
    <w:rsid w:val="39A42F75"/>
    <w:rsid w:val="39A544BC"/>
    <w:rsid w:val="39B5458C"/>
    <w:rsid w:val="39B747A8"/>
    <w:rsid w:val="39BF18AF"/>
    <w:rsid w:val="39C26CA9"/>
    <w:rsid w:val="39DE6D55"/>
    <w:rsid w:val="39EF3F42"/>
    <w:rsid w:val="39FC21BB"/>
    <w:rsid w:val="3A1C0AAF"/>
    <w:rsid w:val="3A325BDD"/>
    <w:rsid w:val="3A5531D9"/>
    <w:rsid w:val="3A555AC7"/>
    <w:rsid w:val="3A5A5133"/>
    <w:rsid w:val="3A6366DE"/>
    <w:rsid w:val="3A6B103C"/>
    <w:rsid w:val="3A8A13AB"/>
    <w:rsid w:val="3A930129"/>
    <w:rsid w:val="3AA342BD"/>
    <w:rsid w:val="3AA4715B"/>
    <w:rsid w:val="3AA54601"/>
    <w:rsid w:val="3ABE0D08"/>
    <w:rsid w:val="3ACC6D0A"/>
    <w:rsid w:val="3AD44EE6"/>
    <w:rsid w:val="3AFE4D0B"/>
    <w:rsid w:val="3AFF16F4"/>
    <w:rsid w:val="3B0A1899"/>
    <w:rsid w:val="3B0B4358"/>
    <w:rsid w:val="3B1D77D5"/>
    <w:rsid w:val="3B2A0822"/>
    <w:rsid w:val="3B2C087E"/>
    <w:rsid w:val="3B331C0C"/>
    <w:rsid w:val="3B3B31B7"/>
    <w:rsid w:val="3B4402BD"/>
    <w:rsid w:val="3B464036"/>
    <w:rsid w:val="3B651FE2"/>
    <w:rsid w:val="3B673FAC"/>
    <w:rsid w:val="3B6C495B"/>
    <w:rsid w:val="3B812063"/>
    <w:rsid w:val="3B8C1FA8"/>
    <w:rsid w:val="3B8C63DD"/>
    <w:rsid w:val="3B957ED1"/>
    <w:rsid w:val="3B967CDA"/>
    <w:rsid w:val="3BA66882"/>
    <w:rsid w:val="3BA80B19"/>
    <w:rsid w:val="3BC15329"/>
    <w:rsid w:val="3BC60CD2"/>
    <w:rsid w:val="3BC94845"/>
    <w:rsid w:val="3BD11425"/>
    <w:rsid w:val="3BDB21A7"/>
    <w:rsid w:val="3BED02F0"/>
    <w:rsid w:val="3BF10EB2"/>
    <w:rsid w:val="3C0C0D78"/>
    <w:rsid w:val="3C3C2D43"/>
    <w:rsid w:val="3C4152C9"/>
    <w:rsid w:val="3C423FB4"/>
    <w:rsid w:val="3C4240EC"/>
    <w:rsid w:val="3C4329F9"/>
    <w:rsid w:val="3C4D6860"/>
    <w:rsid w:val="3C5C2972"/>
    <w:rsid w:val="3C5D3C86"/>
    <w:rsid w:val="3C687FDC"/>
    <w:rsid w:val="3C6A66DB"/>
    <w:rsid w:val="3C771FCD"/>
    <w:rsid w:val="3C8446EA"/>
    <w:rsid w:val="3C9815BA"/>
    <w:rsid w:val="3CA1529C"/>
    <w:rsid w:val="3CB7686D"/>
    <w:rsid w:val="3CBE19AA"/>
    <w:rsid w:val="3CC316B6"/>
    <w:rsid w:val="3CC701F0"/>
    <w:rsid w:val="3CDB6AD6"/>
    <w:rsid w:val="3CE05DC4"/>
    <w:rsid w:val="3D0221DE"/>
    <w:rsid w:val="3D076491"/>
    <w:rsid w:val="3D1D2B74"/>
    <w:rsid w:val="3D2757A1"/>
    <w:rsid w:val="3D2959BD"/>
    <w:rsid w:val="3D29776B"/>
    <w:rsid w:val="3D2A34E3"/>
    <w:rsid w:val="3D2A5291"/>
    <w:rsid w:val="3D3305EA"/>
    <w:rsid w:val="3D332398"/>
    <w:rsid w:val="3D402D06"/>
    <w:rsid w:val="3D4A5933"/>
    <w:rsid w:val="3D4C16AB"/>
    <w:rsid w:val="3D597924"/>
    <w:rsid w:val="3D711B40"/>
    <w:rsid w:val="3D913562"/>
    <w:rsid w:val="3DAC3EF8"/>
    <w:rsid w:val="3DCE06B2"/>
    <w:rsid w:val="3DE80316"/>
    <w:rsid w:val="3DEB1AF2"/>
    <w:rsid w:val="3DFF04CC"/>
    <w:rsid w:val="3E1050C1"/>
    <w:rsid w:val="3E110AD0"/>
    <w:rsid w:val="3E1321C9"/>
    <w:rsid w:val="3E13381B"/>
    <w:rsid w:val="3E155F41"/>
    <w:rsid w:val="3E3363C7"/>
    <w:rsid w:val="3E3C527C"/>
    <w:rsid w:val="3E4203B8"/>
    <w:rsid w:val="3E443DF7"/>
    <w:rsid w:val="3E691DE9"/>
    <w:rsid w:val="3E772758"/>
    <w:rsid w:val="3E7C38CA"/>
    <w:rsid w:val="3E800AA6"/>
    <w:rsid w:val="3E95498C"/>
    <w:rsid w:val="3E990920"/>
    <w:rsid w:val="3E99447C"/>
    <w:rsid w:val="3EAD1CD6"/>
    <w:rsid w:val="3EB54200"/>
    <w:rsid w:val="3EC040FF"/>
    <w:rsid w:val="3EC62D97"/>
    <w:rsid w:val="3EDE0271"/>
    <w:rsid w:val="3EEE3F97"/>
    <w:rsid w:val="3F0A7128"/>
    <w:rsid w:val="3F0D09C6"/>
    <w:rsid w:val="3F0D4E6A"/>
    <w:rsid w:val="3F0F0BE2"/>
    <w:rsid w:val="3F1C50AD"/>
    <w:rsid w:val="3F21749A"/>
    <w:rsid w:val="3F2905C4"/>
    <w:rsid w:val="3F36616F"/>
    <w:rsid w:val="3F3A1FEB"/>
    <w:rsid w:val="3F400D9C"/>
    <w:rsid w:val="3F457ABB"/>
    <w:rsid w:val="3F4D34B9"/>
    <w:rsid w:val="3F4E2750"/>
    <w:rsid w:val="3F570D47"/>
    <w:rsid w:val="3F5B5BD6"/>
    <w:rsid w:val="3F5C54AA"/>
    <w:rsid w:val="3F7A4198"/>
    <w:rsid w:val="3F9E326F"/>
    <w:rsid w:val="3FA24D3D"/>
    <w:rsid w:val="3FA40567"/>
    <w:rsid w:val="3FAF2FE1"/>
    <w:rsid w:val="3FAF7CCF"/>
    <w:rsid w:val="3FB13A48"/>
    <w:rsid w:val="3FBF43B6"/>
    <w:rsid w:val="3FDF7A27"/>
    <w:rsid w:val="3FE07E89"/>
    <w:rsid w:val="40170548"/>
    <w:rsid w:val="401819D8"/>
    <w:rsid w:val="401F09B1"/>
    <w:rsid w:val="40273D0A"/>
    <w:rsid w:val="402E7F0F"/>
    <w:rsid w:val="4037219F"/>
    <w:rsid w:val="403A3A3D"/>
    <w:rsid w:val="404228F2"/>
    <w:rsid w:val="40471C62"/>
    <w:rsid w:val="405A6456"/>
    <w:rsid w:val="405E25C9"/>
    <w:rsid w:val="40646D0C"/>
    <w:rsid w:val="408250D6"/>
    <w:rsid w:val="408C1CB6"/>
    <w:rsid w:val="408F1FDB"/>
    <w:rsid w:val="40923879"/>
    <w:rsid w:val="40980764"/>
    <w:rsid w:val="409E475E"/>
    <w:rsid w:val="40A67243"/>
    <w:rsid w:val="40B27A77"/>
    <w:rsid w:val="40C24EED"/>
    <w:rsid w:val="40C33A32"/>
    <w:rsid w:val="40CA3013"/>
    <w:rsid w:val="40D01FF9"/>
    <w:rsid w:val="40D22981"/>
    <w:rsid w:val="40D93688"/>
    <w:rsid w:val="40DB253A"/>
    <w:rsid w:val="40E35E83"/>
    <w:rsid w:val="40EA7211"/>
    <w:rsid w:val="40EB4D37"/>
    <w:rsid w:val="40ED7211"/>
    <w:rsid w:val="40FB7670"/>
    <w:rsid w:val="410302D3"/>
    <w:rsid w:val="410D4CAE"/>
    <w:rsid w:val="41140732"/>
    <w:rsid w:val="4122462D"/>
    <w:rsid w:val="41287D39"/>
    <w:rsid w:val="412D70FE"/>
    <w:rsid w:val="41377F7D"/>
    <w:rsid w:val="41395AA3"/>
    <w:rsid w:val="41456B3D"/>
    <w:rsid w:val="41644676"/>
    <w:rsid w:val="41720FB5"/>
    <w:rsid w:val="41790595"/>
    <w:rsid w:val="417B255F"/>
    <w:rsid w:val="418331C2"/>
    <w:rsid w:val="4191587A"/>
    <w:rsid w:val="41933A6D"/>
    <w:rsid w:val="41BD7202"/>
    <w:rsid w:val="41C53136"/>
    <w:rsid w:val="41CC6917"/>
    <w:rsid w:val="41EE2D31"/>
    <w:rsid w:val="420936C7"/>
    <w:rsid w:val="421B33FA"/>
    <w:rsid w:val="42253D73"/>
    <w:rsid w:val="422C7D41"/>
    <w:rsid w:val="423B7208"/>
    <w:rsid w:val="423D15C3"/>
    <w:rsid w:val="424010B3"/>
    <w:rsid w:val="42424DE7"/>
    <w:rsid w:val="425132C0"/>
    <w:rsid w:val="42530DE6"/>
    <w:rsid w:val="42621029"/>
    <w:rsid w:val="42647F5B"/>
    <w:rsid w:val="426D5D1D"/>
    <w:rsid w:val="426F03AD"/>
    <w:rsid w:val="42731488"/>
    <w:rsid w:val="427B20EB"/>
    <w:rsid w:val="427D5E63"/>
    <w:rsid w:val="4280593C"/>
    <w:rsid w:val="42843695"/>
    <w:rsid w:val="428C5C3D"/>
    <w:rsid w:val="429338D8"/>
    <w:rsid w:val="42982C9D"/>
    <w:rsid w:val="42994282"/>
    <w:rsid w:val="42AF5FBF"/>
    <w:rsid w:val="42C341BE"/>
    <w:rsid w:val="42C41CE4"/>
    <w:rsid w:val="42D950B7"/>
    <w:rsid w:val="42F75C15"/>
    <w:rsid w:val="43160791"/>
    <w:rsid w:val="431762B8"/>
    <w:rsid w:val="431C567C"/>
    <w:rsid w:val="433429C6"/>
    <w:rsid w:val="433A5C59"/>
    <w:rsid w:val="434A1377"/>
    <w:rsid w:val="436168E4"/>
    <w:rsid w:val="436239D7"/>
    <w:rsid w:val="436C6603"/>
    <w:rsid w:val="436F7EA2"/>
    <w:rsid w:val="437159C8"/>
    <w:rsid w:val="43720EA9"/>
    <w:rsid w:val="438D0328"/>
    <w:rsid w:val="439873F8"/>
    <w:rsid w:val="43AA0EDA"/>
    <w:rsid w:val="43B26C52"/>
    <w:rsid w:val="43B81529"/>
    <w:rsid w:val="43D16466"/>
    <w:rsid w:val="43EB08A2"/>
    <w:rsid w:val="43EF0FE2"/>
    <w:rsid w:val="44075CA0"/>
    <w:rsid w:val="441A605F"/>
    <w:rsid w:val="441A7E0D"/>
    <w:rsid w:val="441D5B50"/>
    <w:rsid w:val="44232A07"/>
    <w:rsid w:val="44254A04"/>
    <w:rsid w:val="442A3DC9"/>
    <w:rsid w:val="442B7817"/>
    <w:rsid w:val="442F13DF"/>
    <w:rsid w:val="4439400C"/>
    <w:rsid w:val="44466E54"/>
    <w:rsid w:val="44564BBE"/>
    <w:rsid w:val="4458107A"/>
    <w:rsid w:val="44641089"/>
    <w:rsid w:val="44654E01"/>
    <w:rsid w:val="44695038"/>
    <w:rsid w:val="446E27E8"/>
    <w:rsid w:val="447C0AC8"/>
    <w:rsid w:val="448E4357"/>
    <w:rsid w:val="449E0F15"/>
    <w:rsid w:val="44CE0B7A"/>
    <w:rsid w:val="44D00A48"/>
    <w:rsid w:val="44D66D07"/>
    <w:rsid w:val="44DE52DF"/>
    <w:rsid w:val="44E113AE"/>
    <w:rsid w:val="44E4602A"/>
    <w:rsid w:val="44ED5522"/>
    <w:rsid w:val="44FE14DD"/>
    <w:rsid w:val="450A60D4"/>
    <w:rsid w:val="450D7972"/>
    <w:rsid w:val="45132AAF"/>
    <w:rsid w:val="45231264"/>
    <w:rsid w:val="452D3B70"/>
    <w:rsid w:val="452E70FA"/>
    <w:rsid w:val="45336E64"/>
    <w:rsid w:val="453F23E8"/>
    <w:rsid w:val="454C771E"/>
    <w:rsid w:val="454D612E"/>
    <w:rsid w:val="455530C7"/>
    <w:rsid w:val="455A248C"/>
    <w:rsid w:val="45815C6A"/>
    <w:rsid w:val="458944ED"/>
    <w:rsid w:val="459040FF"/>
    <w:rsid w:val="45980092"/>
    <w:rsid w:val="45A35BE1"/>
    <w:rsid w:val="45A73923"/>
    <w:rsid w:val="45B12E71"/>
    <w:rsid w:val="45B80788"/>
    <w:rsid w:val="45C53DA9"/>
    <w:rsid w:val="45D4242B"/>
    <w:rsid w:val="45D93CF8"/>
    <w:rsid w:val="45DF42F9"/>
    <w:rsid w:val="45EA36C1"/>
    <w:rsid w:val="45EE1552"/>
    <w:rsid w:val="45F91CA4"/>
    <w:rsid w:val="45FD1795"/>
    <w:rsid w:val="45FF64CF"/>
    <w:rsid w:val="460743C1"/>
    <w:rsid w:val="461D4BCB"/>
    <w:rsid w:val="46202E05"/>
    <w:rsid w:val="463902F3"/>
    <w:rsid w:val="463B050F"/>
    <w:rsid w:val="464E341B"/>
    <w:rsid w:val="465670F7"/>
    <w:rsid w:val="46574520"/>
    <w:rsid w:val="46583405"/>
    <w:rsid w:val="465B35AD"/>
    <w:rsid w:val="466510E8"/>
    <w:rsid w:val="466B0DF4"/>
    <w:rsid w:val="46780E1B"/>
    <w:rsid w:val="467B6FE2"/>
    <w:rsid w:val="4682613E"/>
    <w:rsid w:val="468C2B19"/>
    <w:rsid w:val="469814BD"/>
    <w:rsid w:val="469A5235"/>
    <w:rsid w:val="46C40504"/>
    <w:rsid w:val="46C51AB9"/>
    <w:rsid w:val="46D70238"/>
    <w:rsid w:val="46D71FE6"/>
    <w:rsid w:val="46D72368"/>
    <w:rsid w:val="46E93C25"/>
    <w:rsid w:val="46F4261E"/>
    <w:rsid w:val="4706325F"/>
    <w:rsid w:val="4707219F"/>
    <w:rsid w:val="471A1ED2"/>
    <w:rsid w:val="47226FD9"/>
    <w:rsid w:val="472A35A4"/>
    <w:rsid w:val="47380EA8"/>
    <w:rsid w:val="47443414"/>
    <w:rsid w:val="47456C05"/>
    <w:rsid w:val="47484C91"/>
    <w:rsid w:val="476615BC"/>
    <w:rsid w:val="477A04AC"/>
    <w:rsid w:val="478163F5"/>
    <w:rsid w:val="4787520B"/>
    <w:rsid w:val="47881532"/>
    <w:rsid w:val="47881934"/>
    <w:rsid w:val="47A63C85"/>
    <w:rsid w:val="47B02837"/>
    <w:rsid w:val="47B71E17"/>
    <w:rsid w:val="47E9061B"/>
    <w:rsid w:val="47EA0E3E"/>
    <w:rsid w:val="47F44E19"/>
    <w:rsid w:val="47FC62B3"/>
    <w:rsid w:val="48036E0A"/>
    <w:rsid w:val="480E4DAD"/>
    <w:rsid w:val="480E5EDB"/>
    <w:rsid w:val="48111696"/>
    <w:rsid w:val="48194880"/>
    <w:rsid w:val="481B656B"/>
    <w:rsid w:val="482F7BFF"/>
    <w:rsid w:val="484245C7"/>
    <w:rsid w:val="484A2E46"/>
    <w:rsid w:val="484C65AB"/>
    <w:rsid w:val="484C692D"/>
    <w:rsid w:val="484C6A03"/>
    <w:rsid w:val="484D03FF"/>
    <w:rsid w:val="485338EE"/>
    <w:rsid w:val="485633DE"/>
    <w:rsid w:val="485F2ECC"/>
    <w:rsid w:val="48802209"/>
    <w:rsid w:val="488D7CFE"/>
    <w:rsid w:val="48936A28"/>
    <w:rsid w:val="48B85E47"/>
    <w:rsid w:val="48DF1625"/>
    <w:rsid w:val="48E22EC4"/>
    <w:rsid w:val="49066BB2"/>
    <w:rsid w:val="49115557"/>
    <w:rsid w:val="49180694"/>
    <w:rsid w:val="491868E5"/>
    <w:rsid w:val="49296D45"/>
    <w:rsid w:val="492B03C7"/>
    <w:rsid w:val="49323FD7"/>
    <w:rsid w:val="493279A7"/>
    <w:rsid w:val="49331971"/>
    <w:rsid w:val="493C4382"/>
    <w:rsid w:val="49441489"/>
    <w:rsid w:val="49506EA2"/>
    <w:rsid w:val="496B2EB9"/>
    <w:rsid w:val="496C3458"/>
    <w:rsid w:val="49700B0C"/>
    <w:rsid w:val="49731D6E"/>
    <w:rsid w:val="497A624B"/>
    <w:rsid w:val="49816DB0"/>
    <w:rsid w:val="498D72D3"/>
    <w:rsid w:val="49991A9A"/>
    <w:rsid w:val="49A10C72"/>
    <w:rsid w:val="49AC1B3B"/>
    <w:rsid w:val="49C15A5E"/>
    <w:rsid w:val="49CF169A"/>
    <w:rsid w:val="49D62A28"/>
    <w:rsid w:val="49DF57C2"/>
    <w:rsid w:val="49F96717"/>
    <w:rsid w:val="4A01737A"/>
    <w:rsid w:val="4A17094B"/>
    <w:rsid w:val="4A1C2611"/>
    <w:rsid w:val="4A270539"/>
    <w:rsid w:val="4A463AC2"/>
    <w:rsid w:val="4A592C90"/>
    <w:rsid w:val="4A5A3051"/>
    <w:rsid w:val="4A6C027D"/>
    <w:rsid w:val="4A731F44"/>
    <w:rsid w:val="4A9621B8"/>
    <w:rsid w:val="4ABC1D3E"/>
    <w:rsid w:val="4ADA20A4"/>
    <w:rsid w:val="4ADC0900"/>
    <w:rsid w:val="4AE07A05"/>
    <w:rsid w:val="4AE22D20"/>
    <w:rsid w:val="4AF173EE"/>
    <w:rsid w:val="4B0B04B0"/>
    <w:rsid w:val="4B0E19ED"/>
    <w:rsid w:val="4B280582"/>
    <w:rsid w:val="4B3F45FD"/>
    <w:rsid w:val="4B403F34"/>
    <w:rsid w:val="4B447E66"/>
    <w:rsid w:val="4B55797D"/>
    <w:rsid w:val="4B5B7F11"/>
    <w:rsid w:val="4B7C12AA"/>
    <w:rsid w:val="4B8464B4"/>
    <w:rsid w:val="4B8A1D1C"/>
    <w:rsid w:val="4B8D7117"/>
    <w:rsid w:val="4BAB57EF"/>
    <w:rsid w:val="4BAD1567"/>
    <w:rsid w:val="4BAD5A0B"/>
    <w:rsid w:val="4BBF74EC"/>
    <w:rsid w:val="4BC66ACD"/>
    <w:rsid w:val="4BE3142D"/>
    <w:rsid w:val="4BE86A43"/>
    <w:rsid w:val="4BEC0155"/>
    <w:rsid w:val="4BF00107"/>
    <w:rsid w:val="4BFE3272"/>
    <w:rsid w:val="4C004579"/>
    <w:rsid w:val="4C067392"/>
    <w:rsid w:val="4C0D64AA"/>
    <w:rsid w:val="4C123AC0"/>
    <w:rsid w:val="4C12409B"/>
    <w:rsid w:val="4C15074C"/>
    <w:rsid w:val="4C283F70"/>
    <w:rsid w:val="4C2A2657"/>
    <w:rsid w:val="4C3A6B73"/>
    <w:rsid w:val="4C3E6663"/>
    <w:rsid w:val="4C48169B"/>
    <w:rsid w:val="4C4874E2"/>
    <w:rsid w:val="4C4B0D80"/>
    <w:rsid w:val="4C4E0D7B"/>
    <w:rsid w:val="4C6205A3"/>
    <w:rsid w:val="4C675BBA"/>
    <w:rsid w:val="4C7A11A8"/>
    <w:rsid w:val="4C8F12FC"/>
    <w:rsid w:val="4CA46E0E"/>
    <w:rsid w:val="4CB76F46"/>
    <w:rsid w:val="4CB9218D"/>
    <w:rsid w:val="4CBA03DF"/>
    <w:rsid w:val="4CC2350D"/>
    <w:rsid w:val="4CD174D7"/>
    <w:rsid w:val="4CDC302C"/>
    <w:rsid w:val="4CE91401"/>
    <w:rsid w:val="4CEA3CD9"/>
    <w:rsid w:val="4D021D86"/>
    <w:rsid w:val="4D0A29E9"/>
    <w:rsid w:val="4D2910C1"/>
    <w:rsid w:val="4D3857A8"/>
    <w:rsid w:val="4D3C320F"/>
    <w:rsid w:val="4D467F55"/>
    <w:rsid w:val="4D53771C"/>
    <w:rsid w:val="4D5601C7"/>
    <w:rsid w:val="4D6054BD"/>
    <w:rsid w:val="4D6E34CC"/>
    <w:rsid w:val="4D7762D0"/>
    <w:rsid w:val="4D8B1D7C"/>
    <w:rsid w:val="4D8B3B2A"/>
    <w:rsid w:val="4D8D6105"/>
    <w:rsid w:val="4D9329DF"/>
    <w:rsid w:val="4DA4699A"/>
    <w:rsid w:val="4DA90454"/>
    <w:rsid w:val="4DCA28A4"/>
    <w:rsid w:val="4DD01472"/>
    <w:rsid w:val="4DD21759"/>
    <w:rsid w:val="4DDA268E"/>
    <w:rsid w:val="4DF0398D"/>
    <w:rsid w:val="4E0538DC"/>
    <w:rsid w:val="4E241889"/>
    <w:rsid w:val="4E263853"/>
    <w:rsid w:val="4E273FA4"/>
    <w:rsid w:val="4E27425C"/>
    <w:rsid w:val="4E287D9F"/>
    <w:rsid w:val="4E2D5B22"/>
    <w:rsid w:val="4E301BA7"/>
    <w:rsid w:val="4E326AC0"/>
    <w:rsid w:val="4E3F75D2"/>
    <w:rsid w:val="4E437F61"/>
    <w:rsid w:val="4E4F242B"/>
    <w:rsid w:val="4E6525CD"/>
    <w:rsid w:val="4E695E67"/>
    <w:rsid w:val="4E73135B"/>
    <w:rsid w:val="4EA96B98"/>
    <w:rsid w:val="4EAC5711"/>
    <w:rsid w:val="4EB17C2E"/>
    <w:rsid w:val="4EB3158A"/>
    <w:rsid w:val="4EB42C0C"/>
    <w:rsid w:val="4EC549CB"/>
    <w:rsid w:val="4EC56BC8"/>
    <w:rsid w:val="4ECC7F56"/>
    <w:rsid w:val="4EDB463D"/>
    <w:rsid w:val="4EDE7BD0"/>
    <w:rsid w:val="4EEB5C7E"/>
    <w:rsid w:val="4EF61477"/>
    <w:rsid w:val="4EF72DCF"/>
    <w:rsid w:val="4EF92D15"/>
    <w:rsid w:val="4F02606E"/>
    <w:rsid w:val="4F0C7551"/>
    <w:rsid w:val="4F0E67C1"/>
    <w:rsid w:val="4F195165"/>
    <w:rsid w:val="4F203F16"/>
    <w:rsid w:val="4F204746"/>
    <w:rsid w:val="4F245FE4"/>
    <w:rsid w:val="4F3D0E54"/>
    <w:rsid w:val="4F492507"/>
    <w:rsid w:val="4F4C72E9"/>
    <w:rsid w:val="4F550258"/>
    <w:rsid w:val="4F5A1A06"/>
    <w:rsid w:val="4F5E055F"/>
    <w:rsid w:val="4F6C1739"/>
    <w:rsid w:val="4F6C34E7"/>
    <w:rsid w:val="4F74239C"/>
    <w:rsid w:val="4F7F3A32"/>
    <w:rsid w:val="4F801C09"/>
    <w:rsid w:val="4F8E2368"/>
    <w:rsid w:val="4F960564"/>
    <w:rsid w:val="4F964DFC"/>
    <w:rsid w:val="4FA02BC6"/>
    <w:rsid w:val="4FA709C3"/>
    <w:rsid w:val="4FA843B3"/>
    <w:rsid w:val="4FBC446F"/>
    <w:rsid w:val="4FCB2904"/>
    <w:rsid w:val="4FD03A76"/>
    <w:rsid w:val="4FD13C29"/>
    <w:rsid w:val="4FE237A9"/>
    <w:rsid w:val="4FF204EF"/>
    <w:rsid w:val="4FFA09FE"/>
    <w:rsid w:val="4FFA0AF3"/>
    <w:rsid w:val="4FFF6109"/>
    <w:rsid w:val="5003209D"/>
    <w:rsid w:val="5012408F"/>
    <w:rsid w:val="502D711A"/>
    <w:rsid w:val="50513019"/>
    <w:rsid w:val="5051614E"/>
    <w:rsid w:val="50597E3F"/>
    <w:rsid w:val="505B09C1"/>
    <w:rsid w:val="5069520F"/>
    <w:rsid w:val="506F328F"/>
    <w:rsid w:val="50746AF7"/>
    <w:rsid w:val="507B60D8"/>
    <w:rsid w:val="50841C58"/>
    <w:rsid w:val="50890FCE"/>
    <w:rsid w:val="508F56DF"/>
    <w:rsid w:val="50940F47"/>
    <w:rsid w:val="50970A38"/>
    <w:rsid w:val="50977575"/>
    <w:rsid w:val="50A868B7"/>
    <w:rsid w:val="50AC1958"/>
    <w:rsid w:val="50B138A7"/>
    <w:rsid w:val="50C17863"/>
    <w:rsid w:val="50C80BF1"/>
    <w:rsid w:val="50CA4969"/>
    <w:rsid w:val="50D2023D"/>
    <w:rsid w:val="50D457E8"/>
    <w:rsid w:val="50D852D8"/>
    <w:rsid w:val="50D94BCC"/>
    <w:rsid w:val="50DE0415"/>
    <w:rsid w:val="50F778E4"/>
    <w:rsid w:val="51002139"/>
    <w:rsid w:val="51024103"/>
    <w:rsid w:val="51114346"/>
    <w:rsid w:val="51124B24"/>
    <w:rsid w:val="51296A5C"/>
    <w:rsid w:val="51340035"/>
    <w:rsid w:val="513A1FD3"/>
    <w:rsid w:val="51513355"/>
    <w:rsid w:val="51581F75"/>
    <w:rsid w:val="51646B6C"/>
    <w:rsid w:val="516923D4"/>
    <w:rsid w:val="516C5A20"/>
    <w:rsid w:val="516E1798"/>
    <w:rsid w:val="517607E2"/>
    <w:rsid w:val="51856AE2"/>
    <w:rsid w:val="519E7A88"/>
    <w:rsid w:val="51A76A58"/>
    <w:rsid w:val="51B04FDC"/>
    <w:rsid w:val="51B1646C"/>
    <w:rsid w:val="51B2004B"/>
    <w:rsid w:val="51C413B8"/>
    <w:rsid w:val="51C846F3"/>
    <w:rsid w:val="51D87B8B"/>
    <w:rsid w:val="51E3730F"/>
    <w:rsid w:val="51F8693F"/>
    <w:rsid w:val="52056C28"/>
    <w:rsid w:val="520C6E93"/>
    <w:rsid w:val="520E6AD8"/>
    <w:rsid w:val="52171E30"/>
    <w:rsid w:val="521D4F6D"/>
    <w:rsid w:val="521F52CC"/>
    <w:rsid w:val="522B1438"/>
    <w:rsid w:val="52347B6B"/>
    <w:rsid w:val="52350359"/>
    <w:rsid w:val="524D7600"/>
    <w:rsid w:val="52505342"/>
    <w:rsid w:val="52672C7F"/>
    <w:rsid w:val="52754DA9"/>
    <w:rsid w:val="527903F5"/>
    <w:rsid w:val="528559C7"/>
    <w:rsid w:val="528B637A"/>
    <w:rsid w:val="5292203B"/>
    <w:rsid w:val="52A01E26"/>
    <w:rsid w:val="52A82A88"/>
    <w:rsid w:val="52A86F2C"/>
    <w:rsid w:val="52BA42A7"/>
    <w:rsid w:val="52C843F7"/>
    <w:rsid w:val="52D47D21"/>
    <w:rsid w:val="52E57838"/>
    <w:rsid w:val="52F537F4"/>
    <w:rsid w:val="530323B4"/>
    <w:rsid w:val="5353311D"/>
    <w:rsid w:val="537E4CD3"/>
    <w:rsid w:val="537F5EDF"/>
    <w:rsid w:val="538057B3"/>
    <w:rsid w:val="53A616BE"/>
    <w:rsid w:val="53B00574"/>
    <w:rsid w:val="53B8319F"/>
    <w:rsid w:val="53F306B5"/>
    <w:rsid w:val="540208BE"/>
    <w:rsid w:val="54040192"/>
    <w:rsid w:val="541A1764"/>
    <w:rsid w:val="543547EF"/>
    <w:rsid w:val="543F11CA"/>
    <w:rsid w:val="544D38E7"/>
    <w:rsid w:val="54535FB0"/>
    <w:rsid w:val="54556AEA"/>
    <w:rsid w:val="54622402"/>
    <w:rsid w:val="54767D3E"/>
    <w:rsid w:val="547C41CC"/>
    <w:rsid w:val="548020A1"/>
    <w:rsid w:val="54843325"/>
    <w:rsid w:val="548A4B3B"/>
    <w:rsid w:val="54977258"/>
    <w:rsid w:val="54A01FF8"/>
    <w:rsid w:val="54A0435F"/>
    <w:rsid w:val="54A6749B"/>
    <w:rsid w:val="54BA0D3D"/>
    <w:rsid w:val="54CB0CB0"/>
    <w:rsid w:val="54D44008"/>
    <w:rsid w:val="54EA7388"/>
    <w:rsid w:val="5503346C"/>
    <w:rsid w:val="55055F70"/>
    <w:rsid w:val="55131A57"/>
    <w:rsid w:val="551D59AF"/>
    <w:rsid w:val="552A59D6"/>
    <w:rsid w:val="55434CEA"/>
    <w:rsid w:val="55622629"/>
    <w:rsid w:val="5563713A"/>
    <w:rsid w:val="556F5ADF"/>
    <w:rsid w:val="558275C0"/>
    <w:rsid w:val="559E0172"/>
    <w:rsid w:val="55A106D3"/>
    <w:rsid w:val="55A439DB"/>
    <w:rsid w:val="55A60CCB"/>
    <w:rsid w:val="55A64150"/>
    <w:rsid w:val="55A818FD"/>
    <w:rsid w:val="55B55BE8"/>
    <w:rsid w:val="55BB1A59"/>
    <w:rsid w:val="55BE7800"/>
    <w:rsid w:val="55C776C9"/>
    <w:rsid w:val="55CC1183"/>
    <w:rsid w:val="55D122F6"/>
    <w:rsid w:val="55EC5382"/>
    <w:rsid w:val="55F304BE"/>
    <w:rsid w:val="561418DC"/>
    <w:rsid w:val="561870C5"/>
    <w:rsid w:val="56206DD9"/>
    <w:rsid w:val="56212396"/>
    <w:rsid w:val="562B2188"/>
    <w:rsid w:val="563D798B"/>
    <w:rsid w:val="5640081E"/>
    <w:rsid w:val="56431BAE"/>
    <w:rsid w:val="56510530"/>
    <w:rsid w:val="56570A4D"/>
    <w:rsid w:val="565809C8"/>
    <w:rsid w:val="565C42B5"/>
    <w:rsid w:val="5661211B"/>
    <w:rsid w:val="56646DA2"/>
    <w:rsid w:val="5671345B"/>
    <w:rsid w:val="56723AD9"/>
    <w:rsid w:val="56776D24"/>
    <w:rsid w:val="567A473C"/>
    <w:rsid w:val="56B50F12"/>
    <w:rsid w:val="56BF4844"/>
    <w:rsid w:val="56E513A2"/>
    <w:rsid w:val="56F42740"/>
    <w:rsid w:val="56FE536D"/>
    <w:rsid w:val="57014E5D"/>
    <w:rsid w:val="570D0312"/>
    <w:rsid w:val="571D4801"/>
    <w:rsid w:val="5728063B"/>
    <w:rsid w:val="57396991"/>
    <w:rsid w:val="57476D14"/>
    <w:rsid w:val="574E59DC"/>
    <w:rsid w:val="575256B8"/>
    <w:rsid w:val="5755260C"/>
    <w:rsid w:val="5765363E"/>
    <w:rsid w:val="576A0C54"/>
    <w:rsid w:val="576D42A0"/>
    <w:rsid w:val="577D71D5"/>
    <w:rsid w:val="57831D16"/>
    <w:rsid w:val="57AD15AC"/>
    <w:rsid w:val="57C40364"/>
    <w:rsid w:val="57D67BEC"/>
    <w:rsid w:val="57DA73EC"/>
    <w:rsid w:val="57F26597"/>
    <w:rsid w:val="57FF75EE"/>
    <w:rsid w:val="58036A32"/>
    <w:rsid w:val="58093FC9"/>
    <w:rsid w:val="580E15DF"/>
    <w:rsid w:val="58127D36"/>
    <w:rsid w:val="58160494"/>
    <w:rsid w:val="582157B7"/>
    <w:rsid w:val="582770AC"/>
    <w:rsid w:val="58354DBE"/>
    <w:rsid w:val="583F79EB"/>
    <w:rsid w:val="58561B36"/>
    <w:rsid w:val="585D2567"/>
    <w:rsid w:val="58674639"/>
    <w:rsid w:val="586E6522"/>
    <w:rsid w:val="58737694"/>
    <w:rsid w:val="58782104"/>
    <w:rsid w:val="58816255"/>
    <w:rsid w:val="58874450"/>
    <w:rsid w:val="5889335C"/>
    <w:rsid w:val="5889510A"/>
    <w:rsid w:val="589E2AFF"/>
    <w:rsid w:val="58B303D9"/>
    <w:rsid w:val="58B57CAD"/>
    <w:rsid w:val="58C425E6"/>
    <w:rsid w:val="58D2260D"/>
    <w:rsid w:val="58D81BED"/>
    <w:rsid w:val="58DA7713"/>
    <w:rsid w:val="58DF5D19"/>
    <w:rsid w:val="58E32A6C"/>
    <w:rsid w:val="58EF7663"/>
    <w:rsid w:val="5901594F"/>
    <w:rsid w:val="591470C9"/>
    <w:rsid w:val="59253085"/>
    <w:rsid w:val="59262959"/>
    <w:rsid w:val="593530FD"/>
    <w:rsid w:val="594F3C5E"/>
    <w:rsid w:val="5963595B"/>
    <w:rsid w:val="59883613"/>
    <w:rsid w:val="598A078C"/>
    <w:rsid w:val="59913D84"/>
    <w:rsid w:val="59927FEE"/>
    <w:rsid w:val="59A321FB"/>
    <w:rsid w:val="59B241EC"/>
    <w:rsid w:val="59B30116"/>
    <w:rsid w:val="59C2714B"/>
    <w:rsid w:val="59C77308"/>
    <w:rsid w:val="59C81C62"/>
    <w:rsid w:val="59D2488F"/>
    <w:rsid w:val="59DE2B1C"/>
    <w:rsid w:val="59E16894"/>
    <w:rsid w:val="59F12F67"/>
    <w:rsid w:val="59F842F5"/>
    <w:rsid w:val="5A00166A"/>
    <w:rsid w:val="5A07278A"/>
    <w:rsid w:val="5A074538"/>
    <w:rsid w:val="5A0802B0"/>
    <w:rsid w:val="5A096502"/>
    <w:rsid w:val="5A364E1D"/>
    <w:rsid w:val="5A366BCB"/>
    <w:rsid w:val="5A3A2B60"/>
    <w:rsid w:val="5A3A2DDD"/>
    <w:rsid w:val="5A3D61AC"/>
    <w:rsid w:val="5A403EEE"/>
    <w:rsid w:val="5A5E64D8"/>
    <w:rsid w:val="5A610A87"/>
    <w:rsid w:val="5A68299B"/>
    <w:rsid w:val="5A703C44"/>
    <w:rsid w:val="5A7A12EB"/>
    <w:rsid w:val="5A7A7400"/>
    <w:rsid w:val="5A8748C9"/>
    <w:rsid w:val="5A8E2EAB"/>
    <w:rsid w:val="5AA75D1B"/>
    <w:rsid w:val="5AC16DDD"/>
    <w:rsid w:val="5AC35D44"/>
    <w:rsid w:val="5AD1633C"/>
    <w:rsid w:val="5ADA1C4D"/>
    <w:rsid w:val="5ADC1DA7"/>
    <w:rsid w:val="5AE40D1D"/>
    <w:rsid w:val="5AF076C2"/>
    <w:rsid w:val="5AFC1A12"/>
    <w:rsid w:val="5AFC3CC2"/>
    <w:rsid w:val="5B1B1F62"/>
    <w:rsid w:val="5B1F6B55"/>
    <w:rsid w:val="5B2336CE"/>
    <w:rsid w:val="5B2555BE"/>
    <w:rsid w:val="5B294982"/>
    <w:rsid w:val="5B295B57"/>
    <w:rsid w:val="5B3550D5"/>
    <w:rsid w:val="5B445318"/>
    <w:rsid w:val="5B48738F"/>
    <w:rsid w:val="5B687259"/>
    <w:rsid w:val="5B7B2140"/>
    <w:rsid w:val="5B8027F4"/>
    <w:rsid w:val="5B8D774E"/>
    <w:rsid w:val="5B904C74"/>
    <w:rsid w:val="5B953DC6"/>
    <w:rsid w:val="5BA669B6"/>
    <w:rsid w:val="5BAD1BA2"/>
    <w:rsid w:val="5BBD57F6"/>
    <w:rsid w:val="5BC508FC"/>
    <w:rsid w:val="5BCB20AB"/>
    <w:rsid w:val="5BCC5A39"/>
    <w:rsid w:val="5BD803C4"/>
    <w:rsid w:val="5BD90156"/>
    <w:rsid w:val="5BD91F04"/>
    <w:rsid w:val="5BDB7A2A"/>
    <w:rsid w:val="5BEC60DC"/>
    <w:rsid w:val="5BF918A2"/>
    <w:rsid w:val="5BF9258D"/>
    <w:rsid w:val="5BF94355"/>
    <w:rsid w:val="5C012E90"/>
    <w:rsid w:val="5C031F8B"/>
    <w:rsid w:val="5C071160"/>
    <w:rsid w:val="5C145A54"/>
    <w:rsid w:val="5C156FF2"/>
    <w:rsid w:val="5C2869E8"/>
    <w:rsid w:val="5C34538D"/>
    <w:rsid w:val="5C4668EC"/>
    <w:rsid w:val="5C490CD0"/>
    <w:rsid w:val="5C49708A"/>
    <w:rsid w:val="5C506A2A"/>
    <w:rsid w:val="5C593045"/>
    <w:rsid w:val="5C6043D4"/>
    <w:rsid w:val="5C7165E1"/>
    <w:rsid w:val="5C9044FF"/>
    <w:rsid w:val="5C9D2F32"/>
    <w:rsid w:val="5CA22C3E"/>
    <w:rsid w:val="5CA42512"/>
    <w:rsid w:val="5CB5471F"/>
    <w:rsid w:val="5CBA3AE4"/>
    <w:rsid w:val="5CD059FB"/>
    <w:rsid w:val="5D00281A"/>
    <w:rsid w:val="5D184CAE"/>
    <w:rsid w:val="5D2004A1"/>
    <w:rsid w:val="5D243653"/>
    <w:rsid w:val="5D3B6501"/>
    <w:rsid w:val="5D496861"/>
    <w:rsid w:val="5D526412"/>
    <w:rsid w:val="5D5932FD"/>
    <w:rsid w:val="5D720862"/>
    <w:rsid w:val="5D7E7207"/>
    <w:rsid w:val="5D8C1BA5"/>
    <w:rsid w:val="5D8F2E94"/>
    <w:rsid w:val="5D924A61"/>
    <w:rsid w:val="5D927590"/>
    <w:rsid w:val="5D9500AD"/>
    <w:rsid w:val="5D995DEF"/>
    <w:rsid w:val="5D9B43A6"/>
    <w:rsid w:val="5DB7113F"/>
    <w:rsid w:val="5DBE13B2"/>
    <w:rsid w:val="5DC34C1A"/>
    <w:rsid w:val="5DDF0212"/>
    <w:rsid w:val="5DE132F2"/>
    <w:rsid w:val="5DE216B2"/>
    <w:rsid w:val="5DE352BC"/>
    <w:rsid w:val="5DF70D68"/>
    <w:rsid w:val="5DFB0858"/>
    <w:rsid w:val="5DFE5C52"/>
    <w:rsid w:val="5E0035AB"/>
    <w:rsid w:val="5E0578F6"/>
    <w:rsid w:val="5E0E058B"/>
    <w:rsid w:val="5E1436C8"/>
    <w:rsid w:val="5E285833"/>
    <w:rsid w:val="5E2C0A11"/>
    <w:rsid w:val="5E2F405E"/>
    <w:rsid w:val="5E6737F7"/>
    <w:rsid w:val="5E68756F"/>
    <w:rsid w:val="5E6F415D"/>
    <w:rsid w:val="5E8051A3"/>
    <w:rsid w:val="5E873E9A"/>
    <w:rsid w:val="5E8E1D57"/>
    <w:rsid w:val="5E9F0E3F"/>
    <w:rsid w:val="5EA05A1B"/>
    <w:rsid w:val="5EB51F38"/>
    <w:rsid w:val="5EBF3633"/>
    <w:rsid w:val="5EC118C9"/>
    <w:rsid w:val="5ECE467C"/>
    <w:rsid w:val="5EEE6572"/>
    <w:rsid w:val="5EF07C91"/>
    <w:rsid w:val="5F04373C"/>
    <w:rsid w:val="5F076D88"/>
    <w:rsid w:val="5F101CC4"/>
    <w:rsid w:val="5F13397F"/>
    <w:rsid w:val="5F1D035A"/>
    <w:rsid w:val="5F3A715E"/>
    <w:rsid w:val="5F4B136B"/>
    <w:rsid w:val="5F555D46"/>
    <w:rsid w:val="5F5A31A8"/>
    <w:rsid w:val="5F5B7B31"/>
    <w:rsid w:val="5F763A4C"/>
    <w:rsid w:val="5F7A755A"/>
    <w:rsid w:val="5F833AF8"/>
    <w:rsid w:val="5F8742E2"/>
    <w:rsid w:val="5F926F9A"/>
    <w:rsid w:val="5FB213EA"/>
    <w:rsid w:val="5FCD3B2E"/>
    <w:rsid w:val="5FD379A4"/>
    <w:rsid w:val="5FD7317C"/>
    <w:rsid w:val="5FDE21DF"/>
    <w:rsid w:val="5FE45453"/>
    <w:rsid w:val="5FF91C7A"/>
    <w:rsid w:val="5FF95ED7"/>
    <w:rsid w:val="60037396"/>
    <w:rsid w:val="60051E35"/>
    <w:rsid w:val="60164BA2"/>
    <w:rsid w:val="601A43EF"/>
    <w:rsid w:val="6026563C"/>
    <w:rsid w:val="6042451C"/>
    <w:rsid w:val="60503F3D"/>
    <w:rsid w:val="60594D60"/>
    <w:rsid w:val="605D1E58"/>
    <w:rsid w:val="606E3563"/>
    <w:rsid w:val="606E468E"/>
    <w:rsid w:val="60730B79"/>
    <w:rsid w:val="607B7A2E"/>
    <w:rsid w:val="607C7302"/>
    <w:rsid w:val="60824919"/>
    <w:rsid w:val="60997EB4"/>
    <w:rsid w:val="609D79A4"/>
    <w:rsid w:val="60AD6327"/>
    <w:rsid w:val="60B13450"/>
    <w:rsid w:val="60B57F7E"/>
    <w:rsid w:val="60BE63C8"/>
    <w:rsid w:val="60C05441"/>
    <w:rsid w:val="60C442E0"/>
    <w:rsid w:val="60C72C73"/>
    <w:rsid w:val="60C87847"/>
    <w:rsid w:val="60CE74F7"/>
    <w:rsid w:val="6115578D"/>
    <w:rsid w:val="611C29AC"/>
    <w:rsid w:val="612C2AD6"/>
    <w:rsid w:val="613100ED"/>
    <w:rsid w:val="6131633F"/>
    <w:rsid w:val="61453B98"/>
    <w:rsid w:val="615A5895"/>
    <w:rsid w:val="61750921"/>
    <w:rsid w:val="617701F5"/>
    <w:rsid w:val="617A5F38"/>
    <w:rsid w:val="618446C0"/>
    <w:rsid w:val="61A60ADB"/>
    <w:rsid w:val="61B02B17"/>
    <w:rsid w:val="61B34FA6"/>
    <w:rsid w:val="61CB0541"/>
    <w:rsid w:val="61CE3B8D"/>
    <w:rsid w:val="61CE7F08"/>
    <w:rsid w:val="61D90EB0"/>
    <w:rsid w:val="61E41603"/>
    <w:rsid w:val="61FC694D"/>
    <w:rsid w:val="61FE26C5"/>
    <w:rsid w:val="6200423D"/>
    <w:rsid w:val="62093465"/>
    <w:rsid w:val="620A1069"/>
    <w:rsid w:val="620D0B5A"/>
    <w:rsid w:val="622F77D6"/>
    <w:rsid w:val="62315204"/>
    <w:rsid w:val="623A1223"/>
    <w:rsid w:val="623D02C5"/>
    <w:rsid w:val="624A3B5C"/>
    <w:rsid w:val="625642AF"/>
    <w:rsid w:val="625B3673"/>
    <w:rsid w:val="62647FB0"/>
    <w:rsid w:val="626A1B08"/>
    <w:rsid w:val="626D33A6"/>
    <w:rsid w:val="626D46A2"/>
    <w:rsid w:val="626F2040"/>
    <w:rsid w:val="627666FF"/>
    <w:rsid w:val="6280757E"/>
    <w:rsid w:val="6283706E"/>
    <w:rsid w:val="628A3F58"/>
    <w:rsid w:val="628B15D4"/>
    <w:rsid w:val="629D0130"/>
    <w:rsid w:val="62A50D92"/>
    <w:rsid w:val="62A56FE4"/>
    <w:rsid w:val="62B81781"/>
    <w:rsid w:val="62B8336A"/>
    <w:rsid w:val="62B8477F"/>
    <w:rsid w:val="62BB0998"/>
    <w:rsid w:val="62C27B96"/>
    <w:rsid w:val="62E95D23"/>
    <w:rsid w:val="62EF025F"/>
    <w:rsid w:val="62F6339C"/>
    <w:rsid w:val="62FC6156"/>
    <w:rsid w:val="62FD0BCE"/>
    <w:rsid w:val="630F29B9"/>
    <w:rsid w:val="631303F2"/>
    <w:rsid w:val="632C64AF"/>
    <w:rsid w:val="632F68AE"/>
    <w:rsid w:val="633912AA"/>
    <w:rsid w:val="6340703E"/>
    <w:rsid w:val="63461EEC"/>
    <w:rsid w:val="6347009B"/>
    <w:rsid w:val="634D1699"/>
    <w:rsid w:val="63514A76"/>
    <w:rsid w:val="6353259C"/>
    <w:rsid w:val="6367429A"/>
    <w:rsid w:val="637067D1"/>
    <w:rsid w:val="637B1AF3"/>
    <w:rsid w:val="637F4381"/>
    <w:rsid w:val="6381535B"/>
    <w:rsid w:val="63843A67"/>
    <w:rsid w:val="638906B4"/>
    <w:rsid w:val="638D7B34"/>
    <w:rsid w:val="639A466F"/>
    <w:rsid w:val="639F57E1"/>
    <w:rsid w:val="63AB23D8"/>
    <w:rsid w:val="63AE011A"/>
    <w:rsid w:val="63B374DF"/>
    <w:rsid w:val="63BF40D6"/>
    <w:rsid w:val="63C90AB0"/>
    <w:rsid w:val="63CD67F3"/>
    <w:rsid w:val="63CE4319"/>
    <w:rsid w:val="63D74F7B"/>
    <w:rsid w:val="63DC07E4"/>
    <w:rsid w:val="63DF6868"/>
    <w:rsid w:val="63E92F01"/>
    <w:rsid w:val="63F41FD1"/>
    <w:rsid w:val="63F7386F"/>
    <w:rsid w:val="63F90CC5"/>
    <w:rsid w:val="6402627D"/>
    <w:rsid w:val="641461CF"/>
    <w:rsid w:val="641F5987"/>
    <w:rsid w:val="642D54E3"/>
    <w:rsid w:val="64305BFB"/>
    <w:rsid w:val="64337579"/>
    <w:rsid w:val="64430863"/>
    <w:rsid w:val="64441196"/>
    <w:rsid w:val="644E7B4E"/>
    <w:rsid w:val="64541E2E"/>
    <w:rsid w:val="64572560"/>
    <w:rsid w:val="646627A3"/>
    <w:rsid w:val="64664551"/>
    <w:rsid w:val="64750A9E"/>
    <w:rsid w:val="64872E45"/>
    <w:rsid w:val="64925346"/>
    <w:rsid w:val="64992B79"/>
    <w:rsid w:val="64A622B0"/>
    <w:rsid w:val="64A82F69"/>
    <w:rsid w:val="64B13A1E"/>
    <w:rsid w:val="64B61B71"/>
    <w:rsid w:val="64F8789F"/>
    <w:rsid w:val="64F9082A"/>
    <w:rsid w:val="64FB738F"/>
    <w:rsid w:val="650224CC"/>
    <w:rsid w:val="65091B75"/>
    <w:rsid w:val="651915C4"/>
    <w:rsid w:val="651B3208"/>
    <w:rsid w:val="651B74E4"/>
    <w:rsid w:val="65230D92"/>
    <w:rsid w:val="652E0D3C"/>
    <w:rsid w:val="653A1C66"/>
    <w:rsid w:val="655A40B6"/>
    <w:rsid w:val="656071F2"/>
    <w:rsid w:val="65620FA9"/>
    <w:rsid w:val="65622575"/>
    <w:rsid w:val="65637788"/>
    <w:rsid w:val="65652A5B"/>
    <w:rsid w:val="656960A7"/>
    <w:rsid w:val="657131AE"/>
    <w:rsid w:val="65BC6440"/>
    <w:rsid w:val="65C0139D"/>
    <w:rsid w:val="65C36E7F"/>
    <w:rsid w:val="65C4453D"/>
    <w:rsid w:val="65D21A26"/>
    <w:rsid w:val="65D375F8"/>
    <w:rsid w:val="65D5373C"/>
    <w:rsid w:val="65D75FCA"/>
    <w:rsid w:val="65DC20BD"/>
    <w:rsid w:val="65DC2D1D"/>
    <w:rsid w:val="65DC4ACB"/>
    <w:rsid w:val="65EE2A50"/>
    <w:rsid w:val="65F63BD4"/>
    <w:rsid w:val="660109D5"/>
    <w:rsid w:val="660E4EA0"/>
    <w:rsid w:val="6622709C"/>
    <w:rsid w:val="662326FA"/>
    <w:rsid w:val="662E1715"/>
    <w:rsid w:val="663973B7"/>
    <w:rsid w:val="663B7430"/>
    <w:rsid w:val="664663E8"/>
    <w:rsid w:val="665C6A93"/>
    <w:rsid w:val="66611474"/>
    <w:rsid w:val="666D7E19"/>
    <w:rsid w:val="66737D2A"/>
    <w:rsid w:val="66890422"/>
    <w:rsid w:val="66935AC8"/>
    <w:rsid w:val="669C0303"/>
    <w:rsid w:val="669C06FE"/>
    <w:rsid w:val="669C24AC"/>
    <w:rsid w:val="669C425A"/>
    <w:rsid w:val="66A03D4A"/>
    <w:rsid w:val="66A80729"/>
    <w:rsid w:val="66B45A48"/>
    <w:rsid w:val="66CF63DE"/>
    <w:rsid w:val="66E005EB"/>
    <w:rsid w:val="66E10EF9"/>
    <w:rsid w:val="66E62095"/>
    <w:rsid w:val="66E63727"/>
    <w:rsid w:val="66F64DF0"/>
    <w:rsid w:val="66F9345B"/>
    <w:rsid w:val="67136C12"/>
    <w:rsid w:val="6714124B"/>
    <w:rsid w:val="6714321C"/>
    <w:rsid w:val="6716225F"/>
    <w:rsid w:val="6719778E"/>
    <w:rsid w:val="672A0BC3"/>
    <w:rsid w:val="67535261"/>
    <w:rsid w:val="67580AC9"/>
    <w:rsid w:val="676236F6"/>
    <w:rsid w:val="67672ABA"/>
    <w:rsid w:val="676F196F"/>
    <w:rsid w:val="677F7E04"/>
    <w:rsid w:val="67943B44"/>
    <w:rsid w:val="67970641"/>
    <w:rsid w:val="67B13D35"/>
    <w:rsid w:val="67B6759E"/>
    <w:rsid w:val="67D16185"/>
    <w:rsid w:val="67D839B8"/>
    <w:rsid w:val="67E07FD8"/>
    <w:rsid w:val="67E4235D"/>
    <w:rsid w:val="67ED7463"/>
    <w:rsid w:val="67FD53CF"/>
    <w:rsid w:val="6813619F"/>
    <w:rsid w:val="68292C13"/>
    <w:rsid w:val="683F3A37"/>
    <w:rsid w:val="684B418A"/>
    <w:rsid w:val="685E3EBD"/>
    <w:rsid w:val="68694610"/>
    <w:rsid w:val="68721717"/>
    <w:rsid w:val="687775B2"/>
    <w:rsid w:val="68834BBC"/>
    <w:rsid w:val="689C2C37"/>
    <w:rsid w:val="68A5389A"/>
    <w:rsid w:val="68AE68FE"/>
    <w:rsid w:val="68E73A51"/>
    <w:rsid w:val="68EF0FB9"/>
    <w:rsid w:val="68FB170C"/>
    <w:rsid w:val="690507DD"/>
    <w:rsid w:val="69110F2F"/>
    <w:rsid w:val="69180510"/>
    <w:rsid w:val="692E05D5"/>
    <w:rsid w:val="693410C2"/>
    <w:rsid w:val="6934554E"/>
    <w:rsid w:val="6934718B"/>
    <w:rsid w:val="69423823"/>
    <w:rsid w:val="6945507D"/>
    <w:rsid w:val="695157D0"/>
    <w:rsid w:val="695A5837"/>
    <w:rsid w:val="69711F76"/>
    <w:rsid w:val="69755D9C"/>
    <w:rsid w:val="69802D51"/>
    <w:rsid w:val="69825CBF"/>
    <w:rsid w:val="6986193F"/>
    <w:rsid w:val="69886D18"/>
    <w:rsid w:val="69985F69"/>
    <w:rsid w:val="69A97332"/>
    <w:rsid w:val="69B61AD7"/>
    <w:rsid w:val="69C2047C"/>
    <w:rsid w:val="69C73CE4"/>
    <w:rsid w:val="69E2467A"/>
    <w:rsid w:val="6A045939"/>
    <w:rsid w:val="6A0740E0"/>
    <w:rsid w:val="6A1B14A7"/>
    <w:rsid w:val="6A1C7012"/>
    <w:rsid w:val="6A1F58CE"/>
    <w:rsid w:val="6A3B684A"/>
    <w:rsid w:val="6A440E91"/>
    <w:rsid w:val="6A8614A9"/>
    <w:rsid w:val="6A955B90"/>
    <w:rsid w:val="6AB95599"/>
    <w:rsid w:val="6AD42215"/>
    <w:rsid w:val="6ADA1266"/>
    <w:rsid w:val="6AE5012B"/>
    <w:rsid w:val="6AF1726A"/>
    <w:rsid w:val="6AF403FB"/>
    <w:rsid w:val="6AF97ECD"/>
    <w:rsid w:val="6B1148DF"/>
    <w:rsid w:val="6B1B7628"/>
    <w:rsid w:val="6B1E16E2"/>
    <w:rsid w:val="6B241A17"/>
    <w:rsid w:val="6B2A277C"/>
    <w:rsid w:val="6B39476E"/>
    <w:rsid w:val="6B3C2EFA"/>
    <w:rsid w:val="6B4355EC"/>
    <w:rsid w:val="6B7636D8"/>
    <w:rsid w:val="6B7F2B89"/>
    <w:rsid w:val="6B923FB8"/>
    <w:rsid w:val="6B991CE8"/>
    <w:rsid w:val="6BAC4F3F"/>
    <w:rsid w:val="6BB666ED"/>
    <w:rsid w:val="6BC229B5"/>
    <w:rsid w:val="6BC93D43"/>
    <w:rsid w:val="6BCE135A"/>
    <w:rsid w:val="6BDB5825"/>
    <w:rsid w:val="6BE4292B"/>
    <w:rsid w:val="6BF32B6E"/>
    <w:rsid w:val="6C016BE7"/>
    <w:rsid w:val="6C07661A"/>
    <w:rsid w:val="6C1E0F7E"/>
    <w:rsid w:val="6C317BB9"/>
    <w:rsid w:val="6C3B28C0"/>
    <w:rsid w:val="6C580C23"/>
    <w:rsid w:val="6C643A6C"/>
    <w:rsid w:val="6C735A5D"/>
    <w:rsid w:val="6C7E07E5"/>
    <w:rsid w:val="6CA1081C"/>
    <w:rsid w:val="6CA21FD3"/>
    <w:rsid w:val="6CAA345C"/>
    <w:rsid w:val="6CBE13CE"/>
    <w:rsid w:val="6CF272CA"/>
    <w:rsid w:val="6CF42BFD"/>
    <w:rsid w:val="6CF51267"/>
    <w:rsid w:val="6CF80F83"/>
    <w:rsid w:val="6CF90658"/>
    <w:rsid w:val="6CFE5C6F"/>
    <w:rsid w:val="6D0019E7"/>
    <w:rsid w:val="6D022576"/>
    <w:rsid w:val="6D1852E5"/>
    <w:rsid w:val="6D266F73"/>
    <w:rsid w:val="6D272708"/>
    <w:rsid w:val="6D2F4E5D"/>
    <w:rsid w:val="6D390A55"/>
    <w:rsid w:val="6D392803"/>
    <w:rsid w:val="6D396CA7"/>
    <w:rsid w:val="6D3F3B91"/>
    <w:rsid w:val="6D505D9E"/>
    <w:rsid w:val="6D527D69"/>
    <w:rsid w:val="6D6A6E60"/>
    <w:rsid w:val="6D943EDD"/>
    <w:rsid w:val="6DB568A0"/>
    <w:rsid w:val="6DCC3677"/>
    <w:rsid w:val="6DCF4F15"/>
    <w:rsid w:val="6DD6304C"/>
    <w:rsid w:val="6DE210EC"/>
    <w:rsid w:val="6DED5A80"/>
    <w:rsid w:val="6DF02DDA"/>
    <w:rsid w:val="6DFE74C6"/>
    <w:rsid w:val="6E04626A"/>
    <w:rsid w:val="6E080427"/>
    <w:rsid w:val="6E1148C4"/>
    <w:rsid w:val="6E182D60"/>
    <w:rsid w:val="6E4512D6"/>
    <w:rsid w:val="6E5F273D"/>
    <w:rsid w:val="6E6164B5"/>
    <w:rsid w:val="6E6E2980"/>
    <w:rsid w:val="6E6E5D03"/>
    <w:rsid w:val="6E726C85"/>
    <w:rsid w:val="6E7837FF"/>
    <w:rsid w:val="6E865F1C"/>
    <w:rsid w:val="6E914282"/>
    <w:rsid w:val="6E973BA3"/>
    <w:rsid w:val="6E9817AB"/>
    <w:rsid w:val="6E9A3775"/>
    <w:rsid w:val="6E9C0F6F"/>
    <w:rsid w:val="6EB04D47"/>
    <w:rsid w:val="6EB0599B"/>
    <w:rsid w:val="6EB64310"/>
    <w:rsid w:val="6EBF5BF3"/>
    <w:rsid w:val="6ED547AD"/>
    <w:rsid w:val="6EEB3C07"/>
    <w:rsid w:val="6EEE4FB7"/>
    <w:rsid w:val="6EF966EE"/>
    <w:rsid w:val="6F0E4EC3"/>
    <w:rsid w:val="6F0F4163"/>
    <w:rsid w:val="6F1F1ECC"/>
    <w:rsid w:val="6F282086"/>
    <w:rsid w:val="6F2C565C"/>
    <w:rsid w:val="6F2D283B"/>
    <w:rsid w:val="6F35349E"/>
    <w:rsid w:val="6F3B64CA"/>
    <w:rsid w:val="6F3C482C"/>
    <w:rsid w:val="6F44464C"/>
    <w:rsid w:val="6F484F7F"/>
    <w:rsid w:val="6F525DFE"/>
    <w:rsid w:val="6F5C6720"/>
    <w:rsid w:val="6F682978"/>
    <w:rsid w:val="6F771D08"/>
    <w:rsid w:val="6F810180"/>
    <w:rsid w:val="6F907CB4"/>
    <w:rsid w:val="6FC0545D"/>
    <w:rsid w:val="6FC35D48"/>
    <w:rsid w:val="6FCA008A"/>
    <w:rsid w:val="6FE0165C"/>
    <w:rsid w:val="6FE16EE1"/>
    <w:rsid w:val="6FE264A0"/>
    <w:rsid w:val="6FF9271D"/>
    <w:rsid w:val="6FFD045F"/>
    <w:rsid w:val="700C2451"/>
    <w:rsid w:val="700F1F41"/>
    <w:rsid w:val="70180DF5"/>
    <w:rsid w:val="701F03D6"/>
    <w:rsid w:val="702552C0"/>
    <w:rsid w:val="702A6D7B"/>
    <w:rsid w:val="702C748F"/>
    <w:rsid w:val="702E686B"/>
    <w:rsid w:val="70344BBF"/>
    <w:rsid w:val="703674CE"/>
    <w:rsid w:val="703D7080"/>
    <w:rsid w:val="7040644A"/>
    <w:rsid w:val="70425E72"/>
    <w:rsid w:val="70441BEA"/>
    <w:rsid w:val="704C0A9F"/>
    <w:rsid w:val="70557737"/>
    <w:rsid w:val="70596115"/>
    <w:rsid w:val="705C33D8"/>
    <w:rsid w:val="70691651"/>
    <w:rsid w:val="706E6C67"/>
    <w:rsid w:val="706F4CF2"/>
    <w:rsid w:val="70737C93"/>
    <w:rsid w:val="70821865"/>
    <w:rsid w:val="708244C1"/>
    <w:rsid w:val="70930CB0"/>
    <w:rsid w:val="709F4389"/>
    <w:rsid w:val="70A361D6"/>
    <w:rsid w:val="70B054D2"/>
    <w:rsid w:val="70B34FC2"/>
    <w:rsid w:val="70B36D70"/>
    <w:rsid w:val="70BE4D93"/>
    <w:rsid w:val="70E1568B"/>
    <w:rsid w:val="70E227D6"/>
    <w:rsid w:val="70FE623D"/>
    <w:rsid w:val="710F044A"/>
    <w:rsid w:val="71141F49"/>
    <w:rsid w:val="712F166D"/>
    <w:rsid w:val="714861FC"/>
    <w:rsid w:val="714B0D57"/>
    <w:rsid w:val="7150636D"/>
    <w:rsid w:val="715E72BC"/>
    <w:rsid w:val="71755DD4"/>
    <w:rsid w:val="71793B16"/>
    <w:rsid w:val="718030F6"/>
    <w:rsid w:val="71836742"/>
    <w:rsid w:val="71922369"/>
    <w:rsid w:val="71AA1F21"/>
    <w:rsid w:val="71AD7318"/>
    <w:rsid w:val="71AF12E6"/>
    <w:rsid w:val="71B5159F"/>
    <w:rsid w:val="71B66B18"/>
    <w:rsid w:val="71B92C84"/>
    <w:rsid w:val="71BD6F35"/>
    <w:rsid w:val="71C346B5"/>
    <w:rsid w:val="71C34D91"/>
    <w:rsid w:val="71C37A53"/>
    <w:rsid w:val="71C7496A"/>
    <w:rsid w:val="71DC5E53"/>
    <w:rsid w:val="71E511AB"/>
    <w:rsid w:val="71F17594"/>
    <w:rsid w:val="71F238C8"/>
    <w:rsid w:val="71F65166"/>
    <w:rsid w:val="71F87A6C"/>
    <w:rsid w:val="71FB09CF"/>
    <w:rsid w:val="7205184D"/>
    <w:rsid w:val="72113D4E"/>
    <w:rsid w:val="721E46BD"/>
    <w:rsid w:val="72203F91"/>
    <w:rsid w:val="72207836"/>
    <w:rsid w:val="72225F5B"/>
    <w:rsid w:val="722C0B88"/>
    <w:rsid w:val="722C2936"/>
    <w:rsid w:val="72330169"/>
    <w:rsid w:val="72385C61"/>
    <w:rsid w:val="723D4B43"/>
    <w:rsid w:val="72553376"/>
    <w:rsid w:val="72604CD6"/>
    <w:rsid w:val="72605D30"/>
    <w:rsid w:val="726D70E7"/>
    <w:rsid w:val="728564EA"/>
    <w:rsid w:val="72895FDA"/>
    <w:rsid w:val="72936E59"/>
    <w:rsid w:val="72987FCC"/>
    <w:rsid w:val="72A45462"/>
    <w:rsid w:val="72A50E51"/>
    <w:rsid w:val="72A63D8F"/>
    <w:rsid w:val="72AC3A77"/>
    <w:rsid w:val="72B8241C"/>
    <w:rsid w:val="72BA43E6"/>
    <w:rsid w:val="72D9520E"/>
    <w:rsid w:val="72E529EE"/>
    <w:rsid w:val="72E66F89"/>
    <w:rsid w:val="72EC6F44"/>
    <w:rsid w:val="72FC49FE"/>
    <w:rsid w:val="73041B05"/>
    <w:rsid w:val="730613D9"/>
    <w:rsid w:val="730C43A4"/>
    <w:rsid w:val="73124222"/>
    <w:rsid w:val="732168CC"/>
    <w:rsid w:val="73221F8B"/>
    <w:rsid w:val="73353A6C"/>
    <w:rsid w:val="7338355D"/>
    <w:rsid w:val="733F6699"/>
    <w:rsid w:val="735A1ECE"/>
    <w:rsid w:val="735E419D"/>
    <w:rsid w:val="735F0AE9"/>
    <w:rsid w:val="736003A2"/>
    <w:rsid w:val="73724CC1"/>
    <w:rsid w:val="73740A39"/>
    <w:rsid w:val="73770529"/>
    <w:rsid w:val="73834F73"/>
    <w:rsid w:val="738B5D82"/>
    <w:rsid w:val="738D5656"/>
    <w:rsid w:val="73905147"/>
    <w:rsid w:val="7395275D"/>
    <w:rsid w:val="73A00CA7"/>
    <w:rsid w:val="73A56E44"/>
    <w:rsid w:val="73BB407D"/>
    <w:rsid w:val="73C276DC"/>
    <w:rsid w:val="73CB43D1"/>
    <w:rsid w:val="73D72D76"/>
    <w:rsid w:val="73DE2356"/>
    <w:rsid w:val="73FC0A2E"/>
    <w:rsid w:val="74003100"/>
    <w:rsid w:val="74031DBD"/>
    <w:rsid w:val="740873D3"/>
    <w:rsid w:val="7420471D"/>
    <w:rsid w:val="742066E6"/>
    <w:rsid w:val="742835D1"/>
    <w:rsid w:val="742F2BB2"/>
    <w:rsid w:val="742F3CB1"/>
    <w:rsid w:val="743106D8"/>
    <w:rsid w:val="743A0B69"/>
    <w:rsid w:val="74411A20"/>
    <w:rsid w:val="745B563F"/>
    <w:rsid w:val="746D7236"/>
    <w:rsid w:val="7472484C"/>
    <w:rsid w:val="747D74F0"/>
    <w:rsid w:val="747E1443"/>
    <w:rsid w:val="74962C31"/>
    <w:rsid w:val="749D3FBF"/>
    <w:rsid w:val="74BD640F"/>
    <w:rsid w:val="74C31ECB"/>
    <w:rsid w:val="74C57072"/>
    <w:rsid w:val="74DD260E"/>
    <w:rsid w:val="74E27C24"/>
    <w:rsid w:val="74F37E1A"/>
    <w:rsid w:val="74F57957"/>
    <w:rsid w:val="74F6722B"/>
    <w:rsid w:val="750147A2"/>
    <w:rsid w:val="75184F78"/>
    <w:rsid w:val="75186B30"/>
    <w:rsid w:val="751A73BE"/>
    <w:rsid w:val="7530098F"/>
    <w:rsid w:val="75526B58"/>
    <w:rsid w:val="7559678F"/>
    <w:rsid w:val="7564619A"/>
    <w:rsid w:val="75660855"/>
    <w:rsid w:val="756923C9"/>
    <w:rsid w:val="757C3BD5"/>
    <w:rsid w:val="758D4034"/>
    <w:rsid w:val="758E43BC"/>
    <w:rsid w:val="758F7694"/>
    <w:rsid w:val="7591000A"/>
    <w:rsid w:val="75925734"/>
    <w:rsid w:val="75942919"/>
    <w:rsid w:val="75970A0E"/>
    <w:rsid w:val="75A01819"/>
    <w:rsid w:val="75A153E9"/>
    <w:rsid w:val="75A960A7"/>
    <w:rsid w:val="75B07897"/>
    <w:rsid w:val="75C64E50"/>
    <w:rsid w:val="75D03F20"/>
    <w:rsid w:val="75D73501"/>
    <w:rsid w:val="75DA32B4"/>
    <w:rsid w:val="75DC69B3"/>
    <w:rsid w:val="75E33C54"/>
    <w:rsid w:val="75EE7A52"/>
    <w:rsid w:val="75FC2F67"/>
    <w:rsid w:val="76022ED7"/>
    <w:rsid w:val="760A11E0"/>
    <w:rsid w:val="760F2C9B"/>
    <w:rsid w:val="761B163F"/>
    <w:rsid w:val="761C0F14"/>
    <w:rsid w:val="76206C56"/>
    <w:rsid w:val="76236746"/>
    <w:rsid w:val="762F0C47"/>
    <w:rsid w:val="764346F2"/>
    <w:rsid w:val="76490102"/>
    <w:rsid w:val="765C5EF1"/>
    <w:rsid w:val="765D3A06"/>
    <w:rsid w:val="76876CD5"/>
    <w:rsid w:val="768F7938"/>
    <w:rsid w:val="768F7C28"/>
    <w:rsid w:val="7691545E"/>
    <w:rsid w:val="76982C90"/>
    <w:rsid w:val="76A519F0"/>
    <w:rsid w:val="76AA29C3"/>
    <w:rsid w:val="76B5776A"/>
    <w:rsid w:val="76C92E49"/>
    <w:rsid w:val="76D370E5"/>
    <w:rsid w:val="76D37824"/>
    <w:rsid w:val="76E01691"/>
    <w:rsid w:val="76F1171B"/>
    <w:rsid w:val="76FD2AF3"/>
    <w:rsid w:val="77066653"/>
    <w:rsid w:val="770B019B"/>
    <w:rsid w:val="772207AC"/>
    <w:rsid w:val="772E638B"/>
    <w:rsid w:val="77324E93"/>
    <w:rsid w:val="77364257"/>
    <w:rsid w:val="77381D7D"/>
    <w:rsid w:val="77416E84"/>
    <w:rsid w:val="775F555C"/>
    <w:rsid w:val="776B78DA"/>
    <w:rsid w:val="777860FF"/>
    <w:rsid w:val="77921962"/>
    <w:rsid w:val="77992AE0"/>
    <w:rsid w:val="779A5AD5"/>
    <w:rsid w:val="77AA57AB"/>
    <w:rsid w:val="77B75398"/>
    <w:rsid w:val="77C005BD"/>
    <w:rsid w:val="77C63091"/>
    <w:rsid w:val="77C71EAA"/>
    <w:rsid w:val="77C8090F"/>
    <w:rsid w:val="77D47CF8"/>
    <w:rsid w:val="77D5581E"/>
    <w:rsid w:val="77DE2925"/>
    <w:rsid w:val="77E617D9"/>
    <w:rsid w:val="77EB3293"/>
    <w:rsid w:val="77F263D0"/>
    <w:rsid w:val="77F42148"/>
    <w:rsid w:val="780A371A"/>
    <w:rsid w:val="780D4FB8"/>
    <w:rsid w:val="781A1483"/>
    <w:rsid w:val="781D7F14"/>
    <w:rsid w:val="783C764B"/>
    <w:rsid w:val="784239DF"/>
    <w:rsid w:val="784817E2"/>
    <w:rsid w:val="784B788E"/>
    <w:rsid w:val="78580D70"/>
    <w:rsid w:val="7864485D"/>
    <w:rsid w:val="786F17CF"/>
    <w:rsid w:val="78741648"/>
    <w:rsid w:val="78774B27"/>
    <w:rsid w:val="788A6608"/>
    <w:rsid w:val="788C2381"/>
    <w:rsid w:val="78910FF3"/>
    <w:rsid w:val="78AB1048"/>
    <w:rsid w:val="78AC58A5"/>
    <w:rsid w:val="78C00B06"/>
    <w:rsid w:val="78C961F4"/>
    <w:rsid w:val="78CC09CF"/>
    <w:rsid w:val="78D66B7E"/>
    <w:rsid w:val="78E73002"/>
    <w:rsid w:val="78E9792E"/>
    <w:rsid w:val="78F65C56"/>
    <w:rsid w:val="78F9378E"/>
    <w:rsid w:val="79022643"/>
    <w:rsid w:val="79062C97"/>
    <w:rsid w:val="7910600A"/>
    <w:rsid w:val="791365FE"/>
    <w:rsid w:val="793A50D9"/>
    <w:rsid w:val="793F5645"/>
    <w:rsid w:val="794762A8"/>
    <w:rsid w:val="79586707"/>
    <w:rsid w:val="795B7FA5"/>
    <w:rsid w:val="7961380D"/>
    <w:rsid w:val="79654980"/>
    <w:rsid w:val="796A65B3"/>
    <w:rsid w:val="79764DDF"/>
    <w:rsid w:val="797B2A69"/>
    <w:rsid w:val="798443DA"/>
    <w:rsid w:val="7993773F"/>
    <w:rsid w:val="79955265"/>
    <w:rsid w:val="79AF3739"/>
    <w:rsid w:val="79C1605A"/>
    <w:rsid w:val="79C35EDA"/>
    <w:rsid w:val="79C93160"/>
    <w:rsid w:val="79CB0C87"/>
    <w:rsid w:val="79D91008"/>
    <w:rsid w:val="79DC08AE"/>
    <w:rsid w:val="79EB1329"/>
    <w:rsid w:val="79EE6E94"/>
    <w:rsid w:val="79F103DA"/>
    <w:rsid w:val="79F24465"/>
    <w:rsid w:val="79FE72AE"/>
    <w:rsid w:val="79FF7621"/>
    <w:rsid w:val="7A016D9E"/>
    <w:rsid w:val="7A0A5C53"/>
    <w:rsid w:val="7A11463C"/>
    <w:rsid w:val="7A1F7224"/>
    <w:rsid w:val="7A214D4A"/>
    <w:rsid w:val="7A232871"/>
    <w:rsid w:val="7A262361"/>
    <w:rsid w:val="7A4D5B40"/>
    <w:rsid w:val="7A6B4218"/>
    <w:rsid w:val="7A6D3881"/>
    <w:rsid w:val="7A7B26AD"/>
    <w:rsid w:val="7A8A01C7"/>
    <w:rsid w:val="7A927D1C"/>
    <w:rsid w:val="7AAA36FF"/>
    <w:rsid w:val="7AB81A37"/>
    <w:rsid w:val="7AB91427"/>
    <w:rsid w:val="7ABD2CC5"/>
    <w:rsid w:val="7AC73B44"/>
    <w:rsid w:val="7ACD0A2E"/>
    <w:rsid w:val="7AD348A0"/>
    <w:rsid w:val="7ADB7A18"/>
    <w:rsid w:val="7AE85868"/>
    <w:rsid w:val="7AFF2AEA"/>
    <w:rsid w:val="7B0452DC"/>
    <w:rsid w:val="7B1872A2"/>
    <w:rsid w:val="7B1D3764"/>
    <w:rsid w:val="7B215048"/>
    <w:rsid w:val="7B2F3497"/>
    <w:rsid w:val="7B3B1E3C"/>
    <w:rsid w:val="7B537186"/>
    <w:rsid w:val="7B590514"/>
    <w:rsid w:val="7B6B22FB"/>
    <w:rsid w:val="7B71585E"/>
    <w:rsid w:val="7B7610C6"/>
    <w:rsid w:val="7B774D4C"/>
    <w:rsid w:val="7B7979D7"/>
    <w:rsid w:val="7B803CF3"/>
    <w:rsid w:val="7B953D8A"/>
    <w:rsid w:val="7B95779E"/>
    <w:rsid w:val="7BA619AB"/>
    <w:rsid w:val="7BB15D7A"/>
    <w:rsid w:val="7BB2023F"/>
    <w:rsid w:val="7BB8348D"/>
    <w:rsid w:val="7BD76009"/>
    <w:rsid w:val="7BE427C9"/>
    <w:rsid w:val="7BEC3136"/>
    <w:rsid w:val="7BF546E1"/>
    <w:rsid w:val="7C046713"/>
    <w:rsid w:val="7C1770CA"/>
    <w:rsid w:val="7C296138"/>
    <w:rsid w:val="7C2F6981"/>
    <w:rsid w:val="7C442F72"/>
    <w:rsid w:val="7C443BD8"/>
    <w:rsid w:val="7C683105"/>
    <w:rsid w:val="7C7179B9"/>
    <w:rsid w:val="7C7D40E7"/>
    <w:rsid w:val="7C7E46D6"/>
    <w:rsid w:val="7C80044E"/>
    <w:rsid w:val="7C8D4919"/>
    <w:rsid w:val="7C906658"/>
    <w:rsid w:val="7C9A0DE4"/>
    <w:rsid w:val="7C9C4E59"/>
    <w:rsid w:val="7CBC548E"/>
    <w:rsid w:val="7CC80A03"/>
    <w:rsid w:val="7CCB71F0"/>
    <w:rsid w:val="7CDB655F"/>
    <w:rsid w:val="7CDD696D"/>
    <w:rsid w:val="7CF16C56"/>
    <w:rsid w:val="7CF4697E"/>
    <w:rsid w:val="7CFE5817"/>
    <w:rsid w:val="7D057903"/>
    <w:rsid w:val="7D0C1CE2"/>
    <w:rsid w:val="7D1F193A"/>
    <w:rsid w:val="7D2F777E"/>
    <w:rsid w:val="7D360B0D"/>
    <w:rsid w:val="7D374F29"/>
    <w:rsid w:val="7D41509D"/>
    <w:rsid w:val="7D423956"/>
    <w:rsid w:val="7D4C0330"/>
    <w:rsid w:val="7D4F1BCF"/>
    <w:rsid w:val="7D5176F5"/>
    <w:rsid w:val="7D552870"/>
    <w:rsid w:val="7D6E474B"/>
    <w:rsid w:val="7D6E5FB3"/>
    <w:rsid w:val="7D733B0F"/>
    <w:rsid w:val="7D8819B8"/>
    <w:rsid w:val="7D883F06"/>
    <w:rsid w:val="7D886233"/>
    <w:rsid w:val="7D8E6B9B"/>
    <w:rsid w:val="7DA04908"/>
    <w:rsid w:val="7DA17D30"/>
    <w:rsid w:val="7DA57A41"/>
    <w:rsid w:val="7DA72781"/>
    <w:rsid w:val="7DA95783"/>
    <w:rsid w:val="7DC252A0"/>
    <w:rsid w:val="7DC4436B"/>
    <w:rsid w:val="7DC51E91"/>
    <w:rsid w:val="7DCB0BE8"/>
    <w:rsid w:val="7DD547CA"/>
    <w:rsid w:val="7DDA53C2"/>
    <w:rsid w:val="7DDA593C"/>
    <w:rsid w:val="7DE14F1D"/>
    <w:rsid w:val="7DEB2D7B"/>
    <w:rsid w:val="7DF02CF2"/>
    <w:rsid w:val="7E002EC9"/>
    <w:rsid w:val="7E156974"/>
    <w:rsid w:val="7E157EA9"/>
    <w:rsid w:val="7E21356B"/>
    <w:rsid w:val="7E2F1D63"/>
    <w:rsid w:val="7E495886"/>
    <w:rsid w:val="7E553215"/>
    <w:rsid w:val="7E723DC7"/>
    <w:rsid w:val="7E867872"/>
    <w:rsid w:val="7E9A331D"/>
    <w:rsid w:val="7EA85A3A"/>
    <w:rsid w:val="7EAF6DC9"/>
    <w:rsid w:val="7EBB4818"/>
    <w:rsid w:val="7ED405DD"/>
    <w:rsid w:val="7ED607F9"/>
    <w:rsid w:val="7EDC7492"/>
    <w:rsid w:val="7EDF0647"/>
    <w:rsid w:val="7EE06F82"/>
    <w:rsid w:val="7EE8052D"/>
    <w:rsid w:val="7EFB0260"/>
    <w:rsid w:val="7EFC7B34"/>
    <w:rsid w:val="7F0A2251"/>
    <w:rsid w:val="7F0F1615"/>
    <w:rsid w:val="7F1D01D6"/>
    <w:rsid w:val="7F207CC7"/>
    <w:rsid w:val="7F286B7B"/>
    <w:rsid w:val="7F2E417B"/>
    <w:rsid w:val="7F3379FA"/>
    <w:rsid w:val="7F6D2127"/>
    <w:rsid w:val="7F7F2C3F"/>
    <w:rsid w:val="7F930498"/>
    <w:rsid w:val="7F9D4E73"/>
    <w:rsid w:val="7FA36FC3"/>
    <w:rsid w:val="7FB328E9"/>
    <w:rsid w:val="7FC916DD"/>
    <w:rsid w:val="7FC92566"/>
    <w:rsid w:val="7FD0428A"/>
    <w:rsid w:val="7FD32E2B"/>
    <w:rsid w:val="7FD36AE7"/>
    <w:rsid w:val="7FDA7EE4"/>
    <w:rsid w:val="7FE72592"/>
    <w:rsid w:val="7FF01447"/>
    <w:rsid w:val="7FF627D5"/>
    <w:rsid w:val="7FF73F34"/>
    <w:rsid w:val="7FFB58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9"/>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60"/>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61"/>
    <w:autoRedefine/>
    <w:qFormat/>
    <w:uiPriority w:val="0"/>
    <w:pPr>
      <w:keepNext/>
      <w:keepLines/>
      <w:spacing w:before="260" w:after="260" w:line="416" w:lineRule="auto"/>
      <w:outlineLvl w:val="2"/>
    </w:pPr>
    <w:rPr>
      <w:b/>
      <w:bCs/>
      <w:kern w:val="0"/>
      <w:sz w:val="32"/>
      <w:szCs w:val="32"/>
    </w:rPr>
  </w:style>
  <w:style w:type="paragraph" w:styleId="6">
    <w:name w:val="heading 4"/>
    <w:basedOn w:val="1"/>
    <w:next w:val="1"/>
    <w:autoRedefine/>
    <w:semiHidden/>
    <w:unhideWhenUsed/>
    <w:qFormat/>
    <w:uiPriority w:val="9"/>
    <w:pPr>
      <w:spacing w:beforeAutospacing="1" w:afterAutospacing="1"/>
      <w:jc w:val="left"/>
      <w:outlineLvl w:val="3"/>
    </w:pPr>
    <w:rPr>
      <w:rFonts w:hint="eastAsia" w:ascii="宋体" w:hAnsi="宋体"/>
      <w:b/>
      <w:bCs/>
      <w:kern w:val="0"/>
      <w:sz w:val="24"/>
    </w:rPr>
  </w:style>
  <w:style w:type="paragraph" w:styleId="7">
    <w:name w:val="heading 5"/>
    <w:basedOn w:val="1"/>
    <w:next w:val="1"/>
    <w:link w:val="62"/>
    <w:autoRedefine/>
    <w:qFormat/>
    <w:uiPriority w:val="0"/>
    <w:pPr>
      <w:keepNext/>
      <w:keepLines/>
      <w:spacing w:before="280" w:after="290" w:line="376" w:lineRule="auto"/>
      <w:outlineLvl w:val="4"/>
    </w:pPr>
    <w:rPr>
      <w:b/>
      <w:sz w:val="28"/>
    </w:rPr>
  </w:style>
  <w:style w:type="paragraph" w:styleId="8">
    <w:name w:val="heading 6"/>
    <w:basedOn w:val="1"/>
    <w:next w:val="1"/>
    <w:link w:val="63"/>
    <w:autoRedefine/>
    <w:qFormat/>
    <w:uiPriority w:val="0"/>
    <w:pPr>
      <w:keepNext/>
      <w:keepLines/>
      <w:spacing w:before="240" w:after="64" w:line="320" w:lineRule="auto"/>
      <w:outlineLvl w:val="5"/>
    </w:pPr>
    <w:rPr>
      <w:rFonts w:ascii="Arial" w:hAnsi="Arial" w:eastAsia="黑体"/>
      <w:b/>
      <w:sz w:val="24"/>
    </w:rPr>
  </w:style>
  <w:style w:type="paragraph" w:styleId="9">
    <w:name w:val="heading 7"/>
    <w:basedOn w:val="1"/>
    <w:next w:val="10"/>
    <w:link w:val="64"/>
    <w:autoRedefine/>
    <w:qFormat/>
    <w:uiPriority w:val="0"/>
    <w:pPr>
      <w:keepNext/>
      <w:keepLines/>
      <w:spacing w:before="240" w:after="64" w:line="320" w:lineRule="auto"/>
      <w:outlineLvl w:val="6"/>
    </w:pPr>
    <w:rPr>
      <w:b/>
      <w:sz w:val="24"/>
    </w:rPr>
  </w:style>
  <w:style w:type="paragraph" w:styleId="11">
    <w:name w:val="heading 8"/>
    <w:basedOn w:val="1"/>
    <w:next w:val="10"/>
    <w:link w:val="65"/>
    <w:autoRedefine/>
    <w:qFormat/>
    <w:uiPriority w:val="0"/>
    <w:pPr>
      <w:keepNext/>
      <w:keepLines/>
      <w:spacing w:before="240" w:after="64" w:line="320" w:lineRule="auto"/>
      <w:outlineLvl w:val="7"/>
    </w:pPr>
    <w:rPr>
      <w:rFonts w:ascii="Arial" w:hAnsi="Arial" w:eastAsia="黑体"/>
      <w:sz w:val="24"/>
    </w:rPr>
  </w:style>
  <w:style w:type="paragraph" w:styleId="12">
    <w:name w:val="heading 9"/>
    <w:basedOn w:val="1"/>
    <w:next w:val="10"/>
    <w:link w:val="66"/>
    <w:autoRedefine/>
    <w:qFormat/>
    <w:uiPriority w:val="0"/>
    <w:pPr>
      <w:keepNext/>
      <w:keepLines/>
      <w:spacing w:before="240" w:after="64" w:line="320" w:lineRule="auto"/>
      <w:outlineLvl w:val="8"/>
    </w:pPr>
    <w:rPr>
      <w:rFonts w:ascii="Arial" w:hAnsi="Arial" w:eastAsia="黑体"/>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index 1"/>
    <w:basedOn w:val="1"/>
    <w:next w:val="1"/>
    <w:autoRedefine/>
    <w:semiHidden/>
    <w:qFormat/>
    <w:uiPriority w:val="0"/>
    <w:pPr>
      <w:spacing w:line="400" w:lineRule="exact"/>
      <w:ind w:firstLine="420" w:firstLineChars="200"/>
    </w:pPr>
    <w:rPr>
      <w:rFonts w:ascii="宋体" w:hAnsi="Courier New"/>
      <w:b/>
      <w:szCs w:val="20"/>
    </w:rPr>
  </w:style>
  <w:style w:type="paragraph" w:styleId="10">
    <w:name w:val="Normal Indent"/>
    <w:basedOn w:val="1"/>
    <w:autoRedefine/>
    <w:qFormat/>
    <w:uiPriority w:val="0"/>
    <w:pPr>
      <w:ind w:firstLine="420"/>
    </w:pPr>
    <w:rPr>
      <w:szCs w:val="20"/>
    </w:rPr>
  </w:style>
  <w:style w:type="paragraph" w:styleId="13">
    <w:name w:val="toc 7"/>
    <w:basedOn w:val="1"/>
    <w:next w:val="1"/>
    <w:autoRedefine/>
    <w:unhideWhenUsed/>
    <w:qFormat/>
    <w:uiPriority w:val="39"/>
    <w:pPr>
      <w:ind w:left="2520" w:leftChars="1200"/>
    </w:pPr>
    <w:rPr>
      <w:rFonts w:ascii="Calibri" w:hAnsi="Calibri"/>
      <w:szCs w:val="22"/>
    </w:rPr>
  </w:style>
  <w:style w:type="paragraph" w:styleId="14">
    <w:name w:val="List Number"/>
    <w:basedOn w:val="1"/>
    <w:autoRedefine/>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autoRedefine/>
    <w:qFormat/>
    <w:uiPriority w:val="0"/>
    <w:pPr>
      <w:spacing w:before="152" w:after="160"/>
    </w:pPr>
    <w:rPr>
      <w:rFonts w:ascii="Arial" w:hAnsi="Arial" w:eastAsia="黑体" w:cs="Arial"/>
      <w:sz w:val="20"/>
      <w:szCs w:val="20"/>
    </w:rPr>
  </w:style>
  <w:style w:type="paragraph" w:styleId="16">
    <w:name w:val="Document Map"/>
    <w:basedOn w:val="1"/>
    <w:link w:val="67"/>
    <w:autoRedefine/>
    <w:unhideWhenUsed/>
    <w:qFormat/>
    <w:uiPriority w:val="0"/>
    <w:pPr>
      <w:shd w:val="clear" w:color="auto" w:fill="000080"/>
    </w:pPr>
    <w:rPr>
      <w:rFonts w:hint="eastAsia" w:ascii="宋体" w:hAnsi="宋体"/>
      <w:kern w:val="0"/>
      <w:sz w:val="20"/>
      <w:szCs w:val="20"/>
    </w:rPr>
  </w:style>
  <w:style w:type="paragraph" w:styleId="17">
    <w:name w:val="annotation text"/>
    <w:basedOn w:val="1"/>
    <w:link w:val="68"/>
    <w:autoRedefine/>
    <w:unhideWhenUsed/>
    <w:qFormat/>
    <w:uiPriority w:val="0"/>
    <w:pPr>
      <w:jc w:val="left"/>
    </w:pPr>
  </w:style>
  <w:style w:type="paragraph" w:styleId="18">
    <w:name w:val="Body Text 3"/>
    <w:basedOn w:val="1"/>
    <w:link w:val="69"/>
    <w:autoRedefine/>
    <w:qFormat/>
    <w:uiPriority w:val="0"/>
    <w:pPr>
      <w:spacing w:line="500" w:lineRule="exact"/>
    </w:pPr>
    <w:rPr>
      <w:b/>
      <w:bCs/>
      <w:kern w:val="0"/>
      <w:sz w:val="24"/>
    </w:rPr>
  </w:style>
  <w:style w:type="paragraph" w:styleId="19">
    <w:name w:val="Body Text"/>
    <w:basedOn w:val="1"/>
    <w:next w:val="20"/>
    <w:link w:val="70"/>
    <w:autoRedefine/>
    <w:qFormat/>
    <w:uiPriority w:val="99"/>
    <w:pPr>
      <w:spacing w:line="380" w:lineRule="exact"/>
    </w:pPr>
    <w:rPr>
      <w:kern w:val="0"/>
      <w:sz w:val="24"/>
    </w:rPr>
  </w:style>
  <w:style w:type="paragraph" w:styleId="20">
    <w:name w:val="Body Text First Indent 2"/>
    <w:basedOn w:val="21"/>
    <w:next w:val="1"/>
    <w:autoRedefine/>
    <w:unhideWhenUsed/>
    <w:qFormat/>
    <w:uiPriority w:val="99"/>
    <w:pPr>
      <w:ind w:firstLine="420" w:firstLineChars="200"/>
    </w:pPr>
  </w:style>
  <w:style w:type="paragraph" w:styleId="21">
    <w:name w:val="Body Text Indent"/>
    <w:basedOn w:val="1"/>
    <w:link w:val="71"/>
    <w:autoRedefine/>
    <w:qFormat/>
    <w:uiPriority w:val="0"/>
    <w:pPr>
      <w:ind w:firstLine="830" w:firstLineChars="352"/>
    </w:pPr>
    <w:rPr>
      <w:rFonts w:ascii="仿宋_GB2312" w:eastAsia="仿宋_GB2312"/>
      <w:kern w:val="0"/>
      <w:sz w:val="32"/>
      <w:szCs w:val="20"/>
    </w:rPr>
  </w:style>
  <w:style w:type="paragraph" w:styleId="22">
    <w:name w:val="List Number 3"/>
    <w:basedOn w:val="1"/>
    <w:autoRedefine/>
    <w:qFormat/>
    <w:uiPriority w:val="0"/>
    <w:pPr>
      <w:tabs>
        <w:tab w:val="left" w:pos="1200"/>
      </w:tabs>
      <w:ind w:left="1200" w:hanging="360"/>
    </w:pPr>
  </w:style>
  <w:style w:type="paragraph" w:styleId="23">
    <w:name w:val="List 2"/>
    <w:basedOn w:val="1"/>
    <w:autoRedefine/>
    <w:qFormat/>
    <w:uiPriority w:val="0"/>
    <w:pPr>
      <w:ind w:left="100" w:leftChars="200" w:hanging="200" w:hangingChars="200"/>
    </w:pPr>
    <w:rPr>
      <w:sz w:val="28"/>
    </w:rPr>
  </w:style>
  <w:style w:type="paragraph" w:styleId="24">
    <w:name w:val="toc 5"/>
    <w:basedOn w:val="1"/>
    <w:next w:val="1"/>
    <w:autoRedefine/>
    <w:unhideWhenUsed/>
    <w:qFormat/>
    <w:uiPriority w:val="39"/>
    <w:pPr>
      <w:ind w:left="1680" w:leftChars="800"/>
    </w:pPr>
    <w:rPr>
      <w:rFonts w:ascii="Calibri" w:hAnsi="Calibri"/>
      <w:szCs w:val="22"/>
    </w:rPr>
  </w:style>
  <w:style w:type="paragraph" w:styleId="25">
    <w:name w:val="toc 3"/>
    <w:basedOn w:val="1"/>
    <w:next w:val="1"/>
    <w:autoRedefine/>
    <w:unhideWhenUsed/>
    <w:qFormat/>
    <w:uiPriority w:val="39"/>
    <w:pPr>
      <w:ind w:left="840" w:leftChars="400"/>
    </w:pPr>
    <w:rPr>
      <w:rFonts w:ascii="Calibri" w:hAnsi="Calibri"/>
      <w:szCs w:val="22"/>
    </w:rPr>
  </w:style>
  <w:style w:type="paragraph" w:styleId="26">
    <w:name w:val="Plain Text"/>
    <w:basedOn w:val="1"/>
    <w:next w:val="6"/>
    <w:link w:val="72"/>
    <w:autoRedefine/>
    <w:qFormat/>
    <w:uiPriority w:val="0"/>
    <w:rPr>
      <w:rFonts w:ascii="宋体" w:hAnsi="Courier New"/>
      <w:kern w:val="0"/>
      <w:sz w:val="20"/>
      <w:szCs w:val="21"/>
    </w:rPr>
  </w:style>
  <w:style w:type="paragraph" w:styleId="27">
    <w:name w:val="toc 8"/>
    <w:basedOn w:val="1"/>
    <w:next w:val="1"/>
    <w:autoRedefine/>
    <w:unhideWhenUsed/>
    <w:qFormat/>
    <w:uiPriority w:val="39"/>
    <w:pPr>
      <w:ind w:left="2940" w:leftChars="1400"/>
    </w:pPr>
    <w:rPr>
      <w:rFonts w:ascii="Calibri" w:hAnsi="Calibri"/>
      <w:szCs w:val="22"/>
    </w:rPr>
  </w:style>
  <w:style w:type="paragraph" w:styleId="28">
    <w:name w:val="Date"/>
    <w:basedOn w:val="1"/>
    <w:next w:val="1"/>
    <w:link w:val="73"/>
    <w:autoRedefine/>
    <w:qFormat/>
    <w:uiPriority w:val="0"/>
    <w:pPr>
      <w:ind w:left="100" w:leftChars="2500"/>
    </w:pPr>
    <w:rPr>
      <w:rFonts w:ascii="宋体" w:hAnsi="Courier New"/>
      <w:kern w:val="0"/>
      <w:sz w:val="20"/>
      <w:szCs w:val="21"/>
    </w:rPr>
  </w:style>
  <w:style w:type="paragraph" w:styleId="29">
    <w:name w:val="Body Text Indent 2"/>
    <w:basedOn w:val="1"/>
    <w:link w:val="74"/>
    <w:autoRedefine/>
    <w:qFormat/>
    <w:uiPriority w:val="0"/>
    <w:pPr>
      <w:ind w:firstLine="630"/>
    </w:pPr>
    <w:rPr>
      <w:kern w:val="0"/>
      <w:sz w:val="32"/>
      <w:szCs w:val="20"/>
    </w:rPr>
  </w:style>
  <w:style w:type="paragraph" w:styleId="30">
    <w:name w:val="endnote text"/>
    <w:basedOn w:val="1"/>
    <w:link w:val="75"/>
    <w:autoRedefine/>
    <w:unhideWhenUsed/>
    <w:qFormat/>
    <w:uiPriority w:val="99"/>
    <w:pPr>
      <w:snapToGrid w:val="0"/>
      <w:jc w:val="left"/>
    </w:pPr>
  </w:style>
  <w:style w:type="paragraph" w:styleId="31">
    <w:name w:val="Balloon Text"/>
    <w:basedOn w:val="1"/>
    <w:link w:val="76"/>
    <w:autoRedefine/>
    <w:semiHidden/>
    <w:qFormat/>
    <w:uiPriority w:val="0"/>
    <w:rPr>
      <w:kern w:val="0"/>
      <w:sz w:val="18"/>
      <w:szCs w:val="18"/>
    </w:rPr>
  </w:style>
  <w:style w:type="paragraph" w:styleId="32">
    <w:name w:val="footer"/>
    <w:basedOn w:val="1"/>
    <w:link w:val="77"/>
    <w:autoRedefine/>
    <w:unhideWhenUsed/>
    <w:qFormat/>
    <w:uiPriority w:val="99"/>
    <w:pPr>
      <w:tabs>
        <w:tab w:val="center" w:pos="4153"/>
        <w:tab w:val="right" w:pos="8306"/>
      </w:tabs>
      <w:snapToGrid w:val="0"/>
      <w:jc w:val="left"/>
    </w:pPr>
    <w:rPr>
      <w:kern w:val="0"/>
      <w:sz w:val="18"/>
      <w:szCs w:val="18"/>
    </w:rPr>
  </w:style>
  <w:style w:type="paragraph" w:styleId="33">
    <w:name w:val="header"/>
    <w:basedOn w:val="1"/>
    <w:link w:val="78"/>
    <w:autoRedefine/>
    <w:unhideWhenUsed/>
    <w:qFormat/>
    <w:uiPriority w:val="99"/>
    <w:pPr>
      <w:pBdr>
        <w:bottom w:val="single" w:color="auto" w:sz="6" w:space="1"/>
      </w:pBdr>
      <w:tabs>
        <w:tab w:val="center" w:pos="0"/>
        <w:tab w:val="left" w:pos="8306"/>
      </w:tabs>
      <w:snapToGrid w:val="0"/>
      <w:jc w:val="center"/>
    </w:pPr>
    <w:rPr>
      <w:sz w:val="18"/>
      <w:szCs w:val="18"/>
    </w:rPr>
  </w:style>
  <w:style w:type="paragraph" w:styleId="34">
    <w:name w:val="toc 1"/>
    <w:basedOn w:val="1"/>
    <w:next w:val="1"/>
    <w:autoRedefine/>
    <w:qFormat/>
    <w:uiPriority w:val="39"/>
    <w:pPr>
      <w:tabs>
        <w:tab w:val="right" w:leader="dot" w:pos="8398"/>
      </w:tabs>
      <w:spacing w:before="120" w:after="120"/>
      <w:ind w:firstLine="240" w:firstLineChars="100"/>
      <w:jc w:val="left"/>
    </w:pPr>
    <w:rPr>
      <w:rFonts w:ascii="宋体" w:hAnsi="宋体"/>
      <w:b/>
      <w:bCs/>
      <w:caps/>
      <w:sz w:val="24"/>
    </w:rPr>
  </w:style>
  <w:style w:type="paragraph" w:styleId="35">
    <w:name w:val="toc 4"/>
    <w:basedOn w:val="1"/>
    <w:next w:val="1"/>
    <w:autoRedefine/>
    <w:unhideWhenUsed/>
    <w:qFormat/>
    <w:uiPriority w:val="39"/>
    <w:pPr>
      <w:ind w:left="1260" w:leftChars="600"/>
    </w:pPr>
    <w:rPr>
      <w:rFonts w:ascii="Calibri" w:hAnsi="Calibri"/>
      <w:szCs w:val="22"/>
    </w:rPr>
  </w:style>
  <w:style w:type="paragraph" w:styleId="36">
    <w:name w:val="List"/>
    <w:basedOn w:val="1"/>
    <w:autoRedefine/>
    <w:qFormat/>
    <w:uiPriority w:val="0"/>
    <w:pPr>
      <w:ind w:left="200" w:hanging="200" w:hangingChars="200"/>
    </w:pPr>
    <w:rPr>
      <w:sz w:val="28"/>
    </w:rPr>
  </w:style>
  <w:style w:type="paragraph" w:styleId="37">
    <w:name w:val="footnote text"/>
    <w:basedOn w:val="1"/>
    <w:link w:val="79"/>
    <w:autoRedefine/>
    <w:unhideWhenUsed/>
    <w:qFormat/>
    <w:uiPriority w:val="99"/>
    <w:pPr>
      <w:snapToGrid w:val="0"/>
      <w:jc w:val="left"/>
    </w:pPr>
    <w:rPr>
      <w:sz w:val="18"/>
      <w:szCs w:val="18"/>
    </w:rPr>
  </w:style>
  <w:style w:type="paragraph" w:styleId="38">
    <w:name w:val="toc 6"/>
    <w:basedOn w:val="1"/>
    <w:next w:val="1"/>
    <w:autoRedefine/>
    <w:unhideWhenUsed/>
    <w:qFormat/>
    <w:uiPriority w:val="39"/>
    <w:pPr>
      <w:ind w:left="2100" w:leftChars="1000"/>
    </w:pPr>
    <w:rPr>
      <w:rFonts w:ascii="Calibri" w:hAnsi="Calibri"/>
      <w:szCs w:val="22"/>
    </w:rPr>
  </w:style>
  <w:style w:type="paragraph" w:styleId="39">
    <w:name w:val="Body Text Indent 3"/>
    <w:basedOn w:val="1"/>
    <w:link w:val="80"/>
    <w:autoRedefine/>
    <w:qFormat/>
    <w:uiPriority w:val="0"/>
    <w:pPr>
      <w:spacing w:after="120"/>
      <w:ind w:left="420" w:leftChars="200"/>
    </w:pPr>
    <w:rPr>
      <w:kern w:val="0"/>
      <w:sz w:val="16"/>
      <w:szCs w:val="16"/>
    </w:rPr>
  </w:style>
  <w:style w:type="paragraph" w:styleId="40">
    <w:name w:val="toc 2"/>
    <w:basedOn w:val="1"/>
    <w:next w:val="1"/>
    <w:autoRedefine/>
    <w:unhideWhenUsed/>
    <w:qFormat/>
    <w:uiPriority w:val="39"/>
    <w:pPr>
      <w:ind w:left="420" w:leftChars="200"/>
    </w:pPr>
  </w:style>
  <w:style w:type="paragraph" w:styleId="41">
    <w:name w:val="toc 9"/>
    <w:basedOn w:val="1"/>
    <w:next w:val="1"/>
    <w:autoRedefine/>
    <w:unhideWhenUsed/>
    <w:qFormat/>
    <w:uiPriority w:val="39"/>
    <w:pPr>
      <w:ind w:left="3360" w:leftChars="1600"/>
    </w:pPr>
    <w:rPr>
      <w:rFonts w:ascii="Calibri" w:hAnsi="Calibri"/>
      <w:szCs w:val="22"/>
    </w:rPr>
  </w:style>
  <w:style w:type="paragraph" w:styleId="42">
    <w:name w:val="Body Text 2"/>
    <w:basedOn w:val="1"/>
    <w:link w:val="81"/>
    <w:autoRedefine/>
    <w:qFormat/>
    <w:uiPriority w:val="0"/>
    <w:pPr>
      <w:spacing w:after="120" w:line="480" w:lineRule="auto"/>
    </w:pPr>
    <w:rPr>
      <w:kern w:val="0"/>
      <w:sz w:val="20"/>
    </w:rPr>
  </w:style>
  <w:style w:type="paragraph" w:styleId="43">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44">
    <w:name w:val="Title"/>
    <w:basedOn w:val="1"/>
    <w:next w:val="1"/>
    <w:link w:val="82"/>
    <w:autoRedefine/>
    <w:qFormat/>
    <w:uiPriority w:val="10"/>
    <w:pPr>
      <w:spacing w:before="240" w:after="60"/>
      <w:jc w:val="center"/>
      <w:outlineLvl w:val="0"/>
    </w:pPr>
    <w:rPr>
      <w:rFonts w:ascii="Cambria" w:hAnsi="Cambria"/>
      <w:b/>
      <w:bCs/>
      <w:sz w:val="32"/>
      <w:szCs w:val="32"/>
    </w:rPr>
  </w:style>
  <w:style w:type="paragraph" w:styleId="45">
    <w:name w:val="annotation subject"/>
    <w:basedOn w:val="17"/>
    <w:next w:val="17"/>
    <w:link w:val="83"/>
    <w:autoRedefine/>
    <w:unhideWhenUsed/>
    <w:qFormat/>
    <w:uiPriority w:val="99"/>
    <w:rPr>
      <w:b/>
      <w:bCs/>
    </w:rPr>
  </w:style>
  <w:style w:type="paragraph" w:styleId="46">
    <w:name w:val="Body Text First Indent"/>
    <w:basedOn w:val="19"/>
    <w:autoRedefine/>
    <w:qFormat/>
    <w:uiPriority w:val="0"/>
    <w:pPr>
      <w:widowControl/>
      <w:wordWrap w:val="0"/>
      <w:topLinePunct/>
      <w:spacing w:line="600" w:lineRule="exact"/>
      <w:ind w:firstLine="880" w:firstLineChars="200"/>
      <w:jc w:val="left"/>
      <w:textAlignment w:val="baseline"/>
    </w:pPr>
    <w:rPr>
      <w:rFonts w:eastAsia="仿宋_GB2312"/>
      <w:sz w:val="32"/>
      <w:lang w:eastAsia="en-US"/>
    </w:rPr>
  </w:style>
  <w:style w:type="table" w:styleId="48">
    <w:name w:val="Table Grid"/>
    <w:basedOn w:val="4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basedOn w:val="49"/>
    <w:autoRedefine/>
    <w:qFormat/>
    <w:uiPriority w:val="22"/>
    <w:rPr>
      <w:b/>
      <w:bCs/>
    </w:rPr>
  </w:style>
  <w:style w:type="character" w:styleId="51">
    <w:name w:val="endnote reference"/>
    <w:autoRedefine/>
    <w:unhideWhenUsed/>
    <w:qFormat/>
    <w:uiPriority w:val="99"/>
    <w:rPr>
      <w:vertAlign w:val="superscript"/>
    </w:rPr>
  </w:style>
  <w:style w:type="character" w:styleId="52">
    <w:name w:val="page number"/>
    <w:autoRedefine/>
    <w:qFormat/>
    <w:uiPriority w:val="0"/>
  </w:style>
  <w:style w:type="character" w:styleId="53">
    <w:name w:val="FollowedHyperlink"/>
    <w:autoRedefine/>
    <w:qFormat/>
    <w:uiPriority w:val="0"/>
    <w:rPr>
      <w:color w:val="000000"/>
      <w:u w:val="none"/>
    </w:rPr>
  </w:style>
  <w:style w:type="character" w:styleId="54">
    <w:name w:val="Hyperlink"/>
    <w:autoRedefine/>
    <w:qFormat/>
    <w:uiPriority w:val="99"/>
    <w:rPr>
      <w:color w:val="000000"/>
      <w:u w:val="none"/>
    </w:rPr>
  </w:style>
  <w:style w:type="character" w:styleId="55">
    <w:name w:val="annotation reference"/>
    <w:autoRedefine/>
    <w:unhideWhenUsed/>
    <w:qFormat/>
    <w:uiPriority w:val="0"/>
    <w:rPr>
      <w:sz w:val="21"/>
      <w:szCs w:val="21"/>
    </w:rPr>
  </w:style>
  <w:style w:type="character" w:styleId="56">
    <w:name w:val="footnote reference"/>
    <w:autoRedefine/>
    <w:unhideWhenUsed/>
    <w:qFormat/>
    <w:uiPriority w:val="99"/>
    <w:rPr>
      <w:vertAlign w:val="superscript"/>
    </w:rPr>
  </w:style>
  <w:style w:type="paragraph" w:customStyle="1" w:styleId="57">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8">
    <w:name w:val="表格文字"/>
    <w:basedOn w:val="1"/>
    <w:next w:val="19"/>
    <w:qFormat/>
    <w:uiPriority w:val="0"/>
    <w:pPr>
      <w:spacing w:before="25" w:after="25"/>
      <w:jc w:val="left"/>
    </w:pPr>
    <w:rPr>
      <w:bCs/>
      <w:spacing w:val="10"/>
      <w:kern w:val="0"/>
      <w:sz w:val="24"/>
    </w:rPr>
  </w:style>
  <w:style w:type="character" w:customStyle="1" w:styleId="59">
    <w:name w:val="标题 1 Char"/>
    <w:link w:val="3"/>
    <w:autoRedefine/>
    <w:qFormat/>
    <w:uiPriority w:val="0"/>
    <w:rPr>
      <w:rFonts w:ascii="Times New Roman" w:hAnsi="Times New Roman" w:eastAsia="宋体" w:cs="Times New Roman"/>
      <w:b/>
      <w:bCs/>
      <w:kern w:val="44"/>
      <w:sz w:val="44"/>
      <w:szCs w:val="44"/>
    </w:rPr>
  </w:style>
  <w:style w:type="character" w:customStyle="1" w:styleId="60">
    <w:name w:val="标题 2 Char"/>
    <w:link w:val="4"/>
    <w:autoRedefine/>
    <w:qFormat/>
    <w:uiPriority w:val="0"/>
    <w:rPr>
      <w:rFonts w:ascii="Arial" w:hAnsi="Arial" w:eastAsia="黑体" w:cs="Times New Roman"/>
      <w:b/>
      <w:bCs/>
      <w:sz w:val="32"/>
      <w:szCs w:val="32"/>
    </w:rPr>
  </w:style>
  <w:style w:type="character" w:customStyle="1" w:styleId="61">
    <w:name w:val="标题 3 Char"/>
    <w:link w:val="5"/>
    <w:autoRedefine/>
    <w:qFormat/>
    <w:uiPriority w:val="0"/>
    <w:rPr>
      <w:rFonts w:ascii="Times New Roman" w:hAnsi="Times New Roman" w:eastAsia="宋体" w:cs="Times New Roman"/>
      <w:b/>
      <w:bCs/>
      <w:sz w:val="32"/>
      <w:szCs w:val="32"/>
    </w:rPr>
  </w:style>
  <w:style w:type="character" w:customStyle="1" w:styleId="62">
    <w:name w:val="标题 5 Char1"/>
    <w:link w:val="7"/>
    <w:autoRedefine/>
    <w:qFormat/>
    <w:uiPriority w:val="0"/>
    <w:rPr>
      <w:b/>
      <w:kern w:val="2"/>
      <w:sz w:val="28"/>
      <w:szCs w:val="24"/>
    </w:rPr>
  </w:style>
  <w:style w:type="character" w:customStyle="1" w:styleId="63">
    <w:name w:val="标题 6 Char"/>
    <w:link w:val="8"/>
    <w:autoRedefine/>
    <w:qFormat/>
    <w:uiPriority w:val="0"/>
    <w:rPr>
      <w:rFonts w:ascii="Arial" w:hAnsi="Arial" w:eastAsia="黑体"/>
      <w:b/>
      <w:kern w:val="2"/>
      <w:sz w:val="24"/>
      <w:szCs w:val="24"/>
    </w:rPr>
  </w:style>
  <w:style w:type="character" w:customStyle="1" w:styleId="64">
    <w:name w:val="标题 7 Char"/>
    <w:link w:val="9"/>
    <w:autoRedefine/>
    <w:qFormat/>
    <w:uiPriority w:val="0"/>
    <w:rPr>
      <w:b/>
      <w:kern w:val="2"/>
      <w:sz w:val="24"/>
      <w:szCs w:val="24"/>
    </w:rPr>
  </w:style>
  <w:style w:type="character" w:customStyle="1" w:styleId="65">
    <w:name w:val="标题 8 Char"/>
    <w:link w:val="11"/>
    <w:autoRedefine/>
    <w:qFormat/>
    <w:uiPriority w:val="0"/>
    <w:rPr>
      <w:rFonts w:ascii="Arial" w:hAnsi="Arial" w:eastAsia="黑体"/>
      <w:kern w:val="2"/>
      <w:sz w:val="24"/>
      <w:szCs w:val="24"/>
    </w:rPr>
  </w:style>
  <w:style w:type="character" w:customStyle="1" w:styleId="66">
    <w:name w:val="标题 9 Char"/>
    <w:link w:val="12"/>
    <w:autoRedefine/>
    <w:qFormat/>
    <w:uiPriority w:val="0"/>
    <w:rPr>
      <w:rFonts w:ascii="Arial" w:hAnsi="Arial" w:eastAsia="黑体"/>
      <w:kern w:val="2"/>
      <w:sz w:val="21"/>
      <w:szCs w:val="24"/>
    </w:rPr>
  </w:style>
  <w:style w:type="character" w:customStyle="1" w:styleId="67">
    <w:name w:val="文档结构图 Char"/>
    <w:link w:val="16"/>
    <w:autoRedefine/>
    <w:qFormat/>
    <w:uiPriority w:val="0"/>
    <w:rPr>
      <w:rFonts w:hint="eastAsia" w:ascii="宋体" w:hAnsi="宋体" w:eastAsia="宋体" w:cs="宋体"/>
    </w:rPr>
  </w:style>
  <w:style w:type="character" w:customStyle="1" w:styleId="68">
    <w:name w:val="批注文字 Char2"/>
    <w:link w:val="17"/>
    <w:autoRedefine/>
    <w:qFormat/>
    <w:uiPriority w:val="0"/>
    <w:rPr>
      <w:rFonts w:ascii="Times New Roman" w:hAnsi="Times New Roman"/>
      <w:kern w:val="2"/>
      <w:sz w:val="21"/>
      <w:szCs w:val="24"/>
    </w:rPr>
  </w:style>
  <w:style w:type="character" w:customStyle="1" w:styleId="69">
    <w:name w:val="正文文本 3 Char"/>
    <w:link w:val="18"/>
    <w:autoRedefine/>
    <w:qFormat/>
    <w:uiPriority w:val="0"/>
    <w:rPr>
      <w:rFonts w:ascii="Times New Roman" w:hAnsi="Times New Roman" w:eastAsia="宋体" w:cs="Times New Roman"/>
      <w:b/>
      <w:bCs/>
      <w:sz w:val="24"/>
      <w:szCs w:val="24"/>
    </w:rPr>
  </w:style>
  <w:style w:type="character" w:customStyle="1" w:styleId="70">
    <w:name w:val="正文文本 Char"/>
    <w:link w:val="19"/>
    <w:autoRedefine/>
    <w:qFormat/>
    <w:uiPriority w:val="99"/>
    <w:rPr>
      <w:rFonts w:ascii="Times New Roman" w:hAnsi="Times New Roman" w:eastAsia="宋体" w:cs="Times New Roman"/>
      <w:sz w:val="24"/>
      <w:szCs w:val="24"/>
    </w:rPr>
  </w:style>
  <w:style w:type="character" w:customStyle="1" w:styleId="71">
    <w:name w:val="正文文本缩进 Char"/>
    <w:link w:val="21"/>
    <w:autoRedefine/>
    <w:qFormat/>
    <w:uiPriority w:val="0"/>
    <w:rPr>
      <w:rFonts w:ascii="仿宋_GB2312" w:hAnsi="Times New Roman" w:eastAsia="仿宋_GB2312" w:cs="Times New Roman"/>
      <w:sz w:val="32"/>
      <w:szCs w:val="20"/>
    </w:rPr>
  </w:style>
  <w:style w:type="character" w:customStyle="1" w:styleId="72">
    <w:name w:val="纯文本 Char1"/>
    <w:link w:val="26"/>
    <w:autoRedefine/>
    <w:qFormat/>
    <w:uiPriority w:val="0"/>
    <w:rPr>
      <w:rFonts w:ascii="宋体" w:hAnsi="Courier New" w:eastAsia="宋体" w:cs="Courier New"/>
      <w:szCs w:val="21"/>
    </w:rPr>
  </w:style>
  <w:style w:type="character" w:customStyle="1" w:styleId="73">
    <w:name w:val="日期 Char"/>
    <w:link w:val="28"/>
    <w:autoRedefine/>
    <w:qFormat/>
    <w:uiPriority w:val="0"/>
    <w:rPr>
      <w:rFonts w:ascii="宋体" w:hAnsi="Courier New" w:eastAsia="宋体" w:cs="Courier New"/>
      <w:szCs w:val="21"/>
    </w:rPr>
  </w:style>
  <w:style w:type="character" w:customStyle="1" w:styleId="74">
    <w:name w:val="正文文本缩进 2 Char"/>
    <w:link w:val="29"/>
    <w:autoRedefine/>
    <w:qFormat/>
    <w:uiPriority w:val="0"/>
    <w:rPr>
      <w:rFonts w:ascii="Times New Roman" w:hAnsi="Times New Roman" w:eastAsia="宋体" w:cs="Times New Roman"/>
      <w:sz w:val="32"/>
      <w:szCs w:val="20"/>
    </w:rPr>
  </w:style>
  <w:style w:type="character" w:customStyle="1" w:styleId="75">
    <w:name w:val="尾注文本 Char"/>
    <w:link w:val="30"/>
    <w:autoRedefine/>
    <w:semiHidden/>
    <w:qFormat/>
    <w:uiPriority w:val="99"/>
    <w:rPr>
      <w:rFonts w:ascii="Times New Roman" w:hAnsi="Times New Roman"/>
      <w:kern w:val="2"/>
      <w:sz w:val="21"/>
      <w:szCs w:val="24"/>
    </w:rPr>
  </w:style>
  <w:style w:type="character" w:customStyle="1" w:styleId="76">
    <w:name w:val="批注框文本 Char"/>
    <w:link w:val="31"/>
    <w:autoRedefine/>
    <w:semiHidden/>
    <w:qFormat/>
    <w:uiPriority w:val="0"/>
    <w:rPr>
      <w:rFonts w:ascii="Times New Roman" w:hAnsi="Times New Roman" w:eastAsia="宋体" w:cs="Times New Roman"/>
      <w:sz w:val="18"/>
      <w:szCs w:val="18"/>
    </w:rPr>
  </w:style>
  <w:style w:type="character" w:customStyle="1" w:styleId="77">
    <w:name w:val="页脚 Char"/>
    <w:link w:val="32"/>
    <w:autoRedefine/>
    <w:qFormat/>
    <w:uiPriority w:val="99"/>
    <w:rPr>
      <w:sz w:val="18"/>
      <w:szCs w:val="18"/>
    </w:rPr>
  </w:style>
  <w:style w:type="character" w:customStyle="1" w:styleId="78">
    <w:name w:val="页眉 Char"/>
    <w:link w:val="33"/>
    <w:autoRedefine/>
    <w:qFormat/>
    <w:uiPriority w:val="99"/>
    <w:rPr>
      <w:rFonts w:ascii="Times New Roman" w:hAnsi="Times New Roman"/>
      <w:kern w:val="2"/>
      <w:sz w:val="18"/>
      <w:szCs w:val="18"/>
    </w:rPr>
  </w:style>
  <w:style w:type="character" w:customStyle="1" w:styleId="79">
    <w:name w:val="脚注文本 Char"/>
    <w:link w:val="37"/>
    <w:autoRedefine/>
    <w:semiHidden/>
    <w:qFormat/>
    <w:uiPriority w:val="99"/>
    <w:rPr>
      <w:rFonts w:ascii="Times New Roman" w:hAnsi="Times New Roman"/>
      <w:kern w:val="2"/>
      <w:sz w:val="18"/>
      <w:szCs w:val="18"/>
    </w:rPr>
  </w:style>
  <w:style w:type="character" w:customStyle="1" w:styleId="80">
    <w:name w:val="正文文本缩进 3 Char"/>
    <w:link w:val="39"/>
    <w:autoRedefine/>
    <w:qFormat/>
    <w:uiPriority w:val="0"/>
    <w:rPr>
      <w:rFonts w:ascii="Times New Roman" w:hAnsi="Times New Roman" w:eastAsia="宋体" w:cs="Times New Roman"/>
      <w:sz w:val="16"/>
      <w:szCs w:val="16"/>
    </w:rPr>
  </w:style>
  <w:style w:type="character" w:customStyle="1" w:styleId="81">
    <w:name w:val="正文文本 2 Char"/>
    <w:link w:val="42"/>
    <w:autoRedefine/>
    <w:qFormat/>
    <w:uiPriority w:val="0"/>
    <w:rPr>
      <w:rFonts w:ascii="Times New Roman" w:hAnsi="Times New Roman" w:eastAsia="宋体" w:cs="Times New Roman"/>
      <w:szCs w:val="24"/>
    </w:rPr>
  </w:style>
  <w:style w:type="character" w:customStyle="1" w:styleId="82">
    <w:name w:val="标题 Char"/>
    <w:link w:val="44"/>
    <w:autoRedefine/>
    <w:qFormat/>
    <w:uiPriority w:val="10"/>
    <w:rPr>
      <w:rFonts w:ascii="Cambria" w:hAnsi="Cambria" w:cs="Times New Roman"/>
      <w:b/>
      <w:bCs/>
      <w:kern w:val="2"/>
      <w:sz w:val="32"/>
      <w:szCs w:val="32"/>
    </w:rPr>
  </w:style>
  <w:style w:type="character" w:customStyle="1" w:styleId="83">
    <w:name w:val="批注主题 Char"/>
    <w:link w:val="45"/>
    <w:autoRedefine/>
    <w:semiHidden/>
    <w:qFormat/>
    <w:uiPriority w:val="99"/>
    <w:rPr>
      <w:rFonts w:ascii="Times New Roman" w:hAnsi="Times New Roman"/>
      <w:b/>
      <w:bCs/>
      <w:kern w:val="2"/>
      <w:sz w:val="21"/>
      <w:szCs w:val="24"/>
    </w:rPr>
  </w:style>
  <w:style w:type="character" w:customStyle="1" w:styleId="84">
    <w:name w:val="批注文字 Char1"/>
    <w:autoRedefine/>
    <w:qFormat/>
    <w:locked/>
    <w:uiPriority w:val="0"/>
    <w:rPr>
      <w:rFonts w:ascii="Times New Roman" w:hAnsi="Times New Roman"/>
      <w:kern w:val="2"/>
      <w:sz w:val="21"/>
      <w:szCs w:val="24"/>
    </w:rPr>
  </w:style>
  <w:style w:type="character" w:customStyle="1" w:styleId="85">
    <w:name w:val="case31"/>
    <w:autoRedefine/>
    <w:qFormat/>
    <w:uiPriority w:val="0"/>
    <w:rPr>
      <w:rFonts w:hint="default"/>
      <w:sz w:val="21"/>
      <w:szCs w:val="21"/>
    </w:rPr>
  </w:style>
  <w:style w:type="character" w:customStyle="1" w:styleId="86">
    <w:name w:val="批注文字 Char"/>
    <w:autoRedefine/>
    <w:qFormat/>
    <w:uiPriority w:val="0"/>
    <w:rPr>
      <w:rFonts w:ascii="Times New Roman" w:hAnsi="Times New Roman"/>
      <w:kern w:val="2"/>
      <w:sz w:val="21"/>
      <w:szCs w:val="24"/>
    </w:rPr>
  </w:style>
  <w:style w:type="character" w:customStyle="1" w:styleId="87">
    <w:name w:val="纯文本 Char"/>
    <w:autoRedefine/>
    <w:qFormat/>
    <w:uiPriority w:val="0"/>
    <w:rPr>
      <w:rFonts w:ascii="宋体" w:hAnsi="Courier New" w:eastAsia="宋体"/>
      <w:kern w:val="2"/>
      <w:sz w:val="21"/>
      <w:lang w:val="en-US" w:eastAsia="zh-CN" w:bidi="ar-SA"/>
    </w:rPr>
  </w:style>
  <w:style w:type="character" w:customStyle="1" w:styleId="88">
    <w:name w:val="纯文本 字符1"/>
    <w:autoRedefine/>
    <w:qFormat/>
    <w:uiPriority w:val="0"/>
    <w:rPr>
      <w:rFonts w:ascii="宋体" w:hAnsi="Courier New"/>
    </w:rPr>
  </w:style>
  <w:style w:type="character" w:customStyle="1" w:styleId="89">
    <w:name w:val="批注文字 字符1"/>
    <w:autoRedefine/>
    <w:qFormat/>
    <w:uiPriority w:val="0"/>
    <w:rPr>
      <w:rFonts w:ascii="Times New Roman" w:hAnsi="Times New Roman"/>
      <w:kern w:val="2"/>
      <w:sz w:val="21"/>
      <w:szCs w:val="24"/>
    </w:rPr>
  </w:style>
  <w:style w:type="character" w:customStyle="1" w:styleId="90">
    <w:name w:val="正文文本 Char1"/>
    <w:autoRedefine/>
    <w:semiHidden/>
    <w:qFormat/>
    <w:locked/>
    <w:uiPriority w:val="99"/>
    <w:rPr>
      <w:sz w:val="24"/>
      <w:szCs w:val="24"/>
    </w:rPr>
  </w:style>
  <w:style w:type="character" w:customStyle="1" w:styleId="91">
    <w:name w:val="apple-style-span"/>
    <w:autoRedefine/>
    <w:qFormat/>
    <w:uiPriority w:val="0"/>
  </w:style>
  <w:style w:type="character" w:customStyle="1" w:styleId="92">
    <w:name w:val="textcontents"/>
    <w:autoRedefine/>
    <w:qFormat/>
    <w:uiPriority w:val="0"/>
  </w:style>
  <w:style w:type="character" w:customStyle="1" w:styleId="93">
    <w:name w:val="普通文字 Char Char2"/>
    <w:autoRedefine/>
    <w:qFormat/>
    <w:uiPriority w:val="0"/>
    <w:rPr>
      <w:rFonts w:ascii="宋体" w:hAnsi="Courier New" w:eastAsia="宋体"/>
      <w:kern w:val="2"/>
      <w:sz w:val="21"/>
      <w:lang w:val="en-US" w:eastAsia="zh-CN" w:bidi="ar-SA"/>
    </w:rPr>
  </w:style>
  <w:style w:type="character" w:customStyle="1" w:styleId="94">
    <w:name w:val="标题 5 Char"/>
    <w:autoRedefine/>
    <w:qFormat/>
    <w:uiPriority w:val="9"/>
    <w:rPr>
      <w:b/>
      <w:kern w:val="2"/>
      <w:sz w:val="28"/>
      <w:szCs w:val="24"/>
    </w:rPr>
  </w:style>
  <w:style w:type="character" w:customStyle="1" w:styleId="95">
    <w:name w:val="批注文字 字符"/>
    <w:autoRedefine/>
    <w:qFormat/>
    <w:uiPriority w:val="0"/>
    <w:rPr>
      <w:rFonts w:ascii="Times New Roman" w:hAnsi="Times New Roman"/>
      <w:kern w:val="2"/>
      <w:sz w:val="21"/>
      <w:szCs w:val="24"/>
    </w:rPr>
  </w:style>
  <w:style w:type="character" w:customStyle="1" w:styleId="96">
    <w:name w:val="标题 1 字符"/>
    <w:autoRedefine/>
    <w:qFormat/>
    <w:uiPriority w:val="9"/>
    <w:rPr>
      <w:rFonts w:ascii="Times New Roman" w:hAnsi="Times New Roman" w:eastAsia="宋体" w:cs="Times New Roman"/>
      <w:b/>
      <w:bCs/>
      <w:kern w:val="44"/>
      <w:sz w:val="44"/>
      <w:szCs w:val="44"/>
    </w:rPr>
  </w:style>
  <w:style w:type="character" w:customStyle="1" w:styleId="97">
    <w:name w:val="纯文本 字符"/>
    <w:autoRedefine/>
    <w:qFormat/>
    <w:uiPriority w:val="0"/>
    <w:rPr>
      <w:rFonts w:ascii="宋体" w:hAnsi="Courier New" w:eastAsia="宋体" w:cs="Courier New"/>
      <w:szCs w:val="21"/>
    </w:rPr>
  </w:style>
  <w:style w:type="character" w:customStyle="1" w:styleId="98">
    <w:name w:val="headline-content4"/>
    <w:autoRedefine/>
    <w:qFormat/>
    <w:uiPriority w:val="0"/>
  </w:style>
  <w:style w:type="character" w:customStyle="1" w:styleId="99">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00">
    <w:name w:val="正文文本缩进 字符"/>
    <w:autoRedefine/>
    <w:qFormat/>
    <w:uiPriority w:val="0"/>
    <w:rPr>
      <w:rFonts w:ascii="仿宋_GB2312" w:hAnsi="Times New Roman" w:eastAsia="仿宋_GB2312" w:cs="Times New Roman"/>
      <w:sz w:val="32"/>
      <w:szCs w:val="20"/>
    </w:rPr>
  </w:style>
  <w:style w:type="paragraph" w:customStyle="1" w:styleId="101">
    <w:name w:val="Char1"/>
    <w:basedOn w:val="1"/>
    <w:autoRedefine/>
    <w:qFormat/>
    <w:uiPriority w:val="0"/>
    <w:rPr>
      <w:szCs w:val="21"/>
    </w:rPr>
  </w:style>
  <w:style w:type="paragraph" w:styleId="102">
    <w:name w:val="List Paragraph"/>
    <w:basedOn w:val="1"/>
    <w:autoRedefine/>
    <w:qFormat/>
    <w:uiPriority w:val="34"/>
    <w:pPr>
      <w:ind w:firstLine="420" w:firstLineChars="200"/>
    </w:pPr>
  </w:style>
  <w:style w:type="paragraph" w:customStyle="1" w:styleId="103">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04">
    <w:name w:val="默认段落字体 Para Char Char Char Char Char Char Char Char Char1 Char Char Char Char"/>
    <w:basedOn w:val="1"/>
    <w:autoRedefine/>
    <w:qFormat/>
    <w:uiPriority w:val="0"/>
    <w:rPr>
      <w:rFonts w:ascii="Tahoma" w:hAnsi="Tahoma"/>
      <w:sz w:val="24"/>
      <w:szCs w:val="20"/>
    </w:rPr>
  </w:style>
  <w:style w:type="paragraph" w:customStyle="1" w:styleId="105">
    <w:name w:val="样式"/>
    <w:autoRedefine/>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06">
    <w:name w:val="纯文本1"/>
    <w:basedOn w:val="1"/>
    <w:autoRedefine/>
    <w:qFormat/>
    <w:uiPriority w:val="0"/>
    <w:rPr>
      <w:rFonts w:ascii="宋体" w:hAnsi="Courier New" w:cs="Century"/>
      <w:szCs w:val="21"/>
    </w:rPr>
  </w:style>
  <w:style w:type="paragraph" w:customStyle="1" w:styleId="107">
    <w:name w:val="Table Paragraph"/>
    <w:basedOn w:val="1"/>
    <w:autoRedefine/>
    <w:qFormat/>
    <w:uiPriority w:val="1"/>
    <w:pPr>
      <w:jc w:val="left"/>
    </w:pPr>
    <w:rPr>
      <w:rFonts w:ascii="Calibri" w:hAnsi="Calibri"/>
      <w:kern w:val="0"/>
      <w:sz w:val="22"/>
      <w:szCs w:val="22"/>
      <w:lang w:eastAsia="en-US"/>
    </w:rPr>
  </w:style>
  <w:style w:type="paragraph" w:customStyle="1" w:styleId="108">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customStyle="1" w:styleId="109">
    <w:name w:val="表格"/>
    <w:basedOn w:val="1"/>
    <w:autoRedefine/>
    <w:qFormat/>
    <w:uiPriority w:val="0"/>
    <w:pPr>
      <w:spacing w:line="400" w:lineRule="exact"/>
    </w:pPr>
    <w:rPr>
      <w:sz w:val="24"/>
    </w:rPr>
  </w:style>
  <w:style w:type="paragraph" w:customStyle="1" w:styleId="110">
    <w:name w:val="样式 首行缩进:  2 字符"/>
    <w:basedOn w:val="1"/>
    <w:autoRedefine/>
    <w:qFormat/>
    <w:uiPriority w:val="0"/>
    <w:pPr>
      <w:spacing w:line="400" w:lineRule="exact"/>
      <w:ind w:firstLine="200" w:firstLineChars="200"/>
    </w:pPr>
    <w:rPr>
      <w:rFonts w:cs="宋体"/>
      <w:sz w:val="24"/>
    </w:rPr>
  </w:style>
  <w:style w:type="paragraph" w:customStyle="1" w:styleId="111">
    <w:name w:val="xl22"/>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12">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13">
    <w:name w:val="正文首行缩进两字符"/>
    <w:basedOn w:val="1"/>
    <w:autoRedefine/>
    <w:qFormat/>
    <w:uiPriority w:val="0"/>
    <w:pPr>
      <w:spacing w:line="360" w:lineRule="auto"/>
      <w:ind w:firstLine="200" w:firstLineChars="200"/>
    </w:pPr>
  </w:style>
  <w:style w:type="paragraph" w:customStyle="1" w:styleId="114">
    <w:name w:val="正文段"/>
    <w:basedOn w:val="1"/>
    <w:autoRedefine/>
    <w:qFormat/>
    <w:uiPriority w:val="0"/>
    <w:pPr>
      <w:widowControl/>
      <w:snapToGrid w:val="0"/>
      <w:spacing w:afterLines="50"/>
      <w:ind w:firstLine="200" w:firstLineChars="200"/>
    </w:pPr>
    <w:rPr>
      <w:kern w:val="0"/>
      <w:sz w:val="24"/>
      <w:szCs w:val="20"/>
    </w:rPr>
  </w:style>
  <w:style w:type="table" w:customStyle="1" w:styleId="115">
    <w:name w:val="Table Normal"/>
    <w:autoRedefine/>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character" w:customStyle="1" w:styleId="116">
    <w:name w:val="页脚 字符"/>
    <w:autoRedefine/>
    <w:qFormat/>
    <w:uiPriority w:val="99"/>
  </w:style>
  <w:style w:type="character" w:customStyle="1" w:styleId="117">
    <w:name w:val="标题 1 Char1"/>
    <w:autoRedefine/>
    <w:qFormat/>
    <w:uiPriority w:val="0"/>
    <w:rPr>
      <w:rFonts w:eastAsia="宋体"/>
      <w:b/>
      <w:bCs/>
      <w:kern w:val="44"/>
      <w:sz w:val="44"/>
      <w:szCs w:val="44"/>
      <w:lang w:val="en-US" w:eastAsia="zh-CN" w:bidi="ar-SA"/>
    </w:rPr>
  </w:style>
  <w:style w:type="character" w:customStyle="1" w:styleId="118">
    <w:name w:val="批注文字 字符2"/>
    <w:autoRedefine/>
    <w:qFormat/>
    <w:uiPriority w:val="0"/>
    <w:rPr>
      <w:rFonts w:ascii="Times New Roman" w:hAnsi="Times New Roman"/>
      <w:kern w:val="2"/>
      <w:sz w:val="21"/>
      <w:szCs w:val="24"/>
    </w:rPr>
  </w:style>
  <w:style w:type="paragraph" w:customStyle="1" w:styleId="119">
    <w:name w:val="Title1"/>
    <w:basedOn w:val="1"/>
    <w:next w:val="1"/>
    <w:autoRedefine/>
    <w:qFormat/>
    <w:uiPriority w:val="0"/>
    <w:pPr>
      <w:jc w:val="center"/>
      <w:outlineLvl w:val="0"/>
    </w:pPr>
    <w:rPr>
      <w:rFonts w:ascii="Calibri Light" w:hAnsi="Calibri Light" w:eastAsia="Arial Unicode MS"/>
      <w:b/>
    </w:rPr>
  </w:style>
  <w:style w:type="character" w:customStyle="1" w:styleId="120">
    <w:name w:val="bookmark-item"/>
    <w:basedOn w:val="49"/>
    <w:autoRedefine/>
    <w:qFormat/>
    <w:uiPriority w:val="0"/>
  </w:style>
  <w:style w:type="character" w:customStyle="1" w:styleId="121">
    <w:name w:val="font31"/>
    <w:basedOn w:val="49"/>
    <w:autoRedefine/>
    <w:qFormat/>
    <w:uiPriority w:val="0"/>
    <w:rPr>
      <w:rFonts w:ascii="Cambria Math" w:hAnsi="Cambria Math" w:eastAsia="Cambria Math" w:cs="Cambria Math"/>
      <w:color w:val="000000"/>
      <w:sz w:val="18"/>
      <w:szCs w:val="18"/>
      <w:u w:val="none"/>
    </w:rPr>
  </w:style>
  <w:style w:type="character" w:customStyle="1" w:styleId="122">
    <w:name w:val="font21"/>
    <w:basedOn w:val="49"/>
    <w:autoRedefine/>
    <w:qFormat/>
    <w:uiPriority w:val="0"/>
    <w:rPr>
      <w:rFonts w:hint="eastAsia" w:ascii="宋体" w:hAnsi="宋体" w:eastAsia="宋体" w:cs="宋体"/>
      <w:color w:val="000000"/>
      <w:sz w:val="18"/>
      <w:szCs w:val="18"/>
      <w:u w:val="none"/>
    </w:rPr>
  </w:style>
  <w:style w:type="character" w:customStyle="1" w:styleId="123">
    <w:name w:val="font41"/>
    <w:basedOn w:val="49"/>
    <w:autoRedefine/>
    <w:qFormat/>
    <w:uiPriority w:val="0"/>
    <w:rPr>
      <w:rFonts w:ascii="Arial" w:hAnsi="Arial" w:cs="Arial"/>
      <w:color w:val="000000"/>
      <w:sz w:val="18"/>
      <w:szCs w:val="18"/>
      <w:u w:val="none"/>
    </w:rPr>
  </w:style>
  <w:style w:type="character" w:customStyle="1" w:styleId="124">
    <w:name w:val="font51"/>
    <w:basedOn w:val="49"/>
    <w:autoRedefine/>
    <w:qFormat/>
    <w:uiPriority w:val="0"/>
    <w:rPr>
      <w:rFonts w:hint="eastAsia" w:ascii="宋体" w:hAnsi="宋体" w:eastAsia="宋体" w:cs="宋体"/>
      <w:color w:val="000000"/>
      <w:sz w:val="16"/>
      <w:szCs w:val="16"/>
      <w:u w:val="none"/>
    </w:rPr>
  </w:style>
  <w:style w:type="character" w:customStyle="1" w:styleId="125">
    <w:name w:val="font61"/>
    <w:basedOn w:val="49"/>
    <w:autoRedefine/>
    <w:qFormat/>
    <w:uiPriority w:val="0"/>
    <w:rPr>
      <w:rFonts w:ascii="Calibri" w:hAnsi="Calibri" w:cs="Calibri"/>
      <w:color w:val="000000"/>
      <w:sz w:val="16"/>
      <w:szCs w:val="16"/>
      <w:u w:val="none"/>
    </w:rPr>
  </w:style>
  <w:style w:type="character" w:customStyle="1" w:styleId="126">
    <w:name w:val="font71"/>
    <w:basedOn w:val="49"/>
    <w:autoRedefine/>
    <w:qFormat/>
    <w:uiPriority w:val="0"/>
    <w:rPr>
      <w:rFonts w:ascii="Arial" w:hAnsi="Arial" w:cs="Arial"/>
      <w:color w:val="000000"/>
      <w:sz w:val="16"/>
      <w:szCs w:val="16"/>
      <w:u w:val="none"/>
    </w:rPr>
  </w:style>
  <w:style w:type="character" w:customStyle="1" w:styleId="127">
    <w:name w:val="font01"/>
    <w:basedOn w:val="49"/>
    <w:autoRedefine/>
    <w:qFormat/>
    <w:uiPriority w:val="0"/>
    <w:rPr>
      <w:rFonts w:hint="eastAsia" w:ascii="宋体" w:hAnsi="宋体" w:eastAsia="宋体" w:cs="宋体"/>
      <w:color w:val="000000"/>
      <w:sz w:val="22"/>
      <w:szCs w:val="22"/>
      <w:u w:val="none"/>
    </w:rPr>
  </w:style>
  <w:style w:type="paragraph" w:customStyle="1" w:styleId="128">
    <w:name w:val="列出段落1"/>
    <w:basedOn w:val="1"/>
    <w:autoRedefine/>
    <w:qFormat/>
    <w:uiPriority w:val="0"/>
    <w:pPr>
      <w:ind w:firstLine="420" w:firstLineChars="200"/>
    </w:pPr>
  </w:style>
  <w:style w:type="character" w:customStyle="1" w:styleId="129">
    <w:name w:val="font11"/>
    <w:basedOn w:val="4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138</Pages>
  <Words>16843</Words>
  <Characters>18569</Characters>
  <Lines>437</Lines>
  <Paragraphs>123</Paragraphs>
  <TotalTime>56</TotalTime>
  <ScaleCrop>false</ScaleCrop>
  <LinksUpToDate>false</LinksUpToDate>
  <CharactersWithSpaces>19013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2025-12-26T02:15:00Z</dcterms:created>
  <dc:creator>广西国泰招标</dc:creator>
  <cp:lastModifiedBy>招标代理</cp:lastModifiedBy>
  <cp:lastPrinted>2025-12-20T01:24:00Z</cp:lastPrinted>
  <dcterms:modified xsi:type="dcterms:W3CDTF">2026-06-04T17:19:10Z</dcterms:modified>
  <dc:title>公开招标采购文件范本</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12D6D1763FDC4991A286CADC25090871_13</vt:lpwstr>
  </property>
  <property fmtid="{D5CDD505-2E9C-101B-9397-08002B2CF9AE}" pid="4" name="KSOTemplateDocerSaveRecord">
    <vt:lpwstr>eyJoZGlkIjoiYTIxYzNjYzdhNjdkZmI5ODM4NTk4MGEyMThmMTRlOGYiLCJ1c2VySWQiOiI1ODkwNDU0NzMifQ==</vt:lpwstr>
  </property>
</Properties>
</file>