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C232">
      <w:pPr>
        <w:jc w:val="center"/>
        <w:rPr>
          <w:rFonts w:hint="eastAsia" w:ascii="宋体" w:hAnsi="宋体" w:cs="宋体"/>
          <w:b/>
          <w:bCs/>
          <w:sz w:val="52"/>
          <w:szCs w:val="52"/>
        </w:rPr>
      </w:pPr>
      <w:r>
        <w:rPr>
          <w:rFonts w:hint="eastAsia" w:ascii="宋体" w:hAnsi="宋体" w:cs="宋体"/>
          <w:sz w:val="52"/>
          <w:szCs w:val="52"/>
        </w:rPr>
        <w:t xml:space="preserve">同致诚工程咨询有限公司  </w:t>
      </w:r>
    </w:p>
    <w:p w14:paraId="11737B6C">
      <w:pPr>
        <w:jc w:val="center"/>
        <w:rPr>
          <w:rFonts w:hint="eastAsia" w:ascii="宋体" w:hAnsi="宋体" w:cs="宋体"/>
          <w:b/>
          <w:bCs/>
          <w:sz w:val="52"/>
          <w:szCs w:val="52"/>
        </w:rPr>
      </w:pPr>
    </w:p>
    <w:p w14:paraId="32EB2A5D">
      <w:pPr>
        <w:rPr>
          <w:rFonts w:hint="eastAsia" w:ascii="宋体" w:hAnsi="宋体" w:cs="宋体"/>
        </w:rPr>
      </w:pPr>
      <w:r>
        <w:rPr>
          <w:rFonts w:hint="eastAsia" w:ascii="宋体" w:hAnsi="宋体" w:cs="宋体"/>
        </w:rPr>
        <w:t xml:space="preserve">                </w:t>
      </w:r>
    </w:p>
    <w:p w14:paraId="7C5208D6">
      <w:pPr>
        <w:pStyle w:val="15"/>
        <w:ind w:firstLine="0"/>
        <w:jc w:val="center"/>
        <w:rPr>
          <w:rFonts w:hint="eastAsia" w:ascii="宋体" w:hAnsi="宋体" w:eastAsia="宋体" w:cs="宋体"/>
        </w:rPr>
      </w:pPr>
      <w:r>
        <w:rPr>
          <w:rFonts w:hint="eastAsia" w:ascii="宋体" w:hAnsi="宋体" w:eastAsia="宋体" w:cs="宋体"/>
        </w:rPr>
        <w:drawing>
          <wp:inline distT="0" distB="0" distL="114300" distR="114300">
            <wp:extent cx="2729865" cy="2571750"/>
            <wp:effectExtent l="0" t="0" r="13335" b="3810"/>
            <wp:docPr id="1" name="图片 1" descr="微信图片_2021112409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24094909"/>
                    <pic:cNvPicPr>
                      <a:picLocks noChangeAspect="1"/>
                    </pic:cNvPicPr>
                  </pic:nvPicPr>
                  <pic:blipFill>
                    <a:blip r:embed="rId8"/>
                    <a:stretch>
                      <a:fillRect/>
                    </a:stretch>
                  </pic:blipFill>
                  <pic:spPr>
                    <a:xfrm>
                      <a:off x="0" y="0"/>
                      <a:ext cx="2729865" cy="2571750"/>
                    </a:xfrm>
                    <a:prstGeom prst="rect">
                      <a:avLst/>
                    </a:prstGeom>
                    <a:noFill/>
                    <a:ln>
                      <a:noFill/>
                    </a:ln>
                  </pic:spPr>
                </pic:pic>
              </a:graphicData>
            </a:graphic>
          </wp:inline>
        </w:drawing>
      </w:r>
    </w:p>
    <w:p w14:paraId="4977909B">
      <w:pPr>
        <w:rPr>
          <w:rFonts w:hint="eastAsia" w:ascii="宋体" w:hAnsi="宋体" w:cs="宋体"/>
        </w:rPr>
      </w:pPr>
    </w:p>
    <w:p w14:paraId="5E903840">
      <w:pPr>
        <w:rPr>
          <w:rFonts w:hint="eastAsia" w:ascii="宋体" w:hAnsi="宋体" w:cs="宋体"/>
        </w:rPr>
      </w:pPr>
    </w:p>
    <w:p w14:paraId="6B1873C4">
      <w:pPr>
        <w:jc w:val="center"/>
        <w:rPr>
          <w:rFonts w:hint="eastAsia" w:ascii="宋体" w:hAnsi="宋体" w:cs="宋体"/>
          <w:sz w:val="52"/>
          <w:szCs w:val="52"/>
        </w:rPr>
      </w:pPr>
      <w:r>
        <w:rPr>
          <w:rFonts w:hint="eastAsia" w:ascii="宋体" w:hAnsi="宋体" w:cs="宋体"/>
          <w:b/>
          <w:bCs/>
          <w:sz w:val="72"/>
          <w:szCs w:val="72"/>
        </w:rPr>
        <w:t xml:space="preserve">竞 争 性 </w:t>
      </w:r>
      <w:r>
        <w:rPr>
          <w:rFonts w:hint="eastAsia" w:ascii="宋体" w:hAnsi="宋体" w:cs="宋体"/>
          <w:b/>
          <w:bCs/>
          <w:sz w:val="72"/>
          <w:szCs w:val="72"/>
          <w:lang w:val="en-US" w:eastAsia="zh-CN"/>
        </w:rPr>
        <w:t>磋 商</w:t>
      </w:r>
      <w:r>
        <w:rPr>
          <w:rFonts w:hint="eastAsia" w:ascii="宋体" w:hAnsi="宋体" w:cs="宋体"/>
          <w:b/>
          <w:bCs/>
          <w:sz w:val="72"/>
          <w:szCs w:val="72"/>
        </w:rPr>
        <w:t xml:space="preserve"> 文 件</w:t>
      </w:r>
    </w:p>
    <w:p w14:paraId="2A4FCF60">
      <w:pPr>
        <w:rPr>
          <w:rFonts w:hint="eastAsia" w:ascii="宋体" w:hAnsi="宋体" w:cs="宋体"/>
        </w:rPr>
      </w:pPr>
    </w:p>
    <w:p w14:paraId="12603F19">
      <w:pPr>
        <w:rPr>
          <w:rFonts w:hint="eastAsia" w:ascii="宋体" w:hAnsi="宋体" w:cs="宋体"/>
        </w:rPr>
      </w:pPr>
    </w:p>
    <w:p w14:paraId="4FE21F19">
      <w:pPr>
        <w:ind w:firstLine="1205" w:firstLineChars="400"/>
        <w:rPr>
          <w:rFonts w:hint="eastAsia" w:ascii="宋体" w:hAnsi="宋体" w:eastAsia="宋体" w:cs="宋体"/>
          <w:b/>
          <w:bCs/>
          <w:sz w:val="30"/>
          <w:szCs w:val="30"/>
          <w:u w:val="single"/>
          <w:lang w:eastAsia="zh-CN"/>
        </w:rPr>
      </w:pPr>
      <w:r>
        <w:rPr>
          <w:rFonts w:hint="eastAsia" w:ascii="宋体" w:hAnsi="宋体" w:cs="宋体"/>
          <w:b/>
          <w:bCs/>
          <w:sz w:val="30"/>
          <w:szCs w:val="30"/>
        </w:rPr>
        <w:t>项目名称</w:t>
      </w:r>
      <w:r>
        <w:rPr>
          <w:rFonts w:hint="eastAsia" w:ascii="宋体" w:hAnsi="宋体" w:cs="宋体"/>
          <w:b/>
          <w:bCs/>
          <w:sz w:val="30"/>
          <w:szCs w:val="30"/>
          <w:u w:val="none"/>
        </w:rPr>
        <w:t>：</w:t>
      </w:r>
      <w:bookmarkStart w:id="0" w:name="OLE_LINK4"/>
      <w:r>
        <w:rPr>
          <w:rFonts w:hint="eastAsia" w:ascii="宋体" w:hAnsi="宋体" w:cs="宋体"/>
          <w:b/>
          <w:bCs/>
          <w:sz w:val="30"/>
          <w:szCs w:val="30"/>
          <w:u w:val="single"/>
        </w:rPr>
        <w:t>梧州中山纪念堂修缮</w:t>
      </w:r>
      <w:r>
        <w:rPr>
          <w:rFonts w:hint="eastAsia" w:ascii="宋体" w:hAnsi="宋体" w:cs="宋体"/>
          <w:b/>
          <w:bCs/>
          <w:sz w:val="30"/>
          <w:szCs w:val="30"/>
          <w:u w:val="single"/>
          <w:lang w:val="en-US" w:eastAsia="zh-CN"/>
        </w:rPr>
        <w:t>工程</w:t>
      </w:r>
      <w:bookmarkEnd w:id="0"/>
    </w:p>
    <w:p w14:paraId="4E0FFDAA">
      <w:pPr>
        <w:ind w:firstLine="1205" w:firstLineChars="400"/>
        <w:rPr>
          <w:rFonts w:hint="eastAsia" w:ascii="宋体" w:hAnsi="宋体" w:cs="宋体"/>
          <w:b/>
          <w:bCs/>
          <w:sz w:val="32"/>
          <w:szCs w:val="32"/>
          <w:u w:val="single"/>
        </w:rPr>
      </w:pPr>
      <w:r>
        <w:rPr>
          <w:rFonts w:hint="eastAsia" w:ascii="宋体" w:hAnsi="宋体" w:cs="宋体"/>
          <w:b/>
          <w:bCs/>
          <w:color w:val="auto"/>
          <w:sz w:val="30"/>
          <w:szCs w:val="30"/>
        </w:rPr>
        <w:t>项目编号：</w:t>
      </w:r>
      <w:r>
        <w:rPr>
          <w:rFonts w:hint="eastAsia" w:ascii="宋体" w:hAnsi="宋体" w:cs="宋体"/>
          <w:b/>
          <w:bCs/>
          <w:color w:val="auto"/>
          <w:sz w:val="30"/>
          <w:szCs w:val="30"/>
          <w:u w:val="single"/>
        </w:rPr>
        <w:t>WZZC202</w:t>
      </w:r>
      <w:r>
        <w:rPr>
          <w:rFonts w:hint="eastAsia" w:ascii="宋体" w:hAnsi="宋体" w:cs="宋体"/>
          <w:b/>
          <w:bCs/>
          <w:color w:val="auto"/>
          <w:sz w:val="30"/>
          <w:szCs w:val="30"/>
          <w:u w:val="single"/>
          <w:lang w:val="en-US" w:eastAsia="zh-CN"/>
        </w:rPr>
        <w:t>6</w:t>
      </w:r>
      <w:r>
        <w:rPr>
          <w:rFonts w:hint="eastAsia" w:ascii="宋体" w:hAnsi="宋体" w:cs="宋体"/>
          <w:b/>
          <w:bCs/>
          <w:color w:val="auto"/>
          <w:sz w:val="30"/>
          <w:szCs w:val="30"/>
          <w:u w:val="single"/>
        </w:rPr>
        <w:t>-C2-</w:t>
      </w:r>
      <w:r>
        <w:rPr>
          <w:rFonts w:hint="eastAsia" w:ascii="宋体" w:hAnsi="宋体" w:cs="宋体"/>
          <w:b/>
          <w:bCs/>
          <w:color w:val="auto"/>
          <w:sz w:val="30"/>
          <w:szCs w:val="30"/>
          <w:u w:val="single"/>
          <w:lang w:val="en-US" w:eastAsia="zh-CN"/>
        </w:rPr>
        <w:t>990074</w:t>
      </w:r>
      <w:r>
        <w:rPr>
          <w:rFonts w:hint="eastAsia" w:ascii="宋体" w:hAnsi="宋体" w:cs="宋体"/>
          <w:b/>
          <w:bCs/>
          <w:color w:val="auto"/>
          <w:sz w:val="30"/>
          <w:szCs w:val="30"/>
          <w:u w:val="single"/>
        </w:rPr>
        <w:t>-TZCG</w:t>
      </w:r>
    </w:p>
    <w:p w14:paraId="350F735A">
      <w:pPr>
        <w:rPr>
          <w:rFonts w:hint="eastAsia" w:ascii="宋体" w:hAnsi="宋体" w:cs="宋体"/>
          <w:b/>
          <w:bCs/>
          <w:sz w:val="32"/>
          <w:szCs w:val="32"/>
          <w:u w:val="single"/>
        </w:rPr>
      </w:pPr>
    </w:p>
    <w:p w14:paraId="1C81096C">
      <w:pPr>
        <w:ind w:firstLine="1405" w:firstLineChars="500"/>
        <w:rPr>
          <w:rFonts w:hint="eastAsia" w:ascii="宋体" w:hAnsi="宋体" w:cs="宋体"/>
          <w:b/>
          <w:bCs/>
          <w:sz w:val="28"/>
          <w:szCs w:val="28"/>
          <w:u w:val="single"/>
        </w:rPr>
      </w:pPr>
      <w:r>
        <w:rPr>
          <w:rFonts w:hint="eastAsia" w:ascii="宋体" w:hAnsi="宋体" w:cs="宋体"/>
          <w:b/>
          <w:bCs/>
          <w:sz w:val="28"/>
          <w:szCs w:val="28"/>
          <w:u w:val="single"/>
        </w:rPr>
        <w:t>采购人：</w:t>
      </w:r>
      <w:r>
        <w:rPr>
          <w:rFonts w:hint="eastAsia" w:ascii="宋体" w:hAnsi="宋体" w:cs="宋体"/>
          <w:b/>
          <w:bCs/>
          <w:sz w:val="28"/>
          <w:szCs w:val="28"/>
          <w:u w:val="single"/>
          <w:lang w:eastAsia="zh-CN"/>
        </w:rPr>
        <w:t>梧州市博物馆</w:t>
      </w:r>
    </w:p>
    <w:p w14:paraId="1DE6E489">
      <w:pPr>
        <w:ind w:firstLine="1405" w:firstLineChars="500"/>
        <w:rPr>
          <w:rFonts w:hint="eastAsia" w:ascii="宋体" w:hAnsi="宋体" w:cs="宋体"/>
          <w:b/>
          <w:bCs/>
          <w:sz w:val="28"/>
          <w:szCs w:val="28"/>
          <w:u w:val="single"/>
        </w:rPr>
      </w:pPr>
      <w:r>
        <w:rPr>
          <w:rFonts w:hint="eastAsia" w:ascii="宋体" w:hAnsi="宋体" w:cs="宋体"/>
          <w:b/>
          <w:bCs/>
          <w:sz w:val="28"/>
          <w:szCs w:val="28"/>
          <w:u w:val="single"/>
        </w:rPr>
        <w:t>采购代理机构：同致诚工程咨询有限公司</w:t>
      </w:r>
    </w:p>
    <w:p w14:paraId="3AABA11B">
      <w:pPr>
        <w:ind w:firstLine="1405" w:firstLineChars="500"/>
        <w:rPr>
          <w:rFonts w:hint="eastAsia" w:ascii="宋体" w:hAnsi="宋体" w:cs="宋体"/>
          <w:b/>
          <w:bCs/>
          <w:sz w:val="28"/>
          <w:szCs w:val="28"/>
          <w:u w:val="single"/>
        </w:rPr>
        <w:sectPr>
          <w:pgSz w:w="11906" w:h="16838"/>
          <w:pgMar w:top="1304" w:right="1304" w:bottom="1304" w:left="130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宋体" w:hAnsi="宋体" w:cs="宋体"/>
          <w:b/>
          <w:bCs/>
          <w:sz w:val="28"/>
          <w:szCs w:val="28"/>
          <w:u w:val="single"/>
        </w:rPr>
        <w:t>日期：二〇二</w:t>
      </w:r>
      <w:r>
        <w:rPr>
          <w:rFonts w:hint="eastAsia" w:ascii="宋体" w:hAnsi="宋体" w:cs="宋体"/>
          <w:b/>
          <w:bCs/>
          <w:sz w:val="28"/>
          <w:szCs w:val="28"/>
          <w:u w:val="single"/>
          <w:lang w:val="en-US" w:eastAsia="zh-CN"/>
        </w:rPr>
        <w:t>六</w:t>
      </w:r>
      <w:r>
        <w:rPr>
          <w:rFonts w:hint="eastAsia" w:ascii="宋体" w:hAnsi="宋体" w:cs="宋体"/>
          <w:b/>
          <w:bCs/>
          <w:sz w:val="28"/>
          <w:szCs w:val="28"/>
          <w:u w:val="single"/>
        </w:rPr>
        <w:t>年</w:t>
      </w:r>
      <w:r>
        <w:rPr>
          <w:rFonts w:hint="eastAsia" w:ascii="宋体" w:hAnsi="宋体" w:cs="宋体"/>
          <w:b/>
          <w:bCs/>
          <w:sz w:val="28"/>
          <w:szCs w:val="28"/>
          <w:u w:val="single"/>
          <w:lang w:val="en-US" w:eastAsia="zh-CN"/>
        </w:rPr>
        <w:t>五</w:t>
      </w:r>
      <w:r>
        <w:rPr>
          <w:rFonts w:hint="eastAsia" w:ascii="宋体" w:hAnsi="宋体" w:cs="宋体"/>
          <w:b/>
          <w:bCs/>
          <w:sz w:val="28"/>
          <w:szCs w:val="28"/>
          <w:u w:val="single"/>
        </w:rPr>
        <w:t>月</w:t>
      </w:r>
    </w:p>
    <w:p w14:paraId="69C4DFEC">
      <w:pPr>
        <w:pStyle w:val="19"/>
        <w:tabs>
          <w:tab w:val="right" w:leader="dot" w:pos="9298"/>
        </w:tabs>
      </w:pPr>
    </w:p>
    <w:p w14:paraId="4D15172A">
      <w:pPr>
        <w:pStyle w:val="15"/>
        <w:spacing w:line="480" w:lineRule="auto"/>
        <w:ind w:left="0" w:leftChars="0" w:firstLine="0" w:firstLineChars="0"/>
        <w:rPr>
          <w:rFonts w:hint="eastAsia" w:ascii="宋体" w:hAnsi="宋体" w:eastAsia="宋体" w:cs="宋体"/>
          <w:sz w:val="28"/>
          <w:szCs w:val="28"/>
        </w:rPr>
      </w:pPr>
    </w:p>
    <w:p w14:paraId="12EB66ED">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14:paraId="1DBC7119">
      <w:pPr>
        <w:pStyle w:val="14"/>
        <w:tabs>
          <w:tab w:val="right" w:leader="dot" w:pos="8802"/>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TOC \o "1-1" \h \u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_Toc16247 </w:instrText>
      </w:r>
      <w:r>
        <w:rPr>
          <w:rFonts w:hint="eastAsia" w:ascii="宋体" w:hAnsi="宋体" w:eastAsia="宋体" w:cs="宋体"/>
          <w:sz w:val="28"/>
          <w:szCs w:val="28"/>
          <w:lang w:eastAsia="zh-CN"/>
        </w:rPr>
        <w:fldChar w:fldCharType="separate"/>
      </w:r>
      <w:r>
        <w:rPr>
          <w:rFonts w:hint="eastAsia" w:ascii="宋体" w:hAnsi="宋体" w:eastAsia="宋体" w:cs="宋体"/>
          <w:bCs/>
          <w:sz w:val="28"/>
          <w:szCs w:val="28"/>
        </w:rPr>
        <w:t>第一章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竞争性</w:t>
      </w:r>
      <w:r>
        <w:rPr>
          <w:rFonts w:hint="eastAsia" w:ascii="宋体" w:hAnsi="宋体" w:eastAsia="宋体" w:cs="宋体"/>
          <w:bCs/>
          <w:sz w:val="28"/>
          <w:szCs w:val="28"/>
          <w:lang w:val="en-US" w:eastAsia="zh-CN"/>
        </w:rPr>
        <w:t>磋商</w:t>
      </w:r>
      <w:r>
        <w:rPr>
          <w:rFonts w:hint="eastAsia" w:ascii="宋体" w:hAnsi="宋体" w:eastAsia="宋体" w:cs="宋体"/>
          <w:bCs/>
          <w:sz w:val="28"/>
          <w:szCs w:val="28"/>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_Toc16247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446F78FA">
      <w:pPr>
        <w:pStyle w:val="14"/>
        <w:tabs>
          <w:tab w:val="right" w:leader="dot" w:pos="8802"/>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_Toc27898 </w:instrText>
      </w:r>
      <w:r>
        <w:rPr>
          <w:rFonts w:hint="eastAsia" w:ascii="宋体" w:hAnsi="宋体" w:eastAsia="宋体" w:cs="宋体"/>
          <w:sz w:val="28"/>
          <w:szCs w:val="28"/>
          <w:lang w:eastAsia="zh-CN"/>
        </w:rPr>
        <w:fldChar w:fldCharType="separate"/>
      </w:r>
      <w:r>
        <w:rPr>
          <w:rFonts w:hint="eastAsia" w:ascii="宋体" w:hAnsi="宋体" w:eastAsia="宋体" w:cs="宋体"/>
          <w:bCs/>
          <w:sz w:val="28"/>
          <w:szCs w:val="28"/>
        </w:rPr>
        <w:t>第二章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_Toc27898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041029AA">
      <w:pPr>
        <w:pStyle w:val="14"/>
        <w:tabs>
          <w:tab w:val="right" w:leader="dot" w:pos="8802"/>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_Toc29260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_Toc29260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13D23C41">
      <w:pPr>
        <w:pStyle w:val="14"/>
        <w:tabs>
          <w:tab w:val="right" w:leader="dot" w:pos="8802"/>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_Toc29112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采购内容及要求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_Toc29112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06F3A118">
      <w:pPr>
        <w:pStyle w:val="14"/>
        <w:tabs>
          <w:tab w:val="right" w:leader="dot" w:pos="8802"/>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_Toc23162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第四章  评审程序、评审方法和评审标准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_Toc23162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7CB688D6">
      <w:pPr>
        <w:pStyle w:val="14"/>
        <w:tabs>
          <w:tab w:val="right" w:leader="dot" w:pos="8802"/>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_Toc27541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工程量清单及图纸</w:t>
      </w:r>
      <w:r>
        <w:rPr>
          <w:rFonts w:hint="eastAsia" w:ascii="宋体" w:hAnsi="宋体" w:eastAsia="宋体" w:cs="宋体"/>
          <w:sz w:val="28"/>
          <w:szCs w:val="28"/>
          <w:lang w:val="en-US" w:eastAsia="zh-CN"/>
        </w:rPr>
        <w:t>（另册）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_Toc27541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162D05AA">
      <w:pPr>
        <w:pStyle w:val="14"/>
        <w:tabs>
          <w:tab w:val="right" w:leader="dot" w:pos="8802"/>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_Toc5332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_Toc5332 \h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5DABEEEF">
      <w:pPr>
        <w:pStyle w:val="14"/>
        <w:tabs>
          <w:tab w:val="right" w:leader="dot" w:pos="8802"/>
        </w:tabs>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_Toc19096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第七章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合同主要条款及格式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_Toc19096 \h </w:instrText>
      </w:r>
      <w:r>
        <w:rPr>
          <w:rFonts w:hint="eastAsia" w:ascii="宋体" w:hAnsi="宋体" w:eastAsia="宋体" w:cs="宋体"/>
          <w:sz w:val="28"/>
          <w:szCs w:val="28"/>
        </w:rPr>
        <w:fldChar w:fldCharType="separate"/>
      </w:r>
      <w:r>
        <w:rPr>
          <w:rFonts w:hint="eastAsia" w:ascii="宋体" w:hAnsi="宋体" w:eastAsia="宋体" w:cs="宋体"/>
          <w:sz w:val="28"/>
          <w:szCs w:val="28"/>
        </w:rPr>
        <w:t>90</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69FF7EDB">
      <w:pPr>
        <w:rPr>
          <w:rFonts w:hint="eastAsia" w:eastAsia="宋体"/>
          <w:lang w:eastAsia="zh-CN"/>
        </w:rPr>
        <w:sectPr>
          <w:footerReference r:id="rId3" w:type="default"/>
          <w:pgSz w:w="11906" w:h="16838"/>
          <w:pgMar w:top="1304" w:right="1800" w:bottom="1304" w:left="1304" w:header="851" w:footer="992" w:gutter="0"/>
          <w:pgNumType w:fmt="decimal" w:start="1"/>
          <w:cols w:space="425" w:num="1"/>
          <w:docGrid w:type="lines" w:linePitch="312" w:charSpace="0"/>
        </w:sectPr>
      </w:pPr>
      <w:r>
        <w:rPr>
          <w:rFonts w:hint="eastAsia" w:ascii="宋体" w:hAnsi="宋体" w:eastAsia="宋体" w:cs="宋体"/>
          <w:sz w:val="28"/>
          <w:szCs w:val="28"/>
          <w:lang w:eastAsia="zh-CN"/>
        </w:rPr>
        <w:fldChar w:fldCharType="end"/>
      </w:r>
    </w:p>
    <w:p w14:paraId="25EDA538">
      <w:pPr>
        <w:numPr>
          <w:ilvl w:val="0"/>
          <w:numId w:val="1"/>
        </w:numPr>
        <w:jc w:val="center"/>
        <w:outlineLvl w:val="0"/>
        <w:rPr>
          <w:rFonts w:hint="eastAsia" w:ascii="宋体" w:hAnsi="宋体" w:cs="宋体"/>
          <w:b/>
          <w:bCs/>
          <w:sz w:val="28"/>
          <w:szCs w:val="28"/>
        </w:rPr>
      </w:pPr>
      <w:bookmarkStart w:id="1" w:name="_Toc23605_WPSOffice_Level1"/>
      <w:r>
        <w:rPr>
          <w:rFonts w:hint="eastAsia" w:ascii="宋体" w:hAnsi="宋体" w:cs="宋体"/>
          <w:b/>
          <w:bCs/>
          <w:sz w:val="28"/>
          <w:szCs w:val="28"/>
          <w:lang w:val="en-US" w:eastAsia="zh-CN"/>
        </w:rPr>
        <w:t xml:space="preserve"> </w:t>
      </w:r>
      <w:bookmarkStart w:id="2" w:name="_Toc16247"/>
      <w:r>
        <w:rPr>
          <w:rFonts w:hint="eastAsia" w:ascii="宋体" w:hAnsi="宋体" w:cs="宋体"/>
          <w:b/>
          <w:bCs/>
          <w:sz w:val="28"/>
          <w:szCs w:val="28"/>
        </w:rPr>
        <w:t>竞争性</w:t>
      </w:r>
      <w:r>
        <w:rPr>
          <w:rFonts w:hint="eastAsia" w:ascii="宋体" w:hAnsi="宋体" w:cs="宋体"/>
          <w:b/>
          <w:bCs/>
          <w:sz w:val="28"/>
          <w:szCs w:val="28"/>
          <w:lang w:val="en-US" w:eastAsia="zh-CN"/>
        </w:rPr>
        <w:t>磋商</w:t>
      </w:r>
      <w:r>
        <w:rPr>
          <w:rFonts w:hint="eastAsia" w:ascii="宋体" w:hAnsi="宋体" w:cs="宋体"/>
          <w:b/>
          <w:bCs/>
          <w:sz w:val="28"/>
          <w:szCs w:val="28"/>
        </w:rPr>
        <w:t>公告</w:t>
      </w:r>
      <w:bookmarkEnd w:id="1"/>
      <w:bookmarkEnd w:id="2"/>
    </w:p>
    <w:p w14:paraId="53A21BCC">
      <w:pPr>
        <w:spacing w:line="360" w:lineRule="auto"/>
        <w:jc w:val="center"/>
        <w:rPr>
          <w:rFonts w:hint="eastAsia"/>
        </w:rPr>
      </w:pPr>
      <w:r>
        <w:rPr>
          <w:rFonts w:hint="eastAsia" w:ascii="宋体" w:hAnsi="宋体" w:cs="宋体"/>
          <w:b/>
          <w:bCs/>
          <w:sz w:val="24"/>
        </w:rPr>
        <w:t>同致诚工程咨询有限公司</w:t>
      </w:r>
      <w:r>
        <w:rPr>
          <w:rFonts w:hint="eastAsia" w:ascii="宋体" w:hAnsi="宋体" w:cs="宋体"/>
          <w:b/>
          <w:bCs/>
          <w:sz w:val="24"/>
          <w:lang w:val="en-US" w:eastAsia="zh-CN"/>
        </w:rPr>
        <w:t>关于梧州中山纪念堂修缮工程</w:t>
      </w:r>
      <w:r>
        <w:rPr>
          <w:rFonts w:hint="eastAsia" w:ascii="宋体" w:hAnsi="宋体" w:cs="宋体"/>
          <w:b/>
          <w:bCs/>
          <w:sz w:val="24"/>
        </w:rPr>
        <w:t>的竞争性</w:t>
      </w:r>
      <w:r>
        <w:rPr>
          <w:rFonts w:hint="eastAsia" w:ascii="宋体" w:hAnsi="宋体" w:cs="宋体"/>
          <w:b/>
          <w:bCs/>
          <w:sz w:val="24"/>
          <w:lang w:val="en-US" w:eastAsia="zh-CN"/>
        </w:rPr>
        <w:t>磋商</w:t>
      </w:r>
      <w:r>
        <w:rPr>
          <w:rFonts w:hint="eastAsia" w:ascii="宋体" w:hAnsi="宋体" w:cs="宋体"/>
          <w:b/>
          <w:bCs/>
          <w:sz w:val="24"/>
        </w:rPr>
        <w:t>公告</w:t>
      </w:r>
    </w:p>
    <w:tbl>
      <w:tblPr>
        <w:tblStyle w:val="16"/>
        <w:tblW w:w="0" w:type="auto"/>
        <w:tblInd w:w="0" w:type="dxa"/>
        <w:tblLayout w:type="fixed"/>
        <w:tblCellMar>
          <w:top w:w="15" w:type="dxa"/>
          <w:left w:w="15" w:type="dxa"/>
          <w:bottom w:w="15" w:type="dxa"/>
          <w:right w:w="15" w:type="dxa"/>
        </w:tblCellMar>
      </w:tblPr>
      <w:tblGrid>
        <w:gridCol w:w="9721"/>
      </w:tblGrid>
      <w:tr w14:paraId="444157D3">
        <w:tblPrEx>
          <w:tblCellMar>
            <w:top w:w="15" w:type="dxa"/>
            <w:left w:w="15" w:type="dxa"/>
            <w:bottom w:w="15" w:type="dxa"/>
            <w:right w:w="15" w:type="dxa"/>
          </w:tblCellMar>
        </w:tblPrEx>
        <w:tc>
          <w:tcPr>
            <w:tcW w:w="972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3D115698">
            <w:pPr>
              <w:widowControl/>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7B64EAC8">
            <w:pPr>
              <w:widowControl/>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 xml:space="preserve">梧州中山纪念堂修缮工程 </w:t>
            </w:r>
            <w:r>
              <w:rPr>
                <w:rFonts w:hint="eastAsia" w:ascii="宋体" w:hAnsi="宋体" w:cs="宋体"/>
                <w:color w:val="auto"/>
                <w:szCs w:val="21"/>
                <w:highlight w:val="none"/>
              </w:rPr>
              <w:t>项目的潜在供应商应在“广西政府采购云平台”（</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"https://www.gcy.zfcg.gxzf.gov.cn/%E9%94%9B%E5%A4%8E%E5%B9%8F%E9%8D%99%E6%A0%AD%E5%99%B0%E7%92%90%EE%85%9F%E6%9E%83%E6%B5%A0%E8%AE%B9%E7%B4%9D%E9%AA%9E%E6%9C%B5%E7%B0%AC2024%E9%AA%9E?7%E9%8F%88%3F5%E9%8F%83%3F9"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https://www.gcy.zfcg.gxzf.gov.cn/）获取采购文件，并于 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w:t>
            </w:r>
            <w:r>
              <w:rPr>
                <w:rFonts w:hint="eastAsia" w:ascii="宋体" w:hAnsi="宋体" w:cs="宋体"/>
                <w:color w:val="FF0000"/>
                <w:szCs w:val="21"/>
                <w:highlight w:val="none"/>
              </w:rPr>
              <w:t xml:space="preserve"> </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00</w:t>
            </w:r>
            <w:r>
              <w:rPr>
                <w:rFonts w:hint="eastAsia" w:ascii="宋体" w:hAnsi="宋体" w:cs="宋体"/>
                <w:color w:val="auto"/>
                <w:szCs w:val="21"/>
                <w:highlight w:val="none"/>
              </w:rPr>
              <w:t>（北京时间）前提交响应文件。 </w:t>
            </w:r>
          </w:p>
        </w:tc>
      </w:tr>
    </w:tbl>
    <w:p w14:paraId="6E8B1402">
      <w:pPr>
        <w:numPr>
          <w:ilvl w:val="0"/>
          <w:numId w:val="2"/>
        </w:numPr>
        <w:spacing w:line="360" w:lineRule="atLeast"/>
        <w:ind w:firstLine="422" w:firstLineChars="200"/>
        <w:rPr>
          <w:rFonts w:hint="eastAsia" w:ascii="宋体" w:hAnsi="宋体" w:cs="宋体"/>
          <w:b/>
          <w:bCs/>
          <w:color w:val="auto"/>
          <w:highlight w:val="none"/>
        </w:rPr>
      </w:pPr>
      <w:r>
        <w:rPr>
          <w:rFonts w:hint="eastAsia" w:ascii="宋体" w:hAnsi="宋体" w:cs="宋体"/>
          <w:b/>
          <w:bCs/>
          <w:color w:val="auto"/>
          <w:highlight w:val="none"/>
        </w:rPr>
        <w:t>项目基本情况</w:t>
      </w:r>
    </w:p>
    <w:p w14:paraId="15270A73">
      <w:pPr>
        <w:spacing w:line="360" w:lineRule="atLeas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rPr>
        <w:t>项目编号：WZZC202</w:t>
      </w:r>
      <w:r>
        <w:rPr>
          <w:rFonts w:hint="eastAsia" w:ascii="宋体" w:hAnsi="宋体" w:cs="宋体"/>
          <w:color w:val="auto"/>
          <w:highlight w:val="none"/>
          <w:lang w:val="en-US" w:eastAsia="zh-CN"/>
        </w:rPr>
        <w:t>6</w:t>
      </w:r>
      <w:r>
        <w:rPr>
          <w:rFonts w:hint="eastAsia" w:ascii="宋体" w:hAnsi="宋体" w:cs="宋体"/>
          <w:color w:val="auto"/>
          <w:highlight w:val="none"/>
        </w:rPr>
        <w:t>-C2-</w:t>
      </w:r>
      <w:r>
        <w:rPr>
          <w:rFonts w:hint="eastAsia" w:ascii="宋体" w:hAnsi="宋体" w:cs="宋体"/>
          <w:color w:val="auto"/>
          <w:highlight w:val="none"/>
          <w:lang w:val="en-US" w:eastAsia="zh-CN"/>
        </w:rPr>
        <w:t>990074</w:t>
      </w:r>
      <w:r>
        <w:rPr>
          <w:rFonts w:hint="eastAsia" w:ascii="宋体" w:hAnsi="宋体" w:cs="宋体"/>
          <w:color w:val="auto"/>
          <w:highlight w:val="none"/>
        </w:rPr>
        <w:t>-TZCG</w:t>
      </w:r>
    </w:p>
    <w:p w14:paraId="26BCF386">
      <w:pPr>
        <w:spacing w:line="360" w:lineRule="atLeas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rPr>
        <w:t>项目名称：</w:t>
      </w:r>
      <w:r>
        <w:rPr>
          <w:rFonts w:hint="eastAsia" w:ascii="宋体" w:hAnsi="宋体" w:cs="宋体"/>
          <w:color w:val="auto"/>
          <w:highlight w:val="none"/>
          <w:lang w:val="en-US" w:eastAsia="zh-CN"/>
        </w:rPr>
        <w:t>梧州中山纪念堂修缮工程</w:t>
      </w:r>
    </w:p>
    <w:p w14:paraId="1AD492DC">
      <w:pPr>
        <w:spacing w:line="360" w:lineRule="atLeas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采购方式：竞争性</w:t>
      </w:r>
      <w:r>
        <w:rPr>
          <w:rFonts w:hint="eastAsia" w:ascii="宋体" w:hAnsi="宋体" w:cs="宋体"/>
          <w:color w:val="auto"/>
          <w:highlight w:val="none"/>
          <w:lang w:val="en-US" w:eastAsia="zh-CN"/>
        </w:rPr>
        <w:t>磋商</w:t>
      </w:r>
    </w:p>
    <w:p w14:paraId="058FE0E4">
      <w:pPr>
        <w:spacing w:line="360" w:lineRule="atLeas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预算总金额（元）：3141266.32</w:t>
      </w:r>
    </w:p>
    <w:p w14:paraId="0180DE82">
      <w:pPr>
        <w:spacing w:line="360" w:lineRule="atLeast"/>
        <w:ind w:firstLine="420" w:firstLineChars="200"/>
        <w:rPr>
          <w:rFonts w:hint="eastAsia" w:ascii="宋体" w:hAnsi="宋体" w:cs="宋体"/>
          <w:color w:val="auto"/>
          <w:highlight w:val="none"/>
        </w:rPr>
      </w:pPr>
      <w:r>
        <w:rPr>
          <w:rFonts w:hint="eastAsia" w:ascii="宋体" w:hAnsi="宋体" w:cs="宋体"/>
          <w:color w:val="auto"/>
          <w:highlight w:val="none"/>
        </w:rPr>
        <w:t>采购需求：</w:t>
      </w:r>
    </w:p>
    <w:p w14:paraId="410B0DE7">
      <w:pPr>
        <w:spacing w:line="360" w:lineRule="atLeas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标项名称：</w:t>
      </w:r>
      <w:r>
        <w:rPr>
          <w:rFonts w:hint="eastAsia" w:ascii="宋体" w:hAnsi="宋体" w:cs="宋体"/>
          <w:color w:val="auto"/>
          <w:highlight w:val="none"/>
          <w:lang w:val="en-US" w:eastAsia="zh-CN"/>
        </w:rPr>
        <w:t>梧州中山纪念堂修缮工程</w:t>
      </w:r>
    </w:p>
    <w:p w14:paraId="5E855DA1">
      <w:pPr>
        <w:spacing w:line="360" w:lineRule="atLeast"/>
        <w:ind w:firstLine="420" w:firstLineChars="200"/>
        <w:rPr>
          <w:rFonts w:hint="eastAsia" w:ascii="宋体" w:hAnsi="宋体" w:cs="宋体"/>
          <w:color w:val="auto"/>
          <w:highlight w:val="none"/>
        </w:rPr>
      </w:pPr>
      <w:r>
        <w:rPr>
          <w:rFonts w:hint="eastAsia" w:ascii="宋体" w:hAnsi="宋体" w:cs="宋体"/>
          <w:color w:val="auto"/>
          <w:highlight w:val="none"/>
        </w:rPr>
        <w:t>数量：1</w:t>
      </w:r>
    </w:p>
    <w:p w14:paraId="141B4BBA">
      <w:pPr>
        <w:spacing w:line="360" w:lineRule="atLeast"/>
        <w:ind w:firstLine="420" w:firstLineChars="200"/>
        <w:rPr>
          <w:rFonts w:hint="eastAsia" w:ascii="宋体" w:hAnsi="宋体" w:cs="宋体"/>
          <w:color w:val="auto"/>
          <w:highlight w:val="none"/>
          <w:lang w:val="en-US"/>
        </w:rPr>
      </w:pPr>
      <w:r>
        <w:rPr>
          <w:rFonts w:hint="eastAsia" w:ascii="宋体" w:hAnsi="宋体" w:cs="宋体"/>
          <w:color w:val="auto"/>
          <w:highlight w:val="none"/>
        </w:rPr>
        <w:t>预算金额（元）：3141266.32</w:t>
      </w:r>
    </w:p>
    <w:p w14:paraId="47A46E0C">
      <w:pPr>
        <w:spacing w:line="360" w:lineRule="atLeast"/>
        <w:ind w:firstLine="420" w:firstLineChars="20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简要规格描述或项目基本概况介绍、用途：纪念堂屋面、瓦面，屋架，木楼板木楼楞，墙体及内外饰面，地面，门窗、构件残损缺失，整体建筑电气改造，白蚁防治进行修缮保护。</w:t>
      </w:r>
      <w:r>
        <w:rPr>
          <w:rFonts w:hint="eastAsia" w:ascii="宋体" w:hAnsi="宋体" w:cs="宋体"/>
          <w:color w:val="auto"/>
          <w:highlight w:val="none"/>
          <w:lang w:val="en-US" w:eastAsia="zh-CN"/>
        </w:rPr>
        <w:t>具体详见竞争性磋商文件、工程量清单及图纸要求范围内所有内容</w:t>
      </w:r>
      <w:r>
        <w:rPr>
          <w:rFonts w:hint="eastAsia" w:ascii="宋体" w:hAnsi="宋体" w:cs="宋体"/>
          <w:color w:val="auto"/>
          <w:kern w:val="0"/>
          <w:sz w:val="21"/>
          <w:szCs w:val="21"/>
          <w:highlight w:val="none"/>
        </w:rPr>
        <w:t>。</w:t>
      </w:r>
    </w:p>
    <w:p w14:paraId="10F173E1">
      <w:pPr>
        <w:spacing w:line="360" w:lineRule="atLeast"/>
        <w:ind w:firstLine="420" w:firstLineChars="200"/>
        <w:rPr>
          <w:rFonts w:hint="eastAsia" w:ascii="宋体" w:hAnsi="宋体" w:cs="宋体"/>
          <w:color w:val="auto"/>
          <w:sz w:val="21"/>
          <w:szCs w:val="21"/>
          <w:highlight w:val="none"/>
          <w:lang w:val="en-US"/>
        </w:rPr>
      </w:pPr>
      <w:r>
        <w:rPr>
          <w:rFonts w:hint="eastAsia" w:ascii="宋体" w:hAnsi="宋体" w:cs="宋体"/>
          <w:color w:val="auto"/>
          <w:kern w:val="0"/>
          <w:sz w:val="21"/>
          <w:szCs w:val="21"/>
          <w:highlight w:val="none"/>
        </w:rPr>
        <w:t>最高限价（如有）：3141266.32</w:t>
      </w:r>
    </w:p>
    <w:p w14:paraId="4AE4B10E">
      <w:pPr>
        <w:spacing w:line="360" w:lineRule="atLeas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合同履约期限：</w:t>
      </w:r>
      <w:r>
        <w:rPr>
          <w:rFonts w:hint="eastAsia" w:ascii="宋体" w:hAnsi="宋体" w:cs="宋体"/>
          <w:color w:val="auto"/>
          <w:sz w:val="21"/>
          <w:szCs w:val="21"/>
          <w:highlight w:val="none"/>
          <w:lang w:val="en-US" w:eastAsia="zh-CN"/>
        </w:rPr>
        <w:t>本工程总工期为270日历天；其中白蚁防治工程包治期为5年（1年施工期，4年维护保养期），主体工程完工后，白蚁防治包治工程继续履行。</w:t>
      </w:r>
    </w:p>
    <w:p w14:paraId="05FF0391">
      <w:pPr>
        <w:spacing w:line="360" w:lineRule="atLeast"/>
        <w:ind w:firstLine="420" w:firstLineChars="200"/>
        <w:rPr>
          <w:rFonts w:hint="eastAsia" w:ascii="宋体" w:hAnsi="宋体" w:cs="宋体"/>
          <w:color w:val="auto"/>
          <w:highlight w:val="none"/>
        </w:rPr>
      </w:pPr>
      <w:r>
        <w:rPr>
          <w:rFonts w:hint="eastAsia" w:ascii="宋体" w:hAnsi="宋体" w:cs="宋体"/>
          <w:color w:val="auto"/>
          <w:highlight w:val="none"/>
        </w:rPr>
        <w:t>本项目（否）接受联合体投标</w:t>
      </w:r>
    </w:p>
    <w:p w14:paraId="5209A6D5">
      <w:pPr>
        <w:spacing w:line="360" w:lineRule="atLeast"/>
        <w:ind w:firstLine="420" w:firstLineChars="200"/>
        <w:rPr>
          <w:rFonts w:hint="eastAsia" w:eastAsia="宋体"/>
          <w:color w:val="auto"/>
          <w:highlight w:val="none"/>
          <w:lang w:val="en-US" w:eastAsia="zh-CN"/>
        </w:rPr>
      </w:pPr>
      <w:r>
        <w:rPr>
          <w:rFonts w:hint="eastAsia" w:ascii="宋体" w:hAnsi="宋体" w:eastAsia="宋体" w:cs="宋体"/>
          <w:color w:val="auto"/>
          <w:highlight w:val="none"/>
          <w:lang w:val="en-US" w:eastAsia="zh-CN"/>
        </w:rPr>
        <w:t>备注：/</w:t>
      </w:r>
    </w:p>
    <w:p w14:paraId="42C035D0">
      <w:pPr>
        <w:numPr>
          <w:ilvl w:val="0"/>
          <w:numId w:val="2"/>
        </w:numPr>
        <w:spacing w:line="360" w:lineRule="atLeast"/>
        <w:ind w:firstLine="422" w:firstLineChars="200"/>
        <w:rPr>
          <w:rFonts w:hint="eastAsia" w:ascii="宋体" w:hAnsi="宋体" w:cs="宋体"/>
          <w:b/>
          <w:bCs/>
          <w:color w:val="auto"/>
          <w:highlight w:val="none"/>
        </w:rPr>
      </w:pPr>
      <w:r>
        <w:rPr>
          <w:rFonts w:hint="eastAsia" w:ascii="宋体" w:hAnsi="宋体" w:cs="宋体"/>
          <w:b/>
          <w:bCs/>
          <w:color w:val="auto"/>
          <w:highlight w:val="none"/>
        </w:rPr>
        <w:t>申请人的资格要求：</w:t>
      </w:r>
    </w:p>
    <w:p w14:paraId="6ADB2B19">
      <w:pPr>
        <w:numPr>
          <w:ilvl w:val="0"/>
          <w:numId w:val="3"/>
        </w:numPr>
        <w:spacing w:line="360" w:lineRule="atLeast"/>
        <w:ind w:firstLine="420" w:firstLineChars="200"/>
        <w:rPr>
          <w:rFonts w:hint="eastAsia" w:ascii="宋体" w:hAnsi="宋体" w:cs="宋体"/>
          <w:color w:val="auto"/>
          <w:highlight w:val="none"/>
        </w:rPr>
      </w:pPr>
      <w:r>
        <w:rPr>
          <w:rFonts w:hint="eastAsia" w:ascii="宋体" w:hAnsi="宋体" w:cs="宋体"/>
          <w:color w:val="auto"/>
          <w:highlight w:val="none"/>
        </w:rPr>
        <w:t>满足《中华人民共和国政府采购法》第二十二条规定；</w:t>
      </w:r>
    </w:p>
    <w:p w14:paraId="30D38DDB">
      <w:pPr>
        <w:numPr>
          <w:ilvl w:val="0"/>
          <w:numId w:val="3"/>
        </w:numPr>
        <w:spacing w:line="360" w:lineRule="atLeast"/>
        <w:ind w:firstLine="420" w:firstLineChars="200"/>
        <w:rPr>
          <w:rFonts w:hint="eastAsia" w:ascii="宋体" w:hAnsi="宋体" w:cs="宋体"/>
          <w:color w:val="auto"/>
          <w:highlight w:val="none"/>
        </w:rPr>
      </w:pPr>
      <w:r>
        <w:rPr>
          <w:rFonts w:hint="eastAsia" w:ascii="宋体" w:hAnsi="宋体" w:cs="宋体"/>
          <w:color w:val="auto"/>
          <w:highlight w:val="none"/>
        </w:rPr>
        <w:t>落实政府采购政策需满足的资格要求：</w:t>
      </w:r>
      <w:r>
        <w:rPr>
          <w:rFonts w:hint="eastAsia" w:ascii="宋体" w:hAnsi="宋体" w:eastAsia="宋体" w:cs="宋体"/>
          <w:color w:val="auto"/>
          <w:highlight w:val="none"/>
          <w:lang w:val="en-US" w:eastAsia="zh-CN"/>
        </w:rPr>
        <w:t>分标1：专门面向中小企业采购的项目（供应商应为中小微企业或监狱企业或残疾人福利性单位）</w:t>
      </w:r>
      <w:r>
        <w:rPr>
          <w:rFonts w:hint="eastAsia" w:ascii="宋体" w:hAnsi="宋体" w:cs="宋体"/>
          <w:color w:val="auto"/>
          <w:highlight w:val="none"/>
        </w:rPr>
        <w:t>；</w:t>
      </w:r>
    </w:p>
    <w:p w14:paraId="1A4A2B56">
      <w:pPr>
        <w:numPr>
          <w:ilvl w:val="0"/>
          <w:numId w:val="3"/>
        </w:numPr>
        <w:spacing w:line="360" w:lineRule="atLeas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本项目的特定资格要求：</w:t>
      </w:r>
      <w:r>
        <w:rPr>
          <w:rFonts w:hint="eastAsia" w:ascii="宋体" w:hAnsi="宋体" w:cs="宋体"/>
          <w:color w:val="auto"/>
          <w:highlight w:val="none"/>
          <w:lang w:val="en-US" w:eastAsia="zh-CN"/>
        </w:rPr>
        <w:t>分标1  3.1 供应商须具备文物保护工程施工一级资质，具备有效的安全生产许可证；并在人员、设备、资金等方面具备相应的施工能力。</w:t>
      </w:r>
    </w:p>
    <w:p w14:paraId="445EA68F">
      <w:pPr>
        <w:numPr>
          <w:ilvl w:val="0"/>
          <w:numId w:val="0"/>
        </w:numPr>
        <w:spacing w:line="360" w:lineRule="atLeas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3.2 拟投入本项目的项目经理必须具有文物保护工程责任工程师资格证书，本项目不接受有在建、已中标（成交）未开工或已列为其他项目中标候选人第一名的责任工程师作为项目经理。</w:t>
      </w:r>
    </w:p>
    <w:p w14:paraId="4F0BC20F">
      <w:pPr>
        <w:numPr>
          <w:ilvl w:val="0"/>
          <w:numId w:val="0"/>
        </w:numPr>
        <w:spacing w:line="360" w:lineRule="atLeas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3.3 拟派专职安全生产管理人员须具备有效的安全生产考核合格证书（C类），且不少于1人。</w:t>
      </w:r>
    </w:p>
    <w:p w14:paraId="0A71C141">
      <w:pPr>
        <w:numPr>
          <w:ilvl w:val="0"/>
          <w:numId w:val="2"/>
        </w:numPr>
        <w:spacing w:line="360" w:lineRule="atLeast"/>
        <w:ind w:firstLine="422" w:firstLineChars="200"/>
        <w:rPr>
          <w:rFonts w:hint="eastAsia" w:ascii="宋体" w:hAnsi="宋体" w:cs="宋体"/>
          <w:b/>
          <w:bCs/>
          <w:color w:val="auto"/>
          <w:highlight w:val="none"/>
        </w:rPr>
      </w:pPr>
      <w:r>
        <w:rPr>
          <w:rFonts w:hint="eastAsia" w:ascii="宋体" w:hAnsi="宋体" w:cs="宋体"/>
          <w:b/>
          <w:bCs/>
          <w:color w:val="auto"/>
          <w:highlight w:val="none"/>
        </w:rPr>
        <w:t>获取采购文件</w:t>
      </w:r>
    </w:p>
    <w:p w14:paraId="1E072618">
      <w:pPr>
        <w:spacing w:line="360" w:lineRule="atLeast"/>
        <w:ind w:firstLine="420" w:firstLineChars="200"/>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日</w:t>
      </w:r>
      <w:r>
        <w:rPr>
          <w:rFonts w:hint="eastAsia" w:ascii="宋体" w:hAnsi="宋体" w:eastAsia="宋体" w:cs="宋体"/>
          <w:color w:val="auto"/>
          <w:highlight w:val="none"/>
        </w:rPr>
        <w:t>至</w:t>
      </w:r>
      <w:bookmarkStart w:id="937" w:name="_GoBack"/>
      <w:bookmarkEnd w:id="937"/>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 xml:space="preserve">日 </w:t>
      </w:r>
      <w:r>
        <w:rPr>
          <w:rFonts w:hint="eastAsia" w:ascii="宋体" w:hAnsi="宋体" w:cs="宋体"/>
          <w:color w:val="auto"/>
          <w:highlight w:val="none"/>
        </w:rPr>
        <w:t>，每天上午</w:t>
      </w:r>
      <w:r>
        <w:rPr>
          <w:rFonts w:hint="eastAsia" w:ascii="宋体" w:hAnsi="宋体" w:cs="宋体"/>
          <w:color w:val="auto"/>
          <w:highlight w:val="none"/>
          <w:lang w:val="en-US" w:eastAsia="zh-CN"/>
        </w:rPr>
        <w:t>00</w:t>
      </w:r>
      <w:r>
        <w:rPr>
          <w:rFonts w:hint="eastAsia" w:ascii="宋体" w:hAnsi="宋体" w:cs="宋体"/>
          <w:color w:val="auto"/>
          <w:highlight w:val="none"/>
        </w:rPr>
        <w:t>:00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00</w:t>
      </w:r>
      <w:r>
        <w:rPr>
          <w:rFonts w:hint="eastAsia" w:ascii="宋体" w:hAnsi="宋体" w:cs="宋体"/>
          <w:color w:val="auto"/>
          <w:highlight w:val="none"/>
        </w:rPr>
        <w:t>至12:00</w:t>
      </w:r>
      <w:r>
        <w:rPr>
          <w:rFonts w:hint="eastAsia" w:ascii="宋体" w:hAnsi="宋体" w:cs="宋体"/>
          <w:color w:val="auto"/>
          <w:highlight w:val="none"/>
          <w:lang w:val="en-US" w:eastAsia="zh-CN"/>
        </w:rPr>
        <w:t>:00</w:t>
      </w:r>
      <w:r>
        <w:rPr>
          <w:rFonts w:hint="eastAsia" w:ascii="宋体" w:hAnsi="宋体" w:cs="宋体"/>
          <w:color w:val="auto"/>
          <w:highlight w:val="none"/>
        </w:rPr>
        <w:t>，下午</w:t>
      </w:r>
      <w:r>
        <w:rPr>
          <w:rFonts w:hint="eastAsia" w:ascii="宋体" w:hAnsi="宋体" w:cs="宋体"/>
          <w:color w:val="auto"/>
          <w:highlight w:val="none"/>
          <w:lang w:val="en-US" w:eastAsia="zh-CN"/>
        </w:rPr>
        <w:t>12</w:t>
      </w:r>
      <w:r>
        <w:rPr>
          <w:rFonts w:hint="eastAsia" w:ascii="宋体" w:hAnsi="宋体" w:cs="宋体"/>
          <w:color w:val="auto"/>
          <w:highlight w:val="none"/>
        </w:rPr>
        <w:t>:00</w:t>
      </w:r>
      <w:r>
        <w:rPr>
          <w:rFonts w:hint="eastAsia" w:ascii="宋体" w:hAnsi="宋体" w:cs="宋体"/>
          <w:color w:val="auto"/>
          <w:highlight w:val="none"/>
          <w:lang w:val="en-US" w:eastAsia="zh-CN"/>
        </w:rPr>
        <w:t>:00</w:t>
      </w:r>
      <w:r>
        <w:rPr>
          <w:rFonts w:hint="eastAsia" w:ascii="宋体" w:hAnsi="宋体" w:cs="宋体"/>
          <w:color w:val="auto"/>
          <w:highlight w:val="none"/>
        </w:rPr>
        <w:t>至</w:t>
      </w:r>
      <w:r>
        <w:rPr>
          <w:rFonts w:hint="eastAsia" w:ascii="宋体" w:hAnsi="宋体" w:cs="宋体"/>
          <w:color w:val="auto"/>
          <w:highlight w:val="none"/>
          <w:lang w:val="en-US" w:eastAsia="zh-CN"/>
        </w:rPr>
        <w:t>23</w:t>
      </w:r>
      <w:r>
        <w:rPr>
          <w:rFonts w:hint="eastAsia" w:ascii="宋体" w:hAnsi="宋体" w:cs="宋体"/>
          <w:color w:val="auto"/>
          <w:highlight w:val="none"/>
        </w:rPr>
        <w:t>:</w:t>
      </w:r>
      <w:r>
        <w:rPr>
          <w:rFonts w:hint="eastAsia" w:ascii="宋体" w:hAnsi="宋体" w:cs="宋体"/>
          <w:color w:val="auto"/>
          <w:highlight w:val="none"/>
          <w:lang w:val="en-US" w:eastAsia="zh-CN"/>
        </w:rPr>
        <w:t>59:59</w:t>
      </w:r>
      <w:r>
        <w:rPr>
          <w:rFonts w:hint="eastAsia" w:ascii="宋体" w:hAnsi="宋体" w:cs="宋体"/>
          <w:color w:val="auto"/>
          <w:highlight w:val="none"/>
        </w:rPr>
        <w:t>（北京时间，法定节假日除外）</w:t>
      </w:r>
    </w:p>
    <w:p w14:paraId="3CC4B890">
      <w:pPr>
        <w:spacing w:line="360" w:lineRule="atLeast"/>
        <w:ind w:firstLine="420" w:firstLineChars="200"/>
        <w:rPr>
          <w:rFonts w:hint="eastAsia" w:ascii="宋体" w:hAnsi="宋体" w:cs="宋体"/>
          <w:bCs/>
          <w:color w:val="auto"/>
          <w:kern w:val="1"/>
          <w:szCs w:val="21"/>
          <w:highlight w:val="none"/>
        </w:rPr>
      </w:pPr>
      <w:r>
        <w:rPr>
          <w:rFonts w:hint="eastAsia" w:ascii="宋体" w:hAnsi="宋体" w:cs="宋体"/>
          <w:color w:val="auto"/>
          <w:highlight w:val="none"/>
        </w:rPr>
        <w:t>地点（网址）：</w:t>
      </w:r>
      <w:bookmarkStart w:id="3" w:name="OLE_LINK6"/>
      <w:r>
        <w:rPr>
          <w:rFonts w:hint="eastAsia" w:ascii="宋体" w:hAnsi="宋体" w:cs="宋体"/>
          <w:color w:val="auto"/>
          <w:highlight w:val="none"/>
        </w:rPr>
        <w:t>“广西政府采购云平台”</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"https://www.zcygov.cn/" \h </w:instrText>
      </w:r>
      <w:r>
        <w:rPr>
          <w:rFonts w:hint="eastAsia" w:ascii="宋体" w:hAnsi="宋体" w:cs="宋体"/>
          <w:color w:val="auto"/>
          <w:highlight w:val="none"/>
        </w:rPr>
        <w:fldChar w:fldCharType="separate"/>
      </w:r>
      <w:r>
        <w:rPr>
          <w:rFonts w:hint="eastAsia" w:ascii="宋体" w:hAnsi="宋体" w:cs="宋体"/>
          <w:color w:val="auto"/>
          <w:highlight w:val="none"/>
        </w:rPr>
        <w:t>（https://www.gcy.zfcg.gxzf.gov.cn/</w:t>
      </w:r>
      <w:r>
        <w:rPr>
          <w:rFonts w:hint="eastAsia" w:ascii="宋体" w:hAnsi="宋体" w:cs="宋体"/>
          <w:color w:val="auto"/>
          <w:highlight w:val="none"/>
        </w:rPr>
        <w:fldChar w:fldCharType="end"/>
      </w:r>
      <w:r>
        <w:rPr>
          <w:rFonts w:hint="eastAsia" w:ascii="宋体" w:hAnsi="宋体" w:cs="宋体"/>
          <w:color w:val="auto"/>
          <w:highlight w:val="none"/>
        </w:rPr>
        <w:t>）</w:t>
      </w:r>
      <w:bookmarkEnd w:id="3"/>
    </w:p>
    <w:p w14:paraId="76C35062">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highlight w:val="none"/>
        </w:rPr>
        <w:t>方式：</w:t>
      </w:r>
      <w:bookmarkStart w:id="4" w:name="OLE_LINK8"/>
      <w:r>
        <w:rPr>
          <w:rFonts w:hint="eastAsia" w:ascii="宋体" w:hAnsi="宋体" w:cs="宋体"/>
          <w:bCs/>
          <w:color w:val="auto"/>
          <w:kern w:val="1"/>
          <w:szCs w:val="21"/>
          <w:highlight w:val="none"/>
          <w:lang w:eastAsia="zh-CN"/>
        </w:rPr>
        <w:t>潜在供应商在竞争性磋商文件获取期限内登陆“ 广西政府采购云平台”免费申请获取并下载竞争性磋商文件（如在操作过程中遇到问题或需技术支持，广西政府采购云平台咨询电话：95763）</w:t>
      </w:r>
      <w:bookmarkEnd w:id="4"/>
    </w:p>
    <w:p w14:paraId="73FB3E99">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rPr>
        <w:t>售价（元）：0</w:t>
      </w:r>
    </w:p>
    <w:p w14:paraId="43F4DD5E">
      <w:pPr>
        <w:numPr>
          <w:ilvl w:val="0"/>
          <w:numId w:val="2"/>
        </w:numPr>
        <w:spacing w:line="360" w:lineRule="atLeast"/>
        <w:ind w:firstLine="422" w:firstLineChars="200"/>
        <w:rPr>
          <w:rFonts w:hint="eastAsia" w:ascii="宋体" w:hAnsi="宋体" w:cs="宋体"/>
          <w:b/>
          <w:color w:val="auto"/>
          <w:kern w:val="1"/>
          <w:szCs w:val="21"/>
        </w:rPr>
      </w:pPr>
      <w:r>
        <w:rPr>
          <w:rFonts w:hint="eastAsia" w:ascii="宋体" w:hAnsi="宋体" w:cs="宋体"/>
          <w:b/>
          <w:color w:val="auto"/>
          <w:kern w:val="1"/>
          <w:szCs w:val="21"/>
        </w:rPr>
        <w:t>响应文件提交</w:t>
      </w:r>
    </w:p>
    <w:p w14:paraId="66FBE50B">
      <w:pPr>
        <w:spacing w:line="360" w:lineRule="atLeast"/>
        <w:ind w:firstLine="420" w:firstLineChars="200"/>
        <w:rPr>
          <w:rFonts w:hint="eastAsia" w:ascii="宋体" w:hAnsi="宋体" w:cs="宋体"/>
          <w:bCs/>
          <w:color w:val="auto"/>
          <w:kern w:val="1"/>
          <w:szCs w:val="21"/>
          <w:highlight w:val="none"/>
        </w:rPr>
      </w:pPr>
      <w:r>
        <w:rPr>
          <w:rFonts w:hint="eastAsia" w:ascii="宋体" w:hAnsi="宋体" w:cs="宋体"/>
          <w:bCs/>
          <w:color w:val="auto"/>
          <w:kern w:val="1"/>
          <w:szCs w:val="21"/>
        </w:rPr>
        <w:t>截止时间：</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 xml:space="preserve">日 </w:t>
      </w:r>
      <w:r>
        <w:rPr>
          <w:rFonts w:hint="eastAsia" w:ascii="宋体" w:hAnsi="宋体" w:cs="宋体"/>
          <w:color w:val="auto"/>
          <w:highlight w:val="none"/>
          <w:lang w:val="en-US" w:eastAsia="zh-CN"/>
        </w:rPr>
        <w:t>0</w:t>
      </w:r>
      <w:r>
        <w:rPr>
          <w:rFonts w:hint="eastAsia" w:ascii="宋体" w:hAnsi="宋体" w:eastAsia="宋体" w:cs="宋体"/>
          <w:bCs/>
          <w:color w:val="auto"/>
          <w:kern w:val="1"/>
          <w:szCs w:val="21"/>
          <w:highlight w:val="none"/>
          <w:lang w:val="en-US" w:eastAsia="zh-CN"/>
        </w:rPr>
        <w:t>9</w:t>
      </w:r>
      <w:r>
        <w:rPr>
          <w:rFonts w:hint="eastAsia" w:ascii="宋体" w:hAnsi="宋体" w:cs="宋体"/>
          <w:bCs/>
          <w:color w:val="auto"/>
          <w:kern w:val="1"/>
          <w:szCs w:val="21"/>
          <w:highlight w:val="none"/>
        </w:rPr>
        <w:t>:</w:t>
      </w:r>
      <w:r>
        <w:rPr>
          <w:rFonts w:hint="eastAsia" w:ascii="宋体" w:hAnsi="宋体" w:eastAsia="宋体" w:cs="宋体"/>
          <w:bCs/>
          <w:color w:val="auto"/>
          <w:kern w:val="1"/>
          <w:szCs w:val="21"/>
          <w:highlight w:val="none"/>
          <w:lang w:val="en-US" w:eastAsia="zh-CN"/>
        </w:rPr>
        <w:t>0</w:t>
      </w:r>
      <w:r>
        <w:rPr>
          <w:rFonts w:hint="eastAsia" w:ascii="宋体" w:hAnsi="宋体" w:cs="宋体"/>
          <w:bCs/>
          <w:color w:val="auto"/>
          <w:kern w:val="1"/>
          <w:szCs w:val="21"/>
          <w:highlight w:val="none"/>
        </w:rPr>
        <w:t>0（北京时间）</w:t>
      </w:r>
    </w:p>
    <w:p w14:paraId="1C6DFFC3">
      <w:pPr>
        <w:spacing w:line="360" w:lineRule="atLeast"/>
        <w:ind w:firstLine="420" w:firstLineChars="200"/>
        <w:rPr>
          <w:rFonts w:hint="eastAsia" w:ascii="宋体" w:hAnsi="宋体" w:cs="宋体"/>
          <w:bCs/>
          <w:color w:val="auto"/>
          <w:kern w:val="1"/>
          <w:szCs w:val="21"/>
          <w:highlight w:val="none"/>
        </w:rPr>
      </w:pPr>
      <w:r>
        <w:rPr>
          <w:rFonts w:hint="eastAsia" w:ascii="宋体" w:hAnsi="宋体" w:cs="宋体"/>
          <w:bCs/>
          <w:color w:val="auto"/>
          <w:kern w:val="1"/>
          <w:szCs w:val="21"/>
          <w:highlight w:val="none"/>
        </w:rPr>
        <w:t>地点（网址）：</w:t>
      </w:r>
      <w:bookmarkStart w:id="5" w:name="OLE_LINK9"/>
      <w:r>
        <w:rPr>
          <w:rFonts w:hint="eastAsia" w:ascii="宋体" w:hAnsi="宋体" w:cs="宋体"/>
          <w:bCs/>
          <w:color w:val="auto"/>
          <w:kern w:val="1"/>
          <w:szCs w:val="21"/>
          <w:highlight w:val="none"/>
        </w:rPr>
        <w:t>请登录广西政府采购云平台投标客户端投标</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rPr>
        <w:t>（本项目不要求供应商到达开标现场，但供应商应派法定代表人或委托代理人准时在线出席电子开评标会议， 随时关注开评标进度，如在开评标过程中有电子询标，应在规定的时间内对电子询标函进行澄清回复。）</w:t>
      </w:r>
    </w:p>
    <w:bookmarkEnd w:id="5"/>
    <w:p w14:paraId="4298DEBD">
      <w:pPr>
        <w:numPr>
          <w:ilvl w:val="0"/>
          <w:numId w:val="2"/>
        </w:numPr>
        <w:spacing w:line="360" w:lineRule="atLeast"/>
        <w:ind w:firstLine="422" w:firstLineChars="200"/>
        <w:rPr>
          <w:rFonts w:hint="eastAsia" w:ascii="宋体" w:hAnsi="宋体" w:cs="宋体"/>
          <w:b/>
          <w:color w:val="auto"/>
          <w:kern w:val="1"/>
          <w:szCs w:val="21"/>
          <w:highlight w:val="none"/>
        </w:rPr>
      </w:pPr>
      <w:r>
        <w:rPr>
          <w:rFonts w:hint="eastAsia" w:ascii="宋体" w:hAnsi="宋体" w:cs="宋体"/>
          <w:b/>
          <w:color w:val="auto"/>
          <w:kern w:val="1"/>
          <w:szCs w:val="21"/>
          <w:highlight w:val="none"/>
        </w:rPr>
        <w:t>响应文件开启</w:t>
      </w:r>
    </w:p>
    <w:p w14:paraId="34EF0C0B">
      <w:pPr>
        <w:spacing w:line="360" w:lineRule="atLeast"/>
        <w:ind w:firstLine="420" w:firstLineChars="200"/>
        <w:rPr>
          <w:rFonts w:hint="eastAsia" w:ascii="宋体" w:hAnsi="宋体" w:cs="宋体"/>
          <w:bCs/>
          <w:color w:val="auto"/>
          <w:kern w:val="1"/>
          <w:szCs w:val="21"/>
          <w:highlight w:val="none"/>
        </w:rPr>
      </w:pPr>
      <w:r>
        <w:rPr>
          <w:rFonts w:hint="eastAsia" w:ascii="宋体" w:hAnsi="宋体" w:cs="宋体"/>
          <w:bCs/>
          <w:color w:val="auto"/>
          <w:kern w:val="1"/>
          <w:szCs w:val="21"/>
          <w:highlight w:val="none"/>
        </w:rPr>
        <w:t>开启时间：</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 xml:space="preserve">日 </w:t>
      </w:r>
      <w:r>
        <w:rPr>
          <w:rFonts w:hint="eastAsia" w:ascii="宋体" w:hAnsi="宋体" w:cs="宋体"/>
          <w:color w:val="auto"/>
          <w:highlight w:val="none"/>
          <w:lang w:val="en-US" w:eastAsia="zh-CN"/>
        </w:rPr>
        <w:t>0</w:t>
      </w:r>
      <w:r>
        <w:rPr>
          <w:rFonts w:hint="eastAsia" w:ascii="宋体" w:hAnsi="宋体" w:eastAsia="宋体" w:cs="宋体"/>
          <w:bCs/>
          <w:color w:val="auto"/>
          <w:kern w:val="1"/>
          <w:szCs w:val="21"/>
          <w:highlight w:val="none"/>
          <w:lang w:val="en-US" w:eastAsia="zh-CN"/>
        </w:rPr>
        <w:t>9</w:t>
      </w:r>
      <w:r>
        <w:rPr>
          <w:rFonts w:hint="eastAsia" w:ascii="宋体" w:hAnsi="宋体" w:cs="宋体"/>
          <w:bCs/>
          <w:color w:val="auto"/>
          <w:kern w:val="1"/>
          <w:szCs w:val="21"/>
          <w:highlight w:val="none"/>
        </w:rPr>
        <w:t>:</w:t>
      </w:r>
      <w:r>
        <w:rPr>
          <w:rFonts w:hint="eastAsia" w:ascii="宋体" w:hAnsi="宋体" w:eastAsia="宋体" w:cs="宋体"/>
          <w:bCs/>
          <w:color w:val="auto"/>
          <w:kern w:val="1"/>
          <w:szCs w:val="21"/>
          <w:highlight w:val="none"/>
          <w:lang w:val="en-US" w:eastAsia="zh-CN"/>
        </w:rPr>
        <w:t>0</w:t>
      </w:r>
      <w:r>
        <w:rPr>
          <w:rFonts w:hint="eastAsia" w:ascii="宋体" w:hAnsi="宋体" w:cs="宋体"/>
          <w:bCs/>
          <w:color w:val="auto"/>
          <w:kern w:val="1"/>
          <w:szCs w:val="21"/>
          <w:highlight w:val="none"/>
        </w:rPr>
        <w:t>0（北京时间）</w:t>
      </w:r>
    </w:p>
    <w:p w14:paraId="5FFA4F11">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highlight w:val="none"/>
        </w:rPr>
        <w:t>地点：在广西政府采购云平台（https://</w:t>
      </w:r>
      <w:r>
        <w:rPr>
          <w:rFonts w:hint="eastAsia" w:ascii="宋体" w:hAnsi="宋体" w:cs="宋体"/>
          <w:bCs/>
          <w:color w:val="auto"/>
          <w:kern w:val="1"/>
          <w:szCs w:val="21"/>
        </w:rPr>
        <w:t>www.gcy.zfcg.gxzf.gov.cn/）线上解密开启投标响应文件，解密时间为30分钟，请各潜在供应商合理安排时间。</w:t>
      </w:r>
    </w:p>
    <w:p w14:paraId="609C7C3E">
      <w:pPr>
        <w:numPr>
          <w:ilvl w:val="0"/>
          <w:numId w:val="2"/>
        </w:numPr>
        <w:spacing w:line="360" w:lineRule="atLeast"/>
        <w:ind w:firstLine="422" w:firstLineChars="200"/>
        <w:rPr>
          <w:rFonts w:hint="eastAsia" w:ascii="宋体" w:hAnsi="宋体" w:cs="宋体"/>
          <w:b/>
          <w:color w:val="auto"/>
          <w:kern w:val="1"/>
          <w:szCs w:val="21"/>
        </w:rPr>
      </w:pPr>
      <w:r>
        <w:rPr>
          <w:rFonts w:hint="eastAsia" w:ascii="宋体" w:hAnsi="宋体" w:cs="宋体"/>
          <w:b/>
          <w:color w:val="auto"/>
          <w:kern w:val="1"/>
          <w:szCs w:val="21"/>
        </w:rPr>
        <w:t>公告期限</w:t>
      </w:r>
    </w:p>
    <w:p w14:paraId="708BE2CF">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rPr>
        <w:t>自本公告发布之日起</w:t>
      </w:r>
      <w:r>
        <w:rPr>
          <w:rFonts w:hint="eastAsia" w:ascii="宋体" w:hAnsi="宋体" w:cs="宋体"/>
          <w:bCs/>
          <w:color w:val="auto"/>
          <w:kern w:val="1"/>
          <w:szCs w:val="21"/>
          <w:lang w:val="en-US" w:eastAsia="zh-CN"/>
        </w:rPr>
        <w:t>5</w:t>
      </w:r>
      <w:r>
        <w:rPr>
          <w:rFonts w:hint="eastAsia" w:ascii="宋体" w:hAnsi="宋体" w:cs="宋体"/>
          <w:bCs/>
          <w:color w:val="auto"/>
          <w:kern w:val="1"/>
          <w:szCs w:val="21"/>
        </w:rPr>
        <w:t>个工作日。</w:t>
      </w:r>
    </w:p>
    <w:p w14:paraId="4B75511A">
      <w:pPr>
        <w:numPr>
          <w:ilvl w:val="0"/>
          <w:numId w:val="2"/>
        </w:numPr>
        <w:spacing w:line="360" w:lineRule="atLeast"/>
        <w:ind w:firstLine="422" w:firstLineChars="200"/>
        <w:rPr>
          <w:rFonts w:hint="eastAsia" w:ascii="宋体" w:hAnsi="宋体" w:cs="宋体"/>
          <w:b/>
          <w:color w:val="auto"/>
          <w:kern w:val="1"/>
          <w:szCs w:val="21"/>
        </w:rPr>
      </w:pPr>
      <w:r>
        <w:rPr>
          <w:rFonts w:hint="eastAsia" w:ascii="宋体" w:hAnsi="宋体" w:cs="宋体"/>
          <w:b/>
          <w:color w:val="auto"/>
          <w:kern w:val="1"/>
          <w:szCs w:val="21"/>
        </w:rPr>
        <w:t>其他补充事宜</w:t>
      </w:r>
    </w:p>
    <w:p w14:paraId="0648E30F">
      <w:pPr>
        <w:numPr>
          <w:ilvl w:val="0"/>
          <w:numId w:val="4"/>
        </w:num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rPr>
        <w:t>网上查询</w:t>
      </w:r>
    </w:p>
    <w:p w14:paraId="35D459F1">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rPr>
        <w:t>中国政府采购网、广西壮族自治区政府采购网、梧州市政府采购网。</w:t>
      </w:r>
    </w:p>
    <w:p w14:paraId="3943E324">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lang w:val="en-US" w:eastAsia="zh-CN"/>
        </w:rPr>
        <w:t>2</w:t>
      </w:r>
      <w:r>
        <w:rPr>
          <w:rFonts w:hint="eastAsia" w:ascii="宋体" w:hAnsi="宋体" w:cs="宋体"/>
          <w:bCs/>
          <w:color w:val="auto"/>
          <w:kern w:val="1"/>
          <w:szCs w:val="21"/>
        </w:rPr>
        <w:t>、供应商</w:t>
      </w:r>
      <w:r>
        <w:rPr>
          <w:rFonts w:hint="eastAsia" w:ascii="宋体" w:hAnsi="宋体" w:cs="宋体"/>
          <w:bCs/>
          <w:color w:val="auto"/>
          <w:kern w:val="1"/>
          <w:szCs w:val="21"/>
          <w:lang w:val="en-US" w:eastAsia="zh-CN"/>
        </w:rPr>
        <w:t>磋商</w:t>
      </w:r>
      <w:r>
        <w:rPr>
          <w:rFonts w:hint="eastAsia" w:ascii="宋体" w:hAnsi="宋体" w:cs="宋体"/>
          <w:bCs/>
          <w:color w:val="auto"/>
          <w:kern w:val="1"/>
          <w:szCs w:val="21"/>
        </w:rPr>
        <w:t>注意事项</w:t>
      </w:r>
    </w:p>
    <w:p w14:paraId="3A263C6D">
      <w:pPr>
        <w:spacing w:line="360" w:lineRule="atLeast"/>
        <w:ind w:firstLine="420" w:firstLineChars="200"/>
        <w:rPr>
          <w:rFonts w:hint="eastAsia" w:ascii="宋体" w:hAnsi="宋体" w:cs="宋体"/>
          <w:b w:val="0"/>
          <w:bCs/>
          <w:color w:val="auto"/>
          <w:kern w:val="1"/>
          <w:szCs w:val="21"/>
        </w:rPr>
      </w:pPr>
      <w:r>
        <w:rPr>
          <w:rFonts w:hint="eastAsia" w:ascii="宋体" w:hAnsi="宋体" w:cs="宋体"/>
          <w:b w:val="0"/>
          <w:bCs/>
          <w:color w:val="auto"/>
          <w:kern w:val="1"/>
          <w:szCs w:val="21"/>
          <w:lang w:eastAsia="zh-CN"/>
        </w:rPr>
        <w:t>（</w:t>
      </w:r>
      <w:r>
        <w:rPr>
          <w:rFonts w:hint="eastAsia" w:ascii="宋体" w:hAnsi="宋体" w:cs="宋体"/>
          <w:b w:val="0"/>
          <w:bCs/>
          <w:color w:val="auto"/>
          <w:kern w:val="1"/>
          <w:szCs w:val="21"/>
          <w:lang w:val="en-US" w:eastAsia="zh-CN"/>
        </w:rPr>
        <w:t>1</w:t>
      </w:r>
      <w:r>
        <w:rPr>
          <w:rFonts w:hint="eastAsia" w:ascii="宋体" w:hAnsi="宋体" w:cs="宋体"/>
          <w:b w:val="0"/>
          <w:bCs/>
          <w:color w:val="auto"/>
          <w:kern w:val="1"/>
          <w:szCs w:val="21"/>
          <w:lang w:eastAsia="zh-CN"/>
        </w:rPr>
        <w:t>）</w:t>
      </w:r>
      <w:r>
        <w:rPr>
          <w:rFonts w:hint="eastAsia" w:ascii="宋体" w:hAnsi="宋体" w:cs="宋体"/>
          <w:b w:val="0"/>
          <w:bCs/>
          <w:color w:val="auto"/>
          <w:kern w:val="1"/>
          <w:szCs w:val="21"/>
        </w:rPr>
        <w:t>本项目为全流程电子化采购项目，通过广西政府采购云平台（https://www.gcy.zfcg.gxzf.gov.cn/）实行在线电子竞标，供应商应按照本项目竞争性</w:t>
      </w:r>
      <w:r>
        <w:rPr>
          <w:rFonts w:hint="eastAsia" w:ascii="宋体" w:hAnsi="宋体" w:cs="宋体"/>
          <w:b w:val="0"/>
          <w:bCs/>
          <w:color w:val="auto"/>
          <w:kern w:val="1"/>
          <w:szCs w:val="21"/>
          <w:lang w:val="en-US" w:eastAsia="zh-CN"/>
        </w:rPr>
        <w:t>磋商</w:t>
      </w:r>
      <w:r>
        <w:rPr>
          <w:rFonts w:hint="eastAsia" w:ascii="宋体" w:hAnsi="宋体" w:cs="宋体"/>
          <w:b w:val="0"/>
          <w:bCs/>
          <w:color w:val="auto"/>
          <w:kern w:val="1"/>
          <w:szCs w:val="21"/>
        </w:rPr>
        <w:t>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1DA1364">
      <w:pPr>
        <w:spacing w:line="360" w:lineRule="atLeast"/>
        <w:ind w:firstLine="420" w:firstLineChars="200"/>
        <w:rPr>
          <w:rFonts w:hint="eastAsia" w:ascii="宋体" w:hAnsi="宋体" w:cs="宋体"/>
          <w:b w:val="0"/>
          <w:bCs/>
          <w:kern w:val="1"/>
          <w:szCs w:val="21"/>
        </w:rPr>
      </w:pPr>
      <w:r>
        <w:rPr>
          <w:rFonts w:hint="eastAsia" w:ascii="宋体" w:hAnsi="宋体" w:cs="宋体"/>
          <w:b w:val="0"/>
          <w:bCs/>
          <w:color w:val="auto"/>
          <w:kern w:val="1"/>
          <w:szCs w:val="21"/>
          <w:lang w:eastAsia="zh-CN"/>
        </w:rPr>
        <w:t>（</w:t>
      </w:r>
      <w:r>
        <w:rPr>
          <w:rFonts w:hint="eastAsia" w:ascii="宋体" w:hAnsi="宋体" w:cs="宋体"/>
          <w:b w:val="0"/>
          <w:bCs/>
          <w:color w:val="auto"/>
          <w:kern w:val="1"/>
          <w:szCs w:val="21"/>
          <w:lang w:val="en-US" w:eastAsia="zh-CN"/>
        </w:rPr>
        <w:t>2</w:t>
      </w:r>
      <w:r>
        <w:rPr>
          <w:rFonts w:hint="eastAsia" w:ascii="宋体" w:hAnsi="宋体" w:cs="宋体"/>
          <w:b w:val="0"/>
          <w:bCs/>
          <w:color w:val="auto"/>
          <w:kern w:val="1"/>
          <w:szCs w:val="21"/>
          <w:lang w:eastAsia="zh-CN"/>
        </w:rPr>
        <w:t>）</w:t>
      </w:r>
      <w:r>
        <w:rPr>
          <w:rFonts w:hint="eastAsia" w:ascii="宋体" w:hAnsi="宋体" w:cs="宋体"/>
          <w:b w:val="0"/>
          <w:bCs/>
          <w:color w:val="auto"/>
          <w:kern w:val="1"/>
          <w:szCs w:val="21"/>
        </w:rPr>
        <w:t>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w:t>
      </w:r>
      <w:r>
        <w:rPr>
          <w:rFonts w:hint="eastAsia" w:ascii="宋体" w:hAnsi="宋体" w:cs="宋体"/>
          <w:b w:val="0"/>
          <w:bCs/>
          <w:kern w:val="1"/>
          <w:szCs w:val="21"/>
        </w:rPr>
        <w:t>证书办理操作流程。如在操作过程中遇到问题或者需要技术支持，请致电客服热线：95763）。</w:t>
      </w:r>
    </w:p>
    <w:p w14:paraId="6DED3D10">
      <w:pPr>
        <w:spacing w:line="360" w:lineRule="atLeast"/>
        <w:ind w:firstLine="420" w:firstLineChars="200"/>
        <w:rPr>
          <w:rFonts w:hint="eastAsia" w:ascii="宋体" w:hAnsi="宋体" w:cs="宋体"/>
          <w:b w:val="0"/>
          <w:bCs/>
          <w:kern w:val="1"/>
          <w:szCs w:val="21"/>
        </w:rPr>
      </w:pPr>
      <w:r>
        <w:rPr>
          <w:rFonts w:hint="eastAsia" w:ascii="宋体" w:hAnsi="宋体" w:cs="宋体"/>
          <w:b w:val="0"/>
          <w:bCs/>
          <w:kern w:val="1"/>
          <w:szCs w:val="21"/>
          <w:lang w:eastAsia="zh-CN"/>
        </w:rPr>
        <w:t>（</w:t>
      </w:r>
      <w:r>
        <w:rPr>
          <w:rFonts w:hint="eastAsia" w:ascii="宋体" w:hAnsi="宋体" w:cs="宋体"/>
          <w:b w:val="0"/>
          <w:bCs/>
          <w:kern w:val="1"/>
          <w:szCs w:val="21"/>
          <w:lang w:val="en-US" w:eastAsia="zh-CN"/>
        </w:rPr>
        <w:t>3</w:t>
      </w:r>
      <w:r>
        <w:rPr>
          <w:rFonts w:hint="eastAsia" w:ascii="宋体" w:hAnsi="宋体" w:cs="宋体"/>
          <w:b w:val="0"/>
          <w:bCs/>
          <w:kern w:val="1"/>
          <w:szCs w:val="21"/>
          <w:lang w:eastAsia="zh-CN"/>
        </w:rPr>
        <w:t>）</w:t>
      </w:r>
      <w:r>
        <w:rPr>
          <w:rFonts w:hint="eastAsia" w:ascii="宋体" w:hAnsi="宋体" w:cs="宋体"/>
          <w:b w:val="0"/>
          <w:bCs/>
          <w:kern w:val="1"/>
          <w:szCs w:val="21"/>
        </w:rPr>
        <w:t>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cs="宋体"/>
          <w:b w:val="0"/>
          <w:bCs/>
          <w:kern w:val="1"/>
          <w:szCs w:val="21"/>
        </w:rPr>
        <w:br w:type="textWrapping"/>
      </w:r>
      <w:r>
        <w:rPr>
          <w:rFonts w:hint="eastAsia" w:ascii="宋体" w:hAnsi="宋体" w:cs="宋体"/>
          <w:b w:val="0"/>
          <w:bCs/>
          <w:kern w:val="1"/>
          <w:szCs w:val="21"/>
          <w:lang w:val="en-US" w:eastAsia="zh-CN"/>
        </w:rPr>
        <w:t xml:space="preserve">    </w:t>
      </w:r>
      <w:r>
        <w:rPr>
          <w:rFonts w:hint="eastAsia" w:ascii="宋体" w:hAnsi="宋体" w:cs="宋体"/>
          <w:b w:val="0"/>
          <w:bCs/>
          <w:kern w:val="1"/>
          <w:szCs w:val="21"/>
        </w:rPr>
        <w:t>注：1）为确保网上操作合法、有效和安全，请供应商确保在电子竞标过程中能够对相关数据电文进行加密和使用电子签章，妥善保管CA数字证书并使用有效的CA数字证书参与整个采购活动。</w:t>
      </w:r>
    </w:p>
    <w:p w14:paraId="1A9EA388">
      <w:pPr>
        <w:spacing w:line="360" w:lineRule="atLeast"/>
        <w:ind w:firstLine="420" w:firstLineChars="200"/>
        <w:rPr>
          <w:rFonts w:hint="eastAsia" w:ascii="宋体" w:hAnsi="宋体" w:cs="宋体"/>
          <w:b w:val="0"/>
          <w:bCs/>
          <w:kern w:val="1"/>
          <w:szCs w:val="21"/>
        </w:rPr>
      </w:pPr>
      <w:r>
        <w:rPr>
          <w:rFonts w:hint="eastAsia" w:ascii="宋体" w:hAnsi="宋体" w:cs="宋体"/>
          <w:b w:val="0"/>
          <w:bCs/>
          <w:kern w:val="1"/>
          <w:szCs w:val="21"/>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8E0CAC8">
      <w:pPr>
        <w:spacing w:line="360" w:lineRule="atLeast"/>
        <w:ind w:firstLine="420" w:firstLineChars="200"/>
        <w:rPr>
          <w:rFonts w:hint="eastAsia" w:ascii="宋体" w:hAnsi="宋体" w:cs="宋体"/>
          <w:b w:val="0"/>
          <w:bCs/>
          <w:kern w:val="1"/>
          <w:szCs w:val="21"/>
        </w:rPr>
      </w:pPr>
      <w:r>
        <w:rPr>
          <w:rFonts w:hint="eastAsia" w:ascii="宋体" w:hAnsi="宋体" w:cs="宋体"/>
          <w:b w:val="0"/>
          <w:bCs/>
          <w:kern w:val="1"/>
          <w:szCs w:val="21"/>
          <w:lang w:eastAsia="zh-CN"/>
        </w:rPr>
        <w:t>（</w:t>
      </w:r>
      <w:r>
        <w:rPr>
          <w:rFonts w:hint="eastAsia" w:ascii="宋体" w:hAnsi="宋体" w:cs="宋体"/>
          <w:b w:val="0"/>
          <w:bCs/>
          <w:kern w:val="1"/>
          <w:szCs w:val="21"/>
          <w:lang w:val="en-US" w:eastAsia="zh-CN"/>
        </w:rPr>
        <w:t>4</w:t>
      </w:r>
      <w:r>
        <w:rPr>
          <w:rFonts w:hint="eastAsia" w:ascii="宋体" w:hAnsi="宋体" w:cs="宋体"/>
          <w:b w:val="0"/>
          <w:bCs/>
          <w:kern w:val="1"/>
          <w:szCs w:val="21"/>
          <w:lang w:eastAsia="zh-CN"/>
        </w:rPr>
        <w:t>）</w:t>
      </w:r>
      <w:r>
        <w:rPr>
          <w:rFonts w:hint="eastAsia" w:ascii="宋体" w:hAnsi="宋体" w:cs="宋体"/>
          <w:b w:val="0"/>
          <w:bCs/>
          <w:kern w:val="1"/>
          <w:szCs w:val="21"/>
        </w:rPr>
        <w:t>供应商需要在具备有摄像头及语音功能且互联网网络状况良好的电脑登录广西政府采购云平台远程开标大厅参与本次</w:t>
      </w:r>
      <w:r>
        <w:rPr>
          <w:rFonts w:hint="eastAsia" w:ascii="宋体" w:hAnsi="宋体" w:cs="宋体"/>
          <w:b w:val="0"/>
          <w:bCs/>
          <w:kern w:val="1"/>
          <w:szCs w:val="21"/>
          <w:lang w:val="en-US" w:eastAsia="zh-CN"/>
        </w:rPr>
        <w:t>磋商</w:t>
      </w:r>
      <w:r>
        <w:rPr>
          <w:rFonts w:hint="eastAsia" w:ascii="宋体" w:hAnsi="宋体" w:cs="宋体"/>
          <w:b w:val="0"/>
          <w:bCs/>
          <w:kern w:val="1"/>
          <w:szCs w:val="21"/>
        </w:rPr>
        <w:t>，否则后果自负。</w:t>
      </w:r>
    </w:p>
    <w:p w14:paraId="2EC3A174">
      <w:pPr>
        <w:spacing w:line="360" w:lineRule="atLeast"/>
        <w:ind w:firstLine="422" w:firstLineChars="200"/>
        <w:rPr>
          <w:rFonts w:hint="eastAsia" w:ascii="宋体" w:hAnsi="宋体" w:cs="宋体"/>
          <w:b/>
          <w:kern w:val="1"/>
          <w:szCs w:val="21"/>
        </w:rPr>
      </w:pPr>
      <w:r>
        <w:rPr>
          <w:rFonts w:hint="eastAsia" w:ascii="宋体" w:hAnsi="宋体" w:cs="宋体"/>
          <w:b/>
          <w:kern w:val="1"/>
          <w:szCs w:val="21"/>
        </w:rPr>
        <w:t>八、凡对本次采购提出询问，请按以下方式联系</w:t>
      </w:r>
    </w:p>
    <w:p w14:paraId="730677D5">
      <w:pPr>
        <w:spacing w:line="360" w:lineRule="atLeast"/>
        <w:ind w:firstLine="420" w:firstLineChars="200"/>
        <w:rPr>
          <w:rFonts w:hint="eastAsia" w:ascii="宋体" w:hAnsi="宋体" w:cs="宋体"/>
          <w:bCs/>
          <w:kern w:val="1"/>
          <w:szCs w:val="21"/>
        </w:rPr>
      </w:pPr>
      <w:r>
        <w:rPr>
          <w:rFonts w:hint="eastAsia" w:ascii="宋体" w:hAnsi="宋体" w:cs="宋体"/>
          <w:bCs/>
          <w:kern w:val="1"/>
          <w:szCs w:val="21"/>
        </w:rPr>
        <w:t>1、采购人信息</w:t>
      </w:r>
    </w:p>
    <w:p w14:paraId="60F06444">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rPr>
        <w:t>名称：</w:t>
      </w:r>
      <w:r>
        <w:rPr>
          <w:rFonts w:hint="eastAsia" w:ascii="宋体" w:hAnsi="宋体" w:cs="宋体"/>
          <w:bCs/>
          <w:color w:val="auto"/>
          <w:kern w:val="1"/>
          <w:szCs w:val="21"/>
          <w:lang w:eastAsia="zh-CN"/>
        </w:rPr>
        <w:t>梧州市博物馆</w:t>
      </w:r>
    </w:p>
    <w:p w14:paraId="6D8411D0">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rPr>
        <w:t>地址：广西梧州市文澜路白鹤里18号</w:t>
      </w:r>
    </w:p>
    <w:p w14:paraId="1A8AD066">
      <w:pPr>
        <w:spacing w:line="360" w:lineRule="atLeast"/>
        <w:ind w:firstLine="420" w:firstLineChars="200"/>
        <w:rPr>
          <w:rFonts w:hint="eastAsia" w:ascii="宋体" w:hAnsi="宋体" w:eastAsia="宋体" w:cs="宋体"/>
          <w:bCs/>
          <w:color w:val="auto"/>
          <w:kern w:val="1"/>
          <w:szCs w:val="21"/>
          <w:lang w:val="en-US" w:eastAsia="zh-CN"/>
        </w:rPr>
      </w:pPr>
      <w:r>
        <w:rPr>
          <w:rFonts w:hint="eastAsia" w:ascii="宋体" w:hAnsi="宋体" w:cs="宋体"/>
          <w:bCs/>
          <w:color w:val="auto"/>
          <w:kern w:val="1"/>
          <w:szCs w:val="21"/>
        </w:rPr>
        <w:t>项目联系人：</w:t>
      </w:r>
      <w:r>
        <w:rPr>
          <w:rFonts w:hint="eastAsia" w:ascii="宋体" w:hAnsi="宋体" w:cs="宋体"/>
          <w:bCs/>
          <w:color w:val="auto"/>
          <w:kern w:val="1"/>
          <w:szCs w:val="21"/>
          <w:lang w:val="en-US" w:eastAsia="zh-CN"/>
        </w:rPr>
        <w:t>老主任</w:t>
      </w:r>
    </w:p>
    <w:p w14:paraId="323D3681">
      <w:pPr>
        <w:spacing w:line="360" w:lineRule="atLeast"/>
        <w:ind w:firstLine="420" w:firstLineChars="200"/>
        <w:rPr>
          <w:rFonts w:hint="eastAsia" w:ascii="宋体" w:hAnsi="宋体" w:cs="宋体"/>
          <w:bCs/>
          <w:color w:val="auto"/>
          <w:kern w:val="1"/>
          <w:szCs w:val="21"/>
        </w:rPr>
      </w:pPr>
      <w:r>
        <w:rPr>
          <w:rFonts w:hint="eastAsia" w:ascii="宋体" w:hAnsi="宋体" w:cs="宋体"/>
          <w:bCs/>
          <w:color w:val="auto"/>
          <w:kern w:val="1"/>
          <w:szCs w:val="21"/>
        </w:rPr>
        <w:t>项目联系方式：0774-3823281</w:t>
      </w:r>
    </w:p>
    <w:p w14:paraId="4BC12F87">
      <w:pPr>
        <w:spacing w:line="360" w:lineRule="atLeast"/>
        <w:ind w:firstLine="420" w:firstLineChars="200"/>
        <w:rPr>
          <w:rFonts w:hint="eastAsia" w:ascii="宋体" w:hAnsi="宋体" w:cs="宋体"/>
          <w:bCs/>
          <w:kern w:val="1"/>
          <w:szCs w:val="21"/>
        </w:rPr>
      </w:pPr>
      <w:r>
        <w:rPr>
          <w:rFonts w:hint="eastAsia" w:ascii="宋体" w:hAnsi="宋体" w:cs="宋体"/>
          <w:bCs/>
          <w:kern w:val="1"/>
          <w:szCs w:val="21"/>
        </w:rPr>
        <w:t>2、采购代理机构信息</w:t>
      </w:r>
    </w:p>
    <w:p w14:paraId="377A83AA">
      <w:pPr>
        <w:spacing w:line="360" w:lineRule="atLeast"/>
        <w:ind w:firstLine="420" w:firstLineChars="200"/>
        <w:rPr>
          <w:rFonts w:hint="eastAsia" w:ascii="宋体" w:hAnsi="宋体" w:cs="宋体"/>
          <w:bCs/>
          <w:kern w:val="1"/>
          <w:szCs w:val="21"/>
        </w:rPr>
      </w:pPr>
      <w:r>
        <w:rPr>
          <w:rFonts w:hint="eastAsia" w:ascii="宋体" w:hAnsi="宋体" w:cs="宋体"/>
          <w:bCs/>
          <w:kern w:val="1"/>
          <w:szCs w:val="21"/>
        </w:rPr>
        <w:t>名称：同致诚工程咨询有限公司</w:t>
      </w:r>
    </w:p>
    <w:p w14:paraId="7DEE09DF">
      <w:pPr>
        <w:spacing w:line="360" w:lineRule="atLeast"/>
        <w:ind w:firstLine="420" w:firstLineChars="200"/>
        <w:rPr>
          <w:rFonts w:hint="eastAsia" w:ascii="宋体" w:hAnsi="宋体" w:cs="宋体"/>
          <w:bCs/>
          <w:kern w:val="1"/>
          <w:szCs w:val="21"/>
        </w:rPr>
      </w:pPr>
      <w:r>
        <w:rPr>
          <w:rFonts w:hint="eastAsia" w:ascii="宋体" w:hAnsi="宋体" w:cs="宋体"/>
          <w:bCs/>
          <w:kern w:val="1"/>
          <w:szCs w:val="21"/>
        </w:rPr>
        <w:t>地址：</w:t>
      </w:r>
      <w:bookmarkStart w:id="6" w:name="OLE_LINK39"/>
      <w:bookmarkStart w:id="7" w:name="OLE_LINK40"/>
      <w:r>
        <w:rPr>
          <w:rFonts w:hint="eastAsia" w:ascii="宋体" w:hAnsi="宋体" w:cs="宋体"/>
          <w:bCs/>
          <w:kern w:val="1"/>
          <w:szCs w:val="21"/>
        </w:rPr>
        <w:t>梧州市长洲区新兴二路3号（恒祥豪苑小区）B2栋2205号</w:t>
      </w:r>
      <w:bookmarkEnd w:id="6"/>
    </w:p>
    <w:bookmarkEnd w:id="7"/>
    <w:p w14:paraId="1D94D1D3">
      <w:pPr>
        <w:spacing w:line="360" w:lineRule="atLeast"/>
        <w:ind w:firstLine="420" w:firstLineChars="200"/>
        <w:rPr>
          <w:rFonts w:hint="eastAsia" w:ascii="宋体" w:hAnsi="宋体" w:cs="宋体"/>
          <w:bCs/>
          <w:kern w:val="1"/>
          <w:szCs w:val="21"/>
        </w:rPr>
      </w:pPr>
      <w:r>
        <w:rPr>
          <w:rFonts w:hint="eastAsia" w:ascii="宋体" w:hAnsi="宋体" w:cs="宋体"/>
          <w:bCs/>
          <w:kern w:val="1"/>
          <w:szCs w:val="21"/>
        </w:rPr>
        <w:t>项目联系人：梁小姐</w:t>
      </w:r>
    </w:p>
    <w:p w14:paraId="24627E3C">
      <w:pPr>
        <w:spacing w:line="360" w:lineRule="atLeast"/>
        <w:ind w:firstLine="420" w:firstLineChars="200"/>
        <w:rPr>
          <w:rFonts w:hint="eastAsia" w:ascii="宋体" w:hAnsi="宋体" w:cs="宋体"/>
          <w:bCs/>
          <w:kern w:val="1"/>
          <w:szCs w:val="21"/>
        </w:rPr>
        <w:sectPr>
          <w:footerReference r:id="rId4" w:type="default"/>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cs="宋体"/>
          <w:bCs/>
          <w:kern w:val="1"/>
          <w:szCs w:val="21"/>
        </w:rPr>
        <w:t>项目联系方式：</w:t>
      </w:r>
      <w:bookmarkStart w:id="8" w:name="OLE_LINK38"/>
      <w:r>
        <w:rPr>
          <w:rFonts w:hint="eastAsia" w:ascii="宋体" w:hAnsi="宋体" w:cs="宋体"/>
          <w:bCs/>
          <w:kern w:val="1"/>
          <w:szCs w:val="21"/>
        </w:rPr>
        <w:t>0774-3932979</w:t>
      </w:r>
      <w:bookmarkEnd w:id="8"/>
    </w:p>
    <w:p w14:paraId="0DE6FAC4">
      <w:pPr>
        <w:spacing w:line="0" w:lineRule="atLeast"/>
        <w:jc w:val="center"/>
        <w:outlineLvl w:val="0"/>
        <w:rPr>
          <w:rFonts w:hint="eastAsia" w:ascii="宋体" w:hAnsi="宋体" w:cs="宋体"/>
          <w:b/>
          <w:bCs/>
          <w:sz w:val="28"/>
          <w:szCs w:val="28"/>
        </w:rPr>
      </w:pPr>
      <w:bookmarkStart w:id="9" w:name="_Toc3728_WPSOffice_Level1"/>
      <w:bookmarkStart w:id="10" w:name="_Toc27898"/>
      <w:r>
        <w:rPr>
          <w:rFonts w:hint="eastAsia" w:ascii="宋体" w:hAnsi="宋体" w:cs="宋体"/>
          <w:b/>
          <w:bCs/>
          <w:sz w:val="28"/>
          <w:szCs w:val="28"/>
        </w:rPr>
        <w:t>第二章  供应商须知</w:t>
      </w:r>
      <w:bookmarkEnd w:id="9"/>
      <w:bookmarkEnd w:id="10"/>
    </w:p>
    <w:p w14:paraId="6B4B6804">
      <w:pPr>
        <w:pStyle w:val="2"/>
        <w:spacing w:line="0" w:lineRule="atLeast"/>
        <w:jc w:val="center"/>
        <w:rPr>
          <w:rFonts w:hint="eastAsia" w:ascii="宋体" w:hAnsi="宋体" w:cs="宋体"/>
          <w:sz w:val="24"/>
          <w:szCs w:val="24"/>
        </w:rPr>
      </w:pPr>
      <w:bookmarkStart w:id="11" w:name="_Toc29260"/>
      <w:r>
        <w:rPr>
          <w:rFonts w:hint="eastAsia" w:ascii="宋体" w:hAnsi="宋体" w:cs="宋体"/>
          <w:sz w:val="24"/>
          <w:szCs w:val="24"/>
        </w:rPr>
        <w:t>供应商须知前附表</w:t>
      </w:r>
      <w:bookmarkEnd w:id="11"/>
    </w:p>
    <w:tbl>
      <w:tblPr>
        <w:tblStyle w:val="16"/>
        <w:tblW w:w="942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63"/>
        <w:gridCol w:w="7773"/>
      </w:tblGrid>
      <w:tr w14:paraId="6A4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03BA334B">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cs="宋体"/>
                <w:szCs w:val="21"/>
              </w:rPr>
            </w:pPr>
            <w:r>
              <w:rPr>
                <w:rFonts w:hint="eastAsia" w:ascii="宋体" w:hAnsi="宋体" w:cs="宋体"/>
                <w:b/>
                <w:szCs w:val="21"/>
              </w:rPr>
              <w:t>序号</w:t>
            </w:r>
          </w:p>
        </w:tc>
        <w:tc>
          <w:tcPr>
            <w:tcW w:w="963" w:type="dxa"/>
            <w:noWrap w:val="0"/>
            <w:tcMar>
              <w:top w:w="85" w:type="dxa"/>
              <w:left w:w="85" w:type="dxa"/>
              <w:bottom w:w="85" w:type="dxa"/>
              <w:right w:w="85" w:type="dxa"/>
            </w:tcMar>
            <w:vAlign w:val="center"/>
          </w:tcPr>
          <w:p w14:paraId="03EDE79D">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cs="宋体"/>
                <w:szCs w:val="21"/>
              </w:rPr>
            </w:pPr>
            <w:r>
              <w:rPr>
                <w:rFonts w:hint="eastAsia" w:ascii="宋体" w:hAnsi="宋体" w:cs="宋体"/>
                <w:b/>
                <w:szCs w:val="21"/>
              </w:rPr>
              <w:t>条款号</w:t>
            </w:r>
          </w:p>
        </w:tc>
        <w:tc>
          <w:tcPr>
            <w:tcW w:w="7773" w:type="dxa"/>
            <w:noWrap w:val="0"/>
            <w:tcMar>
              <w:top w:w="85" w:type="dxa"/>
              <w:left w:w="85" w:type="dxa"/>
              <w:bottom w:w="85" w:type="dxa"/>
              <w:right w:w="85" w:type="dxa"/>
            </w:tcMar>
            <w:vAlign w:val="center"/>
          </w:tcPr>
          <w:p w14:paraId="56B1FF65">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cs="宋体"/>
                <w:szCs w:val="21"/>
              </w:rPr>
            </w:pPr>
            <w:r>
              <w:rPr>
                <w:rFonts w:hint="eastAsia" w:ascii="宋体" w:hAnsi="宋体" w:cs="宋体"/>
                <w:b/>
                <w:szCs w:val="21"/>
              </w:rPr>
              <w:t>编  列  内  容</w:t>
            </w:r>
          </w:p>
        </w:tc>
      </w:tr>
      <w:tr w14:paraId="712E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090697E7">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1</w:t>
            </w:r>
          </w:p>
        </w:tc>
        <w:tc>
          <w:tcPr>
            <w:tcW w:w="963" w:type="dxa"/>
            <w:noWrap w:val="0"/>
            <w:tcMar>
              <w:top w:w="85" w:type="dxa"/>
              <w:left w:w="85" w:type="dxa"/>
              <w:bottom w:w="85" w:type="dxa"/>
              <w:right w:w="85" w:type="dxa"/>
            </w:tcMar>
            <w:vAlign w:val="center"/>
          </w:tcPr>
          <w:p w14:paraId="79F8740A">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1.1</w:t>
            </w:r>
          </w:p>
        </w:tc>
        <w:tc>
          <w:tcPr>
            <w:tcW w:w="7773" w:type="dxa"/>
            <w:noWrap w:val="0"/>
            <w:tcMar>
              <w:top w:w="85" w:type="dxa"/>
              <w:left w:w="85" w:type="dxa"/>
              <w:bottom w:w="85" w:type="dxa"/>
              <w:right w:w="85" w:type="dxa"/>
            </w:tcMar>
            <w:vAlign w:val="center"/>
          </w:tcPr>
          <w:p w14:paraId="69B4671A">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szCs w:val="21"/>
                <w:lang w:eastAsia="zh-CN"/>
              </w:rPr>
            </w:pPr>
            <w:r>
              <w:rPr>
                <w:rFonts w:hint="eastAsia" w:ascii="宋体" w:hAnsi="宋体" w:eastAsia="宋体" w:cs="宋体"/>
                <w:szCs w:val="21"/>
              </w:rPr>
              <w:t>项目名称：</w:t>
            </w:r>
            <w:r>
              <w:rPr>
                <w:rFonts w:hint="eastAsia" w:ascii="宋体" w:hAnsi="宋体" w:eastAsia="宋体" w:cs="宋体"/>
                <w:szCs w:val="21"/>
                <w:lang w:val="en-US" w:eastAsia="zh-CN"/>
              </w:rPr>
              <w:t>梧州中山纪念堂修缮工程</w:t>
            </w:r>
          </w:p>
          <w:p w14:paraId="6D3C25BE">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0000FF"/>
                <w:szCs w:val="21"/>
                <w:lang w:val="en-US" w:eastAsia="zh-CN"/>
              </w:rPr>
            </w:pPr>
            <w:r>
              <w:rPr>
                <w:rFonts w:hint="eastAsia" w:ascii="宋体" w:hAnsi="宋体" w:eastAsia="宋体" w:cs="宋体"/>
                <w:szCs w:val="21"/>
              </w:rPr>
              <w:t>项目编</w:t>
            </w:r>
            <w:r>
              <w:rPr>
                <w:rFonts w:hint="eastAsia" w:ascii="宋体" w:hAnsi="宋体" w:eastAsia="宋体" w:cs="宋体"/>
                <w:szCs w:val="21"/>
                <w:highlight w:val="none"/>
              </w:rPr>
              <w:t>号：</w:t>
            </w:r>
            <w:r>
              <w:rPr>
                <w:rFonts w:hint="eastAsia" w:ascii="宋体" w:hAnsi="宋体" w:eastAsia="宋体" w:cs="宋体"/>
                <w:color w:val="auto"/>
                <w:highlight w:val="none"/>
              </w:rPr>
              <w:t>WZZC202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-C2-</w:t>
            </w:r>
            <w:r>
              <w:rPr>
                <w:rFonts w:hint="eastAsia" w:ascii="宋体" w:hAnsi="宋体" w:eastAsia="宋体" w:cs="宋体"/>
                <w:color w:val="auto"/>
                <w:highlight w:val="none"/>
                <w:lang w:val="en-US" w:eastAsia="zh-CN"/>
              </w:rPr>
              <w:t>990074</w:t>
            </w:r>
            <w:r>
              <w:rPr>
                <w:rFonts w:hint="eastAsia" w:ascii="宋体" w:hAnsi="宋体" w:eastAsia="宋体" w:cs="宋体"/>
                <w:color w:val="auto"/>
                <w:highlight w:val="none"/>
              </w:rPr>
              <w:t>-TZCG</w:t>
            </w:r>
          </w:p>
          <w:p w14:paraId="51D6842D">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简要规格描述或项目基本概况介绍、用途：</w:t>
            </w:r>
            <w:r>
              <w:rPr>
                <w:rFonts w:hint="eastAsia" w:ascii="宋体" w:hAnsi="宋体" w:eastAsia="宋体" w:cs="宋体"/>
                <w:color w:val="auto"/>
                <w:sz w:val="21"/>
                <w:szCs w:val="21"/>
              </w:rPr>
              <w:t>纪念堂屋面、瓦面，屋架，木楼板木楼楞，墙体及内外饰面，地面，门窗、构件残损缺失，整体建筑电气改造，白蚁防治进行修缮保护。</w:t>
            </w:r>
            <w:r>
              <w:rPr>
                <w:rFonts w:hint="eastAsia" w:ascii="宋体" w:hAnsi="宋体" w:eastAsia="宋体" w:cs="宋体"/>
                <w:color w:val="auto"/>
                <w:lang w:val="en-US" w:eastAsia="zh-CN"/>
              </w:rPr>
              <w:t>具体详见竞争性磋商文件、工程量清单及图纸要求范围内所有内容</w:t>
            </w:r>
            <w:r>
              <w:rPr>
                <w:rFonts w:hint="eastAsia" w:ascii="宋体" w:hAnsi="宋体" w:eastAsia="宋体" w:cs="宋体"/>
                <w:color w:val="auto"/>
                <w:szCs w:val="21"/>
              </w:rPr>
              <w:t>。</w:t>
            </w:r>
          </w:p>
          <w:p w14:paraId="464F6F2C">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项目地点：广西壮族自治区梧州市万秀区中山公园内。</w:t>
            </w:r>
          </w:p>
          <w:p w14:paraId="55264FA2">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合同履约期限：</w:t>
            </w:r>
            <w:r>
              <w:rPr>
                <w:rFonts w:hint="eastAsia" w:ascii="宋体" w:hAnsi="宋体" w:cs="宋体"/>
                <w:color w:val="auto"/>
                <w:sz w:val="21"/>
                <w:szCs w:val="21"/>
                <w:highlight w:val="none"/>
                <w:lang w:val="en-US" w:eastAsia="zh-CN"/>
              </w:rPr>
              <w:t>本工程总工期为270日历天；其中白蚁防治工程包治期为5年（1年施工期，4年维护保养期），主体工程完工后，白蚁防治包治工程继续履行。</w:t>
            </w:r>
          </w:p>
          <w:p w14:paraId="3B1A6902">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rPr>
              <w:t>工程质量要求：</w:t>
            </w:r>
            <w:r>
              <w:rPr>
                <w:rFonts w:hint="eastAsia" w:ascii="宋体" w:hAnsi="宋体" w:eastAsia="宋体" w:cs="宋体"/>
                <w:b w:val="0"/>
                <w:bCs w:val="0"/>
                <w:color w:val="auto"/>
                <w:szCs w:val="21"/>
                <w:highlight w:val="none"/>
                <w:lang w:val="en-US" w:eastAsia="zh-CN"/>
              </w:rPr>
              <w:t>达到国家施工验收规范合格标准要求。其中白蚁防治工程质量要求：确保梧州中山纪念堂在规定时效内无白蚁危害，达到行业现行白蚁危害治理质量标准要求。</w:t>
            </w:r>
          </w:p>
          <w:p w14:paraId="0CAC0018">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lang w:val="en-US"/>
              </w:rPr>
              <w:t>预算总金额（元）：</w:t>
            </w:r>
            <w:r>
              <w:rPr>
                <w:rFonts w:hint="eastAsia" w:ascii="宋体" w:hAnsi="宋体" w:cs="宋体"/>
                <w:color w:val="auto"/>
                <w:kern w:val="0"/>
                <w:sz w:val="21"/>
                <w:szCs w:val="21"/>
                <w:highlight w:val="none"/>
              </w:rPr>
              <w:t>3141266.32</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含工程保险费</w:t>
            </w:r>
            <w:r>
              <w:rPr>
                <w:rFonts w:hint="eastAsia" w:ascii="宋体" w:hAnsi="宋体" w:cs="宋体"/>
                <w:color w:val="auto"/>
                <w:kern w:val="0"/>
                <w:sz w:val="21"/>
                <w:szCs w:val="21"/>
                <w:highlight w:val="none"/>
                <w:lang w:eastAsia="zh-CN"/>
              </w:rPr>
              <w:t>）</w:t>
            </w:r>
          </w:p>
          <w:p w14:paraId="57A685CD">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rPr>
              <w:t>最高限价（如有）：</w:t>
            </w:r>
            <w:r>
              <w:rPr>
                <w:rFonts w:hint="eastAsia" w:ascii="宋体" w:hAnsi="宋体" w:cs="宋体"/>
                <w:color w:val="auto"/>
                <w:kern w:val="0"/>
                <w:sz w:val="21"/>
                <w:szCs w:val="21"/>
                <w:highlight w:val="none"/>
              </w:rPr>
              <w:t>3141266.32</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含工程保险费</w:t>
            </w:r>
            <w:r>
              <w:rPr>
                <w:rFonts w:hint="eastAsia" w:ascii="宋体" w:hAnsi="宋体" w:cs="宋体"/>
                <w:color w:val="auto"/>
                <w:kern w:val="0"/>
                <w:sz w:val="21"/>
                <w:szCs w:val="21"/>
                <w:highlight w:val="none"/>
                <w:lang w:eastAsia="zh-CN"/>
              </w:rPr>
              <w:t>）</w:t>
            </w:r>
          </w:p>
          <w:p w14:paraId="753E4BB5">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szCs w:val="21"/>
              </w:rPr>
            </w:pPr>
            <w:r>
              <w:rPr>
                <w:rFonts w:hint="eastAsia" w:ascii="宋体" w:hAnsi="宋体" w:eastAsia="宋体" w:cs="宋体"/>
                <w:szCs w:val="21"/>
              </w:rPr>
              <w:t>采购人：</w:t>
            </w:r>
            <w:r>
              <w:rPr>
                <w:rFonts w:hint="eastAsia" w:ascii="宋体" w:hAnsi="宋体" w:eastAsia="宋体" w:cs="宋体"/>
                <w:szCs w:val="21"/>
                <w:lang w:eastAsia="zh-CN"/>
              </w:rPr>
              <w:t>梧州市博物馆</w:t>
            </w:r>
          </w:p>
          <w:p w14:paraId="1E37FAC4">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szCs w:val="21"/>
              </w:rPr>
            </w:pPr>
            <w:r>
              <w:rPr>
                <w:rFonts w:hint="eastAsia" w:ascii="宋体" w:hAnsi="宋体" w:eastAsia="宋体" w:cs="宋体"/>
                <w:szCs w:val="21"/>
              </w:rPr>
              <w:t>采购代理机构：同致诚工程咨询有限公司</w:t>
            </w:r>
          </w:p>
          <w:p w14:paraId="66EF797F">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szCs w:val="21"/>
              </w:rPr>
            </w:pPr>
            <w:r>
              <w:rPr>
                <w:rFonts w:hint="eastAsia" w:ascii="宋体" w:hAnsi="宋体" w:eastAsia="宋体" w:cs="宋体"/>
                <w:szCs w:val="21"/>
              </w:rPr>
              <w:t>监督部门：梧州市财政局政府采购监督管理科（电话：0774-3866434）</w:t>
            </w:r>
          </w:p>
        </w:tc>
      </w:tr>
      <w:tr w14:paraId="63C6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2D45BED5">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2</w:t>
            </w:r>
          </w:p>
        </w:tc>
        <w:tc>
          <w:tcPr>
            <w:tcW w:w="963" w:type="dxa"/>
            <w:noWrap w:val="0"/>
            <w:tcMar>
              <w:top w:w="85" w:type="dxa"/>
              <w:left w:w="85" w:type="dxa"/>
              <w:bottom w:w="85" w:type="dxa"/>
              <w:right w:w="85" w:type="dxa"/>
            </w:tcMar>
            <w:vAlign w:val="center"/>
          </w:tcPr>
          <w:p w14:paraId="5ABA93B4">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2.1</w:t>
            </w:r>
          </w:p>
        </w:tc>
        <w:tc>
          <w:tcPr>
            <w:tcW w:w="7773" w:type="dxa"/>
            <w:noWrap w:val="0"/>
            <w:tcMar>
              <w:top w:w="85" w:type="dxa"/>
              <w:left w:w="85" w:type="dxa"/>
              <w:bottom w:w="85" w:type="dxa"/>
              <w:right w:w="85" w:type="dxa"/>
            </w:tcMar>
            <w:vAlign w:val="center"/>
          </w:tcPr>
          <w:p w14:paraId="72D358D7">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申请人的资格要求：</w:t>
            </w:r>
          </w:p>
          <w:p w14:paraId="5365F29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满足《中华人民共和国政府采购法》第二十二条规定；</w:t>
            </w:r>
          </w:p>
          <w:p w14:paraId="35BEB6E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落实政府采购政策需满足的资格要求：</w:t>
            </w:r>
            <w:r>
              <w:rPr>
                <w:rFonts w:hint="eastAsia" w:ascii="宋体" w:hAnsi="宋体" w:eastAsia="宋体" w:cs="宋体"/>
                <w:color w:val="auto"/>
                <w:szCs w:val="21"/>
                <w:highlight w:val="none"/>
                <w:lang w:val="en-US" w:eastAsia="zh-CN"/>
              </w:rPr>
              <w:t>分标1：专门面向中小企业采购的项目（供应商应为中小微企业或监狱企业或残疾人福利性单位）</w:t>
            </w:r>
            <w:r>
              <w:rPr>
                <w:rFonts w:hint="eastAsia" w:ascii="宋体" w:hAnsi="宋体" w:eastAsia="宋体" w:cs="宋体"/>
                <w:color w:val="auto"/>
                <w:szCs w:val="21"/>
                <w:highlight w:val="none"/>
              </w:rPr>
              <w:t>；</w:t>
            </w:r>
          </w:p>
          <w:p w14:paraId="6BF3389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tLeast"/>
              <w:jc w:val="left"/>
              <w:textAlignment w:val="auto"/>
              <w:outlineLvl w:val="9"/>
              <w:rPr>
                <w:rFonts w:hint="eastAsia" w:ascii="宋体" w:hAnsi="宋体" w:cs="宋体"/>
                <w:color w:val="auto"/>
                <w:highlight w:val="none"/>
                <w:lang w:val="en-US" w:eastAsia="zh-CN"/>
              </w:rPr>
            </w:pP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val="en-US" w:eastAsia="zh-CN"/>
              </w:rPr>
              <w:t>分标1</w:t>
            </w:r>
            <w:r>
              <w:rPr>
                <w:rFonts w:hint="eastAsia" w:ascii="宋体" w:hAnsi="宋体" w:cs="宋体"/>
                <w:color w:val="auto"/>
                <w:szCs w:val="21"/>
                <w:highlight w:val="none"/>
                <w:lang w:val="en-US" w:eastAsia="zh-CN"/>
              </w:rPr>
              <w:t xml:space="preserve">  </w:t>
            </w:r>
            <w:r>
              <w:rPr>
                <w:rFonts w:hint="eastAsia" w:ascii="宋体" w:hAnsi="宋体" w:cs="宋体"/>
                <w:color w:val="auto"/>
                <w:highlight w:val="none"/>
                <w:lang w:val="en-US" w:eastAsia="zh-CN"/>
              </w:rPr>
              <w:t>3.1 供应商须具备文物保护工程施工一级资质，具备有效的安全生产许可证；并在人员、设备、资金等方面具备相应的施工能力。</w:t>
            </w:r>
          </w:p>
          <w:p w14:paraId="3DA3BE9F">
            <w:pPr>
              <w:numPr>
                <w:ilvl w:val="0"/>
                <w:numId w:val="0"/>
              </w:numPr>
              <w:spacing w:line="360" w:lineRule="atLeast"/>
              <w:rPr>
                <w:rFonts w:hint="eastAsia" w:ascii="宋体" w:hAnsi="宋体" w:cs="宋体"/>
                <w:color w:val="auto"/>
                <w:highlight w:val="none"/>
                <w:lang w:val="en-US" w:eastAsia="zh-CN"/>
              </w:rPr>
            </w:pPr>
            <w:r>
              <w:rPr>
                <w:rFonts w:hint="eastAsia" w:ascii="宋体" w:hAnsi="宋体" w:cs="宋体"/>
                <w:color w:val="auto"/>
                <w:highlight w:val="none"/>
                <w:lang w:val="en-US" w:eastAsia="zh-CN"/>
              </w:rPr>
              <w:t>3.2 拟投入本项目的项目经理必须具有文物保护工程责任工程师资格证书，本项目不接受有在建、已中标（成交）未开工或已列为其他项目中标候选人第一名的责任工程师作为项目经理。</w:t>
            </w:r>
          </w:p>
          <w:p w14:paraId="53F21BB1">
            <w:pPr>
              <w:numPr>
                <w:ilvl w:val="0"/>
                <w:numId w:val="0"/>
              </w:numPr>
              <w:spacing w:line="360" w:lineRule="atLeast"/>
              <w:rPr>
                <w:rFonts w:hint="eastAsia" w:ascii="宋体" w:hAnsi="宋体" w:eastAsia="宋体" w:cs="宋体"/>
                <w:color w:val="auto"/>
                <w:szCs w:val="21"/>
                <w:highlight w:val="none"/>
              </w:rPr>
            </w:pPr>
            <w:r>
              <w:rPr>
                <w:rFonts w:hint="eastAsia" w:ascii="宋体" w:hAnsi="宋体" w:cs="宋体"/>
                <w:color w:val="auto"/>
                <w:highlight w:val="none"/>
                <w:lang w:val="en-US" w:eastAsia="zh-CN"/>
              </w:rPr>
              <w:t>3.3 拟派专职安全生产管理人员须具备有效的安全生产考核合格证书（C类），且不少于1人。</w:t>
            </w:r>
          </w:p>
        </w:tc>
      </w:tr>
      <w:tr w14:paraId="5AA5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20AD19DB">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3</w:t>
            </w:r>
          </w:p>
        </w:tc>
        <w:tc>
          <w:tcPr>
            <w:tcW w:w="963" w:type="dxa"/>
            <w:noWrap w:val="0"/>
            <w:tcMar>
              <w:top w:w="85" w:type="dxa"/>
              <w:left w:w="85" w:type="dxa"/>
              <w:bottom w:w="85" w:type="dxa"/>
              <w:right w:w="85" w:type="dxa"/>
            </w:tcMar>
            <w:vAlign w:val="center"/>
          </w:tcPr>
          <w:p w14:paraId="72186A1C">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3.1</w:t>
            </w:r>
          </w:p>
        </w:tc>
        <w:tc>
          <w:tcPr>
            <w:tcW w:w="7773" w:type="dxa"/>
            <w:noWrap w:val="0"/>
            <w:tcMar>
              <w:top w:w="85" w:type="dxa"/>
              <w:left w:w="85" w:type="dxa"/>
              <w:bottom w:w="85" w:type="dxa"/>
              <w:right w:w="85" w:type="dxa"/>
            </w:tcMar>
            <w:vAlign w:val="center"/>
          </w:tcPr>
          <w:p w14:paraId="12D26784">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rPr>
            </w:pPr>
            <w:r>
              <w:rPr>
                <w:rFonts w:hint="eastAsia" w:ascii="宋体" w:hAnsi="宋体" w:eastAsia="宋体" w:cs="宋体"/>
                <w:b/>
                <w:color w:val="auto"/>
                <w:szCs w:val="21"/>
                <w:lang w:val="en-US" w:eastAsia="zh-CN"/>
              </w:rPr>
              <w:t>磋商</w:t>
            </w:r>
            <w:r>
              <w:rPr>
                <w:rFonts w:hint="eastAsia" w:ascii="宋体" w:hAnsi="宋体" w:eastAsia="宋体" w:cs="宋体"/>
                <w:b/>
                <w:color w:val="auto"/>
                <w:szCs w:val="21"/>
              </w:rPr>
              <w:t>费用：</w:t>
            </w:r>
            <w:r>
              <w:rPr>
                <w:rFonts w:hint="eastAsia" w:ascii="宋体" w:hAnsi="宋体" w:eastAsia="宋体" w:cs="宋体"/>
                <w:color w:val="auto"/>
                <w:spacing w:val="0"/>
                <w:sz w:val="21"/>
                <w:szCs w:val="21"/>
              </w:rPr>
              <w:t>不论</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结果如何，供应商均应自行承担所有与</w:t>
            </w:r>
            <w:r>
              <w:rPr>
                <w:rFonts w:hint="eastAsia" w:ascii="宋体" w:hAnsi="宋体" w:eastAsia="宋体" w:cs="宋体"/>
                <w:color w:val="auto"/>
                <w:spacing w:val="0"/>
                <w:sz w:val="21"/>
                <w:szCs w:val="21"/>
                <w:lang w:val="en-US" w:eastAsia="zh-CN"/>
              </w:rPr>
              <w:t>本次磋商</w:t>
            </w:r>
            <w:r>
              <w:rPr>
                <w:rFonts w:hint="eastAsia" w:ascii="宋体" w:hAnsi="宋体" w:eastAsia="宋体" w:cs="宋体"/>
                <w:color w:val="auto"/>
                <w:spacing w:val="0"/>
                <w:sz w:val="21"/>
                <w:szCs w:val="21"/>
              </w:rPr>
              <w:t>有关的全部费用</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采购人及采购代理机构对上述费用不负任何责任</w:t>
            </w:r>
            <w:r>
              <w:rPr>
                <w:rFonts w:hint="eastAsia" w:ascii="宋体" w:hAnsi="宋体" w:eastAsia="宋体" w:cs="宋体"/>
                <w:color w:val="auto"/>
                <w:szCs w:val="21"/>
              </w:rPr>
              <w:t>。</w:t>
            </w:r>
          </w:p>
        </w:tc>
      </w:tr>
      <w:tr w14:paraId="424A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18DF220D">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963" w:type="dxa"/>
            <w:noWrap w:val="0"/>
            <w:tcMar>
              <w:top w:w="85" w:type="dxa"/>
              <w:left w:w="85" w:type="dxa"/>
              <w:bottom w:w="85" w:type="dxa"/>
              <w:right w:w="85" w:type="dxa"/>
            </w:tcMar>
            <w:vAlign w:val="center"/>
          </w:tcPr>
          <w:p w14:paraId="0D404944">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7.2</w:t>
            </w:r>
          </w:p>
        </w:tc>
        <w:tc>
          <w:tcPr>
            <w:tcW w:w="7773" w:type="dxa"/>
            <w:noWrap w:val="0"/>
            <w:tcMar>
              <w:top w:w="85" w:type="dxa"/>
              <w:left w:w="85" w:type="dxa"/>
              <w:bottom w:w="85" w:type="dxa"/>
              <w:right w:w="85" w:type="dxa"/>
            </w:tcMar>
            <w:vAlign w:val="center"/>
          </w:tcPr>
          <w:p w14:paraId="477E22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sym w:font="Wingdings 2" w:char="00A3"/>
            </w:r>
            <w:r>
              <w:rPr>
                <w:rFonts w:hint="eastAsia" w:ascii="宋体" w:hAnsi="宋体" w:eastAsia="宋体" w:cs="宋体"/>
                <w:color w:val="auto"/>
                <w:szCs w:val="21"/>
                <w:lang w:val="en-US" w:eastAsia="zh-CN"/>
              </w:rPr>
              <w:t>不允许分包</w:t>
            </w:r>
          </w:p>
          <w:p w14:paraId="0C3938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☑允许分包</w:t>
            </w:r>
          </w:p>
          <w:p w14:paraId="421C1A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分包内容：非主体、非关键性工作。</w:t>
            </w:r>
          </w:p>
          <w:p w14:paraId="732323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textAlignment w:val="auto"/>
              <w:outlineLvl w:val="9"/>
              <w:rPr>
                <w:rFonts w:hint="eastAsia" w:ascii="宋体" w:hAnsi="宋体" w:eastAsia="宋体" w:cs="宋体"/>
                <w:b/>
                <w:color w:val="auto"/>
                <w:szCs w:val="21"/>
                <w:lang w:val="en-US" w:eastAsia="zh-CN"/>
              </w:rPr>
            </w:pPr>
            <w:r>
              <w:rPr>
                <w:rFonts w:hint="eastAsia" w:ascii="宋体" w:hAnsi="宋体" w:eastAsia="宋体" w:cs="宋体"/>
                <w:color w:val="auto"/>
                <w:szCs w:val="21"/>
                <w:lang w:val="en-US" w:eastAsia="zh-CN"/>
              </w:rPr>
              <w:t>分包金额上限：不超过合同总价的20%。</w:t>
            </w:r>
          </w:p>
        </w:tc>
      </w:tr>
      <w:tr w14:paraId="0329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4AF85A91">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963" w:type="dxa"/>
            <w:noWrap w:val="0"/>
            <w:tcMar>
              <w:top w:w="85" w:type="dxa"/>
              <w:left w:w="85" w:type="dxa"/>
              <w:bottom w:w="85" w:type="dxa"/>
              <w:right w:w="85" w:type="dxa"/>
            </w:tcMar>
            <w:vAlign w:val="center"/>
          </w:tcPr>
          <w:p w14:paraId="64DD1730">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eastAsia="zh-CN"/>
              </w:rPr>
            </w:pPr>
            <w:r>
              <w:rPr>
                <w:rFonts w:hint="eastAsia" w:ascii="宋体" w:hAnsi="宋体" w:eastAsia="宋体" w:cs="宋体"/>
                <w:szCs w:val="21"/>
              </w:rPr>
              <w:t>7.</w:t>
            </w:r>
            <w:r>
              <w:rPr>
                <w:rFonts w:hint="eastAsia" w:ascii="宋体" w:hAnsi="宋体" w:eastAsia="宋体" w:cs="宋体"/>
                <w:szCs w:val="21"/>
                <w:lang w:val="en-US" w:eastAsia="zh-CN"/>
              </w:rPr>
              <w:t>4</w:t>
            </w:r>
          </w:p>
        </w:tc>
        <w:tc>
          <w:tcPr>
            <w:tcW w:w="7773" w:type="dxa"/>
            <w:noWrap w:val="0"/>
            <w:tcMar>
              <w:top w:w="85" w:type="dxa"/>
              <w:left w:w="85" w:type="dxa"/>
              <w:bottom w:w="85" w:type="dxa"/>
              <w:right w:w="85" w:type="dxa"/>
            </w:tcMar>
            <w:vAlign w:val="center"/>
          </w:tcPr>
          <w:p w14:paraId="343D3B4E">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勘察现场：采购人、采购代理机构不再组织供应商进行现场考察或召开采购答疑会。供应商可自行到现场踏勘，在现场考察过程中，供应商及其聘用、雇佣人员如果发生意外人身伤亡伤害、财物或其它损失等一切风险均由供应商自理，采购人及采购代理机构概不负责。</w:t>
            </w:r>
          </w:p>
        </w:tc>
      </w:tr>
      <w:tr w14:paraId="727F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47EEA9D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963" w:type="dxa"/>
            <w:noWrap w:val="0"/>
            <w:tcMar>
              <w:top w:w="85" w:type="dxa"/>
              <w:left w:w="85" w:type="dxa"/>
              <w:bottom w:w="85" w:type="dxa"/>
              <w:right w:w="85" w:type="dxa"/>
            </w:tcMar>
            <w:vAlign w:val="center"/>
          </w:tcPr>
          <w:p w14:paraId="5CB79ED9">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11.1.1</w:t>
            </w:r>
          </w:p>
        </w:tc>
        <w:tc>
          <w:tcPr>
            <w:tcW w:w="7773" w:type="dxa"/>
            <w:noWrap w:val="0"/>
            <w:tcMar>
              <w:top w:w="85" w:type="dxa"/>
              <w:left w:w="85" w:type="dxa"/>
              <w:bottom w:w="85" w:type="dxa"/>
              <w:right w:w="85" w:type="dxa"/>
            </w:tcMar>
            <w:vAlign w:val="center"/>
          </w:tcPr>
          <w:p w14:paraId="04DD31AE">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rPr>
            </w:pPr>
            <w:r>
              <w:rPr>
                <w:rFonts w:hint="eastAsia" w:ascii="宋体" w:hAnsi="宋体" w:eastAsia="宋体" w:cs="宋体"/>
                <w:color w:val="auto"/>
                <w:szCs w:val="21"/>
              </w:rPr>
              <w:t>报价文件</w:t>
            </w:r>
          </w:p>
          <w:p w14:paraId="57B7A86B">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rPr>
            </w:pPr>
            <w:r>
              <w:rPr>
                <w:rFonts w:hint="eastAsia" w:ascii="宋体" w:hAnsi="宋体" w:eastAsia="宋体" w:cs="宋体"/>
                <w:color w:val="auto"/>
                <w:szCs w:val="21"/>
              </w:rPr>
              <w:t>1.竞标函及竞标函附录（格式后附）；（</w:t>
            </w:r>
            <w:r>
              <w:rPr>
                <w:rFonts w:hint="eastAsia" w:ascii="宋体" w:hAnsi="宋体" w:eastAsia="宋体" w:cs="宋体"/>
                <w:b/>
                <w:color w:val="auto"/>
                <w:szCs w:val="21"/>
              </w:rPr>
              <w:t>必须提供，否则响应文件按无效处理</w:t>
            </w:r>
            <w:r>
              <w:rPr>
                <w:rFonts w:hint="eastAsia" w:ascii="宋体" w:hAnsi="宋体" w:eastAsia="宋体" w:cs="宋体"/>
                <w:color w:val="auto"/>
                <w:szCs w:val="21"/>
              </w:rPr>
              <w:t>）</w:t>
            </w:r>
          </w:p>
          <w:p w14:paraId="475C54C5">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rPr>
            </w:pPr>
            <w:r>
              <w:rPr>
                <w:rFonts w:hint="eastAsia" w:ascii="宋体" w:hAnsi="宋体" w:eastAsia="宋体" w:cs="宋体"/>
                <w:color w:val="auto"/>
                <w:szCs w:val="21"/>
              </w:rPr>
              <w:t>2.竞标报价表（格式后附）；（</w:t>
            </w:r>
            <w:r>
              <w:rPr>
                <w:rFonts w:hint="eastAsia" w:ascii="宋体" w:hAnsi="宋体" w:eastAsia="宋体" w:cs="宋体"/>
                <w:b/>
                <w:color w:val="auto"/>
                <w:szCs w:val="21"/>
              </w:rPr>
              <w:t>必须提供，否则响应文件按无效处理</w:t>
            </w:r>
            <w:r>
              <w:rPr>
                <w:rFonts w:hint="eastAsia" w:ascii="宋体" w:hAnsi="宋体" w:eastAsia="宋体" w:cs="宋体"/>
                <w:color w:val="auto"/>
                <w:szCs w:val="21"/>
              </w:rPr>
              <w:t>）</w:t>
            </w:r>
          </w:p>
          <w:p w14:paraId="360332EA">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rPr>
            </w:pPr>
            <w:r>
              <w:rPr>
                <w:rFonts w:hint="eastAsia" w:ascii="宋体" w:hAnsi="宋体" w:eastAsia="宋体" w:cs="宋体"/>
                <w:color w:val="auto"/>
                <w:szCs w:val="21"/>
              </w:rPr>
              <w:t>3.已标价工程量清单；（</w:t>
            </w:r>
            <w:r>
              <w:rPr>
                <w:rFonts w:hint="eastAsia" w:ascii="宋体" w:hAnsi="宋体" w:eastAsia="宋体" w:cs="宋体"/>
                <w:b/>
                <w:color w:val="auto"/>
                <w:szCs w:val="21"/>
              </w:rPr>
              <w:t>必须提供，否则响应文件按无效处理</w:t>
            </w:r>
            <w:r>
              <w:rPr>
                <w:rFonts w:hint="eastAsia" w:ascii="宋体" w:hAnsi="宋体" w:eastAsia="宋体" w:cs="宋体"/>
                <w:color w:val="auto"/>
                <w:szCs w:val="21"/>
              </w:rPr>
              <w:t>）</w:t>
            </w:r>
          </w:p>
          <w:p w14:paraId="5E2B094F">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4.供应商认为需要提供的其他有关资料。</w:t>
            </w:r>
          </w:p>
        </w:tc>
      </w:tr>
      <w:tr w14:paraId="27B0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23DB6F36">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963" w:type="dxa"/>
            <w:noWrap w:val="0"/>
            <w:tcMar>
              <w:top w:w="85" w:type="dxa"/>
              <w:left w:w="85" w:type="dxa"/>
              <w:bottom w:w="85" w:type="dxa"/>
              <w:right w:w="85" w:type="dxa"/>
            </w:tcMar>
            <w:vAlign w:val="center"/>
          </w:tcPr>
          <w:p w14:paraId="10ED8E9C">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11.1.2</w:t>
            </w:r>
          </w:p>
        </w:tc>
        <w:tc>
          <w:tcPr>
            <w:tcW w:w="7773" w:type="dxa"/>
            <w:noWrap w:val="0"/>
            <w:tcMar>
              <w:top w:w="85" w:type="dxa"/>
              <w:left w:w="85" w:type="dxa"/>
              <w:bottom w:w="85" w:type="dxa"/>
              <w:right w:w="85" w:type="dxa"/>
            </w:tcMar>
            <w:vAlign w:val="center"/>
          </w:tcPr>
          <w:p w14:paraId="61B76837">
            <w:pPr>
              <w:pStyle w:val="6"/>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资格证明文件：</w:t>
            </w:r>
          </w:p>
          <w:p w14:paraId="384D9A85">
            <w:pPr>
              <w:pStyle w:val="6"/>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1.供应商为法人或者其他组织的提供其营业执照等证明文件复印件（如营业执照或者事业单位法人证书或者执业许可证或者登记证书等）；（</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51AB8229">
            <w:pPr>
              <w:keepNext w:val="0"/>
              <w:keepLines w:val="0"/>
              <w:pageBreakBefore w:val="0"/>
              <w:widowControl w:val="0"/>
              <w:kinsoku/>
              <w:wordWrap/>
              <w:overflowPunct/>
              <w:topLinePunct w:val="0"/>
              <w:autoSpaceDE/>
              <w:autoSpaceDN/>
              <w:bidi w:val="0"/>
              <w:adjustRightInd w:val="0"/>
              <w:snapToGrid w:val="0"/>
              <w:spacing w:line="360" w:lineRule="atLeas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月至2026年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none"/>
              </w:rPr>
              <w:t>内</w:t>
            </w:r>
            <w:r>
              <w:rPr>
                <w:rFonts w:hint="eastAsia" w:ascii="宋体" w:hAnsi="宋体" w:eastAsia="宋体" w:cs="宋体"/>
                <w:color w:val="auto"/>
                <w:szCs w:val="21"/>
                <w:highlight w:val="none"/>
              </w:rPr>
              <w:t>任意</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3</w:t>
            </w:r>
            <w:r>
              <w:rPr>
                <w:rFonts w:hint="eastAsia" w:ascii="宋体" w:hAnsi="宋体" w:eastAsia="宋体" w:cs="宋体"/>
                <w:color w:val="auto"/>
                <w:szCs w:val="21"/>
                <w:highlight w:val="none"/>
              </w:rPr>
              <w:t>个月的依法缴纳税收的</w:t>
            </w:r>
            <w:r>
              <w:rPr>
                <w:rFonts w:hint="eastAsia" w:ascii="宋体" w:hAnsi="宋体" w:eastAsia="宋体" w:cs="宋体"/>
                <w:color w:val="auto"/>
                <w:highlight w:val="none"/>
              </w:rPr>
              <w:t>相应证明</w:t>
            </w:r>
            <w:r>
              <w:rPr>
                <w:rFonts w:hint="eastAsia" w:ascii="宋体" w:hAnsi="宋体" w:eastAsia="宋体" w:cs="宋体"/>
                <w:color w:val="auto"/>
                <w:highlight w:val="none"/>
                <w:lang w:val="en-US" w:eastAsia="zh-CN"/>
              </w:rPr>
              <w:t>材料</w:t>
            </w:r>
            <w:r>
              <w:rPr>
                <w:rFonts w:hint="eastAsia" w:ascii="宋体" w:hAnsi="宋体" w:eastAsia="宋体" w:cs="宋体"/>
                <w:color w:val="auto"/>
                <w:szCs w:val="21"/>
                <w:highlight w:val="none"/>
              </w:rPr>
              <w:t>；</w:t>
            </w:r>
            <w:r>
              <w:rPr>
                <w:rFonts w:hint="eastAsia" w:ascii="宋体" w:hAnsi="宋体" w:eastAsia="宋体" w:cs="宋体"/>
                <w:color w:val="auto"/>
                <w:highlight w:val="none"/>
              </w:rPr>
              <w:t>依法免税的，必须提供相应文件证明其依法免税。</w:t>
            </w:r>
            <w:r>
              <w:rPr>
                <w:rFonts w:hint="eastAsia" w:ascii="宋体" w:hAnsi="宋体" w:eastAsia="宋体" w:cs="宋体"/>
                <w:color w:val="auto"/>
                <w:szCs w:val="21"/>
                <w:highlight w:val="none"/>
              </w:rPr>
              <w:t>从成立之日起到响应文件提交截止时间止不足要求月数的，只需提供从成立之日起的依法缴纳税收</w:t>
            </w:r>
            <w:r>
              <w:rPr>
                <w:rFonts w:hint="eastAsia" w:ascii="宋体" w:hAnsi="宋体" w:eastAsia="宋体" w:cs="宋体"/>
                <w:color w:val="auto"/>
                <w:highlight w:val="none"/>
              </w:rPr>
              <w:t>相应证明</w:t>
            </w:r>
            <w:r>
              <w:rPr>
                <w:rFonts w:hint="eastAsia" w:ascii="宋体" w:hAnsi="宋体" w:eastAsia="宋体" w:cs="宋体"/>
                <w:color w:val="auto"/>
                <w:highlight w:val="none"/>
                <w:lang w:val="en-US" w:eastAsia="zh-CN"/>
              </w:rPr>
              <w:t>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09D56AC4">
            <w:pPr>
              <w:keepNext w:val="0"/>
              <w:keepLines w:val="0"/>
              <w:pageBreakBefore w:val="0"/>
              <w:widowControl w:val="0"/>
              <w:kinsoku/>
              <w:wordWrap/>
              <w:overflowPunct/>
              <w:topLinePunct w:val="0"/>
              <w:autoSpaceDE/>
              <w:autoSpaceDN/>
              <w:bidi w:val="0"/>
              <w:adjustRightInd w:val="0"/>
              <w:snapToGrid w:val="0"/>
              <w:spacing w:line="360" w:lineRule="atLeas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w:t>
            </w:r>
            <w:r>
              <w:rPr>
                <w:rFonts w:hint="eastAsia" w:ascii="宋体" w:hAnsi="宋体" w:eastAsia="宋体" w:cs="宋体"/>
                <w:color w:val="auto"/>
                <w:highlight w:val="none"/>
              </w:rPr>
              <w:t>相应证明</w:t>
            </w:r>
            <w:r>
              <w:rPr>
                <w:rFonts w:hint="eastAsia" w:ascii="宋体" w:hAnsi="宋体" w:eastAsia="宋体" w:cs="宋体"/>
                <w:color w:val="auto"/>
                <w:highlight w:val="none"/>
                <w:lang w:val="en-US" w:eastAsia="zh-CN"/>
              </w:rPr>
              <w:t>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月至2026年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none"/>
              </w:rPr>
              <w:t>内</w:t>
            </w:r>
            <w:r>
              <w:rPr>
                <w:rFonts w:hint="eastAsia" w:ascii="宋体" w:hAnsi="宋体" w:eastAsia="宋体" w:cs="宋体"/>
                <w:color w:val="auto"/>
                <w:szCs w:val="21"/>
                <w:highlight w:val="none"/>
              </w:rPr>
              <w:t>任意</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3</w:t>
            </w:r>
            <w:r>
              <w:rPr>
                <w:rFonts w:hint="eastAsia" w:ascii="宋体" w:hAnsi="宋体" w:eastAsia="宋体" w:cs="宋体"/>
                <w:color w:val="auto"/>
                <w:szCs w:val="21"/>
                <w:highlight w:val="none"/>
              </w:rPr>
              <w:t>个月的依法缴纳社会保障资金的缴费凭证（专用收据或者社会保险缴纳清单</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highlight w:val="none"/>
              </w:rPr>
              <w:t>相应证明</w:t>
            </w:r>
            <w:r>
              <w:rPr>
                <w:rFonts w:hint="eastAsia" w:ascii="宋体" w:hAnsi="宋体" w:eastAsia="宋体" w:cs="宋体"/>
                <w:color w:val="auto"/>
                <w:highlight w:val="none"/>
                <w:lang w:val="en-US" w:eastAsia="zh-CN"/>
              </w:rPr>
              <w:t>材料</w:t>
            </w:r>
            <w:r>
              <w:rPr>
                <w:rFonts w:hint="eastAsia" w:ascii="宋体" w:hAnsi="宋体" w:eastAsia="宋体" w:cs="宋体"/>
                <w:color w:val="auto"/>
                <w:szCs w:val="21"/>
                <w:highlight w:val="none"/>
              </w:rPr>
              <w:t>）；</w:t>
            </w:r>
            <w:r>
              <w:rPr>
                <w:rFonts w:hint="eastAsia" w:ascii="宋体" w:hAnsi="宋体" w:eastAsia="宋体" w:cs="宋体"/>
                <w:color w:val="auto"/>
                <w:highlight w:val="none"/>
              </w:rPr>
              <w:t>依法不需要缴纳社会保障资金的，必须提供相应文件证明不需要缴纳社会保障资金。</w:t>
            </w:r>
            <w:r>
              <w:rPr>
                <w:rFonts w:hint="eastAsia" w:ascii="宋体" w:hAnsi="宋体" w:eastAsia="宋体" w:cs="宋体"/>
                <w:color w:val="auto"/>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highlight w:val="none"/>
              </w:rPr>
              <w:t>相应证明文件</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7C4A291B">
            <w:pPr>
              <w:keepNext w:val="0"/>
              <w:keepLines w:val="0"/>
              <w:pageBreakBefore w:val="0"/>
              <w:widowControl w:val="0"/>
              <w:kinsoku/>
              <w:wordWrap/>
              <w:overflowPunct/>
              <w:topLinePunct w:val="0"/>
              <w:autoSpaceDE/>
              <w:autoSpaceDN/>
              <w:bidi w:val="0"/>
              <w:adjustRightInd w:val="0"/>
              <w:snapToGrid w:val="0"/>
              <w:spacing w:line="360" w:lineRule="atLeast"/>
              <w:contextualSpacing/>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u w:val="single"/>
              </w:rPr>
              <w:t>2024年</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u w:val="single"/>
                <w:lang w:val="en-US" w:eastAsia="zh-CN"/>
              </w:rPr>
              <w:t>2025年</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度财务报表，或者银行出具的资信证明，或者中国人民银行征信中心出具的信用报告；供应商属于</w:t>
            </w:r>
            <w:r>
              <w:rPr>
                <w:rFonts w:hint="eastAsia" w:ascii="宋体" w:hAnsi="宋体" w:eastAsia="宋体" w:cs="宋体"/>
                <w:color w:val="auto"/>
                <w:highlight w:val="none"/>
              </w:rPr>
              <w:t>成立时间</w:t>
            </w:r>
            <w:r>
              <w:rPr>
                <w:rFonts w:hint="eastAsia" w:ascii="宋体" w:hAnsi="宋体" w:eastAsia="宋体" w:cs="宋体"/>
                <w:color w:val="auto"/>
                <w:kern w:val="0"/>
                <w:highlight w:val="none"/>
              </w:rPr>
              <w:t>在规定年度之后</w:t>
            </w:r>
            <w:r>
              <w:rPr>
                <w:rFonts w:hint="eastAsia" w:ascii="宋体" w:hAnsi="宋体" w:eastAsia="宋体" w:cs="宋体"/>
                <w:color w:val="auto"/>
                <w:highlight w:val="none"/>
              </w:rPr>
              <w:t>的</w:t>
            </w:r>
            <w:r>
              <w:rPr>
                <w:rFonts w:hint="eastAsia" w:ascii="宋体" w:hAnsi="宋体" w:eastAsia="宋体" w:cs="宋体"/>
                <w:color w:val="auto"/>
                <w:szCs w:val="21"/>
                <w:highlight w:val="none"/>
              </w:rPr>
              <w:t>法人或其他组织</w:t>
            </w:r>
            <w:r>
              <w:rPr>
                <w:rFonts w:hint="eastAsia" w:ascii="宋体" w:hAnsi="宋体" w:eastAsia="宋体" w:cs="宋体"/>
                <w:color w:val="auto"/>
                <w:highlight w:val="none"/>
              </w:rPr>
              <w:t>，需提供成立之日起至响应文件提交截止时间前的月报表</w:t>
            </w:r>
            <w:r>
              <w:rPr>
                <w:rFonts w:hint="eastAsia" w:ascii="宋体" w:hAnsi="宋体" w:eastAsia="宋体" w:cs="宋体"/>
                <w:color w:val="auto"/>
                <w:szCs w:val="21"/>
                <w:highlight w:val="none"/>
              </w:rPr>
              <w:t>或银行出具的资信证明或者中国人民银行征信中心出具的企业信用报告；资信证明应在有效期内，未注明有效期的，银行出具时间至响应文件提交截止时间不得超过一年）；</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bCs/>
                <w:color w:val="auto"/>
                <w:szCs w:val="21"/>
                <w:highlight w:val="none"/>
              </w:rPr>
              <w:t>）</w:t>
            </w:r>
          </w:p>
          <w:p w14:paraId="610DAD81">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D58D5EC">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DA750B9">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auto"/>
                <w:szCs w:val="21"/>
                <w:highlight w:val="none"/>
              </w:rPr>
            </w:pPr>
            <w:bookmarkStart w:id="12" w:name="OLE_LINK19"/>
            <w:r>
              <w:rPr>
                <w:rFonts w:hint="eastAsia" w:ascii="宋体" w:hAnsi="宋体" w:eastAsia="宋体" w:cs="宋体"/>
                <w:color w:val="auto"/>
                <w:szCs w:val="21"/>
                <w:highlight w:val="none"/>
                <w:lang w:val="en-US" w:eastAsia="zh-CN"/>
              </w:rPr>
              <w:t>7.供应商有效的</w:t>
            </w:r>
            <w:r>
              <w:rPr>
                <w:rFonts w:hint="eastAsia" w:ascii="宋体" w:hAnsi="宋体" w:eastAsia="宋体" w:cs="宋体"/>
                <w:color w:val="auto"/>
                <w:highlight w:val="none"/>
                <w:lang w:val="en-US" w:eastAsia="zh-CN"/>
              </w:rPr>
              <w:t>文物保护工程施工一级资质</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有效的企业安全生产许可</w:t>
            </w:r>
            <w:r>
              <w:rPr>
                <w:rFonts w:hint="eastAsia" w:ascii="宋体" w:hAnsi="宋体" w:eastAsia="宋体" w:cs="宋体"/>
                <w:color w:val="auto"/>
                <w:szCs w:val="21"/>
                <w:highlight w:val="none"/>
                <w:lang w:val="en-US" w:eastAsia="zh-CN"/>
              </w:rPr>
              <w:t>证；</w:t>
            </w:r>
            <w:bookmarkEnd w:id="12"/>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7D8440FD">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8.供应商</w:t>
            </w:r>
            <w:r>
              <w:rPr>
                <w:rFonts w:hint="eastAsia" w:ascii="宋体" w:hAnsi="宋体" w:cs="宋体"/>
                <w:color w:val="auto"/>
                <w:highlight w:val="none"/>
                <w:lang w:val="en-US" w:eastAsia="zh-CN"/>
              </w:rPr>
              <w:t>拟投入本项目的项目经理提供有效的文物保护工程责任工程师资格证书、身份证正、背面复印件或扫描件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E7BD9DA">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9.供应商</w:t>
            </w:r>
            <w:r>
              <w:rPr>
                <w:rFonts w:hint="eastAsia" w:ascii="宋体" w:hAnsi="宋体" w:cs="宋体"/>
                <w:color w:val="auto"/>
                <w:highlight w:val="none"/>
                <w:lang w:val="en-US" w:eastAsia="zh-CN"/>
              </w:rPr>
              <w:t>拟投入本项目的专职安全生产管理人员提供有效的安全生产考核合格证书（C类）、身份证正、背面复印件或扫描件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42C1BA5D">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10.供应商的《中小企业声明函》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val="en-US" w:eastAsia="zh-CN"/>
              </w:rPr>
              <w:t>或《残疾人福利性单位声明函》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val="en-US" w:eastAsia="zh-CN"/>
              </w:rPr>
              <w:t>或属于监狱企业的证明文件；（</w:t>
            </w:r>
            <w:r>
              <w:rPr>
                <w:rFonts w:hint="eastAsia" w:ascii="宋体" w:hAnsi="宋体" w:eastAsia="宋体" w:cs="宋体"/>
                <w:b/>
                <w:bCs/>
                <w:color w:val="auto"/>
                <w:szCs w:val="21"/>
                <w:highlight w:val="none"/>
                <w:lang w:val="en-US" w:eastAsia="zh-CN"/>
              </w:rPr>
              <w:t>必须提供，否则响应文件按无效处理</w:t>
            </w:r>
            <w:r>
              <w:rPr>
                <w:rFonts w:hint="eastAsia" w:ascii="宋体" w:hAnsi="宋体" w:eastAsia="宋体" w:cs="宋体"/>
                <w:color w:val="auto"/>
                <w:szCs w:val="21"/>
                <w:highlight w:val="none"/>
                <w:lang w:val="en-US" w:eastAsia="zh-CN"/>
              </w:rPr>
              <w:t>）</w:t>
            </w:r>
          </w:p>
          <w:p w14:paraId="4CBDD49C">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注：成交结果同时公告企业《中小企业声明函》或《残疾人福利性单位声明函》或属于监狱企业的证明文件，接受社会监督。供应商应如实申明，如提供虚假申明应依法承担相应法律责任。</w:t>
            </w:r>
          </w:p>
          <w:p w14:paraId="778E8231">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供应商认为需要提供的其他有关资料。</w:t>
            </w:r>
          </w:p>
        </w:tc>
      </w:tr>
      <w:tr w14:paraId="30DB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7F2B0A21">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963" w:type="dxa"/>
            <w:noWrap w:val="0"/>
            <w:tcMar>
              <w:top w:w="85" w:type="dxa"/>
              <w:left w:w="85" w:type="dxa"/>
              <w:bottom w:w="85" w:type="dxa"/>
              <w:right w:w="85" w:type="dxa"/>
            </w:tcMar>
            <w:vAlign w:val="center"/>
          </w:tcPr>
          <w:p w14:paraId="328A599F">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11.1.3</w:t>
            </w:r>
          </w:p>
        </w:tc>
        <w:tc>
          <w:tcPr>
            <w:tcW w:w="7773" w:type="dxa"/>
            <w:noWrap w:val="0"/>
            <w:tcMar>
              <w:top w:w="85" w:type="dxa"/>
              <w:left w:w="85" w:type="dxa"/>
              <w:bottom w:w="85" w:type="dxa"/>
              <w:right w:w="85" w:type="dxa"/>
            </w:tcMar>
            <w:vAlign w:val="center"/>
          </w:tcPr>
          <w:p w14:paraId="47F67F52">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商务技术文件：</w:t>
            </w:r>
          </w:p>
          <w:p w14:paraId="0E2EF3BB">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5D5E5A3A">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身份证明书（格式后附）及法定代表人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有效身份证正</w:t>
            </w:r>
            <w:r>
              <w:rPr>
                <w:rFonts w:hint="eastAsia" w:ascii="宋体" w:hAnsi="宋体" w:cs="宋体"/>
                <w:color w:val="auto"/>
                <w:szCs w:val="21"/>
                <w:highlight w:val="none"/>
                <w:lang w:val="en-US" w:eastAsia="zh-CN"/>
              </w:rPr>
              <w:t>背</w:t>
            </w:r>
            <w:r>
              <w:rPr>
                <w:rFonts w:hint="eastAsia" w:ascii="宋体" w:hAnsi="宋体" w:eastAsia="宋体" w:cs="宋体"/>
                <w:color w:val="auto"/>
                <w:szCs w:val="21"/>
                <w:highlight w:val="none"/>
              </w:rPr>
              <w:t>面复印件；（</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2194377F">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法定代表人（负责人）</w:t>
            </w:r>
            <w:r>
              <w:rPr>
                <w:rFonts w:hint="eastAsia" w:ascii="宋体" w:hAnsi="宋体" w:eastAsia="宋体" w:cs="宋体"/>
                <w:color w:val="auto"/>
                <w:szCs w:val="21"/>
                <w:highlight w:val="none"/>
              </w:rPr>
              <w:t>授权委托书（格式后附）及</w:t>
            </w:r>
            <w:r>
              <w:rPr>
                <w:rFonts w:hint="eastAsia" w:ascii="宋体" w:hAnsi="宋体" w:cs="宋体"/>
                <w:color w:val="auto"/>
                <w:szCs w:val="21"/>
                <w:highlight w:val="none"/>
                <w:lang w:val="en-US" w:eastAsia="zh-CN"/>
              </w:rPr>
              <w:t>授权</w:t>
            </w:r>
            <w:r>
              <w:rPr>
                <w:rFonts w:hint="eastAsia" w:ascii="宋体" w:hAnsi="宋体" w:eastAsia="宋体" w:cs="宋体"/>
                <w:color w:val="auto"/>
                <w:szCs w:val="21"/>
                <w:highlight w:val="none"/>
              </w:rPr>
              <w:t>委托人有效身份证正</w:t>
            </w:r>
            <w:r>
              <w:rPr>
                <w:rFonts w:hint="eastAsia" w:ascii="宋体" w:hAnsi="宋体" w:cs="宋体"/>
                <w:color w:val="auto"/>
                <w:szCs w:val="21"/>
                <w:highlight w:val="none"/>
                <w:lang w:val="en-US" w:eastAsia="zh-CN"/>
              </w:rPr>
              <w:t>背</w:t>
            </w:r>
            <w:r>
              <w:rPr>
                <w:rFonts w:hint="eastAsia" w:ascii="宋体" w:hAnsi="宋体" w:eastAsia="宋体" w:cs="宋体"/>
                <w:color w:val="auto"/>
                <w:szCs w:val="21"/>
                <w:highlight w:val="none"/>
              </w:rPr>
              <w:t>面复印件；（</w:t>
            </w:r>
            <w:r>
              <w:rPr>
                <w:rFonts w:hint="eastAsia" w:ascii="宋体" w:hAnsi="宋体" w:eastAsia="宋体" w:cs="宋体"/>
                <w:b/>
                <w:color w:val="auto"/>
                <w:szCs w:val="21"/>
                <w:highlight w:val="none"/>
              </w:rPr>
              <w:t>委托时必须提供，否则响应文件按无效处理</w:t>
            </w:r>
            <w:r>
              <w:rPr>
                <w:rFonts w:hint="eastAsia" w:ascii="宋体" w:hAnsi="宋体" w:eastAsia="宋体" w:cs="宋体"/>
                <w:color w:val="auto"/>
                <w:szCs w:val="21"/>
                <w:highlight w:val="none"/>
              </w:rPr>
              <w:t>）</w:t>
            </w:r>
          </w:p>
          <w:p w14:paraId="53CE82EC">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4.建筑材料和设备节能环保要求承诺书（格式后附）；（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51BABF78">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.商务要求响应表；（</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96A1E8A">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.技术要求响应表；（</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026192D0">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bCs/>
                <w:color w:val="auto"/>
                <w:kern w:val="0"/>
                <w:szCs w:val="21"/>
                <w:highlight w:val="none"/>
              </w:rPr>
              <w:t>建设工程项目管理承诺书（格式后附）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D934218">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施工组织设计（格式自拟）；（</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078B32E7">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项目管理机构配备情况表及主要人员简历表（格式后附）；（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 xml:space="preserve">） </w:t>
            </w:r>
          </w:p>
          <w:p w14:paraId="265031A2">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10.分包项目情况表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rPr>
              <w:t>格式自拟）</w:t>
            </w:r>
          </w:p>
          <w:p w14:paraId="6E672C7A">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pacing w:val="0"/>
                <w:sz w:val="21"/>
                <w:szCs w:val="21"/>
                <w:highlight w:val="none"/>
                <w:lang w:val="en-US" w:eastAsia="zh-CN"/>
              </w:rPr>
              <w:t>（由供应商根据评分办法相应内容结合自身企业实际情况自行提供）</w:t>
            </w:r>
          </w:p>
        </w:tc>
      </w:tr>
      <w:tr w14:paraId="75D3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41A708E5">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963" w:type="dxa"/>
            <w:noWrap w:val="0"/>
            <w:tcMar>
              <w:top w:w="85" w:type="dxa"/>
              <w:left w:w="85" w:type="dxa"/>
              <w:bottom w:w="85" w:type="dxa"/>
              <w:right w:w="85" w:type="dxa"/>
            </w:tcMar>
            <w:vAlign w:val="center"/>
          </w:tcPr>
          <w:p w14:paraId="57125932">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rPr>
              <w:t>11.2</w:t>
            </w:r>
            <w:r>
              <w:rPr>
                <w:rFonts w:hint="eastAsia" w:ascii="宋体" w:hAnsi="宋体" w:eastAsia="宋体" w:cs="宋体"/>
                <w:szCs w:val="21"/>
                <w:lang w:val="en-US" w:eastAsia="zh-CN"/>
              </w:rPr>
              <w:t>.1</w:t>
            </w:r>
          </w:p>
        </w:tc>
        <w:tc>
          <w:tcPr>
            <w:tcW w:w="7773" w:type="dxa"/>
            <w:noWrap w:val="0"/>
            <w:tcMar>
              <w:top w:w="85" w:type="dxa"/>
              <w:left w:w="85" w:type="dxa"/>
              <w:bottom w:w="85" w:type="dxa"/>
              <w:right w:w="85" w:type="dxa"/>
            </w:tcMar>
            <w:vAlign w:val="center"/>
          </w:tcPr>
          <w:p w14:paraId="2596655D">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rPr>
            </w:pPr>
            <w:r>
              <w:rPr>
                <w:rFonts w:hint="eastAsia" w:ascii="宋体" w:hAnsi="宋体" w:eastAsia="宋体" w:cs="宋体"/>
                <w:b/>
                <w:bCs/>
                <w:color w:val="auto"/>
                <w:szCs w:val="21"/>
              </w:rPr>
              <w:t>响应文件份数：电子加密响应文件在线上传提交一份。</w:t>
            </w:r>
          </w:p>
        </w:tc>
      </w:tr>
      <w:tr w14:paraId="1F0C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13F1DDB0">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963" w:type="dxa"/>
            <w:noWrap w:val="0"/>
            <w:tcMar>
              <w:top w:w="85" w:type="dxa"/>
              <w:left w:w="85" w:type="dxa"/>
              <w:bottom w:w="85" w:type="dxa"/>
              <w:right w:w="85" w:type="dxa"/>
            </w:tcMar>
            <w:vAlign w:val="center"/>
          </w:tcPr>
          <w:p w14:paraId="662C20B1">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rPr>
            </w:pPr>
            <w:r>
              <w:rPr>
                <w:rFonts w:hint="eastAsia" w:ascii="宋体" w:hAnsi="宋体" w:eastAsia="宋体" w:cs="宋体"/>
                <w:szCs w:val="21"/>
              </w:rPr>
              <w:t>13.2</w:t>
            </w:r>
          </w:p>
        </w:tc>
        <w:tc>
          <w:tcPr>
            <w:tcW w:w="7773" w:type="dxa"/>
            <w:noWrap w:val="0"/>
            <w:tcMar>
              <w:top w:w="85" w:type="dxa"/>
              <w:left w:w="85" w:type="dxa"/>
              <w:bottom w:w="85" w:type="dxa"/>
              <w:right w:w="85" w:type="dxa"/>
            </w:tcMar>
            <w:vAlign w:val="center"/>
          </w:tcPr>
          <w:p w14:paraId="7806EC40">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报价：本工程报价采用工程量清单计价方式</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。施工合同价款采用综合单价固定，工程量按实际结算。</w:t>
            </w:r>
          </w:p>
          <w:p w14:paraId="5E6A5B97">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如果供应商的最后报价与首次报价不一致的，不能只报</w:t>
            </w:r>
            <w:r>
              <w:rPr>
                <w:rFonts w:hint="eastAsia" w:ascii="宋体" w:hAnsi="宋体" w:eastAsia="宋体" w:cs="宋体"/>
                <w:b/>
                <w:bCs/>
                <w:color w:val="auto"/>
                <w:szCs w:val="21"/>
                <w:highlight w:val="none"/>
                <w:lang w:val="en-US" w:eastAsia="zh-CN"/>
              </w:rPr>
              <w:t>磋商</w:t>
            </w:r>
            <w:r>
              <w:rPr>
                <w:rFonts w:hint="eastAsia" w:ascii="宋体" w:hAnsi="宋体" w:eastAsia="宋体" w:cs="宋体"/>
                <w:b/>
                <w:bCs/>
                <w:color w:val="auto"/>
                <w:szCs w:val="21"/>
                <w:highlight w:val="none"/>
              </w:rPr>
              <w:t>总报价</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kern w:val="0"/>
                <w:szCs w:val="21"/>
                <w:highlight w:val="none"/>
              </w:rPr>
              <w:t>供应商应预先准备好调整后的已标价工程量清单</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作最终报价时</w:t>
            </w:r>
            <w:r>
              <w:rPr>
                <w:rFonts w:hint="eastAsia" w:ascii="宋体" w:hAnsi="宋体" w:eastAsia="宋体" w:cs="宋体"/>
                <w:b/>
                <w:bCs/>
                <w:color w:val="auto"/>
                <w:szCs w:val="21"/>
                <w:highlight w:val="none"/>
              </w:rPr>
              <w:t>同时提供“已标价工程量清单”，否则做无效响应处理。</w:t>
            </w:r>
          </w:p>
        </w:tc>
      </w:tr>
      <w:tr w14:paraId="2E8B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5C747907">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963" w:type="dxa"/>
            <w:noWrap w:val="0"/>
            <w:tcMar>
              <w:top w:w="85" w:type="dxa"/>
              <w:left w:w="85" w:type="dxa"/>
              <w:bottom w:w="85" w:type="dxa"/>
              <w:right w:w="85" w:type="dxa"/>
            </w:tcMar>
            <w:vAlign w:val="center"/>
          </w:tcPr>
          <w:p w14:paraId="17693A71">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13.3</w:t>
            </w:r>
          </w:p>
        </w:tc>
        <w:tc>
          <w:tcPr>
            <w:tcW w:w="7773" w:type="dxa"/>
            <w:noWrap w:val="0"/>
            <w:tcMar>
              <w:top w:w="85" w:type="dxa"/>
              <w:left w:w="85" w:type="dxa"/>
              <w:bottom w:w="85" w:type="dxa"/>
              <w:right w:w="85" w:type="dxa"/>
            </w:tcMar>
            <w:vAlign w:val="center"/>
          </w:tcPr>
          <w:p w14:paraId="236BAA54">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报价是履行合同的最终价格，包括了为实施和完成合同工程所需的劳务、材料、机械、质检（自检）、安装、缺陷修复、管理、</w:t>
            </w:r>
            <w:r>
              <w:rPr>
                <w:rFonts w:hint="eastAsia" w:ascii="宋体" w:hAnsi="宋体" w:cs="宋体"/>
                <w:color w:val="auto"/>
                <w:szCs w:val="21"/>
                <w:highlight w:val="none"/>
                <w:lang w:val="en-US" w:eastAsia="zh-CN"/>
              </w:rPr>
              <w:t>工程</w:t>
            </w:r>
            <w:r>
              <w:rPr>
                <w:rFonts w:hint="eastAsia" w:ascii="宋体" w:hAnsi="宋体" w:eastAsia="宋体" w:cs="宋体"/>
                <w:color w:val="auto"/>
                <w:szCs w:val="21"/>
                <w:highlight w:val="none"/>
              </w:rPr>
              <w:t>保险</w:t>
            </w:r>
            <w:r>
              <w:rPr>
                <w:rFonts w:hint="eastAsia" w:ascii="宋体" w:hAnsi="宋体" w:cs="宋体"/>
                <w:color w:val="auto"/>
                <w:szCs w:val="21"/>
                <w:highlight w:val="none"/>
                <w:lang w:val="en-US" w:eastAsia="zh-CN"/>
              </w:rPr>
              <w:t>费</w:t>
            </w:r>
            <w:r>
              <w:rPr>
                <w:rFonts w:hint="eastAsia" w:ascii="宋体" w:hAnsi="宋体" w:eastAsia="宋体" w:cs="宋体"/>
                <w:color w:val="auto"/>
                <w:szCs w:val="21"/>
                <w:highlight w:val="none"/>
              </w:rPr>
              <w:t>、税费、利润等费用，以及合同明示或暗示的所有责任、义务和一般风险。</w:t>
            </w:r>
          </w:p>
        </w:tc>
      </w:tr>
      <w:tr w14:paraId="6406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2725A897">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963" w:type="dxa"/>
            <w:noWrap w:val="0"/>
            <w:tcMar>
              <w:top w:w="85" w:type="dxa"/>
              <w:left w:w="85" w:type="dxa"/>
              <w:bottom w:w="85" w:type="dxa"/>
              <w:right w:w="85" w:type="dxa"/>
            </w:tcMar>
            <w:vAlign w:val="center"/>
          </w:tcPr>
          <w:p w14:paraId="0F49F8F6">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14.7</w:t>
            </w:r>
          </w:p>
        </w:tc>
        <w:tc>
          <w:tcPr>
            <w:tcW w:w="7773" w:type="dxa"/>
            <w:noWrap w:val="0"/>
            <w:tcMar>
              <w:top w:w="85" w:type="dxa"/>
              <w:left w:w="85" w:type="dxa"/>
              <w:bottom w:w="85" w:type="dxa"/>
              <w:right w:w="85" w:type="dxa"/>
            </w:tcMar>
            <w:vAlign w:val="center"/>
          </w:tcPr>
          <w:p w14:paraId="57462413">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rPr>
              <w:t>本工程增值税计税方法：☑一般计税法； □简易计税法</w:t>
            </w:r>
          </w:p>
        </w:tc>
      </w:tr>
      <w:tr w14:paraId="295A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2F7FC3A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963" w:type="dxa"/>
            <w:noWrap w:val="0"/>
            <w:tcMar>
              <w:top w:w="85" w:type="dxa"/>
              <w:left w:w="85" w:type="dxa"/>
              <w:bottom w:w="85" w:type="dxa"/>
              <w:right w:w="85" w:type="dxa"/>
            </w:tcMar>
            <w:vAlign w:val="center"/>
          </w:tcPr>
          <w:p w14:paraId="3D22F47B">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.1</w:t>
            </w:r>
          </w:p>
        </w:tc>
        <w:tc>
          <w:tcPr>
            <w:tcW w:w="7773" w:type="dxa"/>
            <w:noWrap w:val="0"/>
            <w:tcMar>
              <w:top w:w="85" w:type="dxa"/>
              <w:left w:w="85" w:type="dxa"/>
              <w:bottom w:w="85" w:type="dxa"/>
              <w:right w:w="85" w:type="dxa"/>
            </w:tcMar>
            <w:vAlign w:val="center"/>
          </w:tcPr>
          <w:p w14:paraId="72046D3A">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rPr>
            </w:pPr>
            <w:r>
              <w:rPr>
                <w:rFonts w:hint="eastAsia" w:ascii="宋体" w:hAnsi="宋体" w:eastAsia="宋体" w:cs="宋体"/>
                <w:b/>
                <w:bCs/>
                <w:color w:val="auto"/>
                <w:szCs w:val="21"/>
                <w:lang w:val="en-US" w:eastAsia="zh-CN"/>
              </w:rPr>
              <w:t>磋商</w:t>
            </w:r>
            <w:r>
              <w:rPr>
                <w:rFonts w:hint="eastAsia" w:ascii="宋体" w:hAnsi="宋体" w:eastAsia="宋体" w:cs="宋体"/>
                <w:b/>
                <w:bCs/>
                <w:color w:val="auto"/>
                <w:szCs w:val="21"/>
              </w:rPr>
              <w:t>有效期：</w:t>
            </w:r>
            <w:r>
              <w:rPr>
                <w:rFonts w:hint="eastAsia" w:ascii="宋体" w:hAnsi="宋体" w:eastAsia="宋体" w:cs="宋体"/>
                <w:color w:val="auto"/>
                <w:szCs w:val="21"/>
              </w:rPr>
              <w:t>自首次响应文件提交截止之日起90天。</w:t>
            </w:r>
          </w:p>
        </w:tc>
      </w:tr>
      <w:tr w14:paraId="22F9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3814D58B">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963" w:type="dxa"/>
            <w:noWrap w:val="0"/>
            <w:tcMar>
              <w:top w:w="85" w:type="dxa"/>
              <w:left w:w="85" w:type="dxa"/>
              <w:bottom w:w="85" w:type="dxa"/>
              <w:right w:w="85" w:type="dxa"/>
            </w:tcMar>
            <w:vAlign w:val="center"/>
          </w:tcPr>
          <w:p w14:paraId="4B4520F0">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.3</w:t>
            </w:r>
          </w:p>
          <w:p w14:paraId="6908A2D0">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.4</w:t>
            </w:r>
          </w:p>
        </w:tc>
        <w:tc>
          <w:tcPr>
            <w:tcW w:w="7773" w:type="dxa"/>
            <w:noWrap w:val="0"/>
            <w:tcMar>
              <w:top w:w="85" w:type="dxa"/>
              <w:left w:w="85" w:type="dxa"/>
              <w:bottom w:w="85" w:type="dxa"/>
              <w:right w:w="85" w:type="dxa"/>
            </w:tcMar>
            <w:vAlign w:val="center"/>
          </w:tcPr>
          <w:p w14:paraId="775D8BB1">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磋商</w:t>
            </w:r>
            <w:r>
              <w:rPr>
                <w:rFonts w:hint="eastAsia" w:ascii="宋体" w:hAnsi="宋体" w:eastAsia="宋体" w:cs="宋体"/>
                <w:b/>
                <w:bCs/>
                <w:color w:val="auto"/>
                <w:szCs w:val="21"/>
              </w:rPr>
              <w:t>保证金：</w:t>
            </w:r>
            <w:r>
              <w:rPr>
                <w:rFonts w:hint="eastAsia" w:ascii="宋体" w:hAnsi="宋体" w:eastAsia="宋体" w:cs="宋体"/>
                <w:b/>
                <w:bCs/>
                <w:color w:val="auto"/>
                <w:szCs w:val="21"/>
                <w:lang w:val="en-US" w:eastAsia="zh-CN"/>
              </w:rPr>
              <w:t>无。</w:t>
            </w:r>
          </w:p>
        </w:tc>
      </w:tr>
      <w:tr w14:paraId="32C3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1C99B614">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963" w:type="dxa"/>
            <w:noWrap w:val="0"/>
            <w:tcMar>
              <w:top w:w="85" w:type="dxa"/>
              <w:left w:w="85" w:type="dxa"/>
              <w:bottom w:w="85" w:type="dxa"/>
              <w:right w:w="85" w:type="dxa"/>
            </w:tcMar>
            <w:vAlign w:val="center"/>
          </w:tcPr>
          <w:p w14:paraId="356736D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7773" w:type="dxa"/>
            <w:noWrap w:val="0"/>
            <w:tcMar>
              <w:top w:w="85" w:type="dxa"/>
              <w:left w:w="85" w:type="dxa"/>
              <w:bottom w:w="85" w:type="dxa"/>
              <w:right w:w="85" w:type="dxa"/>
            </w:tcMar>
            <w:vAlign w:val="center"/>
          </w:tcPr>
          <w:p w14:paraId="4536E0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响应文件的提交（上传）</w:t>
            </w:r>
          </w:p>
          <w:p w14:paraId="4ACDEA2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供应商响应文件截止</w:t>
            </w:r>
            <w:r>
              <w:rPr>
                <w:rFonts w:hint="eastAsia" w:ascii="宋体" w:hAnsi="宋体" w:eastAsia="宋体" w:cs="宋体"/>
                <w:color w:val="auto"/>
                <w:szCs w:val="21"/>
                <w:lang w:val="en-US" w:eastAsia="zh-CN"/>
              </w:rPr>
              <w:t>提交</w:t>
            </w:r>
            <w:r>
              <w:rPr>
                <w:rFonts w:hint="eastAsia" w:ascii="宋体" w:hAnsi="宋体" w:eastAsia="宋体" w:cs="宋体"/>
                <w:color w:val="auto"/>
                <w:szCs w:val="21"/>
              </w:rPr>
              <w:t>（上传）时间：详见本项目竞争性</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公告；</w:t>
            </w:r>
          </w:p>
          <w:p w14:paraId="4FCA751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tLeast"/>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供应商提交（上传）响应文件的地点：详见本项目竞争性</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公告。</w:t>
            </w:r>
          </w:p>
        </w:tc>
      </w:tr>
      <w:tr w14:paraId="6401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23CEF66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6</w:t>
            </w:r>
          </w:p>
        </w:tc>
        <w:tc>
          <w:tcPr>
            <w:tcW w:w="963" w:type="dxa"/>
            <w:noWrap w:val="0"/>
            <w:tcMar>
              <w:top w:w="85" w:type="dxa"/>
              <w:left w:w="85" w:type="dxa"/>
              <w:bottom w:w="85" w:type="dxa"/>
              <w:right w:w="85" w:type="dxa"/>
            </w:tcMar>
            <w:vAlign w:val="center"/>
          </w:tcPr>
          <w:p w14:paraId="3DA781DA">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18.1</w:t>
            </w:r>
          </w:p>
        </w:tc>
        <w:tc>
          <w:tcPr>
            <w:tcW w:w="7773" w:type="dxa"/>
            <w:noWrap w:val="0"/>
            <w:tcMar>
              <w:top w:w="85" w:type="dxa"/>
              <w:left w:w="85" w:type="dxa"/>
              <w:bottom w:w="85" w:type="dxa"/>
              <w:right w:w="85" w:type="dxa"/>
            </w:tcMar>
            <w:vAlign w:val="center"/>
          </w:tcPr>
          <w:p w14:paraId="61D70DE3">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pacing w:val="0"/>
                <w:sz w:val="21"/>
                <w:szCs w:val="21"/>
              </w:rPr>
              <w:t>响应文件的解密：</w:t>
            </w:r>
            <w:r>
              <w:rPr>
                <w:rFonts w:hint="eastAsia" w:ascii="宋体" w:hAnsi="宋体" w:eastAsia="宋体" w:cs="宋体"/>
                <w:color w:val="auto"/>
                <w:spacing w:val="0"/>
                <w:sz w:val="21"/>
                <w:szCs w:val="21"/>
              </w:rPr>
              <w:t>采购代理机构在响应文件截止提交（上传）时间后向参与本项目采购活动的供应商发出解密通知，各供应商应当在接到解密通知后30分钟内自行完成各自响应文件的在线解密。解密后，由采购代理机构开启响应文件。</w:t>
            </w:r>
          </w:p>
        </w:tc>
      </w:tr>
      <w:tr w14:paraId="7E70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766160EA">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eastAsia="zh-CN"/>
              </w:rPr>
            </w:pPr>
            <w:r>
              <w:rPr>
                <w:rFonts w:hint="eastAsia" w:ascii="宋体" w:hAnsi="宋体" w:eastAsia="宋体" w:cs="宋体"/>
                <w:szCs w:val="21"/>
                <w:lang w:val="en-US" w:eastAsia="zh-CN"/>
              </w:rPr>
              <w:t>17</w:t>
            </w:r>
          </w:p>
        </w:tc>
        <w:tc>
          <w:tcPr>
            <w:tcW w:w="963" w:type="dxa"/>
            <w:noWrap w:val="0"/>
            <w:tcMar>
              <w:top w:w="85" w:type="dxa"/>
              <w:left w:w="85" w:type="dxa"/>
              <w:bottom w:w="85" w:type="dxa"/>
              <w:right w:w="85" w:type="dxa"/>
            </w:tcMar>
            <w:vAlign w:val="center"/>
          </w:tcPr>
          <w:p w14:paraId="78A4E4AA">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2</w:t>
            </w:r>
            <w:r>
              <w:rPr>
                <w:rFonts w:hint="eastAsia" w:ascii="宋体" w:hAnsi="宋体" w:eastAsia="宋体" w:cs="宋体"/>
                <w:szCs w:val="21"/>
              </w:rPr>
              <w:t>.1</w:t>
            </w:r>
          </w:p>
        </w:tc>
        <w:tc>
          <w:tcPr>
            <w:tcW w:w="7773" w:type="dxa"/>
            <w:noWrap w:val="0"/>
            <w:tcMar>
              <w:top w:w="85" w:type="dxa"/>
              <w:left w:w="85" w:type="dxa"/>
              <w:bottom w:w="85" w:type="dxa"/>
              <w:right w:w="85" w:type="dxa"/>
            </w:tcMar>
            <w:vAlign w:val="center"/>
          </w:tcPr>
          <w:p w14:paraId="04DF79CE">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评审办法：</w:t>
            </w:r>
            <w:r>
              <w:rPr>
                <w:rFonts w:hint="eastAsia" w:ascii="宋体" w:hAnsi="宋体" w:eastAsia="宋体" w:cs="宋体"/>
                <w:b/>
                <w:bCs/>
                <w:color w:val="auto"/>
                <w:spacing w:val="0"/>
                <w:sz w:val="21"/>
                <w:szCs w:val="21"/>
                <w:lang w:val="en-US" w:eastAsia="zh-CN"/>
              </w:rPr>
              <w:t>本项目采用综合评分法，具体评审标准见第四章《评审程序、评审方法和评审标准》</w:t>
            </w:r>
            <w:r>
              <w:rPr>
                <w:rFonts w:hint="eastAsia" w:ascii="宋体" w:hAnsi="宋体" w:eastAsia="宋体" w:cs="宋体"/>
                <w:b/>
                <w:bCs/>
                <w:color w:val="auto"/>
                <w:spacing w:val="0"/>
                <w:sz w:val="21"/>
                <w:szCs w:val="21"/>
              </w:rPr>
              <w:t>。</w:t>
            </w:r>
          </w:p>
        </w:tc>
      </w:tr>
      <w:tr w14:paraId="3DA5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4092116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8</w:t>
            </w:r>
          </w:p>
        </w:tc>
        <w:tc>
          <w:tcPr>
            <w:tcW w:w="963" w:type="dxa"/>
            <w:noWrap w:val="0"/>
            <w:tcMar>
              <w:top w:w="85" w:type="dxa"/>
              <w:left w:w="85" w:type="dxa"/>
              <w:bottom w:w="85" w:type="dxa"/>
              <w:right w:w="85" w:type="dxa"/>
            </w:tcMar>
            <w:vAlign w:val="center"/>
          </w:tcPr>
          <w:p w14:paraId="226A28AC">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lang w:val="en-US" w:eastAsia="zh-CN"/>
              </w:rPr>
              <w:t>30</w:t>
            </w:r>
            <w:r>
              <w:rPr>
                <w:rFonts w:hint="eastAsia" w:ascii="宋体" w:hAnsi="宋体" w:eastAsia="宋体" w:cs="宋体"/>
                <w:szCs w:val="21"/>
              </w:rPr>
              <w:t>.1</w:t>
            </w:r>
          </w:p>
        </w:tc>
        <w:tc>
          <w:tcPr>
            <w:tcW w:w="7773" w:type="dxa"/>
            <w:noWrap w:val="0"/>
            <w:tcMar>
              <w:top w:w="85" w:type="dxa"/>
              <w:left w:w="85" w:type="dxa"/>
              <w:bottom w:w="85" w:type="dxa"/>
              <w:right w:w="85" w:type="dxa"/>
            </w:tcMar>
            <w:vAlign w:val="center"/>
          </w:tcPr>
          <w:p w14:paraId="3EC3332B">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确定成交供应商：</w:t>
            </w:r>
            <w:r>
              <w:rPr>
                <w:rFonts w:hint="eastAsia" w:ascii="宋体" w:hAnsi="宋体" w:eastAsia="宋体" w:cs="宋体"/>
                <w:color w:val="auto"/>
                <w:spacing w:val="0"/>
                <w:sz w:val="21"/>
                <w:szCs w:val="21"/>
              </w:rPr>
              <w:t>采购代理机构于</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结束后两个工作日内将评审报告送交采购人，采购人应当自收到评审报告五个工作日内在评审报告推荐的成交候选人中按顺序确定成交供应商，采购单位应当确定</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小组推荐排名第一的为成交供应商。</w:t>
            </w:r>
          </w:p>
        </w:tc>
      </w:tr>
      <w:tr w14:paraId="4CBA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07C4ECF4">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19</w:t>
            </w:r>
          </w:p>
        </w:tc>
        <w:tc>
          <w:tcPr>
            <w:tcW w:w="963" w:type="dxa"/>
            <w:noWrap w:val="0"/>
            <w:tcMar>
              <w:top w:w="85" w:type="dxa"/>
              <w:left w:w="85" w:type="dxa"/>
              <w:bottom w:w="85" w:type="dxa"/>
              <w:right w:w="85" w:type="dxa"/>
            </w:tcMar>
            <w:vAlign w:val="center"/>
          </w:tcPr>
          <w:p w14:paraId="2EB557A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lang w:val="en-US" w:eastAsia="zh-CN"/>
              </w:rPr>
              <w:t>30</w:t>
            </w:r>
            <w:r>
              <w:rPr>
                <w:rFonts w:hint="eastAsia" w:ascii="宋体" w:hAnsi="宋体" w:eastAsia="宋体" w:cs="宋体"/>
                <w:szCs w:val="21"/>
              </w:rPr>
              <w:t>.2</w:t>
            </w:r>
          </w:p>
        </w:tc>
        <w:tc>
          <w:tcPr>
            <w:tcW w:w="7773" w:type="dxa"/>
            <w:noWrap w:val="0"/>
            <w:tcMar>
              <w:top w:w="85" w:type="dxa"/>
              <w:left w:w="85" w:type="dxa"/>
              <w:bottom w:w="85" w:type="dxa"/>
              <w:right w:w="85" w:type="dxa"/>
            </w:tcMar>
            <w:vAlign w:val="center"/>
          </w:tcPr>
          <w:p w14:paraId="60A64CA5">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发布成交结果公告及发出成交通知书：</w:t>
            </w:r>
          </w:p>
          <w:p w14:paraId="6CF074AC">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采购代理机构在成交供应商确定之日起两个工作日内在指定媒体上发布成交结果公告。</w:t>
            </w:r>
          </w:p>
          <w:p w14:paraId="0ABB6397">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b/>
                <w:bCs/>
                <w:color w:val="auto"/>
                <w:spacing w:val="0"/>
                <w:sz w:val="21"/>
                <w:szCs w:val="21"/>
              </w:rPr>
            </w:pPr>
            <w:r>
              <w:rPr>
                <w:rFonts w:hint="eastAsia" w:ascii="宋体" w:hAnsi="宋体" w:eastAsia="宋体" w:cs="宋体"/>
                <w:color w:val="auto"/>
                <w:spacing w:val="0"/>
                <w:sz w:val="21"/>
                <w:szCs w:val="21"/>
              </w:rPr>
              <w:t>在发布成交结果公告的同时，采购代理机构向成交供应商发出成交通知书。</w:t>
            </w:r>
          </w:p>
        </w:tc>
      </w:tr>
      <w:tr w14:paraId="3BD7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2A40A266">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20</w:t>
            </w:r>
          </w:p>
        </w:tc>
        <w:tc>
          <w:tcPr>
            <w:tcW w:w="963" w:type="dxa"/>
            <w:noWrap w:val="0"/>
            <w:tcMar>
              <w:top w:w="85" w:type="dxa"/>
              <w:left w:w="85" w:type="dxa"/>
              <w:bottom w:w="85" w:type="dxa"/>
              <w:right w:w="85" w:type="dxa"/>
            </w:tcMar>
            <w:vAlign w:val="center"/>
          </w:tcPr>
          <w:p w14:paraId="2392E801">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lang w:val="en-US" w:eastAsia="zh-CN"/>
              </w:rPr>
              <w:t>31</w:t>
            </w:r>
            <w:r>
              <w:rPr>
                <w:rFonts w:hint="eastAsia" w:ascii="宋体" w:hAnsi="宋体" w:eastAsia="宋体" w:cs="宋体"/>
                <w:szCs w:val="21"/>
              </w:rPr>
              <w:t>.1</w:t>
            </w:r>
          </w:p>
        </w:tc>
        <w:tc>
          <w:tcPr>
            <w:tcW w:w="7773" w:type="dxa"/>
            <w:noWrap w:val="0"/>
            <w:tcMar>
              <w:top w:w="85" w:type="dxa"/>
              <w:left w:w="85" w:type="dxa"/>
              <w:bottom w:w="85" w:type="dxa"/>
              <w:right w:w="85" w:type="dxa"/>
            </w:tcMar>
            <w:vAlign w:val="center"/>
          </w:tcPr>
          <w:p w14:paraId="3480FB05">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签订合同时间：</w:t>
            </w:r>
            <w:r>
              <w:rPr>
                <w:rFonts w:hint="eastAsia" w:ascii="宋体" w:hAnsi="宋体" w:eastAsia="宋体" w:cs="宋体"/>
                <w:color w:val="auto"/>
                <w:spacing w:val="0"/>
                <w:sz w:val="21"/>
                <w:szCs w:val="21"/>
              </w:rPr>
              <w:t>成交通知书发出之日起15日内，延期自误。</w:t>
            </w:r>
          </w:p>
        </w:tc>
      </w:tr>
      <w:tr w14:paraId="3CEA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0AC6943A">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21</w:t>
            </w:r>
          </w:p>
        </w:tc>
        <w:tc>
          <w:tcPr>
            <w:tcW w:w="963" w:type="dxa"/>
            <w:noWrap w:val="0"/>
            <w:tcMar>
              <w:top w:w="85" w:type="dxa"/>
              <w:left w:w="85" w:type="dxa"/>
              <w:bottom w:w="85" w:type="dxa"/>
              <w:right w:w="85" w:type="dxa"/>
            </w:tcMar>
            <w:vAlign w:val="center"/>
          </w:tcPr>
          <w:p w14:paraId="05A49676">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lang w:val="en-US" w:eastAsia="zh-CN"/>
              </w:rPr>
              <w:t>31</w:t>
            </w:r>
            <w:r>
              <w:rPr>
                <w:rFonts w:hint="eastAsia" w:ascii="宋体" w:hAnsi="宋体" w:eastAsia="宋体" w:cs="宋体"/>
                <w:szCs w:val="21"/>
              </w:rPr>
              <w:t>.5</w:t>
            </w:r>
          </w:p>
        </w:tc>
        <w:tc>
          <w:tcPr>
            <w:tcW w:w="7773" w:type="dxa"/>
            <w:noWrap w:val="0"/>
            <w:tcMar>
              <w:top w:w="85" w:type="dxa"/>
              <w:left w:w="85" w:type="dxa"/>
              <w:bottom w:w="85" w:type="dxa"/>
              <w:right w:w="85" w:type="dxa"/>
            </w:tcMar>
            <w:vAlign w:val="center"/>
          </w:tcPr>
          <w:p w14:paraId="66BB8E27">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政府采购合同公告：</w:t>
            </w:r>
          </w:p>
          <w:p w14:paraId="38297C06">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在响应文件中注明</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内容中涉及商业秘密的部分，未注明的视为响应文件中不涉及商业秘密。</w:t>
            </w:r>
          </w:p>
        </w:tc>
      </w:tr>
      <w:tr w14:paraId="168D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4B06864D">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22</w:t>
            </w:r>
          </w:p>
        </w:tc>
        <w:tc>
          <w:tcPr>
            <w:tcW w:w="963" w:type="dxa"/>
            <w:noWrap w:val="0"/>
            <w:tcMar>
              <w:top w:w="85" w:type="dxa"/>
              <w:left w:w="85" w:type="dxa"/>
              <w:bottom w:w="85" w:type="dxa"/>
              <w:right w:w="85" w:type="dxa"/>
            </w:tcMar>
            <w:vAlign w:val="center"/>
          </w:tcPr>
          <w:p w14:paraId="73DB3B06">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r>
              <w:rPr>
                <w:rFonts w:hint="eastAsia" w:ascii="宋体" w:hAnsi="宋体" w:eastAsia="宋体" w:cs="宋体"/>
                <w:szCs w:val="21"/>
                <w:lang w:val="en-US" w:eastAsia="zh-CN"/>
              </w:rPr>
              <w:t>32</w:t>
            </w:r>
            <w:r>
              <w:rPr>
                <w:rFonts w:hint="eastAsia" w:ascii="宋体" w:hAnsi="宋体" w:eastAsia="宋体" w:cs="宋体"/>
                <w:szCs w:val="21"/>
              </w:rPr>
              <w:t>.1</w:t>
            </w:r>
          </w:p>
        </w:tc>
        <w:tc>
          <w:tcPr>
            <w:tcW w:w="7773" w:type="dxa"/>
            <w:noWrap w:val="0"/>
            <w:tcMar>
              <w:top w:w="85" w:type="dxa"/>
              <w:left w:w="85" w:type="dxa"/>
              <w:bottom w:w="85" w:type="dxa"/>
              <w:right w:w="85" w:type="dxa"/>
            </w:tcMar>
            <w:vAlign w:val="center"/>
          </w:tcPr>
          <w:p w14:paraId="4322A440">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履约保证金：无。</w:t>
            </w:r>
          </w:p>
        </w:tc>
      </w:tr>
      <w:tr w14:paraId="1E07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noWrap w:val="0"/>
            <w:tcMar>
              <w:top w:w="85" w:type="dxa"/>
              <w:left w:w="85" w:type="dxa"/>
              <w:bottom w:w="85" w:type="dxa"/>
              <w:right w:w="85" w:type="dxa"/>
            </w:tcMar>
            <w:vAlign w:val="center"/>
          </w:tcPr>
          <w:p w14:paraId="43AD08D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23</w:t>
            </w:r>
          </w:p>
        </w:tc>
        <w:tc>
          <w:tcPr>
            <w:tcW w:w="963" w:type="dxa"/>
            <w:noWrap w:val="0"/>
            <w:tcMar>
              <w:top w:w="85" w:type="dxa"/>
              <w:left w:w="85" w:type="dxa"/>
              <w:bottom w:w="85" w:type="dxa"/>
              <w:right w:w="85" w:type="dxa"/>
            </w:tcMar>
            <w:vAlign w:val="center"/>
          </w:tcPr>
          <w:p w14:paraId="5031FB2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34.1</w:t>
            </w:r>
          </w:p>
        </w:tc>
        <w:tc>
          <w:tcPr>
            <w:tcW w:w="7773" w:type="dxa"/>
            <w:noWrap w:val="0"/>
            <w:tcMar>
              <w:top w:w="85" w:type="dxa"/>
              <w:left w:w="85" w:type="dxa"/>
              <w:bottom w:w="85" w:type="dxa"/>
              <w:right w:w="85" w:type="dxa"/>
            </w:tcMar>
            <w:vAlign w:val="center"/>
          </w:tcPr>
          <w:p w14:paraId="03F42034">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解释权：本竞争性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是根据《中华人民共和国政府采购法》、《中华人民共和国政府采购法实施条例》、《政府采购竞争性磋商采购方式管理暂行办法》和政府采购管理有关规定编制，本竞争性磋商文件的解释权属于采购代理机构。</w:t>
            </w:r>
          </w:p>
          <w:p w14:paraId="59B0CCE6">
            <w:pPr>
              <w:pStyle w:val="20"/>
              <w:keepNext w:val="0"/>
              <w:keepLines w:val="0"/>
              <w:pageBreakBefore w:val="0"/>
              <w:widowControl w:val="0"/>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构成本竞争性磋商文件的各个组成文件应互为解释，互为说明；除磋商文件中有特别规定外，仅适用于磋商阶段的规定，按更正公告（澄清公告）（如有）、竞争性磋商公告、供应商须知、采购</w:t>
            </w:r>
            <w:r>
              <w:rPr>
                <w:rFonts w:hint="eastAsia" w:ascii="宋体" w:hAnsi="宋体" w:eastAsia="宋体" w:cs="宋体"/>
                <w:color w:val="auto"/>
                <w:spacing w:val="0"/>
                <w:sz w:val="21"/>
                <w:szCs w:val="21"/>
                <w:lang w:val="en-US" w:eastAsia="zh-CN"/>
              </w:rPr>
              <w:t>内容及</w:t>
            </w:r>
            <w:r>
              <w:rPr>
                <w:rFonts w:hint="eastAsia" w:ascii="宋体" w:hAnsi="宋体" w:eastAsia="宋体" w:cs="宋体"/>
                <w:color w:val="auto"/>
                <w:spacing w:val="0"/>
                <w:sz w:val="21"/>
                <w:szCs w:val="21"/>
              </w:rPr>
              <w:t>需求、评审方法、合同主要条款及格式、响应文件格式的先后顺序解释；同一组成文件中就同一事项的规定或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1E1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vMerge w:val="restart"/>
            <w:noWrap w:val="0"/>
            <w:tcMar>
              <w:top w:w="85" w:type="dxa"/>
              <w:left w:w="85" w:type="dxa"/>
              <w:bottom w:w="85" w:type="dxa"/>
              <w:right w:w="85" w:type="dxa"/>
            </w:tcMar>
            <w:vAlign w:val="center"/>
          </w:tcPr>
          <w:p w14:paraId="184A419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24</w:t>
            </w:r>
          </w:p>
        </w:tc>
        <w:tc>
          <w:tcPr>
            <w:tcW w:w="963" w:type="dxa"/>
            <w:vMerge w:val="restart"/>
            <w:noWrap w:val="0"/>
            <w:tcMar>
              <w:top w:w="85" w:type="dxa"/>
              <w:left w:w="85" w:type="dxa"/>
              <w:bottom w:w="85" w:type="dxa"/>
              <w:right w:w="85" w:type="dxa"/>
            </w:tcMar>
            <w:vAlign w:val="center"/>
          </w:tcPr>
          <w:p w14:paraId="19EDFF37">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36.1</w:t>
            </w:r>
          </w:p>
        </w:tc>
        <w:tc>
          <w:tcPr>
            <w:tcW w:w="7773" w:type="dxa"/>
            <w:noWrap w:val="0"/>
            <w:tcMar>
              <w:top w:w="85" w:type="dxa"/>
              <w:left w:w="85" w:type="dxa"/>
              <w:bottom w:w="85" w:type="dxa"/>
              <w:right w:w="85" w:type="dxa"/>
            </w:tcMar>
            <w:vAlign w:val="center"/>
          </w:tcPr>
          <w:p w14:paraId="0B0E6A80">
            <w:pPr>
              <w:pStyle w:val="20"/>
              <w:keepNext w:val="0"/>
              <w:keepLines w:val="0"/>
              <w:pageBreakBefore w:val="0"/>
              <w:widowControl w:val="0"/>
              <w:numPr>
                <w:ilvl w:val="0"/>
                <w:numId w:val="7"/>
              </w:numPr>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本竞争性磋商文件中描述供应商的“公章”是指根据我国对公章的管理规定，用供应商法定主体行为名称制作的印章，除本竞争性磋商文件有特殊规定外，供应商的财务章、部门章、分公司章、工会章、合同章、</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专用章、业务专用章及银行的转账章、现金收讫章、现金收讫章等其他形式印章均不能代替公章。</w:t>
            </w:r>
          </w:p>
          <w:p w14:paraId="55B790B7">
            <w:pPr>
              <w:pStyle w:val="20"/>
              <w:keepNext w:val="0"/>
              <w:keepLines w:val="0"/>
              <w:pageBreakBefore w:val="0"/>
              <w:widowControl w:val="0"/>
              <w:numPr>
                <w:ilvl w:val="0"/>
                <w:numId w:val="7"/>
              </w:numPr>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本竞争性磋商文件所称的“电子签章”、“电子签名”，是指经“</w:t>
            </w:r>
            <w:r>
              <w:rPr>
                <w:rFonts w:hint="eastAsia" w:ascii="宋体" w:hAnsi="宋体" w:eastAsia="宋体" w:cs="宋体"/>
                <w:color w:val="auto"/>
                <w:spacing w:val="0"/>
                <w:sz w:val="21"/>
                <w:szCs w:val="21"/>
                <w:lang w:val="en-US" w:eastAsia="zh-CN"/>
              </w:rPr>
              <w:t>广西</w:t>
            </w:r>
            <w:r>
              <w:rPr>
                <w:rFonts w:hint="eastAsia" w:ascii="宋体" w:hAnsi="宋体" w:eastAsia="宋体" w:cs="宋体"/>
                <w:color w:val="auto"/>
                <w:spacing w:val="0"/>
                <w:sz w:val="21"/>
                <w:szCs w:val="21"/>
              </w:rPr>
              <w:t>政府采购云平台”认可的CA认证的电子签名数据为表现形式的印章，可用于签署电子响应文件，电子印章与实物印章具有同等法律效力，不因其采用电子化表现形式而否定其法律效力。</w:t>
            </w:r>
          </w:p>
          <w:p w14:paraId="37B1CF7F">
            <w:pPr>
              <w:pStyle w:val="20"/>
              <w:keepNext w:val="0"/>
              <w:keepLines w:val="0"/>
              <w:pageBreakBefore w:val="0"/>
              <w:widowControl w:val="0"/>
              <w:numPr>
                <w:ilvl w:val="0"/>
                <w:numId w:val="7"/>
              </w:numPr>
              <w:kinsoku/>
              <w:wordWrap/>
              <w:overflowPunct/>
              <w:topLinePunct w:val="0"/>
              <w:autoSpaceDE/>
              <w:autoSpaceDN/>
              <w:bidi w:val="0"/>
              <w:adjustRightInd w:val="0"/>
              <w:snapToGrid w:val="0"/>
              <w:spacing w:line="360" w:lineRule="atLeast"/>
              <w:ind w:firstLine="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供应商为其他组织时，本竞争性磋商文件规定的法定代表人指负责人。本竞争性磋商文件所称负责人是指参加磋商的其他组织营业执照或者执业许可证等证照上的负责人。本磋商文件所称自然人指参与</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的自然人本人。</w:t>
            </w:r>
          </w:p>
        </w:tc>
      </w:tr>
      <w:tr w14:paraId="20AD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vMerge w:val="continue"/>
            <w:noWrap w:val="0"/>
            <w:tcMar>
              <w:top w:w="85" w:type="dxa"/>
              <w:left w:w="85" w:type="dxa"/>
              <w:bottom w:w="85" w:type="dxa"/>
              <w:right w:w="85" w:type="dxa"/>
            </w:tcMar>
            <w:vAlign w:val="center"/>
          </w:tcPr>
          <w:p w14:paraId="171FFD3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p>
        </w:tc>
        <w:tc>
          <w:tcPr>
            <w:tcW w:w="963" w:type="dxa"/>
            <w:vMerge w:val="continue"/>
            <w:noWrap w:val="0"/>
            <w:tcMar>
              <w:top w:w="85" w:type="dxa"/>
              <w:left w:w="85" w:type="dxa"/>
              <w:bottom w:w="85" w:type="dxa"/>
              <w:right w:w="85" w:type="dxa"/>
            </w:tcMar>
            <w:vAlign w:val="center"/>
          </w:tcPr>
          <w:p w14:paraId="4B3D087A">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p>
        </w:tc>
        <w:tc>
          <w:tcPr>
            <w:tcW w:w="7773" w:type="dxa"/>
            <w:noWrap w:val="0"/>
            <w:tcMar>
              <w:top w:w="85" w:type="dxa"/>
              <w:left w:w="85" w:type="dxa"/>
              <w:bottom w:w="85" w:type="dxa"/>
              <w:right w:w="85" w:type="dxa"/>
            </w:tcMar>
            <w:vAlign w:val="center"/>
          </w:tcPr>
          <w:p w14:paraId="1B3C68B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textAlignment w:val="auto"/>
              <w:outlineLvl w:val="9"/>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本项目需要落实的政府采购政策：</w:t>
            </w:r>
          </w:p>
          <w:p w14:paraId="73489CD8">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《节能产品政府采购实施意见》（财库[2004]185号）；</w:t>
            </w:r>
          </w:p>
          <w:p w14:paraId="76D8A287">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《环保总局关于环境标志产品政府采购实施的意见》（财库[2006]90号）；</w:t>
            </w:r>
          </w:p>
          <w:p w14:paraId="180D7F82">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《财政部、司法部关于政府采购支持监狱企业发展有关问题的通知》（财库[2014]68号）；</w:t>
            </w:r>
          </w:p>
          <w:p w14:paraId="7745ECAC">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《财政部、民政部、中国残疾人联合会三部门联合发布关于促进残疾人就业政府采购政策的通知》（财库[2017]141号）；</w:t>
            </w:r>
          </w:p>
          <w:p w14:paraId="09AEE5F4">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财政部  发展改革委  生态环境部  市场监管总局关于调整优化节能产品、环境标志产品政府采购执行机制的通知（财库[2019]9号）；</w:t>
            </w:r>
          </w:p>
          <w:p w14:paraId="3E80DBF7">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市场监管总局关于发布参与实施政府采购节能产品、环境标志产品认证机构名录的公告（2019年第16号）；</w:t>
            </w:r>
          </w:p>
          <w:p w14:paraId="43CD8A13">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关于印发环境标志产品政府采购品目清单的通知（财库[2019]18号）环境标志产品政府采购品目清单；</w:t>
            </w:r>
          </w:p>
          <w:p w14:paraId="54ADD76B">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关于印发节能产品政府采购品目清单的通知（财库[2019]19号）节能产品政府采购品目清单；</w:t>
            </w:r>
          </w:p>
          <w:p w14:paraId="142CAF05">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关于印发《政府采购促进中小企业发展管理办法》的通知（财库[2020]64号）；</w:t>
            </w:r>
          </w:p>
          <w:p w14:paraId="29CEEE56">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广西壮族自治区财政厅关于进一步发挥政府采购政策功能促进企业发展的通知（桂财采〔2022〕30号）；</w:t>
            </w:r>
          </w:p>
          <w:p w14:paraId="17DCEB13">
            <w:pPr>
              <w:pStyle w:val="20"/>
              <w:keepNext w:val="0"/>
              <w:keepLines w:val="0"/>
              <w:pageBreakBefore w:val="0"/>
              <w:widowControl w:val="0"/>
              <w:numPr>
                <w:ilvl w:val="0"/>
                <w:numId w:val="8"/>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广西壮族自治区财政厅关于贯彻落实政府采购支持中小企业发展政策的通知（桂财采〔2022〕31号）。</w:t>
            </w:r>
          </w:p>
        </w:tc>
      </w:tr>
      <w:tr w14:paraId="75C6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vMerge w:val="continue"/>
            <w:noWrap w:val="0"/>
            <w:tcMar>
              <w:top w:w="85" w:type="dxa"/>
              <w:left w:w="85" w:type="dxa"/>
              <w:bottom w:w="85" w:type="dxa"/>
              <w:right w:w="85" w:type="dxa"/>
            </w:tcMar>
            <w:vAlign w:val="center"/>
          </w:tcPr>
          <w:p w14:paraId="5BBD78EE">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p>
        </w:tc>
        <w:tc>
          <w:tcPr>
            <w:tcW w:w="963" w:type="dxa"/>
            <w:vMerge w:val="continue"/>
            <w:noWrap w:val="0"/>
            <w:tcMar>
              <w:top w:w="85" w:type="dxa"/>
              <w:left w:w="85" w:type="dxa"/>
              <w:bottom w:w="85" w:type="dxa"/>
              <w:right w:w="85" w:type="dxa"/>
            </w:tcMar>
            <w:vAlign w:val="center"/>
          </w:tcPr>
          <w:p w14:paraId="31431AF2">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rPr>
            </w:pPr>
          </w:p>
        </w:tc>
        <w:tc>
          <w:tcPr>
            <w:tcW w:w="7773" w:type="dxa"/>
            <w:noWrap w:val="0"/>
            <w:tcMar>
              <w:top w:w="85" w:type="dxa"/>
              <w:left w:w="85" w:type="dxa"/>
              <w:bottom w:w="85" w:type="dxa"/>
              <w:right w:w="85" w:type="dxa"/>
            </w:tcMar>
            <w:vAlign w:val="center"/>
          </w:tcPr>
          <w:p w14:paraId="4DE06ECD">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关于推动解决政府采购异常低价问题的通知》（财库〔2026〕2号）：二、强化政府采购异常低价审查：（一）采购人应当在采购文件中明确，政府采购评审中出现下列情形之一的，评审委员会应当启动异常低价投标（响应）审查程序： </w:t>
            </w:r>
          </w:p>
          <w:p w14:paraId="0784093B">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　1.投标（响应）报价低于全部通过符合性审查供应商投标（响应）报价平均值50%的，即投标（响应）报价&lt;全部通过符合性审查供应商投标（响应）报价平均值×50%； </w:t>
            </w:r>
          </w:p>
          <w:p w14:paraId="0E20B14E">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　2.投标（响应）报价低于通过符合性审查的次低报价供应商投标（响应）报价50%的，即投标（响应）报价&lt;通过符合性审查的次低报价供应商投标（响应）报价×50%； </w:t>
            </w:r>
          </w:p>
          <w:p w14:paraId="6ACCB661">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　3.投标（响应）报价低于采购项目最高限价45%的，即投标（响应）报价&lt;采购项目最高限价×45%； </w:t>
            </w:r>
          </w:p>
          <w:p w14:paraId="5F174DD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　4.评审委员会基于专业判断，认为供应商报价过低，有可能影响产品质量或者不能诚信履约的其他情形。 </w:t>
            </w:r>
          </w:p>
          <w:p w14:paraId="60ECF550">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　采购人可以结合具体项目实际情况，提高上述第1项至第3项中启动异常低价投标（响应）审查的数值标准，但是最高不得超过65%。 </w:t>
            </w:r>
          </w:p>
          <w:p w14:paraId="25569CD0">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default" w:ascii="宋体" w:hAnsi="宋体" w:eastAsia="宋体" w:cs="宋体"/>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　  相关法律法规对供应商报价有规定的，从其规定。</w:t>
            </w:r>
          </w:p>
        </w:tc>
      </w:tr>
      <w:tr w14:paraId="10D4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4" w:type="dxa"/>
            <w:vMerge w:val="continue"/>
            <w:noWrap w:val="0"/>
            <w:tcMar>
              <w:top w:w="85" w:type="dxa"/>
              <w:left w:w="85" w:type="dxa"/>
              <w:bottom w:w="85" w:type="dxa"/>
              <w:right w:w="85" w:type="dxa"/>
            </w:tcMar>
            <w:vAlign w:val="center"/>
          </w:tcPr>
          <w:p w14:paraId="46C441F1">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p>
        </w:tc>
        <w:tc>
          <w:tcPr>
            <w:tcW w:w="963" w:type="dxa"/>
            <w:vMerge w:val="continue"/>
            <w:noWrap w:val="0"/>
            <w:tcMar>
              <w:top w:w="85" w:type="dxa"/>
              <w:left w:w="85" w:type="dxa"/>
              <w:bottom w:w="85" w:type="dxa"/>
              <w:right w:w="85" w:type="dxa"/>
            </w:tcMar>
            <w:vAlign w:val="center"/>
          </w:tcPr>
          <w:p w14:paraId="355B9F9F">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outlineLvl w:val="9"/>
              <w:rPr>
                <w:rFonts w:hint="eastAsia" w:ascii="宋体" w:hAnsi="宋体" w:eastAsia="宋体" w:cs="宋体"/>
                <w:szCs w:val="21"/>
                <w:lang w:val="en-US" w:eastAsia="zh-CN"/>
              </w:rPr>
            </w:pPr>
          </w:p>
        </w:tc>
        <w:tc>
          <w:tcPr>
            <w:tcW w:w="7773" w:type="dxa"/>
            <w:noWrap w:val="0"/>
            <w:tcMar>
              <w:top w:w="85" w:type="dxa"/>
              <w:left w:w="85" w:type="dxa"/>
              <w:bottom w:w="85" w:type="dxa"/>
              <w:right w:w="85" w:type="dxa"/>
            </w:tcMar>
            <w:vAlign w:val="center"/>
          </w:tcPr>
          <w:p w14:paraId="277942F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在线电子投标响应（电子投标）说明：</w:t>
            </w:r>
          </w:p>
          <w:p w14:paraId="60CA8693">
            <w:pPr>
              <w:pStyle w:val="20"/>
              <w:keepNext w:val="0"/>
              <w:keepLines w:val="0"/>
              <w:pageBreakBefore w:val="0"/>
              <w:widowControl w:val="0"/>
              <w:numPr>
                <w:ilvl w:val="0"/>
                <w:numId w:val="9"/>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本项目实行电子投标，供应商应按照本项目磋商文件和广西政府采购云平台的要求编制、加密并提交响应文件。供应商在使用系统参与投标过程中遇到涉及平台使用的任何问题，可致电广西政府采购云平台技术支持热线咨询，联系方式：95763。 </w:t>
            </w:r>
          </w:p>
          <w:p w14:paraId="33DAD302">
            <w:pPr>
              <w:pStyle w:val="20"/>
              <w:keepNext w:val="0"/>
              <w:keepLines w:val="0"/>
              <w:pageBreakBefore w:val="0"/>
              <w:widowControl w:val="0"/>
              <w:numPr>
                <w:ilvl w:val="0"/>
                <w:numId w:val="9"/>
              </w:numPr>
              <w:kinsoku/>
              <w:wordWrap/>
              <w:overflowPunct/>
              <w:topLinePunct w:val="0"/>
              <w:autoSpaceDE/>
              <w:autoSpaceDN/>
              <w:bidi w:val="0"/>
              <w:adjustRightInd w:val="0"/>
              <w:snapToGrid w:val="0"/>
              <w:spacing w:line="360" w:lineRule="atLeast"/>
              <w:ind w:left="0" w:leftChars="0" w:firstLine="0" w:firstLine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供应商应及时熟悉掌握电子标系统操作指南（如有不明之处，可致电</w:t>
            </w:r>
          </w:p>
          <w:p w14:paraId="0118A5A1">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95763 技术支持热线咨询）。</w:t>
            </w:r>
          </w:p>
          <w:p w14:paraId="31E8F188">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3、供应商应需登录广西政府采购云平台新版客户端进行投标（见广西壮族自治区政府采购网—办事服务—下载专区—广西政府采购云平台新版客户端下载地址）。 </w:t>
            </w:r>
          </w:p>
          <w:p w14:paraId="54A7132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4、供应商应及时完成 CA 申领和绑定。 </w:t>
            </w:r>
          </w:p>
          <w:p w14:paraId="028F4C7A">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5、供应商通过广西政府采购云平台投标客户端软件制作响应文件，广西政府采购云平台投标客户端软件由供应商自行前往下载并安装（见广西壮族自治区政府采购网—办事服务—下载专区-广西政府采购云平台 CA 驱动下载）。 </w:t>
            </w:r>
          </w:p>
          <w:p w14:paraId="0891BC5F">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6、因未注册入库、未办理 CA 数字证书、CA 证书故障、操作不当等原因造成无法参与或投标失败等后果由供应商自行承担。 </w:t>
            </w:r>
          </w:p>
          <w:p w14:paraId="1AA1BFF0">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7、响应文件提交截止时间后，广西政府采购云平台（电子标系统）自动提取所有响应文件，各供应商须在开启程序开始后 30 分钟内对上传广西政府采购云平台的响应文件进行解密，所有供应商在规定的解密时限内解密完成或解密时限结束后，本代理机构开启响应文件；供应商超过时间未解密视为磋商无效。  </w:t>
            </w:r>
          </w:p>
        </w:tc>
      </w:tr>
    </w:tbl>
    <w:p w14:paraId="43D070D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0"/>
        <w:jc w:val="center"/>
        <w:rPr>
          <w:rFonts w:hint="eastAsia" w:ascii="宋体" w:hAnsi="宋体" w:eastAsia="宋体" w:cs="宋体"/>
          <w:b/>
          <w:bCs/>
          <w:color w:val="auto"/>
          <w:spacing w:val="0"/>
          <w:sz w:val="30"/>
          <w:szCs w:val="30"/>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C89590E">
      <w:pPr>
        <w:pStyle w:val="20"/>
        <w:keepNext w:val="0"/>
        <w:keepLines w:val="0"/>
        <w:pageBreakBefore w:val="0"/>
        <w:widowControl w:val="0"/>
        <w:kinsoku/>
        <w:wordWrap/>
        <w:overflowPunct/>
        <w:topLinePunct w:val="0"/>
        <w:autoSpaceDE/>
        <w:autoSpaceDN/>
        <w:bidi w:val="0"/>
        <w:adjustRightInd w:val="0"/>
        <w:snapToGrid w:val="0"/>
        <w:spacing w:line="400" w:lineRule="atLeast"/>
        <w:ind w:firstLine="0"/>
        <w:jc w:val="center"/>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w:t>供应商须知</w:t>
      </w:r>
    </w:p>
    <w:p w14:paraId="28413BE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0"/>
        <w:jc w:val="center"/>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一  总  则</w:t>
      </w:r>
    </w:p>
    <w:p w14:paraId="303301F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2" w:firstLineChars="167"/>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1、适用范围、定义</w:t>
      </w:r>
    </w:p>
    <w:p w14:paraId="4A581A42">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2" w:firstLineChars="167"/>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1.1 适用范围</w:t>
      </w:r>
    </w:p>
    <w:p w14:paraId="4B5B406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1.1.1 项目概况：见本章须知前附表。</w:t>
      </w:r>
    </w:p>
    <w:p w14:paraId="4CE23A58">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1.1.2 本竞争性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文件（以下简称</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文件或采购文件）适用于本项目的</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、评审、合同履约、验收、付款等行为（法律、法规另有规定的，从其规定）。</w:t>
      </w:r>
    </w:p>
    <w:p w14:paraId="405F912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 定义</w:t>
      </w:r>
    </w:p>
    <w:p w14:paraId="1A0BA3D2">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1.2.1 “采购人”是指依法进行政府采购的国家机关、事业单位、团体组织，本项目采购人见本章须知前附表。</w:t>
      </w:r>
    </w:p>
    <w:p w14:paraId="0E285B82">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1.2.2 “采购代理机构”是指采购人委托办理政府采购事宜的组织方，本项目采购代理机构见本章须知前附表。</w:t>
      </w:r>
    </w:p>
    <w:p w14:paraId="7C2AF10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1.2.3 “监督管理部门”见本章须知前附表。</w:t>
      </w:r>
    </w:p>
    <w:p w14:paraId="6343AC76">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1.2.4 “供应商”是指参与本项目采购活动的法人、其他组织。按本项目竞争性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公告的要求获取</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文件称为“潜在供应商”；提交响应文件并参加</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称为“</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供应商”或“供应商”；经法定程序确定成交的供应商称为“成交供应商”。</w:t>
      </w:r>
    </w:p>
    <w:p w14:paraId="542631E3">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1.2.5 “货物”是指供应商生产或组织符合竞争性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文件要求的货物等。竞争性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文件中没有提及采购货物来源的，根据《中华人民共和国政府采购法》的相关规定均应是本国货物，另有规定的除外。货物必须是合法生产、合法来源的符合国家有关标准要求的货物，并满足竞争性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文件规定的规格、参数、质量、价格、有效期、售后服务等要求。</w:t>
      </w:r>
    </w:p>
    <w:p w14:paraId="6E9C69F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1.2.6 “服务”是指除货物和工程以外的其他政府采购对象，其中包括：供应商须承担的运输、安装、技术支持、培训、类似附加服务以及竞争性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文件规定的其他服务。</w:t>
      </w:r>
    </w:p>
    <w:p w14:paraId="42A26B56">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1.2.7 “工程”本项目是指文物保护工程，包括文物保护工程的新建、改建、扩建、装修、拆除、修缮等。</w:t>
      </w:r>
    </w:p>
    <w:p w14:paraId="6F7731D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w:t>
      </w:r>
      <w:r>
        <w:rPr>
          <w:rFonts w:hint="eastAsia" w:ascii="宋体" w:hAnsi="宋体" w:eastAsia="宋体" w:cs="宋体"/>
          <w:color w:val="auto"/>
          <w:spacing w:val="0"/>
          <w:sz w:val="21"/>
          <w:szCs w:val="21"/>
          <w:lang w:val="en-US" w:eastAsia="zh-CN"/>
        </w:rPr>
        <w:t>8</w:t>
      </w:r>
      <w:r>
        <w:rPr>
          <w:rFonts w:hint="eastAsia" w:ascii="宋体" w:hAnsi="宋体" w:eastAsia="宋体" w:cs="宋体"/>
          <w:color w:val="auto"/>
          <w:spacing w:val="0"/>
          <w:sz w:val="21"/>
          <w:szCs w:val="21"/>
        </w:rPr>
        <w:t xml:space="preserve"> “书面形式”是指合同书、信件和数据电文（包括电报、电传、传真、电子数据交换和电子邮件）等可以有形地表现所载内容的形式。</w:t>
      </w:r>
    </w:p>
    <w:p w14:paraId="267A30E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w:t>
      </w:r>
      <w:r>
        <w:rPr>
          <w:rFonts w:hint="eastAsia" w:ascii="宋体" w:hAnsi="宋体" w:eastAsia="宋体" w:cs="宋体"/>
          <w:color w:val="auto"/>
          <w:spacing w:val="0"/>
          <w:sz w:val="21"/>
          <w:szCs w:val="21"/>
          <w:lang w:val="en-US" w:eastAsia="zh-CN"/>
        </w:rPr>
        <w:t>9</w:t>
      </w:r>
      <w:r>
        <w:rPr>
          <w:rFonts w:hint="eastAsia" w:ascii="宋体" w:hAnsi="宋体" w:eastAsia="宋体" w:cs="宋体"/>
          <w:color w:val="auto"/>
          <w:spacing w:val="0"/>
          <w:sz w:val="21"/>
          <w:szCs w:val="21"/>
        </w:rPr>
        <w:t xml:space="preserve"> “响应文件”是指供应商根据竞争性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文件要求，编制包含报价、技术和服务等所有内容的实质性响应文件。</w:t>
      </w:r>
    </w:p>
    <w:p w14:paraId="6BBD8EE7">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1.2.10 “公章”</w:t>
      </w:r>
      <w:r>
        <w:rPr>
          <w:rFonts w:hint="eastAsia" w:ascii="宋体" w:hAnsi="宋体" w:eastAsia="宋体" w:cs="宋体"/>
          <w:color w:val="auto"/>
          <w:spacing w:val="0"/>
          <w:sz w:val="21"/>
          <w:szCs w:val="21"/>
        </w:rPr>
        <w:t>是指根据我国对公章的管理规定，用供应商法定主体行为名称制作的印章，除本竞争性磋商文件有特殊规定外，供应商的财务章、部门章、分公司章、工会章、合同章、</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专用章、业务专用章及银行的转账章、现金收讫章、现金收讫章等其他形式印章均不能代替公章</w:t>
      </w:r>
      <w:r>
        <w:rPr>
          <w:rFonts w:hint="eastAsia" w:ascii="宋体" w:hAnsi="宋体" w:eastAsia="宋体" w:cs="宋体"/>
          <w:color w:val="auto"/>
          <w:spacing w:val="0"/>
          <w:sz w:val="21"/>
          <w:szCs w:val="21"/>
          <w:lang w:val="en-US" w:eastAsia="zh-CN"/>
        </w:rPr>
        <w:t>。</w:t>
      </w:r>
    </w:p>
    <w:p w14:paraId="37A5BC4E">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2" w:firstLineChars="167"/>
        <w:outlineLvl w:val="9"/>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 xml:space="preserve">1.2.11 </w:t>
      </w:r>
      <w:r>
        <w:rPr>
          <w:rFonts w:hint="eastAsia" w:ascii="宋体" w:hAnsi="宋体" w:eastAsia="宋体" w:cs="宋体"/>
          <w:b w:val="0"/>
          <w:bCs w:val="0"/>
          <w:color w:val="auto"/>
          <w:spacing w:val="0"/>
          <w:sz w:val="21"/>
          <w:szCs w:val="21"/>
          <w:lang w:val="en-US" w:eastAsia="zh-CN"/>
        </w:rPr>
        <w:t>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r>
        <w:rPr>
          <w:rFonts w:hint="eastAsia" w:ascii="宋体" w:hAnsi="宋体" w:eastAsia="宋体" w:cs="宋体"/>
          <w:b/>
          <w:bCs/>
          <w:color w:val="auto"/>
          <w:spacing w:val="0"/>
          <w:sz w:val="21"/>
          <w:szCs w:val="21"/>
          <w:lang w:val="en-US" w:eastAsia="zh-CN"/>
        </w:rPr>
        <w:t>本项目为全流程电子标，供应商响应文件加盖公章的均采用CA电子签章。</w:t>
      </w:r>
    </w:p>
    <w:p w14:paraId="4A8810B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1.2.1</w:t>
      </w:r>
      <w:r>
        <w:rPr>
          <w:rFonts w:hint="eastAsia" w:ascii="宋体" w:hAnsi="宋体" w:eastAsia="宋体" w:cs="宋体"/>
          <w:color w:val="auto"/>
          <w:spacing w:val="0"/>
          <w:sz w:val="21"/>
          <w:szCs w:val="21"/>
          <w:lang w:val="en-US" w:eastAsia="zh-CN"/>
        </w:rPr>
        <w:t>2</w:t>
      </w:r>
      <w:r>
        <w:rPr>
          <w:rFonts w:hint="eastAsia" w:ascii="宋体" w:hAnsi="宋体" w:eastAsia="宋体" w:cs="宋体"/>
          <w:color w:val="auto"/>
          <w:spacing w:val="0"/>
          <w:sz w:val="21"/>
          <w:szCs w:val="21"/>
        </w:rPr>
        <w:t xml:space="preserve"> “首次报价”是指供应商提交的首次响应文件中的磋商报价。</w:t>
      </w:r>
    </w:p>
    <w:p w14:paraId="54C59408">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 xml:space="preserve">1.2.13 </w:t>
      </w:r>
      <w:r>
        <w:rPr>
          <w:rFonts w:hint="eastAsia" w:ascii="宋体" w:hAnsi="宋体" w:eastAsia="宋体" w:cs="宋体"/>
          <w:color w:val="auto"/>
          <w:spacing w:val="0"/>
          <w:sz w:val="21"/>
          <w:szCs w:val="21"/>
        </w:rPr>
        <w:t>“评审价”是指供应商提交的最后报价并经修正和政策功能价格扣除后的价格。</w:t>
      </w:r>
    </w:p>
    <w:p w14:paraId="02141323">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2" w:firstLineChars="167"/>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2、申请人的资格要求</w:t>
      </w:r>
    </w:p>
    <w:p w14:paraId="72E02E69">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2.1 申请人的资格要求：见本章须知前附表。</w:t>
      </w:r>
    </w:p>
    <w:p w14:paraId="5082128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2" w:firstLineChars="167"/>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3、</w:t>
      </w:r>
      <w:r>
        <w:rPr>
          <w:rFonts w:hint="eastAsia" w:ascii="宋体" w:hAnsi="宋体" w:eastAsia="宋体" w:cs="宋体"/>
          <w:b/>
          <w:bCs/>
          <w:color w:val="auto"/>
          <w:spacing w:val="0"/>
          <w:sz w:val="21"/>
          <w:szCs w:val="21"/>
          <w:lang w:val="en-US" w:eastAsia="zh-CN"/>
        </w:rPr>
        <w:t>磋商</w:t>
      </w:r>
      <w:r>
        <w:rPr>
          <w:rFonts w:hint="eastAsia" w:ascii="宋体" w:hAnsi="宋体" w:eastAsia="宋体" w:cs="宋体"/>
          <w:b/>
          <w:bCs/>
          <w:color w:val="auto"/>
          <w:spacing w:val="0"/>
          <w:sz w:val="21"/>
          <w:szCs w:val="21"/>
        </w:rPr>
        <w:t>费用</w:t>
      </w:r>
    </w:p>
    <w:p w14:paraId="02F9B5D1">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3.1 不论</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结果如何，供应商均应自行承担所有与</w:t>
      </w:r>
      <w:r>
        <w:rPr>
          <w:rFonts w:hint="eastAsia" w:ascii="宋体" w:hAnsi="宋体" w:eastAsia="宋体" w:cs="宋体"/>
          <w:color w:val="auto"/>
          <w:spacing w:val="0"/>
          <w:sz w:val="21"/>
          <w:szCs w:val="21"/>
          <w:lang w:val="en-US" w:eastAsia="zh-CN"/>
        </w:rPr>
        <w:t>本次磋商</w:t>
      </w:r>
      <w:r>
        <w:rPr>
          <w:rFonts w:hint="eastAsia" w:ascii="宋体" w:hAnsi="宋体" w:eastAsia="宋体" w:cs="宋体"/>
          <w:color w:val="auto"/>
          <w:spacing w:val="0"/>
          <w:sz w:val="21"/>
          <w:szCs w:val="21"/>
        </w:rPr>
        <w:t>有关的全部费用</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采购人及采购代理机构对上述费用不负任何责任</w:t>
      </w:r>
      <w:r>
        <w:rPr>
          <w:rFonts w:hint="eastAsia" w:ascii="宋体" w:hAnsi="宋体" w:eastAsia="宋体" w:cs="宋体"/>
          <w:color w:val="auto"/>
          <w:spacing w:val="0"/>
          <w:sz w:val="21"/>
          <w:szCs w:val="21"/>
          <w:lang w:eastAsia="zh-CN"/>
        </w:rPr>
        <w:t>。</w:t>
      </w:r>
    </w:p>
    <w:p w14:paraId="62AEA44A">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3.2  成交服务费按本须知</w:t>
      </w:r>
      <w:r>
        <w:rPr>
          <w:rFonts w:hint="eastAsia" w:ascii="宋体" w:hAnsi="宋体" w:eastAsia="宋体" w:cs="宋体"/>
          <w:color w:val="auto"/>
          <w:spacing w:val="0"/>
          <w:sz w:val="21"/>
          <w:szCs w:val="21"/>
          <w:highlight w:val="none"/>
          <w:lang w:val="en-US" w:eastAsia="zh-CN"/>
        </w:rPr>
        <w:t>33.1</w:t>
      </w:r>
      <w:r>
        <w:rPr>
          <w:rFonts w:hint="eastAsia" w:ascii="宋体" w:hAnsi="宋体" w:eastAsia="宋体" w:cs="宋体"/>
          <w:color w:val="auto"/>
          <w:spacing w:val="0"/>
          <w:sz w:val="21"/>
          <w:szCs w:val="21"/>
          <w:lang w:val="en-US" w:eastAsia="zh-CN"/>
        </w:rPr>
        <w:t>款规定的“工程类”标准采用差额定率累进计费方式计算，由成交人在与采购人签订政府采购合同前一次性向采购代理机构支付，供应商须将该部分费用考虑在磋商报价中。</w:t>
      </w:r>
    </w:p>
    <w:p w14:paraId="5331502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2" w:firstLineChars="167"/>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4、特别说明</w:t>
      </w:r>
    </w:p>
    <w:p w14:paraId="405DA981">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F9DD55">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val="en-US" w:eastAsia="zh-CN"/>
        </w:rPr>
        <w:t xml:space="preserve">4.2 </w:t>
      </w:r>
      <w:r>
        <w:rPr>
          <w:rFonts w:hint="eastAsia" w:ascii="宋体" w:hAnsi="宋体" w:eastAsia="宋体" w:cs="宋体"/>
          <w:color w:val="auto"/>
          <w:spacing w:val="0"/>
          <w:sz w:val="21"/>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eastAsia="宋体" w:cs="宋体"/>
          <w:color w:val="auto"/>
          <w:spacing w:val="0"/>
          <w:sz w:val="21"/>
          <w:szCs w:val="21"/>
          <w:lang w:eastAsia="zh-CN"/>
        </w:rPr>
        <w:t>。</w:t>
      </w:r>
    </w:p>
    <w:p w14:paraId="7ADAEA16">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 xml:space="preserve">4.3 </w:t>
      </w:r>
      <w:r>
        <w:rPr>
          <w:rFonts w:hint="eastAsia" w:ascii="宋体" w:hAnsi="宋体" w:eastAsia="宋体" w:cs="宋体"/>
          <w:color w:val="auto"/>
          <w:spacing w:val="0"/>
          <w:sz w:val="21"/>
          <w:szCs w:val="21"/>
        </w:rPr>
        <w:t>供应商磋商所使用的资格、信誉、荣誉、业绩与企业认证必须为本法人（负责人、自然人）所拥有。供应商磋商所使用的采购项目实施人员必须为本法人（负责人）员工（或必须为本法人或控股公司正式员工）。</w:t>
      </w:r>
    </w:p>
    <w:p w14:paraId="5A23AA64">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w:t>
      </w:r>
      <w:r>
        <w:rPr>
          <w:rFonts w:hint="eastAsia" w:ascii="宋体" w:hAnsi="宋体" w:eastAsia="宋体" w:cs="宋体"/>
          <w:color w:val="auto"/>
          <w:spacing w:val="0"/>
          <w:sz w:val="21"/>
          <w:szCs w:val="21"/>
          <w:lang w:val="en-US" w:eastAsia="zh-CN"/>
        </w:rPr>
        <w:t>4</w:t>
      </w:r>
      <w:r>
        <w:rPr>
          <w:rFonts w:hint="eastAsia" w:ascii="宋体" w:hAnsi="宋体" w:eastAsia="宋体" w:cs="宋体"/>
          <w:color w:val="auto"/>
          <w:spacing w:val="0"/>
          <w:sz w:val="21"/>
          <w:szCs w:val="21"/>
        </w:rPr>
        <w:t xml:space="preserve"> 供应商在</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活动中提供任何虚假材料，其响应文件无效，并报监管部门查处；成交后发现的，成交人须依照《中华人民共和国消费者权益保护法》规定赔偿采购人，且民事赔偿并不免除违法供应商的行政与刑事责任。</w:t>
      </w:r>
    </w:p>
    <w:p w14:paraId="40AF539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w:t>
      </w: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pacing w:val="0"/>
          <w:sz w:val="21"/>
          <w:szCs w:val="21"/>
        </w:rPr>
        <w:t xml:space="preserve"> 根据财库〔2017〕141号《三部门联合发布关于促进残疾人就业政府采购政策的通知》第三条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32EE4B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w:t>
      </w: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pacing w:val="0"/>
          <w:sz w:val="21"/>
          <w:szCs w:val="21"/>
        </w:rPr>
        <w:t>.1 符合条件的残疾人福利性单位在参加政府采购活动时，应当提供本通知规定的《残疾人福利性单位声明函》，并对声明的真实性负责。</w:t>
      </w:r>
    </w:p>
    <w:p w14:paraId="7224651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w:t>
      </w: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pacing w:val="0"/>
          <w:sz w:val="21"/>
          <w:szCs w:val="21"/>
        </w:rPr>
        <w:t>.2 供应商提供的《残疾人福利性单位声明函》与事实不符的，依照《政府采购法》第七十七条第一款的规定追究法律责任。</w:t>
      </w:r>
    </w:p>
    <w:p w14:paraId="713756D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w:t>
      </w: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pacing w:val="0"/>
          <w:sz w:val="21"/>
          <w:szCs w:val="21"/>
        </w:rPr>
        <w:t>.3 享受政府采购支持政策的残疾人福利性单位应当同时满足以下条件：</w:t>
      </w:r>
    </w:p>
    <w:p w14:paraId="49E2BBF4">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（1）安置的残疾人占本单位在职职工人数的比例不低于25%（含25%），并且安置的残疾人人数不少于10人（含10人）；</w:t>
      </w:r>
    </w:p>
    <w:p w14:paraId="73F6F325">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（2）依法与安置的每位残疾人签订了一年以上（含一年）的劳动合同或服务协议；</w:t>
      </w:r>
    </w:p>
    <w:p w14:paraId="79309209">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（3）为安置的每位残疾人按月足额缴纳了基本养老保险、基本医疗保险、失业保险、工伤保险和生育保险等社会保险费；</w:t>
      </w:r>
    </w:p>
    <w:p w14:paraId="44989EC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（4）通过银行等金融机构向安置的每位残疾人，按月支付了不低于单位所在区县适用的经省级人民政府批准的月最低工资标准的工资；</w:t>
      </w:r>
    </w:p>
    <w:p w14:paraId="78ABA59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（5）提供本单位制造的货物、承担的工程或者服务（以下简称产品），或者提供其他残疾人福利性单位制造的货物（不包括使用非残疾人福利性单位注册商标的货物）。</w:t>
      </w:r>
    </w:p>
    <w:p w14:paraId="280E72F7">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1CAC81A">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4.6 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F8F1422">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（1）在货物采购项目中，货物由中小企业制造，即货物由中小企业生产且使用该中小企业商号或者注册商标，不对其中涉及的工程承建商和服务的承接商作出要求；</w:t>
      </w:r>
    </w:p>
    <w:p w14:paraId="4B3C9A0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（2）在工程采购项目中，工程由中小企业承建，即工程施工单位为中小企业，不对其中涉及的货物的制造商和服务的承接商作出要求；</w:t>
      </w:r>
    </w:p>
    <w:p w14:paraId="112F3002">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（3）在服务采购项目中，服务由中小企业承接，即提供服务的人员为中小企业依照《中华人民共和国劳动合同法》订立劳动合同的从业人员，不对其中涉及的货物的制造商和工程承建商作出要求。</w:t>
      </w:r>
    </w:p>
    <w:p w14:paraId="0C3B1446">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FB6A4DE">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依据本磋商文件规定享受扶持政策获得政府采购合同的，小微企业不得将合同分包给大中型企业，中型企业不得将合同分包给大型企业。</w:t>
      </w:r>
    </w:p>
    <w:p w14:paraId="555C8C9F">
      <w:pPr>
        <w:keepNext w:val="0"/>
        <w:keepLines w:val="0"/>
        <w:pageBreakBefore w:val="0"/>
        <w:widowControl w:val="0"/>
        <w:tabs>
          <w:tab w:val="left" w:pos="1635"/>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b/>
          <w:szCs w:val="21"/>
        </w:rPr>
      </w:pPr>
      <w:r>
        <w:rPr>
          <w:rFonts w:hint="eastAsia" w:ascii="宋体" w:hAnsi="宋体" w:eastAsia="宋体" w:cs="宋体"/>
          <w:b/>
          <w:szCs w:val="21"/>
        </w:rPr>
        <w:t>5、联合体要求</w:t>
      </w:r>
    </w:p>
    <w:p w14:paraId="0842B9EF">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11" w:firstLineChars="196"/>
        <w:outlineLvl w:val="9"/>
        <w:rPr>
          <w:rFonts w:hint="eastAsia" w:ascii="宋体" w:hAnsi="宋体" w:eastAsia="宋体" w:cs="宋体"/>
          <w:szCs w:val="21"/>
        </w:rPr>
      </w:pPr>
      <w:r>
        <w:rPr>
          <w:rFonts w:hint="eastAsia" w:ascii="宋体" w:hAnsi="宋体" w:eastAsia="宋体" w:cs="宋体"/>
          <w:szCs w:val="21"/>
        </w:rPr>
        <w:t>本项目不接受联合体参与</w:t>
      </w:r>
      <w:r>
        <w:rPr>
          <w:rFonts w:hint="eastAsia" w:ascii="宋体" w:hAnsi="宋体" w:eastAsia="宋体" w:cs="宋体"/>
          <w:szCs w:val="21"/>
          <w:lang w:val="en-US" w:eastAsia="zh-CN"/>
        </w:rPr>
        <w:t>磋商</w:t>
      </w:r>
      <w:r>
        <w:rPr>
          <w:rFonts w:hint="eastAsia" w:ascii="宋体" w:hAnsi="宋体" w:eastAsia="宋体" w:cs="宋体"/>
          <w:szCs w:val="21"/>
        </w:rPr>
        <w:t>。</w:t>
      </w:r>
    </w:p>
    <w:p w14:paraId="7FEB830D">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13" w:firstLineChars="196"/>
        <w:outlineLvl w:val="9"/>
        <w:rPr>
          <w:rFonts w:hint="eastAsia" w:ascii="宋体" w:hAnsi="宋体" w:eastAsia="宋体" w:cs="宋体"/>
          <w:b/>
          <w:szCs w:val="21"/>
        </w:rPr>
      </w:pPr>
      <w:r>
        <w:rPr>
          <w:rFonts w:hint="eastAsia" w:ascii="宋体" w:hAnsi="宋体" w:eastAsia="宋体" w:cs="宋体"/>
          <w:b/>
          <w:szCs w:val="21"/>
        </w:rPr>
        <w:t>6、</w:t>
      </w:r>
      <w:r>
        <w:rPr>
          <w:rFonts w:hint="eastAsia" w:ascii="宋体" w:hAnsi="宋体" w:eastAsia="宋体" w:cs="宋体"/>
          <w:b/>
          <w:szCs w:val="21"/>
          <w:lang w:val="en-US" w:eastAsia="zh-CN"/>
        </w:rPr>
        <w:t>询问、</w:t>
      </w:r>
      <w:r>
        <w:rPr>
          <w:rFonts w:hint="eastAsia" w:ascii="宋体" w:hAnsi="宋体" w:eastAsia="宋体" w:cs="宋体"/>
          <w:b/>
          <w:szCs w:val="21"/>
        </w:rPr>
        <w:t>质疑和投诉</w:t>
      </w:r>
      <w:r>
        <w:rPr>
          <w:rFonts w:hint="eastAsia" w:ascii="宋体" w:hAnsi="宋体" w:eastAsia="宋体" w:cs="宋体"/>
          <w:b/>
          <w:szCs w:val="21"/>
        </w:rPr>
        <w:tab/>
      </w:r>
    </w:p>
    <w:p w14:paraId="6CF3AD25">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szCs w:val="21"/>
        </w:rPr>
      </w:pPr>
      <w:r>
        <w:rPr>
          <w:rFonts w:hint="eastAsia" w:ascii="宋体" w:hAnsi="宋体" w:eastAsia="宋体" w:cs="宋体"/>
          <w:szCs w:val="21"/>
        </w:rPr>
        <w:t>6.1 供应</w:t>
      </w:r>
      <w:r>
        <w:rPr>
          <w:rFonts w:hint="eastAsia" w:ascii="宋体" w:hAnsi="宋体" w:eastAsia="宋体" w:cs="宋体"/>
          <w:szCs w:val="21"/>
          <w:lang w:val="en-US" w:eastAsia="zh-CN"/>
        </w:rPr>
        <w:t>商</w:t>
      </w:r>
      <w:r>
        <w:rPr>
          <w:rFonts w:hint="eastAsia" w:ascii="宋体" w:hAnsi="宋体" w:eastAsia="宋体" w:cs="宋体"/>
          <w:szCs w:val="21"/>
        </w:rPr>
        <w:t>对政府采购活动事项有疑问的，可以向采购人、采购代理机构提出询问。采购人或者采购代理机构应当在3个工作日内对供应商依法提出的询问作出答复，但答复的内容不得涉及商业秘密。</w:t>
      </w:r>
    </w:p>
    <w:p w14:paraId="2955DB95">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kern w:val="0"/>
          <w:szCs w:val="21"/>
        </w:rPr>
      </w:pPr>
      <w:r>
        <w:rPr>
          <w:rFonts w:hint="eastAsia" w:ascii="宋体" w:hAnsi="宋体" w:eastAsia="宋体" w:cs="宋体"/>
          <w:szCs w:val="21"/>
        </w:rPr>
        <w:t xml:space="preserve">6.2 </w:t>
      </w:r>
      <w:r>
        <w:rPr>
          <w:rFonts w:hint="eastAsia" w:ascii="宋体" w:hAnsi="宋体" w:eastAsia="宋体" w:cs="宋体"/>
          <w:kern w:val="0"/>
          <w:szCs w:val="21"/>
        </w:rPr>
        <w:t>供应商认为竞争性</w:t>
      </w:r>
      <w:r>
        <w:rPr>
          <w:rFonts w:hint="eastAsia" w:ascii="宋体" w:hAnsi="宋体" w:eastAsia="宋体" w:cs="宋体"/>
          <w:kern w:val="0"/>
          <w:szCs w:val="21"/>
          <w:lang w:val="en-US" w:eastAsia="zh-CN"/>
        </w:rPr>
        <w:t>磋商</w:t>
      </w:r>
      <w:r>
        <w:rPr>
          <w:rFonts w:hint="eastAsia" w:ascii="宋体" w:hAnsi="宋体" w:eastAsia="宋体" w:cs="宋体"/>
          <w:kern w:val="0"/>
          <w:szCs w:val="21"/>
        </w:rPr>
        <w:t>文件、</w:t>
      </w:r>
      <w:r>
        <w:rPr>
          <w:rFonts w:hint="eastAsia" w:ascii="宋体" w:hAnsi="宋体" w:eastAsia="宋体" w:cs="宋体"/>
          <w:kern w:val="0"/>
          <w:szCs w:val="21"/>
          <w:lang w:val="en-US" w:eastAsia="zh-CN"/>
        </w:rPr>
        <w:t>磋商</w:t>
      </w:r>
      <w:r>
        <w:rPr>
          <w:rFonts w:hint="eastAsia" w:ascii="宋体" w:hAnsi="宋体" w:eastAsia="宋体" w:cs="宋体"/>
          <w:kern w:val="0"/>
          <w:szCs w:val="21"/>
        </w:rPr>
        <w:t>过程或成交结果使自己的合法权益受到损害的，应当在知道或者应知其权益受到损害之日起7个工作日内，以书面形式向采购人、采购代理机构提出质疑。</w:t>
      </w:r>
    </w:p>
    <w:p w14:paraId="3E6DB1D9">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提出质疑的供应商应当是参与所质疑项目采购活动的供应商，质疑函应按财政部发布的《政府采购供应商质疑函范本》编制，质疑函内容或格式不符合其规定的，供应商应按该范本要求进行修改后重新提交。其必须在法定质疑期内一次性提出针对同一采购程序环节的质疑。供应商对同一采购程序环节重复提出质疑的，采购人、采购代理机构将不予受理。且其质疑行为和质疑函内容应当符合《政府采购质疑和投诉办法》（中华人民共和国财政部令第94号）规定，具体计算时间如下：</w:t>
      </w:r>
    </w:p>
    <w:p w14:paraId="59C140F1">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（1）对可以质疑的采购文件提出质疑的，为收到采购文件之日；</w:t>
      </w:r>
    </w:p>
    <w:p w14:paraId="29E20403">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（2）对采购过程提出质疑的，为各采购程序环节结束之日；</w:t>
      </w:r>
    </w:p>
    <w:p w14:paraId="733D955A">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（3）对成交结果提出质疑的，为成交结果公告期限届满之日。</w:t>
      </w:r>
    </w:p>
    <w:p w14:paraId="2C2B94F1">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kern w:val="0"/>
          <w:szCs w:val="21"/>
        </w:rPr>
        <w:t>供应商对采购人或采购代理机构的质疑答复不满意或者采购人或采购代理机构未在规定时间内作出答复的，可以在答复期满后十五个工作日内向同级采购监管部门投诉。</w:t>
      </w:r>
    </w:p>
    <w:p w14:paraId="113E3AF7">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szCs w:val="21"/>
        </w:rPr>
      </w:pPr>
      <w:r>
        <w:rPr>
          <w:rFonts w:hint="eastAsia" w:ascii="宋体" w:hAnsi="宋体" w:eastAsia="宋体" w:cs="宋体"/>
          <w:szCs w:val="21"/>
        </w:rPr>
        <w:t>6.3 质疑、投诉应当采用书面形式，质疑书、投诉书实行实名制，均应明确阐述竞争性</w:t>
      </w:r>
      <w:r>
        <w:rPr>
          <w:rFonts w:hint="eastAsia" w:ascii="宋体" w:hAnsi="宋体" w:eastAsia="宋体" w:cs="宋体"/>
          <w:color w:val="auto"/>
          <w:spacing w:val="0"/>
          <w:sz w:val="21"/>
          <w:szCs w:val="21"/>
          <w:lang w:val="en-US" w:eastAsia="zh-CN"/>
        </w:rPr>
        <w:t>磋商</w:t>
      </w:r>
      <w:r>
        <w:rPr>
          <w:rFonts w:hint="eastAsia" w:ascii="宋体" w:hAnsi="宋体" w:eastAsia="宋体" w:cs="宋体"/>
          <w:szCs w:val="21"/>
        </w:rPr>
        <w:t>文件、采购过程或成交结果中使自己合法权益受到损害的实质性内容，提供相关事实、明确的请求，并提供必要的证明材料。</w:t>
      </w:r>
    </w:p>
    <w:p w14:paraId="4572991D">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szCs w:val="21"/>
        </w:rPr>
      </w:pPr>
      <w:r>
        <w:rPr>
          <w:rFonts w:hint="eastAsia" w:ascii="宋体" w:hAnsi="宋体" w:eastAsia="宋体" w:cs="宋体"/>
          <w:szCs w:val="21"/>
        </w:rPr>
        <w:t>6.4 本项目询问、质疑联系部门：同致诚工程咨询有限公司；联系电话：</w:t>
      </w:r>
      <w:r>
        <w:rPr>
          <w:rFonts w:hint="eastAsia" w:ascii="宋体" w:hAnsi="宋体" w:eastAsia="宋体" w:cs="宋体"/>
          <w:bCs/>
          <w:kern w:val="1"/>
          <w:szCs w:val="21"/>
        </w:rPr>
        <w:t>0774-3932979</w:t>
      </w:r>
      <w:r>
        <w:rPr>
          <w:rFonts w:hint="eastAsia" w:ascii="宋体" w:hAnsi="宋体" w:eastAsia="宋体" w:cs="宋体"/>
          <w:szCs w:val="21"/>
        </w:rPr>
        <w:t>；</w:t>
      </w:r>
    </w:p>
    <w:p w14:paraId="24DA7AE3">
      <w:pPr>
        <w:keepNext w:val="0"/>
        <w:keepLines w:val="0"/>
        <w:pageBreakBefore w:val="0"/>
        <w:widowControl w:val="0"/>
        <w:kinsoku/>
        <w:wordWrap/>
        <w:overflowPunct/>
        <w:topLinePunct w:val="0"/>
        <w:autoSpaceDE/>
        <w:autoSpaceDN/>
        <w:bidi w:val="0"/>
        <w:adjustRightInd w:val="0"/>
        <w:snapToGrid w:val="0"/>
        <w:spacing w:line="400" w:lineRule="atLeast"/>
        <w:ind w:firstLine="840" w:firstLineChars="400"/>
        <w:outlineLvl w:val="9"/>
        <w:rPr>
          <w:rFonts w:hint="eastAsia" w:ascii="宋体" w:hAnsi="宋体" w:eastAsia="宋体" w:cs="宋体"/>
          <w:szCs w:val="21"/>
        </w:rPr>
      </w:pPr>
      <w:r>
        <w:rPr>
          <w:rFonts w:hint="eastAsia" w:ascii="宋体" w:hAnsi="宋体" w:eastAsia="宋体" w:cs="宋体"/>
          <w:szCs w:val="21"/>
        </w:rPr>
        <w:t>通讯地址：梧州市长洲区新兴二路3号（恒祥豪苑小区）B2栋2205号。</w:t>
      </w:r>
    </w:p>
    <w:p w14:paraId="32CBB75E">
      <w:pPr>
        <w:keepNext w:val="0"/>
        <w:keepLines w:val="0"/>
        <w:pageBreakBefore w:val="0"/>
        <w:widowControl w:val="0"/>
        <w:kinsoku/>
        <w:wordWrap/>
        <w:overflowPunct/>
        <w:topLinePunct w:val="0"/>
        <w:autoSpaceDE/>
        <w:autoSpaceDN/>
        <w:bidi w:val="0"/>
        <w:adjustRightInd w:val="0"/>
        <w:snapToGrid w:val="0"/>
        <w:spacing w:line="400" w:lineRule="atLeast"/>
        <w:ind w:firstLine="840" w:firstLineChars="400"/>
        <w:outlineLvl w:val="9"/>
        <w:rPr>
          <w:rFonts w:hint="eastAsia" w:ascii="宋体" w:hAnsi="宋体" w:eastAsia="宋体" w:cs="宋体"/>
          <w:szCs w:val="21"/>
        </w:rPr>
      </w:pPr>
      <w:r>
        <w:rPr>
          <w:rFonts w:hint="eastAsia" w:ascii="宋体" w:hAnsi="宋体" w:eastAsia="宋体" w:cs="宋体"/>
          <w:szCs w:val="21"/>
        </w:rPr>
        <w:t>业务时间：正常上班时间（双休日和法定节假日不办理业务）。</w:t>
      </w:r>
    </w:p>
    <w:p w14:paraId="3BCC9BE1">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szCs w:val="21"/>
        </w:rPr>
      </w:pPr>
      <w:r>
        <w:rPr>
          <w:rFonts w:hint="eastAsia" w:ascii="宋体" w:hAnsi="宋体" w:eastAsia="宋体" w:cs="宋体"/>
          <w:szCs w:val="21"/>
        </w:rPr>
        <w:t>6.5 投诉联系部门：梧州市财政局政府采购监督管理科；联系电话：0774-3866434；</w:t>
      </w:r>
    </w:p>
    <w:p w14:paraId="0E89A221">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840" w:firstLineChars="400"/>
        <w:outlineLvl w:val="9"/>
        <w:rPr>
          <w:rFonts w:hint="eastAsia" w:ascii="宋体" w:hAnsi="宋体" w:eastAsia="宋体" w:cs="宋体"/>
          <w:szCs w:val="21"/>
        </w:rPr>
      </w:pPr>
      <w:r>
        <w:rPr>
          <w:rFonts w:hint="eastAsia" w:ascii="宋体" w:hAnsi="宋体" w:eastAsia="宋体" w:cs="宋体"/>
          <w:szCs w:val="21"/>
        </w:rPr>
        <w:t>通讯地址：梧州市长洲区三龙大道红岭大厦2217室、2226室。</w:t>
      </w:r>
    </w:p>
    <w:p w14:paraId="1255EF1A">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b/>
          <w:szCs w:val="21"/>
        </w:rPr>
      </w:pPr>
      <w:r>
        <w:rPr>
          <w:rFonts w:hint="eastAsia" w:ascii="宋体" w:hAnsi="宋体" w:eastAsia="宋体" w:cs="宋体"/>
          <w:b/>
          <w:szCs w:val="21"/>
        </w:rPr>
        <w:t>7、转包与分包与勘探</w:t>
      </w:r>
    </w:p>
    <w:p w14:paraId="62CEB9AB">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szCs w:val="21"/>
        </w:rPr>
      </w:pPr>
      <w:r>
        <w:rPr>
          <w:rFonts w:hint="eastAsia" w:ascii="宋体" w:hAnsi="宋体" w:eastAsia="宋体" w:cs="宋体"/>
          <w:szCs w:val="21"/>
        </w:rPr>
        <w:t>7.1 本项目不允许转包。</w:t>
      </w:r>
    </w:p>
    <w:p w14:paraId="5DED71C5">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color w:val="auto"/>
          <w:szCs w:val="21"/>
        </w:rPr>
      </w:pPr>
      <w:r>
        <w:rPr>
          <w:rFonts w:hint="eastAsia" w:ascii="宋体" w:hAnsi="宋体" w:eastAsia="宋体" w:cs="宋体"/>
          <w:szCs w:val="21"/>
        </w:rPr>
        <w:t>7.</w:t>
      </w:r>
      <w:r>
        <w:rPr>
          <w:rFonts w:hint="eastAsia" w:ascii="宋体" w:hAnsi="宋体" w:eastAsia="宋体" w:cs="宋体"/>
          <w:color w:val="auto"/>
          <w:szCs w:val="21"/>
        </w:rPr>
        <w:t xml:space="preserve">2 </w:t>
      </w:r>
      <w:r>
        <w:rPr>
          <w:rFonts w:hint="eastAsia" w:ascii="宋体" w:hAnsi="宋体"/>
          <w:b w:val="0"/>
          <w:color w:val="auto"/>
          <w:sz w:val="21"/>
          <w:szCs w:val="21"/>
        </w:rPr>
        <w:t>本项目是否允许分包</w:t>
      </w:r>
      <w:r>
        <w:rPr>
          <w:rFonts w:hint="eastAsia" w:ascii="宋体" w:hAnsi="宋体"/>
          <w:b w:val="0"/>
          <w:color w:val="auto"/>
          <w:sz w:val="21"/>
          <w:szCs w:val="21"/>
          <w:lang w:eastAsia="zh-CN"/>
        </w:rPr>
        <w:t>、</w:t>
      </w:r>
      <w:r>
        <w:rPr>
          <w:rFonts w:hint="eastAsia" w:ascii="宋体" w:hAnsi="宋体"/>
          <w:b w:val="0"/>
          <w:color w:val="auto"/>
          <w:sz w:val="21"/>
          <w:szCs w:val="21"/>
          <w:lang w:val="en-US" w:eastAsia="zh-CN"/>
        </w:rPr>
        <w:t>分包内容及分包金额上限</w:t>
      </w:r>
      <w:r>
        <w:rPr>
          <w:rFonts w:hint="eastAsia" w:ascii="宋体" w:hAnsi="宋体"/>
          <w:b w:val="0"/>
          <w:color w:val="auto"/>
          <w:sz w:val="21"/>
          <w:szCs w:val="21"/>
        </w:rPr>
        <w:t>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r>
        <w:rPr>
          <w:rFonts w:hint="eastAsia" w:ascii="宋体" w:hAnsi="宋体" w:eastAsia="宋体" w:cs="宋体"/>
          <w:color w:val="auto"/>
          <w:szCs w:val="21"/>
        </w:rPr>
        <w:t>。</w:t>
      </w:r>
    </w:p>
    <w:p w14:paraId="1DC7FA4A">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 xml:space="preserve">7.3 </w:t>
      </w:r>
      <w:r>
        <w:rPr>
          <w:rFonts w:hint="eastAsia" w:ascii="宋体" w:hAnsi="宋体"/>
          <w:b/>
          <w:bCs/>
          <w:color w:val="auto"/>
          <w:sz w:val="21"/>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r>
        <w:rPr>
          <w:rFonts w:hint="eastAsia" w:ascii="宋体" w:hAnsi="宋体"/>
          <w:b/>
          <w:bCs/>
          <w:color w:val="auto"/>
          <w:sz w:val="21"/>
          <w:szCs w:val="21"/>
          <w:lang w:eastAsia="zh-CN"/>
        </w:rPr>
        <w:t>。</w:t>
      </w:r>
    </w:p>
    <w:p w14:paraId="442B1B4D">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color w:val="auto"/>
          <w:szCs w:val="21"/>
        </w:rPr>
        <w:t>7.</w:t>
      </w:r>
      <w:r>
        <w:rPr>
          <w:rFonts w:hint="eastAsia" w:ascii="宋体" w:hAnsi="宋体" w:eastAsia="宋体" w:cs="宋体"/>
          <w:color w:val="auto"/>
          <w:szCs w:val="21"/>
          <w:lang w:val="en-US" w:eastAsia="zh-CN"/>
        </w:rPr>
        <w:t>4</w:t>
      </w:r>
      <w:r>
        <w:rPr>
          <w:rFonts w:hint="eastAsia" w:ascii="宋体" w:hAnsi="宋体" w:eastAsia="宋体" w:cs="宋体"/>
          <w:color w:val="auto"/>
          <w:szCs w:val="21"/>
        </w:rPr>
        <w:t xml:space="preserve"> 勘察现场：采购人、采购代</w:t>
      </w:r>
      <w:r>
        <w:rPr>
          <w:rFonts w:hint="eastAsia" w:ascii="宋体" w:hAnsi="宋体" w:eastAsia="宋体" w:cs="宋体"/>
          <w:szCs w:val="21"/>
        </w:rPr>
        <w:t>理机构不再组织供应商进行现场考察或召开采购答疑会。供应商可自行到现场踏勘，在现场考察过程中，供应商及其聘用、雇佣人员如果发生意外人身伤亡伤害、财物或其它损失等一切风险均由供应商自理，采购人及采购代理机构概不负责。</w:t>
      </w:r>
    </w:p>
    <w:p w14:paraId="1A98D8E1">
      <w:pPr>
        <w:keepNext w:val="0"/>
        <w:keepLines w:val="0"/>
        <w:pageBreakBefore w:val="0"/>
        <w:widowControl w:val="0"/>
        <w:kinsoku/>
        <w:wordWrap/>
        <w:overflowPunct/>
        <w:topLinePunct w:val="0"/>
        <w:autoSpaceDE/>
        <w:autoSpaceDN/>
        <w:bidi w:val="0"/>
        <w:adjustRightInd w:val="0"/>
        <w:snapToGrid w:val="0"/>
        <w:spacing w:line="400" w:lineRule="atLeast"/>
        <w:outlineLvl w:val="9"/>
        <w:rPr>
          <w:rFonts w:hint="eastAsia" w:ascii="宋体" w:hAnsi="宋体" w:eastAsia="宋体" w:cs="宋体"/>
        </w:rPr>
      </w:pPr>
    </w:p>
    <w:p w14:paraId="3F17EF2A">
      <w:pPr>
        <w:pStyle w:val="15"/>
        <w:keepNext w:val="0"/>
        <w:keepLines w:val="0"/>
        <w:pageBreakBefore w:val="0"/>
        <w:widowControl w:val="0"/>
        <w:kinsoku/>
        <w:wordWrap/>
        <w:overflowPunct/>
        <w:topLinePunct w:val="0"/>
        <w:autoSpaceDE/>
        <w:autoSpaceDN/>
        <w:bidi w:val="0"/>
        <w:adjustRightInd w:val="0"/>
        <w:snapToGrid w:val="0"/>
        <w:spacing w:line="400" w:lineRule="atLeast"/>
        <w:ind w:firstLine="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二  竞争性</w:t>
      </w: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文件（简称“</w:t>
      </w: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w:t>
      </w:r>
    </w:p>
    <w:p w14:paraId="5549E3CE">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2" w:firstLineChars="200"/>
        <w:textAlignment w:val="auto"/>
        <w:outlineLvl w:val="9"/>
        <w:rPr>
          <w:rFonts w:hint="eastAsia" w:ascii="宋体" w:hAnsi="宋体" w:eastAsia="宋体" w:cs="宋体"/>
          <w:b/>
          <w:bCs/>
          <w:szCs w:val="21"/>
        </w:rPr>
      </w:pPr>
      <w:r>
        <w:rPr>
          <w:rFonts w:hint="eastAsia" w:ascii="宋体" w:hAnsi="宋体" w:eastAsia="宋体" w:cs="宋体"/>
          <w:b/>
          <w:bCs/>
          <w:szCs w:val="21"/>
        </w:rPr>
        <w:t>8、</w:t>
      </w:r>
      <w:r>
        <w:rPr>
          <w:rFonts w:hint="eastAsia" w:ascii="宋体" w:hAnsi="宋体" w:eastAsia="宋体" w:cs="宋体"/>
          <w:b/>
          <w:bCs/>
          <w:szCs w:val="21"/>
          <w:lang w:val="en-US" w:eastAsia="zh-CN"/>
        </w:rPr>
        <w:t>磋商</w:t>
      </w:r>
      <w:r>
        <w:rPr>
          <w:rFonts w:hint="eastAsia" w:ascii="宋体" w:hAnsi="宋体" w:eastAsia="宋体" w:cs="宋体"/>
          <w:b/>
          <w:bCs/>
          <w:szCs w:val="21"/>
        </w:rPr>
        <w:t>文件的构成</w:t>
      </w:r>
    </w:p>
    <w:p w14:paraId="5CC34703">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szCs w:val="21"/>
        </w:rPr>
      </w:pPr>
      <w:r>
        <w:rPr>
          <w:rFonts w:hint="eastAsia" w:ascii="宋体" w:hAnsi="宋体" w:eastAsia="宋体" w:cs="宋体"/>
          <w:szCs w:val="21"/>
        </w:rPr>
        <w:t xml:space="preserve">8.1 </w:t>
      </w:r>
      <w:r>
        <w:rPr>
          <w:rFonts w:hint="eastAsia" w:ascii="宋体" w:hAnsi="宋体" w:eastAsia="宋体" w:cs="宋体"/>
          <w:szCs w:val="21"/>
          <w:lang w:val="en-US" w:eastAsia="zh-CN"/>
        </w:rPr>
        <w:t>磋商</w:t>
      </w:r>
      <w:r>
        <w:rPr>
          <w:rFonts w:hint="eastAsia" w:ascii="宋体" w:hAnsi="宋体" w:eastAsia="宋体" w:cs="宋体"/>
          <w:szCs w:val="21"/>
        </w:rPr>
        <w:t xml:space="preserve">文件由下列文件以及在采购过程中发出的更改、澄清、修改和补充等文件组成： </w:t>
      </w:r>
    </w:p>
    <w:p w14:paraId="0E3DF44E">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（1）竞争性</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公告；</w:t>
      </w:r>
    </w:p>
    <w:p w14:paraId="3D954EAE">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（2）供应商须知；</w:t>
      </w:r>
    </w:p>
    <w:p w14:paraId="4C558A2B">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（3）采购</w:t>
      </w:r>
      <w:r>
        <w:rPr>
          <w:rFonts w:hint="eastAsia" w:ascii="宋体" w:hAnsi="宋体" w:eastAsia="宋体" w:cs="宋体"/>
          <w:color w:val="auto"/>
          <w:szCs w:val="21"/>
          <w:lang w:val="en-US" w:eastAsia="zh-CN"/>
        </w:rPr>
        <w:t>内容及要求</w:t>
      </w:r>
      <w:r>
        <w:rPr>
          <w:rFonts w:hint="eastAsia" w:ascii="宋体" w:hAnsi="宋体" w:eastAsia="宋体" w:cs="宋体"/>
          <w:color w:val="auto"/>
          <w:szCs w:val="21"/>
        </w:rPr>
        <w:t>；</w:t>
      </w:r>
    </w:p>
    <w:p w14:paraId="492042D8">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（4）评审程序、评审方法和评审标准；</w:t>
      </w:r>
    </w:p>
    <w:p w14:paraId="0BE55084">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工程量清单及图纸（另册）</w:t>
      </w:r>
      <w:r>
        <w:rPr>
          <w:rFonts w:hint="eastAsia" w:ascii="宋体" w:hAnsi="宋体" w:eastAsia="宋体" w:cs="宋体"/>
          <w:color w:val="auto"/>
          <w:szCs w:val="21"/>
        </w:rPr>
        <w:t>；</w:t>
      </w:r>
    </w:p>
    <w:p w14:paraId="38EB304A">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rPr>
        <w:t>（6）响应文件格式</w:t>
      </w:r>
      <w:r>
        <w:rPr>
          <w:rFonts w:hint="eastAsia" w:ascii="宋体" w:hAnsi="宋体" w:eastAsia="宋体" w:cs="宋体"/>
          <w:color w:val="auto"/>
          <w:szCs w:val="21"/>
          <w:lang w:eastAsia="zh-CN"/>
        </w:rPr>
        <w:t>；</w:t>
      </w:r>
    </w:p>
    <w:p w14:paraId="5BF2CA36">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w:t>
      </w:r>
      <w:r>
        <w:rPr>
          <w:rFonts w:hint="eastAsia" w:ascii="宋体" w:hAnsi="宋体" w:eastAsia="宋体" w:cs="宋体"/>
          <w:color w:val="auto"/>
          <w:szCs w:val="21"/>
        </w:rPr>
        <w:t>合同主要条款及格式</w:t>
      </w:r>
      <w:r>
        <w:rPr>
          <w:rFonts w:hint="eastAsia" w:ascii="宋体" w:hAnsi="宋体" w:eastAsia="宋体" w:cs="宋体"/>
          <w:color w:val="auto"/>
          <w:szCs w:val="21"/>
          <w:lang w:val="en-US" w:eastAsia="zh-CN"/>
        </w:rPr>
        <w:t>。</w:t>
      </w:r>
    </w:p>
    <w:p w14:paraId="1BDAEF2F">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2" w:firstLineChars="200"/>
        <w:textAlignment w:val="auto"/>
        <w:outlineLvl w:val="9"/>
        <w:rPr>
          <w:rFonts w:hint="eastAsia" w:ascii="宋体" w:hAnsi="宋体" w:eastAsia="宋体" w:cs="宋体"/>
          <w:b/>
          <w:bCs/>
          <w:szCs w:val="21"/>
        </w:rPr>
      </w:pPr>
      <w:r>
        <w:rPr>
          <w:rFonts w:hint="eastAsia" w:ascii="宋体" w:hAnsi="宋体" w:eastAsia="宋体" w:cs="宋体"/>
          <w:b/>
          <w:bCs/>
          <w:szCs w:val="21"/>
        </w:rPr>
        <w:t>9、</w:t>
      </w:r>
      <w:r>
        <w:rPr>
          <w:rFonts w:hint="eastAsia" w:ascii="宋体" w:hAnsi="宋体" w:eastAsia="宋体" w:cs="宋体"/>
          <w:b/>
          <w:bCs/>
          <w:szCs w:val="21"/>
          <w:lang w:val="en-US" w:eastAsia="zh-CN"/>
        </w:rPr>
        <w:t>磋商</w:t>
      </w:r>
      <w:r>
        <w:rPr>
          <w:rFonts w:hint="eastAsia" w:ascii="宋体" w:hAnsi="宋体" w:eastAsia="宋体" w:cs="宋体"/>
          <w:b/>
          <w:bCs/>
          <w:szCs w:val="21"/>
        </w:rPr>
        <w:t>文件的澄清和修改</w:t>
      </w:r>
    </w:p>
    <w:p w14:paraId="3F4D04F2">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szCs w:val="21"/>
        </w:rPr>
      </w:pPr>
      <w:r>
        <w:rPr>
          <w:rFonts w:hint="eastAsia" w:ascii="宋体" w:hAnsi="宋体" w:eastAsia="宋体" w:cs="宋体"/>
          <w:szCs w:val="21"/>
        </w:rPr>
        <w:t>9.1 供应商应认真阅读</w:t>
      </w:r>
      <w:r>
        <w:rPr>
          <w:rFonts w:hint="eastAsia" w:ascii="宋体" w:hAnsi="宋体" w:eastAsia="宋体" w:cs="宋体"/>
          <w:szCs w:val="21"/>
          <w:lang w:val="en-US" w:eastAsia="zh-CN"/>
        </w:rPr>
        <w:t>磋商</w:t>
      </w:r>
      <w:r>
        <w:rPr>
          <w:rFonts w:hint="eastAsia" w:ascii="宋体" w:hAnsi="宋体" w:eastAsia="宋体" w:cs="宋体"/>
          <w:szCs w:val="21"/>
        </w:rPr>
        <w:t>文件的</w:t>
      </w:r>
      <w:r>
        <w:rPr>
          <w:rFonts w:hint="eastAsia" w:ascii="宋体" w:hAnsi="宋体" w:eastAsia="宋体" w:cs="宋体"/>
          <w:szCs w:val="21"/>
          <w:lang w:val="en-US" w:eastAsia="zh-CN"/>
        </w:rPr>
        <w:t>全部内容（包括所有的补充、修改内容、重要事项、格式要求、条款和技术规范、工程量清单及图纸等）</w:t>
      </w:r>
      <w:r>
        <w:rPr>
          <w:rFonts w:hint="eastAsia" w:ascii="宋体" w:hAnsi="宋体" w:eastAsia="宋体" w:cs="宋体"/>
          <w:szCs w:val="21"/>
        </w:rPr>
        <w:t>，如发现需求中有误或要求不合理的，供应商必须在提交首次响应文件截止之日前，以书面形式向采购人、采购代理机构提出。</w:t>
      </w:r>
    </w:p>
    <w:p w14:paraId="487B6398">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szCs w:val="21"/>
        </w:rPr>
      </w:pPr>
      <w:r>
        <w:rPr>
          <w:rFonts w:hint="eastAsia" w:ascii="宋体" w:hAnsi="宋体" w:eastAsia="宋体" w:cs="宋体"/>
          <w:szCs w:val="21"/>
        </w:rPr>
        <w:t>9.2 任何要求澄清文件的供应商，均应在提交首次响应文件截止时间前的正常工作时间以书面形式（内容包括项目名称及编号、澄清内容、要求澄清的单位名称或姓名、地址、联系电话等，并加盖公章，法定代表人（负责人）签字）通知采购代理机构，否则，采购代理机构将不予受理，同时认定其他要求澄清的方式为无效。采购代理机构将以书面形式予以答复。</w:t>
      </w:r>
    </w:p>
    <w:p w14:paraId="561E6256">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szCs w:val="21"/>
        </w:rPr>
      </w:pPr>
      <w:r>
        <w:rPr>
          <w:rFonts w:hint="eastAsia" w:ascii="宋体" w:hAnsi="宋体" w:eastAsia="宋体" w:cs="宋体"/>
          <w:szCs w:val="21"/>
        </w:rPr>
        <w:t>9.3 采购人、采购代理机构可以对已发出的</w:t>
      </w:r>
      <w:r>
        <w:rPr>
          <w:rFonts w:hint="eastAsia" w:ascii="宋体" w:hAnsi="宋体" w:eastAsia="宋体" w:cs="宋体"/>
          <w:szCs w:val="21"/>
          <w:lang w:val="en-US" w:eastAsia="zh-CN"/>
        </w:rPr>
        <w:t>磋商</w:t>
      </w:r>
      <w:r>
        <w:rPr>
          <w:rFonts w:hint="eastAsia" w:ascii="宋体" w:hAnsi="宋体" w:eastAsia="宋体" w:cs="宋体"/>
          <w:szCs w:val="21"/>
        </w:rPr>
        <w:t>文件进行必要的澄清或修改，澄清或修改的内容作为</w:t>
      </w:r>
      <w:r>
        <w:rPr>
          <w:rFonts w:hint="eastAsia" w:ascii="宋体" w:hAnsi="宋体" w:eastAsia="宋体" w:cs="宋体"/>
          <w:szCs w:val="21"/>
          <w:lang w:val="en-US" w:eastAsia="zh-CN"/>
        </w:rPr>
        <w:t>磋商</w:t>
      </w:r>
      <w:r>
        <w:rPr>
          <w:rFonts w:hint="eastAsia" w:ascii="宋体" w:hAnsi="宋体" w:eastAsia="宋体" w:cs="宋体"/>
          <w:szCs w:val="21"/>
        </w:rPr>
        <w:t>文件的组成部分。澄清或修改的内容可能影响响应文件编制的，</w:t>
      </w:r>
      <w:r>
        <w:rPr>
          <w:rFonts w:hint="eastAsia" w:ascii="宋体" w:hAnsi="宋体" w:eastAsia="宋体" w:cs="宋体"/>
          <w:szCs w:val="21"/>
          <w:lang w:val="en-US" w:eastAsia="zh-CN"/>
        </w:rPr>
        <w:t>磋商</w:t>
      </w:r>
      <w:r>
        <w:rPr>
          <w:rFonts w:hint="eastAsia" w:ascii="宋体" w:hAnsi="宋体" w:eastAsia="宋体" w:cs="宋体"/>
          <w:szCs w:val="21"/>
        </w:rPr>
        <w:t>文件的澄清或修改应当在提交首次响应文件截止时间至少5日前，以书面形式通知（在竞争性</w:t>
      </w:r>
      <w:r>
        <w:rPr>
          <w:rFonts w:hint="eastAsia" w:ascii="宋体" w:hAnsi="宋体" w:eastAsia="宋体" w:cs="宋体"/>
          <w:szCs w:val="21"/>
          <w:lang w:val="en-US" w:eastAsia="zh-CN"/>
        </w:rPr>
        <w:t>磋商</w:t>
      </w:r>
      <w:r>
        <w:rPr>
          <w:rFonts w:hint="eastAsia" w:ascii="宋体" w:hAnsi="宋体" w:eastAsia="宋体" w:cs="宋体"/>
          <w:szCs w:val="21"/>
        </w:rPr>
        <w:t>公告中公布的发布媒体上发布）所有获取磋商文件的供应商，但不指明澄清问题的来源。不足5日的，采购人、采购代理机构</w:t>
      </w:r>
      <w:r>
        <w:rPr>
          <w:rFonts w:hint="eastAsia" w:ascii="宋体" w:hAnsi="宋体" w:eastAsia="宋体" w:cs="宋体"/>
          <w:szCs w:val="21"/>
          <w:lang w:val="en-US" w:eastAsia="zh-CN"/>
        </w:rPr>
        <w:t>将</w:t>
      </w:r>
      <w:r>
        <w:rPr>
          <w:rFonts w:hint="eastAsia" w:ascii="宋体" w:hAnsi="宋体" w:eastAsia="宋体" w:cs="宋体"/>
          <w:szCs w:val="21"/>
        </w:rPr>
        <w:t>顺延提交首次响应文件截止时间。当</w:t>
      </w:r>
      <w:r>
        <w:rPr>
          <w:rFonts w:hint="eastAsia" w:ascii="宋体" w:hAnsi="宋体" w:eastAsia="宋体" w:cs="宋体"/>
          <w:szCs w:val="21"/>
          <w:lang w:val="en-US" w:eastAsia="zh-CN"/>
        </w:rPr>
        <w:t>磋商</w:t>
      </w:r>
      <w:r>
        <w:rPr>
          <w:rFonts w:hint="eastAsia" w:ascii="宋体" w:hAnsi="宋体" w:eastAsia="宋体" w:cs="宋体"/>
          <w:szCs w:val="21"/>
        </w:rPr>
        <w:t>文件与</w:t>
      </w:r>
      <w:r>
        <w:rPr>
          <w:rFonts w:hint="eastAsia" w:ascii="宋体" w:hAnsi="宋体" w:eastAsia="宋体" w:cs="宋体"/>
          <w:szCs w:val="21"/>
          <w:lang w:val="en-US" w:eastAsia="zh-CN"/>
        </w:rPr>
        <w:t>磋商</w:t>
      </w:r>
      <w:r>
        <w:rPr>
          <w:rFonts w:hint="eastAsia" w:ascii="宋体" w:hAnsi="宋体" w:eastAsia="宋体" w:cs="宋体"/>
          <w:szCs w:val="21"/>
        </w:rPr>
        <w:t>文件的澄清就同一内容的表述不一致时，以最后发出的公告或书面文件为准。</w:t>
      </w:r>
    </w:p>
    <w:p w14:paraId="644ED9E3">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szCs w:val="21"/>
        </w:rPr>
      </w:pPr>
      <w:r>
        <w:rPr>
          <w:rFonts w:hint="eastAsia" w:ascii="宋体" w:hAnsi="宋体" w:eastAsia="宋体" w:cs="宋体"/>
          <w:szCs w:val="21"/>
        </w:rPr>
        <w:t>9.4 供应商应自行在竞争性</w:t>
      </w:r>
      <w:r>
        <w:rPr>
          <w:rFonts w:hint="eastAsia" w:ascii="宋体" w:hAnsi="宋体" w:eastAsia="宋体" w:cs="宋体"/>
          <w:szCs w:val="21"/>
          <w:lang w:val="en-US" w:eastAsia="zh-CN"/>
        </w:rPr>
        <w:t>磋商</w:t>
      </w:r>
      <w:r>
        <w:rPr>
          <w:rFonts w:hint="eastAsia" w:ascii="宋体" w:hAnsi="宋体" w:eastAsia="宋体" w:cs="宋体"/>
          <w:szCs w:val="21"/>
        </w:rPr>
        <w:t>公告中公布的网站媒体上查阅与本项目相关的更改通知或补遗文件等资料（如有），本项目相关的更改通知或补遗文件等资料（如有）自上网之日起，即视为供应商已收到。否则，由此造成一切后果由供应商承担。</w:t>
      </w:r>
    </w:p>
    <w:p w14:paraId="2D8307C2">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szCs w:val="21"/>
        </w:rPr>
      </w:pPr>
      <w:r>
        <w:rPr>
          <w:rFonts w:hint="eastAsia" w:ascii="宋体" w:hAnsi="宋体" w:eastAsia="宋体" w:cs="宋体"/>
          <w:szCs w:val="21"/>
        </w:rPr>
        <w:t>9.5 澄清、答复、修改、补充的内容为</w:t>
      </w:r>
      <w:r>
        <w:rPr>
          <w:rFonts w:hint="eastAsia" w:ascii="宋体" w:hAnsi="宋体" w:eastAsia="宋体" w:cs="宋体"/>
          <w:szCs w:val="21"/>
          <w:lang w:val="en-US" w:eastAsia="zh-CN"/>
        </w:rPr>
        <w:t>磋商</w:t>
      </w:r>
      <w:r>
        <w:rPr>
          <w:rFonts w:hint="eastAsia" w:ascii="宋体" w:hAnsi="宋体" w:eastAsia="宋体" w:cs="宋体"/>
          <w:szCs w:val="21"/>
        </w:rPr>
        <w:t>文件的组成部分。当澄清、答复、修改、补充通知就同一内容的表述不一致时，以最后发出的文件为准。</w:t>
      </w:r>
    </w:p>
    <w:p w14:paraId="33435C5F">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szCs w:val="21"/>
        </w:rPr>
      </w:pPr>
      <w:r>
        <w:rPr>
          <w:rFonts w:hint="eastAsia" w:ascii="宋体" w:hAnsi="宋体" w:eastAsia="宋体" w:cs="宋体"/>
          <w:szCs w:val="21"/>
        </w:rPr>
        <w:t xml:space="preserve">9.6 </w:t>
      </w:r>
      <w:r>
        <w:rPr>
          <w:rFonts w:hint="eastAsia" w:ascii="宋体" w:hAnsi="宋体" w:eastAsia="宋体" w:cs="宋体"/>
          <w:szCs w:val="21"/>
          <w:lang w:val="en-US" w:eastAsia="zh-CN"/>
        </w:rPr>
        <w:t>磋商</w:t>
      </w:r>
      <w:r>
        <w:rPr>
          <w:rFonts w:hint="eastAsia" w:ascii="宋体" w:hAnsi="宋体" w:eastAsia="宋体" w:cs="宋体"/>
          <w:szCs w:val="21"/>
        </w:rPr>
        <w:t>文件的澄清、答复、修改或补充都应该通过本项目采购代理机构以法定形式发布，采购人非通过本机构，不得擅自澄清、答复、修改或补充</w:t>
      </w:r>
      <w:r>
        <w:rPr>
          <w:rFonts w:hint="eastAsia" w:ascii="宋体" w:hAnsi="宋体" w:eastAsia="宋体" w:cs="宋体"/>
          <w:szCs w:val="21"/>
          <w:lang w:val="en-US" w:eastAsia="zh-CN"/>
        </w:rPr>
        <w:t>磋商</w:t>
      </w:r>
      <w:r>
        <w:rPr>
          <w:rFonts w:hint="eastAsia" w:ascii="宋体" w:hAnsi="宋体" w:eastAsia="宋体" w:cs="宋体"/>
          <w:szCs w:val="21"/>
        </w:rPr>
        <w:t>文件。</w:t>
      </w:r>
    </w:p>
    <w:p w14:paraId="2872C1FE">
      <w:pPr>
        <w:pStyle w:val="13"/>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sz w:val="21"/>
          <w:szCs w:val="21"/>
        </w:rPr>
      </w:pPr>
    </w:p>
    <w:p w14:paraId="1242608C">
      <w:pPr>
        <w:pStyle w:val="13"/>
        <w:keepNext w:val="0"/>
        <w:keepLines w:val="0"/>
        <w:pageBreakBefore w:val="0"/>
        <w:widowControl w:val="0"/>
        <w:kinsoku/>
        <w:wordWrap/>
        <w:overflowPunct/>
        <w:topLinePunct w:val="0"/>
        <w:autoSpaceDE/>
        <w:autoSpaceDN/>
        <w:bidi w:val="0"/>
        <w:adjustRightInd w:val="0"/>
        <w:snapToGrid w:val="0"/>
        <w:spacing w:line="400" w:lineRule="atLeast"/>
        <w:jc w:val="center"/>
        <w:outlineLvl w:val="9"/>
        <w:rPr>
          <w:rFonts w:hint="eastAsia" w:ascii="宋体" w:hAnsi="宋体" w:eastAsia="宋体" w:cs="宋体"/>
          <w:b/>
          <w:bCs/>
          <w:sz w:val="24"/>
          <w:szCs w:val="24"/>
        </w:rPr>
      </w:pPr>
      <w:r>
        <w:rPr>
          <w:rFonts w:hint="eastAsia" w:ascii="宋体" w:hAnsi="宋体" w:eastAsia="宋体" w:cs="宋体"/>
          <w:b/>
          <w:bCs/>
          <w:sz w:val="24"/>
          <w:szCs w:val="24"/>
        </w:rPr>
        <w:t>三  响应文件的编制</w:t>
      </w:r>
    </w:p>
    <w:p w14:paraId="37531A03">
      <w:pPr>
        <w:keepNext w:val="0"/>
        <w:keepLines w:val="0"/>
        <w:pageBreakBefore w:val="0"/>
        <w:widowControl w:val="0"/>
        <w:numPr>
          <w:ilvl w:val="0"/>
          <w:numId w:val="10"/>
        </w:numPr>
        <w:kinsoku/>
        <w:wordWrap/>
        <w:overflowPunct/>
        <w:topLinePunct w:val="0"/>
        <w:autoSpaceDE/>
        <w:autoSpaceDN/>
        <w:bidi w:val="0"/>
        <w:adjustRightInd w:val="0"/>
        <w:snapToGrid w:val="0"/>
        <w:spacing w:line="400" w:lineRule="atLeast"/>
        <w:ind w:left="10" w:firstLine="410"/>
        <w:jc w:val="left"/>
        <w:outlineLvl w:val="9"/>
        <w:rPr>
          <w:rFonts w:hint="eastAsia" w:ascii="宋体" w:hAnsi="宋体" w:eastAsia="宋体" w:cs="宋体"/>
          <w:b/>
          <w:bCs/>
          <w:szCs w:val="21"/>
        </w:rPr>
      </w:pPr>
      <w:r>
        <w:rPr>
          <w:rFonts w:hint="eastAsia" w:ascii="宋体" w:hAnsi="宋体" w:eastAsia="宋体" w:cs="宋体"/>
          <w:b/>
          <w:bCs/>
          <w:szCs w:val="21"/>
        </w:rPr>
        <w:t>响应文件编制基本要求</w:t>
      </w:r>
    </w:p>
    <w:p w14:paraId="01AAA618">
      <w:pPr>
        <w:pStyle w:val="13"/>
        <w:keepNext w:val="0"/>
        <w:keepLines w:val="0"/>
        <w:pageBreakBefore w:val="0"/>
        <w:widowControl w:val="0"/>
        <w:kinsoku/>
        <w:wordWrap/>
        <w:overflowPunct/>
        <w:topLinePunct w:val="0"/>
        <w:autoSpaceDE/>
        <w:autoSpaceDN/>
        <w:bidi w:val="0"/>
        <w:adjustRightInd w:val="0"/>
        <w:snapToGrid w:val="0"/>
        <w:spacing w:line="400" w:lineRule="atLeast"/>
        <w:ind w:left="10" w:firstLine="410"/>
        <w:outlineLvl w:val="9"/>
        <w:rPr>
          <w:rFonts w:hint="eastAsia" w:ascii="宋体" w:hAnsi="宋体" w:eastAsia="宋体" w:cs="宋体"/>
          <w:sz w:val="21"/>
          <w:szCs w:val="21"/>
        </w:rPr>
      </w:pPr>
      <w:r>
        <w:rPr>
          <w:rFonts w:hint="eastAsia" w:ascii="宋体" w:hAnsi="宋体" w:eastAsia="宋体" w:cs="宋体"/>
          <w:sz w:val="21"/>
          <w:szCs w:val="21"/>
        </w:rPr>
        <w:t xml:space="preserve">10.1 </w:t>
      </w:r>
      <w:r>
        <w:rPr>
          <w:rFonts w:hint="eastAsia" w:ascii="宋体" w:hAnsi="宋体" w:eastAsia="宋体" w:cs="宋体"/>
          <w:sz w:val="21"/>
          <w:szCs w:val="21"/>
          <w:lang w:val="en-US" w:eastAsia="zh-CN"/>
        </w:rPr>
        <w:t>供应商</w:t>
      </w:r>
      <w:r>
        <w:rPr>
          <w:rFonts w:hint="eastAsia" w:ascii="宋体" w:hAnsi="宋体" w:eastAsia="宋体" w:cs="宋体"/>
          <w:sz w:val="21"/>
          <w:szCs w:val="21"/>
        </w:rPr>
        <w:t>应认真阅读</w:t>
      </w:r>
      <w:r>
        <w:rPr>
          <w:rFonts w:hint="eastAsia" w:ascii="宋体" w:hAnsi="宋体" w:eastAsia="宋体" w:cs="宋体"/>
          <w:sz w:val="21"/>
          <w:szCs w:val="21"/>
          <w:lang w:eastAsia="zh-CN"/>
        </w:rPr>
        <w:t>竞争性</w:t>
      </w:r>
      <w:r>
        <w:rPr>
          <w:rFonts w:hint="eastAsia" w:ascii="宋体" w:hAnsi="宋体" w:eastAsia="宋体" w:cs="宋体"/>
          <w:sz w:val="21"/>
          <w:szCs w:val="21"/>
        </w:rPr>
        <w:t>磋商文件，按照</w:t>
      </w:r>
      <w:r>
        <w:rPr>
          <w:rFonts w:hint="eastAsia" w:ascii="宋体" w:hAnsi="宋体" w:eastAsia="宋体" w:cs="宋体"/>
          <w:sz w:val="21"/>
          <w:szCs w:val="21"/>
          <w:lang w:eastAsia="zh-CN"/>
        </w:rPr>
        <w:t>竞争性</w:t>
      </w:r>
      <w:r>
        <w:rPr>
          <w:rFonts w:hint="eastAsia" w:ascii="宋体" w:hAnsi="宋体" w:eastAsia="宋体" w:cs="宋体"/>
          <w:sz w:val="21"/>
          <w:szCs w:val="21"/>
        </w:rPr>
        <w:t>磋商文件的要求编制响应文件，如果没有按照</w:t>
      </w:r>
      <w:r>
        <w:rPr>
          <w:rFonts w:hint="eastAsia" w:ascii="宋体" w:hAnsi="宋体" w:eastAsia="宋体" w:cs="宋体"/>
          <w:sz w:val="21"/>
          <w:szCs w:val="21"/>
          <w:lang w:eastAsia="zh-CN"/>
        </w:rPr>
        <w:t>竞争性</w:t>
      </w:r>
      <w:r>
        <w:rPr>
          <w:rFonts w:hint="eastAsia" w:ascii="宋体" w:hAnsi="宋体" w:eastAsia="宋体" w:cs="宋体"/>
          <w:sz w:val="21"/>
          <w:szCs w:val="21"/>
        </w:rPr>
        <w:t>磋商文件要求提交响应文件，没有对</w:t>
      </w:r>
      <w:r>
        <w:rPr>
          <w:rFonts w:hint="eastAsia" w:ascii="宋体" w:hAnsi="宋体" w:eastAsia="宋体" w:cs="宋体"/>
          <w:sz w:val="21"/>
          <w:szCs w:val="21"/>
          <w:lang w:eastAsia="zh-CN"/>
        </w:rPr>
        <w:t>竞争性</w:t>
      </w:r>
      <w:r>
        <w:rPr>
          <w:rFonts w:hint="eastAsia" w:ascii="宋体" w:hAnsi="宋体" w:eastAsia="宋体" w:cs="宋体"/>
          <w:sz w:val="21"/>
          <w:szCs w:val="21"/>
        </w:rPr>
        <w:t>磋商文件提出的实质性要求和条件作出响应，磋商小组有权判定为无效响应文件。</w:t>
      </w:r>
    </w:p>
    <w:p w14:paraId="37826F72">
      <w:pPr>
        <w:pStyle w:val="13"/>
        <w:keepNext w:val="0"/>
        <w:keepLines w:val="0"/>
        <w:pageBreakBefore w:val="0"/>
        <w:widowControl w:val="0"/>
        <w:kinsoku/>
        <w:wordWrap/>
        <w:overflowPunct/>
        <w:topLinePunct w:val="0"/>
        <w:autoSpaceDE/>
        <w:autoSpaceDN/>
        <w:bidi w:val="0"/>
        <w:adjustRightInd w:val="0"/>
        <w:snapToGrid w:val="0"/>
        <w:spacing w:line="400" w:lineRule="atLeast"/>
        <w:ind w:left="10" w:firstLine="410"/>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 对竞争性磋商文件提出的实质性要求和条件作出响应是指供应商必须对竞争性磋商文件中涉及磋商项目的价格、技术要求、数量、售后服务及其它要求、合同主要条款等内容作出满足或者优于原要求和条件的承诺。</w:t>
      </w:r>
    </w:p>
    <w:p w14:paraId="264B8DA2">
      <w:pPr>
        <w:pStyle w:val="13"/>
        <w:keepNext w:val="0"/>
        <w:keepLines w:val="0"/>
        <w:pageBreakBefore w:val="0"/>
        <w:widowControl w:val="0"/>
        <w:kinsoku/>
        <w:wordWrap/>
        <w:overflowPunct/>
        <w:topLinePunct w:val="0"/>
        <w:autoSpaceDE/>
        <w:autoSpaceDN/>
        <w:bidi w:val="0"/>
        <w:adjustRightInd w:val="0"/>
        <w:snapToGrid w:val="0"/>
        <w:spacing w:line="400" w:lineRule="atLeast"/>
        <w:ind w:left="10" w:firstLine="410"/>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 响应文件内容不完整、编排混乱导致响应文件被误读、漏读或者查找不到相关内容的，由此印发的后果由供应商承担。</w:t>
      </w:r>
    </w:p>
    <w:p w14:paraId="2E9C1C0B">
      <w:pPr>
        <w:pStyle w:val="13"/>
        <w:keepNext w:val="0"/>
        <w:keepLines w:val="0"/>
        <w:pageBreakBefore w:val="0"/>
        <w:widowControl w:val="0"/>
        <w:kinsoku/>
        <w:wordWrap/>
        <w:overflowPunct/>
        <w:topLinePunct w:val="0"/>
        <w:autoSpaceDE/>
        <w:autoSpaceDN/>
        <w:bidi w:val="0"/>
        <w:adjustRightInd w:val="0"/>
        <w:snapToGrid w:val="0"/>
        <w:spacing w:line="400" w:lineRule="atLeast"/>
        <w:ind w:left="10" w:firstLine="410"/>
        <w:outlineLvl w:val="9"/>
        <w:rPr>
          <w:rFonts w:hint="eastAsia" w:ascii="宋体" w:hAnsi="宋体" w:eastAsia="宋体" w:cs="宋体"/>
          <w:b/>
          <w:bCs/>
          <w:sz w:val="21"/>
          <w:szCs w:val="21"/>
        </w:rPr>
      </w:pPr>
      <w:r>
        <w:rPr>
          <w:rFonts w:hint="eastAsia" w:ascii="宋体" w:hAnsi="宋体" w:eastAsia="宋体" w:cs="宋体"/>
          <w:b/>
          <w:bCs/>
          <w:sz w:val="21"/>
          <w:szCs w:val="21"/>
        </w:rPr>
        <w:t>11、响应文件的组成</w:t>
      </w:r>
    </w:p>
    <w:p w14:paraId="70D39CF4">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szCs w:val="21"/>
        </w:rPr>
      </w:pPr>
      <w:r>
        <w:rPr>
          <w:rFonts w:hint="eastAsia" w:ascii="宋体" w:hAnsi="宋体" w:eastAsia="宋体" w:cs="宋体"/>
          <w:szCs w:val="21"/>
        </w:rPr>
        <w:t>11.1 响应文件应按下列说明编写和提供。供应商递交的所有资料文件的内容应清晰可辨，如供应商上传的电子资料内容不全、字体模糊难以辨认的，由此造成的评审风险，由供应商自行承担。</w:t>
      </w:r>
    </w:p>
    <w:p w14:paraId="658C5F21">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2" w:firstLineChars="200"/>
        <w:textAlignment w:val="auto"/>
        <w:outlineLvl w:val="9"/>
        <w:rPr>
          <w:rFonts w:hint="eastAsia" w:ascii="宋体" w:hAnsi="宋体" w:eastAsia="宋体" w:cs="宋体"/>
          <w:b/>
          <w:bCs/>
          <w:szCs w:val="21"/>
          <w:lang w:eastAsia="zh-CN"/>
        </w:rPr>
      </w:pPr>
      <w:r>
        <w:rPr>
          <w:rFonts w:hint="eastAsia" w:ascii="宋体" w:hAnsi="宋体" w:eastAsia="宋体" w:cs="宋体"/>
          <w:b/>
          <w:bCs/>
          <w:szCs w:val="21"/>
        </w:rPr>
        <w:t>上传的资料文件可以是扫描件或其他电子形式格式的符合广西政府采购云平台上传条件的文件</w:t>
      </w:r>
      <w:r>
        <w:rPr>
          <w:rFonts w:hint="eastAsia" w:ascii="宋体" w:hAnsi="宋体" w:eastAsia="宋体" w:cs="宋体"/>
          <w:b/>
          <w:bCs/>
          <w:szCs w:val="21"/>
          <w:lang w:eastAsia="zh-CN"/>
        </w:rPr>
        <w:t>。</w:t>
      </w:r>
    </w:p>
    <w:p w14:paraId="22938F31">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Cs w:val="21"/>
          <w:lang w:val="en-US" w:eastAsia="zh-CN"/>
        </w:rPr>
        <w:t xml:space="preserve">11.1.1 </w:t>
      </w:r>
      <w:r>
        <w:rPr>
          <w:rFonts w:hint="eastAsia" w:ascii="宋体" w:hAnsi="宋体" w:eastAsia="宋体" w:cs="宋体"/>
          <w:b w:val="0"/>
          <w:bCs w:val="0"/>
          <w:sz w:val="21"/>
          <w:szCs w:val="21"/>
        </w:rPr>
        <w:t>报价文件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详见“供应商须知前附表”</w:t>
      </w:r>
      <w:r>
        <w:rPr>
          <w:rFonts w:hint="eastAsia" w:ascii="宋体" w:hAnsi="宋体" w:eastAsia="宋体" w:cs="宋体"/>
          <w:b w:val="0"/>
          <w:bCs w:val="0"/>
          <w:sz w:val="21"/>
          <w:szCs w:val="21"/>
          <w:lang w:eastAsia="zh-CN"/>
        </w:rPr>
        <w:t>。</w:t>
      </w:r>
    </w:p>
    <w:p w14:paraId="2260B2B9">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11.1.2 </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详见“供应商须知前附表”</w:t>
      </w:r>
      <w:r>
        <w:rPr>
          <w:rFonts w:hint="eastAsia" w:ascii="宋体" w:hAnsi="宋体" w:eastAsia="宋体" w:cs="宋体"/>
          <w:b w:val="0"/>
          <w:bCs w:val="0"/>
          <w:sz w:val="21"/>
          <w:szCs w:val="21"/>
          <w:lang w:eastAsia="zh-CN"/>
        </w:rPr>
        <w:t>。</w:t>
      </w:r>
    </w:p>
    <w:p w14:paraId="14DDDC61">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Cs w:val="21"/>
          <w:lang w:val="en-US" w:eastAsia="zh-CN"/>
        </w:rPr>
        <w:t xml:space="preserve">11.1.3 </w:t>
      </w:r>
      <w:r>
        <w:rPr>
          <w:rFonts w:hint="eastAsia" w:ascii="宋体" w:hAnsi="宋体" w:eastAsia="宋体" w:cs="宋体"/>
          <w:b w:val="0"/>
          <w:bCs w:val="0"/>
          <w:sz w:val="21"/>
          <w:szCs w:val="21"/>
        </w:rPr>
        <w:t>商务技术文件：详见“供应商须知前附表”</w:t>
      </w:r>
      <w:r>
        <w:rPr>
          <w:rFonts w:hint="eastAsia" w:ascii="宋体" w:hAnsi="宋体" w:eastAsia="宋体" w:cs="宋体"/>
          <w:b w:val="0"/>
          <w:bCs w:val="0"/>
          <w:sz w:val="21"/>
          <w:szCs w:val="21"/>
          <w:lang w:eastAsia="zh-CN"/>
        </w:rPr>
        <w:t>。</w:t>
      </w:r>
    </w:p>
    <w:p w14:paraId="4BE53C15">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11.2 响应文件的份数、签字及盖章要求</w:t>
      </w:r>
    </w:p>
    <w:p w14:paraId="21B1EC64">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11.2.1 响应文件份数：见本章须知前附表。</w:t>
      </w:r>
    </w:p>
    <w:p w14:paraId="1E757F23">
      <w:pPr>
        <w:pStyle w:val="13"/>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rPr>
        <w:t>11.2.2 响应文件签字、盖章要求：所有上传的文件均需加盖供应商</w:t>
      </w:r>
      <w:r>
        <w:rPr>
          <w:rFonts w:hint="eastAsia" w:ascii="宋体" w:hAnsi="宋体" w:eastAsia="宋体" w:cs="宋体"/>
          <w:b/>
          <w:bCs/>
          <w:sz w:val="21"/>
          <w:szCs w:val="21"/>
          <w:lang w:val="en-US" w:eastAsia="zh-CN"/>
        </w:rPr>
        <w:t>广西政府采购云平台</w:t>
      </w:r>
      <w:r>
        <w:rPr>
          <w:rFonts w:hint="eastAsia" w:ascii="宋体" w:hAnsi="宋体" w:eastAsia="宋体" w:cs="宋体"/>
          <w:b/>
          <w:bCs/>
          <w:sz w:val="21"/>
          <w:szCs w:val="21"/>
        </w:rPr>
        <w:t>CA电子公章（供应商为自然人时采用</w:t>
      </w:r>
      <w:r>
        <w:rPr>
          <w:rFonts w:hint="eastAsia" w:ascii="宋体" w:hAnsi="宋体" w:eastAsia="宋体" w:cs="宋体"/>
          <w:b/>
          <w:bCs/>
          <w:sz w:val="21"/>
          <w:szCs w:val="21"/>
          <w:lang w:val="en-US" w:eastAsia="zh-CN"/>
        </w:rPr>
        <w:t>广西政府采购云平台</w:t>
      </w:r>
      <w:r>
        <w:rPr>
          <w:rFonts w:hint="eastAsia" w:ascii="宋体" w:hAnsi="宋体" w:eastAsia="宋体" w:cs="宋体"/>
          <w:b/>
          <w:bCs/>
          <w:sz w:val="21"/>
          <w:szCs w:val="21"/>
        </w:rPr>
        <w:t>CA电子签章或电子签名）。如有格式要求的，供应商需按</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文件提供的格式要求签章。如果供应商没有其授权代表的CA电子签章或电子签名的，涉及到供应商其授权代表签字的内容，可以线下签字后上传。</w:t>
      </w:r>
    </w:p>
    <w:p w14:paraId="5D2A8AE6">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bCs/>
          <w:szCs w:val="21"/>
        </w:rPr>
      </w:pPr>
      <w:r>
        <w:rPr>
          <w:rFonts w:hint="eastAsia" w:ascii="宋体" w:hAnsi="宋体" w:eastAsia="宋体" w:cs="宋体"/>
          <w:szCs w:val="21"/>
        </w:rPr>
        <w:t>11.2.3 供应商应写全称，且响应文件中标注的供应商名称应与加盖的公章一致。</w:t>
      </w:r>
    </w:p>
    <w:p w14:paraId="0994DAD6">
      <w:pPr>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11.2.4 响应文件应尽量避免涂改、行间插字或者删除。如果出现上述情况，改动之处应由供应商的法定代表人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eastAsia="宋体" w:cs="宋体"/>
          <w:szCs w:val="21"/>
        </w:rPr>
        <w:t xml:space="preserve">或其委托代理人签字（或者电子签名）或者加盖公章或者电子签章。响应文件因涂改、行间差字或者删除导致字迹潦草或者表达不清所引起的后果由供应商承担。  </w:t>
      </w:r>
    </w:p>
    <w:p w14:paraId="3338C82E">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2" w:firstLineChars="167"/>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12、响应文件的语言及计量</w:t>
      </w:r>
    </w:p>
    <w:p w14:paraId="1B35A1EE">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12.1 响应文件以及供应商与采购代理机构就有关</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事宜的所有来往函电，均应以中文汉语书写。供应商提交的支持文件和印刷的文献可以使用别的语言，但其相应内容必须附有中文翻译文本，在解释响应文件时以中文翻译文本为准。</w:t>
      </w:r>
    </w:p>
    <w:p w14:paraId="6EB72E29">
      <w:pPr>
        <w:pStyle w:val="20"/>
        <w:keepNext w:val="0"/>
        <w:keepLines w:val="0"/>
        <w:pageBreakBefore w:val="0"/>
        <w:widowControl w:val="0"/>
        <w:kinsoku/>
        <w:wordWrap/>
        <w:overflowPunct/>
        <w:topLinePunct w:val="0"/>
        <w:autoSpaceDE/>
        <w:autoSpaceDN/>
        <w:bidi w:val="0"/>
        <w:adjustRightInd w:val="0"/>
        <w:snapToGrid w:val="0"/>
        <w:spacing w:line="400" w:lineRule="atLeast"/>
        <w:ind w:firstLine="350" w:firstLineChars="167"/>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12.2 </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计量单位，</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文件已有明确规定的，使用</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文件规定的计量单位；</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文件没有规定的，应采用中华人民共和国法定计量单位（货币单位：人民币元），否则视同未响应。</w:t>
      </w:r>
    </w:p>
    <w:p w14:paraId="52CC0038">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szCs w:val="21"/>
        </w:rPr>
      </w:pPr>
      <w:r>
        <w:rPr>
          <w:rFonts w:hint="eastAsia" w:ascii="宋体" w:hAnsi="宋体" w:eastAsia="宋体" w:cs="宋体"/>
          <w:b/>
          <w:bCs/>
          <w:szCs w:val="21"/>
        </w:rPr>
        <w:t>13、</w:t>
      </w:r>
      <w:r>
        <w:rPr>
          <w:rFonts w:hint="eastAsia" w:ascii="宋体" w:hAnsi="宋体" w:eastAsia="宋体" w:cs="宋体"/>
          <w:b/>
          <w:bCs/>
          <w:szCs w:val="21"/>
          <w:lang w:val="en-US" w:eastAsia="zh-CN"/>
        </w:rPr>
        <w:t>磋商</w:t>
      </w:r>
      <w:r>
        <w:rPr>
          <w:rFonts w:hint="eastAsia" w:ascii="宋体" w:hAnsi="宋体" w:eastAsia="宋体" w:cs="宋体"/>
          <w:b/>
          <w:szCs w:val="21"/>
        </w:rPr>
        <w:t>报价及采购预算金额</w:t>
      </w:r>
    </w:p>
    <w:p w14:paraId="12D80575">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 xml:space="preserve">13.1 </w:t>
      </w:r>
      <w:r>
        <w:rPr>
          <w:rFonts w:hint="eastAsia" w:ascii="宋体" w:hAnsi="宋体" w:eastAsia="宋体" w:cs="宋体"/>
          <w:color w:val="auto"/>
          <w:spacing w:val="0"/>
          <w:sz w:val="21"/>
          <w:szCs w:val="21"/>
          <w:lang w:val="en-US" w:eastAsia="zh-CN"/>
        </w:rPr>
        <w:t>磋商</w:t>
      </w:r>
      <w:r>
        <w:rPr>
          <w:rFonts w:hint="eastAsia" w:ascii="宋体" w:hAnsi="宋体" w:eastAsia="宋体" w:cs="宋体"/>
          <w:szCs w:val="21"/>
        </w:rPr>
        <w:t>报价应按</w:t>
      </w:r>
      <w:r>
        <w:rPr>
          <w:rFonts w:hint="eastAsia" w:ascii="宋体" w:hAnsi="宋体" w:eastAsia="宋体" w:cs="宋体"/>
          <w:color w:val="auto"/>
          <w:spacing w:val="0"/>
          <w:sz w:val="21"/>
          <w:szCs w:val="21"/>
          <w:lang w:val="en-US" w:eastAsia="zh-CN"/>
        </w:rPr>
        <w:t>磋商</w:t>
      </w:r>
      <w:r>
        <w:rPr>
          <w:rFonts w:hint="eastAsia" w:ascii="宋体" w:hAnsi="宋体" w:eastAsia="宋体" w:cs="宋体"/>
          <w:szCs w:val="21"/>
        </w:rPr>
        <w:t>文件中相关附表格式填写。</w:t>
      </w:r>
    </w:p>
    <w:p w14:paraId="138B60F8">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13.2 本工程报价采用工程量清单计价方式</w:t>
      </w:r>
      <w:r>
        <w:rPr>
          <w:rFonts w:hint="eastAsia" w:ascii="宋体" w:hAnsi="宋体" w:eastAsia="宋体" w:cs="宋体"/>
          <w:szCs w:val="21"/>
          <w:lang w:val="en-US" w:eastAsia="zh-CN"/>
        </w:rPr>
        <w:t>报价</w:t>
      </w:r>
      <w:r>
        <w:rPr>
          <w:rFonts w:hint="eastAsia" w:ascii="宋体" w:hAnsi="宋体" w:eastAsia="宋体" w:cs="宋体"/>
          <w:szCs w:val="21"/>
        </w:rPr>
        <w:t>。施工合同价款采用综合单价固定，工程量按实际结算。</w:t>
      </w:r>
    </w:p>
    <w:p w14:paraId="56DC95EB">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如果供应商的最后报价与首次报价不一致的，不能只报</w:t>
      </w:r>
      <w:r>
        <w:rPr>
          <w:rFonts w:hint="eastAsia" w:ascii="宋体" w:hAnsi="宋体" w:eastAsia="宋体" w:cs="宋体"/>
          <w:b/>
          <w:bCs/>
          <w:color w:val="auto"/>
          <w:szCs w:val="21"/>
          <w:highlight w:val="none"/>
          <w:lang w:val="en-US" w:eastAsia="zh-CN"/>
        </w:rPr>
        <w:t>磋商</w:t>
      </w:r>
      <w:r>
        <w:rPr>
          <w:rFonts w:hint="eastAsia" w:ascii="宋体" w:hAnsi="宋体" w:eastAsia="宋体" w:cs="宋体"/>
          <w:b/>
          <w:bCs/>
          <w:color w:val="auto"/>
          <w:szCs w:val="21"/>
          <w:highlight w:val="none"/>
        </w:rPr>
        <w:t>总报价</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kern w:val="0"/>
          <w:szCs w:val="21"/>
          <w:highlight w:val="none"/>
        </w:rPr>
        <w:t>供应商应预先准备好调整后的已标价工程量清单</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作最终报价时</w:t>
      </w:r>
      <w:r>
        <w:rPr>
          <w:rFonts w:hint="eastAsia" w:ascii="宋体" w:hAnsi="宋体" w:eastAsia="宋体" w:cs="宋体"/>
          <w:b/>
          <w:bCs/>
          <w:color w:val="auto"/>
          <w:szCs w:val="21"/>
          <w:highlight w:val="none"/>
        </w:rPr>
        <w:t>同时提供“已标价工程量清单”，否则做无效响应处理。</w:t>
      </w:r>
    </w:p>
    <w:p w14:paraId="46D1EF2E">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13.3 磋商报价是履行合同的最终价格，包括了为实施和完成合同工程所需的劳务、材料、机械、质检（自检）、安装、缺陷修复、管理、</w:t>
      </w:r>
      <w:r>
        <w:rPr>
          <w:rFonts w:hint="eastAsia" w:ascii="宋体" w:hAnsi="宋体" w:cs="宋体"/>
          <w:color w:val="auto"/>
          <w:szCs w:val="21"/>
          <w:highlight w:val="none"/>
          <w:lang w:val="en-US" w:eastAsia="zh-CN"/>
        </w:rPr>
        <w:t>工程</w:t>
      </w:r>
      <w:r>
        <w:rPr>
          <w:rFonts w:hint="eastAsia" w:ascii="宋体" w:hAnsi="宋体" w:eastAsia="宋体" w:cs="宋体"/>
          <w:color w:val="auto"/>
          <w:szCs w:val="21"/>
          <w:highlight w:val="none"/>
        </w:rPr>
        <w:t>保险</w:t>
      </w:r>
      <w:r>
        <w:rPr>
          <w:rFonts w:hint="eastAsia" w:ascii="宋体" w:hAnsi="宋体" w:cs="宋体"/>
          <w:color w:val="auto"/>
          <w:szCs w:val="21"/>
          <w:highlight w:val="none"/>
          <w:lang w:val="en-US" w:eastAsia="zh-CN"/>
        </w:rPr>
        <w:t>费</w:t>
      </w:r>
      <w:r>
        <w:rPr>
          <w:rFonts w:hint="eastAsia" w:ascii="宋体" w:hAnsi="宋体" w:eastAsia="宋体" w:cs="宋体"/>
          <w:b w:val="0"/>
          <w:bCs w:val="0"/>
          <w:color w:val="auto"/>
          <w:szCs w:val="21"/>
          <w:highlight w:val="none"/>
          <w:lang w:val="en-US" w:eastAsia="zh-CN"/>
        </w:rPr>
        <w:t>、税费、利润等费用，以及合同明示或暗示的所有责任、义务和一般风险。</w:t>
      </w:r>
    </w:p>
    <w:p w14:paraId="2254DD30">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 xml:space="preserve">13.4 </w:t>
      </w:r>
      <w:r>
        <w:rPr>
          <w:rFonts w:hint="eastAsia" w:ascii="宋体" w:hAnsi="宋体" w:eastAsia="宋体" w:cs="宋体"/>
          <w:kern w:val="0"/>
          <w:szCs w:val="21"/>
          <w:lang w:eastAsia="zh-CN"/>
        </w:rPr>
        <w:t>供应商</w:t>
      </w:r>
      <w:r>
        <w:rPr>
          <w:rFonts w:hint="eastAsia" w:ascii="宋体" w:hAnsi="宋体" w:eastAsia="宋体" w:cs="宋体"/>
          <w:kern w:val="0"/>
          <w:szCs w:val="21"/>
        </w:rPr>
        <w:t>所填报的各项基价中的各种材料单价在合同实施期间不因市场价格变化因素而变动，</w:t>
      </w:r>
      <w:r>
        <w:rPr>
          <w:rFonts w:hint="eastAsia" w:ascii="宋体" w:hAnsi="宋体" w:eastAsia="宋体" w:cs="宋体"/>
          <w:kern w:val="0"/>
          <w:szCs w:val="21"/>
          <w:lang w:eastAsia="zh-CN"/>
        </w:rPr>
        <w:t>供应商</w:t>
      </w:r>
      <w:r>
        <w:rPr>
          <w:rFonts w:hint="eastAsia" w:ascii="宋体" w:hAnsi="宋体" w:eastAsia="宋体" w:cs="宋体"/>
          <w:kern w:val="0"/>
          <w:szCs w:val="21"/>
        </w:rPr>
        <w:t>应考虑各种风险因素和自己的承受能力。</w:t>
      </w:r>
    </w:p>
    <w:p w14:paraId="73DE665C">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kern w:val="0"/>
          <w:szCs w:val="21"/>
        </w:rPr>
        <w:t xml:space="preserve">13.5 </w:t>
      </w:r>
      <w:r>
        <w:rPr>
          <w:rFonts w:hint="eastAsia" w:ascii="宋体" w:hAnsi="宋体" w:eastAsia="宋体" w:cs="宋体"/>
          <w:kern w:val="0"/>
          <w:szCs w:val="21"/>
          <w:lang w:val="en-US" w:eastAsia="zh-CN"/>
        </w:rPr>
        <w:t>本项目不接受有任何选择的报价，任何有选择的报价或包含价格调整要求的磋商，将被认为是非响应性磋商而作为无效响应文件处理</w:t>
      </w:r>
      <w:r>
        <w:rPr>
          <w:rFonts w:hint="eastAsia" w:ascii="宋体" w:hAnsi="宋体" w:eastAsia="宋体" w:cs="宋体"/>
          <w:szCs w:val="21"/>
        </w:rPr>
        <w:t>。</w:t>
      </w:r>
    </w:p>
    <w:p w14:paraId="76CF6874">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 xml:space="preserve">13.6 </w:t>
      </w:r>
      <w:r>
        <w:rPr>
          <w:rFonts w:hint="eastAsia" w:ascii="宋体" w:hAnsi="宋体" w:eastAsia="宋体" w:cs="宋体"/>
          <w:szCs w:val="21"/>
          <w:lang w:val="en-US" w:eastAsia="zh-CN"/>
        </w:rPr>
        <w:t>供应商所填报的工程内容如存在有漏项的情况且在评标时被接受，则被认定为该漏项已包含在磋商报价中，成交供应商在工程实施时应按响应文件及经澄清后的结果要求完整提供服务。采购人对其漏报得项目不追加任何工程款</w:t>
      </w:r>
      <w:r>
        <w:rPr>
          <w:rFonts w:hint="eastAsia" w:ascii="宋体" w:hAnsi="宋体" w:eastAsia="宋体" w:cs="宋体"/>
          <w:szCs w:val="21"/>
        </w:rPr>
        <w:t>。</w:t>
      </w:r>
    </w:p>
    <w:p w14:paraId="17FBD9C2">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275" w:firstLineChars="131"/>
        <w:textAlignment w:val="auto"/>
        <w:outlineLvl w:val="9"/>
        <w:rPr>
          <w:rFonts w:hint="eastAsia" w:ascii="宋体" w:hAnsi="宋体" w:eastAsia="宋体" w:cs="宋体"/>
          <w:bCs/>
          <w:sz w:val="21"/>
          <w:szCs w:val="21"/>
          <w:u w:val="single"/>
          <w:lang w:val="en-US" w:eastAsia="zh-CN"/>
        </w:rPr>
      </w:pPr>
      <w:r>
        <w:rPr>
          <w:rFonts w:hint="eastAsia" w:ascii="宋体" w:hAnsi="宋体" w:eastAsia="宋体" w:cs="宋体"/>
          <w:szCs w:val="21"/>
          <w:lang w:val="en-US" w:eastAsia="zh-CN"/>
        </w:rPr>
        <w:t xml:space="preserve">13.7 </w:t>
      </w:r>
      <w:r>
        <w:rPr>
          <w:rFonts w:hint="eastAsia" w:ascii="宋体" w:hAnsi="宋体" w:eastAsia="宋体" w:cs="宋体"/>
          <w:bCs/>
          <w:sz w:val="21"/>
          <w:szCs w:val="21"/>
          <w:u w:val="single"/>
          <w:lang w:val="en-US" w:eastAsia="zh-CN"/>
        </w:rPr>
        <w:t>因涉及变更引起工程项目、工程量变化的，变更合同价款按下列方法进行：</w:t>
      </w:r>
    </w:p>
    <w:p w14:paraId="6AE7112A">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275" w:firstLineChars="131"/>
        <w:textAlignment w:val="auto"/>
        <w:outlineLvl w:val="9"/>
        <w:rPr>
          <w:rFonts w:hint="eastAsia" w:ascii="宋体" w:hAnsi="宋体" w:eastAsia="宋体" w:cs="宋体"/>
          <w:bCs/>
          <w:sz w:val="21"/>
          <w:szCs w:val="21"/>
          <w:u w:val="single"/>
          <w:lang w:val="en-US" w:eastAsia="zh-CN"/>
        </w:rPr>
      </w:pPr>
      <w:r>
        <w:rPr>
          <w:rFonts w:hint="eastAsia" w:ascii="宋体" w:hAnsi="宋体" w:eastAsia="宋体" w:cs="宋体"/>
          <w:bCs/>
          <w:sz w:val="21"/>
          <w:szCs w:val="21"/>
          <w:u w:val="single"/>
          <w:lang w:val="en-US" w:eastAsia="zh-CN"/>
        </w:rPr>
        <w:t>（1）经评审的综合单价固定，按实际工程量结算。</w:t>
      </w:r>
    </w:p>
    <w:p w14:paraId="1CA1FA62">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275" w:firstLineChars="131"/>
        <w:textAlignment w:val="auto"/>
        <w:outlineLvl w:val="9"/>
        <w:rPr>
          <w:rFonts w:hint="eastAsia" w:ascii="宋体" w:hAnsi="宋体" w:eastAsia="宋体" w:cs="宋体"/>
          <w:bCs/>
          <w:sz w:val="21"/>
          <w:szCs w:val="21"/>
          <w:u w:val="single"/>
          <w:lang w:val="en-US" w:eastAsia="zh-CN"/>
        </w:rPr>
      </w:pPr>
      <w:r>
        <w:rPr>
          <w:rFonts w:hint="eastAsia" w:ascii="宋体" w:hAnsi="宋体" w:eastAsia="宋体" w:cs="宋体"/>
          <w:bCs/>
          <w:sz w:val="21"/>
          <w:szCs w:val="21"/>
          <w:u w:val="single"/>
          <w:lang w:val="en-US" w:eastAsia="zh-CN"/>
        </w:rPr>
        <w:t>（2）</w:t>
      </w:r>
      <w:r>
        <w:rPr>
          <w:rFonts w:hint="eastAsia" w:ascii="宋体" w:hAnsi="宋体" w:eastAsia="宋体" w:cs="宋体"/>
          <w:color w:val="000000"/>
          <w:sz w:val="21"/>
          <w:szCs w:val="21"/>
          <w:u w:val="single"/>
        </w:rPr>
        <w:t>增减工程量时，经评审招标的工程量清单，已标价工程量清单中有适用于变更工作的子目的，采用该子目的单价</w:t>
      </w:r>
      <w:r>
        <w:rPr>
          <w:rFonts w:hint="eastAsia" w:ascii="宋体" w:hAnsi="宋体" w:eastAsia="宋体" w:cs="宋体"/>
          <w:bCs/>
          <w:sz w:val="21"/>
          <w:szCs w:val="21"/>
          <w:u w:val="single"/>
          <w:lang w:val="en-US" w:eastAsia="zh-CN"/>
        </w:rPr>
        <w:t>。</w:t>
      </w:r>
    </w:p>
    <w:p w14:paraId="6E858965">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275" w:firstLineChars="131"/>
        <w:textAlignment w:val="auto"/>
        <w:outlineLvl w:val="9"/>
        <w:rPr>
          <w:rFonts w:hint="eastAsia" w:ascii="宋体" w:hAnsi="宋体" w:eastAsia="宋体" w:cs="宋体"/>
          <w:color w:val="000000"/>
          <w:sz w:val="21"/>
          <w:szCs w:val="21"/>
          <w:u w:val="single"/>
          <w:lang w:eastAsia="zh-CN"/>
        </w:rPr>
      </w:pPr>
      <w:r>
        <w:rPr>
          <w:rFonts w:hint="eastAsia" w:ascii="宋体" w:hAnsi="宋体" w:eastAsia="宋体" w:cs="宋体"/>
          <w:bCs/>
          <w:sz w:val="21"/>
          <w:szCs w:val="21"/>
          <w:u w:val="single"/>
          <w:lang w:val="en-US" w:eastAsia="zh-CN"/>
        </w:rPr>
        <w:t>（3）</w:t>
      </w:r>
      <w:r>
        <w:rPr>
          <w:rFonts w:hint="eastAsia" w:ascii="宋体" w:hAnsi="宋体" w:eastAsia="宋体" w:cs="宋体"/>
          <w:color w:val="000000"/>
          <w:sz w:val="21"/>
          <w:szCs w:val="21"/>
          <w:u w:val="single"/>
        </w:rPr>
        <w:t>增减工程量时，经评审招标的工程量清单，已标价工程量清单中无适用于变更工作的子目，但有类似子目的，可在合理范围内参照类似子目的单价，由发包人确定变更工作的单价</w:t>
      </w:r>
      <w:r>
        <w:rPr>
          <w:rFonts w:hint="eastAsia" w:ascii="宋体" w:hAnsi="宋体" w:eastAsia="宋体" w:cs="宋体"/>
          <w:color w:val="000000"/>
          <w:sz w:val="21"/>
          <w:szCs w:val="21"/>
          <w:u w:val="single"/>
          <w:lang w:eastAsia="zh-CN"/>
        </w:rPr>
        <w:t>。</w:t>
      </w:r>
    </w:p>
    <w:p w14:paraId="24AD0BD6">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275" w:firstLineChars="131"/>
        <w:textAlignment w:val="auto"/>
        <w:outlineLvl w:val="9"/>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lang w:val="en-US" w:eastAsia="zh-CN"/>
        </w:rPr>
        <w:t>4</w:t>
      </w:r>
      <w:r>
        <w:rPr>
          <w:rFonts w:hint="eastAsia" w:ascii="宋体" w:hAnsi="宋体" w:eastAsia="宋体" w:cs="宋体"/>
          <w:color w:val="000000"/>
          <w:sz w:val="21"/>
          <w:szCs w:val="21"/>
          <w:u w:val="single"/>
          <w:lang w:eastAsia="zh-CN"/>
        </w:rPr>
        <w:t>）经评审招标的工程量清单，中标报价无适用或类似子目的单价，按预算定额计算出预算价，材料价格参照《梧州市建设工程造价信息》和采购人提供的材料价；《梧州市建设工程造价信息》缺项，由</w:t>
      </w:r>
      <w:r>
        <w:rPr>
          <w:rFonts w:hint="eastAsia" w:hAnsi="宋体" w:cs="宋体"/>
          <w:color w:val="000000"/>
          <w:sz w:val="21"/>
          <w:szCs w:val="21"/>
          <w:u w:val="single"/>
          <w:lang w:val="en-US" w:eastAsia="zh-CN"/>
        </w:rPr>
        <w:t>供应商</w:t>
      </w:r>
      <w:r>
        <w:rPr>
          <w:rFonts w:hint="eastAsia" w:ascii="宋体" w:hAnsi="宋体" w:eastAsia="宋体" w:cs="宋体"/>
          <w:color w:val="000000"/>
          <w:sz w:val="21"/>
          <w:szCs w:val="21"/>
          <w:u w:val="single"/>
          <w:lang w:eastAsia="zh-CN"/>
        </w:rPr>
        <w:t>自行调查询价，最终以市财政评审审核确定。并下浮15%得出增减造价。</w:t>
      </w:r>
    </w:p>
    <w:p w14:paraId="50B0DEA5">
      <w:pPr>
        <w:pStyle w:val="10"/>
        <w:keepNext w:val="0"/>
        <w:keepLines w:val="0"/>
        <w:pageBreakBefore w:val="0"/>
        <w:widowControl w:val="0"/>
        <w:kinsoku/>
        <w:wordWrap/>
        <w:overflowPunct/>
        <w:topLinePunct w:val="0"/>
        <w:autoSpaceDE/>
        <w:autoSpaceDN/>
        <w:bidi w:val="0"/>
        <w:adjustRightInd w:val="0"/>
        <w:snapToGrid w:val="0"/>
        <w:spacing w:line="420" w:lineRule="atLeast"/>
        <w:ind w:left="0" w:leftChars="0" w:firstLine="275" w:firstLineChars="131"/>
        <w:textAlignment w:val="auto"/>
        <w:outlineLvl w:val="9"/>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lang w:val="en-US" w:eastAsia="zh-CN"/>
        </w:rPr>
        <w:t>5</w:t>
      </w: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rPr>
        <w:t>变更的增加工程审核和审批要求：按梧州市人民政府《关于进一步规范市本级政府投资项目资金管理有关事项的通知》 （梧政发【2018】28号）及有关文件办理。如实施过程中，设计变更增加工程不按规定未经有关部门审批就实施，造成日后结算梧州市财政局不予以确认的一切责任，由承包人承担</w:t>
      </w:r>
      <w:r>
        <w:rPr>
          <w:rFonts w:hint="eastAsia" w:ascii="宋体" w:hAnsi="宋体" w:eastAsia="宋体" w:cs="宋体"/>
          <w:color w:val="000000"/>
          <w:sz w:val="21"/>
          <w:szCs w:val="21"/>
          <w:u w:val="single"/>
          <w:lang w:eastAsia="zh-CN"/>
        </w:rPr>
        <w:t>。</w:t>
      </w:r>
    </w:p>
    <w:p w14:paraId="7A24C0E8">
      <w:pPr>
        <w:pStyle w:val="21"/>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13.8 供应商应认真填写工程量清单中所有各细目的单价和合价，填写工程量清单时应注意：</w:t>
      </w:r>
    </w:p>
    <w:p w14:paraId="1B6429AB">
      <w:pPr>
        <w:pStyle w:val="21"/>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outlineLvl w:val="9"/>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（1）有工程数量的应报单价和合价。</w:t>
      </w:r>
    </w:p>
    <w:p w14:paraId="17C4B2C0">
      <w:pPr>
        <w:pStyle w:val="21"/>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outlineLvl w:val="9"/>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（2）无工程数量的项目不报价（或只报单价不报总价）。</w:t>
      </w:r>
    </w:p>
    <w:p w14:paraId="4A21A39A">
      <w:pPr>
        <w:pStyle w:val="21"/>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textAlignment w:val="auto"/>
        <w:outlineLvl w:val="9"/>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3）磋商时，采购人要求报价的细目，供应商没有填入单价或总额价的细目，其费用应视为已分配在工程量清单的其它单价或总额价中，承包人必须按监理工程师的指令完成工程量清单中未填入单价或总额价的工程细目，但不能得到支付与结算。</w:t>
      </w:r>
    </w:p>
    <w:p w14:paraId="04C227C6">
      <w:pPr>
        <w:pStyle w:val="21"/>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4）供应商在进行工程量清单磋商时，应按照采购人的工程量清单进行报价。供应商对自己所填写的项目编码、项目名称、项目特征、计量单位、工程数量负责。如项目编码、项目名称、项目特征、计量单位、工程数量与采购人提供的无法一一对应，该清单项目作废，该清单项目的费用视为包含在其他清单中；如作废的清单项目达到3项以上（不含本数）或作废的清单项目造价累计超过单位工程</w:t>
      </w:r>
      <w:r>
        <w:rPr>
          <w:rFonts w:hint="eastAsia" w:ascii="宋体" w:hAnsi="宋体" w:cs="宋体"/>
          <w:color w:val="000000"/>
          <w:sz w:val="21"/>
          <w:szCs w:val="21"/>
          <w:u w:val="single"/>
          <w:lang w:val="en-US" w:eastAsia="zh-CN"/>
        </w:rPr>
        <w:t>竞标</w:t>
      </w:r>
      <w:r>
        <w:rPr>
          <w:rFonts w:hint="eastAsia" w:ascii="宋体" w:hAnsi="宋体" w:eastAsia="宋体" w:cs="宋体"/>
          <w:color w:val="000000"/>
          <w:sz w:val="21"/>
          <w:szCs w:val="21"/>
          <w:u w:val="single"/>
          <w:lang w:val="en-US" w:eastAsia="zh-CN"/>
        </w:rPr>
        <w:t>报价的2%（不含本数），视为不响应竞争性磋商文件实质性内容，作废标处理。</w:t>
      </w:r>
    </w:p>
    <w:p w14:paraId="4D6A036F">
      <w:pPr>
        <w:pStyle w:val="21"/>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13.9 采购人所提供的工程量清单，应认为已包括成本工程的所有项目。凡工程量清单所示工程所必不可少的附属工程、相关工程、衔接与后续工程所需的费用，供应商应计入相关项目的单价中。承包人的临时占地（含预制厂、料厂、拌和站、借弃土场、项目部驻地等）租用费（含拆迁补偿）、临时用地的环保、恢复及所有临时性占地的青苗补偿及地面附着物发生的服用均由承包人负责；由于承包人原因引起工期延长造成承包人临时占地的租用费增加由承包人负责。以上费用在磋商报价中自行考虑。</w:t>
      </w:r>
    </w:p>
    <w:p w14:paraId="0821CBBB">
      <w:pPr>
        <w:pStyle w:val="21"/>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textAlignment w:val="auto"/>
        <w:outlineLvl w:val="9"/>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14、编制依据</w:t>
      </w:r>
    </w:p>
    <w:p w14:paraId="2904094E">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14.1 </w:t>
      </w:r>
      <w:r>
        <w:rPr>
          <w:rFonts w:hint="eastAsia" w:ascii="宋体" w:hAnsi="宋体" w:cs="宋体"/>
          <w:b w:val="0"/>
          <w:bCs w:val="0"/>
          <w:color w:val="auto"/>
          <w:szCs w:val="21"/>
          <w:highlight w:val="none"/>
          <w:lang w:val="en-US" w:eastAsia="zh-CN"/>
        </w:rPr>
        <w:t>广西壮族自治区文物局关于《梧州中山纪念堂保护修缮工程设计方案》的批复（桂文旅复[2025]60号）</w:t>
      </w:r>
      <w:r>
        <w:rPr>
          <w:rFonts w:hint="eastAsia" w:ascii="宋体" w:hAnsi="宋体" w:eastAsia="宋体" w:cs="宋体"/>
          <w:b w:val="0"/>
          <w:bCs w:val="0"/>
          <w:color w:val="auto"/>
          <w:szCs w:val="21"/>
          <w:highlight w:val="none"/>
          <w:lang w:val="en-US" w:eastAsia="zh-CN"/>
        </w:rPr>
        <w:t>；</w:t>
      </w:r>
    </w:p>
    <w:p w14:paraId="52FAD389">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14.2 </w:t>
      </w:r>
      <w:r>
        <w:rPr>
          <w:rFonts w:hint="eastAsia" w:ascii="宋体" w:hAnsi="宋体" w:cs="宋体"/>
          <w:b w:val="0"/>
          <w:bCs w:val="0"/>
          <w:color w:val="auto"/>
          <w:szCs w:val="21"/>
          <w:highlight w:val="none"/>
          <w:lang w:val="en-US" w:eastAsia="zh-CN"/>
        </w:rPr>
        <w:t>财政部、国家文物局关于印发《国家文物保护资金管理办法》（财教[2023]279号）、《国家重点文物保护专项补助资金项目预（概）算编制规范》</w:t>
      </w:r>
      <w:r>
        <w:rPr>
          <w:rFonts w:hint="eastAsia" w:ascii="宋体" w:hAnsi="宋体" w:eastAsia="宋体" w:cs="宋体"/>
          <w:b w:val="0"/>
          <w:bCs w:val="0"/>
          <w:color w:val="auto"/>
          <w:szCs w:val="21"/>
          <w:highlight w:val="none"/>
          <w:lang w:val="en-US" w:eastAsia="zh-CN"/>
        </w:rPr>
        <w:t>；</w:t>
      </w:r>
    </w:p>
    <w:p w14:paraId="47DE4CA2">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14.3 </w:t>
      </w:r>
      <w:r>
        <w:rPr>
          <w:rFonts w:hint="eastAsia" w:ascii="宋体" w:hAnsi="宋体" w:cs="宋体"/>
          <w:b w:val="0"/>
          <w:bCs w:val="0"/>
          <w:color w:val="auto"/>
          <w:szCs w:val="21"/>
          <w:highlight w:val="none"/>
          <w:lang w:val="en-US" w:eastAsia="zh-CN"/>
        </w:rPr>
        <w:t>《广西壮族自治区古建筑修缮工程消耗量及费用定额》（2019）、《广西壮族自治区仿古建筑工程消耗量定额》（2013）、《广西壮族自治区园林绿化工程消耗量定额》（2013）、《广西建筑装饰装修工程消耗量定额》（2013）、《广西壮族自治区安装工程费用定额》（2017）、《全国统一房屋修缮工程预算定额（古建筑分册）广西单位估价表》、《桂建标[2018]19号关于调整建设工程定额人工费及有关费率的通知》和《关于广西壮族自治区文物保护项目人工费审核原则的说明》</w:t>
      </w:r>
      <w:r>
        <w:rPr>
          <w:rFonts w:hint="eastAsia" w:ascii="宋体" w:hAnsi="宋体" w:eastAsia="宋体" w:cs="宋体"/>
          <w:b w:val="0"/>
          <w:bCs w:val="0"/>
          <w:color w:val="auto"/>
          <w:szCs w:val="21"/>
          <w:highlight w:val="none"/>
          <w:lang w:val="en-US" w:eastAsia="zh-CN"/>
        </w:rPr>
        <w:t>；</w:t>
      </w:r>
    </w:p>
    <w:p w14:paraId="385DE029">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14.4 </w:t>
      </w:r>
      <w:r>
        <w:rPr>
          <w:rFonts w:hint="eastAsia" w:ascii="宋体" w:hAnsi="宋体" w:cs="宋体"/>
          <w:b w:val="0"/>
          <w:bCs w:val="0"/>
          <w:color w:val="auto"/>
          <w:szCs w:val="21"/>
          <w:highlight w:val="none"/>
          <w:lang w:val="en-US" w:eastAsia="zh-CN"/>
        </w:rPr>
        <w:t>《关于做好建筑业营改增建设工程计价依据调整准备工作的通知》（建办标[2016]4号）、《关于全面推开营业税改征增值税试点的通知》（财税[2016]36号）、《关于建筑业增值税计价政策调整的通知》（建办标函[2019]193号）</w:t>
      </w:r>
      <w:r>
        <w:rPr>
          <w:rFonts w:hint="eastAsia" w:ascii="宋体" w:hAnsi="宋体" w:eastAsia="宋体" w:cs="宋体"/>
          <w:b w:val="0"/>
          <w:bCs w:val="0"/>
          <w:color w:val="auto"/>
          <w:szCs w:val="21"/>
          <w:highlight w:val="none"/>
          <w:lang w:val="en-US" w:eastAsia="zh-CN"/>
        </w:rPr>
        <w:t>；</w:t>
      </w:r>
    </w:p>
    <w:p w14:paraId="5D96B3B3">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14.5 </w:t>
      </w:r>
      <w:r>
        <w:rPr>
          <w:rFonts w:hint="eastAsia" w:ascii="宋体" w:hAnsi="宋体" w:cs="宋体"/>
          <w:b w:val="0"/>
          <w:bCs w:val="0"/>
          <w:color w:val="auto"/>
          <w:szCs w:val="21"/>
          <w:highlight w:val="none"/>
          <w:lang w:val="en-US" w:eastAsia="zh-CN"/>
        </w:rPr>
        <w:t>济南齐鲁园林古建筑工程公司编制的《梧州中山纪念堂修缮工程设计方案》</w:t>
      </w:r>
      <w:r>
        <w:rPr>
          <w:rFonts w:hint="eastAsia" w:ascii="宋体" w:hAnsi="宋体" w:eastAsia="宋体" w:cs="宋体"/>
          <w:b w:val="0"/>
          <w:bCs w:val="0"/>
          <w:color w:val="auto"/>
          <w:szCs w:val="21"/>
          <w:highlight w:val="none"/>
          <w:lang w:val="en-US" w:eastAsia="zh-CN"/>
        </w:rPr>
        <w:t>；</w:t>
      </w:r>
    </w:p>
    <w:p w14:paraId="55630A51">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14.</w:t>
      </w: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 xml:space="preserve"> </w:t>
      </w:r>
      <w:r>
        <w:rPr>
          <w:rFonts w:hint="eastAsia" w:ascii="宋体" w:hAnsi="宋体" w:cs="宋体"/>
          <w:color w:val="auto"/>
          <w:szCs w:val="21"/>
          <w:highlight w:val="none"/>
        </w:rPr>
        <w:t>本项目的增值税计税方法见“供应商须知前附表”</w:t>
      </w:r>
      <w:r>
        <w:rPr>
          <w:rFonts w:hint="eastAsia" w:ascii="宋体" w:hAnsi="宋体" w:eastAsia="宋体" w:cs="宋体"/>
          <w:b w:val="0"/>
          <w:bCs w:val="0"/>
          <w:color w:val="auto"/>
          <w:szCs w:val="21"/>
          <w:highlight w:val="none"/>
          <w:lang w:val="en-US" w:eastAsia="zh-CN"/>
        </w:rPr>
        <w:t>。</w:t>
      </w:r>
    </w:p>
    <w:p w14:paraId="28C5FD14">
      <w:pPr>
        <w:keepNext w:val="0"/>
        <w:keepLines w:val="0"/>
        <w:pageBreakBefore w:val="0"/>
        <w:widowControl w:val="0"/>
        <w:tabs>
          <w:tab w:val="left" w:pos="2190"/>
        </w:tabs>
        <w:kinsoku/>
        <w:wordWrap/>
        <w:overflowPunct/>
        <w:topLinePunct w:val="0"/>
        <w:autoSpaceDE/>
        <w:autoSpaceDN/>
        <w:bidi w:val="0"/>
        <w:adjustRightInd w:val="0"/>
        <w:snapToGrid w:val="0"/>
        <w:spacing w:line="400" w:lineRule="atLeast"/>
        <w:ind w:firstLine="422" w:firstLineChars="200"/>
        <w:textAlignment w:val="auto"/>
        <w:outlineLvl w:val="9"/>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14.7 说明：本项目工程保险费（含建工一切险、第三者责任险、安责险等）已包含在最高限价中，供应商应将该费用综合考虑在投标总价、综合单价或措施项目费中，不另列项计算。</w:t>
      </w:r>
    </w:p>
    <w:p w14:paraId="162ABA43">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szCs w:val="21"/>
          <w:lang w:val="en-US" w:eastAsia="zh-CN"/>
        </w:rPr>
      </w:pPr>
      <w:r>
        <w:rPr>
          <w:rFonts w:hint="eastAsia" w:ascii="宋体" w:hAnsi="宋体" w:eastAsia="宋体" w:cs="宋体"/>
          <w:b/>
          <w:szCs w:val="21"/>
        </w:rPr>
        <w:t>1</w:t>
      </w:r>
      <w:r>
        <w:rPr>
          <w:rFonts w:hint="eastAsia" w:ascii="宋体" w:hAnsi="宋体" w:eastAsia="宋体" w:cs="宋体"/>
          <w:b/>
          <w:szCs w:val="21"/>
          <w:lang w:val="en-US" w:eastAsia="zh-CN"/>
        </w:rPr>
        <w:t>5</w:t>
      </w:r>
      <w:r>
        <w:rPr>
          <w:rFonts w:hint="eastAsia" w:ascii="宋体" w:hAnsi="宋体" w:eastAsia="宋体" w:cs="宋体"/>
          <w:b/>
          <w:szCs w:val="21"/>
        </w:rPr>
        <w:t>、</w:t>
      </w:r>
      <w:r>
        <w:rPr>
          <w:rFonts w:hint="eastAsia" w:ascii="宋体" w:hAnsi="宋体" w:eastAsia="宋体" w:cs="宋体"/>
          <w:b/>
          <w:szCs w:val="21"/>
          <w:lang w:val="en-US" w:eastAsia="zh-CN"/>
        </w:rPr>
        <w:t>磋商有效期及磋商保证金（如有）</w:t>
      </w:r>
    </w:p>
    <w:p w14:paraId="330D6A3B">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.1 按供应商须知前附表规定的</w:t>
      </w:r>
      <w:r>
        <w:rPr>
          <w:rFonts w:hint="eastAsia" w:ascii="宋体" w:hAnsi="宋体" w:eastAsia="宋体" w:cs="宋体"/>
          <w:szCs w:val="21"/>
          <w:lang w:val="en-US" w:eastAsia="zh-CN"/>
        </w:rPr>
        <w:t>磋商有效期</w:t>
      </w:r>
      <w:r>
        <w:rPr>
          <w:rFonts w:hint="eastAsia" w:ascii="宋体" w:hAnsi="宋体" w:eastAsia="宋体" w:cs="宋体"/>
          <w:szCs w:val="21"/>
        </w:rPr>
        <w:t>，有效期不足的响应文件将被拒绝。（成交人的响应文件有效期自首次响应文件提交截止之日起至合同履行完毕止均应保持有效。）</w:t>
      </w:r>
    </w:p>
    <w:p w14:paraId="5FF82375">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 xml:space="preserve">.2 出现特殊情况下，需要延长响应有效期的，采购代理机构以书面形式通知所有供应商延长响应有效期。供应商同意延长，但不能修改响应文件。供应商拒绝延长的，其响应文件无效。 </w:t>
      </w:r>
    </w:p>
    <w:p w14:paraId="55AEDC31">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 xml:space="preserve">.3 </w:t>
      </w:r>
      <w:r>
        <w:rPr>
          <w:rFonts w:hint="eastAsia" w:ascii="宋体" w:hAnsi="宋体" w:eastAsia="宋体" w:cs="宋体"/>
          <w:szCs w:val="21"/>
          <w:lang w:val="en-US" w:eastAsia="zh-CN"/>
        </w:rPr>
        <w:t>磋商</w:t>
      </w:r>
      <w:r>
        <w:rPr>
          <w:rFonts w:hint="eastAsia" w:ascii="宋体" w:hAnsi="宋体" w:eastAsia="宋体" w:cs="宋体"/>
          <w:szCs w:val="21"/>
        </w:rPr>
        <w:t>保证金金额</w:t>
      </w:r>
      <w:bookmarkStart w:id="13" w:name="OLE_LINK10"/>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bookmarkEnd w:id="13"/>
      <w:r>
        <w:rPr>
          <w:rFonts w:hint="eastAsia" w:ascii="宋体" w:hAnsi="宋体" w:eastAsia="宋体" w:cs="宋体"/>
          <w:szCs w:val="21"/>
        </w:rPr>
        <w:t>为：见本章须知前附表。</w:t>
      </w:r>
    </w:p>
    <w:p w14:paraId="451A3E05">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 xml:space="preserve">.4 </w:t>
      </w:r>
      <w:r>
        <w:rPr>
          <w:rFonts w:hint="eastAsia" w:ascii="宋体" w:hAnsi="宋体" w:eastAsia="宋体" w:cs="宋体"/>
          <w:szCs w:val="21"/>
          <w:lang w:val="en-US" w:eastAsia="zh-CN"/>
        </w:rPr>
        <w:t>磋商</w:t>
      </w:r>
      <w:r>
        <w:rPr>
          <w:rFonts w:hint="eastAsia" w:ascii="宋体" w:hAnsi="宋体" w:eastAsia="宋体" w:cs="宋体"/>
          <w:szCs w:val="21"/>
        </w:rPr>
        <w:t>保证金</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递交方式：见本章须知前附表。</w:t>
      </w:r>
    </w:p>
    <w:p w14:paraId="0F6B466F">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.5 对未按</w:t>
      </w:r>
      <w:r>
        <w:rPr>
          <w:rFonts w:hint="eastAsia" w:ascii="宋体" w:hAnsi="宋体" w:eastAsia="宋体" w:cs="宋体"/>
          <w:szCs w:val="21"/>
          <w:lang w:val="en-US" w:eastAsia="zh-CN"/>
        </w:rPr>
        <w:t>磋商</w:t>
      </w:r>
      <w:r>
        <w:rPr>
          <w:rFonts w:hint="eastAsia" w:ascii="宋体" w:hAnsi="宋体" w:eastAsia="宋体" w:cs="宋体"/>
          <w:szCs w:val="21"/>
        </w:rPr>
        <w:t>文件要求交纳</w:t>
      </w:r>
      <w:r>
        <w:rPr>
          <w:rFonts w:hint="eastAsia" w:ascii="宋体" w:hAnsi="宋体" w:eastAsia="宋体" w:cs="宋体"/>
          <w:szCs w:val="21"/>
          <w:lang w:val="en-US" w:eastAsia="zh-CN"/>
        </w:rPr>
        <w:t>磋商</w:t>
      </w:r>
      <w:r>
        <w:rPr>
          <w:rFonts w:hint="eastAsia" w:ascii="宋体" w:hAnsi="宋体" w:eastAsia="宋体" w:cs="宋体"/>
          <w:szCs w:val="21"/>
        </w:rPr>
        <w:t>保证金</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的响应文件，</w:t>
      </w:r>
      <w:r>
        <w:rPr>
          <w:rFonts w:hint="eastAsia" w:ascii="宋体" w:hAnsi="宋体" w:eastAsia="宋体" w:cs="宋体"/>
          <w:szCs w:val="21"/>
          <w:lang w:val="en-US" w:eastAsia="zh-CN"/>
        </w:rPr>
        <w:t>磋商小组</w:t>
      </w:r>
      <w:r>
        <w:rPr>
          <w:rFonts w:hint="eastAsia" w:ascii="宋体" w:hAnsi="宋体" w:eastAsia="宋体" w:cs="宋体"/>
          <w:szCs w:val="21"/>
        </w:rPr>
        <w:t>将视其为不响应</w:t>
      </w:r>
      <w:r>
        <w:rPr>
          <w:rFonts w:hint="eastAsia" w:ascii="宋体" w:hAnsi="宋体" w:eastAsia="宋体" w:cs="宋体"/>
          <w:szCs w:val="21"/>
          <w:lang w:val="en-US" w:eastAsia="zh-CN"/>
        </w:rPr>
        <w:t>磋商</w:t>
      </w:r>
      <w:r>
        <w:rPr>
          <w:rFonts w:hint="eastAsia" w:ascii="宋体" w:hAnsi="宋体" w:eastAsia="宋体" w:cs="宋体"/>
          <w:szCs w:val="21"/>
        </w:rPr>
        <w:t>条件而予以拒绝。</w:t>
      </w:r>
    </w:p>
    <w:p w14:paraId="11EF2F48">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szCs w:val="21"/>
        </w:rPr>
      </w:pPr>
      <w:r>
        <w:rPr>
          <w:rFonts w:hint="eastAsia" w:ascii="宋体" w:hAnsi="宋体" w:eastAsia="宋体" w:cs="宋体"/>
          <w:b w:val="0"/>
          <w:bCs/>
          <w:szCs w:val="21"/>
        </w:rPr>
        <w:t>1</w:t>
      </w:r>
      <w:r>
        <w:rPr>
          <w:rFonts w:hint="eastAsia" w:ascii="宋体" w:hAnsi="宋体" w:eastAsia="宋体" w:cs="宋体"/>
          <w:b w:val="0"/>
          <w:bCs/>
          <w:szCs w:val="21"/>
          <w:lang w:val="en-US" w:eastAsia="zh-CN"/>
        </w:rPr>
        <w:t>5</w:t>
      </w:r>
      <w:r>
        <w:rPr>
          <w:rFonts w:hint="eastAsia" w:ascii="宋体" w:hAnsi="宋体" w:eastAsia="宋体" w:cs="宋体"/>
          <w:b w:val="0"/>
          <w:bCs/>
          <w:szCs w:val="21"/>
        </w:rPr>
        <w:t xml:space="preserve">.6 </w:t>
      </w:r>
      <w:r>
        <w:rPr>
          <w:rFonts w:hint="eastAsia" w:ascii="宋体" w:hAnsi="宋体" w:eastAsia="宋体" w:cs="宋体"/>
          <w:b w:val="0"/>
          <w:bCs/>
          <w:szCs w:val="21"/>
          <w:lang w:val="en-US" w:eastAsia="zh-CN"/>
        </w:rPr>
        <w:t>磋商</w:t>
      </w:r>
      <w:r>
        <w:rPr>
          <w:rFonts w:hint="eastAsia" w:ascii="宋体" w:hAnsi="宋体" w:eastAsia="宋体" w:cs="宋体"/>
          <w:b w:val="0"/>
          <w:bCs/>
          <w:szCs w:val="21"/>
        </w:rPr>
        <w:t>保证金</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b w:val="0"/>
          <w:bCs/>
          <w:szCs w:val="21"/>
        </w:rPr>
        <w:t>的退付</w:t>
      </w:r>
    </w:p>
    <w:p w14:paraId="10D75A11">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.6.1 未成交的供应商的</w:t>
      </w:r>
      <w:r>
        <w:rPr>
          <w:rFonts w:hint="eastAsia" w:ascii="宋体" w:hAnsi="宋体" w:eastAsia="宋体" w:cs="宋体"/>
          <w:b w:val="0"/>
          <w:bCs/>
          <w:szCs w:val="21"/>
          <w:lang w:val="en-US" w:eastAsia="zh-CN"/>
        </w:rPr>
        <w:t>磋商</w:t>
      </w:r>
      <w:r>
        <w:rPr>
          <w:rFonts w:hint="eastAsia" w:ascii="宋体" w:hAnsi="宋体" w:eastAsia="宋体" w:cs="宋体"/>
          <w:szCs w:val="21"/>
        </w:rPr>
        <w:t>保证金</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，将在成交结果公告期届满后</w:t>
      </w:r>
      <w:r>
        <w:rPr>
          <w:rFonts w:hint="eastAsia" w:ascii="宋体" w:hAnsi="宋体" w:eastAsia="宋体" w:cs="宋体"/>
          <w:szCs w:val="21"/>
          <w:lang w:val="en-US" w:eastAsia="zh-CN"/>
        </w:rPr>
        <w:t>5</w:t>
      </w:r>
      <w:r>
        <w:rPr>
          <w:rFonts w:hint="eastAsia" w:ascii="宋体" w:hAnsi="宋体" w:eastAsia="宋体" w:cs="宋体"/>
          <w:szCs w:val="21"/>
        </w:rPr>
        <w:t>个工作日内以原缴交方式不计利息予以退还，但因供应商自身原因导致无法及时退还的情况除外。</w:t>
      </w:r>
    </w:p>
    <w:p w14:paraId="3E40F314">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.6.2 对成交人提交的</w:t>
      </w:r>
      <w:r>
        <w:rPr>
          <w:rFonts w:hint="eastAsia" w:ascii="宋体" w:hAnsi="宋体" w:eastAsia="宋体" w:cs="宋体"/>
          <w:szCs w:val="21"/>
          <w:lang w:val="en-US" w:eastAsia="zh-CN"/>
        </w:rPr>
        <w:t>磋商</w:t>
      </w:r>
      <w:r>
        <w:rPr>
          <w:rFonts w:hint="eastAsia" w:ascii="宋体" w:hAnsi="宋体" w:eastAsia="宋体" w:cs="宋体"/>
          <w:szCs w:val="21"/>
        </w:rPr>
        <w:t>保证金</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应当于政府采购合同签订之日起</w:t>
      </w:r>
      <w:r>
        <w:rPr>
          <w:rFonts w:hint="eastAsia" w:ascii="宋体" w:hAnsi="宋体" w:eastAsia="宋体" w:cs="宋体"/>
          <w:szCs w:val="21"/>
          <w:lang w:val="en-US" w:eastAsia="zh-CN"/>
        </w:rPr>
        <w:t>5</w:t>
      </w:r>
      <w:r>
        <w:rPr>
          <w:rFonts w:hint="eastAsia" w:ascii="宋体" w:hAnsi="宋体" w:eastAsia="宋体" w:cs="宋体"/>
          <w:szCs w:val="21"/>
        </w:rPr>
        <w:t>个工作日内退回。</w:t>
      </w:r>
    </w:p>
    <w:p w14:paraId="4595DBCD">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.6.3 有下列情形之一时，</w:t>
      </w:r>
      <w:r>
        <w:rPr>
          <w:rFonts w:hint="eastAsia" w:ascii="宋体" w:hAnsi="宋体" w:eastAsia="宋体" w:cs="宋体"/>
          <w:szCs w:val="21"/>
          <w:lang w:val="en-US" w:eastAsia="zh-CN"/>
        </w:rPr>
        <w:t>磋商</w:t>
      </w:r>
      <w:r>
        <w:rPr>
          <w:rFonts w:hint="eastAsia" w:ascii="宋体" w:hAnsi="宋体" w:eastAsia="宋体" w:cs="宋体"/>
          <w:szCs w:val="21"/>
        </w:rPr>
        <w:t>保证金</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将不予退还：</w:t>
      </w:r>
    </w:p>
    <w:p w14:paraId="45BE2053">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（1）供应商在</w:t>
      </w:r>
      <w:r>
        <w:rPr>
          <w:rFonts w:hint="eastAsia" w:ascii="宋体" w:hAnsi="宋体" w:eastAsia="宋体" w:cs="宋体"/>
          <w:szCs w:val="21"/>
          <w:lang w:val="en-US" w:eastAsia="zh-CN"/>
        </w:rPr>
        <w:t>磋商</w:t>
      </w:r>
      <w:r>
        <w:rPr>
          <w:rFonts w:hint="eastAsia" w:ascii="宋体" w:hAnsi="宋体" w:eastAsia="宋体" w:cs="宋体"/>
          <w:szCs w:val="21"/>
        </w:rPr>
        <w:t>有效期内撤回其响应文件；</w:t>
      </w:r>
    </w:p>
    <w:p w14:paraId="7219CD2E">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（2）供应商在响应文件中提供虚假材料的；</w:t>
      </w:r>
    </w:p>
    <w:p w14:paraId="37BBFA74">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（3）除因不可抗力或</w:t>
      </w:r>
      <w:r>
        <w:rPr>
          <w:rFonts w:hint="eastAsia" w:ascii="宋体" w:hAnsi="宋体" w:eastAsia="宋体" w:cs="宋体"/>
          <w:szCs w:val="21"/>
          <w:lang w:val="en-US" w:eastAsia="zh-CN"/>
        </w:rPr>
        <w:t>磋商</w:t>
      </w:r>
      <w:r>
        <w:rPr>
          <w:rFonts w:hint="eastAsia" w:ascii="宋体" w:hAnsi="宋体" w:eastAsia="宋体" w:cs="宋体"/>
          <w:szCs w:val="21"/>
        </w:rPr>
        <w:t>文件认可的情形外，成交供应商不与采购人签订合同的；</w:t>
      </w:r>
    </w:p>
    <w:p w14:paraId="4E4DEC94">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（4）供应商与采购人、其他供应商或采购代理机构恶意串通的；</w:t>
      </w:r>
    </w:p>
    <w:p w14:paraId="79080A10">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val="en-US" w:eastAsia="zh-CN"/>
        </w:rPr>
        <w:t>磋商</w:t>
      </w:r>
      <w:r>
        <w:rPr>
          <w:rFonts w:hint="eastAsia" w:ascii="宋体" w:hAnsi="宋体" w:eastAsia="宋体" w:cs="宋体"/>
          <w:szCs w:val="21"/>
        </w:rPr>
        <w:t>文件规定的其他情形。</w:t>
      </w:r>
    </w:p>
    <w:p w14:paraId="4CFD6FB8">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szCs w:val="21"/>
        </w:rPr>
      </w:pPr>
      <w:r>
        <w:rPr>
          <w:rFonts w:hint="eastAsia" w:ascii="宋体" w:hAnsi="宋体" w:eastAsia="宋体" w:cs="宋体"/>
          <w:b/>
          <w:szCs w:val="21"/>
        </w:rPr>
        <w:t>1</w:t>
      </w:r>
      <w:r>
        <w:rPr>
          <w:rFonts w:hint="eastAsia" w:ascii="宋体" w:hAnsi="宋体" w:eastAsia="宋体" w:cs="宋体"/>
          <w:b/>
          <w:szCs w:val="21"/>
          <w:lang w:val="en-US" w:eastAsia="zh-CN"/>
        </w:rPr>
        <w:t>6</w:t>
      </w:r>
      <w:r>
        <w:rPr>
          <w:rFonts w:hint="eastAsia" w:ascii="宋体" w:hAnsi="宋体" w:eastAsia="宋体" w:cs="宋体"/>
          <w:b/>
          <w:szCs w:val="21"/>
        </w:rPr>
        <w:t>、响应文件的修改和撤回</w:t>
      </w:r>
    </w:p>
    <w:p w14:paraId="5C3C8E2D">
      <w:pPr>
        <w:keepNext w:val="0"/>
        <w:keepLines w:val="0"/>
        <w:pageBreakBefore w:val="0"/>
        <w:widowControl w:val="0"/>
        <w:kinsoku/>
        <w:wordWrap/>
        <w:overflowPunct/>
        <w:topLinePunct w:val="0"/>
        <w:autoSpaceDE/>
        <w:autoSpaceDN/>
        <w:bidi w:val="0"/>
        <w:adjustRightInd w:val="0"/>
        <w:snapToGrid w:val="0"/>
        <w:spacing w:line="400" w:lineRule="atLeast"/>
        <w:ind w:firstLine="435"/>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.1 供应商在响应文件提交（上传）截止时间之前，可以对已提交（上传）的响应文件进行修改或撤回。补充或者修改响应文件的，应当先行撤回原响应文件，补充、修改后重新提交（上传）。（补充、修改或者撤回方式可登陆</w:t>
      </w:r>
      <w:r>
        <w:rPr>
          <w:rFonts w:hint="eastAsia" w:ascii="宋体" w:hAnsi="宋体" w:eastAsia="宋体" w:cs="宋体"/>
          <w:szCs w:val="21"/>
          <w:lang w:eastAsia="zh-CN"/>
        </w:rPr>
        <w:t>“广西政府采购云平台”</w:t>
      </w:r>
      <w:r>
        <w:rPr>
          <w:rFonts w:hint="eastAsia" w:ascii="宋体" w:hAnsi="宋体" w:eastAsia="宋体" w:cs="宋体"/>
          <w:szCs w:val="21"/>
        </w:rPr>
        <w:t>，进入服务中心查看相关教程或致电</w:t>
      </w:r>
      <w:r>
        <w:rPr>
          <w:rFonts w:hint="eastAsia" w:ascii="宋体" w:hAnsi="宋体" w:eastAsia="宋体" w:cs="宋体"/>
          <w:szCs w:val="21"/>
          <w:lang w:eastAsia="zh-CN"/>
        </w:rPr>
        <w:t>“广西政府采购云平台”</w:t>
      </w:r>
      <w:r>
        <w:rPr>
          <w:rFonts w:hint="eastAsia" w:ascii="宋体" w:hAnsi="宋体" w:eastAsia="宋体" w:cs="宋体"/>
          <w:szCs w:val="21"/>
        </w:rPr>
        <w:t>客服热线）</w:t>
      </w:r>
    </w:p>
    <w:p w14:paraId="1705CADF">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.2 在响应文件提交（上传）截止时间前，除供应商补充、修改或者撤回响应文件外，任何单位和个人不得提前解密或提取响应文件。</w:t>
      </w:r>
    </w:p>
    <w:p w14:paraId="1BAC1858">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16.3 磋商截止时间前未完成上传、提交的，视为撤回响应文件。磋商截止时间后提交的响应文件，“广西政府采购云平台”将予以拒收。磋商截止时间后，供应商不得撤回、修改响应文件。</w:t>
      </w:r>
    </w:p>
    <w:p w14:paraId="5828D5BE">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szCs w:val="21"/>
        </w:rPr>
      </w:pPr>
      <w:r>
        <w:rPr>
          <w:rFonts w:hint="eastAsia" w:ascii="宋体" w:hAnsi="宋体" w:eastAsia="宋体" w:cs="宋体"/>
          <w:b/>
          <w:szCs w:val="21"/>
        </w:rPr>
        <w:t>1</w:t>
      </w:r>
      <w:r>
        <w:rPr>
          <w:rFonts w:hint="eastAsia" w:ascii="宋体" w:hAnsi="宋体" w:eastAsia="宋体" w:cs="宋体"/>
          <w:b/>
          <w:szCs w:val="21"/>
          <w:lang w:val="en-US" w:eastAsia="zh-CN"/>
        </w:rPr>
        <w:t>7</w:t>
      </w:r>
      <w:r>
        <w:rPr>
          <w:rFonts w:hint="eastAsia" w:ascii="宋体" w:hAnsi="宋体" w:eastAsia="宋体" w:cs="宋体"/>
          <w:b/>
          <w:szCs w:val="21"/>
        </w:rPr>
        <w:t>、响应文件的提交（上传）</w:t>
      </w:r>
    </w:p>
    <w:p w14:paraId="3869FD28">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7</w:t>
      </w:r>
      <w:r>
        <w:rPr>
          <w:rFonts w:hint="eastAsia" w:ascii="宋体" w:hAnsi="宋体" w:eastAsia="宋体" w:cs="宋体"/>
          <w:szCs w:val="21"/>
        </w:rPr>
        <w:t>.1 供应商应按供应商须知前附表规定的响应文件截止时间前提交（上传）响应文件。</w:t>
      </w:r>
    </w:p>
    <w:p w14:paraId="1F2443DA">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7</w:t>
      </w:r>
      <w:r>
        <w:rPr>
          <w:rFonts w:hint="eastAsia" w:ascii="宋体" w:hAnsi="宋体" w:eastAsia="宋体" w:cs="宋体"/>
          <w:szCs w:val="21"/>
        </w:rPr>
        <w:t>.2 供应商提交（上传）响应文件的地点：见供应商须知前附表。</w:t>
      </w:r>
    </w:p>
    <w:p w14:paraId="60E50DB3">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7</w:t>
      </w:r>
      <w:r>
        <w:rPr>
          <w:rFonts w:hint="eastAsia" w:ascii="宋体" w:hAnsi="宋体" w:eastAsia="宋体" w:cs="宋体"/>
          <w:szCs w:val="21"/>
        </w:rPr>
        <w:t>.3 逾期解密的或者未提交（上传）的响应文件，采购代理机构不予受理。</w:t>
      </w:r>
    </w:p>
    <w:p w14:paraId="1514399D">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jc w:val="center"/>
        <w:outlineLvl w:val="9"/>
        <w:rPr>
          <w:rFonts w:hint="eastAsia" w:ascii="宋体" w:hAnsi="宋体" w:eastAsia="宋体" w:cs="宋体"/>
          <w:b/>
          <w:sz w:val="24"/>
        </w:rPr>
      </w:pPr>
    </w:p>
    <w:p w14:paraId="224BEBCF">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jc w:val="center"/>
        <w:outlineLvl w:val="9"/>
        <w:rPr>
          <w:rFonts w:hint="eastAsia" w:ascii="宋体" w:hAnsi="宋体" w:eastAsia="宋体" w:cs="宋体"/>
          <w:b/>
          <w:sz w:val="24"/>
        </w:rPr>
      </w:pPr>
      <w:r>
        <w:rPr>
          <w:rFonts w:hint="eastAsia" w:ascii="宋体" w:hAnsi="宋体" w:eastAsia="宋体" w:cs="宋体"/>
          <w:b/>
          <w:sz w:val="24"/>
        </w:rPr>
        <w:t>四、竞争性</w:t>
      </w:r>
      <w:r>
        <w:rPr>
          <w:rFonts w:hint="eastAsia" w:ascii="宋体" w:hAnsi="宋体" w:eastAsia="宋体" w:cs="宋体"/>
          <w:b/>
          <w:sz w:val="24"/>
          <w:lang w:val="en-US" w:eastAsia="zh-CN"/>
        </w:rPr>
        <w:t>磋商</w:t>
      </w:r>
      <w:r>
        <w:rPr>
          <w:rFonts w:hint="eastAsia" w:ascii="宋体" w:hAnsi="宋体" w:eastAsia="宋体" w:cs="宋体"/>
          <w:b/>
          <w:sz w:val="24"/>
        </w:rPr>
        <w:t>（简称</w:t>
      </w:r>
      <w:r>
        <w:rPr>
          <w:rFonts w:hint="eastAsia" w:ascii="宋体" w:hAnsi="宋体" w:eastAsia="宋体" w:cs="宋体"/>
          <w:b/>
          <w:sz w:val="24"/>
          <w:lang w:val="en-US" w:eastAsia="zh-CN"/>
        </w:rPr>
        <w:t>磋商</w:t>
      </w:r>
      <w:r>
        <w:rPr>
          <w:rFonts w:hint="eastAsia" w:ascii="宋体" w:hAnsi="宋体" w:eastAsia="宋体" w:cs="宋体"/>
          <w:b/>
          <w:sz w:val="24"/>
        </w:rPr>
        <w:t>）与评审</w:t>
      </w:r>
    </w:p>
    <w:p w14:paraId="4DC6824D">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szCs w:val="21"/>
        </w:rPr>
      </w:pPr>
      <w:r>
        <w:rPr>
          <w:rFonts w:hint="eastAsia" w:ascii="宋体" w:hAnsi="宋体" w:eastAsia="宋体" w:cs="宋体"/>
          <w:b/>
          <w:bCs/>
          <w:szCs w:val="21"/>
        </w:rPr>
        <w:t>1</w:t>
      </w:r>
      <w:r>
        <w:rPr>
          <w:rFonts w:hint="eastAsia" w:ascii="宋体" w:hAnsi="宋体" w:eastAsia="宋体" w:cs="宋体"/>
          <w:b/>
          <w:bCs/>
          <w:szCs w:val="21"/>
          <w:lang w:val="en-US" w:eastAsia="zh-CN"/>
        </w:rPr>
        <w:t>8</w:t>
      </w:r>
      <w:r>
        <w:rPr>
          <w:rFonts w:hint="eastAsia" w:ascii="宋体" w:hAnsi="宋体" w:eastAsia="宋体" w:cs="宋体"/>
          <w:b/>
          <w:bCs/>
          <w:szCs w:val="21"/>
        </w:rPr>
        <w:t>、首次响应文件的解密及开启</w:t>
      </w:r>
    </w:p>
    <w:p w14:paraId="030A832A">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8</w:t>
      </w:r>
      <w:r>
        <w:rPr>
          <w:rFonts w:hint="eastAsia" w:ascii="宋体" w:hAnsi="宋体" w:eastAsia="宋体" w:cs="宋体"/>
          <w:szCs w:val="21"/>
        </w:rPr>
        <w:t>.1 响应文件的解密：采购代理机构在响应文件截止提交（上传）时间后向参与本项目采购活动的供应商发出解密通知，各供应商应当在接到解密通知后30分钟内自行完成各自响应文件的在线解密。解密后，由采购代理机构开启响应文件。</w:t>
      </w:r>
    </w:p>
    <w:p w14:paraId="288C45C1">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lang w:val="en-US" w:eastAsia="zh-CN"/>
        </w:rPr>
        <w:t>18.2 若供应商在规定时间内因系统问题导致解密失败的，应尽快致电云平台解决（广西政府采购云平台咨询电话：95763）</w:t>
      </w:r>
      <w:r>
        <w:rPr>
          <w:rFonts w:hint="eastAsia" w:ascii="宋体" w:hAnsi="宋体" w:eastAsia="宋体" w:cs="宋体"/>
          <w:szCs w:val="21"/>
        </w:rPr>
        <w:t>。</w:t>
      </w:r>
    </w:p>
    <w:p w14:paraId="46FD9F97">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供应商未在规定时间内解密响应文件或者因供应商自身原因造成其响应文件解密失败的，系统默认供应商自动放弃投标。</w:t>
      </w:r>
    </w:p>
    <w:p w14:paraId="1D34CBDA">
      <w:pPr>
        <w:keepNext w:val="0"/>
        <w:keepLines w:val="0"/>
        <w:pageBreakBefore w:val="0"/>
        <w:widowControl w:val="0"/>
        <w:tabs>
          <w:tab w:val="left" w:pos="1305"/>
        </w:tabs>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18.3 在磋商截止时间止提交响应文件的供应商不足3家时，不得开标。</w:t>
      </w:r>
    </w:p>
    <w:p w14:paraId="2E5112A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1</w:t>
      </w:r>
      <w:r>
        <w:rPr>
          <w:rFonts w:hint="eastAsia" w:ascii="宋体" w:hAnsi="宋体" w:eastAsia="宋体" w:cs="宋体"/>
          <w:b/>
          <w:bCs/>
          <w:color w:val="auto"/>
          <w:spacing w:val="0"/>
          <w:sz w:val="21"/>
          <w:szCs w:val="21"/>
          <w:lang w:val="en-US" w:eastAsia="zh-CN"/>
        </w:rPr>
        <w:t>9</w:t>
      </w:r>
      <w:r>
        <w:rPr>
          <w:rFonts w:hint="eastAsia" w:ascii="宋体" w:hAnsi="宋体" w:eastAsia="宋体" w:cs="宋体"/>
          <w:b/>
          <w:bCs/>
          <w:color w:val="auto"/>
          <w:spacing w:val="0"/>
          <w:sz w:val="21"/>
          <w:szCs w:val="21"/>
        </w:rPr>
        <w:t>、</w:t>
      </w:r>
      <w:r>
        <w:rPr>
          <w:rFonts w:hint="eastAsia" w:ascii="宋体" w:hAnsi="宋体" w:eastAsia="宋体" w:cs="宋体"/>
          <w:b/>
          <w:bCs/>
          <w:color w:val="auto"/>
          <w:spacing w:val="0"/>
          <w:sz w:val="21"/>
          <w:szCs w:val="21"/>
          <w:lang w:val="en-US" w:eastAsia="zh-CN"/>
        </w:rPr>
        <w:t>磋商</w:t>
      </w:r>
      <w:r>
        <w:rPr>
          <w:rFonts w:hint="eastAsia" w:ascii="宋体" w:hAnsi="宋体" w:eastAsia="宋体" w:cs="宋体"/>
          <w:b/>
          <w:bCs/>
          <w:color w:val="auto"/>
          <w:spacing w:val="0"/>
          <w:sz w:val="21"/>
          <w:szCs w:val="21"/>
        </w:rPr>
        <w:t>小组的组建</w:t>
      </w:r>
    </w:p>
    <w:p w14:paraId="1A16E199">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val="en-US" w:eastAsia="zh-CN"/>
        </w:rPr>
        <w:t>9</w:t>
      </w: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auto"/>
          <w:spacing w:val="0"/>
          <w:sz w:val="21"/>
          <w:szCs w:val="21"/>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9DC19B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val="en-US" w:eastAsia="zh-CN"/>
        </w:rPr>
        <w:t>9</w:t>
      </w:r>
      <w:r>
        <w:rPr>
          <w:rFonts w:hint="eastAsia" w:ascii="宋体" w:hAnsi="宋体" w:eastAsia="宋体" w:cs="宋体"/>
          <w:color w:val="auto"/>
          <w:spacing w:val="0"/>
          <w:sz w:val="21"/>
          <w:szCs w:val="21"/>
        </w:rPr>
        <w:t>.2 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14:paraId="66ED16F4">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lang w:val="en-US" w:eastAsia="zh-CN"/>
        </w:rPr>
        <w:t>20</w:t>
      </w:r>
      <w:r>
        <w:rPr>
          <w:rFonts w:hint="eastAsia" w:ascii="宋体" w:hAnsi="宋体" w:eastAsia="宋体" w:cs="宋体"/>
          <w:b/>
          <w:bCs/>
          <w:color w:val="auto"/>
          <w:spacing w:val="0"/>
          <w:sz w:val="21"/>
          <w:szCs w:val="21"/>
        </w:rPr>
        <w:t>、评审原则</w:t>
      </w:r>
    </w:p>
    <w:p w14:paraId="3D60BFA3">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val="en-US" w:eastAsia="zh-CN"/>
        </w:rPr>
        <w:t>20</w:t>
      </w:r>
      <w:r>
        <w:rPr>
          <w:rFonts w:hint="eastAsia" w:ascii="宋体" w:hAnsi="宋体" w:eastAsia="宋体" w:cs="宋体"/>
          <w:color w:val="auto"/>
          <w:spacing w:val="0"/>
          <w:sz w:val="21"/>
          <w:szCs w:val="21"/>
        </w:rPr>
        <w:t>.1 评审活动遵循客观、公正、审慎的原则，根据</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文件规定的评审程序、评审方法和评审标准进行独立评审。按照磋商文件规定的评审程序和根据磋商文件规定的</w:t>
      </w:r>
      <w:r>
        <w:rPr>
          <w:rFonts w:hint="eastAsia" w:ascii="宋体" w:hAnsi="宋体" w:eastAsia="宋体" w:cs="宋体"/>
          <w:color w:val="auto"/>
          <w:spacing w:val="0"/>
          <w:sz w:val="21"/>
          <w:szCs w:val="21"/>
          <w:lang w:val="en-US" w:eastAsia="zh-CN"/>
        </w:rPr>
        <w:t>办</w:t>
      </w:r>
      <w:r>
        <w:rPr>
          <w:rFonts w:hint="eastAsia" w:ascii="宋体" w:hAnsi="宋体" w:eastAsia="宋体" w:cs="宋体"/>
          <w:color w:val="auto"/>
          <w:spacing w:val="0"/>
          <w:sz w:val="21"/>
          <w:szCs w:val="21"/>
        </w:rPr>
        <w:t>法和标准对供应商的响应文件的有效性、完整性和响应程度进行审查，并对响应文件的有效磋商报价、</w:t>
      </w:r>
      <w:r>
        <w:rPr>
          <w:rFonts w:hint="eastAsia" w:ascii="宋体" w:hAnsi="宋体" w:eastAsia="宋体" w:cs="宋体"/>
          <w:color w:val="auto"/>
          <w:spacing w:val="0"/>
          <w:sz w:val="21"/>
          <w:szCs w:val="21"/>
          <w:lang w:val="en-US" w:eastAsia="zh-CN"/>
        </w:rPr>
        <w:t>技术、商务</w:t>
      </w:r>
      <w:r>
        <w:rPr>
          <w:rFonts w:hint="eastAsia" w:ascii="宋体" w:hAnsi="宋体" w:eastAsia="宋体" w:cs="宋体"/>
          <w:color w:val="auto"/>
          <w:spacing w:val="0"/>
          <w:sz w:val="21"/>
          <w:szCs w:val="21"/>
        </w:rPr>
        <w:t>等方面内容按百分制打分</w:t>
      </w:r>
      <w:r>
        <w:rPr>
          <w:rFonts w:hint="eastAsia" w:ascii="宋体" w:hAnsi="宋体" w:eastAsia="宋体" w:cs="宋体"/>
          <w:color w:val="auto"/>
          <w:spacing w:val="0"/>
          <w:sz w:val="21"/>
          <w:szCs w:val="21"/>
          <w:lang w:eastAsia="zh-CN"/>
        </w:rPr>
        <w:t>。</w:t>
      </w:r>
    </w:p>
    <w:p w14:paraId="228805C9">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20.2 磋商</w:t>
      </w:r>
      <w:r>
        <w:rPr>
          <w:rFonts w:hint="eastAsia" w:ascii="宋体" w:hAnsi="宋体" w:eastAsia="宋体" w:cs="宋体"/>
          <w:color w:val="auto"/>
          <w:spacing w:val="0"/>
          <w:sz w:val="21"/>
          <w:szCs w:val="21"/>
        </w:rPr>
        <w:t>小组成员对需要共同认定的事项存在争议的，按照少数服从多数的原则做出结论。持不同意见的</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小组成员应当在评审报告上签署不同意见并说明理由，否则视为同意。</w:t>
      </w:r>
    </w:p>
    <w:p w14:paraId="25F96EF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20</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lang w:val="en-US" w:eastAsia="zh-CN"/>
        </w:rPr>
        <w:t>3</w:t>
      </w:r>
      <w:r>
        <w:rPr>
          <w:rFonts w:hint="eastAsia" w:ascii="宋体" w:hAnsi="宋体" w:eastAsia="宋体" w:cs="宋体"/>
          <w:color w:val="auto"/>
          <w:spacing w:val="0"/>
          <w:sz w:val="21"/>
          <w:szCs w:val="21"/>
        </w:rPr>
        <w:t xml:space="preserve"> 本项目采用不公开方式评标，评标的依据为</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文件和响应文件及</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应答文件等。</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小组决定响应文件的响应性只根据响应文件本身的内容，而不寻找其他的外部证据。但响应文件有不真实、不正确的内容除外。</w:t>
      </w:r>
    </w:p>
    <w:p w14:paraId="149675C9">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2</w:t>
      </w:r>
      <w:r>
        <w:rPr>
          <w:rFonts w:hint="eastAsia" w:ascii="宋体" w:hAnsi="宋体" w:eastAsia="宋体" w:cs="宋体"/>
          <w:b/>
          <w:bCs/>
          <w:color w:val="auto"/>
          <w:spacing w:val="0"/>
          <w:sz w:val="21"/>
          <w:szCs w:val="21"/>
          <w:lang w:val="en-US" w:eastAsia="zh-CN"/>
        </w:rPr>
        <w:t>1</w:t>
      </w:r>
      <w:r>
        <w:rPr>
          <w:rFonts w:hint="eastAsia" w:ascii="宋体" w:hAnsi="宋体" w:eastAsia="宋体" w:cs="宋体"/>
          <w:b/>
          <w:bCs/>
          <w:color w:val="auto"/>
          <w:spacing w:val="0"/>
          <w:sz w:val="21"/>
          <w:szCs w:val="21"/>
        </w:rPr>
        <w:t>、</w:t>
      </w:r>
      <w:r>
        <w:rPr>
          <w:rFonts w:hint="eastAsia" w:ascii="宋体" w:hAnsi="宋体" w:eastAsia="宋体" w:cs="宋体"/>
          <w:b/>
          <w:bCs/>
          <w:color w:val="auto"/>
          <w:spacing w:val="0"/>
          <w:sz w:val="21"/>
          <w:szCs w:val="21"/>
          <w:lang w:val="en-US" w:eastAsia="zh-CN"/>
        </w:rPr>
        <w:t>磋商</w:t>
      </w:r>
      <w:r>
        <w:rPr>
          <w:rFonts w:hint="eastAsia" w:ascii="宋体" w:hAnsi="宋体" w:eastAsia="宋体" w:cs="宋体"/>
          <w:b/>
          <w:bCs/>
          <w:color w:val="auto"/>
          <w:spacing w:val="0"/>
          <w:sz w:val="21"/>
          <w:szCs w:val="21"/>
        </w:rPr>
        <w:t>过程的监控及</w:t>
      </w:r>
      <w:r>
        <w:rPr>
          <w:rFonts w:hint="eastAsia" w:ascii="宋体" w:hAnsi="宋体" w:eastAsia="宋体" w:cs="宋体"/>
          <w:b/>
          <w:bCs/>
          <w:color w:val="auto"/>
          <w:spacing w:val="0"/>
          <w:sz w:val="21"/>
          <w:szCs w:val="21"/>
          <w:lang w:val="en-US" w:eastAsia="zh-CN"/>
        </w:rPr>
        <w:t>磋商</w:t>
      </w:r>
      <w:r>
        <w:rPr>
          <w:rFonts w:hint="eastAsia" w:ascii="宋体" w:hAnsi="宋体" w:eastAsia="宋体" w:cs="宋体"/>
          <w:b/>
          <w:bCs/>
          <w:color w:val="auto"/>
          <w:spacing w:val="0"/>
          <w:sz w:val="21"/>
          <w:szCs w:val="21"/>
        </w:rPr>
        <w:t>纪律</w:t>
      </w:r>
    </w:p>
    <w:p w14:paraId="2DBDA2F4">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eastAsia="宋体" w:cs="宋体"/>
          <w:color w:val="auto"/>
          <w:spacing w:val="0"/>
          <w:sz w:val="21"/>
          <w:szCs w:val="21"/>
          <w:lang w:val="en-US" w:eastAsia="zh-CN"/>
        </w:rPr>
        <w:t>1</w:t>
      </w:r>
      <w:r>
        <w:rPr>
          <w:rFonts w:hint="eastAsia" w:ascii="宋体" w:hAnsi="宋体" w:eastAsia="宋体" w:cs="宋体"/>
          <w:color w:val="auto"/>
          <w:spacing w:val="0"/>
          <w:sz w:val="21"/>
          <w:szCs w:val="21"/>
        </w:rPr>
        <w:t>.1 本项目</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过程实行全程录音、录像监控，供应商在</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过程中所进行的试图影响</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结果的不公正活动，可能导致其</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被拒绝。</w:t>
      </w:r>
    </w:p>
    <w:p w14:paraId="3AD8ACF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eastAsia="宋体" w:cs="宋体"/>
          <w:color w:val="auto"/>
          <w:spacing w:val="0"/>
          <w:sz w:val="21"/>
          <w:szCs w:val="21"/>
          <w:lang w:val="en-US" w:eastAsia="zh-CN"/>
        </w:rPr>
        <w:t>1</w:t>
      </w:r>
      <w:r>
        <w:rPr>
          <w:rFonts w:hint="eastAsia" w:ascii="宋体" w:hAnsi="宋体" w:eastAsia="宋体" w:cs="宋体"/>
          <w:color w:val="auto"/>
          <w:spacing w:val="0"/>
          <w:sz w:val="21"/>
          <w:szCs w:val="21"/>
        </w:rPr>
        <w:t>.2 电子交易活动的中止。采购过程中出现以下情形，导致电子交易平台无法正常运行，或者无法保证电子交易的公平、公正和安全时，采购机构可中止电子交易活动：</w:t>
      </w:r>
    </w:p>
    <w:p w14:paraId="0D36514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（1）电子交易平台发生故障而无法正常登陆访问的；</w:t>
      </w:r>
    </w:p>
    <w:p w14:paraId="32DBC349">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（2）电子交易平台应用或数据库出现错误，不能进行正常操作的；</w:t>
      </w:r>
    </w:p>
    <w:p w14:paraId="256BF6B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（3）电子交易平台发现严重安全漏洞，有潜在泄密危险的；</w:t>
      </w:r>
    </w:p>
    <w:p w14:paraId="54C7FEE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（4）电子病毒发生导致不能进行正常操作的；</w:t>
      </w:r>
    </w:p>
    <w:p w14:paraId="76D070E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（5）其他无法保证电子交易公平、公正和安全的情况。</w:t>
      </w:r>
    </w:p>
    <w:p w14:paraId="4D275A96">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eastAsia="宋体" w:cs="宋体"/>
          <w:color w:val="auto"/>
          <w:spacing w:val="0"/>
          <w:sz w:val="21"/>
          <w:szCs w:val="21"/>
          <w:lang w:val="en-US" w:eastAsia="zh-CN"/>
        </w:rPr>
        <w:t>1</w:t>
      </w:r>
      <w:r>
        <w:rPr>
          <w:rFonts w:hint="eastAsia" w:ascii="宋体" w:hAnsi="宋体" w:eastAsia="宋体" w:cs="宋体"/>
          <w:color w:val="auto"/>
          <w:spacing w:val="0"/>
          <w:sz w:val="21"/>
          <w:szCs w:val="21"/>
        </w:rPr>
        <w:t>.3 出现上述情形，不影响采购公平、公正的，采购组织机构可以待上述情形消除后继续组织电子交易活动；影响或可能影响采购公平、公正的，经采购代理机构确认，报采购人同意后，应当重新采购。采购代理机构必须对原有的资料及信息作出妥善保密处理，并报财政部门备案。</w:t>
      </w:r>
    </w:p>
    <w:p w14:paraId="68B70A3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color w:val="auto"/>
          <w:spacing w:val="0"/>
          <w:sz w:val="21"/>
          <w:szCs w:val="21"/>
          <w:lang w:val="en-US" w:eastAsia="zh-CN"/>
        </w:rPr>
      </w:pPr>
      <w:r>
        <w:rPr>
          <w:rFonts w:hint="eastAsia" w:ascii="宋体" w:hAnsi="宋体" w:eastAsia="宋体" w:cs="宋体"/>
          <w:b/>
          <w:bCs/>
          <w:color w:val="auto"/>
          <w:spacing w:val="0"/>
          <w:sz w:val="21"/>
          <w:szCs w:val="21"/>
          <w:lang w:val="en-US" w:eastAsia="zh-CN"/>
        </w:rPr>
        <w:t>22、评审办法及评审标准</w:t>
      </w:r>
    </w:p>
    <w:p w14:paraId="7D01B7D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22.1 本项目采用综合评分法，具体评审标准见第四章《评审程序、评审方法和评审标准》。</w:t>
      </w:r>
    </w:p>
    <w:p w14:paraId="276D0598">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2</w:t>
      </w:r>
      <w:r>
        <w:rPr>
          <w:rFonts w:hint="eastAsia" w:ascii="宋体" w:hAnsi="宋体" w:eastAsia="宋体" w:cs="宋体"/>
          <w:b/>
          <w:bCs/>
          <w:color w:val="auto"/>
          <w:spacing w:val="0"/>
          <w:sz w:val="21"/>
          <w:szCs w:val="21"/>
          <w:lang w:val="en-US" w:eastAsia="zh-CN"/>
        </w:rPr>
        <w:t>3</w:t>
      </w:r>
      <w:r>
        <w:rPr>
          <w:rFonts w:hint="eastAsia" w:ascii="宋体" w:hAnsi="宋体" w:eastAsia="宋体" w:cs="宋体"/>
          <w:b/>
          <w:bCs/>
          <w:color w:val="auto"/>
          <w:spacing w:val="0"/>
          <w:sz w:val="21"/>
          <w:szCs w:val="21"/>
        </w:rPr>
        <w:t>、评标内容的保密</w:t>
      </w:r>
    </w:p>
    <w:p w14:paraId="180A874E">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eastAsia="宋体" w:cs="宋体"/>
          <w:color w:val="auto"/>
          <w:spacing w:val="0"/>
          <w:sz w:val="21"/>
          <w:szCs w:val="21"/>
          <w:lang w:val="en-US" w:eastAsia="zh-CN"/>
        </w:rPr>
        <w:t>3</w:t>
      </w:r>
      <w:r>
        <w:rPr>
          <w:rFonts w:hint="eastAsia" w:ascii="宋体" w:hAnsi="宋体" w:eastAsia="宋体" w:cs="宋体"/>
          <w:color w:val="auto"/>
          <w:spacing w:val="0"/>
          <w:sz w:val="21"/>
          <w:szCs w:val="21"/>
        </w:rPr>
        <w:t>.1 截标后，直到宣布授予成交人合同为止，凡属于审查、澄清、评价和比较的所有资料，有关授予合同的信息，都不应供应商或与评审无关的其他人泄露。</w:t>
      </w:r>
    </w:p>
    <w:p w14:paraId="6B89D0A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eastAsia="宋体" w:cs="宋体"/>
          <w:color w:val="auto"/>
          <w:spacing w:val="0"/>
          <w:sz w:val="21"/>
          <w:szCs w:val="21"/>
          <w:lang w:val="en-US" w:eastAsia="zh-CN"/>
        </w:rPr>
        <w:t>3</w:t>
      </w:r>
      <w:r>
        <w:rPr>
          <w:rFonts w:hint="eastAsia" w:ascii="宋体" w:hAnsi="宋体" w:eastAsia="宋体" w:cs="宋体"/>
          <w:color w:val="auto"/>
          <w:spacing w:val="0"/>
          <w:sz w:val="21"/>
          <w:szCs w:val="21"/>
        </w:rPr>
        <w:t>.2 在响应文件的审查、澄清、评价和比较以及授予合同的过程中，供应商对采购人和</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小组成员施加影响的任何行为，都将导致其</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资格被取消。</w:t>
      </w:r>
    </w:p>
    <w:p w14:paraId="25F11764">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2</w:t>
      </w:r>
      <w:r>
        <w:rPr>
          <w:rFonts w:hint="eastAsia" w:ascii="宋体" w:hAnsi="宋体" w:eastAsia="宋体" w:cs="宋体"/>
          <w:b/>
          <w:bCs/>
          <w:color w:val="auto"/>
          <w:spacing w:val="0"/>
          <w:sz w:val="21"/>
          <w:szCs w:val="21"/>
          <w:lang w:val="en-US" w:eastAsia="zh-CN"/>
        </w:rPr>
        <w:t>4</w:t>
      </w:r>
      <w:r>
        <w:rPr>
          <w:rFonts w:hint="eastAsia" w:ascii="宋体" w:hAnsi="宋体" w:eastAsia="宋体" w:cs="宋体"/>
          <w:b/>
          <w:bCs/>
          <w:color w:val="auto"/>
          <w:spacing w:val="0"/>
          <w:sz w:val="21"/>
          <w:szCs w:val="21"/>
        </w:rPr>
        <w:t>、评标程序</w:t>
      </w:r>
    </w:p>
    <w:p w14:paraId="7ABBF347">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eastAsia="宋体" w:cs="宋体"/>
          <w:color w:val="auto"/>
          <w:spacing w:val="0"/>
          <w:sz w:val="21"/>
          <w:szCs w:val="21"/>
          <w:lang w:val="en-US" w:eastAsia="zh-CN"/>
        </w:rPr>
        <w:t>4</w:t>
      </w:r>
      <w:r>
        <w:rPr>
          <w:rFonts w:hint="eastAsia" w:ascii="宋体" w:hAnsi="宋体" w:eastAsia="宋体" w:cs="宋体"/>
          <w:color w:val="auto"/>
          <w:spacing w:val="0"/>
          <w:sz w:val="21"/>
          <w:szCs w:val="21"/>
        </w:rPr>
        <w:t>.1 具体评审程序见第四章《评审程序、评审方法和评审标准》。</w:t>
      </w:r>
    </w:p>
    <w:p w14:paraId="481DB25C">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jc w:val="both"/>
        <w:outlineLvl w:val="9"/>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25、响应文件的澄清</w:t>
      </w:r>
    </w:p>
    <w:p w14:paraId="52E6F43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jc w:val="both"/>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25.1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737FCE">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jc w:val="both"/>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25.2 磋商小组要求供应商澄清、说明或者更正响应文件的，由磋商小组组长或采购代理机构在广西政府采购云平台发起询标函，供应商必须在规定时间内回复询标函，否则视为放弃澄清。供应商的澄清、说明或者更正应由供应商CA电子签章后提交。供应商的澄清文件是响应文件的组成部分。</w:t>
      </w:r>
    </w:p>
    <w:p w14:paraId="63C1B745">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jc w:val="both"/>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 xml:space="preserve">25.3 </w:t>
      </w:r>
      <w:r>
        <w:rPr>
          <w:rFonts w:hint="eastAsia" w:ascii="宋体" w:hAnsi="宋体" w:eastAsia="宋体" w:cs="宋体"/>
          <w:color w:val="auto"/>
          <w:spacing w:val="0"/>
          <w:sz w:val="21"/>
          <w:szCs w:val="21"/>
        </w:rPr>
        <w:t>异常处理：如遇到无法正常使用线上发送询标函的情况，将启动书面形式办理。启动书面形式办理的情况下，</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小组以书面形式要求供应商在规定时间内作出必要的澄清、说明或者更正。供应商的澄清、说明或者更正必须采用书面形式，并加盖公章，或者由法定代表人</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lang w:val="en-US" w:eastAsia="zh-CN"/>
        </w:rPr>
        <w:t>负责人</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或者其授权委托人签字</w:t>
      </w:r>
      <w:r>
        <w:rPr>
          <w:rFonts w:hint="eastAsia" w:ascii="宋体" w:hAnsi="宋体" w:eastAsia="宋体" w:cs="宋体"/>
          <w:color w:val="auto"/>
          <w:spacing w:val="0"/>
          <w:sz w:val="21"/>
          <w:szCs w:val="21"/>
          <w:lang w:eastAsia="zh-CN"/>
        </w:rPr>
        <w:t>。</w:t>
      </w:r>
    </w:p>
    <w:p w14:paraId="4D3DC42F">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jc w:val="left"/>
        <w:outlineLvl w:val="9"/>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26、响应文件计算错误的修正</w:t>
      </w:r>
    </w:p>
    <w:p w14:paraId="5B9D815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jc w:val="left"/>
        <w:outlineLvl w:val="9"/>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26.1 磋商小组将对确定为实质上响应竞争性磋商文件要求的响应文件进行校核，看其是否有计算上或累计上的算术错误，修正错误的原则详见第四章《评审程序、评审方法和评审标准》。</w:t>
      </w:r>
    </w:p>
    <w:p w14:paraId="6D41290B">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jc w:val="left"/>
        <w:outlineLvl w:val="9"/>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26.2 如所有的响应文件不响应竞争性磋商文件，则宣布本次采购失败，由采购代理机构择日重新组织采购。</w:t>
      </w:r>
    </w:p>
    <w:p w14:paraId="2AA535F6">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spacing w:val="0"/>
          <w:sz w:val="21"/>
          <w:szCs w:val="21"/>
          <w:lang w:val="en-US" w:eastAsia="zh-CN"/>
        </w:rPr>
        <w:t>27、</w:t>
      </w:r>
      <w:r>
        <w:rPr>
          <w:rFonts w:hint="eastAsia" w:ascii="宋体" w:hAnsi="宋体" w:eastAsia="宋体" w:cs="宋体"/>
          <w:b/>
          <w:bCs/>
          <w:color w:val="auto"/>
          <w:kern w:val="0"/>
          <w:sz w:val="21"/>
          <w:szCs w:val="21"/>
          <w:highlight w:val="none"/>
        </w:rPr>
        <w:t>重新采购</w:t>
      </w:r>
    </w:p>
    <w:p w14:paraId="1F9586BD">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27.1 </w:t>
      </w:r>
      <w:r>
        <w:rPr>
          <w:rFonts w:hint="eastAsia" w:ascii="宋体" w:hAnsi="宋体" w:eastAsia="宋体" w:cs="宋体"/>
          <w:b/>
          <w:bCs/>
          <w:color w:val="auto"/>
          <w:kern w:val="0"/>
          <w:sz w:val="21"/>
          <w:szCs w:val="21"/>
          <w:highlight w:val="none"/>
        </w:rPr>
        <w:t>有下列情形之一的，应予以重新采购：</w:t>
      </w:r>
    </w:p>
    <w:p w14:paraId="07EA4F4D">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符合专业条件的供应商或者对磋商文件作实质响应的供应商不足2家的</w:t>
      </w:r>
      <w:r>
        <w:rPr>
          <w:rFonts w:hint="eastAsia" w:ascii="宋体" w:hAnsi="宋体" w:eastAsia="宋体" w:cs="宋体"/>
          <w:color w:val="auto"/>
          <w:kern w:val="0"/>
          <w:sz w:val="21"/>
          <w:szCs w:val="21"/>
          <w:highlight w:val="none"/>
          <w:lang w:eastAsia="zh-CN"/>
        </w:rPr>
        <w:t>。在采购过程中符合竞争要求的供应商或者</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lang w:eastAsia="zh-CN"/>
        </w:rPr>
        <w:t>报价未超过采购</w:t>
      </w:r>
      <w:r>
        <w:rPr>
          <w:rFonts w:hint="eastAsia" w:ascii="宋体" w:hAnsi="宋体" w:eastAsia="宋体" w:cs="宋体"/>
          <w:color w:val="auto"/>
          <w:kern w:val="0"/>
          <w:sz w:val="21"/>
          <w:szCs w:val="21"/>
          <w:highlight w:val="none"/>
          <w:lang w:val="en-US" w:eastAsia="zh-CN"/>
        </w:rPr>
        <w:t>控制价</w:t>
      </w:r>
      <w:r>
        <w:rPr>
          <w:rFonts w:hint="eastAsia" w:ascii="宋体" w:hAnsi="宋体" w:eastAsia="宋体" w:cs="宋体"/>
          <w:color w:val="auto"/>
          <w:kern w:val="0"/>
          <w:sz w:val="21"/>
          <w:szCs w:val="21"/>
          <w:highlight w:val="none"/>
          <w:lang w:eastAsia="zh-CN"/>
        </w:rPr>
        <w:t>的供应商不足2家的。根据财库【2015】124 号《财政部关于政府采购竞争性磋商采购方式有关问题的通知》的规定，采用竞争性磋商采购方式采购的政府购买服务项目（含政府和社会资本合作项目），在采购过程中符合要求的供应商（社会资本）只有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18B4019A">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出现影响采购公正的违法、违规行为的；</w:t>
      </w:r>
    </w:p>
    <w:p w14:paraId="5F819766">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400" w:lineRule="atLeast"/>
        <w:ind w:left="0" w:leftChars="0"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供应商的</w:t>
      </w:r>
      <w:r>
        <w:rPr>
          <w:rFonts w:hint="eastAsia" w:ascii="宋体" w:hAnsi="宋体" w:eastAsia="宋体" w:cs="宋体"/>
          <w:b/>
          <w:bCs/>
          <w:color w:val="auto"/>
          <w:kern w:val="0"/>
          <w:sz w:val="21"/>
          <w:szCs w:val="21"/>
          <w:highlight w:val="none"/>
          <w:lang w:val="en-US" w:eastAsia="zh-CN"/>
        </w:rPr>
        <w:t>最终</w:t>
      </w:r>
      <w:r>
        <w:rPr>
          <w:rFonts w:hint="eastAsia" w:ascii="宋体" w:hAnsi="宋体" w:eastAsia="宋体" w:cs="宋体"/>
          <w:b/>
          <w:bCs/>
          <w:color w:val="auto"/>
          <w:kern w:val="0"/>
          <w:sz w:val="21"/>
          <w:szCs w:val="21"/>
          <w:highlight w:val="none"/>
        </w:rPr>
        <w:t>报价均超过最高限价，采购人不能支付的；</w:t>
      </w:r>
    </w:p>
    <w:p w14:paraId="24FF2800">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因重大变故，采购任务取消的，</w:t>
      </w:r>
      <w:r>
        <w:rPr>
          <w:rFonts w:hint="eastAsia" w:ascii="宋体" w:hAnsi="宋体" w:eastAsia="宋体" w:cs="宋体"/>
          <w:color w:val="auto"/>
          <w:sz w:val="21"/>
          <w:szCs w:val="21"/>
          <w:highlight w:val="none"/>
        </w:rPr>
        <w:t>采购人或者采购代理机构应当终止采购活动，通知所有参加采购活动的供应商，并将项目实施情况和采购任务取消原因报送本级监督部门</w:t>
      </w:r>
      <w:r>
        <w:rPr>
          <w:rFonts w:hint="eastAsia" w:ascii="宋体" w:hAnsi="宋体" w:eastAsia="宋体" w:cs="宋体"/>
          <w:color w:val="auto"/>
          <w:kern w:val="0"/>
          <w:sz w:val="21"/>
          <w:szCs w:val="21"/>
          <w:highlight w:val="none"/>
        </w:rPr>
        <w:t>。</w:t>
      </w:r>
    </w:p>
    <w:p w14:paraId="31CED17B">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val="en-US" w:eastAsia="zh-CN"/>
        </w:rPr>
        <w:t>27.</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kern w:val="0"/>
          <w:sz w:val="21"/>
          <w:szCs w:val="21"/>
          <w:highlight w:val="none"/>
        </w:rPr>
        <w:t>根据桂财采[2016]42号《关于防治政府采购招标中串通投标行为的通知》规定，有下列情形之一的视为投标人相互串通投标，</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文件将被视为无效</w:t>
      </w:r>
      <w:r>
        <w:rPr>
          <w:rFonts w:hint="eastAsia" w:ascii="宋体" w:hAnsi="宋体" w:eastAsia="宋体" w:cs="宋体"/>
          <w:b/>
          <w:bCs/>
          <w:color w:val="auto"/>
          <w:kern w:val="0"/>
          <w:sz w:val="21"/>
          <w:szCs w:val="21"/>
          <w:highlight w:val="none"/>
          <w:lang w:eastAsia="zh-CN"/>
        </w:rPr>
        <w:t>：</w:t>
      </w:r>
    </w:p>
    <w:p w14:paraId="2A6DA003">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（1）不同</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的响应文件由同一单位或者个人编制；或不同</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报名的IP地址一致的；</w:t>
      </w:r>
    </w:p>
    <w:p w14:paraId="23807A3E">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（2）不同</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委托同一单位或者个人办理投标事宜；</w:t>
      </w:r>
    </w:p>
    <w:p w14:paraId="6387CF28">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（3）不同的</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的响应文件载明的项目管理员为同一个人；</w:t>
      </w:r>
    </w:p>
    <w:p w14:paraId="6CB51BCB">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（4）不同</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的响应文件异常一致或投标报价呈规律性差异；</w:t>
      </w:r>
    </w:p>
    <w:p w14:paraId="36EB3960">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（5）不同</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的响应文件相互混装；</w:t>
      </w:r>
    </w:p>
    <w:p w14:paraId="42350D14">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（6）不同</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的投标保证金从同一单位或者个人账户转出。</w:t>
      </w:r>
    </w:p>
    <w:p w14:paraId="2FBBE44A">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27.</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供应商有下列情形之一的，属于恶意串通行为：</w:t>
      </w:r>
    </w:p>
    <w:p w14:paraId="0D7D1E7C">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直接或者间接从采购人或者采购代理机构处获得其他</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的相关信息并修改其响应文件；</w:t>
      </w:r>
    </w:p>
    <w:p w14:paraId="3A3C4792">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按照采购人或者采购代理机构的授意撤换、修改响应文件；</w:t>
      </w:r>
    </w:p>
    <w:p w14:paraId="385C7341">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之间协商报价、技术方案等响应文件的实质性内容；</w:t>
      </w:r>
    </w:p>
    <w:p w14:paraId="22C347A4">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（4）属于同一集团、协会、商会等组织成员的</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按照该组织要求协同参加政府采购活动；</w:t>
      </w:r>
    </w:p>
    <w:p w14:paraId="53A5BCDF">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之间事先约定一致抬高或者压低报价，或者在采购项目中事先约定轮流以高价位或者低价位成交，或者事先约定由某一特定</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成交，然后再参加磋商；</w:t>
      </w:r>
    </w:p>
    <w:p w14:paraId="51F4088D">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之间商定部分</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放弃参加政府采购活动或者放弃成交；</w:t>
      </w:r>
    </w:p>
    <w:p w14:paraId="238DFF36">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与采购人或者采购代理机构之间、</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相互之间，为谋求特定</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成交或者排斥其他</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的其他串通行为。</w:t>
      </w:r>
    </w:p>
    <w:p w14:paraId="066BED02">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27.</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关联供应商不得参加同一合同项下政府采购活动，否则响应文件将被视为无效；</w:t>
      </w:r>
    </w:p>
    <w:p w14:paraId="5B7C06A4">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（1）单位负责人为同一人或者存在直接控股、管理关系的不同的供应商，不得参加同一合同项下的政府采购活动；</w:t>
      </w:r>
    </w:p>
    <w:p w14:paraId="6C172852">
      <w:pPr>
        <w:pStyle w:val="1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（2）生产厂商授权给供应商后自己不得参加同一合同项下的政府采购活动；生产厂商对同一品牌同一型号的货物，仅能委托一个代理商参加磋商。</w:t>
      </w:r>
    </w:p>
    <w:p w14:paraId="10A063D0">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szCs w:val="21"/>
        </w:rPr>
      </w:pPr>
      <w:r>
        <w:rPr>
          <w:rFonts w:hint="eastAsia" w:ascii="宋体" w:hAnsi="宋体" w:eastAsia="宋体" w:cs="宋体"/>
          <w:b/>
          <w:bCs/>
          <w:color w:val="auto"/>
          <w:kern w:val="0"/>
          <w:sz w:val="21"/>
          <w:szCs w:val="21"/>
          <w:highlight w:val="none"/>
          <w:lang w:val="en-US" w:eastAsia="zh-CN"/>
        </w:rPr>
        <w:t>28、</w:t>
      </w:r>
      <w:r>
        <w:rPr>
          <w:rFonts w:hint="eastAsia" w:ascii="宋体" w:hAnsi="宋体" w:eastAsia="宋体" w:cs="宋体"/>
          <w:b/>
          <w:szCs w:val="21"/>
        </w:rPr>
        <w:t>其他说明：</w:t>
      </w:r>
    </w:p>
    <w:p w14:paraId="5E09EA98">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（1）在政府采购活动中，采购人员及相关人员与供应商有下列利害关系之一的，应当回避：</w:t>
      </w:r>
    </w:p>
    <w:p w14:paraId="74E4A7B0">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1）参加采购活动前3年内与供应商存在劳动关系；</w:t>
      </w:r>
    </w:p>
    <w:p w14:paraId="6E615086">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2）参加采购活动前3年内担任供应商的董事、监事；</w:t>
      </w:r>
    </w:p>
    <w:p w14:paraId="19AA4EB4">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3）参加采购活动前3年内是供应商的控股股东或者实际控制人；</w:t>
      </w:r>
    </w:p>
    <w:p w14:paraId="216E3BB1">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4）与供应商的法定代表人或者负责人有夫妻、直系血亲、三代以内旁系血亲或者近姻亲关系；</w:t>
      </w:r>
    </w:p>
    <w:p w14:paraId="5545FFD4">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5）与供应商有其他可能影响政府采购活动公平、公正进行的关系。</w:t>
      </w:r>
    </w:p>
    <w:p w14:paraId="0BD7CE9C">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rPr>
      </w:pPr>
      <w:r>
        <w:rPr>
          <w:rFonts w:hint="eastAsia" w:ascii="宋体" w:hAnsi="宋体" w:eastAsia="宋体" w:cs="宋体"/>
          <w:szCs w:val="21"/>
        </w:rPr>
        <w:t>（2）供应商认为采购人员及相关人员与其他供应商有利害关系的，可以向采购人或者采购代理机构在递交报价文件截止时间前1个工作日内以书面提出回避申请，并说明理由。采购人或者采购代理机构应当及时询问被申请回避人员，有利害关系的被申请回避人员应当回避。</w:t>
      </w:r>
    </w:p>
    <w:p w14:paraId="68803482">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29、废标</w:t>
      </w:r>
    </w:p>
    <w:p w14:paraId="04FE3F73">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29.1 出现下列情形之一的，采购人或者采购代理机构应当终止竞争性磋商采购活动，发布项目终止公告并说明原因，重新开展采购活动： </w:t>
      </w:r>
    </w:p>
    <w:p w14:paraId="08856CD0">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29.1.1 因情况变化，不再符合规定的竞争性磋商采购方式适用情形的； </w:t>
      </w:r>
    </w:p>
    <w:p w14:paraId="196E7CB6">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29.1.2 出现影响采购公正的违法、违规行为的； </w:t>
      </w:r>
    </w:p>
    <w:p w14:paraId="76D7456C">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29.1.3 除本章须知第 27.1（1）条款情形外，在采购过程中符合要求的供应商或者未超过采购预算的供应商不足3家的。</w:t>
      </w:r>
    </w:p>
    <w:p w14:paraId="377A319B">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szCs w:val="21"/>
          <w:lang w:val="en-US" w:eastAsia="zh-CN"/>
        </w:rPr>
        <w:t>29.2 废标后，采购人、采购代理机构将把废标理由通知所有供应商。</w:t>
      </w:r>
    </w:p>
    <w:p w14:paraId="499DA5FC">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0" w:firstLineChars="0"/>
        <w:jc w:val="left"/>
        <w:outlineLvl w:val="9"/>
        <w:rPr>
          <w:rFonts w:hint="eastAsia" w:ascii="宋体" w:hAnsi="宋体" w:eastAsia="宋体" w:cs="宋体"/>
          <w:b w:val="0"/>
          <w:bCs w:val="0"/>
          <w:color w:val="auto"/>
          <w:spacing w:val="0"/>
          <w:sz w:val="21"/>
          <w:szCs w:val="21"/>
          <w:lang w:val="en-US" w:eastAsia="zh-CN"/>
        </w:rPr>
      </w:pPr>
    </w:p>
    <w:p w14:paraId="3D1FDF65">
      <w:pPr>
        <w:pStyle w:val="20"/>
        <w:keepNext w:val="0"/>
        <w:keepLines w:val="0"/>
        <w:pageBreakBefore w:val="0"/>
        <w:widowControl w:val="0"/>
        <w:kinsoku/>
        <w:wordWrap/>
        <w:overflowPunct/>
        <w:topLinePunct w:val="0"/>
        <w:autoSpaceDE/>
        <w:autoSpaceDN/>
        <w:bidi w:val="0"/>
        <w:adjustRightInd w:val="0"/>
        <w:snapToGrid w:val="0"/>
        <w:spacing w:line="400" w:lineRule="atLeast"/>
        <w:ind w:firstLine="0"/>
        <w:jc w:val="center"/>
        <w:textAlignment w:val="baseline"/>
        <w:outlineLvl w:val="9"/>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五 确定成交供应商和合同授予</w:t>
      </w:r>
    </w:p>
    <w:p w14:paraId="07089FB6">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textAlignment w:val="baseline"/>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lang w:val="en-US" w:eastAsia="zh-CN"/>
        </w:rPr>
        <w:t>30</w:t>
      </w:r>
      <w:r>
        <w:rPr>
          <w:rFonts w:hint="eastAsia" w:ascii="宋体" w:hAnsi="宋体" w:eastAsia="宋体" w:cs="宋体"/>
          <w:b/>
          <w:bCs/>
          <w:color w:val="auto"/>
          <w:spacing w:val="0"/>
          <w:sz w:val="21"/>
          <w:szCs w:val="21"/>
        </w:rPr>
        <w:t>、确定成交供应商、发布成交结果公告及发出成交通知书</w:t>
      </w:r>
    </w:p>
    <w:p w14:paraId="7DEADFC1">
      <w:pPr>
        <w:pStyle w:val="20"/>
        <w:keepNext w:val="0"/>
        <w:keepLines w:val="0"/>
        <w:pageBreakBefore w:val="0"/>
        <w:widowControl w:val="0"/>
        <w:kinsoku/>
        <w:wordWrap/>
        <w:overflowPunct/>
        <w:topLinePunct w:val="0"/>
        <w:autoSpaceDE/>
        <w:autoSpaceDN/>
        <w:bidi w:val="0"/>
        <w:adjustRightInd w:val="0"/>
        <w:snapToGrid w:val="0"/>
        <w:spacing w:line="400" w:lineRule="atLeast"/>
        <w:ind w:firstLine="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lang w:val="en-US" w:eastAsia="zh-CN"/>
        </w:rPr>
        <w:t>30</w:t>
      </w:r>
      <w:r>
        <w:rPr>
          <w:rFonts w:hint="eastAsia" w:ascii="宋体" w:hAnsi="宋体" w:eastAsia="宋体" w:cs="宋体"/>
          <w:b/>
          <w:bCs/>
          <w:color w:val="auto"/>
          <w:spacing w:val="0"/>
          <w:sz w:val="21"/>
          <w:szCs w:val="21"/>
        </w:rPr>
        <w:t>.1 确定成交供应商</w:t>
      </w:r>
    </w:p>
    <w:p w14:paraId="7C12D80D">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采购代理机构于</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结束后两个工作日内将评审报告送交采购人，采购人应当自收到评审报告五个工作日内在评审报告推荐的成交候选人中按顺序确定成交供应商，采购单位应当确定</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小组推荐排名第一的为成交供应商。</w:t>
      </w:r>
    </w:p>
    <w:p w14:paraId="422DCB4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lang w:val="en-US" w:eastAsia="zh-CN"/>
        </w:rPr>
        <w:t>30</w:t>
      </w:r>
      <w:r>
        <w:rPr>
          <w:rFonts w:hint="eastAsia" w:ascii="宋体" w:hAnsi="宋体" w:eastAsia="宋体" w:cs="宋体"/>
          <w:b/>
          <w:bCs/>
          <w:color w:val="auto"/>
          <w:spacing w:val="0"/>
          <w:sz w:val="21"/>
          <w:szCs w:val="21"/>
        </w:rPr>
        <w:t>.2 发布成交结果公告及发出成交通知书</w:t>
      </w:r>
    </w:p>
    <w:p w14:paraId="5960176A">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30</w:t>
      </w:r>
      <w:r>
        <w:rPr>
          <w:rFonts w:hint="eastAsia" w:ascii="宋体" w:hAnsi="宋体" w:eastAsia="宋体" w:cs="宋体"/>
          <w:color w:val="auto"/>
          <w:spacing w:val="0"/>
          <w:sz w:val="21"/>
          <w:szCs w:val="21"/>
        </w:rPr>
        <w:t>.2.1 采购代理机构在成交供应商确定之日起两个工作日内在指定媒体上发布成交结果公告。供应商如对成交结果公告有异议，可以在成交结果公告期限届满之日前以书面形式向采购代理机构提出质疑。</w:t>
      </w:r>
    </w:p>
    <w:p w14:paraId="672AD9C8">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30</w:t>
      </w:r>
      <w:r>
        <w:rPr>
          <w:rFonts w:hint="eastAsia" w:ascii="宋体" w:hAnsi="宋体" w:eastAsia="宋体" w:cs="宋体"/>
          <w:color w:val="auto"/>
          <w:spacing w:val="0"/>
          <w:sz w:val="21"/>
          <w:szCs w:val="21"/>
        </w:rPr>
        <w:t>.2.2 在发布成交结果公告的同时，采购代理机构向成交供应商发出成交通知书。</w:t>
      </w:r>
    </w:p>
    <w:p w14:paraId="71DB13E8">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30</w:t>
      </w:r>
      <w:r>
        <w:rPr>
          <w:rFonts w:hint="eastAsia" w:ascii="宋体" w:hAnsi="宋体" w:eastAsia="宋体" w:cs="宋体"/>
          <w:color w:val="auto"/>
          <w:spacing w:val="0"/>
          <w:sz w:val="21"/>
          <w:szCs w:val="21"/>
        </w:rPr>
        <w:t>.2.3 在成交通知书发出前，应对成交供应商信用进行查询，对在“信用中国”网站、中国政府采购网等渠道列入失信被执行人、重大税收违法案件当事人名单、政府采购严重违法失信行为记录名单及其他不符合《中华人民共和国政府采购法》第二十二条规定条件的供应商，取消其成交候选人资格。采购人依法按照评审报告中</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小组推荐成交候选人排序表确定排名第二的成交候选人为成交供应商。排名第二的成交供应商因上述规定的同样原因被取消成交资格的，采购人可以确定排名第三的成交候选人为成交供应商。</w:t>
      </w:r>
    </w:p>
    <w:p w14:paraId="70988307">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信用信息查询记录和证据留存方式：在查询网站中直接打印查询记录，打印材料作为采购活动资料保存。</w:t>
      </w:r>
    </w:p>
    <w:p w14:paraId="7FCEFEDD">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30</w:t>
      </w:r>
      <w:r>
        <w:rPr>
          <w:rFonts w:hint="eastAsia" w:ascii="宋体" w:hAnsi="宋体" w:eastAsia="宋体" w:cs="宋体"/>
          <w:color w:val="auto"/>
          <w:spacing w:val="0"/>
          <w:sz w:val="21"/>
          <w:szCs w:val="21"/>
        </w:rPr>
        <w:t>.3 排名第一的成交候选供应商放弃成交、因不可抗力提出不能履行合同，招标采购单位可以确定排名第二的成交候选人为成交供应商。第二成交候选人因前款规定的同样原因不能签订合同的，招标采购单位可以确定排名第三的成交候选人为成交供应商或重新采购。</w:t>
      </w:r>
    </w:p>
    <w:p w14:paraId="01389363">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lang w:val="en-US" w:eastAsia="zh-CN"/>
        </w:rPr>
        <w:t>31</w:t>
      </w:r>
      <w:r>
        <w:rPr>
          <w:rFonts w:hint="eastAsia" w:ascii="宋体" w:hAnsi="宋体" w:eastAsia="宋体" w:cs="宋体"/>
          <w:b/>
          <w:bCs/>
          <w:color w:val="auto"/>
          <w:spacing w:val="0"/>
          <w:sz w:val="21"/>
          <w:szCs w:val="21"/>
        </w:rPr>
        <w:t>、采购合同授予标准</w:t>
      </w:r>
    </w:p>
    <w:p w14:paraId="492E2A00">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31</w:t>
      </w:r>
      <w:r>
        <w:rPr>
          <w:rFonts w:hint="eastAsia" w:ascii="宋体" w:hAnsi="宋体" w:eastAsia="宋体" w:cs="宋体"/>
          <w:color w:val="auto"/>
          <w:spacing w:val="0"/>
          <w:sz w:val="21"/>
          <w:szCs w:val="21"/>
        </w:rPr>
        <w:t>.1 签订合同时间：见本章须知前附表。</w:t>
      </w:r>
    </w:p>
    <w:p w14:paraId="52A3DD65">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31</w:t>
      </w:r>
      <w:r>
        <w:rPr>
          <w:rFonts w:hint="eastAsia" w:ascii="宋体" w:hAnsi="宋体" w:eastAsia="宋体" w:cs="宋体"/>
          <w:color w:val="auto"/>
          <w:spacing w:val="0"/>
          <w:sz w:val="21"/>
          <w:szCs w:val="21"/>
        </w:rPr>
        <w:t>.2 签订政府采购合同：成交人须凭成交通知书原件按告知函中规定的时间、地点与采购单位签订合同。成交人不得再与采购人签署订立背离合同实质性内容的其它协议或声明。如成交人不按成交通知书的规定签订政府采购合同，则按成交人违约处理，采购代理机构对成交人所递交的全部</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保证金</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lang w:val="en-US" w:eastAsia="zh-CN"/>
        </w:rPr>
        <w:t>如有</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将不予退还。</w:t>
      </w:r>
    </w:p>
    <w:p w14:paraId="7FB519C3">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31</w:t>
      </w:r>
      <w:r>
        <w:rPr>
          <w:rFonts w:hint="eastAsia" w:ascii="宋体" w:hAnsi="宋体" w:eastAsia="宋体" w:cs="宋体"/>
          <w:color w:val="auto"/>
          <w:spacing w:val="0"/>
          <w:sz w:val="21"/>
          <w:szCs w:val="21"/>
        </w:rPr>
        <w:t>.3 采购代理机构如遇成交人违约，有权从成交候选人中确定成交人，并组织成交人与采购单位签订合同，或重新组织采购。成交人因不可抗力或者自身原因不能履行采购合同的，采购人可以与排位在成交人之后第一个成交候选人签订采购合同，以此类推。</w:t>
      </w:r>
    </w:p>
    <w:p w14:paraId="77593412">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由于成交人放弃成交或未按规定签订合同，造成本项目的合同成交价提高（指采购人选择第二成交候选人导致成交金额高于违约供应商的成交价），所超出违约供应商的成交价部分由违约供应商承担赔偿责任。</w:t>
      </w:r>
    </w:p>
    <w:p w14:paraId="711C5A87">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31</w:t>
      </w:r>
      <w:r>
        <w:rPr>
          <w:rFonts w:hint="eastAsia" w:ascii="宋体" w:hAnsi="宋体" w:eastAsia="宋体" w:cs="宋体"/>
          <w:color w:val="auto"/>
          <w:spacing w:val="0"/>
          <w:sz w:val="21"/>
          <w:szCs w:val="21"/>
        </w:rPr>
        <w:t>.4 政府采购合同履行中，采购人需追加与合同标的相同的货物、工程或者服务的，在不改变合同其他条款的前提下，可以与供应商协商签订补充合同，但所有补充合同的采购金额不得超过原合同采购金额的10%。</w:t>
      </w:r>
    </w:p>
    <w:p w14:paraId="418475B1">
      <w:pPr>
        <w:pStyle w:val="2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baseline"/>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31</w:t>
      </w:r>
      <w:r>
        <w:rPr>
          <w:rFonts w:hint="eastAsia" w:ascii="宋体" w:hAnsi="宋体" w:eastAsia="宋体" w:cs="宋体"/>
          <w:color w:val="auto"/>
          <w:spacing w:val="0"/>
          <w:sz w:val="21"/>
          <w:szCs w:val="21"/>
        </w:rPr>
        <w:t>.5 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在响应文件中注明</w:t>
      </w:r>
      <w:r>
        <w:rPr>
          <w:rFonts w:hint="eastAsia" w:ascii="宋体" w:hAnsi="宋体" w:eastAsia="宋体" w:cs="宋体"/>
          <w:color w:val="auto"/>
          <w:spacing w:val="0"/>
          <w:sz w:val="21"/>
          <w:szCs w:val="21"/>
          <w:lang w:val="en-US" w:eastAsia="zh-CN"/>
        </w:rPr>
        <w:t>磋商</w:t>
      </w:r>
      <w:r>
        <w:rPr>
          <w:rFonts w:hint="eastAsia" w:ascii="宋体" w:hAnsi="宋体" w:eastAsia="宋体" w:cs="宋体"/>
          <w:color w:val="auto"/>
          <w:spacing w:val="0"/>
          <w:sz w:val="21"/>
          <w:szCs w:val="21"/>
        </w:rPr>
        <w:t>内容中涉及商业秘密的部分，未注明的视为响应文件中不涉及商业秘密。</w:t>
      </w:r>
    </w:p>
    <w:p w14:paraId="7E4481D6">
      <w:pPr>
        <w:pStyle w:val="10"/>
        <w:keepNext w:val="0"/>
        <w:keepLines w:val="0"/>
        <w:pageBreakBefore w:val="0"/>
        <w:widowControl w:val="0"/>
        <w:kinsoku/>
        <w:wordWrap/>
        <w:overflowPunct/>
        <w:topLinePunct w:val="0"/>
        <w:autoSpaceDE/>
        <w:autoSpaceDN/>
        <w:bidi w:val="0"/>
        <w:adjustRightInd w:val="0"/>
        <w:snapToGrid w:val="0"/>
        <w:spacing w:line="400" w:lineRule="atLeast"/>
        <w:ind w:left="3"/>
        <w:jc w:val="center"/>
        <w:outlineLvl w:val="9"/>
        <w:rPr>
          <w:rFonts w:hint="eastAsia" w:ascii="宋体" w:hAnsi="宋体" w:eastAsia="宋体" w:cs="宋体"/>
          <w:b/>
          <w:sz w:val="24"/>
          <w:szCs w:val="24"/>
        </w:rPr>
      </w:pPr>
    </w:p>
    <w:p w14:paraId="6F22156B">
      <w:pPr>
        <w:pStyle w:val="10"/>
        <w:keepNext w:val="0"/>
        <w:keepLines w:val="0"/>
        <w:pageBreakBefore w:val="0"/>
        <w:widowControl w:val="0"/>
        <w:kinsoku/>
        <w:wordWrap/>
        <w:overflowPunct/>
        <w:topLinePunct w:val="0"/>
        <w:autoSpaceDE/>
        <w:autoSpaceDN/>
        <w:bidi w:val="0"/>
        <w:adjustRightInd w:val="0"/>
        <w:snapToGrid w:val="0"/>
        <w:spacing w:line="400" w:lineRule="atLeast"/>
        <w:ind w:left="3"/>
        <w:jc w:val="center"/>
        <w:outlineLvl w:val="9"/>
        <w:rPr>
          <w:rFonts w:hint="eastAsia" w:ascii="宋体" w:hAnsi="宋体" w:eastAsia="宋体" w:cs="宋体"/>
          <w:b/>
          <w:sz w:val="24"/>
          <w:szCs w:val="24"/>
        </w:rPr>
      </w:pPr>
      <w:r>
        <w:rPr>
          <w:rFonts w:hint="eastAsia" w:ascii="宋体" w:hAnsi="宋体" w:eastAsia="宋体" w:cs="宋体"/>
          <w:b/>
          <w:sz w:val="24"/>
          <w:szCs w:val="24"/>
        </w:rPr>
        <w:t>六、其他事项</w:t>
      </w:r>
    </w:p>
    <w:p w14:paraId="046C42A7">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textAlignment w:val="auto"/>
        <w:outlineLvl w:val="9"/>
        <w:rPr>
          <w:rFonts w:hint="eastAsia" w:ascii="宋体" w:hAnsi="宋体" w:eastAsia="宋体" w:cs="宋体"/>
          <w:b/>
          <w:bCs/>
          <w:kern w:val="0"/>
          <w:szCs w:val="21"/>
        </w:rPr>
      </w:pPr>
      <w:bookmarkStart w:id="14" w:name="_Toc298836133"/>
      <w:bookmarkStart w:id="15" w:name="_Toc207770867"/>
      <w:bookmarkStart w:id="16" w:name="_Toc206525714"/>
      <w:bookmarkStart w:id="17" w:name="_Toc230578089"/>
      <w:r>
        <w:rPr>
          <w:rFonts w:hint="eastAsia" w:ascii="宋体" w:hAnsi="宋体" w:eastAsia="宋体" w:cs="宋体"/>
          <w:b/>
          <w:bCs/>
          <w:kern w:val="0"/>
          <w:szCs w:val="21"/>
          <w:lang w:val="en-US" w:eastAsia="zh-CN"/>
        </w:rPr>
        <w:t>32</w:t>
      </w:r>
      <w:r>
        <w:rPr>
          <w:rFonts w:hint="eastAsia" w:ascii="宋体" w:hAnsi="宋体" w:eastAsia="宋体" w:cs="宋体"/>
          <w:b/>
          <w:bCs/>
          <w:kern w:val="0"/>
          <w:szCs w:val="21"/>
        </w:rPr>
        <w:t>、履约保证金</w:t>
      </w:r>
      <w:bookmarkEnd w:id="14"/>
      <w:bookmarkEnd w:id="15"/>
      <w:bookmarkEnd w:id="16"/>
      <w:bookmarkEnd w:id="17"/>
    </w:p>
    <w:p w14:paraId="742771E3">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kern w:val="0"/>
          <w:szCs w:val="21"/>
        </w:rPr>
      </w:pPr>
      <w:r>
        <w:rPr>
          <w:rFonts w:hint="eastAsia" w:ascii="宋体" w:hAnsi="宋体" w:eastAsia="宋体" w:cs="宋体"/>
          <w:kern w:val="0"/>
          <w:szCs w:val="21"/>
          <w:lang w:val="en-US" w:eastAsia="zh-CN"/>
        </w:rPr>
        <w:t>32</w:t>
      </w:r>
      <w:r>
        <w:rPr>
          <w:rFonts w:hint="eastAsia" w:ascii="宋体" w:hAnsi="宋体" w:eastAsia="宋体" w:cs="宋体"/>
          <w:kern w:val="0"/>
          <w:szCs w:val="21"/>
        </w:rPr>
        <w:t>.1 履约保证金：见供应商须知前附表。</w:t>
      </w:r>
    </w:p>
    <w:p w14:paraId="6DD295D4">
      <w:pPr>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textAlignment w:val="auto"/>
        <w:outlineLvl w:val="9"/>
        <w:rPr>
          <w:rFonts w:hint="eastAsia" w:ascii="宋体" w:hAnsi="宋体" w:eastAsia="宋体" w:cs="宋体"/>
          <w:b/>
          <w:szCs w:val="21"/>
        </w:rPr>
      </w:pPr>
      <w:r>
        <w:rPr>
          <w:rFonts w:hint="eastAsia" w:ascii="宋体" w:hAnsi="宋体" w:eastAsia="宋体" w:cs="宋体"/>
          <w:b/>
          <w:szCs w:val="21"/>
          <w:lang w:val="en-US" w:eastAsia="zh-CN"/>
        </w:rPr>
        <w:t>33</w:t>
      </w:r>
      <w:r>
        <w:rPr>
          <w:rFonts w:hint="eastAsia" w:ascii="宋体" w:hAnsi="宋体" w:eastAsia="宋体" w:cs="宋体"/>
          <w:b/>
          <w:szCs w:val="21"/>
        </w:rPr>
        <w:t>、采购代理服务费</w:t>
      </w:r>
    </w:p>
    <w:p w14:paraId="377D237A">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33</w:t>
      </w:r>
      <w:r>
        <w:rPr>
          <w:rFonts w:hint="eastAsia" w:ascii="宋体" w:hAnsi="宋体" w:eastAsia="宋体" w:cs="宋体"/>
          <w:szCs w:val="21"/>
        </w:rPr>
        <w:t>.1 采购代理服务费计费标准如下：</w:t>
      </w:r>
    </w:p>
    <w:tbl>
      <w:tblPr>
        <w:tblStyle w:val="16"/>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1770"/>
        <w:gridCol w:w="1770"/>
        <w:gridCol w:w="1770"/>
      </w:tblGrid>
      <w:tr w14:paraId="59FE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180" w:type="dxa"/>
            <w:noWrap w:val="0"/>
            <w:vAlign w:val="top"/>
          </w:tcPr>
          <w:p w14:paraId="070487BF">
            <w:pPr>
              <w:pStyle w:val="10"/>
              <w:keepNext w:val="0"/>
              <w:keepLines w:val="0"/>
              <w:pageBreakBefore w:val="0"/>
              <w:widowControl w:val="0"/>
              <w:kinsoku/>
              <w:wordWrap/>
              <w:overflowPunct/>
              <w:topLinePunct w:val="0"/>
              <w:autoSpaceDE/>
              <w:autoSpaceDN/>
              <w:bidi w:val="0"/>
              <w:adjustRightInd w:val="0"/>
              <w:snapToGrid w:val="0"/>
              <w:spacing w:line="0" w:lineRule="atLeast"/>
              <w:ind w:firstLine="2100" w:firstLineChars="1000"/>
              <w:textAlignment w:val="auto"/>
              <w:outlineLvl w:val="9"/>
              <w:rPr>
                <w:rFonts w:hint="eastAsia" w:ascii="宋体" w:hAnsi="宋体" w:eastAsia="宋体" w:cs="宋体"/>
                <w:kern w:val="0"/>
                <w:szCs w:val="21"/>
              </w:rPr>
            </w:pPr>
            <w:r>
              <w:rPr>
                <w:rFonts w:hint="eastAsia" w:ascii="宋体" w:hAnsi="宋体" w:eastAsia="宋体" w:cs="宋体"/>
                <w:kern w:val="0"/>
                <w:szCs w:val="21"/>
              </w:rPr>
              <mc:AlternateContent>
                <mc:Choice Requires="wpg">
                  <w:drawing>
                    <wp:anchor distT="0" distB="0" distL="114300" distR="114300" simplePos="0" relativeHeight="251660288" behindDoc="0" locked="0" layoutInCell="1" allowOverlap="1">
                      <wp:simplePos x="0" y="0"/>
                      <wp:positionH relativeFrom="column">
                        <wp:posOffset>-80645</wp:posOffset>
                      </wp:positionH>
                      <wp:positionV relativeFrom="paragraph">
                        <wp:posOffset>26670</wp:posOffset>
                      </wp:positionV>
                      <wp:extent cx="2062480" cy="858520"/>
                      <wp:effectExtent l="1270" t="3810" r="8890" b="6350"/>
                      <wp:wrapNone/>
                      <wp:docPr id="5" name="组合 5"/>
                      <wp:cNvGraphicFramePr/>
                      <a:graphic xmlns:a="http://schemas.openxmlformats.org/drawingml/2006/main">
                        <a:graphicData uri="http://schemas.microsoft.com/office/word/2010/wordprocessingGroup">
                          <wpg:wgp>
                            <wpg:cNvGrpSpPr/>
                            <wpg:grpSpPr>
                              <a:xfrm>
                                <a:off x="0" y="0"/>
                                <a:ext cx="2062480" cy="858520"/>
                                <a:chOff x="0" y="0"/>
                                <a:chExt cx="2534" cy="1072"/>
                              </a:xfrm>
                              <a:effectLst/>
                            </wpg:grpSpPr>
                            <wps:wsp>
                              <wps:cNvPr id="6" name="__TH_L25"/>
                              <wps:cNvCnPr/>
                              <wps:spPr>
                                <a:xfrm>
                                  <a:off x="1267" y="0"/>
                                  <a:ext cx="1267" cy="1072"/>
                                </a:xfrm>
                                <a:prstGeom prst="line">
                                  <a:avLst/>
                                </a:prstGeom>
                                <a:ln w="6350" cap="flat" cmpd="sng">
                                  <a:solidFill>
                                    <a:srgbClr val="000000"/>
                                  </a:solidFill>
                                  <a:prstDash val="solid"/>
                                  <a:headEnd type="none" w="med" len="med"/>
                                  <a:tailEnd type="none" w="med" len="med"/>
                                </a:ln>
                                <a:effectLst/>
                              </wps:spPr>
                              <wps:bodyPr upright="1"/>
                            </wps:wsp>
                            <wps:wsp>
                              <wps:cNvPr id="10" name="__TH_L26"/>
                              <wps:cNvCnPr/>
                              <wps:spPr>
                                <a:xfrm>
                                  <a:off x="0" y="536"/>
                                  <a:ext cx="2534" cy="536"/>
                                </a:xfrm>
                                <a:prstGeom prst="line">
                                  <a:avLst/>
                                </a:prstGeom>
                                <a:ln w="6350"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6.35pt;margin-top:2.1pt;height:67.6pt;width:162.4pt;z-index:251660288;mso-width-relative:page;mso-height-relative:page;" coordsize="2534,1072" o:gfxdata="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DqEgU2QAAAAkBAAAPAAAA&#10;AAAAAAEAIAAAACIAAABkcnMvZG93bnJldi54bWxQSwECFAAUAAAACACHTuJAn4wzW4YCAAAxBwAA&#10;DgAAAAAAAAABACAAAAAoAQAAZHJzL2Uyb0RvYy54bWxQSwUGAAAAAAYABgBZAQAAIAYAAAAA&#10;">
                      <o:lock v:ext="edit" aspectratio="f"/>
                      <v:line id="__TH_L25" o:spid="_x0000_s1026" o:spt="20" style="position:absolute;left:1267;top:0;height:1072;width:1267;"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26" o:spid="_x0000_s1026" o:spt="20" style="position:absolute;left:0;top:536;height:536;width:2534;"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group>
                  </w:pict>
                </mc:Fallback>
              </mc:AlternateContent>
            </w:r>
            <w:r>
              <w:rPr>
                <w:rFonts w:hint="eastAsia" w:ascii="宋体" w:hAnsi="宋体" w:eastAsia="宋体" w:cs="宋体"/>
                <w:kern w:val="0"/>
                <w:szCs w:val="21"/>
              </w:rPr>
              <w:t>服务类型</w:t>
            </w:r>
          </w:p>
          <w:p w14:paraId="2F95C15D">
            <w:pPr>
              <w:pStyle w:val="10"/>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textAlignment w:val="auto"/>
              <w:outlineLvl w:val="9"/>
              <w:rPr>
                <w:rFonts w:hint="eastAsia" w:ascii="宋体" w:hAnsi="宋体" w:eastAsia="宋体" w:cs="宋体"/>
                <w:kern w:val="0"/>
                <w:szCs w:val="21"/>
              </w:rPr>
            </w:pPr>
            <w:r>
              <w:rPr>
                <w:rFonts w:hint="eastAsia" w:ascii="宋体" w:hAnsi="宋体" w:eastAsia="宋体" w:cs="宋体"/>
                <w:kern w:val="0"/>
                <w:szCs w:val="21"/>
              </w:rPr>
              <w:t>费  率</w:t>
            </w:r>
          </w:p>
          <w:p w14:paraId="3E5BB88C">
            <w:pPr>
              <w:pStyle w:val="10"/>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textAlignment w:val="auto"/>
              <w:outlineLvl w:val="9"/>
              <w:rPr>
                <w:rFonts w:hint="eastAsia" w:ascii="宋体" w:hAnsi="宋体" w:eastAsia="宋体" w:cs="宋体"/>
                <w:kern w:val="0"/>
                <w:szCs w:val="21"/>
              </w:rPr>
            </w:pPr>
          </w:p>
          <w:p w14:paraId="64B88882">
            <w:pPr>
              <w:pStyle w:val="10"/>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textAlignment w:val="auto"/>
              <w:outlineLvl w:val="9"/>
              <w:rPr>
                <w:rFonts w:hint="eastAsia" w:ascii="宋体" w:hAnsi="宋体" w:eastAsia="宋体" w:cs="宋体"/>
                <w:kern w:val="0"/>
                <w:szCs w:val="21"/>
              </w:rPr>
            </w:pPr>
          </w:p>
          <w:p w14:paraId="7729DB22">
            <w:pPr>
              <w:pStyle w:val="10"/>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textAlignment w:val="auto"/>
              <w:outlineLvl w:val="9"/>
              <w:rPr>
                <w:rFonts w:hint="eastAsia" w:ascii="宋体" w:hAnsi="宋体" w:eastAsia="宋体" w:cs="宋体"/>
                <w:kern w:val="0"/>
                <w:szCs w:val="21"/>
              </w:rPr>
            </w:pPr>
            <w:r>
              <w:rPr>
                <w:rFonts w:hint="eastAsia" w:ascii="宋体" w:hAnsi="宋体" w:eastAsia="宋体" w:cs="宋体"/>
                <w:kern w:val="0"/>
                <w:szCs w:val="21"/>
              </w:rPr>
              <w:t>成交金额（万元）</w:t>
            </w:r>
          </w:p>
        </w:tc>
        <w:tc>
          <w:tcPr>
            <w:tcW w:w="1770" w:type="dxa"/>
            <w:noWrap w:val="0"/>
            <w:vAlign w:val="center"/>
          </w:tcPr>
          <w:p w14:paraId="0B7F8FC1">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货物类</w:t>
            </w:r>
          </w:p>
        </w:tc>
        <w:tc>
          <w:tcPr>
            <w:tcW w:w="1770" w:type="dxa"/>
            <w:noWrap w:val="0"/>
            <w:vAlign w:val="center"/>
          </w:tcPr>
          <w:p w14:paraId="6444FF1F">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服务类</w:t>
            </w:r>
          </w:p>
        </w:tc>
        <w:tc>
          <w:tcPr>
            <w:tcW w:w="1770" w:type="dxa"/>
            <w:noWrap w:val="0"/>
            <w:vAlign w:val="center"/>
          </w:tcPr>
          <w:p w14:paraId="1B3E5A7D">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工程类</w:t>
            </w:r>
          </w:p>
        </w:tc>
      </w:tr>
      <w:tr w14:paraId="6CE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180" w:type="dxa"/>
            <w:noWrap w:val="0"/>
            <w:vAlign w:val="center"/>
          </w:tcPr>
          <w:p w14:paraId="53B7CEF4">
            <w:pPr>
              <w:pStyle w:val="10"/>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100以下</w:t>
            </w:r>
          </w:p>
        </w:tc>
        <w:tc>
          <w:tcPr>
            <w:tcW w:w="1770" w:type="dxa"/>
            <w:noWrap w:val="0"/>
            <w:vAlign w:val="center"/>
          </w:tcPr>
          <w:p w14:paraId="70CA88B4">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1.5%</w:t>
            </w:r>
          </w:p>
        </w:tc>
        <w:tc>
          <w:tcPr>
            <w:tcW w:w="1770" w:type="dxa"/>
            <w:noWrap w:val="0"/>
            <w:vAlign w:val="center"/>
          </w:tcPr>
          <w:p w14:paraId="5BB517BE">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1.5%</w:t>
            </w:r>
          </w:p>
        </w:tc>
        <w:tc>
          <w:tcPr>
            <w:tcW w:w="1770" w:type="dxa"/>
            <w:noWrap w:val="0"/>
            <w:vAlign w:val="center"/>
          </w:tcPr>
          <w:p w14:paraId="55929A40">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1.0%</w:t>
            </w:r>
          </w:p>
        </w:tc>
      </w:tr>
      <w:tr w14:paraId="6E00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80" w:type="dxa"/>
            <w:noWrap w:val="0"/>
            <w:vAlign w:val="center"/>
          </w:tcPr>
          <w:p w14:paraId="62ECFEE8">
            <w:pPr>
              <w:pStyle w:val="10"/>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100-500</w:t>
            </w:r>
          </w:p>
        </w:tc>
        <w:tc>
          <w:tcPr>
            <w:tcW w:w="1770" w:type="dxa"/>
            <w:noWrap w:val="0"/>
            <w:vAlign w:val="center"/>
          </w:tcPr>
          <w:p w14:paraId="783D9CF3">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1.1%</w:t>
            </w:r>
          </w:p>
        </w:tc>
        <w:tc>
          <w:tcPr>
            <w:tcW w:w="1770" w:type="dxa"/>
            <w:noWrap w:val="0"/>
            <w:vAlign w:val="center"/>
          </w:tcPr>
          <w:p w14:paraId="02F57040">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0.8%</w:t>
            </w:r>
          </w:p>
        </w:tc>
        <w:tc>
          <w:tcPr>
            <w:tcW w:w="1770" w:type="dxa"/>
            <w:noWrap w:val="0"/>
            <w:vAlign w:val="center"/>
          </w:tcPr>
          <w:p w14:paraId="1B0B8D6C">
            <w:pPr>
              <w:pStyle w:val="10"/>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0.7%</w:t>
            </w:r>
          </w:p>
        </w:tc>
      </w:tr>
    </w:tbl>
    <w:p w14:paraId="3DF1BFDA">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szCs w:val="21"/>
        </w:rPr>
      </w:pPr>
      <w:r>
        <w:rPr>
          <w:rFonts w:hint="eastAsia" w:ascii="宋体" w:hAnsi="宋体" w:eastAsia="宋体" w:cs="宋体"/>
          <w:szCs w:val="21"/>
        </w:rPr>
        <w:t>成交供应商领取成交通知书前，向采购代理机构一次性付清代理服务费。采购代理服务费收费按差额定率累进法计算。</w:t>
      </w:r>
    </w:p>
    <w:p w14:paraId="03399A31">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szCs w:val="21"/>
        </w:rPr>
      </w:pPr>
      <w:r>
        <w:rPr>
          <w:rFonts w:hint="eastAsia" w:ascii="宋体" w:hAnsi="宋体" w:eastAsia="宋体" w:cs="宋体"/>
          <w:szCs w:val="21"/>
        </w:rPr>
        <w:t>例如：某服务招标代理业务成交金额或暂定价为</w:t>
      </w:r>
      <w:r>
        <w:rPr>
          <w:rFonts w:hint="eastAsia" w:ascii="宋体" w:hAnsi="宋体" w:eastAsia="宋体" w:cs="宋体"/>
          <w:szCs w:val="21"/>
          <w:lang w:val="en-US" w:eastAsia="zh-CN"/>
        </w:rPr>
        <w:t>200</w:t>
      </w:r>
      <w:r>
        <w:rPr>
          <w:rFonts w:hint="eastAsia" w:ascii="宋体" w:hAnsi="宋体" w:eastAsia="宋体" w:cs="宋体"/>
          <w:szCs w:val="21"/>
        </w:rPr>
        <w:t>万元，则采购代理服务费收费如下：</w:t>
      </w:r>
    </w:p>
    <w:p w14:paraId="40C9D37C">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kern w:val="0"/>
          <w:szCs w:val="21"/>
        </w:rPr>
      </w:pPr>
      <w:r>
        <w:rPr>
          <w:rFonts w:hint="eastAsia" w:ascii="宋体" w:hAnsi="宋体" w:eastAsia="宋体" w:cs="宋体"/>
          <w:szCs w:val="21"/>
        </w:rPr>
        <w:t>100万元×</w:t>
      </w: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%＝1万元</w:t>
      </w:r>
    </w:p>
    <w:p w14:paraId="4B92AEBF">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200-100</w:t>
      </w:r>
      <w:r>
        <w:rPr>
          <w:rFonts w:hint="eastAsia" w:ascii="宋体" w:hAnsi="宋体" w:eastAsia="宋体" w:cs="宋体"/>
          <w:kern w:val="0"/>
          <w:szCs w:val="21"/>
          <w:lang w:eastAsia="zh-CN"/>
        </w:rPr>
        <w:t>）</w:t>
      </w:r>
      <w:r>
        <w:rPr>
          <w:rFonts w:hint="eastAsia" w:ascii="宋体" w:hAnsi="宋体" w:eastAsia="宋体" w:cs="宋体"/>
          <w:szCs w:val="21"/>
        </w:rPr>
        <w:t>×</w:t>
      </w:r>
      <w:r>
        <w:rPr>
          <w:rFonts w:hint="eastAsia" w:ascii="宋体" w:hAnsi="宋体" w:eastAsia="宋体" w:cs="宋体"/>
          <w:szCs w:val="21"/>
          <w:lang w:val="en-US" w:eastAsia="zh-CN"/>
        </w:rPr>
        <w:t>0.7%＝0.7万元</w:t>
      </w:r>
    </w:p>
    <w:p w14:paraId="1F6E48AA">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default"/>
          <w:lang w:val="en-US" w:eastAsia="zh-CN"/>
        </w:rPr>
      </w:pPr>
      <w:r>
        <w:rPr>
          <w:rFonts w:hint="eastAsia" w:ascii="宋体" w:hAnsi="宋体" w:eastAsia="宋体" w:cs="宋体"/>
          <w:szCs w:val="21"/>
          <w:lang w:val="en-US" w:eastAsia="zh-CN"/>
        </w:rPr>
        <w:t>1+0.7＝1.7万元</w:t>
      </w:r>
    </w:p>
    <w:p w14:paraId="7BA54AF5">
      <w:pPr>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szCs w:val="21"/>
        </w:rPr>
      </w:pPr>
      <w:r>
        <w:rPr>
          <w:rFonts w:hint="eastAsia" w:ascii="宋体" w:hAnsi="宋体" w:eastAsia="宋体" w:cs="宋体"/>
          <w:szCs w:val="21"/>
          <w:lang w:val="en-US" w:eastAsia="zh-CN"/>
        </w:rPr>
        <w:t>33</w:t>
      </w:r>
      <w:r>
        <w:rPr>
          <w:rFonts w:hint="eastAsia" w:ascii="宋体" w:hAnsi="宋体" w:eastAsia="宋体" w:cs="宋体"/>
          <w:szCs w:val="21"/>
        </w:rPr>
        <w:t>.2 采购代理服务费账号：</w:t>
      </w:r>
    </w:p>
    <w:p w14:paraId="5A3B64AF">
      <w:pPr>
        <w:pStyle w:val="10"/>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szCs w:val="21"/>
        </w:rPr>
      </w:pPr>
      <w:r>
        <w:rPr>
          <w:rFonts w:hint="eastAsia" w:ascii="宋体" w:hAnsi="宋体" w:eastAsia="宋体" w:cs="宋体"/>
          <w:szCs w:val="21"/>
        </w:rPr>
        <w:t>开户名称：同致诚工程咨询有限公司梧州分公司</w:t>
      </w:r>
    </w:p>
    <w:p w14:paraId="6DDBCDFD">
      <w:pPr>
        <w:pStyle w:val="10"/>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szCs w:val="21"/>
        </w:rPr>
      </w:pPr>
      <w:r>
        <w:rPr>
          <w:rFonts w:hint="eastAsia" w:ascii="宋体" w:hAnsi="宋体" w:eastAsia="宋体" w:cs="宋体"/>
          <w:szCs w:val="21"/>
        </w:rPr>
        <w:t>开户银行：中国银行股份有限公司梧州市京梧支行</w:t>
      </w:r>
    </w:p>
    <w:p w14:paraId="122AFBEC">
      <w:pPr>
        <w:pStyle w:val="10"/>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szCs w:val="21"/>
        </w:rPr>
      </w:pPr>
      <w:r>
        <w:rPr>
          <w:rFonts w:hint="eastAsia" w:ascii="宋体" w:hAnsi="宋体" w:eastAsia="宋体" w:cs="宋体"/>
          <w:szCs w:val="21"/>
        </w:rPr>
        <w:t>银行账号：623</w:t>
      </w:r>
      <w:r>
        <w:rPr>
          <w:rFonts w:hint="eastAsia" w:ascii="宋体" w:hAnsi="宋体" w:eastAsia="宋体" w:cs="宋体"/>
          <w:szCs w:val="21"/>
          <w:lang w:val="en-US" w:eastAsia="zh-CN"/>
        </w:rPr>
        <w:t xml:space="preserve"> </w:t>
      </w:r>
      <w:r>
        <w:rPr>
          <w:rFonts w:hint="eastAsia" w:ascii="宋体" w:hAnsi="宋体" w:eastAsia="宋体" w:cs="宋体"/>
          <w:szCs w:val="21"/>
        </w:rPr>
        <w:t>688</w:t>
      </w:r>
      <w:r>
        <w:rPr>
          <w:rFonts w:hint="eastAsia" w:ascii="宋体" w:hAnsi="宋体" w:eastAsia="宋体" w:cs="宋体"/>
          <w:szCs w:val="21"/>
          <w:lang w:val="en-US" w:eastAsia="zh-CN"/>
        </w:rPr>
        <w:t xml:space="preserve"> </w:t>
      </w:r>
      <w:r>
        <w:rPr>
          <w:rFonts w:hint="eastAsia" w:ascii="宋体" w:hAnsi="宋体" w:eastAsia="宋体" w:cs="宋体"/>
          <w:szCs w:val="21"/>
        </w:rPr>
        <w:t>539</w:t>
      </w:r>
      <w:r>
        <w:rPr>
          <w:rFonts w:hint="eastAsia" w:ascii="宋体" w:hAnsi="宋体" w:eastAsia="宋体" w:cs="宋体"/>
          <w:szCs w:val="21"/>
          <w:lang w:val="en-US" w:eastAsia="zh-CN"/>
        </w:rPr>
        <w:t xml:space="preserve"> </w:t>
      </w:r>
      <w:r>
        <w:rPr>
          <w:rFonts w:hint="eastAsia" w:ascii="宋体" w:hAnsi="宋体" w:eastAsia="宋体" w:cs="宋体"/>
          <w:szCs w:val="21"/>
        </w:rPr>
        <w:t>965</w:t>
      </w:r>
    </w:p>
    <w:p w14:paraId="6C453B6D">
      <w:pPr>
        <w:pStyle w:val="20"/>
        <w:keepNext w:val="0"/>
        <w:keepLines w:val="0"/>
        <w:pageBreakBefore w:val="0"/>
        <w:widowControl w:val="0"/>
        <w:kinsoku/>
        <w:wordWrap/>
        <w:overflowPunct/>
        <w:topLinePunct w:val="0"/>
        <w:autoSpaceDE/>
        <w:autoSpaceDN/>
        <w:bidi w:val="0"/>
        <w:adjustRightInd w:val="0"/>
        <w:snapToGrid w:val="0"/>
        <w:spacing w:line="420" w:lineRule="atLeast"/>
        <w:ind w:firstLine="422" w:firstLineChars="200"/>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lang w:val="en-US" w:eastAsia="zh-CN"/>
        </w:rPr>
        <w:t>34</w:t>
      </w:r>
      <w:r>
        <w:rPr>
          <w:rFonts w:hint="eastAsia" w:ascii="宋体" w:hAnsi="宋体" w:eastAsia="宋体" w:cs="宋体"/>
          <w:b/>
          <w:bCs/>
          <w:color w:val="auto"/>
          <w:spacing w:val="0"/>
          <w:sz w:val="21"/>
          <w:szCs w:val="21"/>
        </w:rPr>
        <w:t>、解释权</w:t>
      </w:r>
    </w:p>
    <w:p w14:paraId="65212F49">
      <w:pPr>
        <w:pStyle w:val="20"/>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34</w:t>
      </w:r>
      <w:r>
        <w:rPr>
          <w:rFonts w:hint="eastAsia" w:ascii="宋体" w:hAnsi="宋体" w:eastAsia="宋体" w:cs="宋体"/>
          <w:color w:val="auto"/>
          <w:spacing w:val="0"/>
          <w:sz w:val="21"/>
          <w:szCs w:val="21"/>
        </w:rPr>
        <w:t>.1 本项目解释权详见供应商须知前附表。</w:t>
      </w:r>
    </w:p>
    <w:p w14:paraId="1D49D4BE">
      <w:pPr>
        <w:pStyle w:val="20"/>
        <w:keepNext w:val="0"/>
        <w:keepLines w:val="0"/>
        <w:pageBreakBefore w:val="0"/>
        <w:widowControl w:val="0"/>
        <w:kinsoku/>
        <w:wordWrap/>
        <w:overflowPunct/>
        <w:topLinePunct w:val="0"/>
        <w:autoSpaceDE/>
        <w:autoSpaceDN/>
        <w:bidi w:val="0"/>
        <w:adjustRightInd w:val="0"/>
        <w:snapToGrid w:val="0"/>
        <w:spacing w:line="420" w:lineRule="atLeast"/>
        <w:ind w:firstLine="422" w:firstLineChars="200"/>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lang w:val="en-US" w:eastAsia="zh-CN"/>
        </w:rPr>
        <w:t>35</w:t>
      </w:r>
      <w:r>
        <w:rPr>
          <w:rFonts w:hint="eastAsia" w:ascii="宋体" w:hAnsi="宋体" w:eastAsia="宋体" w:cs="宋体"/>
          <w:b/>
          <w:bCs/>
          <w:color w:val="auto"/>
          <w:spacing w:val="0"/>
          <w:sz w:val="21"/>
          <w:szCs w:val="21"/>
        </w:rPr>
        <w:t>、 知识产权</w:t>
      </w:r>
    </w:p>
    <w:p w14:paraId="2BAF8FC2">
      <w:pPr>
        <w:pStyle w:val="20"/>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w:t>
      </w: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pacing w:val="0"/>
          <w:sz w:val="21"/>
          <w:szCs w:val="21"/>
        </w:rPr>
        <w:t>.1 所有供应商的响应文件以及在本项目的成果（包括知识产权在内的任何权利）均归采购人所有，不予退还。供应商并保证所交付的成果不侵犯第三方的任何合法权益。</w:t>
      </w:r>
    </w:p>
    <w:p w14:paraId="72CE976D">
      <w:pPr>
        <w:pStyle w:val="20"/>
        <w:keepNext w:val="0"/>
        <w:keepLines w:val="0"/>
        <w:pageBreakBefore w:val="0"/>
        <w:widowControl w:val="0"/>
        <w:kinsoku/>
        <w:wordWrap/>
        <w:overflowPunct/>
        <w:topLinePunct w:val="0"/>
        <w:autoSpaceDE/>
        <w:autoSpaceDN/>
        <w:bidi w:val="0"/>
        <w:adjustRightInd w:val="0"/>
        <w:snapToGrid w:val="0"/>
        <w:spacing w:line="420" w:lineRule="atLeast"/>
        <w:ind w:firstLine="422" w:firstLineChars="200"/>
        <w:outlineLvl w:val="9"/>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lang w:val="en-US" w:eastAsia="zh-CN"/>
        </w:rPr>
        <w:t>36</w:t>
      </w:r>
      <w:r>
        <w:rPr>
          <w:rFonts w:hint="eastAsia" w:ascii="宋体" w:hAnsi="宋体" w:eastAsia="宋体" w:cs="宋体"/>
          <w:b/>
          <w:bCs/>
          <w:color w:val="auto"/>
          <w:spacing w:val="0"/>
          <w:sz w:val="21"/>
          <w:szCs w:val="21"/>
        </w:rPr>
        <w:t>、需要补充的其他内容</w:t>
      </w:r>
    </w:p>
    <w:p w14:paraId="68C865B4">
      <w:pPr>
        <w:pStyle w:val="20"/>
        <w:keepNext w:val="0"/>
        <w:keepLines w:val="0"/>
        <w:pageBreakBefore w:val="0"/>
        <w:widowControl w:val="0"/>
        <w:kinsoku/>
        <w:wordWrap/>
        <w:overflowPunct/>
        <w:topLinePunct w:val="0"/>
        <w:autoSpaceDE/>
        <w:autoSpaceDN/>
        <w:bidi w:val="0"/>
        <w:adjustRightInd w:val="0"/>
        <w:snapToGrid w:val="0"/>
        <w:spacing w:line="420" w:lineRule="atLeast"/>
        <w:ind w:firstLine="420" w:firstLineChars="200"/>
        <w:outlineLvl w:val="9"/>
        <w:rPr>
          <w:rFonts w:hint="eastAsia" w:ascii="宋体" w:hAnsi="宋体" w:eastAsia="宋体" w:cs="宋体"/>
          <w:color w:val="auto"/>
          <w:spacing w:val="0"/>
          <w:sz w:val="21"/>
          <w:szCs w:val="21"/>
          <w:lang w:eastAsia="zh-CN"/>
        </w:rPr>
        <w:sectPr>
          <w:pgSz w:w="11906" w:h="16838"/>
          <w:pgMar w:top="1304" w:right="1304" w:bottom="1304" w:left="1304" w:header="851" w:footer="992" w:gutter="0"/>
          <w:pgNumType w:fmt="decimal"/>
          <w:cols w:space="425" w:num="1"/>
          <w:docGrid w:type="lines" w:linePitch="312" w:charSpace="0"/>
        </w:sectPr>
      </w:pPr>
      <w:r>
        <w:rPr>
          <w:rFonts w:hint="eastAsia" w:ascii="宋体" w:hAnsi="宋体" w:eastAsia="宋体" w:cs="宋体"/>
          <w:color w:val="auto"/>
          <w:spacing w:val="0"/>
          <w:sz w:val="21"/>
          <w:szCs w:val="21"/>
        </w:rPr>
        <w:t>3</w:t>
      </w:r>
      <w:r>
        <w:rPr>
          <w:rFonts w:hint="eastAsia" w:ascii="宋体" w:hAnsi="宋体" w:eastAsia="宋体" w:cs="宋体"/>
          <w:color w:val="auto"/>
          <w:spacing w:val="0"/>
          <w:sz w:val="21"/>
          <w:szCs w:val="21"/>
          <w:lang w:val="en-US" w:eastAsia="zh-CN"/>
        </w:rPr>
        <w:t>6</w:t>
      </w:r>
      <w:r>
        <w:rPr>
          <w:rFonts w:hint="eastAsia" w:ascii="宋体" w:hAnsi="宋体" w:eastAsia="宋体" w:cs="宋体"/>
          <w:color w:val="auto"/>
          <w:spacing w:val="0"/>
          <w:sz w:val="21"/>
          <w:szCs w:val="21"/>
        </w:rPr>
        <w:t>.1 需要补充的其他内容：见本章须知前附表</w:t>
      </w:r>
      <w:r>
        <w:rPr>
          <w:rFonts w:hint="eastAsia" w:ascii="宋体" w:hAnsi="宋体" w:eastAsia="宋体" w:cs="宋体"/>
          <w:color w:val="auto"/>
          <w:spacing w:val="0"/>
          <w:sz w:val="21"/>
          <w:szCs w:val="21"/>
          <w:lang w:eastAsia="zh-CN"/>
        </w:rPr>
        <w:t>。</w:t>
      </w:r>
    </w:p>
    <w:p w14:paraId="3E8C4789">
      <w:pPr>
        <w:pStyle w:val="2"/>
        <w:spacing w:line="0" w:lineRule="atLeast"/>
        <w:jc w:val="center"/>
        <w:rPr>
          <w:rFonts w:hint="eastAsia" w:ascii="宋体" w:hAnsi="宋体" w:eastAsia="宋体"/>
          <w:color w:val="auto"/>
          <w:highlight w:val="none"/>
          <w:lang w:val="en-US" w:eastAsia="zh-CN"/>
        </w:rPr>
      </w:pPr>
      <w:bookmarkStart w:id="18" w:name="_Toc2058_WPSOffice_Level1"/>
      <w:bookmarkStart w:id="19" w:name="_Toc14922"/>
      <w:bookmarkStart w:id="20" w:name="_Toc29112"/>
      <w:r>
        <w:rPr>
          <w:rFonts w:hint="eastAsia" w:ascii="宋体" w:hAnsi="宋体"/>
          <w:color w:val="auto"/>
          <w:sz w:val="30"/>
          <w:szCs w:val="30"/>
          <w:highlight w:val="none"/>
        </w:rPr>
        <w:t xml:space="preserve">第三章  </w:t>
      </w:r>
      <w:r>
        <w:rPr>
          <w:rFonts w:hint="eastAsia" w:ascii="宋体" w:hAnsi="宋体"/>
          <w:color w:val="auto"/>
          <w:sz w:val="30"/>
          <w:szCs w:val="30"/>
          <w:highlight w:val="none"/>
          <w:lang w:val="en-US" w:eastAsia="zh-CN"/>
        </w:rPr>
        <w:t>采购内容及要求</w:t>
      </w:r>
      <w:bookmarkEnd w:id="18"/>
      <w:bookmarkEnd w:id="19"/>
      <w:bookmarkEnd w:id="20"/>
    </w:p>
    <w:p w14:paraId="1FEFE59D">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562" w:firstLineChars="200"/>
        <w:textAlignment w:val="baseline"/>
        <w:outlineLvl w:val="9"/>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一、采购需求概况</w:t>
      </w:r>
    </w:p>
    <w:p w14:paraId="63A71ADA">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1、项目概述：</w:t>
      </w:r>
      <w:r>
        <w:rPr>
          <w:rFonts w:hint="eastAsia" w:ascii="宋体" w:hAnsi="宋体" w:eastAsia="宋体" w:cs="宋体"/>
          <w:b w:val="0"/>
          <w:bCs w:val="0"/>
          <w:color w:val="auto"/>
          <w:spacing w:val="0"/>
          <w:sz w:val="21"/>
          <w:szCs w:val="21"/>
          <w:highlight w:val="none"/>
          <w:lang w:val="en-US" w:eastAsia="zh-CN"/>
        </w:rPr>
        <w:t>梧州中山纪念堂，地处梧州市区北山山顶的中山公园内，坐北向南。正门前是层层叠叠的台阶和宽阔的广场，让建筑显得格外庄严肃穆。梧州中山纪念堂占地面积1630平方米，建筑面积1570平方米，东西面阔44米，南北进深35米，坐北朝南，平面为“山”型布局，外观上呈现较为典型的西洋式教堂建筑风格。</w:t>
      </w:r>
    </w:p>
    <w:p w14:paraId="011E0AAA">
      <w:pPr>
        <w:pStyle w:val="20"/>
        <w:keepNext w:val="0"/>
        <w:keepLines w:val="0"/>
        <w:pageBreakBefore w:val="0"/>
        <w:widowControl w:val="0"/>
        <w:kinsoku/>
        <w:wordWrap w:val="0"/>
        <w:overflowPunct/>
        <w:topLinePunct w:val="0"/>
        <w:autoSpaceDE/>
        <w:autoSpaceDN/>
        <w:bidi w:val="0"/>
        <w:adjustRightInd w:val="0"/>
        <w:snapToGrid w:val="0"/>
        <w:spacing w:line="400" w:lineRule="atLeast"/>
        <w:ind w:left="0" w:leftChars="0" w:firstLine="422" w:firstLineChars="200"/>
        <w:textAlignment w:val="baseline"/>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2、区位概况：</w:t>
      </w:r>
      <w:r>
        <w:rPr>
          <w:rFonts w:hint="eastAsia" w:ascii="宋体" w:hAnsi="宋体" w:eastAsia="宋体" w:cs="宋体"/>
          <w:b w:val="0"/>
          <w:bCs w:val="0"/>
          <w:color w:val="auto"/>
          <w:spacing w:val="0"/>
          <w:sz w:val="21"/>
          <w:szCs w:val="21"/>
          <w:highlight w:val="none"/>
          <w:lang w:val="en-US" w:eastAsia="zh-CN"/>
        </w:rPr>
        <w:t>梧州市位于广西壮族自治区东部，地处东经110°18′～ 111°40′，北纬 22°37′～ 24°18′之间，北回归线从市区穿过，是广西壮族自治区的东大门，东邻广东省肇庆市封开县、云浮市郁南县，东南与广东省罗定市接壤，南接广西壮族自治区玉林市容县、广东省信宜市，西连广西壮族自治区贵港市平南县，北通广西壮族自治区贺州市昭平县、桂林市荔浦市，东北与贺州市八步区接壤，西北与来宾市金秀瑶族自治县毗邻。全境东西115千米，南北196千米，总面积12588平方千米。梧州中山纪念堂位于广西壮族自治区梧州市万秀区中山公园内。</w:t>
      </w:r>
    </w:p>
    <w:p w14:paraId="174A08BB">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3、工程建设内容包括：</w:t>
      </w:r>
      <w:r>
        <w:rPr>
          <w:rFonts w:hint="eastAsia" w:ascii="宋体" w:hAnsi="宋体" w:eastAsia="宋体" w:cs="宋体"/>
          <w:b w:val="0"/>
          <w:bCs w:val="0"/>
          <w:color w:val="auto"/>
          <w:spacing w:val="0"/>
          <w:sz w:val="21"/>
          <w:szCs w:val="21"/>
          <w:highlight w:val="none"/>
          <w:lang w:val="en-US" w:eastAsia="zh-CN"/>
        </w:rPr>
        <w:t>纪念堂屋面、瓦面，屋架，木楼板木楼楞，墙体及内外饰面，地面，门窗、构件残损缺失，整体建筑电气改造，白蚁防治进行修缮保护。具体详见竞争性磋商文件、工程量清单及图纸要求范围内所有内容。</w:t>
      </w:r>
    </w:p>
    <w:p w14:paraId="286865E6">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4、建设地点：</w:t>
      </w:r>
      <w:r>
        <w:rPr>
          <w:rFonts w:hint="eastAsia" w:ascii="宋体" w:hAnsi="宋体" w:eastAsia="宋体" w:cs="宋体"/>
          <w:b w:val="0"/>
          <w:bCs w:val="0"/>
          <w:color w:val="auto"/>
          <w:spacing w:val="0"/>
          <w:sz w:val="21"/>
          <w:szCs w:val="21"/>
          <w:highlight w:val="none"/>
          <w:lang w:val="en-US" w:eastAsia="zh-CN"/>
        </w:rPr>
        <w:t>广西壮族自治区梧州市万秀区中山公园内。</w:t>
      </w:r>
    </w:p>
    <w:p w14:paraId="06B563D3">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5、采购人：</w:t>
      </w:r>
      <w:r>
        <w:rPr>
          <w:rFonts w:hint="eastAsia" w:ascii="宋体" w:hAnsi="宋体" w:eastAsia="宋体" w:cs="宋体"/>
          <w:b w:val="0"/>
          <w:bCs w:val="0"/>
          <w:color w:val="auto"/>
          <w:spacing w:val="0"/>
          <w:sz w:val="21"/>
          <w:szCs w:val="21"/>
          <w:highlight w:val="none"/>
          <w:lang w:val="en-US" w:eastAsia="zh-CN"/>
        </w:rPr>
        <w:t>梧州市博物馆。</w:t>
      </w:r>
    </w:p>
    <w:p w14:paraId="4FBDAF55">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6、</w:t>
      </w:r>
      <w:r>
        <w:rPr>
          <w:rFonts w:hint="eastAsia" w:ascii="宋体" w:hAnsi="宋体" w:eastAsia="宋体" w:cs="宋体"/>
          <w:b/>
          <w:bCs/>
          <w:color w:val="auto"/>
          <w:sz w:val="21"/>
          <w:szCs w:val="21"/>
          <w:highlight w:val="none"/>
          <w:lang w:val="en-US" w:eastAsia="zh-CN"/>
        </w:rPr>
        <w:t>建设地点的现场条件：</w:t>
      </w:r>
    </w:p>
    <w:p w14:paraId="17432C73">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（1）现场自然条件：满足施工要求。</w:t>
      </w:r>
    </w:p>
    <w:p w14:paraId="3D06D18B">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（2）现场施工条件：符合施工要求。</w:t>
      </w:r>
    </w:p>
    <w:p w14:paraId="241C906A">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lang w:val="en-US" w:eastAsia="zh-CN"/>
        </w:rPr>
      </w:pPr>
    </w:p>
    <w:p w14:paraId="5F9F1DEC">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562" w:firstLineChars="200"/>
        <w:outlineLvl w:val="9"/>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二、技术要求：</w:t>
      </w:r>
    </w:p>
    <w:p w14:paraId="627BD1B6">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1、符合国家现行的工程建设标准、技术规范及强制性标准条文，以及随本项目发出的设计方案（如有）、施工图纸载明的其他有关规范标准。</w:t>
      </w:r>
    </w:p>
    <w:p w14:paraId="0C71CE1B">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2、工程质量要求：达到国家施工验收规范合格标准要求。其中白蚁防治工程质量要求：确保梧州中山纪念堂在规定时效内无白蚁危害，达到行业现行白蚁危害治理质量标准要求。</w:t>
      </w:r>
    </w:p>
    <w:p w14:paraId="4A59B855">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2" w:firstLineChars="200"/>
        <w:outlineLvl w:val="9"/>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3、修缮相关注意事项</w:t>
      </w:r>
    </w:p>
    <w:p w14:paraId="649FBBB7">
      <w:pPr>
        <w:pStyle w:val="20"/>
        <w:keepNext w:val="0"/>
        <w:keepLines w:val="0"/>
        <w:pageBreakBefore w:val="0"/>
        <w:widowControl w:val="0"/>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1）严格按照经文物行政主管部门审批通过后的施工图纸施工。各项工程做法，应符合国家现行的相关规范、标准；文物建（构）筑物无相应规范、标准的，应符合该建筑形制的近现代代表性建筑传统常规做法并事先征得设计方同意；重大设计变更或技术问题，应请相关文物专家论证后确定，并报文物行政主管部门同意。 </w:t>
      </w:r>
    </w:p>
    <w:p w14:paraId="735F4AA9">
      <w:pPr>
        <w:pStyle w:val="20"/>
        <w:keepNext w:val="0"/>
        <w:keepLines w:val="0"/>
        <w:pageBreakBefore w:val="0"/>
        <w:widowControl w:val="0"/>
        <w:numPr>
          <w:ilvl w:val="0"/>
          <w:numId w:val="12"/>
        </w:numPr>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最大限度地保留和使用现存构件。对不能使用的原构件，应在甲方和监理方把关检验后方可进行处理。具有保留价值的建筑构件应由管理单位妥善保存，并做好登记备查。</w:t>
      </w:r>
    </w:p>
    <w:p w14:paraId="4114C48C">
      <w:pPr>
        <w:pStyle w:val="20"/>
        <w:keepNext w:val="0"/>
        <w:keepLines w:val="0"/>
        <w:pageBreakBefore w:val="0"/>
        <w:widowControl w:val="0"/>
        <w:numPr>
          <w:ilvl w:val="0"/>
          <w:numId w:val="12"/>
        </w:numPr>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凡新做、补配、更换的构件，应以现存实物为依据，施工技术、工艺方面，除设计文件中特殊注明者外，均按传统工艺（原形式、原工艺、原尺寸等）施工。并在构件隐蔽处用墨笔标注“修换时间、修换内容”等标识。如发现设计方案与实际情况不符，应立即通知设计方，以便修改、完善设计。 </w:t>
      </w:r>
    </w:p>
    <w:p w14:paraId="51AAB7CC">
      <w:pPr>
        <w:pStyle w:val="20"/>
        <w:keepNext w:val="0"/>
        <w:keepLines w:val="0"/>
        <w:pageBreakBefore w:val="0"/>
        <w:widowControl w:val="0"/>
        <w:numPr>
          <w:ilvl w:val="0"/>
          <w:numId w:val="12"/>
        </w:numPr>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设计方案中难以对隐蔽部位勘察全面、到位，应在修缮实施过程中，随时注意补查，发现问题，随时与主管部门和设计方联系，以便及时补充、调整或变更设计。 </w:t>
      </w:r>
    </w:p>
    <w:p w14:paraId="45C3CC3B">
      <w:pPr>
        <w:pStyle w:val="20"/>
        <w:keepNext w:val="0"/>
        <w:keepLines w:val="0"/>
        <w:pageBreakBefore w:val="0"/>
        <w:widowControl w:val="0"/>
        <w:numPr>
          <w:ilvl w:val="0"/>
          <w:numId w:val="12"/>
        </w:numPr>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施工场地发现可移动文物应立即汇报文物主管部门，由专业人员负责处理。保护相关环境，采取措施避免对环境造成污染和破坏。施工期间注意人身安全，做好各项安全措施，符合相关安全施工规范，加强安全教育。雨季施工，应做好施工现场和所用工程材料的防雨措施。 </w:t>
      </w:r>
    </w:p>
    <w:p w14:paraId="3BD5D6B5">
      <w:pPr>
        <w:pStyle w:val="20"/>
        <w:keepNext w:val="0"/>
        <w:keepLines w:val="0"/>
        <w:pageBreakBefore w:val="0"/>
        <w:widowControl w:val="0"/>
        <w:numPr>
          <w:ilvl w:val="0"/>
          <w:numId w:val="12"/>
        </w:numPr>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注意防火。工程现场地公园，树木众多，加之建筑多使用木结构，极易被燃，应做好消防设施和相关培训及教育，防患于未然。尽量不在施工现场动火，如必须在施工 现场动火（如电气焊等）则必须符合相关操作规范。 </w:t>
      </w:r>
    </w:p>
    <w:p w14:paraId="2185AE8A">
      <w:pPr>
        <w:pStyle w:val="20"/>
        <w:keepNext w:val="0"/>
        <w:keepLines w:val="0"/>
        <w:pageBreakBefore w:val="0"/>
        <w:widowControl w:val="0"/>
        <w:numPr>
          <w:ilvl w:val="0"/>
          <w:numId w:val="12"/>
        </w:numPr>
        <w:kinsoku/>
        <w:wordWrap/>
        <w:overflowPunct/>
        <w:topLinePunct w:val="0"/>
        <w:autoSpaceDE/>
        <w:autoSpaceDN/>
        <w:bidi w:val="0"/>
        <w:adjustRightInd w:val="0"/>
        <w:snapToGrid w:val="0"/>
        <w:spacing w:line="400" w:lineRule="atLeast"/>
        <w:ind w:left="0" w:leftChars="0"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施工用电应符合相关用电规范，施工期间，应注意做临时性防雷措施，并禁止在雷雨天进行施工操作。涉及线路、配电箱、开关、插座等电力系统改造的相关措施，在 不必要的情况下应尽量选择明装，避免大范围的开凿，以减少和降低对文体建筑主体结构的损伤。</w:t>
      </w:r>
    </w:p>
    <w:p w14:paraId="5F991F2A">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4、白蚁防治工程要求</w:t>
      </w:r>
    </w:p>
    <w:p w14:paraId="23EC8A2B">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（1）防治药剂要求</w:t>
      </w:r>
    </w:p>
    <w:p w14:paraId="022C0CC9">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1）防治药剂要求</w:t>
      </w:r>
    </w:p>
    <w:p w14:paraId="4F85FFCF">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监理单位严把进场防治药品检验关，确保药品相关手续齐全，包括合格证、登记证、生产许可证、生产标准证。</w:t>
      </w:r>
    </w:p>
    <w:p w14:paraId="284517E3">
      <w:pPr>
        <w:pStyle w:val="20"/>
        <w:keepNext w:val="0"/>
        <w:keepLines w:val="0"/>
        <w:pageBreakBefore w:val="0"/>
        <w:widowControl w:val="0"/>
        <w:numPr>
          <w:ilvl w:val="0"/>
          <w:numId w:val="13"/>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防治药剂使用要求</w:t>
      </w:r>
    </w:p>
    <w:p w14:paraId="2B08FCFB">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a.使用符合国家相关法律法规要求的防治药品。</w:t>
      </w:r>
    </w:p>
    <w:p w14:paraId="3ABDB6E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b.严格按药品说明书使用和调配药物进行防治施工。</w:t>
      </w:r>
    </w:p>
    <w:p w14:paraId="24710B8E">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c.严格按施工组织对相应防治对象进行严格的防治施工，药物不乱施、乱洒，乱放、乱倒。</w:t>
      </w:r>
    </w:p>
    <w:p w14:paraId="1E5F3DCE">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d.严格管理防治药剂进出库，保证不让施工人员之外的人员触碰。</w:t>
      </w:r>
    </w:p>
    <w:p w14:paraId="1AD25D71">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e.废弃药瓶保证统一回收，未使用完的防治药物保证妥善保存。</w:t>
      </w:r>
    </w:p>
    <w:p w14:paraId="5DF95F6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（2）防治施工人员防护要求</w:t>
      </w:r>
    </w:p>
    <w:p w14:paraId="11F82AEB">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1）防治施工常规要求</w:t>
      </w:r>
    </w:p>
    <w:p w14:paraId="01B8DCA0">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a.不准酒后作业，不准凉鞋、拖鞋，不准带小孩上班，不准高空抛物。 </w:t>
      </w:r>
    </w:p>
    <w:p w14:paraId="2A9B6DEE">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b.在交代防治施工任务时，同时进行安全、质量交底，各工种操作人员严守本防治措施安全规程。立体交叉作业时，互相照应，上问下答，叫清后方准施工。 </w:t>
      </w:r>
    </w:p>
    <w:p w14:paraId="47F4F5A1">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c.防治措施涉及到脚手架的搭设，及时告知防护安全措施。 </w:t>
      </w:r>
    </w:p>
    <w:p w14:paraId="129D969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d.所搭设的脚手架均严格按设计计算，和脚手架搭设技术要求进行施工，确保脚手架的搭设及使用安全。</w:t>
      </w:r>
    </w:p>
    <w:p w14:paraId="23F2CBBA">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2）防治施工人员高空作业要求</w:t>
      </w:r>
    </w:p>
    <w:p w14:paraId="30B607C2">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a.高处防治施工作业，均需安全确认上岗。</w:t>
      </w:r>
    </w:p>
    <w:p w14:paraId="46A342A9">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b.高处防治施工作业人员均需身体健康，确保无恐高症后方能上岗。</w:t>
      </w:r>
    </w:p>
    <w:p w14:paraId="52FBF572">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c.严禁防治施工作业人员带病上岗、酒后上岗。</w:t>
      </w:r>
    </w:p>
    <w:p w14:paraId="3FCF9F39">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d.高处防治施工作业人员必须有现场安全员监督作业。</w:t>
      </w:r>
    </w:p>
    <w:p w14:paraId="4943BB5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e.高处防治施工作业人员必须有可靠的安全防护措施。</w:t>
      </w:r>
    </w:p>
    <w:p w14:paraId="649D8FBE">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f.高处防治施工作业人员必须严格遵守施工现场“六禁止、七必须”。</w:t>
      </w:r>
    </w:p>
    <w:p w14:paraId="69D2575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g.严禁穿硬底、喇叭裤进行高处作业。</w:t>
      </w:r>
    </w:p>
    <w:p w14:paraId="1E00F591">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h.高处防治施工作业人员须在现场安全员的统一带领下，并检查是否具有良好的精神状态，衣着是否整齐，方能上岗进行作业。</w:t>
      </w:r>
    </w:p>
    <w:p w14:paraId="4F7C1229">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i.高处防治施工作业时划出禁区，并设置围栏、挂牌示警，禁止行人、闲人误入或闯入。</w:t>
      </w:r>
    </w:p>
    <w:p w14:paraId="12B5C9E0">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j.高处防治施工作业时，需明显封闭施工警示。</w:t>
      </w:r>
    </w:p>
    <w:p w14:paraId="5CB90C8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k.高处防治施工作业所需料具、设备等，现场根据施工进度随用随运。</w:t>
      </w:r>
    </w:p>
    <w:p w14:paraId="3663CA0D">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l.高处防治施工作业人员使用的工具，应随手放入工具袋内严禁高处相互抛掷传递。</w:t>
      </w:r>
    </w:p>
    <w:p w14:paraId="0D5A1000">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m.高处防治施工作业时应采用低压安全灯照明。</w:t>
      </w:r>
    </w:p>
    <w:p w14:paraId="357D8734">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n.高处防治施工作业时，安全防护有缺陷和隐患时，必须立即停止作业及时解决。</w:t>
      </w:r>
    </w:p>
    <w:p w14:paraId="1390503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（3）环保要求</w:t>
      </w:r>
    </w:p>
    <w:p w14:paraId="521DF738">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1）防治用药环境保护要求</w:t>
      </w:r>
    </w:p>
    <w:p w14:paraId="29E3F3DF">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a.使用符合国家环保要求“高效低毒”防治药品。</w:t>
      </w:r>
    </w:p>
    <w:p w14:paraId="7CCE08C8">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b.使用符合农药管理条例的合格药品。</w:t>
      </w:r>
    </w:p>
    <w:p w14:paraId="5A592C3D">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c.严格按照说明书用药，遵行安全、合理、科学用药的原则，严禁乱用药、错用药。</w:t>
      </w:r>
    </w:p>
    <w:p w14:paraId="29714383">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2）用药管理环境保护要求</w:t>
      </w:r>
    </w:p>
    <w:p w14:paraId="36F09E9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a.防治用药管理环保要求：专人负责防治药品管理，非防治施工人员不得领取药品，接触防治药品。每次领取药品造册登记，每天用药量如实上报，剩余药品交库房统一保存，严禁乱放乱收。对使用完的药瓶及相关物件，当天必须交由库房统一收存处理，严禁乱丢。发现一次罚款500元。</w:t>
      </w:r>
    </w:p>
    <w:p w14:paraId="51332B02">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b.防治施工用药环保要求：严格按照说明书要求用药，防治药品用量根据现场情况，科学合理。严禁违规大量用药，严禁非防治区域用药。剩余药品交由统一管理，严禁乱泼乱倒。发现一次罚款500元。</w:t>
      </w:r>
    </w:p>
    <w:p w14:paraId="279BCD08">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药物调配时，取水工具严格保护，严禁取水工具沾染防治用药，污染水源。发现一次罚款500元。如发生污染事件，要求在第一时间报告，及时采取相关处理，严禁中毒事件发生。</w:t>
      </w:r>
    </w:p>
    <w:p w14:paraId="7AF5FC7F">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（4）后期维护保养规范要求资料（表）（详见附件2）</w:t>
      </w:r>
    </w:p>
    <w:p w14:paraId="754260A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5、整体建筑电气改造整改思路及技术标准</w:t>
      </w:r>
    </w:p>
    <w:p w14:paraId="6A06B3C6">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（1）线路改造工程 </w:t>
      </w:r>
    </w:p>
    <w:p w14:paraId="6942FFE1">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1）采用钢管线槽对裸线进行分槽敷设。 </w:t>
      </w:r>
    </w:p>
    <w:p w14:paraId="66048D0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2）强电/弱电线路间距≥300mm（依据GB50303-2015表12.2.3-2）。</w:t>
      </w:r>
    </w:p>
    <w:p w14:paraId="08170296">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（2）绝缘防护升级 </w:t>
      </w:r>
    </w:p>
    <w:p w14:paraId="64F388D4">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1）加装热缩型绝缘套管（耐压等级≥600V），接头处双层包覆。 </w:t>
      </w:r>
    </w:p>
    <w:p w14:paraId="7C485AB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2）线外露部分改用黄绿双色绝缘胶带标识（符合GB/T7947-2010）。 </w:t>
      </w:r>
    </w:p>
    <w:p w14:paraId="650B8424">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（3）环境整治 </w:t>
      </w:r>
    </w:p>
    <w:p w14:paraId="261EF3FE">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1）清除地面导电杂物，设置防静电环氧地坪（表面电阻值1×10^6~1×10^9Ω）。 </w:t>
      </w:r>
    </w:p>
    <w:p w14:paraId="3003EC94">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2）划定黄色警戒线（宽度100mm），保持电气设备周边0.8m安全通道。 </w:t>
      </w:r>
    </w:p>
    <w:p w14:paraId="7538B3B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（4）检测验证 </w:t>
      </w:r>
    </w:p>
    <w:p w14:paraId="5FC045FB">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1）整改后测量线路绝缘电阻（≥0.5MΩ，测试电压500VDC）。 </w:t>
      </w:r>
    </w:p>
    <w:p w14:paraId="01765FA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2）进行接地连续性测试（电阻值≤1Ω，依据GB50169-2016）。</w:t>
      </w:r>
    </w:p>
    <w:p w14:paraId="49F51280">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p>
    <w:p w14:paraId="32FBBF54">
      <w:pPr>
        <w:pStyle w:val="20"/>
        <w:keepNext w:val="0"/>
        <w:keepLines w:val="0"/>
        <w:pageBreakBefore w:val="0"/>
        <w:widowControl w:val="0"/>
        <w:numPr>
          <w:ilvl w:val="0"/>
          <w:numId w:val="14"/>
        </w:numPr>
        <w:kinsoku/>
        <w:wordWrap/>
        <w:overflowPunct/>
        <w:topLinePunct w:val="0"/>
        <w:autoSpaceDE/>
        <w:autoSpaceDN/>
        <w:bidi w:val="0"/>
        <w:adjustRightInd w:val="0"/>
        <w:snapToGrid w:val="0"/>
        <w:spacing w:line="400" w:lineRule="atLeast"/>
        <w:ind w:firstLine="562" w:firstLineChars="200"/>
        <w:outlineLvl w:val="9"/>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商务要求</w:t>
      </w:r>
    </w:p>
    <w:p w14:paraId="24D1650A">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1、合同履约期限：本工程总工期为270日历天；其中白蚁防治工程包治期为5年（1年施工期，4年维护保养期），主体工程完工后，白蚁防治包治工程继续履行。</w:t>
      </w:r>
    </w:p>
    <w:p w14:paraId="35B2AF9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2、建设地点：</w:t>
      </w:r>
      <w:r>
        <w:rPr>
          <w:rFonts w:hint="eastAsia" w:ascii="宋体" w:hAnsi="宋体" w:eastAsia="宋体" w:cs="宋体"/>
          <w:b w:val="0"/>
          <w:bCs w:val="0"/>
          <w:color w:val="auto"/>
          <w:spacing w:val="0"/>
          <w:sz w:val="21"/>
          <w:szCs w:val="21"/>
          <w:highlight w:val="none"/>
          <w:lang w:val="en-US" w:eastAsia="zh-CN"/>
        </w:rPr>
        <w:t>广西壮族自治区梧州市万秀区中山公园内。</w:t>
      </w:r>
    </w:p>
    <w:p w14:paraId="1565CA9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3、合同签订时间：</w:t>
      </w:r>
      <w:r>
        <w:rPr>
          <w:rFonts w:hint="eastAsia" w:ascii="宋体" w:hAnsi="宋体" w:eastAsia="宋体" w:cs="宋体"/>
          <w:b w:val="0"/>
          <w:bCs w:val="0"/>
          <w:color w:val="auto"/>
          <w:spacing w:val="0"/>
          <w:sz w:val="21"/>
          <w:szCs w:val="21"/>
          <w:highlight w:val="none"/>
          <w:lang w:val="en-US" w:eastAsia="zh-CN"/>
        </w:rPr>
        <w:t>自成交通知书发出之日起15日内与发包人签订合同，逾期签订且无正当理由不签订合同，后果由成交供应商自负。</w:t>
      </w:r>
    </w:p>
    <w:p w14:paraId="1BB5E53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4、承包方式：</w:t>
      </w:r>
      <w:r>
        <w:rPr>
          <w:rFonts w:hint="eastAsia" w:ascii="宋体" w:hAnsi="宋体" w:eastAsia="宋体" w:cs="宋体"/>
          <w:b w:val="0"/>
          <w:bCs w:val="0"/>
          <w:color w:val="auto"/>
          <w:spacing w:val="0"/>
          <w:sz w:val="21"/>
          <w:szCs w:val="21"/>
          <w:highlight w:val="none"/>
          <w:lang w:val="en-US" w:eastAsia="zh-CN"/>
        </w:rPr>
        <w:t>本工程报价采用工程量清单计价方式报价。施工合同价款采用综合单价固定，工程量按实际结算。</w:t>
      </w:r>
    </w:p>
    <w:p w14:paraId="7F80E9C4">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5、验收标准：</w:t>
      </w:r>
      <w:r>
        <w:rPr>
          <w:rFonts w:hint="eastAsia" w:ascii="宋体" w:hAnsi="宋体" w:eastAsia="宋体" w:cs="宋体"/>
          <w:b w:val="0"/>
          <w:bCs w:val="0"/>
          <w:color w:val="auto"/>
          <w:spacing w:val="0"/>
          <w:sz w:val="21"/>
          <w:szCs w:val="21"/>
          <w:highlight w:val="none"/>
          <w:lang w:val="en-US" w:eastAsia="zh-CN"/>
        </w:rPr>
        <w:t>符合现行国家相关标准、行业标准、地方标准或者其他标准、规范。如标准、规范有更新，以最新标准执行。</w:t>
      </w:r>
    </w:p>
    <w:p w14:paraId="1405FF1E">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6、工程缺陷责任期（保修期）：</w:t>
      </w:r>
      <w:r>
        <w:rPr>
          <w:rFonts w:hint="eastAsia" w:ascii="宋体" w:hAnsi="宋体" w:eastAsia="宋体" w:cs="宋体"/>
          <w:b w:val="0"/>
          <w:bCs w:val="0"/>
          <w:color w:val="auto"/>
          <w:spacing w:val="0"/>
          <w:sz w:val="21"/>
          <w:szCs w:val="21"/>
          <w:highlight w:val="none"/>
          <w:lang w:val="en-US" w:eastAsia="zh-CN"/>
        </w:rPr>
        <w:t>工程缺陷责任期为24个月，缺陷责任期自工程竣工验收合格之日起计算。单位工程先于全部工程进行验收，单位工程缺陷责任期自单位工程验收合格之日起算。</w:t>
      </w:r>
    </w:p>
    <w:p w14:paraId="3B4CC666">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特别说明：白蚁防治工程包治期：5年（1年施工期，4年维护保养期）。</w:t>
      </w:r>
    </w:p>
    <w:p w14:paraId="2488CD4F">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7、报价要求：</w:t>
      </w:r>
      <w:r>
        <w:rPr>
          <w:rFonts w:hint="eastAsia" w:ascii="宋体" w:hAnsi="宋体" w:eastAsia="宋体" w:cs="宋体"/>
          <w:b w:val="0"/>
          <w:bCs w:val="0"/>
          <w:color w:val="auto"/>
          <w:spacing w:val="0"/>
          <w:sz w:val="21"/>
          <w:szCs w:val="21"/>
          <w:highlight w:val="none"/>
          <w:lang w:val="en-US" w:eastAsia="zh-CN"/>
        </w:rPr>
        <w:t>磋商报价是履行合同的最终价格，包括了为实施和完成合同工程所需的劳务、材料、机械、质检（自检）、安装、缺陷修复、管理、工程保险费、税费、利润等费用，以及合同明示或暗示的所有责任、义务和一般风险。</w:t>
      </w:r>
    </w:p>
    <w:p w14:paraId="6C0D05E3">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8、付款条件（进度和方式）</w:t>
      </w:r>
    </w:p>
    <w:p w14:paraId="68D4D984">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（1）预付款：签订合同并项目开工后采购人在15个工作日内按照签约合同价（扣除暂列金额、安全文明施工费）的30%作为项目预付款，支付前须收到承包人递交的等额预付款保函（保函格式自拟）。</w:t>
      </w:r>
    </w:p>
    <w:p w14:paraId="47306366">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进度款支付方式：进度款原则上按月支付，按工程进度造价的80%支付工程进度款，工程完工并通过各方验收合格后由建设单位按照相关要求委托第三方造价单位评审审定结算价后30天内支付至结算总价的97%，余下3%的工程款待缺陷责任期满项目不存在质量问题、承包人不存在任何违约情形之日起30日内不计息付清。缺陷责任期内，如工程出现质量问题，致使发包人权益受损的，发包人有权从余下工程款中扣除并要求承包人承担赔偿责任。</w:t>
      </w:r>
    </w:p>
    <w:p w14:paraId="180BCD1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2"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9、农民工工资保证金：</w:t>
      </w:r>
      <w:r>
        <w:rPr>
          <w:rFonts w:hint="eastAsia" w:ascii="宋体" w:hAnsi="宋体" w:eastAsia="宋体" w:cs="宋体"/>
          <w:b w:val="0"/>
          <w:bCs w:val="0"/>
          <w:color w:val="auto"/>
          <w:spacing w:val="0"/>
          <w:sz w:val="21"/>
          <w:szCs w:val="21"/>
          <w:highlight w:val="none"/>
          <w:lang w:val="en-US" w:eastAsia="zh-CN"/>
        </w:rPr>
        <w:t>按广西壮族自治区人力资源和社会保障厅等8部门《关于印发广西壮族自治区工程建设领域农民工工资专用帐户管理暂行办法实施细则的通知》（桂人社规[2022]5号）执行。</w:t>
      </w:r>
    </w:p>
    <w:p w14:paraId="253616B1">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2" w:firstLineChars="200"/>
        <w:textAlignment w:val="auto"/>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10、本项目行业分类：</w:t>
      </w:r>
      <w:r>
        <w:rPr>
          <w:rFonts w:hint="eastAsia" w:ascii="宋体" w:hAnsi="宋体" w:eastAsia="宋体" w:cs="宋体"/>
          <w:b w:val="0"/>
          <w:bCs w:val="0"/>
          <w:color w:val="auto"/>
          <w:spacing w:val="0"/>
          <w:sz w:val="21"/>
          <w:szCs w:val="21"/>
          <w:highlight w:val="none"/>
          <w:lang w:val="en-US" w:eastAsia="zh-CN"/>
        </w:rPr>
        <w:t>属于建筑业。</w:t>
      </w:r>
    </w:p>
    <w:p w14:paraId="300F4234">
      <w:pPr>
        <w:pStyle w:val="10"/>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 w:val="0"/>
          <w:bCs w:val="0"/>
          <w:color w:val="auto"/>
          <w:spacing w:val="0"/>
          <w:sz w:val="21"/>
          <w:szCs w:val="21"/>
          <w:highlight w:val="none"/>
          <w:lang w:val="en-US" w:eastAsia="zh-CN"/>
        </w:rPr>
      </w:pPr>
    </w:p>
    <w:p w14:paraId="1C4E808E">
      <w:pPr>
        <w:pStyle w:val="10"/>
        <w:keepNext w:val="0"/>
        <w:keepLines w:val="0"/>
        <w:pageBreakBefore w:val="0"/>
        <w:widowControl w:val="0"/>
        <w:kinsoku/>
        <w:wordWrap/>
        <w:overflowPunct/>
        <w:topLinePunct w:val="0"/>
        <w:autoSpaceDE/>
        <w:autoSpaceDN/>
        <w:bidi w:val="0"/>
        <w:adjustRightInd w:val="0"/>
        <w:snapToGrid w:val="0"/>
        <w:spacing w:line="400" w:lineRule="atLeast"/>
        <w:ind w:firstLine="562" w:firstLineChars="200"/>
        <w:textAlignment w:val="auto"/>
        <w:outlineLvl w:val="9"/>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四、与实现项目目标相关的其他要求</w:t>
      </w:r>
    </w:p>
    <w:p w14:paraId="70E2361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1、采购需求中，技术要求允许负偏离的条款数为0项，商务要求允许负偏离的条款数为0项，必须满足或优于，否则响应文件按无效处理。</w:t>
      </w:r>
    </w:p>
    <w:p w14:paraId="22844A1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2、供应商在竞标活动中如提供任何虚假材料，其响应文件按无效处理，并报监管部门查处。</w:t>
      </w:r>
    </w:p>
    <w:p w14:paraId="308F1AC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420" w:firstLineChars="200"/>
        <w:outlineLvl w:val="9"/>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3、供应商应在响应文件中提供施工组织设计，并就本项目投入具有相关能力的人员。</w:t>
      </w:r>
    </w:p>
    <w:p w14:paraId="3B78AE5E">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80" w:firstLineChars="200"/>
        <w:outlineLvl w:val="9"/>
        <w:rPr>
          <w:rFonts w:hint="default" w:ascii="宋体" w:hAnsi="宋体" w:eastAsia="宋体" w:cs="宋体"/>
          <w:b w:val="0"/>
          <w:bCs w:val="0"/>
          <w:color w:val="auto"/>
          <w:spacing w:val="0"/>
          <w:sz w:val="24"/>
          <w:szCs w:val="24"/>
          <w:highlight w:val="none"/>
          <w:lang w:val="en-US" w:eastAsia="zh-CN"/>
        </w:rPr>
      </w:pPr>
    </w:p>
    <w:p w14:paraId="3D5D94E3">
      <w:pPr>
        <w:pStyle w:val="20"/>
        <w:keepNext w:val="0"/>
        <w:keepLines w:val="0"/>
        <w:pageBreakBefore w:val="0"/>
        <w:widowControl w:val="0"/>
        <w:kinsoku/>
        <w:wordWrap/>
        <w:overflowPunct/>
        <w:topLinePunct w:val="0"/>
        <w:autoSpaceDE/>
        <w:autoSpaceDN/>
        <w:bidi w:val="0"/>
        <w:adjustRightInd w:val="0"/>
        <w:snapToGrid w:val="0"/>
        <w:spacing w:line="440" w:lineRule="atLeast"/>
        <w:ind w:left="0" w:leftChars="0" w:firstLine="480" w:firstLineChars="200"/>
        <w:outlineLvl w:val="9"/>
        <w:rPr>
          <w:rFonts w:hint="default" w:ascii="宋体" w:hAnsi="宋体" w:eastAsia="宋体" w:cs="宋体"/>
          <w:b w:val="0"/>
          <w:bCs w:val="0"/>
          <w:color w:val="auto"/>
          <w:spacing w:val="0"/>
          <w:sz w:val="24"/>
          <w:szCs w:val="24"/>
          <w:highlight w:val="none"/>
          <w:lang w:val="en-US" w:eastAsia="zh-CN"/>
        </w:rPr>
      </w:pPr>
    </w:p>
    <w:p w14:paraId="58913195">
      <w:pPr>
        <w:pStyle w:val="20"/>
        <w:keepNext w:val="0"/>
        <w:keepLines w:val="0"/>
        <w:pageBreakBefore w:val="0"/>
        <w:widowControl w:val="0"/>
        <w:kinsoku/>
        <w:wordWrap/>
        <w:overflowPunct/>
        <w:topLinePunct w:val="0"/>
        <w:autoSpaceDE/>
        <w:autoSpaceDN/>
        <w:bidi w:val="0"/>
        <w:adjustRightInd w:val="0"/>
        <w:snapToGrid w:val="0"/>
        <w:spacing w:line="420" w:lineRule="atLeast"/>
        <w:ind w:left="0" w:leftChars="0" w:firstLine="480" w:firstLineChars="200"/>
        <w:outlineLvl w:val="9"/>
        <w:rPr>
          <w:rFonts w:hint="default" w:ascii="宋体" w:hAnsi="宋体" w:eastAsia="宋体" w:cs="宋体"/>
          <w:b w:val="0"/>
          <w:bCs w:val="0"/>
          <w:color w:val="auto"/>
          <w:spacing w:val="0"/>
          <w:sz w:val="24"/>
          <w:szCs w:val="24"/>
          <w:highlight w:val="none"/>
          <w:lang w:val="en-US" w:eastAsia="zh-CN"/>
        </w:rPr>
      </w:pPr>
    </w:p>
    <w:p w14:paraId="5AF64B05">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hint="eastAsia" w:ascii="仿宋" w:hAnsi="仿宋" w:eastAsia="仿宋" w:cs="仿宋"/>
          <w:b/>
          <w:bCs/>
          <w:color w:val="auto"/>
          <w:sz w:val="32"/>
          <w:szCs w:val="32"/>
          <w:highlight w:val="none"/>
          <w:lang w:val="en-US" w:eastAsia="zh-CN"/>
        </w:rPr>
        <w:sectPr>
          <w:footerReference r:id="rId5" w:type="default"/>
          <w:pgSz w:w="11906" w:h="16838"/>
          <w:pgMar w:top="1304" w:right="1304" w:bottom="1304" w:left="1304" w:header="851" w:footer="992" w:gutter="0"/>
          <w:pgNumType w:fmt="decimal"/>
          <w:cols w:space="425" w:num="1"/>
          <w:docGrid w:type="lines" w:linePitch="312" w:charSpace="0"/>
        </w:sectPr>
      </w:pPr>
    </w:p>
    <w:p w14:paraId="29DDECB8">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附件1：</w:t>
      </w:r>
      <w:r>
        <w:rPr>
          <w:rFonts w:hint="eastAsia" w:ascii="仿宋" w:hAnsi="仿宋" w:eastAsia="仿宋" w:cs="仿宋"/>
          <w:b/>
          <w:bCs/>
          <w:color w:val="auto"/>
          <w:sz w:val="32"/>
          <w:szCs w:val="32"/>
          <w:highlight w:val="none"/>
        </w:rPr>
        <w:t>中小微企业划型标准</w:t>
      </w:r>
    </w:p>
    <w:tbl>
      <w:tblPr>
        <w:tblStyle w:val="16"/>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3E2F2AD9">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0CBC418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7C6196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756A44E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86CD3C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7053BE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24D376A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02E52FD3">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center"/>
          </w:tcPr>
          <w:p w14:paraId="1F9B07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农、林、牧、渔</w:t>
            </w:r>
          </w:p>
        </w:tc>
        <w:tc>
          <w:tcPr>
            <w:tcW w:w="1984" w:type="dxa"/>
            <w:tcBorders>
              <w:top w:val="nil"/>
              <w:left w:val="nil"/>
              <w:bottom w:val="single" w:color="auto" w:sz="4" w:space="0"/>
              <w:right w:val="single" w:color="auto" w:sz="4" w:space="0"/>
            </w:tcBorders>
            <w:noWrap w:val="0"/>
            <w:vAlign w:val="center"/>
          </w:tcPr>
          <w:p w14:paraId="592B137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2DE7121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65A97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500≤Y＜20000</w:t>
            </w:r>
          </w:p>
        </w:tc>
        <w:tc>
          <w:tcPr>
            <w:tcW w:w="1701" w:type="dxa"/>
            <w:tcBorders>
              <w:top w:val="nil"/>
              <w:left w:val="nil"/>
              <w:bottom w:val="single" w:color="auto" w:sz="4" w:space="0"/>
              <w:right w:val="single" w:color="auto" w:sz="4" w:space="0"/>
            </w:tcBorders>
            <w:noWrap w:val="0"/>
            <w:vAlign w:val="center"/>
          </w:tcPr>
          <w:p w14:paraId="3CFDB36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50≤Y＜500</w:t>
            </w:r>
          </w:p>
        </w:tc>
        <w:tc>
          <w:tcPr>
            <w:tcW w:w="1134" w:type="dxa"/>
            <w:tcBorders>
              <w:top w:val="nil"/>
              <w:left w:val="nil"/>
              <w:bottom w:val="single" w:color="auto" w:sz="4" w:space="0"/>
              <w:right w:val="single" w:color="auto" w:sz="4" w:space="0"/>
            </w:tcBorders>
            <w:noWrap w:val="0"/>
            <w:vAlign w:val="center"/>
          </w:tcPr>
          <w:p w14:paraId="2CC2EAD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7B0BF33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2960CA7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工业</w:t>
            </w:r>
          </w:p>
        </w:tc>
        <w:tc>
          <w:tcPr>
            <w:tcW w:w="1984" w:type="dxa"/>
            <w:tcBorders>
              <w:top w:val="nil"/>
              <w:left w:val="nil"/>
              <w:bottom w:val="single" w:color="auto" w:sz="4" w:space="0"/>
              <w:right w:val="single" w:color="auto" w:sz="4" w:space="0"/>
            </w:tcBorders>
            <w:noWrap w:val="0"/>
            <w:vAlign w:val="center"/>
          </w:tcPr>
          <w:p w14:paraId="21B0055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1BD737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7E1D98C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08BED42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1134" w:type="dxa"/>
            <w:tcBorders>
              <w:top w:val="nil"/>
              <w:left w:val="nil"/>
              <w:bottom w:val="single" w:color="auto" w:sz="4" w:space="0"/>
              <w:right w:val="single" w:color="auto" w:sz="4" w:space="0"/>
            </w:tcBorders>
            <w:noWrap w:val="0"/>
            <w:vAlign w:val="center"/>
          </w:tcPr>
          <w:p w14:paraId="0CE96C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0EB5955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CEA30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52CDEA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5C8454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37CBE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2000≤Y＜40000</w:t>
            </w:r>
          </w:p>
        </w:tc>
        <w:tc>
          <w:tcPr>
            <w:tcW w:w="1701" w:type="dxa"/>
            <w:tcBorders>
              <w:top w:val="nil"/>
              <w:left w:val="nil"/>
              <w:bottom w:val="single" w:color="auto" w:sz="4" w:space="0"/>
              <w:right w:val="single" w:color="auto" w:sz="4" w:space="0"/>
            </w:tcBorders>
            <w:noWrap w:val="0"/>
            <w:vAlign w:val="center"/>
          </w:tcPr>
          <w:p w14:paraId="33829C1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300≤Y＜2000</w:t>
            </w:r>
          </w:p>
        </w:tc>
        <w:tc>
          <w:tcPr>
            <w:tcW w:w="1134" w:type="dxa"/>
            <w:tcBorders>
              <w:top w:val="nil"/>
              <w:left w:val="nil"/>
              <w:bottom w:val="single" w:color="auto" w:sz="4" w:space="0"/>
              <w:right w:val="single" w:color="auto" w:sz="4" w:space="0"/>
            </w:tcBorders>
            <w:noWrap w:val="0"/>
            <w:vAlign w:val="center"/>
          </w:tcPr>
          <w:p w14:paraId="454845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24944E7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04EE872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建筑业</w:t>
            </w:r>
          </w:p>
        </w:tc>
        <w:tc>
          <w:tcPr>
            <w:tcW w:w="1984" w:type="dxa"/>
            <w:tcBorders>
              <w:top w:val="nil"/>
              <w:left w:val="nil"/>
              <w:bottom w:val="single" w:color="auto" w:sz="4" w:space="0"/>
              <w:right w:val="single" w:color="auto" w:sz="4" w:space="0"/>
            </w:tcBorders>
            <w:noWrap w:val="0"/>
            <w:vAlign w:val="center"/>
          </w:tcPr>
          <w:p w14:paraId="2C31DA8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7ADE76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80ECCD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6000≤Y＜80000</w:t>
            </w:r>
          </w:p>
        </w:tc>
        <w:tc>
          <w:tcPr>
            <w:tcW w:w="1701" w:type="dxa"/>
            <w:tcBorders>
              <w:top w:val="nil"/>
              <w:left w:val="nil"/>
              <w:bottom w:val="single" w:color="auto" w:sz="4" w:space="0"/>
              <w:right w:val="single" w:color="auto" w:sz="4" w:space="0"/>
            </w:tcBorders>
            <w:noWrap w:val="0"/>
            <w:vAlign w:val="center"/>
          </w:tcPr>
          <w:p w14:paraId="4B1CDB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300≤Y＜6000</w:t>
            </w:r>
          </w:p>
        </w:tc>
        <w:tc>
          <w:tcPr>
            <w:tcW w:w="1134" w:type="dxa"/>
            <w:tcBorders>
              <w:top w:val="nil"/>
              <w:left w:val="nil"/>
              <w:bottom w:val="single" w:color="auto" w:sz="4" w:space="0"/>
              <w:right w:val="single" w:color="auto" w:sz="4" w:space="0"/>
            </w:tcBorders>
            <w:noWrap w:val="0"/>
            <w:vAlign w:val="center"/>
          </w:tcPr>
          <w:p w14:paraId="3CC263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3B50BCE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A3704D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4963FA3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851" w:type="dxa"/>
            <w:tcBorders>
              <w:top w:val="nil"/>
              <w:left w:val="nil"/>
              <w:bottom w:val="single" w:color="auto" w:sz="4" w:space="0"/>
              <w:right w:val="single" w:color="auto" w:sz="4" w:space="0"/>
            </w:tcBorders>
            <w:noWrap w:val="0"/>
            <w:vAlign w:val="center"/>
          </w:tcPr>
          <w:p w14:paraId="0D61671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3583B4F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5000≤Z＜80000</w:t>
            </w:r>
          </w:p>
        </w:tc>
        <w:tc>
          <w:tcPr>
            <w:tcW w:w="1701" w:type="dxa"/>
            <w:tcBorders>
              <w:top w:val="nil"/>
              <w:left w:val="nil"/>
              <w:bottom w:val="single" w:color="auto" w:sz="4" w:space="0"/>
              <w:right w:val="single" w:color="auto" w:sz="4" w:space="0"/>
            </w:tcBorders>
            <w:noWrap w:val="0"/>
            <w:vAlign w:val="center"/>
          </w:tcPr>
          <w:p w14:paraId="7A0C5A2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300≤Z＜5000</w:t>
            </w:r>
          </w:p>
        </w:tc>
        <w:tc>
          <w:tcPr>
            <w:tcW w:w="1134" w:type="dxa"/>
            <w:tcBorders>
              <w:top w:val="nil"/>
              <w:left w:val="nil"/>
              <w:bottom w:val="single" w:color="auto" w:sz="4" w:space="0"/>
              <w:right w:val="single" w:color="auto" w:sz="4" w:space="0"/>
            </w:tcBorders>
            <w:noWrap w:val="0"/>
            <w:vAlign w:val="center"/>
          </w:tcPr>
          <w:p w14:paraId="707DDA1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Z＜300</w:t>
            </w:r>
          </w:p>
        </w:tc>
      </w:tr>
      <w:tr w14:paraId="03F293D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1C92A6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批发业</w:t>
            </w:r>
          </w:p>
        </w:tc>
        <w:tc>
          <w:tcPr>
            <w:tcW w:w="1984" w:type="dxa"/>
            <w:tcBorders>
              <w:top w:val="nil"/>
              <w:left w:val="nil"/>
              <w:bottom w:val="single" w:color="auto" w:sz="4" w:space="0"/>
              <w:right w:val="single" w:color="auto" w:sz="4" w:space="0"/>
            </w:tcBorders>
            <w:noWrap w:val="0"/>
            <w:vAlign w:val="center"/>
          </w:tcPr>
          <w:p w14:paraId="6C0709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0A1BD37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372D389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20≤X＜200</w:t>
            </w:r>
          </w:p>
        </w:tc>
        <w:tc>
          <w:tcPr>
            <w:tcW w:w="1701" w:type="dxa"/>
            <w:tcBorders>
              <w:top w:val="nil"/>
              <w:left w:val="nil"/>
              <w:bottom w:val="single" w:color="auto" w:sz="4" w:space="0"/>
              <w:right w:val="single" w:color="auto" w:sz="4" w:space="0"/>
            </w:tcBorders>
            <w:noWrap w:val="0"/>
            <w:vAlign w:val="center"/>
          </w:tcPr>
          <w:p w14:paraId="221B6FF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5≤X＜20</w:t>
            </w:r>
          </w:p>
        </w:tc>
        <w:tc>
          <w:tcPr>
            <w:tcW w:w="1134" w:type="dxa"/>
            <w:tcBorders>
              <w:top w:val="nil"/>
              <w:left w:val="nil"/>
              <w:bottom w:val="single" w:color="auto" w:sz="4" w:space="0"/>
              <w:right w:val="single" w:color="auto" w:sz="4" w:space="0"/>
            </w:tcBorders>
            <w:noWrap w:val="0"/>
            <w:vAlign w:val="center"/>
          </w:tcPr>
          <w:p w14:paraId="729069B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X＜5</w:t>
            </w:r>
          </w:p>
        </w:tc>
      </w:tr>
      <w:tr w14:paraId="031C9CB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8406A5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45D5CB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5637F6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832328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5000≤Y＜40000</w:t>
            </w:r>
          </w:p>
        </w:tc>
        <w:tc>
          <w:tcPr>
            <w:tcW w:w="1701" w:type="dxa"/>
            <w:tcBorders>
              <w:top w:val="nil"/>
              <w:left w:val="nil"/>
              <w:bottom w:val="single" w:color="auto" w:sz="4" w:space="0"/>
              <w:right w:val="single" w:color="auto" w:sz="4" w:space="0"/>
            </w:tcBorders>
            <w:noWrap w:val="0"/>
            <w:vAlign w:val="center"/>
          </w:tcPr>
          <w:p w14:paraId="02E4872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1134" w:type="dxa"/>
            <w:tcBorders>
              <w:top w:val="nil"/>
              <w:left w:val="nil"/>
              <w:bottom w:val="single" w:color="auto" w:sz="4" w:space="0"/>
              <w:right w:val="single" w:color="auto" w:sz="4" w:space="0"/>
            </w:tcBorders>
            <w:noWrap w:val="0"/>
            <w:vAlign w:val="center"/>
          </w:tcPr>
          <w:p w14:paraId="3B3898A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w:t>
            </w:r>
          </w:p>
        </w:tc>
      </w:tr>
      <w:tr w14:paraId="52FE703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7D42D80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零售业</w:t>
            </w:r>
          </w:p>
        </w:tc>
        <w:tc>
          <w:tcPr>
            <w:tcW w:w="1984" w:type="dxa"/>
            <w:tcBorders>
              <w:top w:val="nil"/>
              <w:left w:val="nil"/>
              <w:bottom w:val="single" w:color="auto" w:sz="4" w:space="0"/>
              <w:right w:val="single" w:color="auto" w:sz="4" w:space="0"/>
            </w:tcBorders>
            <w:noWrap w:val="0"/>
            <w:vAlign w:val="center"/>
          </w:tcPr>
          <w:p w14:paraId="02A2A1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068B46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0148488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50≤X＜300</w:t>
            </w:r>
          </w:p>
        </w:tc>
        <w:tc>
          <w:tcPr>
            <w:tcW w:w="1701" w:type="dxa"/>
            <w:tcBorders>
              <w:top w:val="nil"/>
              <w:left w:val="nil"/>
              <w:bottom w:val="single" w:color="auto" w:sz="4" w:space="0"/>
              <w:right w:val="single" w:color="auto" w:sz="4" w:space="0"/>
            </w:tcBorders>
            <w:noWrap w:val="0"/>
            <w:vAlign w:val="center"/>
          </w:tcPr>
          <w:p w14:paraId="0FF1AE5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10≤X＜50</w:t>
            </w:r>
          </w:p>
        </w:tc>
        <w:tc>
          <w:tcPr>
            <w:tcW w:w="1134" w:type="dxa"/>
            <w:tcBorders>
              <w:top w:val="nil"/>
              <w:left w:val="nil"/>
              <w:bottom w:val="single" w:color="auto" w:sz="4" w:space="0"/>
              <w:right w:val="single" w:color="auto" w:sz="4" w:space="0"/>
            </w:tcBorders>
            <w:noWrap w:val="0"/>
            <w:vAlign w:val="center"/>
          </w:tcPr>
          <w:p w14:paraId="7CEB357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723E79D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EAA7FC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30886F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49DA65E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62D3929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500≤Y＜20000</w:t>
            </w:r>
          </w:p>
        </w:tc>
        <w:tc>
          <w:tcPr>
            <w:tcW w:w="1701" w:type="dxa"/>
            <w:tcBorders>
              <w:top w:val="nil"/>
              <w:left w:val="nil"/>
              <w:bottom w:val="single" w:color="auto" w:sz="4" w:space="0"/>
              <w:right w:val="single" w:color="auto" w:sz="4" w:space="0"/>
            </w:tcBorders>
            <w:noWrap w:val="0"/>
            <w:vAlign w:val="center"/>
          </w:tcPr>
          <w:p w14:paraId="58E807C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100≤Y＜500</w:t>
            </w:r>
          </w:p>
        </w:tc>
        <w:tc>
          <w:tcPr>
            <w:tcW w:w="1134" w:type="dxa"/>
            <w:tcBorders>
              <w:top w:val="nil"/>
              <w:left w:val="nil"/>
              <w:bottom w:val="single" w:color="auto" w:sz="4" w:space="0"/>
              <w:right w:val="single" w:color="auto" w:sz="4" w:space="0"/>
            </w:tcBorders>
            <w:noWrap w:val="0"/>
            <w:vAlign w:val="center"/>
          </w:tcPr>
          <w:p w14:paraId="1A07798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53FA37E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36827A4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交通运输业</w:t>
            </w:r>
          </w:p>
        </w:tc>
        <w:tc>
          <w:tcPr>
            <w:tcW w:w="1984" w:type="dxa"/>
            <w:tcBorders>
              <w:top w:val="nil"/>
              <w:left w:val="nil"/>
              <w:bottom w:val="single" w:color="auto" w:sz="4" w:space="0"/>
              <w:right w:val="single" w:color="auto" w:sz="4" w:space="0"/>
            </w:tcBorders>
            <w:noWrap w:val="0"/>
            <w:vAlign w:val="center"/>
          </w:tcPr>
          <w:p w14:paraId="6E584F7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1F8219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5A8438D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52256BD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1134" w:type="dxa"/>
            <w:tcBorders>
              <w:top w:val="nil"/>
              <w:left w:val="nil"/>
              <w:bottom w:val="single" w:color="auto" w:sz="4" w:space="0"/>
              <w:right w:val="single" w:color="auto" w:sz="4" w:space="0"/>
            </w:tcBorders>
            <w:noWrap w:val="0"/>
            <w:vAlign w:val="center"/>
          </w:tcPr>
          <w:p w14:paraId="21ADE8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57524ED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A4D262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6DA5EC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6BC1A1E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0B6C55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3000≤Y＜30000</w:t>
            </w:r>
          </w:p>
        </w:tc>
        <w:tc>
          <w:tcPr>
            <w:tcW w:w="1701" w:type="dxa"/>
            <w:tcBorders>
              <w:top w:val="nil"/>
              <w:left w:val="nil"/>
              <w:bottom w:val="single" w:color="auto" w:sz="4" w:space="0"/>
              <w:right w:val="single" w:color="auto" w:sz="4" w:space="0"/>
            </w:tcBorders>
            <w:noWrap w:val="0"/>
            <w:vAlign w:val="center"/>
          </w:tcPr>
          <w:p w14:paraId="59EEB6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200≤Y＜3000</w:t>
            </w:r>
          </w:p>
        </w:tc>
        <w:tc>
          <w:tcPr>
            <w:tcW w:w="1134" w:type="dxa"/>
            <w:tcBorders>
              <w:top w:val="nil"/>
              <w:left w:val="nil"/>
              <w:bottom w:val="single" w:color="auto" w:sz="4" w:space="0"/>
              <w:right w:val="single" w:color="auto" w:sz="4" w:space="0"/>
            </w:tcBorders>
            <w:noWrap w:val="0"/>
            <w:vAlign w:val="center"/>
          </w:tcPr>
          <w:p w14:paraId="2AC9FF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w:t>
            </w:r>
          </w:p>
        </w:tc>
      </w:tr>
      <w:tr w14:paraId="69F8876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1F5253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仓储业</w:t>
            </w:r>
          </w:p>
        </w:tc>
        <w:tc>
          <w:tcPr>
            <w:tcW w:w="1984" w:type="dxa"/>
            <w:tcBorders>
              <w:top w:val="nil"/>
              <w:left w:val="nil"/>
              <w:bottom w:val="single" w:color="auto" w:sz="4" w:space="0"/>
              <w:right w:val="single" w:color="auto" w:sz="4" w:space="0"/>
            </w:tcBorders>
            <w:noWrap w:val="0"/>
            <w:vAlign w:val="center"/>
          </w:tcPr>
          <w:p w14:paraId="109A509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6ADEBF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562ED0A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w:t>
            </w:r>
          </w:p>
        </w:tc>
        <w:tc>
          <w:tcPr>
            <w:tcW w:w="1701" w:type="dxa"/>
            <w:tcBorders>
              <w:top w:val="nil"/>
              <w:left w:val="nil"/>
              <w:bottom w:val="single" w:color="auto" w:sz="4" w:space="0"/>
              <w:right w:val="single" w:color="auto" w:sz="4" w:space="0"/>
            </w:tcBorders>
            <w:noWrap w:val="0"/>
            <w:vAlign w:val="center"/>
          </w:tcPr>
          <w:p w14:paraId="00E6E6E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20≤X＜100</w:t>
            </w:r>
          </w:p>
        </w:tc>
        <w:tc>
          <w:tcPr>
            <w:tcW w:w="1134" w:type="dxa"/>
            <w:tcBorders>
              <w:top w:val="nil"/>
              <w:left w:val="nil"/>
              <w:bottom w:val="single" w:color="auto" w:sz="4" w:space="0"/>
              <w:right w:val="single" w:color="auto" w:sz="4" w:space="0"/>
            </w:tcBorders>
            <w:noWrap w:val="0"/>
            <w:vAlign w:val="center"/>
          </w:tcPr>
          <w:p w14:paraId="57ABAF4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712E86F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FBF073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358DBC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2DE362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65D7568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1000≤Y＜30000</w:t>
            </w:r>
          </w:p>
        </w:tc>
        <w:tc>
          <w:tcPr>
            <w:tcW w:w="1701" w:type="dxa"/>
            <w:tcBorders>
              <w:top w:val="nil"/>
              <w:left w:val="nil"/>
              <w:bottom w:val="single" w:color="auto" w:sz="4" w:space="0"/>
              <w:right w:val="single" w:color="auto" w:sz="4" w:space="0"/>
            </w:tcBorders>
            <w:noWrap w:val="0"/>
            <w:vAlign w:val="center"/>
          </w:tcPr>
          <w:p w14:paraId="42BBAF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100≤Y＜1000</w:t>
            </w:r>
          </w:p>
        </w:tc>
        <w:tc>
          <w:tcPr>
            <w:tcW w:w="1134" w:type="dxa"/>
            <w:tcBorders>
              <w:top w:val="nil"/>
              <w:left w:val="nil"/>
              <w:bottom w:val="single" w:color="auto" w:sz="4" w:space="0"/>
              <w:right w:val="single" w:color="auto" w:sz="4" w:space="0"/>
            </w:tcBorders>
            <w:noWrap w:val="0"/>
            <w:vAlign w:val="center"/>
          </w:tcPr>
          <w:p w14:paraId="17B531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12CA9E8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3E40C6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邮政业</w:t>
            </w:r>
          </w:p>
        </w:tc>
        <w:tc>
          <w:tcPr>
            <w:tcW w:w="1984" w:type="dxa"/>
            <w:tcBorders>
              <w:top w:val="nil"/>
              <w:left w:val="nil"/>
              <w:bottom w:val="single" w:color="auto" w:sz="4" w:space="0"/>
              <w:right w:val="single" w:color="auto" w:sz="4" w:space="0"/>
            </w:tcBorders>
            <w:noWrap w:val="0"/>
            <w:vAlign w:val="center"/>
          </w:tcPr>
          <w:p w14:paraId="2715D73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149A55D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7F18571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07D18BA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1134" w:type="dxa"/>
            <w:tcBorders>
              <w:top w:val="nil"/>
              <w:left w:val="nil"/>
              <w:bottom w:val="single" w:color="auto" w:sz="4" w:space="0"/>
              <w:right w:val="single" w:color="auto" w:sz="4" w:space="0"/>
            </w:tcBorders>
            <w:noWrap w:val="0"/>
            <w:vAlign w:val="center"/>
          </w:tcPr>
          <w:p w14:paraId="155244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13BB864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F537D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1E2E4EC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391B9CA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1B103A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2000≤Y＜30000</w:t>
            </w:r>
          </w:p>
        </w:tc>
        <w:tc>
          <w:tcPr>
            <w:tcW w:w="1701" w:type="dxa"/>
            <w:tcBorders>
              <w:top w:val="nil"/>
              <w:left w:val="nil"/>
              <w:bottom w:val="single" w:color="auto" w:sz="4" w:space="0"/>
              <w:right w:val="single" w:color="auto" w:sz="4" w:space="0"/>
            </w:tcBorders>
            <w:noWrap w:val="0"/>
            <w:vAlign w:val="center"/>
          </w:tcPr>
          <w:p w14:paraId="33BFB13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1134" w:type="dxa"/>
            <w:tcBorders>
              <w:top w:val="nil"/>
              <w:left w:val="nil"/>
              <w:bottom w:val="single" w:color="auto" w:sz="4" w:space="0"/>
              <w:right w:val="single" w:color="auto" w:sz="4" w:space="0"/>
            </w:tcBorders>
            <w:noWrap w:val="0"/>
            <w:vAlign w:val="center"/>
          </w:tcPr>
          <w:p w14:paraId="2A1C2B3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70593A0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536EE5D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住宿业</w:t>
            </w:r>
          </w:p>
        </w:tc>
        <w:tc>
          <w:tcPr>
            <w:tcW w:w="1984" w:type="dxa"/>
            <w:tcBorders>
              <w:top w:val="nil"/>
              <w:left w:val="nil"/>
              <w:bottom w:val="single" w:color="auto" w:sz="4" w:space="0"/>
              <w:right w:val="single" w:color="auto" w:sz="4" w:space="0"/>
            </w:tcBorders>
            <w:noWrap w:val="0"/>
            <w:vAlign w:val="center"/>
          </w:tcPr>
          <w:p w14:paraId="770055D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36AA130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1D3C7D0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5D7912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2396230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7C4F822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15D192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37E5936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6DCE33F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2D961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2C4D7DD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1134" w:type="dxa"/>
            <w:tcBorders>
              <w:top w:val="nil"/>
              <w:left w:val="nil"/>
              <w:bottom w:val="single" w:color="auto" w:sz="4" w:space="0"/>
              <w:right w:val="single" w:color="auto" w:sz="4" w:space="0"/>
            </w:tcBorders>
            <w:noWrap w:val="0"/>
            <w:vAlign w:val="center"/>
          </w:tcPr>
          <w:p w14:paraId="13F351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6FDA1F0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20CAF51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餐饮业</w:t>
            </w:r>
          </w:p>
        </w:tc>
        <w:tc>
          <w:tcPr>
            <w:tcW w:w="1984" w:type="dxa"/>
            <w:tcBorders>
              <w:top w:val="nil"/>
              <w:left w:val="nil"/>
              <w:bottom w:val="single" w:color="auto" w:sz="4" w:space="0"/>
              <w:right w:val="single" w:color="auto" w:sz="4" w:space="0"/>
            </w:tcBorders>
            <w:noWrap w:val="0"/>
            <w:vAlign w:val="center"/>
          </w:tcPr>
          <w:p w14:paraId="3DD0C9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7526BAE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0C51A31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7283606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2CB16C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7934E74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95A428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0FD69EB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41B516C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C60110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4215B5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1134" w:type="dxa"/>
            <w:tcBorders>
              <w:top w:val="nil"/>
              <w:left w:val="nil"/>
              <w:bottom w:val="single" w:color="auto" w:sz="4" w:space="0"/>
              <w:right w:val="single" w:color="auto" w:sz="4" w:space="0"/>
            </w:tcBorders>
            <w:noWrap w:val="0"/>
            <w:vAlign w:val="center"/>
          </w:tcPr>
          <w:p w14:paraId="499DED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1FD1914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3D3AFCB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信息传输业</w:t>
            </w:r>
          </w:p>
        </w:tc>
        <w:tc>
          <w:tcPr>
            <w:tcW w:w="1984" w:type="dxa"/>
            <w:tcBorders>
              <w:top w:val="nil"/>
              <w:left w:val="nil"/>
              <w:bottom w:val="single" w:color="auto" w:sz="4" w:space="0"/>
              <w:right w:val="single" w:color="auto" w:sz="4" w:space="0"/>
            </w:tcBorders>
            <w:noWrap w:val="0"/>
            <w:vAlign w:val="center"/>
          </w:tcPr>
          <w:p w14:paraId="21F4E68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4B15CC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1D976DC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100≤X＜2000</w:t>
            </w:r>
          </w:p>
        </w:tc>
        <w:tc>
          <w:tcPr>
            <w:tcW w:w="1701" w:type="dxa"/>
            <w:tcBorders>
              <w:top w:val="nil"/>
              <w:left w:val="nil"/>
              <w:bottom w:val="single" w:color="auto" w:sz="4" w:space="0"/>
              <w:right w:val="single" w:color="auto" w:sz="4" w:space="0"/>
            </w:tcBorders>
            <w:noWrap w:val="0"/>
            <w:vAlign w:val="center"/>
          </w:tcPr>
          <w:p w14:paraId="5306FB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1896B1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03688B7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95618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6D5021C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35BC126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07434C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1000≤Y＜100000</w:t>
            </w:r>
          </w:p>
        </w:tc>
        <w:tc>
          <w:tcPr>
            <w:tcW w:w="1701" w:type="dxa"/>
            <w:tcBorders>
              <w:top w:val="nil"/>
              <w:left w:val="nil"/>
              <w:bottom w:val="single" w:color="auto" w:sz="4" w:space="0"/>
              <w:right w:val="single" w:color="auto" w:sz="4" w:space="0"/>
            </w:tcBorders>
            <w:noWrap w:val="0"/>
            <w:vAlign w:val="center"/>
          </w:tcPr>
          <w:p w14:paraId="5BF776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100≤Y＜1000</w:t>
            </w:r>
          </w:p>
        </w:tc>
        <w:tc>
          <w:tcPr>
            <w:tcW w:w="1134" w:type="dxa"/>
            <w:tcBorders>
              <w:top w:val="nil"/>
              <w:left w:val="nil"/>
              <w:bottom w:val="single" w:color="auto" w:sz="4" w:space="0"/>
              <w:right w:val="single" w:color="auto" w:sz="4" w:space="0"/>
            </w:tcBorders>
            <w:noWrap w:val="0"/>
            <w:vAlign w:val="center"/>
          </w:tcPr>
          <w:p w14:paraId="35E5629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7D5D015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4B11C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1A628B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6A993B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21D53D0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1DD770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4A46D89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197BF50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147380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6233A3D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1691573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2EAA1BA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w:t>
            </w:r>
          </w:p>
        </w:tc>
        <w:tc>
          <w:tcPr>
            <w:tcW w:w="1701" w:type="dxa"/>
            <w:tcBorders>
              <w:top w:val="nil"/>
              <w:left w:val="nil"/>
              <w:bottom w:val="single" w:color="auto" w:sz="4" w:space="0"/>
              <w:right w:val="single" w:color="auto" w:sz="4" w:space="0"/>
            </w:tcBorders>
            <w:noWrap w:val="0"/>
            <w:vAlign w:val="center"/>
          </w:tcPr>
          <w:p w14:paraId="548A340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50≤Y＜1000</w:t>
            </w:r>
          </w:p>
        </w:tc>
        <w:tc>
          <w:tcPr>
            <w:tcW w:w="1134" w:type="dxa"/>
            <w:tcBorders>
              <w:top w:val="nil"/>
              <w:left w:val="nil"/>
              <w:bottom w:val="single" w:color="auto" w:sz="4" w:space="0"/>
              <w:right w:val="single" w:color="auto" w:sz="4" w:space="0"/>
            </w:tcBorders>
            <w:noWrap w:val="0"/>
            <w:vAlign w:val="center"/>
          </w:tcPr>
          <w:p w14:paraId="0E254E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1A04408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2EB005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房地产开发经营</w:t>
            </w:r>
          </w:p>
        </w:tc>
        <w:tc>
          <w:tcPr>
            <w:tcW w:w="1984" w:type="dxa"/>
            <w:tcBorders>
              <w:top w:val="nil"/>
              <w:left w:val="nil"/>
              <w:bottom w:val="single" w:color="auto" w:sz="4" w:space="0"/>
              <w:right w:val="single" w:color="auto" w:sz="4" w:space="0"/>
            </w:tcBorders>
            <w:noWrap w:val="0"/>
            <w:vAlign w:val="center"/>
          </w:tcPr>
          <w:p w14:paraId="61571D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70D8ADA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8DCF08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1000≤Y＜200000</w:t>
            </w:r>
          </w:p>
        </w:tc>
        <w:tc>
          <w:tcPr>
            <w:tcW w:w="1701" w:type="dxa"/>
            <w:tcBorders>
              <w:top w:val="nil"/>
              <w:left w:val="nil"/>
              <w:bottom w:val="single" w:color="auto" w:sz="4" w:space="0"/>
              <w:right w:val="single" w:color="auto" w:sz="4" w:space="0"/>
            </w:tcBorders>
            <w:noWrap w:val="0"/>
            <w:vAlign w:val="center"/>
          </w:tcPr>
          <w:p w14:paraId="7B247C2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100≤X＜1000</w:t>
            </w:r>
          </w:p>
        </w:tc>
        <w:tc>
          <w:tcPr>
            <w:tcW w:w="1134" w:type="dxa"/>
            <w:tcBorders>
              <w:top w:val="nil"/>
              <w:left w:val="nil"/>
              <w:bottom w:val="single" w:color="auto" w:sz="4" w:space="0"/>
              <w:right w:val="single" w:color="auto" w:sz="4" w:space="0"/>
            </w:tcBorders>
            <w:noWrap w:val="0"/>
            <w:vAlign w:val="center"/>
          </w:tcPr>
          <w:p w14:paraId="67ED2A7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555ADA4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CC3B7C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279817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851" w:type="dxa"/>
            <w:tcBorders>
              <w:top w:val="nil"/>
              <w:left w:val="nil"/>
              <w:bottom w:val="single" w:color="auto" w:sz="4" w:space="0"/>
              <w:right w:val="single" w:color="auto" w:sz="4" w:space="0"/>
            </w:tcBorders>
            <w:noWrap w:val="0"/>
            <w:vAlign w:val="center"/>
          </w:tcPr>
          <w:p w14:paraId="02C199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E8D41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5000≤Z＜10000</w:t>
            </w:r>
          </w:p>
        </w:tc>
        <w:tc>
          <w:tcPr>
            <w:tcW w:w="1701" w:type="dxa"/>
            <w:tcBorders>
              <w:top w:val="nil"/>
              <w:left w:val="nil"/>
              <w:bottom w:val="single" w:color="auto" w:sz="4" w:space="0"/>
              <w:right w:val="single" w:color="auto" w:sz="4" w:space="0"/>
            </w:tcBorders>
            <w:noWrap w:val="0"/>
            <w:vAlign w:val="center"/>
          </w:tcPr>
          <w:p w14:paraId="5850F8D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2000≤Y＜5000</w:t>
            </w:r>
          </w:p>
        </w:tc>
        <w:tc>
          <w:tcPr>
            <w:tcW w:w="1134" w:type="dxa"/>
            <w:tcBorders>
              <w:top w:val="nil"/>
              <w:left w:val="nil"/>
              <w:bottom w:val="single" w:color="auto" w:sz="4" w:space="0"/>
              <w:right w:val="single" w:color="auto" w:sz="4" w:space="0"/>
            </w:tcBorders>
            <w:noWrap w:val="0"/>
            <w:vAlign w:val="center"/>
          </w:tcPr>
          <w:p w14:paraId="624C1C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Y＜2000</w:t>
            </w:r>
          </w:p>
        </w:tc>
      </w:tr>
      <w:tr w14:paraId="361C2CD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195EFEC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物业管理</w:t>
            </w:r>
          </w:p>
        </w:tc>
        <w:tc>
          <w:tcPr>
            <w:tcW w:w="1984" w:type="dxa"/>
            <w:tcBorders>
              <w:top w:val="nil"/>
              <w:left w:val="nil"/>
              <w:bottom w:val="single" w:color="auto" w:sz="4" w:space="0"/>
              <w:right w:val="single" w:color="auto" w:sz="4" w:space="0"/>
            </w:tcBorders>
            <w:noWrap w:val="0"/>
            <w:vAlign w:val="center"/>
          </w:tcPr>
          <w:p w14:paraId="6B4F13D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765856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4F4BE6F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61CC05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1134" w:type="dxa"/>
            <w:tcBorders>
              <w:top w:val="nil"/>
              <w:left w:val="nil"/>
              <w:bottom w:val="single" w:color="auto" w:sz="4" w:space="0"/>
              <w:right w:val="single" w:color="auto" w:sz="4" w:space="0"/>
            </w:tcBorders>
            <w:noWrap w:val="0"/>
            <w:vAlign w:val="center"/>
          </w:tcPr>
          <w:p w14:paraId="502190C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6D0EC06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07792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13AD109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851" w:type="dxa"/>
            <w:tcBorders>
              <w:top w:val="nil"/>
              <w:left w:val="nil"/>
              <w:bottom w:val="single" w:color="auto" w:sz="4" w:space="0"/>
              <w:right w:val="single" w:color="auto" w:sz="4" w:space="0"/>
            </w:tcBorders>
            <w:noWrap w:val="0"/>
            <w:vAlign w:val="center"/>
          </w:tcPr>
          <w:p w14:paraId="23249CF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43BAD2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1701" w:type="dxa"/>
            <w:tcBorders>
              <w:top w:val="nil"/>
              <w:left w:val="nil"/>
              <w:bottom w:val="single" w:color="auto" w:sz="4" w:space="0"/>
              <w:right w:val="single" w:color="auto" w:sz="4" w:space="0"/>
            </w:tcBorders>
            <w:noWrap w:val="0"/>
            <w:vAlign w:val="center"/>
          </w:tcPr>
          <w:p w14:paraId="73DB78D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500≤Y＜1000</w:t>
            </w:r>
          </w:p>
        </w:tc>
        <w:tc>
          <w:tcPr>
            <w:tcW w:w="1134" w:type="dxa"/>
            <w:tcBorders>
              <w:top w:val="nil"/>
              <w:left w:val="nil"/>
              <w:bottom w:val="single" w:color="auto" w:sz="4" w:space="0"/>
              <w:right w:val="single" w:color="auto" w:sz="4" w:space="0"/>
            </w:tcBorders>
            <w:noWrap w:val="0"/>
            <w:vAlign w:val="center"/>
          </w:tcPr>
          <w:p w14:paraId="4FF85C0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Y＜500</w:t>
            </w:r>
          </w:p>
        </w:tc>
      </w:tr>
      <w:tr w14:paraId="36006BD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B38B35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567E23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37155EB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538CE1F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2531122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1B08D41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28D7B2C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ABAD0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p>
        </w:tc>
        <w:tc>
          <w:tcPr>
            <w:tcW w:w="1984" w:type="dxa"/>
            <w:tcBorders>
              <w:top w:val="nil"/>
              <w:left w:val="nil"/>
              <w:bottom w:val="single" w:color="auto" w:sz="4" w:space="0"/>
              <w:right w:val="single" w:color="auto" w:sz="4" w:space="0"/>
            </w:tcBorders>
            <w:noWrap w:val="0"/>
            <w:vAlign w:val="center"/>
          </w:tcPr>
          <w:p w14:paraId="52A20BE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851" w:type="dxa"/>
            <w:tcBorders>
              <w:top w:val="nil"/>
              <w:left w:val="nil"/>
              <w:bottom w:val="single" w:color="auto" w:sz="4" w:space="0"/>
              <w:right w:val="single" w:color="auto" w:sz="4" w:space="0"/>
            </w:tcBorders>
            <w:noWrap w:val="0"/>
            <w:vAlign w:val="center"/>
          </w:tcPr>
          <w:p w14:paraId="63FDCA7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3C02B05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8000≤Z＜120000</w:t>
            </w:r>
          </w:p>
        </w:tc>
        <w:tc>
          <w:tcPr>
            <w:tcW w:w="1701" w:type="dxa"/>
            <w:tcBorders>
              <w:top w:val="nil"/>
              <w:left w:val="nil"/>
              <w:bottom w:val="single" w:color="auto" w:sz="4" w:space="0"/>
              <w:right w:val="single" w:color="auto" w:sz="4" w:space="0"/>
            </w:tcBorders>
            <w:noWrap w:val="0"/>
            <w:vAlign w:val="center"/>
          </w:tcPr>
          <w:p w14:paraId="14F08D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100≤Z＜8000</w:t>
            </w:r>
          </w:p>
        </w:tc>
        <w:tc>
          <w:tcPr>
            <w:tcW w:w="1134" w:type="dxa"/>
            <w:tcBorders>
              <w:top w:val="nil"/>
              <w:left w:val="nil"/>
              <w:bottom w:val="single" w:color="auto" w:sz="4" w:space="0"/>
              <w:right w:val="single" w:color="auto" w:sz="4" w:space="0"/>
            </w:tcBorders>
            <w:noWrap w:val="0"/>
            <w:vAlign w:val="center"/>
          </w:tcPr>
          <w:p w14:paraId="55456F7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1264C28E">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center"/>
          </w:tcPr>
          <w:p w14:paraId="0C7DA74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其他未列明行业</w:t>
            </w:r>
          </w:p>
        </w:tc>
        <w:tc>
          <w:tcPr>
            <w:tcW w:w="1984" w:type="dxa"/>
            <w:tcBorders>
              <w:top w:val="nil"/>
              <w:left w:val="nil"/>
              <w:bottom w:val="single" w:color="auto" w:sz="4" w:space="0"/>
              <w:right w:val="single" w:color="auto" w:sz="4" w:space="0"/>
            </w:tcBorders>
            <w:noWrap w:val="0"/>
            <w:vAlign w:val="center"/>
          </w:tcPr>
          <w:p w14:paraId="11087C7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851" w:type="dxa"/>
            <w:tcBorders>
              <w:top w:val="nil"/>
              <w:left w:val="nil"/>
              <w:bottom w:val="single" w:color="auto" w:sz="4" w:space="0"/>
              <w:right w:val="single" w:color="auto" w:sz="4" w:space="0"/>
            </w:tcBorders>
            <w:noWrap w:val="0"/>
            <w:vAlign w:val="center"/>
          </w:tcPr>
          <w:p w14:paraId="1FC5B5D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48CA697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0EB6D98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54F8A8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bl>
    <w:p w14:paraId="7296E6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Cs w:val="21"/>
          <w:highlight w:val="none"/>
        </w:rPr>
      </w:pPr>
    </w:p>
    <w:p w14:paraId="6BDFB8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Cs w:val="21"/>
          <w:highlight w:val="none"/>
        </w:rPr>
        <w:sectPr>
          <w:pgSz w:w="11906" w:h="16838"/>
          <w:pgMar w:top="1304" w:right="1304" w:bottom="1304" w:left="1304" w:header="851" w:footer="992" w:gutter="0"/>
          <w:pgNumType w:fmt="decimal"/>
          <w:cols w:space="425" w:num="1"/>
          <w:docGrid w:type="lines" w:linePitch="312"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DB50666">
      <w:pPr>
        <w:spacing w:before="72" w:line="220" w:lineRule="auto"/>
        <w:outlineLvl w:val="1"/>
        <w:rPr>
          <w:rFonts w:ascii="宋体" w:hAnsi="宋体" w:eastAsia="宋体" w:cs="宋体"/>
          <w:sz w:val="30"/>
          <w:szCs w:val="30"/>
        </w:rPr>
      </w:pPr>
      <w:r>
        <w:rPr>
          <w:rFonts w:hint="eastAsia" w:ascii="宋体" w:hAnsi="宋体" w:eastAsia="宋体" w:cs="宋体"/>
          <w:b/>
          <w:bCs/>
          <w:spacing w:val="-4"/>
          <w:sz w:val="30"/>
          <w:szCs w:val="30"/>
          <w:lang w:val="en-US" w:eastAsia="zh-CN"/>
        </w:rPr>
        <w:t>附件2：</w:t>
      </w:r>
      <w:r>
        <w:rPr>
          <w:rFonts w:ascii="宋体" w:hAnsi="宋体" w:eastAsia="宋体" w:cs="宋体"/>
          <w:b/>
          <w:bCs/>
          <w:spacing w:val="-4"/>
          <w:sz w:val="30"/>
          <w:szCs w:val="30"/>
        </w:rPr>
        <w:t>后期维护保养规范要求资料（表）</w:t>
      </w:r>
    </w:p>
    <w:p w14:paraId="5A2EA51B">
      <w:pPr>
        <w:spacing w:line="282" w:lineRule="auto"/>
        <w:rPr>
          <w:rFonts w:ascii="Arial"/>
          <w:sz w:val="21"/>
        </w:rPr>
      </w:pPr>
    </w:p>
    <w:p w14:paraId="7DF6D474">
      <w:pPr>
        <w:spacing w:before="117" w:line="220" w:lineRule="auto"/>
        <w:jc w:val="center"/>
        <w:rPr>
          <w:rFonts w:ascii="黑体" w:hAnsi="黑体" w:eastAsia="黑体" w:cs="黑体"/>
          <w:sz w:val="36"/>
          <w:szCs w:val="36"/>
        </w:rPr>
      </w:pPr>
      <w:r>
        <w:rPr>
          <w:rFonts w:ascii="黑体" w:hAnsi="黑体" w:eastAsia="黑体" w:cs="黑体"/>
          <w:spacing w:val="-5"/>
          <w:sz w:val="36"/>
          <w:szCs w:val="36"/>
        </w:rPr>
        <w:t>表</w:t>
      </w:r>
      <w:r>
        <w:rPr>
          <w:rFonts w:ascii="黑体" w:hAnsi="黑体" w:eastAsia="黑体" w:cs="黑体"/>
          <w:spacing w:val="-49"/>
          <w:sz w:val="36"/>
          <w:szCs w:val="36"/>
        </w:rPr>
        <w:t xml:space="preserve"> </w:t>
      </w:r>
      <w:r>
        <w:rPr>
          <w:rFonts w:ascii="黑体" w:hAnsi="黑体" w:eastAsia="黑体" w:cs="黑体"/>
          <w:spacing w:val="-5"/>
          <w:sz w:val="36"/>
          <w:szCs w:val="36"/>
        </w:rPr>
        <w:t>1 房屋蚁情调查记录表</w:t>
      </w:r>
    </w:p>
    <w:p w14:paraId="5A341DDF">
      <w:pPr>
        <w:spacing w:line="406" w:lineRule="auto"/>
        <w:rPr>
          <w:rFonts w:ascii="Arial"/>
          <w:sz w:val="21"/>
        </w:rPr>
      </w:pPr>
    </w:p>
    <w:p w14:paraId="52C88DC2">
      <w:pPr>
        <w:spacing w:before="78" w:line="220" w:lineRule="auto"/>
        <w:ind w:left="363"/>
        <w:rPr>
          <w:rFonts w:hint="eastAsia" w:ascii="宋体" w:hAnsi="宋体" w:eastAsia="宋体" w:cs="宋体"/>
          <w:sz w:val="21"/>
          <w:szCs w:val="21"/>
        </w:rPr>
      </w:pPr>
      <w:r>
        <w:rPr>
          <w:rFonts w:hint="eastAsia" w:ascii="宋体" w:hAnsi="宋体" w:eastAsia="宋体" w:cs="宋体"/>
          <w:b w:val="0"/>
          <w:bCs w:val="0"/>
          <w:color w:val="auto"/>
          <w:spacing w:val="0"/>
          <w:kern w:val="0"/>
          <w:sz w:val="21"/>
          <w:szCs w:val="21"/>
          <w:lang w:val="en-US" w:eastAsia="zh-CN" w:bidi="ar-SA"/>
        </w:rPr>
        <w:t xml:space="preserve">调查日期： </w:t>
      </w:r>
      <w:r>
        <w:rPr>
          <w:rFonts w:hint="eastAsia" w:ascii="宋体" w:hAnsi="宋体" w:eastAsia="宋体" w:cs="宋体"/>
          <w:spacing w:val="4"/>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4"/>
          <w:sz w:val="21"/>
          <w:szCs w:val="21"/>
        </w:rPr>
        <w:t xml:space="preserve">    </w:t>
      </w:r>
      <w:r>
        <w:rPr>
          <w:rFonts w:hint="eastAsia" w:ascii="宋体" w:hAnsi="宋体" w:eastAsia="宋体" w:cs="宋体"/>
          <w:spacing w:val="-7"/>
          <w:sz w:val="21"/>
          <w:szCs w:val="21"/>
        </w:rPr>
        <w:t>月</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 xml:space="preserve">日             </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 xml:space="preserve">         </w:t>
      </w:r>
      <w:r>
        <w:rPr>
          <w:rFonts w:hint="eastAsia" w:ascii="宋体" w:hAnsi="宋体" w:eastAsia="宋体" w:cs="宋体"/>
          <w:b w:val="0"/>
          <w:bCs w:val="0"/>
          <w:color w:val="auto"/>
          <w:spacing w:val="0"/>
          <w:kern w:val="0"/>
          <w:sz w:val="21"/>
          <w:szCs w:val="21"/>
          <w:lang w:val="en-US" w:eastAsia="zh-CN" w:bidi="ar-SA"/>
        </w:rPr>
        <w:t xml:space="preserve">  编号：</w:t>
      </w:r>
    </w:p>
    <w:p w14:paraId="38C91058">
      <w:pPr>
        <w:spacing w:before="58"/>
        <w:rPr>
          <w:rFonts w:hint="eastAsia" w:ascii="宋体" w:hAnsi="宋体" w:eastAsia="宋体" w:cs="宋体"/>
          <w:sz w:val="21"/>
          <w:szCs w:val="21"/>
        </w:rPr>
      </w:pPr>
    </w:p>
    <w:tbl>
      <w:tblPr>
        <w:tblStyle w:val="22"/>
        <w:tblW w:w="8675"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1832"/>
        <w:gridCol w:w="840"/>
        <w:gridCol w:w="1516"/>
        <w:gridCol w:w="1523"/>
        <w:gridCol w:w="1736"/>
      </w:tblGrid>
      <w:tr w14:paraId="7FF01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060" w:type="dxa"/>
            <w:gridSpan w:val="2"/>
            <w:tcMar>
              <w:top w:w="113" w:type="dxa"/>
              <w:left w:w="113" w:type="dxa"/>
              <w:bottom w:w="113" w:type="dxa"/>
              <w:right w:w="113" w:type="dxa"/>
            </w:tcMar>
            <w:vAlign w:val="center"/>
          </w:tcPr>
          <w:p w14:paraId="07EBCAB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联系地址</w:t>
            </w:r>
          </w:p>
        </w:tc>
        <w:tc>
          <w:tcPr>
            <w:tcW w:w="5615" w:type="dxa"/>
            <w:gridSpan w:val="4"/>
            <w:tcMar>
              <w:top w:w="113" w:type="dxa"/>
              <w:left w:w="113" w:type="dxa"/>
              <w:bottom w:w="113" w:type="dxa"/>
              <w:right w:w="113" w:type="dxa"/>
            </w:tcMar>
            <w:vAlign w:val="center"/>
          </w:tcPr>
          <w:p w14:paraId="2FA0BD3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r w14:paraId="7C73A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228" w:type="dxa"/>
            <w:vMerge w:val="restart"/>
            <w:tcBorders>
              <w:bottom w:val="nil"/>
            </w:tcBorders>
            <w:tcMar>
              <w:top w:w="113" w:type="dxa"/>
              <w:left w:w="113" w:type="dxa"/>
              <w:bottom w:w="113" w:type="dxa"/>
              <w:right w:w="113" w:type="dxa"/>
            </w:tcMar>
            <w:vAlign w:val="center"/>
          </w:tcPr>
          <w:p w14:paraId="14FAE10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概况</w:t>
            </w:r>
          </w:p>
        </w:tc>
        <w:tc>
          <w:tcPr>
            <w:tcW w:w="1832" w:type="dxa"/>
            <w:tcMar>
              <w:top w:w="113" w:type="dxa"/>
              <w:left w:w="113" w:type="dxa"/>
              <w:bottom w:w="113" w:type="dxa"/>
              <w:right w:w="113" w:type="dxa"/>
            </w:tcMar>
            <w:vAlign w:val="center"/>
          </w:tcPr>
          <w:p w14:paraId="7B16833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联系人</w:t>
            </w:r>
          </w:p>
        </w:tc>
        <w:tc>
          <w:tcPr>
            <w:tcW w:w="2356" w:type="dxa"/>
            <w:gridSpan w:val="2"/>
            <w:tcMar>
              <w:top w:w="113" w:type="dxa"/>
              <w:left w:w="113" w:type="dxa"/>
              <w:bottom w:w="113" w:type="dxa"/>
              <w:right w:w="113" w:type="dxa"/>
            </w:tcMar>
            <w:vAlign w:val="center"/>
          </w:tcPr>
          <w:p w14:paraId="5329443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c>
          <w:tcPr>
            <w:tcW w:w="1523" w:type="dxa"/>
            <w:tcMar>
              <w:top w:w="113" w:type="dxa"/>
              <w:left w:w="113" w:type="dxa"/>
              <w:bottom w:w="113" w:type="dxa"/>
              <w:right w:w="113" w:type="dxa"/>
            </w:tcMar>
            <w:vAlign w:val="center"/>
          </w:tcPr>
          <w:p w14:paraId="5915B0A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联系电话</w:t>
            </w:r>
          </w:p>
        </w:tc>
        <w:tc>
          <w:tcPr>
            <w:tcW w:w="1736" w:type="dxa"/>
            <w:tcMar>
              <w:top w:w="113" w:type="dxa"/>
              <w:left w:w="113" w:type="dxa"/>
              <w:bottom w:w="113" w:type="dxa"/>
              <w:right w:w="113" w:type="dxa"/>
            </w:tcMar>
            <w:vAlign w:val="center"/>
          </w:tcPr>
          <w:p w14:paraId="4719249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r w14:paraId="21FD3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0" w:hRule="atLeast"/>
        </w:trPr>
        <w:tc>
          <w:tcPr>
            <w:tcW w:w="1228" w:type="dxa"/>
            <w:vMerge w:val="continue"/>
            <w:tcBorders>
              <w:top w:val="nil"/>
              <w:bottom w:val="nil"/>
            </w:tcBorders>
            <w:tcMar>
              <w:top w:w="113" w:type="dxa"/>
              <w:left w:w="113" w:type="dxa"/>
              <w:bottom w:w="113" w:type="dxa"/>
              <w:right w:w="113" w:type="dxa"/>
            </w:tcMar>
            <w:vAlign w:val="top"/>
          </w:tcPr>
          <w:p w14:paraId="519FFAB7">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sz w:val="21"/>
                <w:szCs w:val="21"/>
              </w:rPr>
            </w:pPr>
          </w:p>
        </w:tc>
        <w:tc>
          <w:tcPr>
            <w:tcW w:w="1832" w:type="dxa"/>
            <w:tcMar>
              <w:top w:w="113" w:type="dxa"/>
              <w:left w:w="113" w:type="dxa"/>
              <w:bottom w:w="113" w:type="dxa"/>
              <w:right w:w="113" w:type="dxa"/>
            </w:tcMar>
            <w:vAlign w:val="center"/>
          </w:tcPr>
          <w:p w14:paraId="4F04DD4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房屋名称/幢号</w:t>
            </w:r>
          </w:p>
        </w:tc>
        <w:tc>
          <w:tcPr>
            <w:tcW w:w="2356" w:type="dxa"/>
            <w:gridSpan w:val="2"/>
            <w:tcMar>
              <w:top w:w="113" w:type="dxa"/>
              <w:left w:w="113" w:type="dxa"/>
              <w:bottom w:w="113" w:type="dxa"/>
              <w:right w:w="113" w:type="dxa"/>
            </w:tcMar>
            <w:vAlign w:val="center"/>
          </w:tcPr>
          <w:p w14:paraId="7CEBEA3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c>
          <w:tcPr>
            <w:tcW w:w="1523" w:type="dxa"/>
            <w:tcMar>
              <w:top w:w="113" w:type="dxa"/>
              <w:left w:w="113" w:type="dxa"/>
              <w:bottom w:w="113" w:type="dxa"/>
              <w:right w:w="113" w:type="dxa"/>
            </w:tcMar>
            <w:vAlign w:val="center"/>
          </w:tcPr>
          <w:p w14:paraId="53822BE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建造年份</w:t>
            </w:r>
          </w:p>
        </w:tc>
        <w:tc>
          <w:tcPr>
            <w:tcW w:w="1736" w:type="dxa"/>
            <w:tcMar>
              <w:top w:w="113" w:type="dxa"/>
              <w:left w:w="113" w:type="dxa"/>
              <w:bottom w:w="113" w:type="dxa"/>
              <w:right w:w="113" w:type="dxa"/>
            </w:tcMar>
            <w:vAlign w:val="center"/>
          </w:tcPr>
          <w:p w14:paraId="5140258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r w14:paraId="7EE80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228" w:type="dxa"/>
            <w:vMerge w:val="continue"/>
            <w:tcBorders>
              <w:top w:val="nil"/>
              <w:bottom w:val="nil"/>
            </w:tcBorders>
            <w:tcMar>
              <w:top w:w="113" w:type="dxa"/>
              <w:left w:w="113" w:type="dxa"/>
              <w:bottom w:w="113" w:type="dxa"/>
              <w:right w:w="113" w:type="dxa"/>
            </w:tcMar>
            <w:vAlign w:val="top"/>
          </w:tcPr>
          <w:p w14:paraId="51923DB2">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sz w:val="21"/>
                <w:szCs w:val="21"/>
              </w:rPr>
            </w:pPr>
          </w:p>
        </w:tc>
        <w:tc>
          <w:tcPr>
            <w:tcW w:w="1832" w:type="dxa"/>
            <w:tcMar>
              <w:top w:w="113" w:type="dxa"/>
              <w:left w:w="113" w:type="dxa"/>
              <w:bottom w:w="113" w:type="dxa"/>
              <w:right w:w="113" w:type="dxa"/>
            </w:tcMar>
            <w:vAlign w:val="center"/>
          </w:tcPr>
          <w:p w14:paraId="41C6A4B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结构类型</w:t>
            </w:r>
          </w:p>
        </w:tc>
        <w:tc>
          <w:tcPr>
            <w:tcW w:w="2356" w:type="dxa"/>
            <w:gridSpan w:val="2"/>
            <w:tcMar>
              <w:top w:w="113" w:type="dxa"/>
              <w:left w:w="113" w:type="dxa"/>
              <w:bottom w:w="113" w:type="dxa"/>
              <w:right w:w="113" w:type="dxa"/>
            </w:tcMar>
            <w:vAlign w:val="center"/>
          </w:tcPr>
          <w:p w14:paraId="517390EA">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pacing w:val="8"/>
                <w:sz w:val="21"/>
                <w:szCs w:val="21"/>
              </w:rPr>
            </w:pPr>
            <w:r>
              <w:rPr>
                <w:rFonts w:hint="eastAsia" w:ascii="宋体" w:hAnsi="宋体" w:eastAsia="宋体" w:cs="宋体"/>
                <w:spacing w:val="6"/>
                <w:sz w:val="21"/>
                <w:szCs w:val="21"/>
              </w:rPr>
              <w:t>□木结构□砌体结</w:t>
            </w:r>
            <w:r>
              <w:rPr>
                <w:rFonts w:hint="eastAsia" w:ascii="宋体" w:hAnsi="宋体" w:eastAsia="宋体" w:cs="宋体"/>
                <w:spacing w:val="8"/>
                <w:sz w:val="21"/>
                <w:szCs w:val="21"/>
              </w:rPr>
              <w:t>构</w:t>
            </w:r>
          </w:p>
          <w:p w14:paraId="5179482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□混凝土或钢结</w:t>
            </w:r>
            <w:r>
              <w:rPr>
                <w:rFonts w:hint="eastAsia" w:ascii="宋体" w:hAnsi="宋体" w:eastAsia="宋体" w:cs="宋体"/>
                <w:sz w:val="21"/>
                <w:szCs w:val="21"/>
              </w:rPr>
              <w:t>构</w:t>
            </w:r>
          </w:p>
        </w:tc>
        <w:tc>
          <w:tcPr>
            <w:tcW w:w="1523" w:type="dxa"/>
            <w:tcMar>
              <w:top w:w="113" w:type="dxa"/>
              <w:left w:w="113" w:type="dxa"/>
              <w:bottom w:w="113" w:type="dxa"/>
              <w:right w:w="113" w:type="dxa"/>
            </w:tcMar>
            <w:vAlign w:val="center"/>
          </w:tcPr>
          <w:p w14:paraId="7FDC288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建筑面积</w:t>
            </w:r>
          </w:p>
        </w:tc>
        <w:tc>
          <w:tcPr>
            <w:tcW w:w="1736" w:type="dxa"/>
            <w:tcMar>
              <w:top w:w="113" w:type="dxa"/>
              <w:left w:w="113" w:type="dxa"/>
              <w:bottom w:w="113" w:type="dxa"/>
              <w:right w:w="113" w:type="dxa"/>
            </w:tcMar>
            <w:vAlign w:val="center"/>
          </w:tcPr>
          <w:p w14:paraId="4BAA4FA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r w14:paraId="4978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228" w:type="dxa"/>
            <w:vMerge w:val="continue"/>
            <w:tcBorders>
              <w:top w:val="nil"/>
              <w:bottom w:val="nil"/>
            </w:tcBorders>
            <w:tcMar>
              <w:top w:w="113" w:type="dxa"/>
              <w:left w:w="113" w:type="dxa"/>
              <w:bottom w:w="113" w:type="dxa"/>
              <w:right w:w="113" w:type="dxa"/>
            </w:tcMar>
            <w:vAlign w:val="top"/>
          </w:tcPr>
          <w:p w14:paraId="20AB53C4">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sz w:val="21"/>
                <w:szCs w:val="21"/>
              </w:rPr>
            </w:pPr>
          </w:p>
        </w:tc>
        <w:tc>
          <w:tcPr>
            <w:tcW w:w="1832" w:type="dxa"/>
            <w:tcMar>
              <w:top w:w="113" w:type="dxa"/>
              <w:left w:w="113" w:type="dxa"/>
              <w:bottom w:w="113" w:type="dxa"/>
              <w:right w:w="113" w:type="dxa"/>
            </w:tcMar>
            <w:vAlign w:val="center"/>
          </w:tcPr>
          <w:p w14:paraId="770CD25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白蚁预防史</w:t>
            </w:r>
          </w:p>
        </w:tc>
        <w:tc>
          <w:tcPr>
            <w:tcW w:w="2356" w:type="dxa"/>
            <w:gridSpan w:val="2"/>
            <w:tcMar>
              <w:top w:w="113" w:type="dxa"/>
              <w:left w:w="113" w:type="dxa"/>
              <w:bottom w:w="113" w:type="dxa"/>
              <w:right w:w="113" w:type="dxa"/>
            </w:tcMar>
            <w:vAlign w:val="center"/>
          </w:tcPr>
          <w:p w14:paraId="45A8B76B">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□有</w:t>
            </w:r>
            <w:r>
              <w:rPr>
                <w:rFonts w:hint="eastAsia" w:ascii="宋体" w:hAnsi="宋体" w:eastAsia="宋体" w:cs="宋体"/>
                <w:spacing w:val="19"/>
                <w:sz w:val="21"/>
                <w:szCs w:val="21"/>
              </w:rPr>
              <w:t xml:space="preserve">  </w:t>
            </w:r>
            <w:r>
              <w:rPr>
                <w:rFonts w:hint="eastAsia" w:ascii="宋体" w:hAnsi="宋体" w:eastAsia="宋体" w:cs="宋体"/>
                <w:spacing w:val="-5"/>
                <w:sz w:val="21"/>
                <w:szCs w:val="21"/>
              </w:rPr>
              <w:t>□无</w:t>
            </w:r>
          </w:p>
        </w:tc>
        <w:tc>
          <w:tcPr>
            <w:tcW w:w="1523" w:type="dxa"/>
            <w:tcMar>
              <w:top w:w="113" w:type="dxa"/>
              <w:left w:w="113" w:type="dxa"/>
              <w:bottom w:w="113" w:type="dxa"/>
              <w:right w:w="113" w:type="dxa"/>
            </w:tcMar>
            <w:vAlign w:val="center"/>
          </w:tcPr>
          <w:p w14:paraId="125E2A0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预防时间</w:t>
            </w:r>
          </w:p>
        </w:tc>
        <w:tc>
          <w:tcPr>
            <w:tcW w:w="1736" w:type="dxa"/>
            <w:tcMar>
              <w:top w:w="113" w:type="dxa"/>
              <w:left w:w="113" w:type="dxa"/>
              <w:bottom w:w="113" w:type="dxa"/>
              <w:right w:w="113" w:type="dxa"/>
            </w:tcMar>
            <w:vAlign w:val="center"/>
          </w:tcPr>
          <w:p w14:paraId="5DD40B9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r w14:paraId="0928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8" w:type="dxa"/>
            <w:vMerge w:val="continue"/>
            <w:tcBorders>
              <w:top w:val="nil"/>
            </w:tcBorders>
            <w:tcMar>
              <w:top w:w="113" w:type="dxa"/>
              <w:left w:w="113" w:type="dxa"/>
              <w:bottom w:w="113" w:type="dxa"/>
              <w:right w:w="113" w:type="dxa"/>
            </w:tcMar>
            <w:vAlign w:val="top"/>
          </w:tcPr>
          <w:p w14:paraId="7D6450A1">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sz w:val="21"/>
                <w:szCs w:val="21"/>
              </w:rPr>
            </w:pPr>
          </w:p>
        </w:tc>
        <w:tc>
          <w:tcPr>
            <w:tcW w:w="1832" w:type="dxa"/>
            <w:tcMar>
              <w:top w:w="113" w:type="dxa"/>
              <w:left w:w="113" w:type="dxa"/>
              <w:bottom w:w="113" w:type="dxa"/>
              <w:right w:w="113" w:type="dxa"/>
            </w:tcMar>
            <w:vAlign w:val="center"/>
          </w:tcPr>
          <w:p w14:paraId="245E546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白蚁危害史</w:t>
            </w:r>
          </w:p>
        </w:tc>
        <w:tc>
          <w:tcPr>
            <w:tcW w:w="5615" w:type="dxa"/>
            <w:gridSpan w:val="4"/>
            <w:tcMar>
              <w:top w:w="113" w:type="dxa"/>
              <w:left w:w="113" w:type="dxa"/>
              <w:bottom w:w="113" w:type="dxa"/>
              <w:right w:w="113" w:type="dxa"/>
            </w:tcMar>
            <w:vAlign w:val="center"/>
          </w:tcPr>
          <w:p w14:paraId="1917A2F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r w14:paraId="56A65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8" w:type="dxa"/>
            <w:tcMar>
              <w:top w:w="113" w:type="dxa"/>
              <w:left w:w="113" w:type="dxa"/>
              <w:bottom w:w="113" w:type="dxa"/>
              <w:right w:w="113" w:type="dxa"/>
            </w:tcMar>
            <w:vAlign w:val="center"/>
          </w:tcPr>
          <w:p w14:paraId="1A12B3C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c>
          <w:tcPr>
            <w:tcW w:w="1832" w:type="dxa"/>
            <w:tcMar>
              <w:top w:w="113" w:type="dxa"/>
              <w:left w:w="113" w:type="dxa"/>
              <w:bottom w:w="113" w:type="dxa"/>
              <w:right w:w="113" w:type="dxa"/>
            </w:tcMar>
            <w:vAlign w:val="center"/>
          </w:tcPr>
          <w:p w14:paraId="2460390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有无白蚁危害</w:t>
            </w:r>
          </w:p>
        </w:tc>
        <w:tc>
          <w:tcPr>
            <w:tcW w:w="5615" w:type="dxa"/>
            <w:gridSpan w:val="4"/>
            <w:tcMar>
              <w:top w:w="113" w:type="dxa"/>
              <w:left w:w="113" w:type="dxa"/>
              <w:bottom w:w="113" w:type="dxa"/>
              <w:right w:w="113" w:type="dxa"/>
            </w:tcMar>
            <w:vAlign w:val="center"/>
          </w:tcPr>
          <w:p w14:paraId="131AF146">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□有</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□无</w:t>
            </w:r>
            <w:r>
              <w:rPr>
                <w:rFonts w:hint="eastAsia" w:ascii="宋体" w:hAnsi="宋体" w:eastAsia="宋体" w:cs="宋体"/>
                <w:spacing w:val="24"/>
                <w:w w:val="101"/>
                <w:sz w:val="21"/>
                <w:szCs w:val="21"/>
              </w:rPr>
              <w:t xml:space="preserve"> </w:t>
            </w:r>
            <w:r>
              <w:rPr>
                <w:rFonts w:hint="eastAsia" w:ascii="宋体" w:hAnsi="宋体" w:eastAsia="宋体" w:cs="宋体"/>
                <w:spacing w:val="2"/>
                <w:sz w:val="21"/>
                <w:szCs w:val="21"/>
              </w:rPr>
              <w:t>（如无，以下不填）</w:t>
            </w:r>
          </w:p>
        </w:tc>
      </w:tr>
      <w:tr w14:paraId="3D0FD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228" w:type="dxa"/>
            <w:vMerge w:val="restart"/>
            <w:tcBorders>
              <w:bottom w:val="nil"/>
            </w:tcBorders>
            <w:tcMar>
              <w:top w:w="113" w:type="dxa"/>
              <w:left w:w="113" w:type="dxa"/>
              <w:bottom w:w="113" w:type="dxa"/>
              <w:right w:w="113" w:type="dxa"/>
            </w:tcMar>
            <w:vAlign w:val="center"/>
          </w:tcPr>
          <w:p w14:paraId="7C815D8F">
            <w:pPr>
              <w:keepNext w:val="0"/>
              <w:keepLines w:val="0"/>
              <w:pageBreakBefore w:val="0"/>
              <w:widowControl w:val="0"/>
              <w:kinsoku/>
              <w:wordWrap/>
              <w:overflowPunct/>
              <w:topLinePunct w:val="0"/>
              <w:autoSpaceDE/>
              <w:autoSpaceDN/>
              <w:bidi w:val="0"/>
              <w:adjustRightInd w:val="0"/>
              <w:snapToGrid w:val="0"/>
              <w:spacing w:line="0" w:lineRule="atLeast"/>
              <w:ind w:right="188"/>
              <w:jc w:val="center"/>
              <w:textAlignment w:val="auto"/>
              <w:rPr>
                <w:rFonts w:hint="eastAsia" w:ascii="宋体" w:hAnsi="宋体" w:eastAsia="宋体" w:cs="宋体"/>
                <w:sz w:val="21"/>
                <w:szCs w:val="21"/>
              </w:rPr>
            </w:pPr>
            <w:r>
              <w:rPr>
                <w:rFonts w:hint="eastAsia" w:ascii="宋体" w:hAnsi="宋体" w:eastAsia="宋体" w:cs="宋体"/>
                <w:spacing w:val="-10"/>
                <w:sz w:val="21"/>
                <w:szCs w:val="21"/>
              </w:rPr>
              <w:t>白蚁危害</w:t>
            </w:r>
            <w:r>
              <w:rPr>
                <w:rFonts w:hint="eastAsia" w:ascii="宋体" w:hAnsi="宋体" w:eastAsia="宋体" w:cs="宋体"/>
                <w:spacing w:val="-2"/>
                <w:sz w:val="21"/>
                <w:szCs w:val="21"/>
              </w:rPr>
              <w:t>现状</w:t>
            </w:r>
          </w:p>
        </w:tc>
        <w:tc>
          <w:tcPr>
            <w:tcW w:w="1832" w:type="dxa"/>
            <w:vMerge w:val="restart"/>
            <w:tcBorders>
              <w:bottom w:val="nil"/>
            </w:tcBorders>
            <w:tcMar>
              <w:top w:w="113" w:type="dxa"/>
              <w:left w:w="113" w:type="dxa"/>
              <w:bottom w:w="113" w:type="dxa"/>
              <w:right w:w="113" w:type="dxa"/>
            </w:tcMar>
            <w:vAlign w:val="center"/>
          </w:tcPr>
          <w:p w14:paraId="5DF6725C">
            <w:pPr>
              <w:keepNext w:val="0"/>
              <w:keepLines w:val="0"/>
              <w:pageBreakBefore w:val="0"/>
              <w:widowControl w:val="0"/>
              <w:kinsoku/>
              <w:wordWrap/>
              <w:overflowPunct/>
              <w:topLinePunct w:val="0"/>
              <w:autoSpaceDE/>
              <w:autoSpaceDN/>
              <w:bidi w:val="0"/>
              <w:adjustRightInd w:val="0"/>
              <w:snapToGrid w:val="0"/>
              <w:spacing w:line="0" w:lineRule="atLeast"/>
              <w:ind w:right="172"/>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房屋主体白蚁危害</w:t>
            </w:r>
            <w:r>
              <w:rPr>
                <w:rFonts w:hint="eastAsia" w:ascii="宋体" w:hAnsi="宋体" w:eastAsia="宋体" w:cs="宋体"/>
                <w:spacing w:val="-2"/>
                <w:sz w:val="21"/>
                <w:szCs w:val="21"/>
              </w:rPr>
              <w:t>情况</w:t>
            </w:r>
          </w:p>
        </w:tc>
        <w:tc>
          <w:tcPr>
            <w:tcW w:w="5615" w:type="dxa"/>
            <w:gridSpan w:val="4"/>
            <w:tcMar>
              <w:top w:w="113" w:type="dxa"/>
              <w:left w:w="113" w:type="dxa"/>
              <w:bottom w:w="113" w:type="dxa"/>
              <w:right w:w="113" w:type="dxa"/>
            </w:tcMar>
            <w:vAlign w:val="center"/>
          </w:tcPr>
          <w:p w14:paraId="3597DF5F">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白蚁种类：</w:t>
            </w:r>
            <w:r>
              <w:rPr>
                <w:rFonts w:hint="eastAsia" w:ascii="宋体" w:hAnsi="宋体" w:eastAsia="宋体" w:cs="宋体"/>
                <w:spacing w:val="-77"/>
                <w:sz w:val="21"/>
                <w:szCs w:val="21"/>
              </w:rPr>
              <w:t xml:space="preserve"> </w:t>
            </w:r>
            <w:r>
              <w:rPr>
                <w:rFonts w:hint="eastAsia" w:ascii="宋体" w:hAnsi="宋体" w:eastAsia="宋体" w:cs="宋体"/>
                <w:sz w:val="21"/>
                <w:szCs w:val="21"/>
              </w:rPr>
              <w:t>□乳白蚁</w:t>
            </w:r>
            <w:r>
              <w:rPr>
                <w:rFonts w:hint="eastAsia" w:ascii="宋体" w:hAnsi="宋体" w:eastAsia="宋体" w:cs="宋体"/>
                <w:spacing w:val="20"/>
                <w:sz w:val="21"/>
                <w:szCs w:val="21"/>
              </w:rPr>
              <w:t xml:space="preserve">  </w:t>
            </w:r>
            <w:r>
              <w:rPr>
                <w:rFonts w:hint="eastAsia" w:ascii="宋体" w:hAnsi="宋体" w:eastAsia="宋体" w:cs="宋体"/>
                <w:sz w:val="21"/>
                <w:szCs w:val="21"/>
              </w:rPr>
              <w:t>□散白蚁</w:t>
            </w:r>
            <w:r>
              <w:rPr>
                <w:rFonts w:hint="eastAsia" w:ascii="宋体" w:hAnsi="宋体" w:eastAsia="宋体" w:cs="宋体"/>
                <w:spacing w:val="20"/>
                <w:sz w:val="21"/>
                <w:szCs w:val="21"/>
              </w:rPr>
              <w:t xml:space="preserve">  </w:t>
            </w:r>
            <w:r>
              <w:rPr>
                <w:rFonts w:hint="eastAsia" w:ascii="宋体" w:hAnsi="宋体" w:eastAsia="宋体" w:cs="宋体"/>
                <w:sz w:val="21"/>
                <w:szCs w:val="21"/>
              </w:rPr>
              <w:t>□土白蚁</w:t>
            </w:r>
            <w:r>
              <w:rPr>
                <w:rFonts w:hint="eastAsia" w:ascii="宋体" w:hAnsi="宋体" w:eastAsia="宋体" w:cs="宋体"/>
                <w:spacing w:val="19"/>
                <w:sz w:val="21"/>
                <w:szCs w:val="21"/>
              </w:rPr>
              <w:t xml:space="preserve">  </w:t>
            </w:r>
            <w:r>
              <w:rPr>
                <w:rFonts w:hint="eastAsia" w:ascii="宋体" w:hAnsi="宋体" w:eastAsia="宋体" w:cs="宋体"/>
                <w:sz w:val="21"/>
                <w:szCs w:val="21"/>
              </w:rPr>
              <w:t>□大白蚁</w:t>
            </w:r>
          </w:p>
          <w:p w14:paraId="38ADADFA">
            <w:pPr>
              <w:pStyle w:val="23"/>
              <w:keepNext w:val="0"/>
              <w:keepLines w:val="0"/>
              <w:pageBreakBefore w:val="0"/>
              <w:widowControl w:val="0"/>
              <w:kinsoku/>
              <w:wordWrap/>
              <w:overflowPunct/>
              <w:topLinePunct w:val="0"/>
              <w:autoSpaceDE/>
              <w:autoSpaceDN/>
              <w:bidi w:val="0"/>
              <w:adjustRightInd w:val="0"/>
              <w:snapToGrid w:val="0"/>
              <w:spacing w:line="0" w:lineRule="atLeast"/>
              <w:ind w:left="1182"/>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□楹白蚁</w:t>
            </w:r>
            <w:r>
              <w:rPr>
                <w:rFonts w:hint="eastAsia" w:ascii="宋体" w:hAnsi="宋体" w:eastAsia="宋体" w:cs="宋体"/>
                <w:spacing w:val="24"/>
                <w:sz w:val="21"/>
                <w:szCs w:val="21"/>
              </w:rPr>
              <w:t xml:space="preserve">  </w:t>
            </w:r>
            <w:r>
              <w:rPr>
                <w:rFonts w:hint="eastAsia" w:ascii="宋体" w:hAnsi="宋体" w:eastAsia="宋体" w:cs="宋体"/>
                <w:spacing w:val="2"/>
                <w:sz w:val="21"/>
                <w:szCs w:val="21"/>
              </w:rPr>
              <w:t>□堆砂白蚁</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□其他 ：</w:t>
            </w:r>
          </w:p>
        </w:tc>
      </w:tr>
      <w:tr w14:paraId="2C84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28" w:type="dxa"/>
            <w:vMerge w:val="continue"/>
            <w:tcBorders>
              <w:top w:val="nil"/>
              <w:bottom w:val="nil"/>
            </w:tcBorders>
            <w:tcMar>
              <w:top w:w="113" w:type="dxa"/>
              <w:left w:w="113" w:type="dxa"/>
              <w:bottom w:w="113" w:type="dxa"/>
              <w:right w:w="113" w:type="dxa"/>
            </w:tcMar>
            <w:vAlign w:val="center"/>
          </w:tcPr>
          <w:p w14:paraId="448A617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c>
          <w:tcPr>
            <w:tcW w:w="1832" w:type="dxa"/>
            <w:vMerge w:val="continue"/>
            <w:tcBorders>
              <w:top w:val="nil"/>
            </w:tcBorders>
            <w:tcMar>
              <w:top w:w="113" w:type="dxa"/>
              <w:left w:w="113" w:type="dxa"/>
              <w:bottom w:w="113" w:type="dxa"/>
              <w:right w:w="113" w:type="dxa"/>
            </w:tcMar>
            <w:vAlign w:val="center"/>
          </w:tcPr>
          <w:p w14:paraId="29DCC27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c>
          <w:tcPr>
            <w:tcW w:w="5615" w:type="dxa"/>
            <w:gridSpan w:val="4"/>
            <w:tcMar>
              <w:top w:w="113" w:type="dxa"/>
              <w:left w:w="113" w:type="dxa"/>
              <w:bottom w:w="113" w:type="dxa"/>
              <w:right w:w="113" w:type="dxa"/>
            </w:tcMar>
            <w:vAlign w:val="center"/>
          </w:tcPr>
          <w:p w14:paraId="7178DCE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（危害点和危害程度）</w:t>
            </w:r>
          </w:p>
        </w:tc>
      </w:tr>
      <w:tr w14:paraId="1C67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228" w:type="dxa"/>
            <w:vMerge w:val="continue"/>
            <w:tcBorders>
              <w:top w:val="nil"/>
            </w:tcBorders>
            <w:tcMar>
              <w:top w:w="113" w:type="dxa"/>
              <w:left w:w="113" w:type="dxa"/>
              <w:bottom w:w="113" w:type="dxa"/>
              <w:right w:w="113" w:type="dxa"/>
            </w:tcMar>
            <w:vAlign w:val="center"/>
          </w:tcPr>
          <w:p w14:paraId="36716F5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c>
          <w:tcPr>
            <w:tcW w:w="1832" w:type="dxa"/>
            <w:tcMar>
              <w:top w:w="113" w:type="dxa"/>
              <w:left w:w="113" w:type="dxa"/>
              <w:bottom w:w="113" w:type="dxa"/>
              <w:right w:w="113" w:type="dxa"/>
            </w:tcMar>
            <w:vAlign w:val="center"/>
          </w:tcPr>
          <w:p w14:paraId="6F939BD1">
            <w:pPr>
              <w:keepNext w:val="0"/>
              <w:keepLines w:val="0"/>
              <w:pageBreakBefore w:val="0"/>
              <w:widowControl w:val="0"/>
              <w:kinsoku/>
              <w:wordWrap/>
              <w:overflowPunct/>
              <w:topLinePunct w:val="0"/>
              <w:autoSpaceDE/>
              <w:autoSpaceDN/>
              <w:bidi w:val="0"/>
              <w:adjustRightInd w:val="0"/>
              <w:snapToGrid w:val="0"/>
              <w:spacing w:line="0" w:lineRule="atLeast"/>
              <w:ind w:right="173"/>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周围环境白蚁危害</w:t>
            </w:r>
            <w:r>
              <w:rPr>
                <w:rFonts w:hint="eastAsia" w:ascii="宋体" w:hAnsi="宋体" w:eastAsia="宋体" w:cs="宋体"/>
                <w:spacing w:val="-2"/>
                <w:sz w:val="21"/>
                <w:szCs w:val="21"/>
              </w:rPr>
              <w:t>情况</w:t>
            </w:r>
          </w:p>
        </w:tc>
        <w:tc>
          <w:tcPr>
            <w:tcW w:w="5615" w:type="dxa"/>
            <w:gridSpan w:val="4"/>
            <w:tcMar>
              <w:top w:w="113" w:type="dxa"/>
              <w:left w:w="113" w:type="dxa"/>
              <w:bottom w:w="113" w:type="dxa"/>
              <w:right w:w="113" w:type="dxa"/>
            </w:tcMar>
            <w:vAlign w:val="center"/>
          </w:tcPr>
          <w:p w14:paraId="380E1D0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r w14:paraId="33EFD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28" w:type="dxa"/>
            <w:tcMar>
              <w:top w:w="113" w:type="dxa"/>
              <w:left w:w="113" w:type="dxa"/>
              <w:bottom w:w="113" w:type="dxa"/>
              <w:right w:w="113" w:type="dxa"/>
            </w:tcMar>
            <w:vAlign w:val="center"/>
          </w:tcPr>
          <w:p w14:paraId="3A453F04">
            <w:pPr>
              <w:keepNext w:val="0"/>
              <w:keepLines w:val="0"/>
              <w:pageBreakBefore w:val="0"/>
              <w:widowControl w:val="0"/>
              <w:kinsoku/>
              <w:wordWrap/>
              <w:overflowPunct/>
              <w:topLinePunct w:val="0"/>
              <w:autoSpaceDE/>
              <w:autoSpaceDN/>
              <w:bidi w:val="0"/>
              <w:adjustRightInd w:val="0"/>
              <w:snapToGrid w:val="0"/>
              <w:spacing w:line="0" w:lineRule="atLeast"/>
              <w:ind w:right="188"/>
              <w:jc w:val="center"/>
              <w:textAlignment w:val="auto"/>
              <w:rPr>
                <w:rFonts w:hint="eastAsia" w:ascii="宋体" w:hAnsi="宋体" w:eastAsia="宋体" w:cs="宋体"/>
                <w:sz w:val="21"/>
                <w:szCs w:val="21"/>
              </w:rPr>
            </w:pPr>
            <w:r>
              <w:rPr>
                <w:rFonts w:hint="eastAsia" w:ascii="宋体" w:hAnsi="宋体" w:eastAsia="宋体" w:cs="宋体"/>
                <w:spacing w:val="-10"/>
                <w:sz w:val="21"/>
                <w:szCs w:val="21"/>
              </w:rPr>
              <w:t>白蚁危害</w:t>
            </w:r>
            <w:r>
              <w:rPr>
                <w:rFonts w:hint="eastAsia" w:ascii="宋体" w:hAnsi="宋体" w:eastAsia="宋体" w:cs="宋体"/>
                <w:spacing w:val="-2"/>
                <w:sz w:val="21"/>
                <w:szCs w:val="21"/>
              </w:rPr>
              <w:t>程度</w:t>
            </w:r>
          </w:p>
        </w:tc>
        <w:tc>
          <w:tcPr>
            <w:tcW w:w="7447" w:type="dxa"/>
            <w:gridSpan w:val="5"/>
            <w:tcMar>
              <w:top w:w="113" w:type="dxa"/>
              <w:left w:w="113" w:type="dxa"/>
              <w:bottom w:w="113" w:type="dxa"/>
              <w:right w:w="113" w:type="dxa"/>
            </w:tcMar>
            <w:vAlign w:val="center"/>
          </w:tcPr>
          <w:p w14:paraId="5B904B8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Ⅰ级别（基本无危害）    □Ⅱ级别（危害一般）    □Ⅲ（危害严重）</w:t>
            </w:r>
          </w:p>
        </w:tc>
      </w:tr>
      <w:tr w14:paraId="67637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228" w:type="dxa"/>
            <w:tcMar>
              <w:top w:w="113" w:type="dxa"/>
              <w:left w:w="113" w:type="dxa"/>
              <w:bottom w:w="113" w:type="dxa"/>
              <w:right w:w="113" w:type="dxa"/>
            </w:tcMar>
            <w:vAlign w:val="center"/>
          </w:tcPr>
          <w:p w14:paraId="393BD24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调查人员</w:t>
            </w:r>
          </w:p>
        </w:tc>
        <w:tc>
          <w:tcPr>
            <w:tcW w:w="2672" w:type="dxa"/>
            <w:gridSpan w:val="2"/>
            <w:tcMar>
              <w:top w:w="113" w:type="dxa"/>
              <w:left w:w="113" w:type="dxa"/>
              <w:bottom w:w="113" w:type="dxa"/>
              <w:right w:w="113" w:type="dxa"/>
            </w:tcMar>
            <w:vAlign w:val="center"/>
          </w:tcPr>
          <w:p w14:paraId="4B81559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c>
          <w:tcPr>
            <w:tcW w:w="1516" w:type="dxa"/>
            <w:tcMar>
              <w:top w:w="113" w:type="dxa"/>
              <w:left w:w="113" w:type="dxa"/>
              <w:bottom w:w="113" w:type="dxa"/>
              <w:right w:w="113" w:type="dxa"/>
            </w:tcMar>
            <w:vAlign w:val="center"/>
          </w:tcPr>
          <w:p w14:paraId="48E1866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房屋责任人</w:t>
            </w:r>
          </w:p>
        </w:tc>
        <w:tc>
          <w:tcPr>
            <w:tcW w:w="3259" w:type="dxa"/>
            <w:gridSpan w:val="2"/>
            <w:tcMar>
              <w:top w:w="113" w:type="dxa"/>
              <w:left w:w="113" w:type="dxa"/>
              <w:bottom w:w="113" w:type="dxa"/>
              <w:right w:w="113" w:type="dxa"/>
            </w:tcMar>
            <w:vAlign w:val="center"/>
          </w:tcPr>
          <w:p w14:paraId="5E7308F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r w14:paraId="38A6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28" w:type="dxa"/>
            <w:tcMar>
              <w:top w:w="113" w:type="dxa"/>
              <w:left w:w="113" w:type="dxa"/>
              <w:bottom w:w="113" w:type="dxa"/>
              <w:right w:w="113" w:type="dxa"/>
            </w:tcMar>
            <w:vAlign w:val="center"/>
          </w:tcPr>
          <w:p w14:paraId="3435093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备注</w:t>
            </w:r>
          </w:p>
        </w:tc>
        <w:tc>
          <w:tcPr>
            <w:tcW w:w="7447" w:type="dxa"/>
            <w:gridSpan w:val="5"/>
            <w:tcMar>
              <w:top w:w="113" w:type="dxa"/>
              <w:left w:w="113" w:type="dxa"/>
              <w:bottom w:w="113" w:type="dxa"/>
              <w:right w:w="113" w:type="dxa"/>
            </w:tcMar>
            <w:vAlign w:val="center"/>
          </w:tcPr>
          <w:p w14:paraId="5902FFE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sz w:val="21"/>
                <w:szCs w:val="21"/>
              </w:rPr>
            </w:pPr>
          </w:p>
        </w:tc>
      </w:tr>
    </w:tbl>
    <w:p w14:paraId="5EEC5B2C">
      <w:pPr>
        <w:spacing w:line="213" w:lineRule="exact"/>
        <w:rPr>
          <w:rFonts w:ascii="Arial"/>
          <w:sz w:val="18"/>
        </w:rPr>
      </w:pPr>
    </w:p>
    <w:p w14:paraId="6600AAD8">
      <w:pPr>
        <w:spacing w:before="117" w:line="220" w:lineRule="auto"/>
        <w:jc w:val="center"/>
        <w:rPr>
          <w:rFonts w:ascii="黑体" w:hAnsi="黑体" w:eastAsia="黑体" w:cs="黑体"/>
          <w:sz w:val="36"/>
          <w:szCs w:val="36"/>
        </w:rPr>
      </w:pPr>
      <w:r>
        <w:rPr>
          <w:rFonts w:ascii="Arial" w:hAnsi="Arial" w:eastAsia="Arial" w:cs="Arial"/>
          <w:sz w:val="2"/>
          <w:szCs w:val="2"/>
        </w:rPr>
        <w:br w:type="column"/>
      </w:r>
      <w:r>
        <w:rPr>
          <w:rFonts w:ascii="黑体" w:hAnsi="黑体" w:eastAsia="黑体" w:cs="黑体"/>
          <w:spacing w:val="-5"/>
          <w:sz w:val="36"/>
          <w:szCs w:val="36"/>
        </w:rPr>
        <w:t>表 2 房屋建筑白蚁危害等级调查评定表</w:t>
      </w:r>
    </w:p>
    <w:p w14:paraId="575905A3">
      <w:pPr>
        <w:keepNext w:val="0"/>
        <w:keepLines w:val="0"/>
        <w:pageBreakBefore w:val="0"/>
        <w:widowControl w:val="0"/>
        <w:kinsoku/>
        <w:wordWrap/>
        <w:overflowPunct/>
        <w:topLinePunct w:val="0"/>
        <w:autoSpaceDE/>
        <w:autoSpaceDN/>
        <w:bidi w:val="0"/>
        <w:adjustRightInd w:val="0"/>
        <w:snapToGrid w:val="0"/>
        <w:spacing w:line="0" w:lineRule="atLeast"/>
        <w:ind w:right="173"/>
        <w:jc w:val="both"/>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调查编号：</w:t>
      </w:r>
    </w:p>
    <w:tbl>
      <w:tblPr>
        <w:tblStyle w:val="22"/>
        <w:tblW w:w="9867"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7"/>
        <w:gridCol w:w="2016"/>
        <w:gridCol w:w="1450"/>
        <w:gridCol w:w="1084"/>
        <w:gridCol w:w="573"/>
        <w:gridCol w:w="593"/>
        <w:gridCol w:w="1084"/>
        <w:gridCol w:w="1000"/>
      </w:tblGrid>
      <w:tr w14:paraId="61EF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9867" w:type="dxa"/>
            <w:gridSpan w:val="8"/>
            <w:tcMar>
              <w:top w:w="85" w:type="dxa"/>
              <w:left w:w="85" w:type="dxa"/>
              <w:bottom w:w="85" w:type="dxa"/>
              <w:right w:w="85" w:type="dxa"/>
            </w:tcMar>
            <w:vAlign w:val="top"/>
          </w:tcPr>
          <w:p w14:paraId="6B0E6FF3">
            <w:pPr>
              <w:pStyle w:val="23"/>
              <w:keepNext w:val="0"/>
              <w:keepLines w:val="0"/>
              <w:pageBreakBefore w:val="0"/>
              <w:widowControl w:val="0"/>
              <w:kinsoku/>
              <w:wordWrap/>
              <w:overflowPunct/>
              <w:topLinePunct w:val="0"/>
              <w:autoSpaceDE/>
              <w:autoSpaceDN/>
              <w:bidi w:val="0"/>
              <w:adjustRightInd w:val="0"/>
              <w:snapToGrid w:val="0"/>
              <w:spacing w:line="0" w:lineRule="atLeast"/>
              <w:ind w:left="117"/>
              <w:textAlignment w:val="auto"/>
              <w:rPr>
                <w:sz w:val="18"/>
                <w:szCs w:val="18"/>
              </w:rPr>
            </w:pPr>
            <w:r>
              <w:rPr>
                <w:b/>
                <w:bCs/>
                <w:spacing w:val="-3"/>
                <w:sz w:val="18"/>
                <w:szCs w:val="18"/>
              </w:rPr>
              <w:t>一、房屋建筑概况</w:t>
            </w:r>
          </w:p>
        </w:tc>
      </w:tr>
      <w:tr w14:paraId="5675C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067" w:type="dxa"/>
            <w:tcMar>
              <w:top w:w="85" w:type="dxa"/>
              <w:left w:w="85" w:type="dxa"/>
              <w:bottom w:w="85" w:type="dxa"/>
              <w:right w:w="85" w:type="dxa"/>
            </w:tcMar>
            <w:vAlign w:val="center"/>
          </w:tcPr>
          <w:p w14:paraId="210DB86C">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7"/>
              </w:rPr>
              <w:t>房屋名称/幢号</w:t>
            </w:r>
          </w:p>
        </w:tc>
        <w:tc>
          <w:tcPr>
            <w:tcW w:w="3466" w:type="dxa"/>
            <w:gridSpan w:val="2"/>
            <w:tcMar>
              <w:top w:w="85" w:type="dxa"/>
              <w:left w:w="85" w:type="dxa"/>
              <w:bottom w:w="85" w:type="dxa"/>
              <w:right w:w="85" w:type="dxa"/>
            </w:tcMar>
            <w:vAlign w:val="center"/>
          </w:tcPr>
          <w:p w14:paraId="05A714F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657" w:type="dxa"/>
            <w:gridSpan w:val="2"/>
            <w:tcMar>
              <w:top w:w="85" w:type="dxa"/>
              <w:left w:w="85" w:type="dxa"/>
              <w:bottom w:w="85" w:type="dxa"/>
              <w:right w:w="85" w:type="dxa"/>
            </w:tcMar>
            <w:vAlign w:val="center"/>
          </w:tcPr>
          <w:p w14:paraId="7294EEE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建造年份</w:t>
            </w:r>
          </w:p>
        </w:tc>
        <w:tc>
          <w:tcPr>
            <w:tcW w:w="2677" w:type="dxa"/>
            <w:gridSpan w:val="3"/>
            <w:tcMar>
              <w:top w:w="85" w:type="dxa"/>
              <w:left w:w="85" w:type="dxa"/>
              <w:bottom w:w="85" w:type="dxa"/>
              <w:right w:w="85" w:type="dxa"/>
            </w:tcMar>
            <w:vAlign w:val="center"/>
          </w:tcPr>
          <w:p w14:paraId="6B877C7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r>
      <w:tr w14:paraId="1081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67" w:type="dxa"/>
            <w:tcMar>
              <w:top w:w="85" w:type="dxa"/>
              <w:left w:w="85" w:type="dxa"/>
              <w:bottom w:w="85" w:type="dxa"/>
              <w:right w:w="85" w:type="dxa"/>
            </w:tcMar>
            <w:vAlign w:val="center"/>
          </w:tcPr>
          <w:p w14:paraId="6644097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2"/>
              </w:rPr>
              <w:t>结</w:t>
            </w:r>
            <w:r>
              <w:rPr>
                <w:spacing w:val="8"/>
              </w:rPr>
              <w:t xml:space="preserve">    </w:t>
            </w:r>
            <w:r>
              <w:rPr>
                <w:spacing w:val="-2"/>
              </w:rPr>
              <w:t>构</w:t>
            </w:r>
          </w:p>
        </w:tc>
        <w:tc>
          <w:tcPr>
            <w:tcW w:w="3466" w:type="dxa"/>
            <w:gridSpan w:val="2"/>
            <w:tcMar>
              <w:top w:w="85" w:type="dxa"/>
              <w:left w:w="85" w:type="dxa"/>
              <w:bottom w:w="85" w:type="dxa"/>
              <w:right w:w="85" w:type="dxa"/>
            </w:tcMar>
            <w:vAlign w:val="center"/>
          </w:tcPr>
          <w:p w14:paraId="28435D4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□木结构□砌体结构</w:t>
            </w:r>
          </w:p>
          <w:p w14:paraId="15054C87">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□混凝土或钢结构</w:t>
            </w:r>
          </w:p>
        </w:tc>
        <w:tc>
          <w:tcPr>
            <w:tcW w:w="1657" w:type="dxa"/>
            <w:gridSpan w:val="2"/>
            <w:tcMar>
              <w:top w:w="85" w:type="dxa"/>
              <w:left w:w="85" w:type="dxa"/>
              <w:bottom w:w="85" w:type="dxa"/>
              <w:right w:w="85" w:type="dxa"/>
            </w:tcMar>
            <w:vAlign w:val="center"/>
          </w:tcPr>
          <w:p w14:paraId="2B91435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t>层</w:t>
            </w:r>
            <w:r>
              <w:rPr>
                <w:spacing w:val="8"/>
              </w:rPr>
              <w:t xml:space="preserve">    </w:t>
            </w:r>
            <w:r>
              <w:t>数</w:t>
            </w:r>
          </w:p>
        </w:tc>
        <w:tc>
          <w:tcPr>
            <w:tcW w:w="2677" w:type="dxa"/>
            <w:gridSpan w:val="3"/>
            <w:tcMar>
              <w:top w:w="85" w:type="dxa"/>
              <w:left w:w="85" w:type="dxa"/>
              <w:bottom w:w="85" w:type="dxa"/>
              <w:right w:w="85" w:type="dxa"/>
            </w:tcMar>
            <w:vAlign w:val="center"/>
          </w:tcPr>
          <w:p w14:paraId="0163A67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r>
      <w:tr w14:paraId="55C3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067" w:type="dxa"/>
            <w:tcMar>
              <w:top w:w="85" w:type="dxa"/>
              <w:left w:w="85" w:type="dxa"/>
              <w:bottom w:w="85" w:type="dxa"/>
              <w:right w:w="85" w:type="dxa"/>
            </w:tcMar>
            <w:vAlign w:val="center"/>
          </w:tcPr>
          <w:p w14:paraId="5FCAC0C4">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建筑面积</w:t>
            </w:r>
          </w:p>
        </w:tc>
        <w:tc>
          <w:tcPr>
            <w:tcW w:w="3466" w:type="dxa"/>
            <w:gridSpan w:val="2"/>
            <w:tcMar>
              <w:top w:w="85" w:type="dxa"/>
              <w:left w:w="85" w:type="dxa"/>
              <w:bottom w:w="85" w:type="dxa"/>
              <w:right w:w="85" w:type="dxa"/>
            </w:tcMar>
            <w:vAlign w:val="top"/>
          </w:tcPr>
          <w:p w14:paraId="56D15360">
            <w:pPr>
              <w:pStyle w:val="23"/>
              <w:keepNext w:val="0"/>
              <w:keepLines w:val="0"/>
              <w:pageBreakBefore w:val="0"/>
              <w:widowControl w:val="0"/>
              <w:kinsoku/>
              <w:wordWrap/>
              <w:overflowPunct/>
              <w:topLinePunct w:val="0"/>
              <w:autoSpaceDE/>
              <w:autoSpaceDN/>
              <w:bidi w:val="0"/>
              <w:adjustRightInd w:val="0"/>
              <w:snapToGrid w:val="0"/>
              <w:spacing w:line="0" w:lineRule="atLeast"/>
              <w:ind w:firstLine="2970" w:firstLineChars="1500"/>
              <w:textAlignment w:val="auto"/>
            </w:pPr>
            <w:r>
              <w:rPr>
                <w:spacing w:val="4"/>
              </w:rPr>
              <w:t>m²</w:t>
            </w:r>
          </w:p>
        </w:tc>
        <w:tc>
          <w:tcPr>
            <w:tcW w:w="1657" w:type="dxa"/>
            <w:gridSpan w:val="2"/>
            <w:tcMar>
              <w:top w:w="85" w:type="dxa"/>
              <w:left w:w="85" w:type="dxa"/>
              <w:bottom w:w="85" w:type="dxa"/>
              <w:right w:w="85" w:type="dxa"/>
            </w:tcMar>
            <w:vAlign w:val="center"/>
          </w:tcPr>
          <w:p w14:paraId="0ECAA25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7"/>
              </w:rPr>
              <w:t>底层面积</w:t>
            </w:r>
          </w:p>
        </w:tc>
        <w:tc>
          <w:tcPr>
            <w:tcW w:w="2677" w:type="dxa"/>
            <w:gridSpan w:val="3"/>
            <w:tcMar>
              <w:top w:w="85" w:type="dxa"/>
              <w:left w:w="85" w:type="dxa"/>
              <w:bottom w:w="85" w:type="dxa"/>
              <w:right w:w="85" w:type="dxa"/>
            </w:tcMar>
            <w:vAlign w:val="top"/>
          </w:tcPr>
          <w:p w14:paraId="24FD5A04">
            <w:pPr>
              <w:pStyle w:val="23"/>
              <w:keepNext w:val="0"/>
              <w:keepLines w:val="0"/>
              <w:pageBreakBefore w:val="0"/>
              <w:widowControl w:val="0"/>
              <w:kinsoku/>
              <w:wordWrap/>
              <w:overflowPunct/>
              <w:topLinePunct w:val="0"/>
              <w:autoSpaceDE/>
              <w:autoSpaceDN/>
              <w:bidi w:val="0"/>
              <w:adjustRightInd w:val="0"/>
              <w:snapToGrid w:val="0"/>
              <w:spacing w:line="0" w:lineRule="atLeast"/>
              <w:ind w:left="109" w:firstLine="1980" w:firstLineChars="1000"/>
              <w:textAlignment w:val="auto"/>
            </w:pPr>
            <w:r>
              <w:rPr>
                <w:spacing w:val="4"/>
              </w:rPr>
              <w:t>m²</w:t>
            </w:r>
          </w:p>
        </w:tc>
      </w:tr>
      <w:tr w14:paraId="5A76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9867" w:type="dxa"/>
            <w:gridSpan w:val="8"/>
            <w:tcMar>
              <w:top w:w="85" w:type="dxa"/>
              <w:left w:w="85" w:type="dxa"/>
              <w:bottom w:w="85" w:type="dxa"/>
              <w:right w:w="85" w:type="dxa"/>
            </w:tcMar>
            <w:vAlign w:val="top"/>
          </w:tcPr>
          <w:p w14:paraId="36CBDE73">
            <w:pPr>
              <w:pStyle w:val="23"/>
              <w:keepNext w:val="0"/>
              <w:keepLines w:val="0"/>
              <w:pageBreakBefore w:val="0"/>
              <w:widowControl w:val="0"/>
              <w:kinsoku/>
              <w:wordWrap/>
              <w:overflowPunct/>
              <w:topLinePunct w:val="0"/>
              <w:autoSpaceDE/>
              <w:autoSpaceDN/>
              <w:bidi w:val="0"/>
              <w:adjustRightInd w:val="0"/>
              <w:snapToGrid w:val="0"/>
              <w:spacing w:line="0" w:lineRule="atLeast"/>
              <w:ind w:left="117"/>
              <w:textAlignment w:val="auto"/>
              <w:rPr>
                <w:sz w:val="18"/>
                <w:szCs w:val="18"/>
              </w:rPr>
            </w:pPr>
            <w:r>
              <w:rPr>
                <w:b/>
                <w:bCs/>
                <w:spacing w:val="-3"/>
                <w:sz w:val="18"/>
                <w:szCs w:val="18"/>
              </w:rPr>
              <w:t>二、白蚁危害情况</w:t>
            </w:r>
          </w:p>
        </w:tc>
      </w:tr>
      <w:tr w14:paraId="58E4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067" w:type="dxa"/>
            <w:tcMar>
              <w:top w:w="85" w:type="dxa"/>
              <w:left w:w="85" w:type="dxa"/>
              <w:bottom w:w="85" w:type="dxa"/>
              <w:right w:w="85" w:type="dxa"/>
            </w:tcMar>
            <w:vAlign w:val="center"/>
          </w:tcPr>
          <w:p w14:paraId="7A68ECA0">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8"/>
              </w:rPr>
              <w:t>检查单元总数</w:t>
            </w:r>
          </w:p>
        </w:tc>
        <w:tc>
          <w:tcPr>
            <w:tcW w:w="3466" w:type="dxa"/>
            <w:gridSpan w:val="2"/>
            <w:tcMar>
              <w:top w:w="85" w:type="dxa"/>
              <w:left w:w="85" w:type="dxa"/>
              <w:bottom w:w="85" w:type="dxa"/>
              <w:right w:w="85" w:type="dxa"/>
            </w:tcMar>
            <w:vAlign w:val="top"/>
          </w:tcPr>
          <w:p w14:paraId="533DB6F1">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tc>
        <w:tc>
          <w:tcPr>
            <w:tcW w:w="2250" w:type="dxa"/>
            <w:gridSpan w:val="3"/>
            <w:tcMar>
              <w:top w:w="85" w:type="dxa"/>
              <w:left w:w="85" w:type="dxa"/>
              <w:bottom w:w="85" w:type="dxa"/>
              <w:right w:w="85" w:type="dxa"/>
            </w:tcMar>
            <w:vAlign w:val="top"/>
          </w:tcPr>
          <w:p w14:paraId="6B8E1339">
            <w:pPr>
              <w:pStyle w:val="23"/>
              <w:keepNext w:val="0"/>
              <w:keepLines w:val="0"/>
              <w:pageBreakBefore w:val="0"/>
              <w:widowControl w:val="0"/>
              <w:kinsoku/>
              <w:wordWrap/>
              <w:overflowPunct/>
              <w:topLinePunct w:val="0"/>
              <w:autoSpaceDE/>
              <w:autoSpaceDN/>
              <w:bidi w:val="0"/>
              <w:adjustRightInd w:val="0"/>
              <w:snapToGrid w:val="0"/>
              <w:spacing w:line="0" w:lineRule="atLeast"/>
              <w:textAlignment w:val="auto"/>
            </w:pPr>
            <w:r>
              <w:rPr>
                <w:spacing w:val="4"/>
              </w:rPr>
              <w:t>白蚁危害单元数</w:t>
            </w:r>
          </w:p>
        </w:tc>
        <w:tc>
          <w:tcPr>
            <w:tcW w:w="2084" w:type="dxa"/>
            <w:gridSpan w:val="2"/>
            <w:tcMar>
              <w:top w:w="85" w:type="dxa"/>
              <w:left w:w="85" w:type="dxa"/>
              <w:bottom w:w="85" w:type="dxa"/>
              <w:right w:w="85" w:type="dxa"/>
            </w:tcMar>
            <w:vAlign w:val="top"/>
          </w:tcPr>
          <w:p w14:paraId="2268F19C">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tc>
      </w:tr>
      <w:tr w14:paraId="464D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2067" w:type="dxa"/>
            <w:tcMar>
              <w:top w:w="85" w:type="dxa"/>
              <w:left w:w="85" w:type="dxa"/>
              <w:bottom w:w="85" w:type="dxa"/>
              <w:right w:w="85" w:type="dxa"/>
            </w:tcMar>
            <w:vAlign w:val="center"/>
          </w:tcPr>
          <w:p w14:paraId="293275E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t>白蚁种类</w:t>
            </w:r>
          </w:p>
        </w:tc>
        <w:tc>
          <w:tcPr>
            <w:tcW w:w="2016" w:type="dxa"/>
            <w:tcMar>
              <w:top w:w="85" w:type="dxa"/>
              <w:left w:w="85" w:type="dxa"/>
              <w:bottom w:w="85" w:type="dxa"/>
              <w:right w:w="85" w:type="dxa"/>
            </w:tcMar>
            <w:vAlign w:val="center"/>
          </w:tcPr>
          <w:p w14:paraId="2E8BCF4A">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7"/>
              </w:rPr>
              <w:t>危害单元数</w:t>
            </w:r>
          </w:p>
        </w:tc>
        <w:tc>
          <w:tcPr>
            <w:tcW w:w="1450" w:type="dxa"/>
            <w:tcMar>
              <w:top w:w="85" w:type="dxa"/>
              <w:left w:w="85" w:type="dxa"/>
              <w:bottom w:w="85" w:type="dxa"/>
              <w:right w:w="85" w:type="dxa"/>
            </w:tcMar>
            <w:vAlign w:val="center"/>
          </w:tcPr>
          <w:p w14:paraId="6A74B506">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危害比例(%)</w:t>
            </w:r>
          </w:p>
        </w:tc>
        <w:tc>
          <w:tcPr>
            <w:tcW w:w="2250" w:type="dxa"/>
            <w:gridSpan w:val="3"/>
            <w:tcMar>
              <w:top w:w="85" w:type="dxa"/>
              <w:left w:w="85" w:type="dxa"/>
              <w:bottom w:w="85" w:type="dxa"/>
              <w:right w:w="85" w:type="dxa"/>
            </w:tcMar>
            <w:vAlign w:val="center"/>
          </w:tcPr>
          <w:p w14:paraId="4BE207A9">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8"/>
              </w:rPr>
              <w:t>承重构件危害情况</w:t>
            </w:r>
          </w:p>
        </w:tc>
        <w:tc>
          <w:tcPr>
            <w:tcW w:w="2084" w:type="dxa"/>
            <w:gridSpan w:val="2"/>
            <w:tcMar>
              <w:top w:w="85" w:type="dxa"/>
              <w:left w:w="85" w:type="dxa"/>
              <w:bottom w:w="85" w:type="dxa"/>
              <w:right w:w="85" w:type="dxa"/>
            </w:tcMar>
            <w:vAlign w:val="center"/>
          </w:tcPr>
          <w:p w14:paraId="7FE27AF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分飞情况</w:t>
            </w:r>
          </w:p>
        </w:tc>
      </w:tr>
      <w:tr w14:paraId="30809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2067" w:type="dxa"/>
            <w:tcMar>
              <w:top w:w="85" w:type="dxa"/>
              <w:left w:w="85" w:type="dxa"/>
              <w:bottom w:w="85" w:type="dxa"/>
              <w:right w:w="85" w:type="dxa"/>
            </w:tcMar>
            <w:vAlign w:val="center"/>
          </w:tcPr>
          <w:p w14:paraId="0177F180">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2"/>
              </w:rPr>
              <w:t>□乳白蚁</w:t>
            </w:r>
          </w:p>
        </w:tc>
        <w:tc>
          <w:tcPr>
            <w:tcW w:w="2016" w:type="dxa"/>
            <w:tcMar>
              <w:top w:w="85" w:type="dxa"/>
              <w:left w:w="85" w:type="dxa"/>
              <w:bottom w:w="85" w:type="dxa"/>
              <w:right w:w="85" w:type="dxa"/>
            </w:tcMar>
            <w:vAlign w:val="center"/>
          </w:tcPr>
          <w:p w14:paraId="766CE34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450" w:type="dxa"/>
            <w:tcMar>
              <w:top w:w="85" w:type="dxa"/>
              <w:left w:w="85" w:type="dxa"/>
              <w:bottom w:w="85" w:type="dxa"/>
              <w:right w:w="85" w:type="dxa"/>
            </w:tcMar>
            <w:vAlign w:val="center"/>
          </w:tcPr>
          <w:p w14:paraId="46F67BF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084" w:type="dxa"/>
            <w:tcMar>
              <w:top w:w="85" w:type="dxa"/>
              <w:left w:w="85" w:type="dxa"/>
              <w:bottom w:w="85" w:type="dxa"/>
              <w:right w:w="85" w:type="dxa"/>
            </w:tcMar>
            <w:vAlign w:val="center"/>
          </w:tcPr>
          <w:p w14:paraId="7F4A9122">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166" w:type="dxa"/>
            <w:gridSpan w:val="2"/>
            <w:tcMar>
              <w:top w:w="85" w:type="dxa"/>
              <w:left w:w="85" w:type="dxa"/>
              <w:bottom w:w="85" w:type="dxa"/>
              <w:right w:w="85" w:type="dxa"/>
            </w:tcMar>
            <w:vAlign w:val="center"/>
          </w:tcPr>
          <w:p w14:paraId="7C92F606">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rFonts w:hint="eastAsia"/>
                <w:spacing w:val="-5"/>
                <w:lang w:eastAsia="zh-CN"/>
              </w:rPr>
              <w:t>□</w:t>
            </w:r>
            <w:r>
              <w:rPr>
                <w:spacing w:val="-5"/>
              </w:rPr>
              <w:t>无</w:t>
            </w:r>
          </w:p>
        </w:tc>
        <w:tc>
          <w:tcPr>
            <w:tcW w:w="1084" w:type="dxa"/>
            <w:tcMar>
              <w:top w:w="85" w:type="dxa"/>
              <w:left w:w="85" w:type="dxa"/>
              <w:bottom w:w="85" w:type="dxa"/>
              <w:right w:w="85" w:type="dxa"/>
            </w:tcMar>
            <w:vAlign w:val="center"/>
          </w:tcPr>
          <w:p w14:paraId="357F0EA2">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000" w:type="dxa"/>
            <w:tcMar>
              <w:top w:w="85" w:type="dxa"/>
              <w:left w:w="85" w:type="dxa"/>
              <w:bottom w:w="85" w:type="dxa"/>
              <w:right w:w="85" w:type="dxa"/>
            </w:tcMar>
            <w:vAlign w:val="center"/>
          </w:tcPr>
          <w:p w14:paraId="487DC077">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r>
      <w:tr w14:paraId="37426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2067" w:type="dxa"/>
            <w:tcMar>
              <w:top w:w="85" w:type="dxa"/>
              <w:left w:w="85" w:type="dxa"/>
              <w:bottom w:w="85" w:type="dxa"/>
              <w:right w:w="85" w:type="dxa"/>
            </w:tcMar>
            <w:vAlign w:val="center"/>
          </w:tcPr>
          <w:p w14:paraId="5E6466A5">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2"/>
              </w:rPr>
              <w:t>□散白蚁</w:t>
            </w:r>
          </w:p>
        </w:tc>
        <w:tc>
          <w:tcPr>
            <w:tcW w:w="2016" w:type="dxa"/>
            <w:tcMar>
              <w:top w:w="85" w:type="dxa"/>
              <w:left w:w="85" w:type="dxa"/>
              <w:bottom w:w="85" w:type="dxa"/>
              <w:right w:w="85" w:type="dxa"/>
            </w:tcMar>
            <w:vAlign w:val="center"/>
          </w:tcPr>
          <w:p w14:paraId="15F88EB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450" w:type="dxa"/>
            <w:tcMar>
              <w:top w:w="85" w:type="dxa"/>
              <w:left w:w="85" w:type="dxa"/>
              <w:bottom w:w="85" w:type="dxa"/>
              <w:right w:w="85" w:type="dxa"/>
            </w:tcMar>
            <w:vAlign w:val="center"/>
          </w:tcPr>
          <w:p w14:paraId="7D61041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084" w:type="dxa"/>
            <w:tcMar>
              <w:top w:w="85" w:type="dxa"/>
              <w:left w:w="85" w:type="dxa"/>
              <w:bottom w:w="85" w:type="dxa"/>
              <w:right w:w="85" w:type="dxa"/>
            </w:tcMar>
            <w:vAlign w:val="center"/>
          </w:tcPr>
          <w:p w14:paraId="24917696">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166" w:type="dxa"/>
            <w:gridSpan w:val="2"/>
            <w:tcMar>
              <w:top w:w="85" w:type="dxa"/>
              <w:left w:w="85" w:type="dxa"/>
              <w:bottom w:w="85" w:type="dxa"/>
              <w:right w:w="85" w:type="dxa"/>
            </w:tcMar>
            <w:vAlign w:val="center"/>
          </w:tcPr>
          <w:p w14:paraId="0C8C5178">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c>
          <w:tcPr>
            <w:tcW w:w="1084" w:type="dxa"/>
            <w:tcMar>
              <w:top w:w="85" w:type="dxa"/>
              <w:left w:w="85" w:type="dxa"/>
              <w:bottom w:w="85" w:type="dxa"/>
              <w:right w:w="85" w:type="dxa"/>
            </w:tcMar>
            <w:vAlign w:val="center"/>
          </w:tcPr>
          <w:p w14:paraId="47D35835">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000" w:type="dxa"/>
            <w:tcMar>
              <w:top w:w="85" w:type="dxa"/>
              <w:left w:w="85" w:type="dxa"/>
              <w:bottom w:w="85" w:type="dxa"/>
              <w:right w:w="85" w:type="dxa"/>
            </w:tcMar>
            <w:vAlign w:val="center"/>
          </w:tcPr>
          <w:p w14:paraId="7F4C46AF">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r>
      <w:tr w14:paraId="249D0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2067" w:type="dxa"/>
            <w:tcMar>
              <w:top w:w="85" w:type="dxa"/>
              <w:left w:w="85" w:type="dxa"/>
              <w:bottom w:w="85" w:type="dxa"/>
              <w:right w:w="85" w:type="dxa"/>
            </w:tcMar>
            <w:vAlign w:val="center"/>
          </w:tcPr>
          <w:p w14:paraId="65BF533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□堆砂白蚁或楹白蚁</w:t>
            </w:r>
          </w:p>
        </w:tc>
        <w:tc>
          <w:tcPr>
            <w:tcW w:w="2016" w:type="dxa"/>
            <w:tcMar>
              <w:top w:w="85" w:type="dxa"/>
              <w:left w:w="85" w:type="dxa"/>
              <w:bottom w:w="85" w:type="dxa"/>
              <w:right w:w="85" w:type="dxa"/>
            </w:tcMar>
            <w:vAlign w:val="center"/>
          </w:tcPr>
          <w:p w14:paraId="2B09DFC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450" w:type="dxa"/>
            <w:tcMar>
              <w:top w:w="85" w:type="dxa"/>
              <w:left w:w="85" w:type="dxa"/>
              <w:bottom w:w="85" w:type="dxa"/>
              <w:right w:w="85" w:type="dxa"/>
            </w:tcMar>
            <w:vAlign w:val="center"/>
          </w:tcPr>
          <w:p w14:paraId="2CB15AB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084" w:type="dxa"/>
            <w:tcMar>
              <w:top w:w="85" w:type="dxa"/>
              <w:left w:w="85" w:type="dxa"/>
              <w:bottom w:w="85" w:type="dxa"/>
              <w:right w:w="85" w:type="dxa"/>
            </w:tcMar>
            <w:vAlign w:val="center"/>
          </w:tcPr>
          <w:p w14:paraId="1CB3609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166" w:type="dxa"/>
            <w:gridSpan w:val="2"/>
            <w:tcMar>
              <w:top w:w="85" w:type="dxa"/>
              <w:left w:w="85" w:type="dxa"/>
              <w:bottom w:w="85" w:type="dxa"/>
              <w:right w:w="85" w:type="dxa"/>
            </w:tcMar>
            <w:vAlign w:val="center"/>
          </w:tcPr>
          <w:p w14:paraId="643D5C70">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c>
          <w:tcPr>
            <w:tcW w:w="1084" w:type="dxa"/>
            <w:tcMar>
              <w:top w:w="85" w:type="dxa"/>
              <w:left w:w="85" w:type="dxa"/>
              <w:bottom w:w="85" w:type="dxa"/>
              <w:right w:w="85" w:type="dxa"/>
            </w:tcMar>
            <w:vAlign w:val="center"/>
          </w:tcPr>
          <w:p w14:paraId="4D9D3D4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000" w:type="dxa"/>
            <w:tcMar>
              <w:top w:w="85" w:type="dxa"/>
              <w:left w:w="85" w:type="dxa"/>
              <w:bottom w:w="85" w:type="dxa"/>
              <w:right w:w="85" w:type="dxa"/>
            </w:tcMar>
            <w:vAlign w:val="center"/>
          </w:tcPr>
          <w:p w14:paraId="025DD522">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r>
      <w:tr w14:paraId="7BDE3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2067" w:type="dxa"/>
            <w:tcMar>
              <w:top w:w="85" w:type="dxa"/>
              <w:left w:w="85" w:type="dxa"/>
              <w:bottom w:w="85" w:type="dxa"/>
              <w:right w:w="85" w:type="dxa"/>
            </w:tcMar>
            <w:vAlign w:val="center"/>
          </w:tcPr>
          <w:p w14:paraId="19E498D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□土白蚁或大白蚁</w:t>
            </w:r>
          </w:p>
        </w:tc>
        <w:tc>
          <w:tcPr>
            <w:tcW w:w="2016" w:type="dxa"/>
            <w:tcMar>
              <w:top w:w="85" w:type="dxa"/>
              <w:left w:w="85" w:type="dxa"/>
              <w:bottom w:w="85" w:type="dxa"/>
              <w:right w:w="85" w:type="dxa"/>
            </w:tcMar>
            <w:vAlign w:val="center"/>
          </w:tcPr>
          <w:p w14:paraId="5F1581E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450" w:type="dxa"/>
            <w:tcMar>
              <w:top w:w="85" w:type="dxa"/>
              <w:left w:w="85" w:type="dxa"/>
              <w:bottom w:w="85" w:type="dxa"/>
              <w:right w:w="85" w:type="dxa"/>
            </w:tcMar>
            <w:vAlign w:val="center"/>
          </w:tcPr>
          <w:p w14:paraId="78E0A24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084" w:type="dxa"/>
            <w:tcMar>
              <w:top w:w="85" w:type="dxa"/>
              <w:left w:w="85" w:type="dxa"/>
              <w:bottom w:w="85" w:type="dxa"/>
              <w:right w:w="85" w:type="dxa"/>
            </w:tcMar>
            <w:vAlign w:val="center"/>
          </w:tcPr>
          <w:p w14:paraId="456E60D9">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166" w:type="dxa"/>
            <w:gridSpan w:val="2"/>
            <w:tcMar>
              <w:top w:w="85" w:type="dxa"/>
              <w:left w:w="85" w:type="dxa"/>
              <w:bottom w:w="85" w:type="dxa"/>
              <w:right w:w="85" w:type="dxa"/>
            </w:tcMar>
            <w:vAlign w:val="center"/>
          </w:tcPr>
          <w:p w14:paraId="5209D31D">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c>
          <w:tcPr>
            <w:tcW w:w="1084" w:type="dxa"/>
            <w:tcMar>
              <w:top w:w="85" w:type="dxa"/>
              <w:left w:w="85" w:type="dxa"/>
              <w:bottom w:w="85" w:type="dxa"/>
              <w:right w:w="85" w:type="dxa"/>
            </w:tcMar>
            <w:vAlign w:val="center"/>
          </w:tcPr>
          <w:p w14:paraId="29B33C4C">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000" w:type="dxa"/>
            <w:tcMar>
              <w:top w:w="85" w:type="dxa"/>
              <w:left w:w="85" w:type="dxa"/>
              <w:bottom w:w="85" w:type="dxa"/>
              <w:right w:w="85" w:type="dxa"/>
            </w:tcMar>
            <w:vAlign w:val="center"/>
          </w:tcPr>
          <w:p w14:paraId="33FC0BB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r>
      <w:tr w14:paraId="1A6E8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2067" w:type="dxa"/>
            <w:tcMar>
              <w:top w:w="85" w:type="dxa"/>
              <w:left w:w="85" w:type="dxa"/>
              <w:bottom w:w="85" w:type="dxa"/>
              <w:right w:w="85" w:type="dxa"/>
            </w:tcMar>
            <w:vAlign w:val="center"/>
          </w:tcPr>
          <w:p w14:paraId="433975AC">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4"/>
              </w:rPr>
              <w:t>□其他白蚁</w:t>
            </w:r>
          </w:p>
        </w:tc>
        <w:tc>
          <w:tcPr>
            <w:tcW w:w="2016" w:type="dxa"/>
            <w:tcMar>
              <w:top w:w="85" w:type="dxa"/>
              <w:left w:w="85" w:type="dxa"/>
              <w:bottom w:w="85" w:type="dxa"/>
              <w:right w:w="85" w:type="dxa"/>
            </w:tcMar>
            <w:vAlign w:val="center"/>
          </w:tcPr>
          <w:p w14:paraId="3FA3909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450" w:type="dxa"/>
            <w:tcMar>
              <w:top w:w="85" w:type="dxa"/>
              <w:left w:w="85" w:type="dxa"/>
              <w:bottom w:w="85" w:type="dxa"/>
              <w:right w:w="85" w:type="dxa"/>
            </w:tcMar>
            <w:vAlign w:val="center"/>
          </w:tcPr>
          <w:p w14:paraId="6CDCA69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Arial"/>
                <w:sz w:val="21"/>
              </w:rPr>
            </w:pPr>
          </w:p>
        </w:tc>
        <w:tc>
          <w:tcPr>
            <w:tcW w:w="1084" w:type="dxa"/>
            <w:tcMar>
              <w:top w:w="85" w:type="dxa"/>
              <w:left w:w="85" w:type="dxa"/>
              <w:bottom w:w="85" w:type="dxa"/>
              <w:right w:w="85" w:type="dxa"/>
            </w:tcMar>
            <w:vAlign w:val="center"/>
          </w:tcPr>
          <w:p w14:paraId="5DE48CDD">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166" w:type="dxa"/>
            <w:gridSpan w:val="2"/>
            <w:tcMar>
              <w:top w:w="85" w:type="dxa"/>
              <w:left w:w="85" w:type="dxa"/>
              <w:bottom w:w="85" w:type="dxa"/>
              <w:right w:w="85" w:type="dxa"/>
            </w:tcMar>
            <w:vAlign w:val="center"/>
          </w:tcPr>
          <w:p w14:paraId="57517D0B">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c>
          <w:tcPr>
            <w:tcW w:w="1084" w:type="dxa"/>
            <w:tcMar>
              <w:top w:w="85" w:type="dxa"/>
              <w:left w:w="85" w:type="dxa"/>
              <w:bottom w:w="85" w:type="dxa"/>
              <w:right w:w="85" w:type="dxa"/>
            </w:tcMar>
            <w:vAlign w:val="center"/>
          </w:tcPr>
          <w:p w14:paraId="38B2B2E5">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□有</w:t>
            </w:r>
          </w:p>
        </w:tc>
        <w:tc>
          <w:tcPr>
            <w:tcW w:w="1000" w:type="dxa"/>
            <w:tcMar>
              <w:top w:w="85" w:type="dxa"/>
              <w:left w:w="85" w:type="dxa"/>
              <w:bottom w:w="85" w:type="dxa"/>
              <w:right w:w="85" w:type="dxa"/>
            </w:tcMar>
            <w:vAlign w:val="center"/>
          </w:tcPr>
          <w:p w14:paraId="227CD04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5"/>
              </w:rPr>
              <w:t>□无</w:t>
            </w:r>
          </w:p>
        </w:tc>
      </w:tr>
      <w:tr w14:paraId="0018C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067" w:type="dxa"/>
            <w:tcMar>
              <w:top w:w="85" w:type="dxa"/>
              <w:left w:w="85" w:type="dxa"/>
              <w:bottom w:w="85" w:type="dxa"/>
              <w:right w:w="85" w:type="dxa"/>
            </w:tcMar>
            <w:vAlign w:val="center"/>
          </w:tcPr>
          <w:p w14:paraId="56FE9DC0">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外围环境</w:t>
            </w:r>
          </w:p>
        </w:tc>
        <w:tc>
          <w:tcPr>
            <w:tcW w:w="7800" w:type="dxa"/>
            <w:gridSpan w:val="7"/>
            <w:tcMar>
              <w:top w:w="85" w:type="dxa"/>
              <w:left w:w="85" w:type="dxa"/>
              <w:bottom w:w="85" w:type="dxa"/>
              <w:right w:w="85" w:type="dxa"/>
            </w:tcMar>
            <w:vAlign w:val="top"/>
          </w:tcPr>
          <w:p w14:paraId="7D4FC3F1">
            <w:pPr>
              <w:pStyle w:val="23"/>
              <w:keepNext w:val="0"/>
              <w:keepLines w:val="0"/>
              <w:pageBreakBefore w:val="0"/>
              <w:widowControl w:val="0"/>
              <w:kinsoku/>
              <w:wordWrap/>
              <w:overflowPunct/>
              <w:topLinePunct w:val="0"/>
              <w:autoSpaceDE/>
              <w:autoSpaceDN/>
              <w:bidi w:val="0"/>
              <w:adjustRightInd w:val="0"/>
              <w:snapToGrid w:val="0"/>
              <w:spacing w:line="0" w:lineRule="atLeast"/>
              <w:ind w:left="132"/>
              <w:textAlignment w:val="auto"/>
            </w:pPr>
            <w:r>
              <w:rPr>
                <w:spacing w:val="1"/>
              </w:rPr>
              <w:t>□乳白蚁</w:t>
            </w:r>
            <w:r>
              <w:rPr>
                <w:spacing w:val="24"/>
              </w:rPr>
              <w:t xml:space="preserve">  </w:t>
            </w:r>
            <w:r>
              <w:rPr>
                <w:spacing w:val="1"/>
              </w:rPr>
              <w:t>口散白蚁</w:t>
            </w:r>
            <w:r>
              <w:rPr>
                <w:spacing w:val="20"/>
              </w:rPr>
              <w:t xml:space="preserve">  </w:t>
            </w:r>
            <w:r>
              <w:rPr>
                <w:spacing w:val="1"/>
              </w:rPr>
              <w:t>□土白蚁</w:t>
            </w:r>
            <w:r>
              <w:rPr>
                <w:spacing w:val="19"/>
              </w:rPr>
              <w:t xml:space="preserve">  </w:t>
            </w:r>
            <w:r>
              <w:rPr>
                <w:spacing w:val="1"/>
              </w:rPr>
              <w:t>□大白蚁</w:t>
            </w:r>
            <w:r>
              <w:rPr>
                <w:spacing w:val="20"/>
              </w:rPr>
              <w:t xml:space="preserve">  </w:t>
            </w:r>
            <w:r>
              <w:rPr>
                <w:spacing w:val="1"/>
              </w:rPr>
              <w:t>□其他：</w:t>
            </w:r>
            <w:r>
              <w:rPr>
                <w:spacing w:val="-71"/>
              </w:rPr>
              <w:t xml:space="preserve"> </w:t>
            </w:r>
            <w:r>
              <w:rPr>
                <w:u w:val="single" w:color="auto"/>
              </w:rPr>
              <w:t xml:space="preserve">             </w:t>
            </w:r>
          </w:p>
        </w:tc>
      </w:tr>
      <w:tr w14:paraId="7F8F4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067" w:type="dxa"/>
            <w:tcMar>
              <w:top w:w="85" w:type="dxa"/>
              <w:left w:w="85" w:type="dxa"/>
              <w:bottom w:w="85" w:type="dxa"/>
              <w:right w:w="85" w:type="dxa"/>
            </w:tcMar>
            <w:vAlign w:val="center"/>
          </w:tcPr>
          <w:p w14:paraId="2167F4F0">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8"/>
              </w:rPr>
              <w:t>其他情况说明</w:t>
            </w:r>
          </w:p>
        </w:tc>
        <w:tc>
          <w:tcPr>
            <w:tcW w:w="7800" w:type="dxa"/>
            <w:gridSpan w:val="7"/>
            <w:tcMar>
              <w:top w:w="85" w:type="dxa"/>
              <w:left w:w="85" w:type="dxa"/>
              <w:bottom w:w="85" w:type="dxa"/>
              <w:right w:w="85" w:type="dxa"/>
            </w:tcMar>
            <w:vAlign w:val="top"/>
          </w:tcPr>
          <w:p w14:paraId="0F807BD5">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tc>
      </w:tr>
      <w:tr w14:paraId="6E44E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067" w:type="dxa"/>
            <w:tcMar>
              <w:top w:w="85" w:type="dxa"/>
              <w:left w:w="85" w:type="dxa"/>
              <w:bottom w:w="85" w:type="dxa"/>
              <w:right w:w="85" w:type="dxa"/>
            </w:tcMar>
            <w:vAlign w:val="center"/>
          </w:tcPr>
          <w:p w14:paraId="6ECF053C">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6"/>
              </w:rPr>
              <w:t>调查人员</w:t>
            </w:r>
          </w:p>
        </w:tc>
        <w:tc>
          <w:tcPr>
            <w:tcW w:w="4550" w:type="dxa"/>
            <w:gridSpan w:val="3"/>
            <w:tcMar>
              <w:top w:w="85" w:type="dxa"/>
              <w:left w:w="85" w:type="dxa"/>
              <w:bottom w:w="85" w:type="dxa"/>
              <w:right w:w="85" w:type="dxa"/>
            </w:tcMar>
            <w:vAlign w:val="top"/>
          </w:tcPr>
          <w:p w14:paraId="12FE6994">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tc>
        <w:tc>
          <w:tcPr>
            <w:tcW w:w="1166" w:type="dxa"/>
            <w:gridSpan w:val="2"/>
            <w:tcMar>
              <w:top w:w="85" w:type="dxa"/>
              <w:left w:w="85" w:type="dxa"/>
              <w:bottom w:w="85" w:type="dxa"/>
              <w:right w:w="85" w:type="dxa"/>
            </w:tcMar>
            <w:vAlign w:val="top"/>
          </w:tcPr>
          <w:p w14:paraId="166EE770">
            <w:pPr>
              <w:pStyle w:val="23"/>
              <w:keepNext w:val="0"/>
              <w:keepLines w:val="0"/>
              <w:pageBreakBefore w:val="0"/>
              <w:widowControl w:val="0"/>
              <w:kinsoku/>
              <w:wordWrap/>
              <w:overflowPunct/>
              <w:topLinePunct w:val="0"/>
              <w:autoSpaceDE/>
              <w:autoSpaceDN/>
              <w:bidi w:val="0"/>
              <w:adjustRightInd w:val="0"/>
              <w:snapToGrid w:val="0"/>
              <w:spacing w:line="0" w:lineRule="atLeast"/>
              <w:textAlignment w:val="auto"/>
            </w:pPr>
            <w:r>
              <w:rPr>
                <w:spacing w:val="6"/>
              </w:rPr>
              <w:t>调查时间</w:t>
            </w:r>
          </w:p>
        </w:tc>
        <w:tc>
          <w:tcPr>
            <w:tcW w:w="2084" w:type="dxa"/>
            <w:gridSpan w:val="2"/>
            <w:tcMar>
              <w:top w:w="85" w:type="dxa"/>
              <w:left w:w="85" w:type="dxa"/>
              <w:bottom w:w="85" w:type="dxa"/>
              <w:right w:w="85" w:type="dxa"/>
            </w:tcMar>
            <w:vAlign w:val="top"/>
          </w:tcPr>
          <w:p w14:paraId="164A921E">
            <w:pPr>
              <w:pStyle w:val="23"/>
              <w:keepNext w:val="0"/>
              <w:keepLines w:val="0"/>
              <w:pageBreakBefore w:val="0"/>
              <w:widowControl w:val="0"/>
              <w:kinsoku/>
              <w:wordWrap/>
              <w:overflowPunct/>
              <w:topLinePunct w:val="0"/>
              <w:autoSpaceDE/>
              <w:autoSpaceDN/>
              <w:bidi w:val="0"/>
              <w:adjustRightInd w:val="0"/>
              <w:snapToGrid w:val="0"/>
              <w:spacing w:line="0" w:lineRule="atLeast"/>
              <w:ind w:left="115"/>
              <w:jc w:val="right"/>
              <w:textAlignment w:val="auto"/>
            </w:pPr>
            <w:r>
              <w:rPr>
                <w:spacing w:val="-1"/>
              </w:rPr>
              <w:t>年</w:t>
            </w:r>
            <w:r>
              <w:rPr>
                <w:spacing w:val="12"/>
              </w:rPr>
              <w:t xml:space="preserve">  </w:t>
            </w:r>
            <w:r>
              <w:rPr>
                <w:spacing w:val="-1"/>
              </w:rPr>
              <w:t>月</w:t>
            </w:r>
            <w:r>
              <w:rPr>
                <w:spacing w:val="19"/>
              </w:rPr>
              <w:t xml:space="preserve">   </w:t>
            </w:r>
            <w:r>
              <w:rPr>
                <w:spacing w:val="-1"/>
              </w:rPr>
              <w:t>日</w:t>
            </w:r>
          </w:p>
        </w:tc>
      </w:tr>
      <w:tr w14:paraId="0D63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9867" w:type="dxa"/>
            <w:gridSpan w:val="8"/>
            <w:tcMar>
              <w:top w:w="85" w:type="dxa"/>
              <w:left w:w="85" w:type="dxa"/>
              <w:bottom w:w="85" w:type="dxa"/>
              <w:right w:w="85" w:type="dxa"/>
            </w:tcMar>
            <w:vAlign w:val="top"/>
          </w:tcPr>
          <w:p w14:paraId="6D1BD0EE">
            <w:pPr>
              <w:pStyle w:val="23"/>
              <w:keepNext w:val="0"/>
              <w:keepLines w:val="0"/>
              <w:pageBreakBefore w:val="0"/>
              <w:widowControl w:val="0"/>
              <w:kinsoku/>
              <w:wordWrap/>
              <w:overflowPunct/>
              <w:topLinePunct w:val="0"/>
              <w:autoSpaceDE/>
              <w:autoSpaceDN/>
              <w:bidi w:val="0"/>
              <w:adjustRightInd w:val="0"/>
              <w:snapToGrid w:val="0"/>
              <w:spacing w:line="0" w:lineRule="atLeast"/>
              <w:ind w:left="115"/>
              <w:textAlignment w:val="auto"/>
            </w:pPr>
            <w:r>
              <w:rPr>
                <w:b/>
                <w:bCs/>
                <w:spacing w:val="7"/>
              </w:rPr>
              <w:t>三、委托单位/个人代表意见</w:t>
            </w:r>
          </w:p>
          <w:p w14:paraId="6410EA7F">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p w14:paraId="0EE27100">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p w14:paraId="4826BEB6">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p w14:paraId="70D15D4B">
            <w:pPr>
              <w:pStyle w:val="23"/>
              <w:keepNext w:val="0"/>
              <w:keepLines w:val="0"/>
              <w:pageBreakBefore w:val="0"/>
              <w:widowControl w:val="0"/>
              <w:kinsoku/>
              <w:wordWrap/>
              <w:overflowPunct/>
              <w:topLinePunct w:val="0"/>
              <w:autoSpaceDE/>
              <w:autoSpaceDN/>
              <w:bidi w:val="0"/>
              <w:adjustRightInd w:val="0"/>
              <w:snapToGrid w:val="0"/>
              <w:spacing w:line="0" w:lineRule="atLeast"/>
              <w:ind w:left="4915"/>
              <w:textAlignment w:val="auto"/>
            </w:pPr>
            <w:r>
              <w:t>签名：                年</w:t>
            </w:r>
            <w:r>
              <w:rPr>
                <w:spacing w:val="10"/>
              </w:rPr>
              <w:t xml:space="preserve">    </w:t>
            </w:r>
            <w:r>
              <w:t>月</w:t>
            </w:r>
            <w:r>
              <w:rPr>
                <w:spacing w:val="16"/>
              </w:rPr>
              <w:t xml:space="preserve">    </w:t>
            </w:r>
            <w:r>
              <w:t>日</w:t>
            </w:r>
          </w:p>
        </w:tc>
      </w:tr>
      <w:tr w14:paraId="0E38A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867" w:type="dxa"/>
            <w:gridSpan w:val="8"/>
            <w:tcMar>
              <w:top w:w="85" w:type="dxa"/>
              <w:left w:w="85" w:type="dxa"/>
              <w:bottom w:w="85" w:type="dxa"/>
              <w:right w:w="85" w:type="dxa"/>
            </w:tcMar>
            <w:vAlign w:val="top"/>
          </w:tcPr>
          <w:p w14:paraId="67796794">
            <w:pPr>
              <w:pStyle w:val="23"/>
              <w:keepNext w:val="0"/>
              <w:keepLines w:val="0"/>
              <w:pageBreakBefore w:val="0"/>
              <w:widowControl w:val="0"/>
              <w:kinsoku/>
              <w:wordWrap/>
              <w:overflowPunct/>
              <w:topLinePunct w:val="0"/>
              <w:autoSpaceDE/>
              <w:autoSpaceDN/>
              <w:bidi w:val="0"/>
              <w:adjustRightInd w:val="0"/>
              <w:snapToGrid w:val="0"/>
              <w:spacing w:line="0" w:lineRule="atLeast"/>
              <w:ind w:left="134"/>
              <w:textAlignment w:val="auto"/>
            </w:pPr>
            <w:r>
              <w:rPr>
                <w:b/>
                <w:bCs/>
                <w:spacing w:val="4"/>
              </w:rPr>
              <w:t>四、评定意见</w:t>
            </w:r>
          </w:p>
        </w:tc>
      </w:tr>
      <w:tr w14:paraId="7BD1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67" w:type="dxa"/>
            <w:tcMar>
              <w:top w:w="85" w:type="dxa"/>
              <w:left w:w="85" w:type="dxa"/>
              <w:bottom w:w="85" w:type="dxa"/>
              <w:right w:w="85" w:type="dxa"/>
            </w:tcMar>
            <w:vAlign w:val="center"/>
          </w:tcPr>
          <w:p w14:paraId="6FA18E4A">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7"/>
              </w:rPr>
              <w:t>初评等级</w:t>
            </w:r>
          </w:p>
        </w:tc>
        <w:tc>
          <w:tcPr>
            <w:tcW w:w="7800" w:type="dxa"/>
            <w:gridSpan w:val="7"/>
            <w:tcMar>
              <w:top w:w="85" w:type="dxa"/>
              <w:left w:w="85" w:type="dxa"/>
              <w:bottom w:w="85" w:type="dxa"/>
              <w:right w:w="85" w:type="dxa"/>
            </w:tcMar>
            <w:vAlign w:val="top"/>
          </w:tcPr>
          <w:p w14:paraId="0B843530">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p w14:paraId="36A6F6AA">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p w14:paraId="55A9D783">
            <w:pPr>
              <w:pStyle w:val="23"/>
              <w:keepNext w:val="0"/>
              <w:keepLines w:val="0"/>
              <w:pageBreakBefore w:val="0"/>
              <w:widowControl w:val="0"/>
              <w:kinsoku/>
              <w:wordWrap/>
              <w:overflowPunct/>
              <w:topLinePunct w:val="0"/>
              <w:autoSpaceDE/>
              <w:autoSpaceDN/>
              <w:bidi w:val="0"/>
              <w:adjustRightInd w:val="0"/>
              <w:snapToGrid w:val="0"/>
              <w:spacing w:line="0" w:lineRule="atLeast"/>
              <w:ind w:left="3992"/>
              <w:textAlignment w:val="auto"/>
            </w:pPr>
            <w:r>
              <w:t>签名：                 年</w:t>
            </w:r>
            <w:r>
              <w:rPr>
                <w:spacing w:val="11"/>
              </w:rPr>
              <w:t xml:space="preserve">    </w:t>
            </w:r>
            <w:r>
              <w:t>月</w:t>
            </w:r>
            <w:r>
              <w:rPr>
                <w:spacing w:val="19"/>
              </w:rPr>
              <w:t xml:space="preserve">   </w:t>
            </w:r>
            <w:r>
              <w:t>日</w:t>
            </w:r>
          </w:p>
        </w:tc>
      </w:tr>
      <w:tr w14:paraId="68FC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67" w:type="dxa"/>
            <w:tcMar>
              <w:top w:w="85" w:type="dxa"/>
              <w:left w:w="85" w:type="dxa"/>
              <w:bottom w:w="85" w:type="dxa"/>
              <w:right w:w="85" w:type="dxa"/>
            </w:tcMar>
            <w:vAlign w:val="center"/>
          </w:tcPr>
          <w:p w14:paraId="3C0FD9C4">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pPr>
            <w:r>
              <w:rPr>
                <w:spacing w:val="4"/>
              </w:rPr>
              <w:t>审定等级</w:t>
            </w:r>
          </w:p>
        </w:tc>
        <w:tc>
          <w:tcPr>
            <w:tcW w:w="7800" w:type="dxa"/>
            <w:gridSpan w:val="7"/>
            <w:tcMar>
              <w:top w:w="85" w:type="dxa"/>
              <w:left w:w="85" w:type="dxa"/>
              <w:bottom w:w="85" w:type="dxa"/>
              <w:right w:w="85" w:type="dxa"/>
            </w:tcMar>
            <w:vAlign w:val="top"/>
          </w:tcPr>
          <w:p w14:paraId="5C730D01">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p w14:paraId="08823C1F">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rPr>
            </w:pPr>
          </w:p>
          <w:p w14:paraId="6AEF5085">
            <w:pPr>
              <w:pStyle w:val="23"/>
              <w:keepNext w:val="0"/>
              <w:keepLines w:val="0"/>
              <w:pageBreakBefore w:val="0"/>
              <w:widowControl w:val="0"/>
              <w:kinsoku/>
              <w:wordWrap/>
              <w:overflowPunct/>
              <w:topLinePunct w:val="0"/>
              <w:autoSpaceDE/>
              <w:autoSpaceDN/>
              <w:bidi w:val="0"/>
              <w:adjustRightInd w:val="0"/>
              <w:snapToGrid w:val="0"/>
              <w:spacing w:line="0" w:lineRule="atLeast"/>
              <w:ind w:left="3992"/>
              <w:textAlignment w:val="auto"/>
            </w:pPr>
            <w:r>
              <w:t>签名：                 年</w:t>
            </w:r>
            <w:r>
              <w:rPr>
                <w:spacing w:val="11"/>
              </w:rPr>
              <w:t xml:space="preserve">    </w:t>
            </w:r>
            <w:r>
              <w:t>月</w:t>
            </w:r>
            <w:r>
              <w:rPr>
                <w:spacing w:val="19"/>
              </w:rPr>
              <w:t xml:space="preserve">   </w:t>
            </w:r>
            <w:r>
              <w:t>日</w:t>
            </w:r>
          </w:p>
        </w:tc>
      </w:tr>
      <w:tr w14:paraId="675C0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867" w:type="dxa"/>
            <w:gridSpan w:val="8"/>
            <w:tcMar>
              <w:top w:w="85" w:type="dxa"/>
              <w:left w:w="85" w:type="dxa"/>
              <w:bottom w:w="85" w:type="dxa"/>
              <w:right w:w="85" w:type="dxa"/>
            </w:tcMar>
            <w:vAlign w:val="top"/>
          </w:tcPr>
          <w:p w14:paraId="3C344069">
            <w:pPr>
              <w:pStyle w:val="23"/>
              <w:keepNext w:val="0"/>
              <w:keepLines w:val="0"/>
              <w:pageBreakBefore w:val="0"/>
              <w:widowControl w:val="0"/>
              <w:kinsoku/>
              <w:wordWrap/>
              <w:overflowPunct/>
              <w:topLinePunct w:val="0"/>
              <w:autoSpaceDE/>
              <w:autoSpaceDN/>
              <w:bidi w:val="0"/>
              <w:adjustRightInd w:val="0"/>
              <w:snapToGrid w:val="0"/>
              <w:spacing w:line="0" w:lineRule="atLeast"/>
              <w:ind w:left="118"/>
              <w:textAlignment w:val="auto"/>
            </w:pPr>
            <w:r>
              <w:rPr>
                <w:b/>
                <w:bCs/>
                <w:spacing w:val="6"/>
              </w:rPr>
              <w:t>五、备注</w:t>
            </w:r>
          </w:p>
        </w:tc>
      </w:tr>
      <w:tr w14:paraId="2709A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867" w:type="dxa"/>
            <w:gridSpan w:val="8"/>
            <w:tcMar>
              <w:top w:w="85" w:type="dxa"/>
              <w:left w:w="85" w:type="dxa"/>
              <w:bottom w:w="85" w:type="dxa"/>
              <w:right w:w="85" w:type="dxa"/>
            </w:tcMar>
            <w:vAlign w:val="top"/>
          </w:tcPr>
          <w:p w14:paraId="4D048071">
            <w:pPr>
              <w:pStyle w:val="23"/>
              <w:keepNext w:val="0"/>
              <w:keepLines w:val="0"/>
              <w:pageBreakBefore w:val="0"/>
              <w:widowControl w:val="0"/>
              <w:kinsoku/>
              <w:wordWrap/>
              <w:overflowPunct/>
              <w:topLinePunct w:val="0"/>
              <w:autoSpaceDE/>
              <w:autoSpaceDN/>
              <w:bidi w:val="0"/>
              <w:adjustRightInd w:val="0"/>
              <w:snapToGrid w:val="0"/>
              <w:spacing w:line="0" w:lineRule="atLeast"/>
              <w:ind w:left="117"/>
              <w:textAlignment w:val="auto"/>
            </w:pPr>
            <w:r>
              <w:rPr>
                <w:b/>
                <w:bCs/>
                <w:spacing w:val="6"/>
              </w:rPr>
              <w:t>六、附件</w:t>
            </w:r>
          </w:p>
        </w:tc>
      </w:tr>
    </w:tbl>
    <w:p w14:paraId="2C0C85C4">
      <w:pPr>
        <w:spacing w:before="117" w:line="220" w:lineRule="auto"/>
        <w:jc w:val="center"/>
        <w:rPr>
          <w:rFonts w:ascii="Arial"/>
          <w:sz w:val="21"/>
        </w:rPr>
      </w:pPr>
      <w:r>
        <w:rPr>
          <w:rFonts w:ascii="黑体" w:hAnsi="黑体" w:eastAsia="黑体" w:cs="黑体"/>
          <w:spacing w:val="-5"/>
          <w:sz w:val="36"/>
          <w:szCs w:val="36"/>
        </w:rPr>
        <w:t>表 3 房屋白蚁灭治工程施工方案</w:t>
      </w:r>
    </w:p>
    <w:p w14:paraId="5C3F1F86">
      <w:pPr>
        <w:spacing w:before="72" w:line="220" w:lineRule="auto"/>
        <w:ind w:left="125"/>
        <w:rPr>
          <w:rFonts w:ascii="Arial"/>
          <w:sz w:val="2"/>
        </w:rPr>
      </w:pPr>
      <w:r>
        <w:rPr>
          <w:rFonts w:ascii="宋体" w:hAnsi="宋体" w:eastAsia="宋体" w:cs="宋体"/>
          <w:spacing w:val="-8"/>
          <w:sz w:val="22"/>
          <w:szCs w:val="22"/>
        </w:rPr>
        <w:t>登记编号：</w:t>
      </w:r>
    </w:p>
    <w:tbl>
      <w:tblPr>
        <w:tblStyle w:val="22"/>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1"/>
        <w:gridCol w:w="3629"/>
        <w:gridCol w:w="1504"/>
        <w:gridCol w:w="2210"/>
      </w:tblGrid>
      <w:tr w14:paraId="38CC1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91" w:type="dxa"/>
            <w:vAlign w:val="top"/>
          </w:tcPr>
          <w:p w14:paraId="7A833B35">
            <w:pPr>
              <w:pStyle w:val="23"/>
              <w:spacing w:before="130" w:line="221" w:lineRule="auto"/>
              <w:ind w:left="584"/>
              <w:rPr>
                <w:sz w:val="21"/>
                <w:szCs w:val="21"/>
              </w:rPr>
            </w:pPr>
            <w:r>
              <w:rPr>
                <w:spacing w:val="-2"/>
                <w:sz w:val="21"/>
                <w:szCs w:val="21"/>
              </w:rPr>
              <w:t>工程地址</w:t>
            </w:r>
          </w:p>
        </w:tc>
        <w:tc>
          <w:tcPr>
            <w:tcW w:w="7343" w:type="dxa"/>
            <w:gridSpan w:val="3"/>
            <w:vAlign w:val="top"/>
          </w:tcPr>
          <w:p w14:paraId="4D502182">
            <w:pPr>
              <w:rPr>
                <w:rFonts w:ascii="Arial"/>
                <w:sz w:val="21"/>
              </w:rPr>
            </w:pPr>
          </w:p>
        </w:tc>
      </w:tr>
      <w:tr w14:paraId="41948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991" w:type="dxa"/>
            <w:vAlign w:val="top"/>
          </w:tcPr>
          <w:p w14:paraId="1B13B27B">
            <w:pPr>
              <w:pStyle w:val="23"/>
              <w:spacing w:before="109" w:line="221" w:lineRule="auto"/>
              <w:ind w:left="476"/>
              <w:rPr>
                <w:sz w:val="21"/>
                <w:szCs w:val="21"/>
              </w:rPr>
            </w:pPr>
            <w:r>
              <w:rPr>
                <w:spacing w:val="-2"/>
                <w:sz w:val="21"/>
                <w:szCs w:val="21"/>
              </w:rPr>
              <w:t>房屋联系人</w:t>
            </w:r>
          </w:p>
        </w:tc>
        <w:tc>
          <w:tcPr>
            <w:tcW w:w="3629" w:type="dxa"/>
            <w:vAlign w:val="top"/>
          </w:tcPr>
          <w:p w14:paraId="42383FEE">
            <w:pPr>
              <w:rPr>
                <w:rFonts w:ascii="Arial"/>
                <w:sz w:val="21"/>
              </w:rPr>
            </w:pPr>
          </w:p>
        </w:tc>
        <w:tc>
          <w:tcPr>
            <w:tcW w:w="1504" w:type="dxa"/>
            <w:vAlign w:val="top"/>
          </w:tcPr>
          <w:p w14:paraId="6F050E84">
            <w:pPr>
              <w:pStyle w:val="23"/>
              <w:spacing w:before="108" w:line="223" w:lineRule="auto"/>
              <w:ind w:left="338"/>
              <w:rPr>
                <w:sz w:val="21"/>
                <w:szCs w:val="21"/>
              </w:rPr>
            </w:pPr>
            <w:r>
              <w:rPr>
                <w:spacing w:val="-2"/>
                <w:sz w:val="21"/>
                <w:szCs w:val="21"/>
              </w:rPr>
              <w:t>联系电话</w:t>
            </w:r>
          </w:p>
        </w:tc>
        <w:tc>
          <w:tcPr>
            <w:tcW w:w="2210" w:type="dxa"/>
            <w:vAlign w:val="top"/>
          </w:tcPr>
          <w:p w14:paraId="6C199081">
            <w:pPr>
              <w:rPr>
                <w:rFonts w:ascii="Arial"/>
                <w:sz w:val="21"/>
              </w:rPr>
            </w:pPr>
          </w:p>
        </w:tc>
      </w:tr>
      <w:tr w14:paraId="09220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91" w:type="dxa"/>
            <w:vAlign w:val="top"/>
          </w:tcPr>
          <w:p w14:paraId="46847F76">
            <w:pPr>
              <w:pStyle w:val="23"/>
              <w:spacing w:before="115" w:line="223" w:lineRule="auto"/>
              <w:ind w:left="475"/>
              <w:rPr>
                <w:sz w:val="21"/>
                <w:szCs w:val="21"/>
              </w:rPr>
            </w:pPr>
            <w:r>
              <w:rPr>
                <w:spacing w:val="-1"/>
                <w:sz w:val="21"/>
                <w:szCs w:val="21"/>
              </w:rPr>
              <w:t>施工联系人</w:t>
            </w:r>
          </w:p>
        </w:tc>
        <w:tc>
          <w:tcPr>
            <w:tcW w:w="3629" w:type="dxa"/>
            <w:vAlign w:val="top"/>
          </w:tcPr>
          <w:p w14:paraId="483D0386">
            <w:pPr>
              <w:rPr>
                <w:rFonts w:ascii="Arial"/>
                <w:sz w:val="21"/>
              </w:rPr>
            </w:pPr>
          </w:p>
        </w:tc>
        <w:tc>
          <w:tcPr>
            <w:tcW w:w="1504" w:type="dxa"/>
            <w:vAlign w:val="top"/>
          </w:tcPr>
          <w:p w14:paraId="4112AF53">
            <w:pPr>
              <w:pStyle w:val="23"/>
              <w:spacing w:before="115" w:line="223" w:lineRule="auto"/>
              <w:ind w:left="338"/>
              <w:rPr>
                <w:sz w:val="21"/>
                <w:szCs w:val="21"/>
              </w:rPr>
            </w:pPr>
            <w:r>
              <w:rPr>
                <w:spacing w:val="-2"/>
                <w:sz w:val="21"/>
                <w:szCs w:val="21"/>
              </w:rPr>
              <w:t>联系电话</w:t>
            </w:r>
          </w:p>
        </w:tc>
        <w:tc>
          <w:tcPr>
            <w:tcW w:w="2210" w:type="dxa"/>
            <w:vAlign w:val="top"/>
          </w:tcPr>
          <w:p w14:paraId="276D178A">
            <w:pPr>
              <w:rPr>
                <w:rFonts w:ascii="Arial"/>
                <w:sz w:val="21"/>
              </w:rPr>
            </w:pPr>
          </w:p>
        </w:tc>
      </w:tr>
      <w:tr w14:paraId="08973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91" w:type="dxa"/>
            <w:vAlign w:val="top"/>
          </w:tcPr>
          <w:p w14:paraId="5A81850E">
            <w:pPr>
              <w:pStyle w:val="23"/>
              <w:spacing w:before="117" w:line="221" w:lineRule="auto"/>
              <w:ind w:left="582"/>
              <w:rPr>
                <w:sz w:val="21"/>
                <w:szCs w:val="21"/>
              </w:rPr>
            </w:pPr>
            <w:r>
              <w:rPr>
                <w:spacing w:val="-2"/>
                <w:sz w:val="21"/>
                <w:szCs w:val="21"/>
              </w:rPr>
              <w:t>房屋结构</w:t>
            </w:r>
          </w:p>
        </w:tc>
        <w:tc>
          <w:tcPr>
            <w:tcW w:w="3629" w:type="dxa"/>
            <w:vAlign w:val="top"/>
          </w:tcPr>
          <w:p w14:paraId="2C7F137A">
            <w:pPr>
              <w:rPr>
                <w:rFonts w:ascii="Arial"/>
                <w:sz w:val="21"/>
              </w:rPr>
            </w:pPr>
          </w:p>
        </w:tc>
        <w:tc>
          <w:tcPr>
            <w:tcW w:w="1504" w:type="dxa"/>
            <w:vAlign w:val="top"/>
          </w:tcPr>
          <w:p w14:paraId="6A0DA7D2">
            <w:pPr>
              <w:pStyle w:val="23"/>
              <w:spacing w:before="117" w:line="221" w:lineRule="auto"/>
              <w:ind w:left="340"/>
              <w:rPr>
                <w:sz w:val="21"/>
                <w:szCs w:val="21"/>
              </w:rPr>
            </w:pPr>
            <w:r>
              <w:rPr>
                <w:spacing w:val="-2"/>
                <w:sz w:val="21"/>
                <w:szCs w:val="21"/>
              </w:rPr>
              <w:t>建筑面积</w:t>
            </w:r>
          </w:p>
        </w:tc>
        <w:tc>
          <w:tcPr>
            <w:tcW w:w="2210" w:type="dxa"/>
            <w:vAlign w:val="top"/>
          </w:tcPr>
          <w:p w14:paraId="7FE82611">
            <w:pPr>
              <w:rPr>
                <w:rFonts w:ascii="Arial"/>
                <w:sz w:val="21"/>
              </w:rPr>
            </w:pPr>
          </w:p>
        </w:tc>
      </w:tr>
      <w:tr w14:paraId="7F6EB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91" w:type="dxa"/>
            <w:vAlign w:val="top"/>
          </w:tcPr>
          <w:p w14:paraId="525BFD50">
            <w:pPr>
              <w:pStyle w:val="23"/>
              <w:spacing w:before="117" w:line="221" w:lineRule="auto"/>
              <w:ind w:left="584"/>
              <w:rPr>
                <w:sz w:val="21"/>
                <w:szCs w:val="21"/>
              </w:rPr>
            </w:pPr>
            <w:r>
              <w:rPr>
                <w:spacing w:val="-2"/>
                <w:sz w:val="21"/>
                <w:szCs w:val="21"/>
              </w:rPr>
              <w:t>药物名称</w:t>
            </w:r>
          </w:p>
        </w:tc>
        <w:tc>
          <w:tcPr>
            <w:tcW w:w="3629" w:type="dxa"/>
            <w:vAlign w:val="top"/>
          </w:tcPr>
          <w:p w14:paraId="09BBA7D7">
            <w:pPr>
              <w:rPr>
                <w:rFonts w:ascii="Arial"/>
                <w:sz w:val="21"/>
              </w:rPr>
            </w:pPr>
          </w:p>
        </w:tc>
        <w:tc>
          <w:tcPr>
            <w:tcW w:w="1504" w:type="dxa"/>
            <w:vAlign w:val="top"/>
          </w:tcPr>
          <w:p w14:paraId="08F0DD5F">
            <w:pPr>
              <w:pStyle w:val="23"/>
              <w:spacing w:before="117" w:line="221" w:lineRule="auto"/>
              <w:ind w:left="444"/>
              <w:rPr>
                <w:sz w:val="21"/>
                <w:szCs w:val="21"/>
              </w:rPr>
            </w:pPr>
            <w:r>
              <w:rPr>
                <w:spacing w:val="-2"/>
                <w:sz w:val="21"/>
                <w:szCs w:val="21"/>
              </w:rPr>
              <w:t>用药量</w:t>
            </w:r>
          </w:p>
        </w:tc>
        <w:tc>
          <w:tcPr>
            <w:tcW w:w="2210" w:type="dxa"/>
            <w:vAlign w:val="top"/>
          </w:tcPr>
          <w:p w14:paraId="70521272">
            <w:pPr>
              <w:rPr>
                <w:rFonts w:ascii="Arial"/>
                <w:sz w:val="21"/>
              </w:rPr>
            </w:pPr>
          </w:p>
        </w:tc>
      </w:tr>
      <w:tr w14:paraId="4CF7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91" w:type="dxa"/>
            <w:vAlign w:val="top"/>
          </w:tcPr>
          <w:p w14:paraId="3D530AA3">
            <w:pPr>
              <w:pStyle w:val="23"/>
              <w:spacing w:before="118" w:line="221" w:lineRule="auto"/>
              <w:ind w:left="371"/>
              <w:rPr>
                <w:sz w:val="21"/>
                <w:szCs w:val="21"/>
              </w:rPr>
            </w:pPr>
            <w:r>
              <w:rPr>
                <w:spacing w:val="-1"/>
                <w:sz w:val="21"/>
                <w:szCs w:val="21"/>
              </w:rPr>
              <w:t>监测装置名称</w:t>
            </w:r>
          </w:p>
        </w:tc>
        <w:tc>
          <w:tcPr>
            <w:tcW w:w="3629" w:type="dxa"/>
            <w:vAlign w:val="top"/>
          </w:tcPr>
          <w:p w14:paraId="76A8B1BC">
            <w:pPr>
              <w:rPr>
                <w:rFonts w:ascii="Arial"/>
                <w:sz w:val="21"/>
              </w:rPr>
            </w:pPr>
          </w:p>
        </w:tc>
        <w:tc>
          <w:tcPr>
            <w:tcW w:w="1504" w:type="dxa"/>
            <w:vAlign w:val="top"/>
          </w:tcPr>
          <w:p w14:paraId="309C8F4B">
            <w:pPr>
              <w:pStyle w:val="23"/>
              <w:spacing w:before="117" w:line="221" w:lineRule="auto"/>
              <w:ind w:left="337"/>
              <w:rPr>
                <w:sz w:val="21"/>
                <w:szCs w:val="21"/>
              </w:rPr>
            </w:pPr>
            <w:r>
              <w:rPr>
                <w:spacing w:val="-2"/>
                <w:sz w:val="21"/>
                <w:szCs w:val="21"/>
              </w:rPr>
              <w:t>装置数量</w:t>
            </w:r>
          </w:p>
        </w:tc>
        <w:tc>
          <w:tcPr>
            <w:tcW w:w="2210" w:type="dxa"/>
            <w:vAlign w:val="top"/>
          </w:tcPr>
          <w:p w14:paraId="4B86DE82">
            <w:pPr>
              <w:rPr>
                <w:rFonts w:ascii="Arial"/>
                <w:sz w:val="21"/>
              </w:rPr>
            </w:pPr>
          </w:p>
        </w:tc>
      </w:tr>
      <w:tr w14:paraId="782E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91" w:type="dxa"/>
            <w:vAlign w:val="top"/>
          </w:tcPr>
          <w:p w14:paraId="76723888">
            <w:pPr>
              <w:pStyle w:val="23"/>
              <w:spacing w:before="122" w:line="221" w:lineRule="auto"/>
              <w:ind w:left="265"/>
              <w:rPr>
                <w:sz w:val="21"/>
                <w:szCs w:val="21"/>
              </w:rPr>
            </w:pPr>
            <w:r>
              <w:rPr>
                <w:spacing w:val="-1"/>
                <w:sz w:val="21"/>
                <w:szCs w:val="21"/>
              </w:rPr>
              <w:t>其他药物及设备</w:t>
            </w:r>
          </w:p>
        </w:tc>
        <w:tc>
          <w:tcPr>
            <w:tcW w:w="7343" w:type="dxa"/>
            <w:gridSpan w:val="3"/>
            <w:vAlign w:val="top"/>
          </w:tcPr>
          <w:p w14:paraId="06A68C98">
            <w:pPr>
              <w:rPr>
                <w:rFonts w:ascii="Arial"/>
                <w:sz w:val="21"/>
              </w:rPr>
            </w:pPr>
          </w:p>
        </w:tc>
      </w:tr>
      <w:tr w14:paraId="752A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9334" w:type="dxa"/>
            <w:gridSpan w:val="4"/>
            <w:vAlign w:val="top"/>
          </w:tcPr>
          <w:p w14:paraId="26CBFD07">
            <w:pPr>
              <w:pStyle w:val="23"/>
              <w:spacing w:before="31" w:line="221" w:lineRule="auto"/>
              <w:ind w:left="115"/>
              <w:rPr>
                <w:sz w:val="21"/>
                <w:szCs w:val="21"/>
              </w:rPr>
            </w:pPr>
            <w:r>
              <w:rPr>
                <w:spacing w:val="-6"/>
                <w:sz w:val="21"/>
                <w:szCs w:val="21"/>
              </w:rPr>
              <w:t>施工方案：</w:t>
            </w:r>
          </w:p>
          <w:p w14:paraId="4CD19094">
            <w:pPr>
              <w:spacing w:line="247" w:lineRule="auto"/>
              <w:rPr>
                <w:rFonts w:ascii="Arial"/>
                <w:sz w:val="21"/>
              </w:rPr>
            </w:pPr>
          </w:p>
          <w:p w14:paraId="163EEB2C">
            <w:pPr>
              <w:spacing w:line="248" w:lineRule="auto"/>
              <w:rPr>
                <w:rFonts w:ascii="Arial"/>
                <w:sz w:val="21"/>
              </w:rPr>
            </w:pPr>
          </w:p>
          <w:p w14:paraId="6C88656F">
            <w:pPr>
              <w:spacing w:line="248" w:lineRule="auto"/>
              <w:rPr>
                <w:rFonts w:ascii="Arial"/>
                <w:sz w:val="21"/>
              </w:rPr>
            </w:pPr>
          </w:p>
          <w:p w14:paraId="78260D80">
            <w:pPr>
              <w:spacing w:line="248" w:lineRule="auto"/>
              <w:rPr>
                <w:rFonts w:ascii="Arial"/>
                <w:sz w:val="21"/>
              </w:rPr>
            </w:pPr>
          </w:p>
          <w:p w14:paraId="2B8B9185">
            <w:pPr>
              <w:spacing w:line="248" w:lineRule="auto"/>
              <w:rPr>
                <w:rFonts w:ascii="Arial"/>
                <w:sz w:val="21"/>
              </w:rPr>
            </w:pPr>
          </w:p>
          <w:p w14:paraId="057C1AA2">
            <w:pPr>
              <w:spacing w:line="248" w:lineRule="auto"/>
              <w:rPr>
                <w:rFonts w:ascii="Arial"/>
                <w:sz w:val="21"/>
              </w:rPr>
            </w:pPr>
          </w:p>
          <w:p w14:paraId="629A7B53">
            <w:pPr>
              <w:spacing w:line="248" w:lineRule="auto"/>
              <w:rPr>
                <w:rFonts w:ascii="Arial"/>
                <w:sz w:val="21"/>
              </w:rPr>
            </w:pPr>
          </w:p>
          <w:p w14:paraId="0F2B3AAC">
            <w:pPr>
              <w:spacing w:line="248" w:lineRule="auto"/>
              <w:rPr>
                <w:rFonts w:ascii="Arial"/>
                <w:sz w:val="21"/>
              </w:rPr>
            </w:pPr>
          </w:p>
          <w:p w14:paraId="5E921537">
            <w:pPr>
              <w:pStyle w:val="23"/>
              <w:spacing w:before="68" w:line="221" w:lineRule="auto"/>
              <w:jc w:val="right"/>
              <w:rPr>
                <w:sz w:val="21"/>
                <w:szCs w:val="21"/>
              </w:rPr>
            </w:pPr>
            <w:r>
              <w:rPr>
                <w:spacing w:val="-2"/>
                <w:sz w:val="21"/>
                <w:szCs w:val="21"/>
              </w:rPr>
              <w:t>编制人：</w:t>
            </w:r>
          </w:p>
          <w:p w14:paraId="3E3FBEFE">
            <w:pPr>
              <w:pStyle w:val="23"/>
              <w:spacing w:before="300" w:line="205" w:lineRule="auto"/>
              <w:jc w:val="right"/>
              <w:rPr>
                <w:sz w:val="21"/>
                <w:szCs w:val="21"/>
              </w:rPr>
            </w:pPr>
            <w:r>
              <w:rPr>
                <w:spacing w:val="-7"/>
                <w:sz w:val="21"/>
                <w:szCs w:val="21"/>
              </w:rPr>
              <w:t>年</w:t>
            </w:r>
            <w:r>
              <w:rPr>
                <w:spacing w:val="2"/>
                <w:sz w:val="21"/>
                <w:szCs w:val="21"/>
              </w:rPr>
              <w:t xml:space="preserve">      </w:t>
            </w:r>
            <w:r>
              <w:rPr>
                <w:spacing w:val="-7"/>
                <w:sz w:val="21"/>
                <w:szCs w:val="21"/>
              </w:rPr>
              <w:t>月</w:t>
            </w:r>
            <w:r>
              <w:rPr>
                <w:spacing w:val="7"/>
                <w:sz w:val="21"/>
                <w:szCs w:val="21"/>
              </w:rPr>
              <w:t xml:space="preserve">      </w:t>
            </w:r>
            <w:r>
              <w:rPr>
                <w:spacing w:val="-7"/>
                <w:sz w:val="21"/>
                <w:szCs w:val="21"/>
              </w:rPr>
              <w:t>日</w:t>
            </w:r>
          </w:p>
        </w:tc>
      </w:tr>
      <w:tr w14:paraId="01EE3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trPr>
        <w:tc>
          <w:tcPr>
            <w:tcW w:w="1991" w:type="dxa"/>
            <w:vAlign w:val="top"/>
          </w:tcPr>
          <w:p w14:paraId="762F01EC">
            <w:pPr>
              <w:spacing w:line="258" w:lineRule="auto"/>
              <w:rPr>
                <w:rFonts w:ascii="Arial"/>
                <w:sz w:val="21"/>
              </w:rPr>
            </w:pPr>
          </w:p>
          <w:p w14:paraId="15E44F74">
            <w:pPr>
              <w:spacing w:line="259" w:lineRule="auto"/>
              <w:rPr>
                <w:rFonts w:ascii="Arial"/>
                <w:sz w:val="21"/>
              </w:rPr>
            </w:pPr>
          </w:p>
          <w:p w14:paraId="0B70656F">
            <w:pPr>
              <w:spacing w:line="259" w:lineRule="auto"/>
              <w:rPr>
                <w:rFonts w:ascii="Arial"/>
                <w:sz w:val="21"/>
              </w:rPr>
            </w:pPr>
          </w:p>
          <w:p w14:paraId="1ABD2A20">
            <w:pPr>
              <w:spacing w:line="259" w:lineRule="auto"/>
              <w:rPr>
                <w:rFonts w:ascii="Arial"/>
                <w:sz w:val="21"/>
              </w:rPr>
            </w:pPr>
          </w:p>
          <w:p w14:paraId="160613F3">
            <w:pPr>
              <w:pStyle w:val="23"/>
              <w:spacing w:before="68" w:line="221" w:lineRule="auto"/>
              <w:ind w:left="592"/>
              <w:rPr>
                <w:sz w:val="21"/>
                <w:szCs w:val="21"/>
              </w:rPr>
            </w:pPr>
            <w:r>
              <w:rPr>
                <w:spacing w:val="-4"/>
                <w:sz w:val="21"/>
                <w:szCs w:val="21"/>
              </w:rPr>
              <w:t>审核意见</w:t>
            </w:r>
          </w:p>
        </w:tc>
        <w:tc>
          <w:tcPr>
            <w:tcW w:w="7343" w:type="dxa"/>
            <w:gridSpan w:val="3"/>
            <w:vAlign w:val="top"/>
          </w:tcPr>
          <w:p w14:paraId="48777EBA">
            <w:pPr>
              <w:spacing w:line="261" w:lineRule="auto"/>
              <w:rPr>
                <w:rFonts w:ascii="Arial"/>
                <w:sz w:val="21"/>
              </w:rPr>
            </w:pPr>
          </w:p>
          <w:p w14:paraId="3DC9F31D">
            <w:pPr>
              <w:spacing w:line="261" w:lineRule="auto"/>
              <w:rPr>
                <w:rFonts w:ascii="Arial"/>
                <w:sz w:val="21"/>
              </w:rPr>
            </w:pPr>
          </w:p>
          <w:p w14:paraId="6D7E0A94">
            <w:pPr>
              <w:spacing w:line="261" w:lineRule="auto"/>
              <w:rPr>
                <w:rFonts w:ascii="Arial"/>
                <w:sz w:val="21"/>
              </w:rPr>
            </w:pPr>
          </w:p>
          <w:p w14:paraId="306E3686">
            <w:pPr>
              <w:spacing w:line="262" w:lineRule="auto"/>
              <w:rPr>
                <w:rFonts w:ascii="Arial"/>
                <w:sz w:val="21"/>
              </w:rPr>
            </w:pPr>
          </w:p>
          <w:p w14:paraId="776C16F7">
            <w:pPr>
              <w:spacing w:line="262" w:lineRule="auto"/>
              <w:rPr>
                <w:rFonts w:ascii="Arial"/>
                <w:sz w:val="21"/>
              </w:rPr>
            </w:pPr>
          </w:p>
          <w:p w14:paraId="4CB1866D">
            <w:pPr>
              <w:pStyle w:val="23"/>
              <w:spacing w:before="69" w:line="221" w:lineRule="auto"/>
              <w:jc w:val="right"/>
              <w:rPr>
                <w:sz w:val="21"/>
                <w:szCs w:val="21"/>
              </w:rPr>
            </w:pPr>
            <w:r>
              <w:rPr>
                <w:spacing w:val="-4"/>
                <w:sz w:val="21"/>
                <w:szCs w:val="21"/>
              </w:rPr>
              <w:t>审核人：</w:t>
            </w:r>
          </w:p>
          <w:p w14:paraId="3C9ED9A0">
            <w:pPr>
              <w:pStyle w:val="23"/>
              <w:spacing w:before="302" w:line="221" w:lineRule="auto"/>
              <w:jc w:val="right"/>
              <w:rPr>
                <w:sz w:val="21"/>
                <w:szCs w:val="21"/>
              </w:rPr>
            </w:pPr>
            <w:r>
              <w:rPr>
                <w:spacing w:val="-7"/>
                <w:sz w:val="21"/>
                <w:szCs w:val="21"/>
              </w:rPr>
              <w:t>年</w:t>
            </w:r>
            <w:r>
              <w:rPr>
                <w:spacing w:val="2"/>
                <w:sz w:val="21"/>
                <w:szCs w:val="21"/>
              </w:rPr>
              <w:t xml:space="preserve">      </w:t>
            </w:r>
            <w:r>
              <w:rPr>
                <w:spacing w:val="-7"/>
                <w:sz w:val="21"/>
                <w:szCs w:val="21"/>
              </w:rPr>
              <w:t>月</w:t>
            </w:r>
            <w:r>
              <w:rPr>
                <w:spacing w:val="7"/>
                <w:sz w:val="21"/>
                <w:szCs w:val="21"/>
              </w:rPr>
              <w:t xml:space="preserve">      </w:t>
            </w:r>
            <w:r>
              <w:rPr>
                <w:spacing w:val="-7"/>
                <w:sz w:val="21"/>
                <w:szCs w:val="21"/>
              </w:rPr>
              <w:t>日</w:t>
            </w:r>
          </w:p>
        </w:tc>
      </w:tr>
      <w:tr w14:paraId="39C8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trPr>
        <w:tc>
          <w:tcPr>
            <w:tcW w:w="1991" w:type="dxa"/>
            <w:vAlign w:val="top"/>
          </w:tcPr>
          <w:p w14:paraId="0589FC68">
            <w:pPr>
              <w:spacing w:line="278" w:lineRule="auto"/>
              <w:rPr>
                <w:rFonts w:ascii="Arial"/>
                <w:sz w:val="21"/>
              </w:rPr>
            </w:pPr>
          </w:p>
          <w:p w14:paraId="69CFEA17">
            <w:pPr>
              <w:spacing w:line="279" w:lineRule="auto"/>
              <w:rPr>
                <w:rFonts w:ascii="Arial"/>
                <w:sz w:val="21"/>
              </w:rPr>
            </w:pPr>
          </w:p>
          <w:p w14:paraId="5337C475">
            <w:pPr>
              <w:pStyle w:val="23"/>
              <w:spacing w:before="69" w:line="221" w:lineRule="auto"/>
              <w:ind w:left="581"/>
              <w:rPr>
                <w:sz w:val="21"/>
                <w:szCs w:val="21"/>
              </w:rPr>
            </w:pPr>
            <w:r>
              <w:rPr>
                <w:spacing w:val="-2"/>
                <w:sz w:val="21"/>
                <w:szCs w:val="21"/>
              </w:rPr>
              <w:t>变更情况</w:t>
            </w:r>
          </w:p>
        </w:tc>
        <w:tc>
          <w:tcPr>
            <w:tcW w:w="7343" w:type="dxa"/>
            <w:gridSpan w:val="3"/>
            <w:vAlign w:val="top"/>
          </w:tcPr>
          <w:p w14:paraId="0B8C8AA0">
            <w:pPr>
              <w:rPr>
                <w:rFonts w:ascii="Arial"/>
                <w:sz w:val="21"/>
              </w:rPr>
            </w:pPr>
          </w:p>
        </w:tc>
      </w:tr>
      <w:tr w14:paraId="4A306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91" w:type="dxa"/>
            <w:vAlign w:val="top"/>
          </w:tcPr>
          <w:p w14:paraId="1D953F15">
            <w:pPr>
              <w:pStyle w:val="23"/>
              <w:spacing w:before="181" w:line="222" w:lineRule="auto"/>
              <w:ind w:left="792"/>
              <w:rPr>
                <w:sz w:val="21"/>
                <w:szCs w:val="21"/>
              </w:rPr>
            </w:pPr>
            <w:r>
              <w:rPr>
                <w:spacing w:val="-3"/>
                <w:sz w:val="21"/>
                <w:szCs w:val="21"/>
              </w:rPr>
              <w:t>备注</w:t>
            </w:r>
          </w:p>
        </w:tc>
        <w:tc>
          <w:tcPr>
            <w:tcW w:w="7343" w:type="dxa"/>
            <w:gridSpan w:val="3"/>
            <w:vAlign w:val="top"/>
          </w:tcPr>
          <w:p w14:paraId="0C660620">
            <w:pPr>
              <w:rPr>
                <w:rFonts w:ascii="Arial"/>
                <w:sz w:val="21"/>
              </w:rPr>
            </w:pPr>
          </w:p>
        </w:tc>
      </w:tr>
    </w:tbl>
    <w:p w14:paraId="798349AF">
      <w:pPr>
        <w:pStyle w:val="11"/>
        <w:ind w:left="0" w:leftChars="0" w:firstLine="0" w:firstLineChars="0"/>
        <w:rPr>
          <w:rFonts w:hint="default" w:ascii="宋体" w:hAnsi="宋体" w:eastAsia="宋体" w:cs="宋体"/>
          <w:color w:val="auto"/>
          <w:spacing w:val="0"/>
          <w:sz w:val="21"/>
          <w:szCs w:val="21"/>
          <w:lang w:val="en-US" w:eastAsia="zh-CN"/>
        </w:rPr>
        <w:sectPr>
          <w:pgSz w:w="11906" w:h="16838"/>
          <w:pgMar w:top="1304" w:right="1304" w:bottom="1304" w:left="1304" w:header="851" w:footer="992" w:gutter="0"/>
          <w:pgNumType w:fmt="decimal"/>
          <w:cols w:space="425" w:num="1"/>
          <w:docGrid w:type="lines" w:linePitch="312" w:charSpace="0"/>
        </w:sectPr>
      </w:pPr>
    </w:p>
    <w:p w14:paraId="73EDD386">
      <w:pPr>
        <w:spacing w:before="117" w:line="220" w:lineRule="auto"/>
        <w:jc w:val="center"/>
        <w:rPr>
          <w:rFonts w:ascii="黑体" w:hAnsi="黑体" w:eastAsia="黑体" w:cs="黑体"/>
          <w:spacing w:val="-5"/>
          <w:sz w:val="36"/>
          <w:szCs w:val="36"/>
        </w:rPr>
      </w:pPr>
      <w:r>
        <w:rPr>
          <w:rFonts w:ascii="黑体" w:hAnsi="黑体" w:eastAsia="黑体" w:cs="黑体"/>
          <w:spacing w:val="-5"/>
          <w:sz w:val="36"/>
          <w:szCs w:val="36"/>
        </w:rPr>
        <w:t>表 4 白蚁灭治工程施工记录表</w:t>
      </w:r>
    </w:p>
    <w:p w14:paraId="12EFC6E4">
      <w:pPr>
        <w:spacing w:before="265" w:line="212" w:lineRule="auto"/>
        <w:ind w:left="120"/>
        <w:rPr>
          <w:rFonts w:hint="eastAsia" w:ascii="宋体" w:hAnsi="宋体" w:eastAsia="宋体" w:cs="宋体"/>
          <w:sz w:val="24"/>
          <w:szCs w:val="24"/>
        </w:rPr>
      </w:pPr>
      <w:r>
        <w:rPr>
          <w:rFonts w:hint="eastAsia" w:ascii="宋体" w:hAnsi="宋体" w:eastAsia="宋体" w:cs="宋体"/>
          <w:spacing w:val="-7"/>
          <w:sz w:val="24"/>
          <w:szCs w:val="24"/>
        </w:rPr>
        <w:t>施工日期：   年</w:t>
      </w:r>
      <w:r>
        <w:rPr>
          <w:rFonts w:hint="eastAsia" w:ascii="宋体" w:hAnsi="宋体" w:eastAsia="宋体" w:cs="宋体"/>
          <w:spacing w:val="5"/>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日</w:t>
      </w:r>
      <w:r>
        <w:rPr>
          <w:rFonts w:hint="eastAsia" w:ascii="宋体" w:hAnsi="宋体" w:eastAsia="宋体" w:cs="宋体"/>
          <w:sz w:val="24"/>
          <w:szCs w:val="24"/>
        </w:rPr>
        <w:t xml:space="preserve">                              </w:t>
      </w:r>
      <w:r>
        <w:rPr>
          <w:rFonts w:hint="eastAsia" w:ascii="宋体" w:hAnsi="宋体" w:eastAsia="宋体" w:cs="宋体"/>
          <w:spacing w:val="-7"/>
          <w:sz w:val="24"/>
          <w:szCs w:val="24"/>
        </w:rPr>
        <w:t>登记编号：</w:t>
      </w:r>
    </w:p>
    <w:tbl>
      <w:tblPr>
        <w:tblStyle w:val="22"/>
        <w:tblW w:w="9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2"/>
        <w:gridCol w:w="4112"/>
        <w:gridCol w:w="1430"/>
        <w:gridCol w:w="2379"/>
      </w:tblGrid>
      <w:tr w14:paraId="30C97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02" w:type="dxa"/>
            <w:vAlign w:val="top"/>
          </w:tcPr>
          <w:p w14:paraId="24AF8B92">
            <w:pPr>
              <w:pStyle w:val="23"/>
              <w:spacing w:before="105" w:line="220" w:lineRule="auto"/>
              <w:ind w:left="331"/>
              <w:rPr>
                <w:rFonts w:hint="eastAsia" w:ascii="宋体" w:hAnsi="宋体" w:eastAsia="宋体" w:cs="宋体"/>
                <w:sz w:val="24"/>
                <w:szCs w:val="24"/>
              </w:rPr>
            </w:pPr>
            <w:r>
              <w:rPr>
                <w:rFonts w:hint="eastAsia" w:ascii="宋体" w:hAnsi="宋体" w:eastAsia="宋体" w:cs="宋体"/>
                <w:spacing w:val="-3"/>
                <w:sz w:val="24"/>
                <w:szCs w:val="24"/>
              </w:rPr>
              <w:t>工程名称</w:t>
            </w:r>
          </w:p>
        </w:tc>
        <w:tc>
          <w:tcPr>
            <w:tcW w:w="7921" w:type="dxa"/>
            <w:gridSpan w:val="3"/>
            <w:vAlign w:val="top"/>
          </w:tcPr>
          <w:p w14:paraId="3064E0B9">
            <w:pPr>
              <w:rPr>
                <w:rFonts w:hint="eastAsia" w:ascii="宋体" w:hAnsi="宋体" w:eastAsia="宋体" w:cs="宋体"/>
                <w:sz w:val="24"/>
                <w:szCs w:val="24"/>
              </w:rPr>
            </w:pPr>
          </w:p>
        </w:tc>
      </w:tr>
      <w:tr w14:paraId="7DA0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02" w:type="dxa"/>
            <w:vAlign w:val="top"/>
          </w:tcPr>
          <w:p w14:paraId="7799D7AD">
            <w:pPr>
              <w:pStyle w:val="23"/>
              <w:spacing w:before="101" w:line="220" w:lineRule="auto"/>
              <w:ind w:left="331"/>
              <w:rPr>
                <w:rFonts w:hint="eastAsia" w:ascii="宋体" w:hAnsi="宋体" w:eastAsia="宋体" w:cs="宋体"/>
                <w:sz w:val="24"/>
                <w:szCs w:val="24"/>
              </w:rPr>
            </w:pPr>
            <w:r>
              <w:rPr>
                <w:rFonts w:hint="eastAsia" w:ascii="宋体" w:hAnsi="宋体" w:eastAsia="宋体" w:cs="宋体"/>
                <w:spacing w:val="-3"/>
                <w:sz w:val="24"/>
                <w:szCs w:val="24"/>
              </w:rPr>
              <w:t>工程地址</w:t>
            </w:r>
          </w:p>
        </w:tc>
        <w:tc>
          <w:tcPr>
            <w:tcW w:w="7921" w:type="dxa"/>
            <w:gridSpan w:val="3"/>
            <w:vAlign w:val="top"/>
          </w:tcPr>
          <w:p w14:paraId="448F1A6C">
            <w:pPr>
              <w:rPr>
                <w:rFonts w:hint="eastAsia" w:ascii="宋体" w:hAnsi="宋体" w:eastAsia="宋体" w:cs="宋体"/>
                <w:sz w:val="24"/>
                <w:szCs w:val="24"/>
              </w:rPr>
            </w:pPr>
          </w:p>
        </w:tc>
      </w:tr>
      <w:tr w14:paraId="6B9D2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02" w:type="dxa"/>
            <w:vAlign w:val="top"/>
          </w:tcPr>
          <w:p w14:paraId="5E68D63A">
            <w:pPr>
              <w:pStyle w:val="23"/>
              <w:spacing w:before="100" w:line="222" w:lineRule="auto"/>
              <w:ind w:left="207"/>
              <w:rPr>
                <w:rFonts w:hint="eastAsia" w:ascii="宋体" w:hAnsi="宋体" w:eastAsia="宋体" w:cs="宋体"/>
                <w:sz w:val="24"/>
                <w:szCs w:val="24"/>
              </w:rPr>
            </w:pPr>
            <w:r>
              <w:rPr>
                <w:rFonts w:hint="eastAsia" w:ascii="宋体" w:hAnsi="宋体" w:eastAsia="宋体" w:cs="宋体"/>
                <w:spacing w:val="-2"/>
                <w:sz w:val="24"/>
                <w:szCs w:val="24"/>
              </w:rPr>
              <w:t>施工联系人</w:t>
            </w:r>
          </w:p>
        </w:tc>
        <w:tc>
          <w:tcPr>
            <w:tcW w:w="4112" w:type="dxa"/>
            <w:vAlign w:val="top"/>
          </w:tcPr>
          <w:p w14:paraId="579A6CAB">
            <w:pPr>
              <w:rPr>
                <w:rFonts w:hint="eastAsia" w:ascii="宋体" w:hAnsi="宋体" w:eastAsia="宋体" w:cs="宋体"/>
                <w:sz w:val="24"/>
                <w:szCs w:val="24"/>
              </w:rPr>
            </w:pPr>
          </w:p>
        </w:tc>
        <w:tc>
          <w:tcPr>
            <w:tcW w:w="1430" w:type="dxa"/>
            <w:vAlign w:val="top"/>
          </w:tcPr>
          <w:p w14:paraId="36F006F8">
            <w:pPr>
              <w:pStyle w:val="23"/>
              <w:spacing w:before="100" w:line="222" w:lineRule="auto"/>
              <w:ind w:left="243"/>
              <w:rPr>
                <w:rFonts w:hint="eastAsia" w:ascii="宋体" w:hAnsi="宋体" w:eastAsia="宋体" w:cs="宋体"/>
                <w:sz w:val="24"/>
                <w:szCs w:val="24"/>
              </w:rPr>
            </w:pPr>
            <w:r>
              <w:rPr>
                <w:rFonts w:hint="eastAsia" w:ascii="宋体" w:hAnsi="宋体" w:eastAsia="宋体" w:cs="宋体"/>
                <w:spacing w:val="-2"/>
                <w:sz w:val="24"/>
                <w:szCs w:val="24"/>
              </w:rPr>
              <w:t>联系电话</w:t>
            </w:r>
          </w:p>
        </w:tc>
        <w:tc>
          <w:tcPr>
            <w:tcW w:w="2379" w:type="dxa"/>
            <w:vAlign w:val="top"/>
          </w:tcPr>
          <w:p w14:paraId="75508606">
            <w:pPr>
              <w:rPr>
                <w:rFonts w:hint="eastAsia" w:ascii="宋体" w:hAnsi="宋体" w:eastAsia="宋体" w:cs="宋体"/>
                <w:sz w:val="24"/>
                <w:szCs w:val="24"/>
              </w:rPr>
            </w:pPr>
          </w:p>
        </w:tc>
      </w:tr>
      <w:tr w14:paraId="41EAB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02" w:type="dxa"/>
            <w:vAlign w:val="top"/>
          </w:tcPr>
          <w:p w14:paraId="28CDBD5B">
            <w:pPr>
              <w:pStyle w:val="23"/>
              <w:spacing w:before="101" w:line="220" w:lineRule="auto"/>
              <w:ind w:left="209"/>
              <w:rPr>
                <w:rFonts w:hint="eastAsia" w:ascii="宋体" w:hAnsi="宋体" w:eastAsia="宋体" w:cs="宋体"/>
                <w:sz w:val="24"/>
                <w:szCs w:val="24"/>
              </w:rPr>
            </w:pPr>
            <w:r>
              <w:rPr>
                <w:rFonts w:hint="eastAsia" w:ascii="宋体" w:hAnsi="宋体" w:eastAsia="宋体" w:cs="宋体"/>
                <w:spacing w:val="-2"/>
                <w:sz w:val="24"/>
                <w:szCs w:val="24"/>
              </w:rPr>
              <w:t>房屋联系人</w:t>
            </w:r>
          </w:p>
        </w:tc>
        <w:tc>
          <w:tcPr>
            <w:tcW w:w="4112" w:type="dxa"/>
            <w:vAlign w:val="top"/>
          </w:tcPr>
          <w:p w14:paraId="2B953080">
            <w:pPr>
              <w:rPr>
                <w:rFonts w:hint="eastAsia" w:ascii="宋体" w:hAnsi="宋体" w:eastAsia="宋体" w:cs="宋体"/>
                <w:sz w:val="24"/>
                <w:szCs w:val="24"/>
              </w:rPr>
            </w:pPr>
          </w:p>
        </w:tc>
        <w:tc>
          <w:tcPr>
            <w:tcW w:w="1430" w:type="dxa"/>
            <w:vAlign w:val="top"/>
          </w:tcPr>
          <w:p w14:paraId="53DF0C7A">
            <w:pPr>
              <w:pStyle w:val="23"/>
              <w:spacing w:before="100" w:line="222" w:lineRule="auto"/>
              <w:ind w:left="243"/>
              <w:rPr>
                <w:rFonts w:hint="eastAsia" w:ascii="宋体" w:hAnsi="宋体" w:eastAsia="宋体" w:cs="宋体"/>
                <w:sz w:val="24"/>
                <w:szCs w:val="24"/>
              </w:rPr>
            </w:pPr>
            <w:r>
              <w:rPr>
                <w:rFonts w:hint="eastAsia" w:ascii="宋体" w:hAnsi="宋体" w:eastAsia="宋体" w:cs="宋体"/>
                <w:spacing w:val="-2"/>
                <w:sz w:val="24"/>
                <w:szCs w:val="24"/>
              </w:rPr>
              <w:t>联系电话</w:t>
            </w:r>
          </w:p>
        </w:tc>
        <w:tc>
          <w:tcPr>
            <w:tcW w:w="2379" w:type="dxa"/>
            <w:vAlign w:val="top"/>
          </w:tcPr>
          <w:p w14:paraId="3139E397">
            <w:pPr>
              <w:rPr>
                <w:rFonts w:hint="eastAsia" w:ascii="宋体" w:hAnsi="宋体" w:eastAsia="宋体" w:cs="宋体"/>
                <w:sz w:val="24"/>
                <w:szCs w:val="24"/>
              </w:rPr>
            </w:pPr>
          </w:p>
        </w:tc>
      </w:tr>
      <w:tr w14:paraId="302A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02" w:type="dxa"/>
            <w:vAlign w:val="top"/>
          </w:tcPr>
          <w:p w14:paraId="21BC5A8B">
            <w:pPr>
              <w:pStyle w:val="23"/>
              <w:spacing w:before="100" w:line="220" w:lineRule="auto"/>
              <w:ind w:left="329"/>
              <w:rPr>
                <w:rFonts w:hint="eastAsia" w:ascii="宋体" w:hAnsi="宋体" w:eastAsia="宋体" w:cs="宋体"/>
                <w:sz w:val="24"/>
                <w:szCs w:val="24"/>
              </w:rPr>
            </w:pPr>
            <w:r>
              <w:rPr>
                <w:rFonts w:hint="eastAsia" w:ascii="宋体" w:hAnsi="宋体" w:eastAsia="宋体" w:cs="宋体"/>
                <w:spacing w:val="-2"/>
                <w:sz w:val="24"/>
                <w:szCs w:val="24"/>
              </w:rPr>
              <w:t>房屋结构</w:t>
            </w:r>
          </w:p>
        </w:tc>
        <w:tc>
          <w:tcPr>
            <w:tcW w:w="4112" w:type="dxa"/>
            <w:vAlign w:val="top"/>
          </w:tcPr>
          <w:p w14:paraId="25CF2767">
            <w:pPr>
              <w:rPr>
                <w:rFonts w:hint="eastAsia" w:ascii="宋体" w:hAnsi="宋体" w:eastAsia="宋体" w:cs="宋体"/>
                <w:sz w:val="24"/>
                <w:szCs w:val="24"/>
              </w:rPr>
            </w:pPr>
          </w:p>
        </w:tc>
        <w:tc>
          <w:tcPr>
            <w:tcW w:w="1430" w:type="dxa"/>
            <w:vAlign w:val="center"/>
          </w:tcPr>
          <w:p w14:paraId="6B05E508">
            <w:pPr>
              <w:pStyle w:val="23"/>
              <w:spacing w:before="112" w:line="221" w:lineRule="auto"/>
              <w:jc w:val="center"/>
              <w:rPr>
                <w:rFonts w:hint="eastAsia" w:ascii="宋体" w:hAnsi="宋体" w:eastAsia="宋体" w:cs="宋体"/>
                <w:sz w:val="24"/>
                <w:szCs w:val="24"/>
              </w:rPr>
            </w:pPr>
            <w:r>
              <w:rPr>
                <w:rFonts w:hint="eastAsia" w:ascii="宋体" w:hAnsi="宋体" w:eastAsia="宋体" w:cs="宋体"/>
                <w:spacing w:val="-2"/>
                <w:sz w:val="24"/>
                <w:szCs w:val="24"/>
              </w:rPr>
              <w:t>建筑面积</w:t>
            </w:r>
          </w:p>
        </w:tc>
        <w:tc>
          <w:tcPr>
            <w:tcW w:w="2379" w:type="dxa"/>
            <w:vAlign w:val="top"/>
          </w:tcPr>
          <w:p w14:paraId="0679CEC9">
            <w:pPr>
              <w:rPr>
                <w:rFonts w:hint="eastAsia" w:ascii="宋体" w:hAnsi="宋体" w:eastAsia="宋体" w:cs="宋体"/>
                <w:sz w:val="24"/>
                <w:szCs w:val="24"/>
              </w:rPr>
            </w:pPr>
          </w:p>
        </w:tc>
      </w:tr>
      <w:tr w14:paraId="4A94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02" w:type="dxa"/>
            <w:vAlign w:val="top"/>
          </w:tcPr>
          <w:p w14:paraId="3BA6C586">
            <w:pPr>
              <w:pStyle w:val="23"/>
              <w:spacing w:before="101" w:line="220" w:lineRule="auto"/>
              <w:ind w:left="331"/>
              <w:rPr>
                <w:rFonts w:hint="eastAsia" w:ascii="宋体" w:hAnsi="宋体" w:eastAsia="宋体" w:cs="宋体"/>
                <w:sz w:val="24"/>
                <w:szCs w:val="24"/>
              </w:rPr>
            </w:pPr>
            <w:r>
              <w:rPr>
                <w:rFonts w:hint="eastAsia" w:ascii="宋体" w:hAnsi="宋体" w:eastAsia="宋体" w:cs="宋体"/>
                <w:spacing w:val="-3"/>
                <w:sz w:val="24"/>
                <w:szCs w:val="24"/>
              </w:rPr>
              <w:t>药物名称</w:t>
            </w:r>
          </w:p>
        </w:tc>
        <w:tc>
          <w:tcPr>
            <w:tcW w:w="4112" w:type="dxa"/>
            <w:vAlign w:val="top"/>
          </w:tcPr>
          <w:p w14:paraId="6DE9FBBC">
            <w:pPr>
              <w:rPr>
                <w:rFonts w:hint="eastAsia" w:ascii="宋体" w:hAnsi="宋体" w:eastAsia="宋体" w:cs="宋体"/>
                <w:sz w:val="24"/>
                <w:szCs w:val="24"/>
              </w:rPr>
            </w:pPr>
          </w:p>
        </w:tc>
        <w:tc>
          <w:tcPr>
            <w:tcW w:w="1430" w:type="dxa"/>
            <w:vAlign w:val="center"/>
          </w:tcPr>
          <w:p w14:paraId="33818895">
            <w:pPr>
              <w:pStyle w:val="23"/>
              <w:spacing w:before="110" w:line="221" w:lineRule="auto"/>
              <w:jc w:val="center"/>
              <w:rPr>
                <w:rFonts w:hint="eastAsia" w:ascii="宋体" w:hAnsi="宋体" w:eastAsia="宋体" w:cs="宋体"/>
                <w:sz w:val="24"/>
                <w:szCs w:val="24"/>
              </w:rPr>
            </w:pPr>
            <w:r>
              <w:rPr>
                <w:rFonts w:hint="eastAsia" w:ascii="宋体" w:hAnsi="宋体" w:eastAsia="宋体" w:cs="宋体"/>
                <w:spacing w:val="-2"/>
                <w:sz w:val="24"/>
                <w:szCs w:val="24"/>
              </w:rPr>
              <w:t>用药量</w:t>
            </w:r>
          </w:p>
        </w:tc>
        <w:tc>
          <w:tcPr>
            <w:tcW w:w="2379" w:type="dxa"/>
            <w:vAlign w:val="top"/>
          </w:tcPr>
          <w:p w14:paraId="1AD91FC2">
            <w:pPr>
              <w:rPr>
                <w:rFonts w:hint="eastAsia" w:ascii="宋体" w:hAnsi="宋体" w:eastAsia="宋体" w:cs="宋体"/>
                <w:sz w:val="24"/>
                <w:szCs w:val="24"/>
              </w:rPr>
            </w:pPr>
          </w:p>
        </w:tc>
      </w:tr>
      <w:tr w14:paraId="29AB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02" w:type="dxa"/>
            <w:vAlign w:val="top"/>
          </w:tcPr>
          <w:p w14:paraId="25C53F4B">
            <w:pPr>
              <w:pStyle w:val="23"/>
              <w:spacing w:before="35" w:line="224" w:lineRule="auto"/>
              <w:ind w:left="687" w:right="197" w:hanging="478"/>
              <w:rPr>
                <w:rFonts w:hint="eastAsia" w:ascii="宋体" w:hAnsi="宋体" w:eastAsia="宋体" w:cs="宋体"/>
                <w:sz w:val="24"/>
                <w:szCs w:val="24"/>
              </w:rPr>
            </w:pPr>
            <w:r>
              <w:rPr>
                <w:rFonts w:hint="eastAsia" w:ascii="宋体" w:hAnsi="宋体" w:eastAsia="宋体" w:cs="宋体"/>
                <w:spacing w:val="-3"/>
                <w:sz w:val="24"/>
                <w:szCs w:val="24"/>
              </w:rPr>
              <w:t>监测装置名</w:t>
            </w:r>
            <w:r>
              <w:rPr>
                <w:rFonts w:hint="eastAsia" w:ascii="宋体" w:hAnsi="宋体" w:eastAsia="宋体" w:cs="宋体"/>
                <w:sz w:val="24"/>
                <w:szCs w:val="24"/>
              </w:rPr>
              <w:t>称</w:t>
            </w:r>
          </w:p>
        </w:tc>
        <w:tc>
          <w:tcPr>
            <w:tcW w:w="4112" w:type="dxa"/>
            <w:vAlign w:val="top"/>
          </w:tcPr>
          <w:p w14:paraId="5C923E60">
            <w:pPr>
              <w:rPr>
                <w:rFonts w:hint="eastAsia" w:ascii="宋体" w:hAnsi="宋体" w:eastAsia="宋体" w:cs="宋体"/>
                <w:sz w:val="24"/>
                <w:szCs w:val="24"/>
              </w:rPr>
            </w:pPr>
          </w:p>
        </w:tc>
        <w:tc>
          <w:tcPr>
            <w:tcW w:w="1430" w:type="dxa"/>
            <w:vAlign w:val="center"/>
          </w:tcPr>
          <w:p w14:paraId="0A938253">
            <w:pPr>
              <w:pStyle w:val="23"/>
              <w:spacing w:before="203"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装置数量</w:t>
            </w:r>
          </w:p>
        </w:tc>
        <w:tc>
          <w:tcPr>
            <w:tcW w:w="2379" w:type="dxa"/>
            <w:vAlign w:val="top"/>
          </w:tcPr>
          <w:p w14:paraId="2EDCCB02">
            <w:pPr>
              <w:rPr>
                <w:rFonts w:hint="eastAsia" w:ascii="宋体" w:hAnsi="宋体" w:eastAsia="宋体" w:cs="宋体"/>
                <w:sz w:val="24"/>
                <w:szCs w:val="24"/>
              </w:rPr>
            </w:pPr>
          </w:p>
        </w:tc>
      </w:tr>
      <w:tr w14:paraId="3DB4E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02" w:type="dxa"/>
            <w:vAlign w:val="top"/>
          </w:tcPr>
          <w:p w14:paraId="0CD515DC">
            <w:pPr>
              <w:pStyle w:val="23"/>
              <w:spacing w:before="35" w:line="224" w:lineRule="auto"/>
              <w:ind w:left="571" w:right="197" w:hanging="362"/>
              <w:rPr>
                <w:rFonts w:hint="eastAsia" w:ascii="宋体" w:hAnsi="宋体" w:eastAsia="宋体" w:cs="宋体"/>
                <w:sz w:val="24"/>
                <w:szCs w:val="24"/>
              </w:rPr>
            </w:pPr>
            <w:r>
              <w:rPr>
                <w:rFonts w:hint="eastAsia" w:ascii="宋体" w:hAnsi="宋体" w:eastAsia="宋体" w:cs="宋体"/>
                <w:spacing w:val="-3"/>
                <w:sz w:val="24"/>
                <w:szCs w:val="24"/>
              </w:rPr>
              <w:t>其他药物及</w:t>
            </w:r>
            <w:r>
              <w:rPr>
                <w:rFonts w:hint="eastAsia" w:ascii="宋体" w:hAnsi="宋体" w:eastAsia="宋体" w:cs="宋体"/>
                <w:spacing w:val="-4"/>
                <w:sz w:val="24"/>
                <w:szCs w:val="24"/>
              </w:rPr>
              <w:t>设备</w:t>
            </w:r>
          </w:p>
        </w:tc>
        <w:tc>
          <w:tcPr>
            <w:tcW w:w="7921" w:type="dxa"/>
            <w:gridSpan w:val="3"/>
            <w:vAlign w:val="top"/>
          </w:tcPr>
          <w:p w14:paraId="7F017FF0">
            <w:pPr>
              <w:rPr>
                <w:rFonts w:hint="eastAsia" w:ascii="宋体" w:hAnsi="宋体" w:eastAsia="宋体" w:cs="宋体"/>
                <w:sz w:val="24"/>
                <w:szCs w:val="24"/>
              </w:rPr>
            </w:pPr>
          </w:p>
        </w:tc>
      </w:tr>
      <w:tr w14:paraId="743BF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0" w:hRule="atLeast"/>
        </w:trPr>
        <w:tc>
          <w:tcPr>
            <w:tcW w:w="9523" w:type="dxa"/>
            <w:gridSpan w:val="4"/>
            <w:vAlign w:val="top"/>
          </w:tcPr>
          <w:p w14:paraId="75C59EAE">
            <w:pPr>
              <w:pStyle w:val="23"/>
              <w:spacing w:before="36" w:line="219" w:lineRule="auto"/>
              <w:ind w:left="116"/>
              <w:rPr>
                <w:rFonts w:hint="eastAsia" w:ascii="宋体" w:hAnsi="宋体" w:eastAsia="宋体" w:cs="宋体"/>
                <w:sz w:val="24"/>
                <w:szCs w:val="24"/>
              </w:rPr>
            </w:pPr>
            <w:r>
              <w:rPr>
                <w:rFonts w:hint="eastAsia" w:ascii="宋体" w:hAnsi="宋体" w:eastAsia="宋体" w:cs="宋体"/>
                <w:spacing w:val="-1"/>
                <w:sz w:val="24"/>
                <w:szCs w:val="24"/>
              </w:rPr>
              <w:t>施工情况：（如安装地下型监测装置需标注布点</w:t>
            </w:r>
            <w:r>
              <w:rPr>
                <w:rFonts w:hint="eastAsia" w:ascii="宋体" w:hAnsi="宋体" w:eastAsia="宋体" w:cs="宋体"/>
                <w:spacing w:val="-2"/>
                <w:sz w:val="24"/>
                <w:szCs w:val="24"/>
              </w:rPr>
              <w:t>图）</w:t>
            </w:r>
          </w:p>
          <w:p w14:paraId="76BA2F2E">
            <w:pPr>
              <w:spacing w:line="257" w:lineRule="auto"/>
              <w:rPr>
                <w:rFonts w:hint="eastAsia" w:ascii="宋体" w:hAnsi="宋体" w:eastAsia="宋体" w:cs="宋体"/>
                <w:sz w:val="24"/>
                <w:szCs w:val="24"/>
              </w:rPr>
            </w:pPr>
          </w:p>
          <w:p w14:paraId="0625C86B">
            <w:pPr>
              <w:spacing w:line="257" w:lineRule="auto"/>
              <w:rPr>
                <w:rFonts w:hint="eastAsia" w:ascii="宋体" w:hAnsi="宋体" w:eastAsia="宋体" w:cs="宋体"/>
                <w:sz w:val="24"/>
                <w:szCs w:val="24"/>
              </w:rPr>
            </w:pPr>
          </w:p>
          <w:p w14:paraId="24345E2C">
            <w:pPr>
              <w:spacing w:line="257" w:lineRule="auto"/>
              <w:rPr>
                <w:rFonts w:hint="eastAsia" w:ascii="宋体" w:hAnsi="宋体" w:eastAsia="宋体" w:cs="宋体"/>
                <w:sz w:val="24"/>
                <w:szCs w:val="24"/>
              </w:rPr>
            </w:pPr>
          </w:p>
          <w:p w14:paraId="1AF26837">
            <w:pPr>
              <w:spacing w:line="257" w:lineRule="auto"/>
              <w:rPr>
                <w:rFonts w:hint="eastAsia" w:ascii="宋体" w:hAnsi="宋体" w:eastAsia="宋体" w:cs="宋体"/>
                <w:sz w:val="24"/>
                <w:szCs w:val="24"/>
              </w:rPr>
            </w:pPr>
          </w:p>
          <w:p w14:paraId="6ABDE9CD">
            <w:pPr>
              <w:spacing w:line="258" w:lineRule="auto"/>
              <w:rPr>
                <w:rFonts w:hint="eastAsia" w:ascii="宋体" w:hAnsi="宋体" w:eastAsia="宋体" w:cs="宋体"/>
                <w:sz w:val="24"/>
                <w:szCs w:val="24"/>
              </w:rPr>
            </w:pPr>
          </w:p>
          <w:p w14:paraId="4407FB8E">
            <w:pPr>
              <w:spacing w:line="258" w:lineRule="auto"/>
              <w:rPr>
                <w:rFonts w:hint="eastAsia" w:ascii="宋体" w:hAnsi="宋体" w:eastAsia="宋体" w:cs="宋体"/>
                <w:sz w:val="24"/>
                <w:szCs w:val="24"/>
              </w:rPr>
            </w:pPr>
          </w:p>
          <w:p w14:paraId="4E9B72F4">
            <w:pPr>
              <w:spacing w:line="258" w:lineRule="auto"/>
              <w:rPr>
                <w:rFonts w:hint="eastAsia" w:ascii="宋体" w:hAnsi="宋体" w:eastAsia="宋体" w:cs="宋体"/>
                <w:sz w:val="24"/>
                <w:szCs w:val="24"/>
              </w:rPr>
            </w:pPr>
          </w:p>
          <w:p w14:paraId="35540BD7">
            <w:pPr>
              <w:spacing w:line="258" w:lineRule="auto"/>
              <w:rPr>
                <w:rFonts w:hint="eastAsia" w:ascii="宋体" w:hAnsi="宋体" w:eastAsia="宋体" w:cs="宋体"/>
                <w:sz w:val="24"/>
                <w:szCs w:val="24"/>
              </w:rPr>
            </w:pPr>
          </w:p>
          <w:p w14:paraId="4A35207E">
            <w:pPr>
              <w:spacing w:line="258" w:lineRule="auto"/>
              <w:rPr>
                <w:rFonts w:hint="eastAsia" w:ascii="宋体" w:hAnsi="宋体" w:eastAsia="宋体" w:cs="宋体"/>
                <w:sz w:val="24"/>
                <w:szCs w:val="24"/>
              </w:rPr>
            </w:pPr>
          </w:p>
          <w:p w14:paraId="02B0D401">
            <w:pPr>
              <w:pStyle w:val="23"/>
              <w:spacing w:before="78" w:line="222" w:lineRule="auto"/>
              <w:jc w:val="right"/>
              <w:rPr>
                <w:rFonts w:hint="eastAsia" w:ascii="宋体" w:hAnsi="宋体" w:eastAsia="宋体" w:cs="宋体"/>
                <w:spacing w:val="-12"/>
                <w:sz w:val="24"/>
                <w:szCs w:val="24"/>
              </w:rPr>
            </w:pPr>
            <w:r>
              <w:rPr>
                <w:rFonts w:hint="eastAsia" w:ascii="宋体" w:hAnsi="宋体" w:eastAsia="宋体" w:cs="宋体"/>
                <w:spacing w:val="-12"/>
                <w:sz w:val="24"/>
                <w:szCs w:val="24"/>
              </w:rPr>
              <w:t>施工人：</w:t>
            </w:r>
          </w:p>
          <w:p w14:paraId="6B5E63EB">
            <w:pPr>
              <w:pStyle w:val="23"/>
              <w:spacing w:before="78" w:line="222" w:lineRule="auto"/>
              <w:jc w:val="right"/>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rPr>
              <w:t>日</w:t>
            </w:r>
          </w:p>
        </w:tc>
      </w:tr>
      <w:tr w14:paraId="0C904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1602" w:type="dxa"/>
            <w:vAlign w:val="top"/>
          </w:tcPr>
          <w:p w14:paraId="198DEAEB">
            <w:pPr>
              <w:spacing w:line="244" w:lineRule="auto"/>
              <w:rPr>
                <w:rFonts w:hint="eastAsia" w:ascii="宋体" w:hAnsi="宋体" w:eastAsia="宋体" w:cs="宋体"/>
                <w:sz w:val="24"/>
                <w:szCs w:val="24"/>
              </w:rPr>
            </w:pPr>
          </w:p>
          <w:p w14:paraId="58407752">
            <w:pPr>
              <w:spacing w:line="245" w:lineRule="auto"/>
              <w:rPr>
                <w:rFonts w:hint="eastAsia" w:ascii="宋体" w:hAnsi="宋体" w:eastAsia="宋体" w:cs="宋体"/>
                <w:sz w:val="24"/>
                <w:szCs w:val="24"/>
              </w:rPr>
            </w:pPr>
          </w:p>
          <w:p w14:paraId="709DD060">
            <w:pPr>
              <w:spacing w:line="245" w:lineRule="auto"/>
              <w:rPr>
                <w:rFonts w:hint="eastAsia" w:ascii="宋体" w:hAnsi="宋体" w:eastAsia="宋体" w:cs="宋体"/>
                <w:sz w:val="24"/>
                <w:szCs w:val="24"/>
              </w:rPr>
            </w:pPr>
          </w:p>
          <w:p w14:paraId="3A333F25">
            <w:pPr>
              <w:spacing w:line="245" w:lineRule="auto"/>
              <w:rPr>
                <w:rFonts w:hint="eastAsia" w:ascii="宋体" w:hAnsi="宋体" w:eastAsia="宋体" w:cs="宋体"/>
                <w:sz w:val="24"/>
                <w:szCs w:val="24"/>
              </w:rPr>
            </w:pPr>
          </w:p>
          <w:p w14:paraId="39E3015D">
            <w:pPr>
              <w:pStyle w:val="23"/>
              <w:spacing w:before="78" w:line="242" w:lineRule="auto"/>
              <w:ind w:left="209" w:right="137" w:hanging="62"/>
              <w:rPr>
                <w:rFonts w:hint="eastAsia" w:ascii="宋体" w:hAnsi="宋体" w:eastAsia="宋体" w:cs="宋体"/>
                <w:sz w:val="24"/>
                <w:szCs w:val="24"/>
              </w:rPr>
            </w:pPr>
            <w:r>
              <w:rPr>
                <w:rFonts w:hint="eastAsia" w:ascii="宋体" w:hAnsi="宋体" w:eastAsia="宋体" w:cs="宋体"/>
                <w:spacing w:val="-2"/>
                <w:sz w:val="24"/>
                <w:szCs w:val="24"/>
              </w:rPr>
              <w:t>委托单位/个人代表意见</w:t>
            </w:r>
          </w:p>
        </w:tc>
        <w:tc>
          <w:tcPr>
            <w:tcW w:w="7921" w:type="dxa"/>
            <w:gridSpan w:val="3"/>
            <w:vAlign w:val="top"/>
          </w:tcPr>
          <w:p w14:paraId="5B2BF913">
            <w:pPr>
              <w:spacing w:line="246" w:lineRule="auto"/>
              <w:rPr>
                <w:rFonts w:hint="eastAsia" w:ascii="宋体" w:hAnsi="宋体" w:eastAsia="宋体" w:cs="宋体"/>
                <w:sz w:val="24"/>
                <w:szCs w:val="24"/>
              </w:rPr>
            </w:pPr>
          </w:p>
          <w:p w14:paraId="3F36DAB1">
            <w:pPr>
              <w:spacing w:line="246" w:lineRule="auto"/>
              <w:rPr>
                <w:rFonts w:hint="eastAsia" w:ascii="宋体" w:hAnsi="宋体" w:eastAsia="宋体" w:cs="宋体"/>
                <w:sz w:val="24"/>
                <w:szCs w:val="24"/>
              </w:rPr>
            </w:pPr>
          </w:p>
          <w:p w14:paraId="531EA8EA">
            <w:pPr>
              <w:spacing w:line="246" w:lineRule="auto"/>
              <w:rPr>
                <w:rFonts w:hint="eastAsia" w:ascii="宋体" w:hAnsi="宋体" w:eastAsia="宋体" w:cs="宋体"/>
                <w:sz w:val="24"/>
                <w:szCs w:val="24"/>
              </w:rPr>
            </w:pPr>
          </w:p>
          <w:p w14:paraId="070FF986">
            <w:pPr>
              <w:spacing w:line="246" w:lineRule="auto"/>
              <w:rPr>
                <w:rFonts w:hint="eastAsia" w:ascii="宋体" w:hAnsi="宋体" w:eastAsia="宋体" w:cs="宋体"/>
                <w:sz w:val="24"/>
                <w:szCs w:val="24"/>
              </w:rPr>
            </w:pPr>
          </w:p>
          <w:p w14:paraId="6F86567C">
            <w:pPr>
              <w:spacing w:line="246" w:lineRule="auto"/>
              <w:rPr>
                <w:rFonts w:hint="eastAsia" w:ascii="宋体" w:hAnsi="宋体" w:eastAsia="宋体" w:cs="宋体"/>
                <w:sz w:val="24"/>
                <w:szCs w:val="24"/>
              </w:rPr>
            </w:pPr>
          </w:p>
          <w:p w14:paraId="4E9ADB65">
            <w:pPr>
              <w:spacing w:line="247" w:lineRule="auto"/>
              <w:rPr>
                <w:rFonts w:hint="eastAsia" w:ascii="宋体" w:hAnsi="宋体" w:eastAsia="宋体" w:cs="宋体"/>
                <w:sz w:val="24"/>
                <w:szCs w:val="24"/>
              </w:rPr>
            </w:pPr>
          </w:p>
          <w:p w14:paraId="57537E68">
            <w:pPr>
              <w:pStyle w:val="23"/>
              <w:spacing w:before="78" w:line="220" w:lineRule="auto"/>
              <w:jc w:val="right"/>
              <w:rPr>
                <w:rFonts w:hint="eastAsia" w:ascii="宋体" w:hAnsi="宋体" w:eastAsia="宋体" w:cs="宋体"/>
                <w:sz w:val="24"/>
                <w:szCs w:val="24"/>
              </w:rPr>
            </w:pPr>
            <w:r>
              <w:rPr>
                <w:rFonts w:hint="eastAsia" w:ascii="宋体" w:hAnsi="宋体" w:eastAsia="宋体" w:cs="宋体"/>
                <w:spacing w:val="-15"/>
                <w:sz w:val="24"/>
                <w:szCs w:val="24"/>
              </w:rPr>
              <w:t>签字：</w:t>
            </w:r>
          </w:p>
          <w:p w14:paraId="7BB9268A">
            <w:pPr>
              <w:pStyle w:val="23"/>
              <w:spacing w:before="304" w:line="205" w:lineRule="auto"/>
              <w:jc w:val="right"/>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rPr>
              <w:t>日</w:t>
            </w:r>
          </w:p>
        </w:tc>
      </w:tr>
      <w:tr w14:paraId="2DDDC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602" w:type="dxa"/>
            <w:vAlign w:val="top"/>
          </w:tcPr>
          <w:p w14:paraId="198CC531">
            <w:pPr>
              <w:pStyle w:val="23"/>
              <w:spacing w:before="280" w:line="221" w:lineRule="auto"/>
              <w:ind w:left="571"/>
              <w:rPr>
                <w:rFonts w:hint="eastAsia" w:ascii="宋体" w:hAnsi="宋体" w:eastAsia="宋体" w:cs="宋体"/>
                <w:sz w:val="24"/>
                <w:szCs w:val="24"/>
              </w:rPr>
            </w:pPr>
            <w:r>
              <w:rPr>
                <w:rFonts w:hint="eastAsia" w:ascii="宋体" w:hAnsi="宋体" w:eastAsia="宋体" w:cs="宋体"/>
                <w:spacing w:val="-4"/>
                <w:sz w:val="24"/>
                <w:szCs w:val="24"/>
              </w:rPr>
              <w:t>备注</w:t>
            </w:r>
          </w:p>
        </w:tc>
        <w:tc>
          <w:tcPr>
            <w:tcW w:w="7921" w:type="dxa"/>
            <w:gridSpan w:val="3"/>
            <w:vAlign w:val="top"/>
          </w:tcPr>
          <w:p w14:paraId="5CC54F6D">
            <w:pPr>
              <w:rPr>
                <w:rFonts w:hint="eastAsia" w:ascii="宋体" w:hAnsi="宋体" w:eastAsia="宋体" w:cs="宋体"/>
                <w:sz w:val="24"/>
                <w:szCs w:val="24"/>
              </w:rPr>
            </w:pPr>
          </w:p>
        </w:tc>
      </w:tr>
    </w:tbl>
    <w:p w14:paraId="16CABEAB">
      <w:pPr>
        <w:pStyle w:val="12"/>
        <w:ind w:left="0" w:leftChars="0" w:firstLine="0" w:firstLineChars="0"/>
        <w:rPr>
          <w:rFonts w:hint="default"/>
          <w:lang w:val="en-US" w:eastAsia="zh-CN"/>
        </w:rPr>
        <w:sectPr>
          <w:pgSz w:w="11906" w:h="16838"/>
          <w:pgMar w:top="1304" w:right="1304" w:bottom="1304" w:left="1304" w:header="851" w:footer="992" w:gutter="0"/>
          <w:pgNumType w:fmt="decimal"/>
          <w:cols w:space="425" w:num="1"/>
          <w:docGrid w:type="lines" w:linePitch="312" w:charSpace="0"/>
        </w:sectPr>
      </w:pPr>
    </w:p>
    <w:p w14:paraId="7F67D0CF">
      <w:pPr>
        <w:spacing w:before="117" w:line="220" w:lineRule="auto"/>
        <w:jc w:val="center"/>
        <w:rPr>
          <w:rFonts w:ascii="黑体" w:hAnsi="黑体" w:eastAsia="黑体" w:cs="黑体"/>
          <w:spacing w:val="-5"/>
          <w:sz w:val="36"/>
          <w:szCs w:val="36"/>
        </w:rPr>
      </w:pPr>
      <w:r>
        <w:rPr>
          <w:rFonts w:ascii="黑体" w:hAnsi="黑体" w:eastAsia="黑体" w:cs="黑体"/>
          <w:spacing w:val="-5"/>
          <w:sz w:val="36"/>
          <w:szCs w:val="36"/>
        </w:rPr>
        <w:t>表 5 白蚁灭治工程复查回访记录表</w:t>
      </w:r>
    </w:p>
    <w:p w14:paraId="3E8EC893">
      <w:pPr>
        <w:spacing w:before="13" w:line="212" w:lineRule="auto"/>
        <w:ind w:left="120"/>
        <w:rPr>
          <w:rFonts w:ascii="宋体" w:hAnsi="宋体" w:eastAsia="宋体" w:cs="宋体"/>
          <w:sz w:val="22"/>
          <w:szCs w:val="22"/>
        </w:rPr>
      </w:pPr>
      <w:r>
        <w:rPr>
          <w:rFonts w:ascii="宋体" w:hAnsi="宋体" w:eastAsia="宋体" w:cs="宋体"/>
          <w:spacing w:val="-7"/>
          <w:sz w:val="22"/>
          <w:szCs w:val="22"/>
        </w:rPr>
        <w:t>施工日期：   年</w:t>
      </w:r>
      <w:r>
        <w:rPr>
          <w:rFonts w:ascii="宋体" w:hAnsi="宋体" w:eastAsia="宋体" w:cs="宋体"/>
          <w:spacing w:val="5"/>
          <w:sz w:val="22"/>
          <w:szCs w:val="22"/>
        </w:rPr>
        <w:t xml:space="preserve">    </w:t>
      </w:r>
      <w:r>
        <w:rPr>
          <w:rFonts w:ascii="宋体" w:hAnsi="宋体" w:eastAsia="宋体" w:cs="宋体"/>
          <w:spacing w:val="-7"/>
          <w:sz w:val="22"/>
          <w:szCs w:val="22"/>
        </w:rPr>
        <w:t>月</w:t>
      </w:r>
      <w:r>
        <w:rPr>
          <w:rFonts w:ascii="宋体" w:hAnsi="宋体" w:eastAsia="宋体" w:cs="宋体"/>
          <w:spacing w:val="11"/>
          <w:sz w:val="22"/>
          <w:szCs w:val="22"/>
        </w:rPr>
        <w:t xml:space="preserve">    </w:t>
      </w:r>
      <w:r>
        <w:rPr>
          <w:rFonts w:ascii="宋体" w:hAnsi="宋体" w:eastAsia="宋体" w:cs="宋体"/>
          <w:spacing w:val="-7"/>
          <w:sz w:val="22"/>
          <w:szCs w:val="22"/>
        </w:rPr>
        <w:t>日</w:t>
      </w:r>
      <w:r>
        <w:rPr>
          <w:rFonts w:ascii="宋体" w:hAnsi="宋体" w:eastAsia="宋体" w:cs="宋体"/>
          <w:sz w:val="22"/>
          <w:szCs w:val="22"/>
        </w:rPr>
        <w:t xml:space="preserve">                              </w:t>
      </w:r>
      <w:r>
        <w:rPr>
          <w:rFonts w:ascii="宋体" w:hAnsi="宋体" w:eastAsia="宋体" w:cs="宋体"/>
          <w:spacing w:val="-7"/>
          <w:sz w:val="22"/>
          <w:szCs w:val="22"/>
        </w:rPr>
        <w:t>登记编号：</w:t>
      </w:r>
    </w:p>
    <w:tbl>
      <w:tblPr>
        <w:tblStyle w:val="22"/>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5"/>
        <w:gridCol w:w="1161"/>
        <w:gridCol w:w="2235"/>
        <w:gridCol w:w="2645"/>
        <w:gridCol w:w="2088"/>
      </w:tblGrid>
      <w:tr w14:paraId="35F1A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416" w:type="dxa"/>
            <w:gridSpan w:val="2"/>
            <w:vAlign w:val="top"/>
          </w:tcPr>
          <w:p w14:paraId="4F17552A">
            <w:pPr>
              <w:pStyle w:val="23"/>
              <w:spacing w:before="105" w:line="220" w:lineRule="auto"/>
              <w:ind w:left="736"/>
              <w:rPr>
                <w:sz w:val="24"/>
                <w:szCs w:val="24"/>
              </w:rPr>
            </w:pPr>
            <w:r>
              <w:rPr>
                <w:spacing w:val="-3"/>
                <w:sz w:val="24"/>
                <w:szCs w:val="24"/>
              </w:rPr>
              <w:t>工程名称</w:t>
            </w:r>
          </w:p>
        </w:tc>
        <w:tc>
          <w:tcPr>
            <w:tcW w:w="6968" w:type="dxa"/>
            <w:gridSpan w:val="3"/>
            <w:vAlign w:val="top"/>
          </w:tcPr>
          <w:p w14:paraId="7EBF6C86">
            <w:pPr>
              <w:rPr>
                <w:rFonts w:ascii="Arial"/>
                <w:sz w:val="21"/>
              </w:rPr>
            </w:pPr>
          </w:p>
        </w:tc>
      </w:tr>
      <w:tr w14:paraId="6ABA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416" w:type="dxa"/>
            <w:gridSpan w:val="2"/>
            <w:vAlign w:val="top"/>
          </w:tcPr>
          <w:p w14:paraId="1D5C7808">
            <w:pPr>
              <w:pStyle w:val="23"/>
              <w:spacing w:before="98" w:line="220" w:lineRule="auto"/>
              <w:ind w:left="736"/>
              <w:rPr>
                <w:sz w:val="24"/>
                <w:szCs w:val="24"/>
              </w:rPr>
            </w:pPr>
            <w:r>
              <w:rPr>
                <w:spacing w:val="-3"/>
                <w:sz w:val="24"/>
                <w:szCs w:val="24"/>
              </w:rPr>
              <w:t>工程地址</w:t>
            </w:r>
          </w:p>
        </w:tc>
        <w:tc>
          <w:tcPr>
            <w:tcW w:w="6968" w:type="dxa"/>
            <w:gridSpan w:val="3"/>
            <w:vAlign w:val="top"/>
          </w:tcPr>
          <w:p w14:paraId="0F1ECE5B">
            <w:pPr>
              <w:rPr>
                <w:rFonts w:ascii="Arial"/>
                <w:sz w:val="21"/>
              </w:rPr>
            </w:pPr>
          </w:p>
        </w:tc>
      </w:tr>
      <w:tr w14:paraId="0BD7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416" w:type="dxa"/>
            <w:gridSpan w:val="2"/>
            <w:vAlign w:val="top"/>
          </w:tcPr>
          <w:p w14:paraId="6D0ED80C">
            <w:pPr>
              <w:pStyle w:val="23"/>
              <w:spacing w:before="100" w:line="222" w:lineRule="auto"/>
              <w:ind w:left="613"/>
              <w:rPr>
                <w:sz w:val="24"/>
                <w:szCs w:val="24"/>
              </w:rPr>
            </w:pPr>
            <w:r>
              <w:rPr>
                <w:spacing w:val="-2"/>
                <w:sz w:val="24"/>
                <w:szCs w:val="24"/>
              </w:rPr>
              <w:t>施工联系人</w:t>
            </w:r>
          </w:p>
        </w:tc>
        <w:tc>
          <w:tcPr>
            <w:tcW w:w="2235" w:type="dxa"/>
            <w:vAlign w:val="top"/>
          </w:tcPr>
          <w:p w14:paraId="68D73E3C">
            <w:pPr>
              <w:rPr>
                <w:rFonts w:ascii="Arial"/>
                <w:sz w:val="21"/>
              </w:rPr>
            </w:pPr>
          </w:p>
        </w:tc>
        <w:tc>
          <w:tcPr>
            <w:tcW w:w="2645" w:type="dxa"/>
            <w:vAlign w:val="top"/>
          </w:tcPr>
          <w:p w14:paraId="68F838C6">
            <w:pPr>
              <w:pStyle w:val="23"/>
              <w:spacing w:before="100" w:line="222" w:lineRule="auto"/>
              <w:ind w:left="275"/>
              <w:rPr>
                <w:sz w:val="24"/>
                <w:szCs w:val="24"/>
              </w:rPr>
            </w:pPr>
            <w:r>
              <w:rPr>
                <w:spacing w:val="-2"/>
                <w:sz w:val="24"/>
                <w:szCs w:val="24"/>
              </w:rPr>
              <w:t>联系电话</w:t>
            </w:r>
          </w:p>
        </w:tc>
        <w:tc>
          <w:tcPr>
            <w:tcW w:w="2088" w:type="dxa"/>
            <w:vAlign w:val="top"/>
          </w:tcPr>
          <w:p w14:paraId="5F8D6BC7">
            <w:pPr>
              <w:rPr>
                <w:rFonts w:ascii="Arial"/>
                <w:sz w:val="21"/>
              </w:rPr>
            </w:pPr>
          </w:p>
        </w:tc>
      </w:tr>
      <w:tr w14:paraId="48AF7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416" w:type="dxa"/>
            <w:gridSpan w:val="2"/>
            <w:vAlign w:val="top"/>
          </w:tcPr>
          <w:p w14:paraId="0C2A5F34">
            <w:pPr>
              <w:pStyle w:val="23"/>
              <w:spacing w:before="98" w:line="220" w:lineRule="auto"/>
              <w:ind w:left="614"/>
              <w:rPr>
                <w:sz w:val="24"/>
                <w:szCs w:val="24"/>
              </w:rPr>
            </w:pPr>
            <w:r>
              <w:rPr>
                <w:spacing w:val="-2"/>
                <w:sz w:val="24"/>
                <w:szCs w:val="24"/>
              </w:rPr>
              <w:t>房屋联系人</w:t>
            </w:r>
          </w:p>
        </w:tc>
        <w:tc>
          <w:tcPr>
            <w:tcW w:w="2235" w:type="dxa"/>
            <w:vAlign w:val="top"/>
          </w:tcPr>
          <w:p w14:paraId="1D786E3B">
            <w:pPr>
              <w:rPr>
                <w:rFonts w:ascii="Arial"/>
                <w:sz w:val="21"/>
              </w:rPr>
            </w:pPr>
          </w:p>
        </w:tc>
        <w:tc>
          <w:tcPr>
            <w:tcW w:w="2645" w:type="dxa"/>
            <w:vAlign w:val="top"/>
          </w:tcPr>
          <w:p w14:paraId="51FC0060">
            <w:pPr>
              <w:pStyle w:val="23"/>
              <w:spacing w:before="98" w:line="222" w:lineRule="auto"/>
              <w:ind w:left="275"/>
              <w:rPr>
                <w:sz w:val="24"/>
                <w:szCs w:val="24"/>
              </w:rPr>
            </w:pPr>
            <w:r>
              <w:rPr>
                <w:spacing w:val="-2"/>
                <w:sz w:val="24"/>
                <w:szCs w:val="24"/>
              </w:rPr>
              <w:t>联系电话</w:t>
            </w:r>
          </w:p>
        </w:tc>
        <w:tc>
          <w:tcPr>
            <w:tcW w:w="2088" w:type="dxa"/>
            <w:vAlign w:val="top"/>
          </w:tcPr>
          <w:p w14:paraId="59FBD99E">
            <w:pPr>
              <w:rPr>
                <w:rFonts w:ascii="Arial"/>
                <w:sz w:val="21"/>
              </w:rPr>
            </w:pPr>
          </w:p>
        </w:tc>
      </w:tr>
      <w:tr w14:paraId="14F4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416" w:type="dxa"/>
            <w:gridSpan w:val="2"/>
            <w:vAlign w:val="top"/>
          </w:tcPr>
          <w:p w14:paraId="538F8EEB">
            <w:pPr>
              <w:pStyle w:val="23"/>
              <w:spacing w:before="100" w:line="220" w:lineRule="auto"/>
              <w:ind w:left="736"/>
              <w:rPr>
                <w:sz w:val="24"/>
                <w:szCs w:val="24"/>
              </w:rPr>
            </w:pPr>
            <w:r>
              <w:rPr>
                <w:spacing w:val="-3"/>
                <w:sz w:val="24"/>
                <w:szCs w:val="24"/>
              </w:rPr>
              <w:t>建筑面积</w:t>
            </w:r>
          </w:p>
        </w:tc>
        <w:tc>
          <w:tcPr>
            <w:tcW w:w="2235" w:type="dxa"/>
            <w:vAlign w:val="top"/>
          </w:tcPr>
          <w:p w14:paraId="0B3DF8A9">
            <w:pPr>
              <w:rPr>
                <w:rFonts w:ascii="Arial"/>
                <w:sz w:val="21"/>
              </w:rPr>
            </w:pPr>
          </w:p>
        </w:tc>
        <w:tc>
          <w:tcPr>
            <w:tcW w:w="2645" w:type="dxa"/>
            <w:vAlign w:val="top"/>
          </w:tcPr>
          <w:p w14:paraId="21714AE3">
            <w:pPr>
              <w:pStyle w:val="23"/>
              <w:spacing w:before="100" w:line="222" w:lineRule="auto"/>
              <w:ind w:left="280"/>
              <w:rPr>
                <w:sz w:val="24"/>
                <w:szCs w:val="24"/>
              </w:rPr>
            </w:pPr>
            <w:r>
              <w:rPr>
                <w:spacing w:val="-3"/>
                <w:sz w:val="24"/>
                <w:szCs w:val="24"/>
              </w:rPr>
              <w:t>治理时间</w:t>
            </w:r>
          </w:p>
        </w:tc>
        <w:tc>
          <w:tcPr>
            <w:tcW w:w="2088" w:type="dxa"/>
            <w:vAlign w:val="top"/>
          </w:tcPr>
          <w:p w14:paraId="4F3F5D61">
            <w:pPr>
              <w:rPr>
                <w:rFonts w:ascii="Arial"/>
                <w:sz w:val="21"/>
              </w:rPr>
            </w:pPr>
          </w:p>
        </w:tc>
      </w:tr>
      <w:tr w14:paraId="6C35D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384" w:type="dxa"/>
            <w:gridSpan w:val="5"/>
            <w:vAlign w:val="top"/>
          </w:tcPr>
          <w:p w14:paraId="44645C9E">
            <w:pPr>
              <w:pStyle w:val="23"/>
              <w:spacing w:before="187" w:line="220" w:lineRule="auto"/>
              <w:ind w:left="4633"/>
              <w:rPr>
                <w:sz w:val="24"/>
                <w:szCs w:val="24"/>
              </w:rPr>
            </w:pPr>
            <w:r>
              <w:rPr>
                <w:spacing w:val="-3"/>
                <w:sz w:val="24"/>
                <w:szCs w:val="24"/>
              </w:rPr>
              <w:t>复查情况</w:t>
            </w:r>
          </w:p>
        </w:tc>
      </w:tr>
      <w:tr w14:paraId="21A26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9384" w:type="dxa"/>
            <w:gridSpan w:val="5"/>
            <w:vAlign w:val="top"/>
          </w:tcPr>
          <w:p w14:paraId="5E8FA8A4">
            <w:pPr>
              <w:pStyle w:val="23"/>
              <w:spacing w:before="63" w:line="220" w:lineRule="auto"/>
              <w:ind w:left="121"/>
              <w:rPr>
                <w:sz w:val="24"/>
                <w:szCs w:val="24"/>
              </w:rPr>
            </w:pPr>
            <w:r>
              <w:rPr>
                <w:spacing w:val="-12"/>
                <w:sz w:val="24"/>
                <w:szCs w:val="24"/>
              </w:rPr>
              <w:t>蚁害情况：</w:t>
            </w:r>
          </w:p>
          <w:p w14:paraId="1840E5A6">
            <w:pPr>
              <w:spacing w:line="248" w:lineRule="auto"/>
              <w:rPr>
                <w:rFonts w:ascii="Arial"/>
                <w:sz w:val="21"/>
              </w:rPr>
            </w:pPr>
          </w:p>
          <w:p w14:paraId="6DB1F9C4">
            <w:pPr>
              <w:spacing w:line="248" w:lineRule="auto"/>
              <w:rPr>
                <w:rFonts w:ascii="Arial"/>
                <w:sz w:val="21"/>
              </w:rPr>
            </w:pPr>
          </w:p>
          <w:p w14:paraId="1986FCFD">
            <w:pPr>
              <w:spacing w:line="248" w:lineRule="auto"/>
              <w:rPr>
                <w:rFonts w:ascii="Arial"/>
                <w:sz w:val="21"/>
              </w:rPr>
            </w:pPr>
          </w:p>
          <w:p w14:paraId="6931F26B">
            <w:pPr>
              <w:spacing w:line="248" w:lineRule="auto"/>
              <w:rPr>
                <w:rFonts w:ascii="Arial"/>
                <w:sz w:val="21"/>
              </w:rPr>
            </w:pPr>
          </w:p>
          <w:p w14:paraId="1573E128">
            <w:pPr>
              <w:spacing w:line="249" w:lineRule="auto"/>
              <w:rPr>
                <w:rFonts w:ascii="Arial"/>
                <w:sz w:val="21"/>
              </w:rPr>
            </w:pPr>
          </w:p>
          <w:p w14:paraId="69C19C0F">
            <w:pPr>
              <w:spacing w:line="249" w:lineRule="auto"/>
              <w:rPr>
                <w:rFonts w:ascii="Arial"/>
                <w:sz w:val="21"/>
              </w:rPr>
            </w:pPr>
          </w:p>
          <w:p w14:paraId="7C68EEC3">
            <w:pPr>
              <w:pStyle w:val="23"/>
              <w:spacing w:before="78" w:line="220" w:lineRule="auto"/>
              <w:ind w:left="3978"/>
              <w:rPr>
                <w:sz w:val="24"/>
                <w:szCs w:val="24"/>
              </w:rPr>
            </w:pPr>
            <w:r>
              <w:rPr>
                <w:spacing w:val="-1"/>
                <w:sz w:val="24"/>
                <w:szCs w:val="24"/>
              </w:rPr>
              <w:t>检查人：             检查</w:t>
            </w:r>
            <w:r>
              <w:rPr>
                <w:spacing w:val="-2"/>
                <w:sz w:val="24"/>
                <w:szCs w:val="24"/>
              </w:rPr>
              <w:t>日期：</w:t>
            </w:r>
            <w:r>
              <w:rPr>
                <w:spacing w:val="3"/>
                <w:sz w:val="24"/>
                <w:szCs w:val="24"/>
              </w:rPr>
              <w:t xml:space="preserve">   </w:t>
            </w:r>
            <w:r>
              <w:rPr>
                <w:spacing w:val="-2"/>
                <w:sz w:val="24"/>
                <w:szCs w:val="24"/>
              </w:rPr>
              <w:t>年</w:t>
            </w:r>
            <w:r>
              <w:rPr>
                <w:spacing w:val="5"/>
                <w:sz w:val="24"/>
                <w:szCs w:val="24"/>
              </w:rPr>
              <w:t xml:space="preserve">   </w:t>
            </w:r>
            <w:r>
              <w:rPr>
                <w:spacing w:val="-2"/>
                <w:sz w:val="24"/>
                <w:szCs w:val="24"/>
              </w:rPr>
              <w:t>月</w:t>
            </w:r>
            <w:r>
              <w:rPr>
                <w:spacing w:val="17"/>
                <w:sz w:val="24"/>
                <w:szCs w:val="24"/>
              </w:rPr>
              <w:t xml:space="preserve">   </w:t>
            </w:r>
            <w:r>
              <w:rPr>
                <w:spacing w:val="-2"/>
                <w:sz w:val="24"/>
                <w:szCs w:val="24"/>
              </w:rPr>
              <w:t>日</w:t>
            </w:r>
          </w:p>
        </w:tc>
      </w:tr>
      <w:tr w14:paraId="4069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9384" w:type="dxa"/>
            <w:gridSpan w:val="5"/>
            <w:vAlign w:val="top"/>
          </w:tcPr>
          <w:p w14:paraId="30D770CD">
            <w:pPr>
              <w:pStyle w:val="23"/>
              <w:spacing w:before="37" w:line="220" w:lineRule="auto"/>
              <w:ind w:left="121"/>
              <w:rPr>
                <w:sz w:val="24"/>
                <w:szCs w:val="24"/>
              </w:rPr>
            </w:pPr>
            <w:r>
              <w:rPr>
                <w:spacing w:val="-12"/>
                <w:sz w:val="24"/>
                <w:szCs w:val="24"/>
              </w:rPr>
              <w:t>处理情况：</w:t>
            </w:r>
          </w:p>
          <w:p w14:paraId="7DA89B18">
            <w:pPr>
              <w:spacing w:line="248" w:lineRule="auto"/>
              <w:rPr>
                <w:rFonts w:ascii="Arial"/>
                <w:sz w:val="21"/>
              </w:rPr>
            </w:pPr>
          </w:p>
          <w:p w14:paraId="5834E2D0">
            <w:pPr>
              <w:spacing w:line="248" w:lineRule="auto"/>
              <w:rPr>
                <w:rFonts w:ascii="Arial"/>
                <w:sz w:val="21"/>
              </w:rPr>
            </w:pPr>
          </w:p>
          <w:p w14:paraId="02398DB0">
            <w:pPr>
              <w:spacing w:line="248" w:lineRule="auto"/>
              <w:rPr>
                <w:rFonts w:ascii="Arial"/>
                <w:sz w:val="21"/>
              </w:rPr>
            </w:pPr>
          </w:p>
          <w:p w14:paraId="792D0317">
            <w:pPr>
              <w:spacing w:line="248" w:lineRule="auto"/>
              <w:rPr>
                <w:rFonts w:ascii="Arial"/>
                <w:sz w:val="21"/>
              </w:rPr>
            </w:pPr>
          </w:p>
          <w:p w14:paraId="78FBDB66">
            <w:pPr>
              <w:spacing w:line="248" w:lineRule="auto"/>
              <w:rPr>
                <w:rFonts w:ascii="Arial"/>
                <w:sz w:val="21"/>
              </w:rPr>
            </w:pPr>
          </w:p>
          <w:p w14:paraId="2124C852">
            <w:pPr>
              <w:spacing w:line="249" w:lineRule="auto"/>
              <w:rPr>
                <w:rFonts w:ascii="Arial"/>
                <w:sz w:val="21"/>
              </w:rPr>
            </w:pPr>
          </w:p>
          <w:p w14:paraId="34346B29">
            <w:pPr>
              <w:spacing w:line="249" w:lineRule="auto"/>
              <w:rPr>
                <w:rFonts w:ascii="Arial"/>
                <w:sz w:val="21"/>
              </w:rPr>
            </w:pPr>
          </w:p>
          <w:p w14:paraId="69F2E669">
            <w:pPr>
              <w:spacing w:line="249" w:lineRule="auto"/>
              <w:rPr>
                <w:rFonts w:ascii="Arial"/>
                <w:sz w:val="21"/>
              </w:rPr>
            </w:pPr>
          </w:p>
          <w:p w14:paraId="4AB6F773">
            <w:pPr>
              <w:pStyle w:val="23"/>
              <w:spacing w:before="78" w:line="206" w:lineRule="auto"/>
              <w:ind w:left="3983"/>
              <w:rPr>
                <w:sz w:val="24"/>
                <w:szCs w:val="24"/>
              </w:rPr>
            </w:pPr>
            <w:r>
              <w:rPr>
                <w:spacing w:val="-3"/>
                <w:sz w:val="24"/>
                <w:szCs w:val="24"/>
              </w:rPr>
              <w:t>处理人：</w:t>
            </w:r>
            <w:r>
              <w:rPr>
                <w:sz w:val="24"/>
                <w:szCs w:val="24"/>
              </w:rPr>
              <w:t xml:space="preserve">             </w:t>
            </w:r>
            <w:r>
              <w:rPr>
                <w:spacing w:val="-3"/>
                <w:sz w:val="24"/>
                <w:szCs w:val="24"/>
              </w:rPr>
              <w:t>处理日期：   年</w:t>
            </w:r>
            <w:r>
              <w:rPr>
                <w:spacing w:val="9"/>
                <w:sz w:val="24"/>
                <w:szCs w:val="24"/>
              </w:rPr>
              <w:t xml:space="preserve">   </w:t>
            </w:r>
            <w:r>
              <w:rPr>
                <w:spacing w:val="-3"/>
                <w:sz w:val="24"/>
                <w:szCs w:val="24"/>
              </w:rPr>
              <w:t>月</w:t>
            </w:r>
            <w:r>
              <w:rPr>
                <w:spacing w:val="17"/>
                <w:sz w:val="24"/>
                <w:szCs w:val="24"/>
              </w:rPr>
              <w:t xml:space="preserve">   </w:t>
            </w:r>
            <w:r>
              <w:rPr>
                <w:spacing w:val="-3"/>
                <w:sz w:val="24"/>
                <w:szCs w:val="24"/>
              </w:rPr>
              <w:t>日</w:t>
            </w:r>
          </w:p>
        </w:tc>
      </w:tr>
      <w:tr w14:paraId="28198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4651" w:type="dxa"/>
            <w:gridSpan w:val="3"/>
            <w:vAlign w:val="top"/>
          </w:tcPr>
          <w:p w14:paraId="46DF163C">
            <w:pPr>
              <w:pStyle w:val="23"/>
              <w:spacing w:before="38" w:line="220" w:lineRule="auto"/>
              <w:ind w:left="116"/>
              <w:rPr>
                <w:sz w:val="24"/>
                <w:szCs w:val="24"/>
              </w:rPr>
            </w:pPr>
            <w:r>
              <w:rPr>
                <w:spacing w:val="-5"/>
                <w:sz w:val="24"/>
                <w:szCs w:val="24"/>
              </w:rPr>
              <w:t>业主单位/个人代表意见：</w:t>
            </w:r>
          </w:p>
          <w:p w14:paraId="1334C9CA">
            <w:pPr>
              <w:spacing w:line="248" w:lineRule="auto"/>
              <w:rPr>
                <w:rFonts w:ascii="Arial"/>
                <w:sz w:val="21"/>
              </w:rPr>
            </w:pPr>
          </w:p>
          <w:p w14:paraId="5DEA4013">
            <w:pPr>
              <w:spacing w:line="249" w:lineRule="auto"/>
              <w:rPr>
                <w:rFonts w:ascii="Arial"/>
                <w:sz w:val="21"/>
              </w:rPr>
            </w:pPr>
          </w:p>
          <w:p w14:paraId="5D71E455">
            <w:pPr>
              <w:spacing w:line="249" w:lineRule="auto"/>
              <w:rPr>
                <w:rFonts w:ascii="Arial"/>
                <w:sz w:val="21"/>
              </w:rPr>
            </w:pPr>
          </w:p>
          <w:p w14:paraId="6B7DFBEF">
            <w:pPr>
              <w:spacing w:line="249" w:lineRule="auto"/>
              <w:rPr>
                <w:rFonts w:ascii="Arial"/>
                <w:sz w:val="21"/>
              </w:rPr>
            </w:pPr>
          </w:p>
          <w:p w14:paraId="2469E048">
            <w:pPr>
              <w:spacing w:line="249" w:lineRule="auto"/>
              <w:rPr>
                <w:rFonts w:ascii="Arial"/>
                <w:sz w:val="21"/>
              </w:rPr>
            </w:pPr>
          </w:p>
          <w:p w14:paraId="74DF290A">
            <w:pPr>
              <w:pStyle w:val="23"/>
              <w:spacing w:before="78" w:line="220" w:lineRule="auto"/>
              <w:ind w:left="117"/>
              <w:rPr>
                <w:sz w:val="24"/>
                <w:szCs w:val="24"/>
              </w:rPr>
            </w:pPr>
            <w:r>
              <w:rPr>
                <w:spacing w:val="-15"/>
                <w:sz w:val="24"/>
                <w:szCs w:val="24"/>
              </w:rPr>
              <w:t>签字：</w:t>
            </w:r>
          </w:p>
          <w:p w14:paraId="7110C8FC">
            <w:pPr>
              <w:pStyle w:val="23"/>
              <w:spacing w:before="304" w:line="205" w:lineRule="auto"/>
              <w:ind w:left="118"/>
              <w:rPr>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tc>
        <w:tc>
          <w:tcPr>
            <w:tcW w:w="4733" w:type="dxa"/>
            <w:gridSpan w:val="2"/>
            <w:vAlign w:val="top"/>
          </w:tcPr>
          <w:p w14:paraId="2BBC5C58">
            <w:pPr>
              <w:pStyle w:val="23"/>
              <w:spacing w:before="39" w:line="220" w:lineRule="auto"/>
              <w:ind w:left="65"/>
              <w:rPr>
                <w:sz w:val="24"/>
                <w:szCs w:val="24"/>
              </w:rPr>
            </w:pPr>
            <w:r>
              <w:rPr>
                <w:spacing w:val="-12"/>
                <w:sz w:val="24"/>
                <w:szCs w:val="24"/>
              </w:rPr>
              <w:t>复查单位：</w:t>
            </w:r>
          </w:p>
          <w:p w14:paraId="321DA612">
            <w:pPr>
              <w:spacing w:line="248" w:lineRule="auto"/>
              <w:rPr>
                <w:rFonts w:ascii="Arial"/>
                <w:sz w:val="21"/>
              </w:rPr>
            </w:pPr>
          </w:p>
          <w:p w14:paraId="135B277C">
            <w:pPr>
              <w:spacing w:line="248" w:lineRule="auto"/>
              <w:rPr>
                <w:rFonts w:ascii="Arial"/>
                <w:sz w:val="21"/>
              </w:rPr>
            </w:pPr>
          </w:p>
          <w:p w14:paraId="13CB8A27">
            <w:pPr>
              <w:spacing w:line="249" w:lineRule="auto"/>
              <w:rPr>
                <w:rFonts w:ascii="Arial"/>
                <w:sz w:val="21"/>
              </w:rPr>
            </w:pPr>
          </w:p>
          <w:p w14:paraId="4120C890">
            <w:pPr>
              <w:pStyle w:val="23"/>
              <w:spacing w:before="78" w:line="219" w:lineRule="auto"/>
              <w:jc w:val="right"/>
              <w:rPr>
                <w:spacing w:val="-6"/>
                <w:sz w:val="24"/>
                <w:szCs w:val="24"/>
              </w:rPr>
            </w:pPr>
          </w:p>
          <w:p w14:paraId="6D58A85C">
            <w:pPr>
              <w:pStyle w:val="23"/>
              <w:spacing w:before="78" w:line="219" w:lineRule="auto"/>
              <w:jc w:val="right"/>
              <w:rPr>
                <w:spacing w:val="-6"/>
                <w:sz w:val="24"/>
                <w:szCs w:val="24"/>
              </w:rPr>
            </w:pPr>
          </w:p>
          <w:p w14:paraId="07FCC303">
            <w:pPr>
              <w:pStyle w:val="23"/>
              <w:spacing w:before="78" w:line="219" w:lineRule="auto"/>
              <w:jc w:val="right"/>
              <w:rPr>
                <w:spacing w:val="-9"/>
                <w:sz w:val="24"/>
                <w:szCs w:val="24"/>
              </w:rPr>
            </w:pPr>
            <w:r>
              <w:rPr>
                <w:spacing w:val="-6"/>
                <w:sz w:val="24"/>
                <w:szCs w:val="24"/>
              </w:rPr>
              <w:t>（公章）</w:t>
            </w:r>
          </w:p>
          <w:p w14:paraId="667A0612">
            <w:pPr>
              <w:pStyle w:val="23"/>
              <w:spacing w:before="305" w:line="205" w:lineRule="auto"/>
              <w:jc w:val="right"/>
              <w:rPr>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tc>
      </w:tr>
      <w:tr w14:paraId="2B82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55" w:type="dxa"/>
            <w:vAlign w:val="top"/>
          </w:tcPr>
          <w:p w14:paraId="703C917F">
            <w:pPr>
              <w:pStyle w:val="23"/>
              <w:spacing w:before="198" w:line="222" w:lineRule="auto"/>
              <w:ind w:left="416"/>
              <w:rPr>
                <w:sz w:val="22"/>
                <w:szCs w:val="22"/>
              </w:rPr>
            </w:pPr>
            <w:r>
              <w:rPr>
                <w:spacing w:val="-3"/>
                <w:sz w:val="22"/>
                <w:szCs w:val="22"/>
              </w:rPr>
              <w:t>备注</w:t>
            </w:r>
          </w:p>
        </w:tc>
        <w:tc>
          <w:tcPr>
            <w:tcW w:w="8129" w:type="dxa"/>
            <w:gridSpan w:val="4"/>
            <w:vAlign w:val="top"/>
          </w:tcPr>
          <w:p w14:paraId="74458A41">
            <w:pPr>
              <w:pStyle w:val="23"/>
              <w:spacing w:before="186" w:line="219" w:lineRule="auto"/>
              <w:ind w:left="113"/>
              <w:rPr>
                <w:sz w:val="24"/>
                <w:szCs w:val="24"/>
              </w:rPr>
            </w:pPr>
            <w:r>
              <w:rPr>
                <w:spacing w:val="-1"/>
                <w:sz w:val="24"/>
                <w:szCs w:val="24"/>
              </w:rPr>
              <w:t>本次复查回访系该工程项目治理完成后第    年第    次复</w:t>
            </w:r>
            <w:r>
              <w:rPr>
                <w:spacing w:val="-2"/>
                <w:sz w:val="24"/>
                <w:szCs w:val="24"/>
              </w:rPr>
              <w:t>查。</w:t>
            </w:r>
          </w:p>
        </w:tc>
      </w:tr>
    </w:tbl>
    <w:p w14:paraId="1EB0FC87">
      <w:pPr>
        <w:rPr>
          <w:rFonts w:hint="default"/>
          <w:lang w:val="en-US" w:eastAsia="zh-CN"/>
        </w:rPr>
        <w:sectPr>
          <w:pgSz w:w="11906" w:h="16838"/>
          <w:pgMar w:top="1304" w:right="1304" w:bottom="1304" w:left="1304" w:header="851" w:footer="992" w:gutter="0"/>
          <w:pgNumType w:fmt="decimal"/>
          <w:cols w:space="425" w:num="1"/>
          <w:docGrid w:type="lines" w:linePitch="312" w:charSpace="0"/>
        </w:sectPr>
      </w:pPr>
    </w:p>
    <w:p w14:paraId="23BFDC6B">
      <w:pPr>
        <w:spacing w:before="117" w:line="220" w:lineRule="auto"/>
        <w:jc w:val="center"/>
        <w:rPr>
          <w:rFonts w:ascii="黑体" w:hAnsi="黑体" w:eastAsia="黑体" w:cs="黑体"/>
          <w:spacing w:val="-5"/>
          <w:sz w:val="36"/>
          <w:szCs w:val="36"/>
        </w:rPr>
      </w:pPr>
      <w:r>
        <w:rPr>
          <w:rFonts w:ascii="黑体" w:hAnsi="黑体" w:eastAsia="黑体" w:cs="黑体"/>
          <w:spacing w:val="-5"/>
          <w:sz w:val="36"/>
          <w:szCs w:val="36"/>
        </w:rPr>
        <w:t>表 6 白蚁预防工程信息表</w:t>
      </w:r>
    </w:p>
    <w:p w14:paraId="38DCD152">
      <w:pPr>
        <w:spacing w:before="14" w:line="212" w:lineRule="auto"/>
        <w:ind w:left="6397"/>
        <w:rPr>
          <w:rFonts w:ascii="宋体" w:hAnsi="宋体" w:eastAsia="宋体" w:cs="宋体"/>
          <w:sz w:val="22"/>
          <w:szCs w:val="22"/>
        </w:rPr>
      </w:pPr>
      <w:r>
        <w:rPr>
          <w:rFonts w:ascii="宋体" w:hAnsi="宋体" w:eastAsia="宋体" w:cs="宋体"/>
          <w:spacing w:val="-8"/>
          <w:sz w:val="22"/>
          <w:szCs w:val="22"/>
        </w:rPr>
        <w:t>登记编号：</w:t>
      </w:r>
    </w:p>
    <w:tbl>
      <w:tblPr>
        <w:tblStyle w:val="22"/>
        <w:tblW w:w="95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2"/>
        <w:gridCol w:w="538"/>
        <w:gridCol w:w="3574"/>
        <w:gridCol w:w="1430"/>
        <w:gridCol w:w="2413"/>
      </w:tblGrid>
      <w:tr w14:paraId="6B628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140" w:type="dxa"/>
            <w:gridSpan w:val="2"/>
            <w:vAlign w:val="top"/>
          </w:tcPr>
          <w:p w14:paraId="3809D008">
            <w:pPr>
              <w:pStyle w:val="23"/>
              <w:spacing w:before="105" w:line="220" w:lineRule="auto"/>
              <w:ind w:left="600"/>
              <w:rPr>
                <w:sz w:val="24"/>
                <w:szCs w:val="24"/>
              </w:rPr>
            </w:pPr>
            <w:r>
              <w:rPr>
                <w:spacing w:val="-3"/>
                <w:sz w:val="24"/>
                <w:szCs w:val="24"/>
              </w:rPr>
              <w:t>工程名称</w:t>
            </w:r>
          </w:p>
        </w:tc>
        <w:tc>
          <w:tcPr>
            <w:tcW w:w="7417" w:type="dxa"/>
            <w:gridSpan w:val="3"/>
            <w:vAlign w:val="top"/>
          </w:tcPr>
          <w:p w14:paraId="286C61AE">
            <w:pPr>
              <w:rPr>
                <w:rFonts w:ascii="Arial"/>
                <w:sz w:val="21"/>
              </w:rPr>
            </w:pPr>
          </w:p>
        </w:tc>
      </w:tr>
      <w:tr w14:paraId="27FF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140" w:type="dxa"/>
            <w:gridSpan w:val="2"/>
            <w:vAlign w:val="top"/>
          </w:tcPr>
          <w:p w14:paraId="64055D76">
            <w:pPr>
              <w:pStyle w:val="23"/>
              <w:spacing w:before="101" w:line="220" w:lineRule="auto"/>
              <w:ind w:left="600"/>
              <w:rPr>
                <w:sz w:val="24"/>
                <w:szCs w:val="24"/>
              </w:rPr>
            </w:pPr>
            <w:r>
              <w:rPr>
                <w:spacing w:val="-3"/>
                <w:sz w:val="24"/>
                <w:szCs w:val="24"/>
              </w:rPr>
              <w:t>工程地址</w:t>
            </w:r>
          </w:p>
        </w:tc>
        <w:tc>
          <w:tcPr>
            <w:tcW w:w="7417" w:type="dxa"/>
            <w:gridSpan w:val="3"/>
            <w:vAlign w:val="top"/>
          </w:tcPr>
          <w:p w14:paraId="71EE86A4">
            <w:pPr>
              <w:rPr>
                <w:rFonts w:ascii="Arial"/>
                <w:sz w:val="21"/>
              </w:rPr>
            </w:pPr>
          </w:p>
        </w:tc>
      </w:tr>
      <w:tr w14:paraId="475C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2140" w:type="dxa"/>
            <w:gridSpan w:val="2"/>
            <w:vAlign w:val="top"/>
          </w:tcPr>
          <w:p w14:paraId="45BD108D">
            <w:pPr>
              <w:pStyle w:val="23"/>
              <w:spacing w:before="101" w:line="222" w:lineRule="auto"/>
              <w:ind w:left="476"/>
              <w:rPr>
                <w:sz w:val="24"/>
                <w:szCs w:val="24"/>
              </w:rPr>
            </w:pPr>
            <w:r>
              <w:rPr>
                <w:spacing w:val="-2"/>
                <w:sz w:val="24"/>
                <w:szCs w:val="24"/>
              </w:rPr>
              <w:t>施工联系人</w:t>
            </w:r>
          </w:p>
        </w:tc>
        <w:tc>
          <w:tcPr>
            <w:tcW w:w="3574" w:type="dxa"/>
            <w:vAlign w:val="top"/>
          </w:tcPr>
          <w:p w14:paraId="22853AE9">
            <w:pPr>
              <w:rPr>
                <w:rFonts w:ascii="Arial"/>
                <w:sz w:val="21"/>
              </w:rPr>
            </w:pPr>
          </w:p>
        </w:tc>
        <w:tc>
          <w:tcPr>
            <w:tcW w:w="1430" w:type="dxa"/>
            <w:vAlign w:val="top"/>
          </w:tcPr>
          <w:p w14:paraId="06C27BDC">
            <w:pPr>
              <w:pStyle w:val="23"/>
              <w:spacing w:before="101" w:line="222" w:lineRule="auto"/>
              <w:ind w:left="243"/>
              <w:rPr>
                <w:sz w:val="24"/>
                <w:szCs w:val="24"/>
              </w:rPr>
            </w:pPr>
            <w:r>
              <w:rPr>
                <w:spacing w:val="-2"/>
                <w:sz w:val="24"/>
                <w:szCs w:val="24"/>
              </w:rPr>
              <w:t>联系电话</w:t>
            </w:r>
          </w:p>
        </w:tc>
        <w:tc>
          <w:tcPr>
            <w:tcW w:w="2413" w:type="dxa"/>
            <w:vAlign w:val="top"/>
          </w:tcPr>
          <w:p w14:paraId="06D8AD06">
            <w:pPr>
              <w:rPr>
                <w:rFonts w:ascii="Arial"/>
                <w:sz w:val="21"/>
              </w:rPr>
            </w:pPr>
          </w:p>
        </w:tc>
      </w:tr>
      <w:tr w14:paraId="0DF82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140" w:type="dxa"/>
            <w:gridSpan w:val="2"/>
            <w:vAlign w:val="top"/>
          </w:tcPr>
          <w:p w14:paraId="51320BD0">
            <w:pPr>
              <w:pStyle w:val="23"/>
              <w:spacing w:before="101" w:line="220" w:lineRule="auto"/>
              <w:ind w:left="478"/>
              <w:rPr>
                <w:sz w:val="24"/>
                <w:szCs w:val="24"/>
              </w:rPr>
            </w:pPr>
            <w:r>
              <w:rPr>
                <w:spacing w:val="-2"/>
                <w:sz w:val="24"/>
                <w:szCs w:val="24"/>
              </w:rPr>
              <w:t>房屋联系人</w:t>
            </w:r>
          </w:p>
        </w:tc>
        <w:tc>
          <w:tcPr>
            <w:tcW w:w="3574" w:type="dxa"/>
            <w:vAlign w:val="top"/>
          </w:tcPr>
          <w:p w14:paraId="6B212872">
            <w:pPr>
              <w:rPr>
                <w:rFonts w:ascii="Arial"/>
                <w:sz w:val="21"/>
              </w:rPr>
            </w:pPr>
          </w:p>
        </w:tc>
        <w:tc>
          <w:tcPr>
            <w:tcW w:w="1430" w:type="dxa"/>
            <w:vAlign w:val="top"/>
          </w:tcPr>
          <w:p w14:paraId="7D5071C4">
            <w:pPr>
              <w:pStyle w:val="23"/>
              <w:spacing w:before="101" w:line="222" w:lineRule="auto"/>
              <w:ind w:left="243"/>
              <w:rPr>
                <w:sz w:val="24"/>
                <w:szCs w:val="24"/>
              </w:rPr>
            </w:pPr>
            <w:r>
              <w:rPr>
                <w:spacing w:val="-2"/>
                <w:sz w:val="24"/>
                <w:szCs w:val="24"/>
              </w:rPr>
              <w:t>联系电话</w:t>
            </w:r>
          </w:p>
        </w:tc>
        <w:tc>
          <w:tcPr>
            <w:tcW w:w="2413" w:type="dxa"/>
            <w:vAlign w:val="top"/>
          </w:tcPr>
          <w:p w14:paraId="79D7B11A">
            <w:pPr>
              <w:rPr>
                <w:rFonts w:ascii="Arial"/>
                <w:sz w:val="21"/>
              </w:rPr>
            </w:pPr>
          </w:p>
        </w:tc>
      </w:tr>
      <w:tr w14:paraId="144C0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140" w:type="dxa"/>
            <w:gridSpan w:val="2"/>
            <w:vAlign w:val="top"/>
          </w:tcPr>
          <w:p w14:paraId="7289E96E">
            <w:pPr>
              <w:pStyle w:val="23"/>
              <w:spacing w:before="102" w:line="220" w:lineRule="auto"/>
              <w:ind w:left="598"/>
              <w:rPr>
                <w:sz w:val="24"/>
                <w:szCs w:val="24"/>
              </w:rPr>
            </w:pPr>
            <w:r>
              <w:rPr>
                <w:spacing w:val="-2"/>
                <w:sz w:val="24"/>
                <w:szCs w:val="24"/>
              </w:rPr>
              <w:t>房屋结构</w:t>
            </w:r>
          </w:p>
        </w:tc>
        <w:tc>
          <w:tcPr>
            <w:tcW w:w="3574" w:type="dxa"/>
            <w:vAlign w:val="top"/>
          </w:tcPr>
          <w:p w14:paraId="0C62AAF2">
            <w:pPr>
              <w:rPr>
                <w:rFonts w:ascii="Arial"/>
                <w:sz w:val="21"/>
              </w:rPr>
            </w:pPr>
          </w:p>
        </w:tc>
        <w:tc>
          <w:tcPr>
            <w:tcW w:w="1430" w:type="dxa"/>
            <w:vAlign w:val="top"/>
          </w:tcPr>
          <w:p w14:paraId="11901633">
            <w:pPr>
              <w:pStyle w:val="23"/>
              <w:spacing w:before="113" w:line="221" w:lineRule="auto"/>
              <w:ind w:left="450"/>
              <w:rPr>
                <w:sz w:val="22"/>
                <w:szCs w:val="22"/>
              </w:rPr>
            </w:pPr>
            <w:r>
              <w:rPr>
                <w:spacing w:val="-2"/>
                <w:sz w:val="22"/>
                <w:szCs w:val="22"/>
              </w:rPr>
              <w:t>建筑面积</w:t>
            </w:r>
          </w:p>
        </w:tc>
        <w:tc>
          <w:tcPr>
            <w:tcW w:w="2413" w:type="dxa"/>
            <w:vAlign w:val="top"/>
          </w:tcPr>
          <w:p w14:paraId="7669BCE0">
            <w:pPr>
              <w:rPr>
                <w:rFonts w:ascii="Arial"/>
                <w:sz w:val="21"/>
              </w:rPr>
            </w:pPr>
          </w:p>
        </w:tc>
      </w:tr>
      <w:tr w14:paraId="739BA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6" w:hRule="atLeast"/>
        </w:trPr>
        <w:tc>
          <w:tcPr>
            <w:tcW w:w="1602" w:type="dxa"/>
            <w:vAlign w:val="top"/>
          </w:tcPr>
          <w:p w14:paraId="05AA9AD3">
            <w:pPr>
              <w:spacing w:line="258" w:lineRule="auto"/>
              <w:rPr>
                <w:rFonts w:ascii="Arial"/>
                <w:sz w:val="21"/>
              </w:rPr>
            </w:pPr>
          </w:p>
          <w:p w14:paraId="06928633">
            <w:pPr>
              <w:spacing w:line="258" w:lineRule="auto"/>
              <w:rPr>
                <w:rFonts w:ascii="Arial"/>
                <w:sz w:val="21"/>
              </w:rPr>
            </w:pPr>
          </w:p>
          <w:p w14:paraId="4B8A4118">
            <w:pPr>
              <w:spacing w:line="258" w:lineRule="auto"/>
              <w:rPr>
                <w:rFonts w:ascii="Arial"/>
                <w:sz w:val="21"/>
              </w:rPr>
            </w:pPr>
          </w:p>
          <w:p w14:paraId="1ED26297">
            <w:pPr>
              <w:spacing w:line="259" w:lineRule="auto"/>
              <w:rPr>
                <w:rFonts w:ascii="Arial"/>
                <w:sz w:val="21"/>
              </w:rPr>
            </w:pPr>
          </w:p>
          <w:p w14:paraId="5B0B56A7">
            <w:pPr>
              <w:spacing w:line="259" w:lineRule="auto"/>
              <w:rPr>
                <w:rFonts w:ascii="Arial"/>
                <w:sz w:val="21"/>
              </w:rPr>
            </w:pPr>
          </w:p>
          <w:p w14:paraId="51364BB0">
            <w:pPr>
              <w:spacing w:line="259" w:lineRule="auto"/>
              <w:rPr>
                <w:rFonts w:ascii="Arial"/>
                <w:sz w:val="21"/>
              </w:rPr>
            </w:pPr>
          </w:p>
          <w:p w14:paraId="1999984A">
            <w:pPr>
              <w:pStyle w:val="23"/>
              <w:spacing w:before="78" w:line="220" w:lineRule="auto"/>
              <w:ind w:left="211"/>
              <w:rPr>
                <w:sz w:val="24"/>
                <w:szCs w:val="24"/>
              </w:rPr>
            </w:pPr>
            <w:r>
              <w:rPr>
                <w:spacing w:val="-2"/>
                <w:sz w:val="24"/>
                <w:szCs w:val="24"/>
              </w:rPr>
              <w:t>建筑场地和</w:t>
            </w:r>
          </w:p>
          <w:p w14:paraId="7D11E4CD">
            <w:pPr>
              <w:pStyle w:val="23"/>
              <w:spacing w:before="25" w:line="220" w:lineRule="auto"/>
              <w:ind w:left="209"/>
              <w:rPr>
                <w:sz w:val="24"/>
                <w:szCs w:val="24"/>
              </w:rPr>
            </w:pPr>
            <w:r>
              <w:rPr>
                <w:spacing w:val="-2"/>
                <w:sz w:val="24"/>
                <w:szCs w:val="24"/>
              </w:rPr>
              <w:t>周围环境蚁</w:t>
            </w:r>
          </w:p>
          <w:p w14:paraId="0F616C01">
            <w:pPr>
              <w:pStyle w:val="23"/>
              <w:spacing w:before="25" w:line="220" w:lineRule="auto"/>
              <w:ind w:left="213"/>
              <w:rPr>
                <w:sz w:val="24"/>
                <w:szCs w:val="24"/>
              </w:rPr>
            </w:pPr>
            <w:r>
              <w:rPr>
                <w:spacing w:val="-3"/>
                <w:sz w:val="24"/>
                <w:szCs w:val="24"/>
              </w:rPr>
              <w:t>害及处理情</w:t>
            </w:r>
          </w:p>
          <w:p w14:paraId="4639EBFD">
            <w:pPr>
              <w:pStyle w:val="23"/>
              <w:spacing w:before="23" w:line="220" w:lineRule="auto"/>
              <w:ind w:left="690"/>
              <w:rPr>
                <w:sz w:val="24"/>
                <w:szCs w:val="24"/>
              </w:rPr>
            </w:pPr>
            <w:r>
              <w:rPr>
                <w:sz w:val="24"/>
                <w:szCs w:val="24"/>
              </w:rPr>
              <w:t>况</w:t>
            </w:r>
          </w:p>
        </w:tc>
        <w:tc>
          <w:tcPr>
            <w:tcW w:w="538" w:type="dxa"/>
            <w:tcBorders>
              <w:right w:val="nil"/>
            </w:tcBorders>
            <w:vAlign w:val="top"/>
          </w:tcPr>
          <w:p w14:paraId="712E5A5C">
            <w:pPr>
              <w:rPr>
                <w:rFonts w:ascii="Arial"/>
                <w:sz w:val="21"/>
              </w:rPr>
            </w:pPr>
          </w:p>
        </w:tc>
        <w:tc>
          <w:tcPr>
            <w:tcW w:w="7417" w:type="dxa"/>
            <w:gridSpan w:val="3"/>
            <w:tcBorders>
              <w:left w:val="nil"/>
            </w:tcBorders>
            <w:vAlign w:val="top"/>
          </w:tcPr>
          <w:p w14:paraId="6A02BAE8">
            <w:pPr>
              <w:spacing w:line="248" w:lineRule="auto"/>
              <w:rPr>
                <w:rFonts w:ascii="Arial"/>
                <w:sz w:val="21"/>
              </w:rPr>
            </w:pPr>
          </w:p>
          <w:p w14:paraId="27D4187B">
            <w:pPr>
              <w:spacing w:line="248" w:lineRule="auto"/>
              <w:rPr>
                <w:rFonts w:ascii="Arial"/>
                <w:sz w:val="21"/>
              </w:rPr>
            </w:pPr>
          </w:p>
          <w:p w14:paraId="151181C1">
            <w:pPr>
              <w:spacing w:line="249" w:lineRule="auto"/>
              <w:rPr>
                <w:rFonts w:ascii="Arial"/>
                <w:sz w:val="21"/>
              </w:rPr>
            </w:pPr>
          </w:p>
          <w:p w14:paraId="5E630419">
            <w:pPr>
              <w:spacing w:line="249" w:lineRule="auto"/>
              <w:rPr>
                <w:rFonts w:ascii="Arial"/>
                <w:sz w:val="21"/>
              </w:rPr>
            </w:pPr>
          </w:p>
          <w:p w14:paraId="6DE4F9C8">
            <w:pPr>
              <w:spacing w:line="249" w:lineRule="auto"/>
              <w:rPr>
                <w:rFonts w:ascii="Arial"/>
                <w:sz w:val="21"/>
              </w:rPr>
            </w:pPr>
          </w:p>
          <w:p w14:paraId="61E17B64">
            <w:pPr>
              <w:spacing w:line="249" w:lineRule="auto"/>
              <w:rPr>
                <w:rFonts w:ascii="Arial"/>
                <w:sz w:val="21"/>
              </w:rPr>
            </w:pPr>
          </w:p>
          <w:p w14:paraId="66BBC6DE">
            <w:pPr>
              <w:spacing w:line="249" w:lineRule="auto"/>
              <w:rPr>
                <w:rFonts w:ascii="Arial"/>
                <w:sz w:val="21"/>
              </w:rPr>
            </w:pPr>
          </w:p>
          <w:p w14:paraId="3189E38B">
            <w:pPr>
              <w:spacing w:line="249" w:lineRule="auto"/>
              <w:rPr>
                <w:rFonts w:ascii="Arial"/>
                <w:sz w:val="21"/>
              </w:rPr>
            </w:pPr>
          </w:p>
          <w:p w14:paraId="1DCD9461">
            <w:pPr>
              <w:spacing w:line="249" w:lineRule="auto"/>
              <w:rPr>
                <w:rFonts w:ascii="Arial"/>
                <w:sz w:val="21"/>
              </w:rPr>
            </w:pPr>
          </w:p>
          <w:p w14:paraId="51CF385D">
            <w:pPr>
              <w:spacing w:line="249" w:lineRule="auto"/>
              <w:rPr>
                <w:rFonts w:ascii="Arial"/>
                <w:sz w:val="21"/>
              </w:rPr>
            </w:pPr>
          </w:p>
          <w:p w14:paraId="017D2AE2">
            <w:pPr>
              <w:spacing w:line="249" w:lineRule="auto"/>
              <w:rPr>
                <w:rFonts w:ascii="Arial"/>
                <w:sz w:val="21"/>
              </w:rPr>
            </w:pPr>
          </w:p>
          <w:p w14:paraId="7D3055F4">
            <w:pPr>
              <w:pStyle w:val="23"/>
              <w:spacing w:before="78" w:line="222" w:lineRule="auto"/>
              <w:ind w:left="6233"/>
              <w:rPr>
                <w:sz w:val="24"/>
                <w:szCs w:val="24"/>
              </w:rPr>
            </w:pPr>
            <w:r>
              <w:rPr>
                <w:spacing w:val="-13"/>
                <w:sz w:val="24"/>
                <w:szCs w:val="24"/>
              </w:rPr>
              <w:t>调查人：</w:t>
            </w:r>
          </w:p>
          <w:p w14:paraId="6A04D8FA">
            <w:pPr>
              <w:pStyle w:val="23"/>
              <w:spacing w:before="302" w:line="205" w:lineRule="auto"/>
              <w:jc w:val="right"/>
              <w:rPr>
                <w:sz w:val="24"/>
                <w:szCs w:val="24"/>
              </w:rPr>
            </w:pPr>
            <w:r>
              <w:rPr>
                <w:spacing w:val="-13"/>
                <w:sz w:val="24"/>
                <w:szCs w:val="24"/>
              </w:rPr>
              <w:t>日期：</w:t>
            </w:r>
            <w:r>
              <w:rPr>
                <w:spacing w:val="3"/>
                <w:sz w:val="24"/>
                <w:szCs w:val="24"/>
              </w:rPr>
              <w:t xml:space="preserve">   </w:t>
            </w:r>
            <w:r>
              <w:rPr>
                <w:spacing w:val="-13"/>
                <w:sz w:val="24"/>
                <w:szCs w:val="24"/>
              </w:rPr>
              <w:t>年</w:t>
            </w:r>
            <w:r>
              <w:rPr>
                <w:spacing w:val="4"/>
                <w:sz w:val="24"/>
                <w:szCs w:val="24"/>
              </w:rPr>
              <w:t xml:space="preserve">    </w:t>
            </w:r>
            <w:r>
              <w:rPr>
                <w:spacing w:val="-13"/>
                <w:sz w:val="24"/>
                <w:szCs w:val="24"/>
              </w:rPr>
              <w:t>月</w:t>
            </w:r>
            <w:r>
              <w:rPr>
                <w:spacing w:val="13"/>
                <w:sz w:val="24"/>
                <w:szCs w:val="24"/>
              </w:rPr>
              <w:t xml:space="preserve">    </w:t>
            </w:r>
            <w:r>
              <w:rPr>
                <w:spacing w:val="-13"/>
                <w:sz w:val="24"/>
                <w:szCs w:val="24"/>
              </w:rPr>
              <w:t>日</w:t>
            </w:r>
          </w:p>
        </w:tc>
      </w:tr>
      <w:tr w14:paraId="5D8C7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4" w:hRule="atLeast"/>
        </w:trPr>
        <w:tc>
          <w:tcPr>
            <w:tcW w:w="1602" w:type="dxa"/>
            <w:vAlign w:val="top"/>
          </w:tcPr>
          <w:p w14:paraId="292D1E65">
            <w:pPr>
              <w:spacing w:line="276" w:lineRule="auto"/>
              <w:rPr>
                <w:rFonts w:ascii="Arial"/>
                <w:sz w:val="21"/>
              </w:rPr>
            </w:pPr>
          </w:p>
          <w:p w14:paraId="063B0229">
            <w:pPr>
              <w:spacing w:line="276" w:lineRule="auto"/>
              <w:rPr>
                <w:rFonts w:ascii="Arial"/>
                <w:sz w:val="21"/>
              </w:rPr>
            </w:pPr>
          </w:p>
          <w:p w14:paraId="7DECDD04">
            <w:pPr>
              <w:spacing w:line="277" w:lineRule="auto"/>
              <w:rPr>
                <w:rFonts w:ascii="Arial"/>
                <w:sz w:val="21"/>
              </w:rPr>
            </w:pPr>
          </w:p>
          <w:p w14:paraId="29959AAD">
            <w:pPr>
              <w:spacing w:line="277" w:lineRule="auto"/>
              <w:rPr>
                <w:rFonts w:ascii="Arial"/>
                <w:sz w:val="21"/>
              </w:rPr>
            </w:pPr>
          </w:p>
          <w:p w14:paraId="3BC9B514">
            <w:pPr>
              <w:spacing w:line="277" w:lineRule="auto"/>
              <w:rPr>
                <w:rFonts w:ascii="Arial"/>
                <w:sz w:val="21"/>
              </w:rPr>
            </w:pPr>
          </w:p>
          <w:p w14:paraId="70DB18D2">
            <w:pPr>
              <w:spacing w:line="277" w:lineRule="auto"/>
              <w:rPr>
                <w:rFonts w:ascii="Arial"/>
                <w:sz w:val="21"/>
              </w:rPr>
            </w:pPr>
          </w:p>
          <w:p w14:paraId="329172DB">
            <w:pPr>
              <w:pStyle w:val="23"/>
              <w:spacing w:before="78" w:line="242" w:lineRule="auto"/>
              <w:ind w:left="451" w:right="197" w:hanging="240"/>
              <w:rPr>
                <w:sz w:val="24"/>
                <w:szCs w:val="24"/>
              </w:rPr>
            </w:pPr>
            <w:r>
              <w:rPr>
                <w:spacing w:val="-3"/>
                <w:sz w:val="24"/>
                <w:szCs w:val="24"/>
              </w:rPr>
              <w:t>建筑场地清理情况</w:t>
            </w:r>
          </w:p>
        </w:tc>
        <w:tc>
          <w:tcPr>
            <w:tcW w:w="538" w:type="dxa"/>
            <w:tcBorders>
              <w:right w:val="nil"/>
            </w:tcBorders>
            <w:vAlign w:val="top"/>
          </w:tcPr>
          <w:p w14:paraId="7797B375">
            <w:pPr>
              <w:rPr>
                <w:rFonts w:ascii="Arial"/>
                <w:sz w:val="21"/>
              </w:rPr>
            </w:pPr>
          </w:p>
        </w:tc>
        <w:tc>
          <w:tcPr>
            <w:tcW w:w="7417" w:type="dxa"/>
            <w:gridSpan w:val="3"/>
            <w:tcBorders>
              <w:left w:val="nil"/>
            </w:tcBorders>
            <w:vAlign w:val="top"/>
          </w:tcPr>
          <w:p w14:paraId="35FDCD96">
            <w:pPr>
              <w:spacing w:line="249" w:lineRule="auto"/>
              <w:rPr>
                <w:rFonts w:ascii="Arial"/>
                <w:sz w:val="21"/>
              </w:rPr>
            </w:pPr>
          </w:p>
          <w:p w14:paraId="5D47768E">
            <w:pPr>
              <w:spacing w:line="249" w:lineRule="auto"/>
              <w:rPr>
                <w:rFonts w:ascii="Arial"/>
                <w:sz w:val="21"/>
              </w:rPr>
            </w:pPr>
          </w:p>
          <w:p w14:paraId="360AD1FE">
            <w:pPr>
              <w:spacing w:line="249" w:lineRule="auto"/>
              <w:rPr>
                <w:rFonts w:ascii="Arial"/>
                <w:sz w:val="21"/>
              </w:rPr>
            </w:pPr>
          </w:p>
          <w:p w14:paraId="6E1DCF0D">
            <w:pPr>
              <w:spacing w:line="249" w:lineRule="auto"/>
              <w:rPr>
                <w:rFonts w:ascii="Arial"/>
                <w:sz w:val="21"/>
              </w:rPr>
            </w:pPr>
          </w:p>
          <w:p w14:paraId="15D27302">
            <w:pPr>
              <w:spacing w:line="249" w:lineRule="auto"/>
              <w:rPr>
                <w:rFonts w:ascii="Arial"/>
                <w:sz w:val="21"/>
              </w:rPr>
            </w:pPr>
          </w:p>
          <w:p w14:paraId="25E42B5D">
            <w:pPr>
              <w:spacing w:line="249" w:lineRule="auto"/>
              <w:rPr>
                <w:rFonts w:ascii="Arial"/>
                <w:sz w:val="21"/>
              </w:rPr>
            </w:pPr>
          </w:p>
          <w:p w14:paraId="67B6A312">
            <w:pPr>
              <w:spacing w:line="249" w:lineRule="auto"/>
              <w:rPr>
                <w:rFonts w:ascii="Arial"/>
                <w:sz w:val="21"/>
              </w:rPr>
            </w:pPr>
          </w:p>
          <w:p w14:paraId="7C5C7D11">
            <w:pPr>
              <w:spacing w:line="249" w:lineRule="auto"/>
              <w:rPr>
                <w:rFonts w:ascii="Arial"/>
                <w:sz w:val="21"/>
              </w:rPr>
            </w:pPr>
          </w:p>
          <w:p w14:paraId="35F68F1B">
            <w:pPr>
              <w:spacing w:line="249" w:lineRule="auto"/>
              <w:rPr>
                <w:rFonts w:ascii="Arial"/>
                <w:sz w:val="21"/>
              </w:rPr>
            </w:pPr>
          </w:p>
          <w:p w14:paraId="7A8A5530">
            <w:pPr>
              <w:spacing w:line="250" w:lineRule="auto"/>
              <w:rPr>
                <w:rFonts w:ascii="Arial"/>
                <w:sz w:val="21"/>
              </w:rPr>
            </w:pPr>
          </w:p>
          <w:p w14:paraId="1F74D472">
            <w:pPr>
              <w:spacing w:line="250" w:lineRule="auto"/>
              <w:rPr>
                <w:rFonts w:ascii="Arial"/>
                <w:sz w:val="21"/>
              </w:rPr>
            </w:pPr>
          </w:p>
          <w:p w14:paraId="710F5D8F">
            <w:pPr>
              <w:pStyle w:val="23"/>
              <w:spacing w:before="78" w:line="222" w:lineRule="auto"/>
              <w:ind w:left="5153"/>
              <w:rPr>
                <w:sz w:val="24"/>
                <w:szCs w:val="24"/>
              </w:rPr>
            </w:pPr>
            <w:r>
              <w:rPr>
                <w:spacing w:val="-13"/>
                <w:sz w:val="24"/>
                <w:szCs w:val="24"/>
              </w:rPr>
              <w:t>调查人：</w:t>
            </w:r>
          </w:p>
          <w:p w14:paraId="6E99FBA4">
            <w:pPr>
              <w:pStyle w:val="23"/>
              <w:spacing w:before="302" w:line="219" w:lineRule="auto"/>
              <w:jc w:val="right"/>
              <w:rPr>
                <w:sz w:val="24"/>
                <w:szCs w:val="24"/>
              </w:rPr>
            </w:pPr>
            <w:r>
              <w:rPr>
                <w:spacing w:val="-13"/>
                <w:sz w:val="24"/>
                <w:szCs w:val="24"/>
              </w:rPr>
              <w:t>日期：</w:t>
            </w:r>
            <w:r>
              <w:rPr>
                <w:spacing w:val="3"/>
                <w:sz w:val="24"/>
                <w:szCs w:val="24"/>
              </w:rPr>
              <w:t xml:space="preserve">   </w:t>
            </w:r>
            <w:r>
              <w:rPr>
                <w:spacing w:val="-13"/>
                <w:sz w:val="24"/>
                <w:szCs w:val="24"/>
              </w:rPr>
              <w:t>年</w:t>
            </w:r>
            <w:r>
              <w:rPr>
                <w:spacing w:val="4"/>
                <w:sz w:val="24"/>
                <w:szCs w:val="24"/>
              </w:rPr>
              <w:t xml:space="preserve">    </w:t>
            </w:r>
            <w:r>
              <w:rPr>
                <w:spacing w:val="-13"/>
                <w:sz w:val="24"/>
                <w:szCs w:val="24"/>
              </w:rPr>
              <w:t>月</w:t>
            </w:r>
            <w:r>
              <w:rPr>
                <w:spacing w:val="13"/>
                <w:sz w:val="24"/>
                <w:szCs w:val="24"/>
              </w:rPr>
              <w:t xml:space="preserve">    </w:t>
            </w:r>
            <w:r>
              <w:rPr>
                <w:spacing w:val="-13"/>
                <w:sz w:val="24"/>
                <w:szCs w:val="24"/>
              </w:rPr>
              <w:t>日</w:t>
            </w:r>
          </w:p>
        </w:tc>
      </w:tr>
      <w:tr w14:paraId="54273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602" w:type="dxa"/>
            <w:vAlign w:val="top"/>
          </w:tcPr>
          <w:p w14:paraId="7D820916">
            <w:pPr>
              <w:pStyle w:val="23"/>
              <w:spacing w:before="281" w:line="221" w:lineRule="auto"/>
              <w:ind w:left="571"/>
              <w:rPr>
                <w:sz w:val="24"/>
                <w:szCs w:val="24"/>
              </w:rPr>
            </w:pPr>
            <w:r>
              <w:rPr>
                <w:spacing w:val="-4"/>
                <w:sz w:val="24"/>
                <w:szCs w:val="24"/>
              </w:rPr>
              <w:t>备注</w:t>
            </w:r>
          </w:p>
        </w:tc>
        <w:tc>
          <w:tcPr>
            <w:tcW w:w="538" w:type="dxa"/>
            <w:tcBorders>
              <w:right w:val="nil"/>
            </w:tcBorders>
            <w:vAlign w:val="top"/>
          </w:tcPr>
          <w:p w14:paraId="5134603E">
            <w:pPr>
              <w:rPr>
                <w:rFonts w:ascii="Arial"/>
                <w:sz w:val="21"/>
              </w:rPr>
            </w:pPr>
          </w:p>
        </w:tc>
        <w:tc>
          <w:tcPr>
            <w:tcW w:w="7417" w:type="dxa"/>
            <w:gridSpan w:val="3"/>
            <w:tcBorders>
              <w:left w:val="nil"/>
            </w:tcBorders>
            <w:vAlign w:val="top"/>
          </w:tcPr>
          <w:p w14:paraId="52DEB59A">
            <w:pPr>
              <w:rPr>
                <w:rFonts w:ascii="Arial"/>
                <w:sz w:val="21"/>
              </w:rPr>
            </w:pPr>
          </w:p>
        </w:tc>
      </w:tr>
    </w:tbl>
    <w:p w14:paraId="566F3353">
      <w:pPr>
        <w:rPr>
          <w:rFonts w:hint="default"/>
          <w:lang w:val="en-US" w:eastAsia="zh-CN"/>
        </w:rPr>
        <w:sectPr>
          <w:pgSz w:w="11906" w:h="16838"/>
          <w:pgMar w:top="1304" w:right="1304" w:bottom="1304" w:left="1304" w:header="851" w:footer="992" w:gutter="0"/>
          <w:pgNumType w:fmt="decimal"/>
          <w:cols w:space="425" w:num="1"/>
          <w:docGrid w:type="lines" w:linePitch="312" w:charSpace="0"/>
        </w:sectPr>
      </w:pPr>
    </w:p>
    <w:p w14:paraId="35E6E4E0">
      <w:pPr>
        <w:spacing w:before="117" w:line="220" w:lineRule="auto"/>
        <w:jc w:val="center"/>
        <w:rPr>
          <w:rFonts w:ascii="黑体" w:hAnsi="黑体" w:eastAsia="黑体" w:cs="黑体"/>
          <w:spacing w:val="-5"/>
          <w:sz w:val="36"/>
          <w:szCs w:val="36"/>
        </w:rPr>
      </w:pPr>
      <w:r>
        <w:rPr>
          <w:rFonts w:ascii="黑体" w:hAnsi="黑体" w:eastAsia="黑体" w:cs="黑体"/>
          <w:spacing w:val="-5"/>
          <w:sz w:val="36"/>
          <w:szCs w:val="36"/>
        </w:rPr>
        <w:t>表 7 白蚁预防工程施工方案</w:t>
      </w:r>
    </w:p>
    <w:p w14:paraId="2D3E8397">
      <w:pPr>
        <w:spacing w:before="14" w:line="212" w:lineRule="auto"/>
        <w:ind w:left="9231"/>
        <w:rPr>
          <w:rFonts w:ascii="宋体" w:hAnsi="宋体" w:eastAsia="宋体" w:cs="宋体"/>
          <w:spacing w:val="-8"/>
          <w:sz w:val="22"/>
          <w:szCs w:val="22"/>
        </w:rPr>
      </w:pPr>
    </w:p>
    <w:p w14:paraId="25B72717">
      <w:pPr>
        <w:spacing w:before="14" w:line="212" w:lineRule="auto"/>
        <w:ind w:firstLine="8160" w:firstLineChars="4000"/>
        <w:rPr>
          <w:rFonts w:ascii="宋体" w:hAnsi="宋体" w:eastAsia="宋体" w:cs="宋体"/>
          <w:sz w:val="22"/>
          <w:szCs w:val="22"/>
        </w:rPr>
      </w:pPr>
      <w:r>
        <w:rPr>
          <w:rFonts w:ascii="宋体" w:hAnsi="宋体" w:eastAsia="宋体" w:cs="宋体"/>
          <w:spacing w:val="-8"/>
          <w:sz w:val="22"/>
          <w:szCs w:val="22"/>
        </w:rPr>
        <w:t>登记编号：</w:t>
      </w:r>
    </w:p>
    <w:tbl>
      <w:tblPr>
        <w:tblStyle w:val="22"/>
        <w:tblW w:w="94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8"/>
        <w:gridCol w:w="2653"/>
        <w:gridCol w:w="2383"/>
        <w:gridCol w:w="2400"/>
      </w:tblGrid>
      <w:tr w14:paraId="2D5C9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998" w:type="dxa"/>
            <w:vAlign w:val="top"/>
          </w:tcPr>
          <w:p w14:paraId="26CC3FDA">
            <w:pPr>
              <w:pStyle w:val="23"/>
              <w:spacing w:before="105" w:line="220" w:lineRule="auto"/>
              <w:ind w:left="528"/>
              <w:rPr>
                <w:sz w:val="24"/>
                <w:szCs w:val="24"/>
              </w:rPr>
            </w:pPr>
            <w:r>
              <w:rPr>
                <w:spacing w:val="-3"/>
                <w:sz w:val="24"/>
                <w:szCs w:val="24"/>
              </w:rPr>
              <w:t>工程名称</w:t>
            </w:r>
          </w:p>
        </w:tc>
        <w:tc>
          <w:tcPr>
            <w:tcW w:w="7436" w:type="dxa"/>
            <w:gridSpan w:val="3"/>
            <w:vAlign w:val="top"/>
          </w:tcPr>
          <w:p w14:paraId="330172F4">
            <w:pPr>
              <w:rPr>
                <w:rFonts w:ascii="Arial"/>
                <w:sz w:val="24"/>
                <w:szCs w:val="24"/>
              </w:rPr>
            </w:pPr>
          </w:p>
        </w:tc>
      </w:tr>
      <w:tr w14:paraId="5538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98" w:type="dxa"/>
            <w:vAlign w:val="top"/>
          </w:tcPr>
          <w:p w14:paraId="1CDC383C">
            <w:pPr>
              <w:pStyle w:val="23"/>
              <w:spacing w:before="98" w:line="220" w:lineRule="auto"/>
              <w:ind w:left="528"/>
              <w:rPr>
                <w:sz w:val="24"/>
                <w:szCs w:val="24"/>
              </w:rPr>
            </w:pPr>
            <w:r>
              <w:rPr>
                <w:spacing w:val="-3"/>
                <w:sz w:val="24"/>
                <w:szCs w:val="24"/>
              </w:rPr>
              <w:t>工程地址</w:t>
            </w:r>
          </w:p>
        </w:tc>
        <w:tc>
          <w:tcPr>
            <w:tcW w:w="7436" w:type="dxa"/>
            <w:gridSpan w:val="3"/>
            <w:vAlign w:val="top"/>
          </w:tcPr>
          <w:p w14:paraId="678CB584">
            <w:pPr>
              <w:rPr>
                <w:rFonts w:ascii="Arial"/>
                <w:sz w:val="24"/>
                <w:szCs w:val="24"/>
              </w:rPr>
            </w:pPr>
          </w:p>
        </w:tc>
      </w:tr>
      <w:tr w14:paraId="49FC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98" w:type="dxa"/>
            <w:vAlign w:val="top"/>
          </w:tcPr>
          <w:p w14:paraId="3EF1CD8C">
            <w:pPr>
              <w:pStyle w:val="23"/>
              <w:spacing w:before="101" w:line="222" w:lineRule="auto"/>
              <w:ind w:left="404"/>
              <w:rPr>
                <w:sz w:val="24"/>
                <w:szCs w:val="24"/>
              </w:rPr>
            </w:pPr>
            <w:r>
              <w:rPr>
                <w:spacing w:val="-2"/>
                <w:sz w:val="24"/>
                <w:szCs w:val="24"/>
              </w:rPr>
              <w:t>施工联系人</w:t>
            </w:r>
          </w:p>
        </w:tc>
        <w:tc>
          <w:tcPr>
            <w:tcW w:w="2653" w:type="dxa"/>
            <w:vAlign w:val="top"/>
          </w:tcPr>
          <w:p w14:paraId="2336561C">
            <w:pPr>
              <w:rPr>
                <w:rFonts w:ascii="Arial"/>
                <w:sz w:val="24"/>
                <w:szCs w:val="24"/>
              </w:rPr>
            </w:pPr>
          </w:p>
        </w:tc>
        <w:tc>
          <w:tcPr>
            <w:tcW w:w="2383" w:type="dxa"/>
            <w:vAlign w:val="center"/>
          </w:tcPr>
          <w:p w14:paraId="027BC12D">
            <w:pPr>
              <w:pStyle w:val="23"/>
              <w:spacing w:before="101" w:line="222" w:lineRule="auto"/>
              <w:ind w:left="559"/>
              <w:jc w:val="center"/>
              <w:rPr>
                <w:sz w:val="24"/>
                <w:szCs w:val="24"/>
              </w:rPr>
            </w:pPr>
            <w:r>
              <w:rPr>
                <w:spacing w:val="-2"/>
                <w:sz w:val="24"/>
                <w:szCs w:val="24"/>
              </w:rPr>
              <w:t>联系电话</w:t>
            </w:r>
          </w:p>
        </w:tc>
        <w:tc>
          <w:tcPr>
            <w:tcW w:w="2400" w:type="dxa"/>
            <w:vAlign w:val="top"/>
          </w:tcPr>
          <w:p w14:paraId="74EC3730">
            <w:pPr>
              <w:rPr>
                <w:rFonts w:ascii="Arial"/>
                <w:sz w:val="24"/>
                <w:szCs w:val="24"/>
              </w:rPr>
            </w:pPr>
          </w:p>
        </w:tc>
      </w:tr>
      <w:tr w14:paraId="1AC19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98" w:type="dxa"/>
            <w:vAlign w:val="top"/>
          </w:tcPr>
          <w:p w14:paraId="0795802E">
            <w:pPr>
              <w:pStyle w:val="23"/>
              <w:spacing w:before="99" w:line="220" w:lineRule="auto"/>
              <w:ind w:left="526"/>
              <w:rPr>
                <w:sz w:val="24"/>
                <w:szCs w:val="24"/>
              </w:rPr>
            </w:pPr>
            <w:r>
              <w:rPr>
                <w:spacing w:val="-2"/>
                <w:sz w:val="24"/>
                <w:szCs w:val="24"/>
              </w:rPr>
              <w:t>房屋结构</w:t>
            </w:r>
          </w:p>
        </w:tc>
        <w:tc>
          <w:tcPr>
            <w:tcW w:w="2653" w:type="dxa"/>
            <w:vAlign w:val="top"/>
          </w:tcPr>
          <w:p w14:paraId="04FDBB8E">
            <w:pPr>
              <w:rPr>
                <w:rFonts w:ascii="Arial"/>
                <w:sz w:val="24"/>
                <w:szCs w:val="24"/>
              </w:rPr>
            </w:pPr>
          </w:p>
        </w:tc>
        <w:tc>
          <w:tcPr>
            <w:tcW w:w="2383" w:type="dxa"/>
            <w:vAlign w:val="center"/>
          </w:tcPr>
          <w:p w14:paraId="2CA279A8">
            <w:pPr>
              <w:pStyle w:val="23"/>
              <w:spacing w:before="110" w:line="221" w:lineRule="auto"/>
              <w:ind w:left="601"/>
              <w:jc w:val="center"/>
              <w:rPr>
                <w:sz w:val="24"/>
                <w:szCs w:val="24"/>
              </w:rPr>
            </w:pPr>
            <w:r>
              <w:rPr>
                <w:spacing w:val="-2"/>
                <w:sz w:val="24"/>
                <w:szCs w:val="24"/>
              </w:rPr>
              <w:t>建筑面积</w:t>
            </w:r>
          </w:p>
        </w:tc>
        <w:tc>
          <w:tcPr>
            <w:tcW w:w="2400" w:type="dxa"/>
            <w:vAlign w:val="top"/>
          </w:tcPr>
          <w:p w14:paraId="0C83B04D">
            <w:pPr>
              <w:rPr>
                <w:rFonts w:ascii="Arial"/>
                <w:sz w:val="24"/>
                <w:szCs w:val="24"/>
              </w:rPr>
            </w:pPr>
          </w:p>
        </w:tc>
      </w:tr>
      <w:tr w14:paraId="62DD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1998" w:type="dxa"/>
            <w:vAlign w:val="top"/>
          </w:tcPr>
          <w:p w14:paraId="46844DA3">
            <w:pPr>
              <w:pStyle w:val="23"/>
              <w:spacing w:before="101" w:line="220" w:lineRule="auto"/>
              <w:ind w:left="540"/>
              <w:rPr>
                <w:sz w:val="24"/>
                <w:szCs w:val="24"/>
              </w:rPr>
            </w:pPr>
            <w:r>
              <w:rPr>
                <w:spacing w:val="-5"/>
                <w:sz w:val="24"/>
                <w:szCs w:val="24"/>
              </w:rPr>
              <w:t>防治方法</w:t>
            </w:r>
          </w:p>
        </w:tc>
        <w:tc>
          <w:tcPr>
            <w:tcW w:w="7436" w:type="dxa"/>
            <w:gridSpan w:val="3"/>
            <w:vAlign w:val="center"/>
          </w:tcPr>
          <w:p w14:paraId="0D9E215A">
            <w:pPr>
              <w:jc w:val="center"/>
              <w:rPr>
                <w:rFonts w:ascii="Arial"/>
                <w:sz w:val="24"/>
                <w:szCs w:val="24"/>
              </w:rPr>
            </w:pPr>
          </w:p>
        </w:tc>
      </w:tr>
      <w:tr w14:paraId="7B90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1998" w:type="dxa"/>
            <w:vAlign w:val="top"/>
          </w:tcPr>
          <w:p w14:paraId="0BCC634E">
            <w:pPr>
              <w:pStyle w:val="23"/>
              <w:spacing w:before="166" w:line="220" w:lineRule="auto"/>
              <w:ind w:left="528"/>
              <w:rPr>
                <w:sz w:val="24"/>
                <w:szCs w:val="24"/>
              </w:rPr>
            </w:pPr>
            <w:r>
              <w:rPr>
                <w:spacing w:val="-3"/>
                <w:sz w:val="24"/>
                <w:szCs w:val="24"/>
              </w:rPr>
              <w:t>药物名称</w:t>
            </w:r>
          </w:p>
        </w:tc>
        <w:tc>
          <w:tcPr>
            <w:tcW w:w="2653" w:type="dxa"/>
            <w:vAlign w:val="top"/>
          </w:tcPr>
          <w:p w14:paraId="1E7D2E23">
            <w:pPr>
              <w:rPr>
                <w:rFonts w:ascii="Arial"/>
                <w:sz w:val="24"/>
                <w:szCs w:val="24"/>
              </w:rPr>
            </w:pPr>
          </w:p>
        </w:tc>
        <w:tc>
          <w:tcPr>
            <w:tcW w:w="2383" w:type="dxa"/>
            <w:vAlign w:val="center"/>
          </w:tcPr>
          <w:p w14:paraId="77D281BB">
            <w:pPr>
              <w:pStyle w:val="23"/>
              <w:spacing w:before="33" w:line="223" w:lineRule="auto"/>
              <w:ind w:right="320"/>
              <w:jc w:val="center"/>
              <w:rPr>
                <w:sz w:val="24"/>
                <w:szCs w:val="24"/>
              </w:rPr>
            </w:pPr>
            <w:r>
              <w:rPr>
                <w:spacing w:val="-1"/>
                <w:sz w:val="24"/>
                <w:szCs w:val="24"/>
              </w:rPr>
              <w:t>监测控制装置名</w:t>
            </w:r>
            <w:r>
              <w:rPr>
                <w:spacing w:val="-7"/>
                <w:sz w:val="24"/>
                <w:szCs w:val="24"/>
              </w:rPr>
              <w:t>称</w:t>
            </w:r>
          </w:p>
        </w:tc>
        <w:tc>
          <w:tcPr>
            <w:tcW w:w="2400" w:type="dxa"/>
            <w:vAlign w:val="top"/>
          </w:tcPr>
          <w:p w14:paraId="469F73D2">
            <w:pPr>
              <w:rPr>
                <w:rFonts w:ascii="Arial"/>
                <w:sz w:val="24"/>
                <w:szCs w:val="24"/>
              </w:rPr>
            </w:pPr>
          </w:p>
        </w:tc>
      </w:tr>
      <w:tr w14:paraId="6462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998" w:type="dxa"/>
            <w:vAlign w:val="top"/>
          </w:tcPr>
          <w:p w14:paraId="2D3B7D06">
            <w:pPr>
              <w:pStyle w:val="23"/>
              <w:spacing w:before="308" w:line="220" w:lineRule="auto"/>
              <w:ind w:left="651"/>
              <w:rPr>
                <w:sz w:val="24"/>
                <w:szCs w:val="24"/>
              </w:rPr>
            </w:pPr>
            <w:r>
              <w:rPr>
                <w:spacing w:val="-4"/>
                <w:sz w:val="24"/>
                <w:szCs w:val="24"/>
              </w:rPr>
              <w:t>总药量</w:t>
            </w:r>
          </w:p>
        </w:tc>
        <w:tc>
          <w:tcPr>
            <w:tcW w:w="2653" w:type="dxa"/>
            <w:vAlign w:val="top"/>
          </w:tcPr>
          <w:p w14:paraId="7CB96F09">
            <w:pPr>
              <w:rPr>
                <w:rFonts w:ascii="Arial"/>
                <w:sz w:val="24"/>
                <w:szCs w:val="24"/>
              </w:rPr>
            </w:pPr>
          </w:p>
        </w:tc>
        <w:tc>
          <w:tcPr>
            <w:tcW w:w="2383" w:type="dxa"/>
            <w:vAlign w:val="center"/>
          </w:tcPr>
          <w:p w14:paraId="1EDFA52D">
            <w:pPr>
              <w:pStyle w:val="23"/>
              <w:spacing w:before="33" w:line="239" w:lineRule="auto"/>
              <w:ind w:right="320"/>
              <w:jc w:val="center"/>
              <w:rPr>
                <w:sz w:val="24"/>
                <w:szCs w:val="24"/>
              </w:rPr>
            </w:pPr>
            <w:r>
              <w:rPr>
                <w:rFonts w:hint="eastAsia"/>
                <w:spacing w:val="-1"/>
                <w:sz w:val="24"/>
                <w:szCs w:val="24"/>
                <w:lang w:val="en-US" w:eastAsia="zh-CN"/>
              </w:rPr>
              <w:t xml:space="preserve">    </w:t>
            </w:r>
            <w:r>
              <w:rPr>
                <w:spacing w:val="-1"/>
                <w:sz w:val="24"/>
                <w:szCs w:val="24"/>
              </w:rPr>
              <w:t>类型（地上/地</w:t>
            </w:r>
            <w:r>
              <w:rPr>
                <w:spacing w:val="-8"/>
                <w:sz w:val="24"/>
                <w:szCs w:val="24"/>
              </w:rPr>
              <w:t>下）</w:t>
            </w:r>
            <w:r>
              <w:rPr>
                <w:spacing w:val="-3"/>
                <w:sz w:val="24"/>
                <w:szCs w:val="24"/>
              </w:rPr>
              <w:t>数量</w:t>
            </w:r>
          </w:p>
        </w:tc>
        <w:tc>
          <w:tcPr>
            <w:tcW w:w="2400" w:type="dxa"/>
            <w:vAlign w:val="top"/>
          </w:tcPr>
          <w:p w14:paraId="3ACE24E9">
            <w:pPr>
              <w:rPr>
                <w:rFonts w:ascii="Arial"/>
                <w:sz w:val="24"/>
                <w:szCs w:val="24"/>
              </w:rPr>
            </w:pPr>
          </w:p>
        </w:tc>
      </w:tr>
      <w:tr w14:paraId="1971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0" w:hRule="atLeast"/>
        </w:trPr>
        <w:tc>
          <w:tcPr>
            <w:tcW w:w="9434" w:type="dxa"/>
            <w:gridSpan w:val="4"/>
            <w:vAlign w:val="top"/>
          </w:tcPr>
          <w:p w14:paraId="523B61D3">
            <w:pPr>
              <w:pStyle w:val="23"/>
              <w:spacing w:before="38" w:line="220" w:lineRule="auto"/>
              <w:ind w:left="116"/>
              <w:rPr>
                <w:sz w:val="24"/>
                <w:szCs w:val="24"/>
              </w:rPr>
            </w:pPr>
            <w:r>
              <w:rPr>
                <w:spacing w:val="-11"/>
                <w:sz w:val="24"/>
                <w:szCs w:val="24"/>
              </w:rPr>
              <w:t>施工方案：</w:t>
            </w:r>
          </w:p>
          <w:p w14:paraId="046ECAFD">
            <w:pPr>
              <w:spacing w:line="245" w:lineRule="auto"/>
              <w:rPr>
                <w:rFonts w:ascii="Arial"/>
                <w:sz w:val="24"/>
                <w:szCs w:val="24"/>
              </w:rPr>
            </w:pPr>
          </w:p>
          <w:p w14:paraId="79D079D4">
            <w:pPr>
              <w:spacing w:line="245" w:lineRule="auto"/>
              <w:rPr>
                <w:rFonts w:ascii="Arial"/>
                <w:sz w:val="24"/>
                <w:szCs w:val="24"/>
              </w:rPr>
            </w:pPr>
          </w:p>
          <w:p w14:paraId="4855E107">
            <w:pPr>
              <w:spacing w:line="245" w:lineRule="auto"/>
              <w:rPr>
                <w:rFonts w:ascii="Arial"/>
                <w:sz w:val="24"/>
                <w:szCs w:val="24"/>
              </w:rPr>
            </w:pPr>
          </w:p>
          <w:p w14:paraId="7DFBAEC6">
            <w:pPr>
              <w:spacing w:line="245" w:lineRule="auto"/>
              <w:rPr>
                <w:rFonts w:ascii="Arial"/>
                <w:sz w:val="24"/>
                <w:szCs w:val="24"/>
              </w:rPr>
            </w:pPr>
          </w:p>
          <w:p w14:paraId="1A78EB04">
            <w:pPr>
              <w:spacing w:line="245" w:lineRule="auto"/>
              <w:rPr>
                <w:rFonts w:ascii="Arial"/>
                <w:sz w:val="24"/>
                <w:szCs w:val="24"/>
              </w:rPr>
            </w:pPr>
          </w:p>
          <w:p w14:paraId="1E4D3733">
            <w:pPr>
              <w:spacing w:line="245" w:lineRule="auto"/>
              <w:rPr>
                <w:rFonts w:ascii="Arial"/>
                <w:sz w:val="24"/>
                <w:szCs w:val="24"/>
              </w:rPr>
            </w:pPr>
          </w:p>
          <w:p w14:paraId="72B88039">
            <w:pPr>
              <w:spacing w:line="245" w:lineRule="auto"/>
              <w:rPr>
                <w:rFonts w:ascii="Arial"/>
                <w:sz w:val="24"/>
                <w:szCs w:val="24"/>
              </w:rPr>
            </w:pPr>
          </w:p>
          <w:p w14:paraId="0775F8BF">
            <w:pPr>
              <w:spacing w:line="245" w:lineRule="auto"/>
              <w:rPr>
                <w:rFonts w:ascii="Arial"/>
                <w:sz w:val="24"/>
                <w:szCs w:val="24"/>
              </w:rPr>
            </w:pPr>
          </w:p>
          <w:p w14:paraId="6DFDB9B3">
            <w:pPr>
              <w:spacing w:line="245" w:lineRule="auto"/>
              <w:rPr>
                <w:rFonts w:ascii="Arial"/>
                <w:sz w:val="24"/>
                <w:szCs w:val="24"/>
              </w:rPr>
            </w:pPr>
          </w:p>
          <w:p w14:paraId="22C9C86F">
            <w:pPr>
              <w:spacing w:line="245" w:lineRule="auto"/>
              <w:rPr>
                <w:rFonts w:ascii="Arial"/>
                <w:sz w:val="24"/>
                <w:szCs w:val="24"/>
              </w:rPr>
            </w:pPr>
          </w:p>
          <w:p w14:paraId="0706BF4D">
            <w:pPr>
              <w:spacing w:line="246" w:lineRule="auto"/>
              <w:rPr>
                <w:rFonts w:ascii="Arial"/>
                <w:sz w:val="24"/>
                <w:szCs w:val="24"/>
              </w:rPr>
            </w:pPr>
          </w:p>
          <w:p w14:paraId="2E75D15A">
            <w:pPr>
              <w:spacing w:line="246" w:lineRule="auto"/>
              <w:rPr>
                <w:rFonts w:ascii="Arial"/>
                <w:sz w:val="24"/>
                <w:szCs w:val="24"/>
              </w:rPr>
            </w:pPr>
          </w:p>
          <w:p w14:paraId="64800ECA">
            <w:pPr>
              <w:spacing w:line="246" w:lineRule="auto"/>
              <w:rPr>
                <w:rFonts w:ascii="Arial"/>
                <w:sz w:val="24"/>
                <w:szCs w:val="24"/>
              </w:rPr>
            </w:pPr>
          </w:p>
          <w:p w14:paraId="76C8AE58">
            <w:pPr>
              <w:spacing w:line="246" w:lineRule="auto"/>
              <w:rPr>
                <w:rFonts w:ascii="Arial"/>
                <w:sz w:val="24"/>
                <w:szCs w:val="24"/>
              </w:rPr>
            </w:pPr>
          </w:p>
          <w:p w14:paraId="7F78F9FB">
            <w:pPr>
              <w:spacing w:line="246" w:lineRule="auto"/>
              <w:rPr>
                <w:rFonts w:ascii="Arial"/>
                <w:sz w:val="24"/>
                <w:szCs w:val="24"/>
              </w:rPr>
            </w:pPr>
          </w:p>
          <w:p w14:paraId="591BBB94">
            <w:pPr>
              <w:spacing w:line="246" w:lineRule="auto"/>
              <w:rPr>
                <w:rFonts w:ascii="Arial"/>
                <w:sz w:val="24"/>
                <w:szCs w:val="24"/>
              </w:rPr>
            </w:pPr>
          </w:p>
          <w:p w14:paraId="0FDF50BD">
            <w:pPr>
              <w:spacing w:line="246" w:lineRule="auto"/>
              <w:rPr>
                <w:rFonts w:ascii="Arial"/>
                <w:sz w:val="24"/>
                <w:szCs w:val="24"/>
              </w:rPr>
            </w:pPr>
          </w:p>
          <w:p w14:paraId="66D44BCD">
            <w:pPr>
              <w:spacing w:line="246" w:lineRule="auto"/>
              <w:rPr>
                <w:rFonts w:ascii="Arial"/>
                <w:sz w:val="24"/>
                <w:szCs w:val="24"/>
              </w:rPr>
            </w:pPr>
          </w:p>
          <w:p w14:paraId="2E5ABF36">
            <w:pPr>
              <w:spacing w:line="246" w:lineRule="auto"/>
              <w:rPr>
                <w:rFonts w:ascii="Arial"/>
                <w:sz w:val="24"/>
                <w:szCs w:val="24"/>
              </w:rPr>
            </w:pPr>
          </w:p>
          <w:p w14:paraId="2EDED28E">
            <w:pPr>
              <w:pStyle w:val="23"/>
              <w:spacing w:before="78" w:line="220" w:lineRule="auto"/>
              <w:jc w:val="right"/>
              <w:rPr>
                <w:sz w:val="24"/>
                <w:szCs w:val="24"/>
              </w:rPr>
            </w:pPr>
            <w:r>
              <w:rPr>
                <w:spacing w:val="-9"/>
                <w:sz w:val="24"/>
                <w:szCs w:val="24"/>
              </w:rPr>
              <w:t>制定人：</w:t>
            </w:r>
            <w:r>
              <w:rPr>
                <w:spacing w:val="1"/>
                <w:sz w:val="24"/>
                <w:szCs w:val="24"/>
              </w:rPr>
              <w:t xml:space="preserve">                     </w:t>
            </w:r>
            <w:r>
              <w:rPr>
                <w:spacing w:val="-9"/>
                <w:sz w:val="24"/>
                <w:szCs w:val="24"/>
              </w:rPr>
              <w:t>审核人：</w:t>
            </w:r>
          </w:p>
          <w:p w14:paraId="2379E537">
            <w:pPr>
              <w:pStyle w:val="23"/>
              <w:spacing w:before="23" w:line="204" w:lineRule="auto"/>
              <w:jc w:val="right"/>
              <w:rPr>
                <w:sz w:val="24"/>
                <w:szCs w:val="24"/>
              </w:rPr>
            </w:pPr>
            <w:r>
              <w:rPr>
                <w:spacing w:val="-13"/>
                <w:sz w:val="24"/>
                <w:szCs w:val="24"/>
              </w:rPr>
              <w:t>日期：</w:t>
            </w:r>
            <w:r>
              <w:rPr>
                <w:spacing w:val="5"/>
                <w:sz w:val="24"/>
                <w:szCs w:val="24"/>
              </w:rPr>
              <w:t xml:space="preserve">  </w:t>
            </w:r>
            <w:r>
              <w:rPr>
                <w:spacing w:val="-13"/>
                <w:sz w:val="24"/>
                <w:szCs w:val="24"/>
              </w:rPr>
              <w:t>年</w:t>
            </w:r>
            <w:r>
              <w:rPr>
                <w:spacing w:val="2"/>
                <w:sz w:val="24"/>
                <w:szCs w:val="24"/>
              </w:rPr>
              <w:t xml:space="preserve">      </w:t>
            </w:r>
            <w:r>
              <w:rPr>
                <w:spacing w:val="-13"/>
                <w:sz w:val="24"/>
                <w:szCs w:val="24"/>
              </w:rPr>
              <w:t>月</w:t>
            </w:r>
            <w:r>
              <w:rPr>
                <w:spacing w:val="9"/>
                <w:sz w:val="24"/>
                <w:szCs w:val="24"/>
              </w:rPr>
              <w:t xml:space="preserve">      </w:t>
            </w:r>
            <w:r>
              <w:rPr>
                <w:spacing w:val="-13"/>
                <w:sz w:val="24"/>
                <w:szCs w:val="24"/>
              </w:rPr>
              <w:t>日</w:t>
            </w:r>
          </w:p>
        </w:tc>
      </w:tr>
      <w:tr w14:paraId="50B6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998" w:type="dxa"/>
            <w:vAlign w:val="top"/>
          </w:tcPr>
          <w:p w14:paraId="0160CD8D">
            <w:pPr>
              <w:pStyle w:val="23"/>
              <w:spacing w:before="283" w:line="221" w:lineRule="auto"/>
              <w:ind w:left="768"/>
              <w:rPr>
                <w:sz w:val="24"/>
                <w:szCs w:val="24"/>
              </w:rPr>
            </w:pPr>
            <w:r>
              <w:rPr>
                <w:spacing w:val="-4"/>
                <w:sz w:val="24"/>
                <w:szCs w:val="24"/>
              </w:rPr>
              <w:t>备注</w:t>
            </w:r>
          </w:p>
        </w:tc>
        <w:tc>
          <w:tcPr>
            <w:tcW w:w="7436" w:type="dxa"/>
            <w:gridSpan w:val="3"/>
            <w:vAlign w:val="top"/>
          </w:tcPr>
          <w:p w14:paraId="73A670A6">
            <w:pPr>
              <w:rPr>
                <w:rFonts w:ascii="Arial"/>
                <w:sz w:val="21"/>
              </w:rPr>
            </w:pPr>
          </w:p>
        </w:tc>
      </w:tr>
    </w:tbl>
    <w:p w14:paraId="50AFFD37">
      <w:pPr>
        <w:rPr>
          <w:rFonts w:hint="default"/>
          <w:lang w:val="en-US" w:eastAsia="zh-CN"/>
        </w:rPr>
        <w:sectPr>
          <w:pgSz w:w="11906" w:h="16838"/>
          <w:pgMar w:top="1304" w:right="1304" w:bottom="1304" w:left="1304" w:header="851" w:footer="992" w:gutter="0"/>
          <w:pgNumType w:fmt="decimal"/>
          <w:cols w:space="425" w:num="1"/>
          <w:docGrid w:type="lines" w:linePitch="312" w:charSpace="0"/>
        </w:sectPr>
      </w:pPr>
    </w:p>
    <w:p w14:paraId="0DF616BE">
      <w:pPr>
        <w:spacing w:before="117" w:line="220" w:lineRule="auto"/>
        <w:jc w:val="center"/>
        <w:rPr>
          <w:rFonts w:ascii="黑体" w:hAnsi="黑体" w:eastAsia="黑体" w:cs="黑体"/>
          <w:spacing w:val="-5"/>
          <w:sz w:val="36"/>
          <w:szCs w:val="36"/>
        </w:rPr>
      </w:pPr>
      <w:r>
        <w:rPr>
          <w:rFonts w:ascii="黑体" w:hAnsi="黑体" w:eastAsia="黑体" w:cs="黑体"/>
          <w:spacing w:val="-5"/>
          <w:sz w:val="36"/>
          <w:szCs w:val="36"/>
        </w:rPr>
        <w:t>表 8 白蚁预防工程药物屏障施工记录表</w:t>
      </w:r>
    </w:p>
    <w:p w14:paraId="5B094DC5">
      <w:pPr>
        <w:pStyle w:val="7"/>
        <w:spacing w:before="313" w:line="298" w:lineRule="auto"/>
        <w:ind w:right="2155"/>
        <w:jc w:val="right"/>
        <w:rPr>
          <w:rFonts w:ascii="宋体" w:hAnsi="宋体" w:eastAsia="宋体" w:cs="宋体"/>
          <w:b w:val="0"/>
          <w:bCs/>
          <w:sz w:val="22"/>
          <w:szCs w:val="22"/>
        </w:rPr>
      </w:pPr>
      <w:r>
        <w:rPr>
          <w:rFonts w:ascii="宋体" w:hAnsi="宋体" w:eastAsia="宋体" w:cs="宋体"/>
          <w:b w:val="0"/>
          <w:bCs/>
          <w:spacing w:val="-10"/>
          <w:sz w:val="22"/>
          <w:szCs w:val="22"/>
        </w:rPr>
        <w:t>登记编号：</w:t>
      </w:r>
    </w:p>
    <w:tbl>
      <w:tblPr>
        <w:tblStyle w:val="22"/>
        <w:tblW w:w="94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2226"/>
        <w:gridCol w:w="1893"/>
        <w:gridCol w:w="1871"/>
        <w:gridCol w:w="1712"/>
      </w:tblGrid>
      <w:tr w14:paraId="20D8D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732" w:type="dxa"/>
            <w:vAlign w:val="top"/>
          </w:tcPr>
          <w:p w14:paraId="585DA695">
            <w:pPr>
              <w:pStyle w:val="23"/>
              <w:spacing w:before="105" w:line="220" w:lineRule="auto"/>
              <w:ind w:left="396"/>
              <w:rPr>
                <w:sz w:val="24"/>
                <w:szCs w:val="24"/>
              </w:rPr>
            </w:pPr>
            <w:r>
              <w:rPr>
                <w:spacing w:val="-3"/>
                <w:sz w:val="24"/>
                <w:szCs w:val="24"/>
              </w:rPr>
              <w:t>工程名称</w:t>
            </w:r>
          </w:p>
        </w:tc>
        <w:tc>
          <w:tcPr>
            <w:tcW w:w="7702" w:type="dxa"/>
            <w:gridSpan w:val="4"/>
            <w:vAlign w:val="top"/>
          </w:tcPr>
          <w:p w14:paraId="2E52D635">
            <w:pPr>
              <w:rPr>
                <w:rFonts w:ascii="Arial"/>
                <w:sz w:val="24"/>
                <w:szCs w:val="24"/>
              </w:rPr>
            </w:pPr>
          </w:p>
        </w:tc>
      </w:tr>
      <w:tr w14:paraId="53669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732" w:type="dxa"/>
            <w:vAlign w:val="top"/>
          </w:tcPr>
          <w:p w14:paraId="70F6FD26">
            <w:pPr>
              <w:pStyle w:val="23"/>
              <w:spacing w:before="98" w:line="220" w:lineRule="auto"/>
              <w:ind w:left="396"/>
              <w:rPr>
                <w:sz w:val="24"/>
                <w:szCs w:val="24"/>
              </w:rPr>
            </w:pPr>
            <w:r>
              <w:rPr>
                <w:spacing w:val="-3"/>
                <w:sz w:val="24"/>
                <w:szCs w:val="24"/>
              </w:rPr>
              <w:t>工程地址</w:t>
            </w:r>
          </w:p>
        </w:tc>
        <w:tc>
          <w:tcPr>
            <w:tcW w:w="7702" w:type="dxa"/>
            <w:gridSpan w:val="4"/>
            <w:vAlign w:val="top"/>
          </w:tcPr>
          <w:p w14:paraId="1D2A4369">
            <w:pPr>
              <w:rPr>
                <w:rFonts w:ascii="Arial"/>
                <w:sz w:val="24"/>
                <w:szCs w:val="24"/>
              </w:rPr>
            </w:pPr>
          </w:p>
        </w:tc>
      </w:tr>
      <w:tr w14:paraId="431E7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32" w:type="dxa"/>
            <w:vAlign w:val="top"/>
          </w:tcPr>
          <w:p w14:paraId="065A1B00">
            <w:pPr>
              <w:pStyle w:val="23"/>
              <w:spacing w:before="101" w:line="220" w:lineRule="auto"/>
              <w:ind w:left="274"/>
              <w:rPr>
                <w:sz w:val="24"/>
                <w:szCs w:val="24"/>
              </w:rPr>
            </w:pPr>
            <w:r>
              <w:rPr>
                <w:spacing w:val="-2"/>
                <w:sz w:val="24"/>
                <w:szCs w:val="24"/>
              </w:rPr>
              <w:t>房屋联系人</w:t>
            </w:r>
          </w:p>
        </w:tc>
        <w:tc>
          <w:tcPr>
            <w:tcW w:w="4119" w:type="dxa"/>
            <w:gridSpan w:val="2"/>
            <w:vAlign w:val="top"/>
          </w:tcPr>
          <w:p w14:paraId="6B65F2AE">
            <w:pPr>
              <w:rPr>
                <w:rFonts w:ascii="Arial"/>
                <w:sz w:val="24"/>
                <w:szCs w:val="24"/>
              </w:rPr>
            </w:pPr>
          </w:p>
        </w:tc>
        <w:tc>
          <w:tcPr>
            <w:tcW w:w="1871" w:type="dxa"/>
            <w:vAlign w:val="top"/>
          </w:tcPr>
          <w:p w14:paraId="6D0858BB">
            <w:pPr>
              <w:pStyle w:val="23"/>
              <w:spacing w:before="101" w:line="222" w:lineRule="auto"/>
              <w:ind w:left="396"/>
              <w:rPr>
                <w:sz w:val="24"/>
                <w:szCs w:val="24"/>
              </w:rPr>
            </w:pPr>
            <w:r>
              <w:rPr>
                <w:spacing w:val="-2"/>
                <w:sz w:val="24"/>
                <w:szCs w:val="24"/>
              </w:rPr>
              <w:t>联系电话</w:t>
            </w:r>
          </w:p>
        </w:tc>
        <w:tc>
          <w:tcPr>
            <w:tcW w:w="1712" w:type="dxa"/>
            <w:vAlign w:val="top"/>
          </w:tcPr>
          <w:p w14:paraId="3B5008B7">
            <w:pPr>
              <w:rPr>
                <w:rFonts w:ascii="Arial"/>
                <w:sz w:val="24"/>
                <w:szCs w:val="24"/>
              </w:rPr>
            </w:pPr>
          </w:p>
        </w:tc>
      </w:tr>
      <w:tr w14:paraId="2400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32" w:type="dxa"/>
            <w:vAlign w:val="top"/>
          </w:tcPr>
          <w:p w14:paraId="3665E219">
            <w:pPr>
              <w:pStyle w:val="23"/>
              <w:spacing w:before="99" w:line="222" w:lineRule="auto"/>
              <w:ind w:left="276"/>
              <w:rPr>
                <w:sz w:val="24"/>
                <w:szCs w:val="24"/>
              </w:rPr>
            </w:pPr>
            <w:r>
              <w:rPr>
                <w:spacing w:val="-2"/>
                <w:sz w:val="24"/>
                <w:szCs w:val="24"/>
              </w:rPr>
              <w:t>工地联系人</w:t>
            </w:r>
          </w:p>
        </w:tc>
        <w:tc>
          <w:tcPr>
            <w:tcW w:w="4119" w:type="dxa"/>
            <w:gridSpan w:val="2"/>
            <w:vAlign w:val="top"/>
          </w:tcPr>
          <w:p w14:paraId="5A7577D9">
            <w:pPr>
              <w:rPr>
                <w:rFonts w:ascii="Arial"/>
                <w:sz w:val="24"/>
                <w:szCs w:val="24"/>
              </w:rPr>
            </w:pPr>
          </w:p>
        </w:tc>
        <w:tc>
          <w:tcPr>
            <w:tcW w:w="1871" w:type="dxa"/>
            <w:vAlign w:val="top"/>
          </w:tcPr>
          <w:p w14:paraId="6F561615">
            <w:pPr>
              <w:pStyle w:val="23"/>
              <w:spacing w:before="99" w:line="222" w:lineRule="auto"/>
              <w:ind w:left="396"/>
              <w:rPr>
                <w:sz w:val="24"/>
                <w:szCs w:val="24"/>
              </w:rPr>
            </w:pPr>
            <w:r>
              <w:rPr>
                <w:spacing w:val="-2"/>
                <w:sz w:val="24"/>
                <w:szCs w:val="24"/>
              </w:rPr>
              <w:t>联系电话</w:t>
            </w:r>
          </w:p>
        </w:tc>
        <w:tc>
          <w:tcPr>
            <w:tcW w:w="1712" w:type="dxa"/>
            <w:vAlign w:val="top"/>
          </w:tcPr>
          <w:p w14:paraId="40388731">
            <w:pPr>
              <w:rPr>
                <w:rFonts w:ascii="Arial"/>
                <w:sz w:val="24"/>
                <w:szCs w:val="24"/>
              </w:rPr>
            </w:pPr>
          </w:p>
        </w:tc>
      </w:tr>
      <w:tr w14:paraId="0186D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32" w:type="dxa"/>
            <w:vAlign w:val="top"/>
          </w:tcPr>
          <w:p w14:paraId="4C9B369E">
            <w:pPr>
              <w:pStyle w:val="23"/>
              <w:spacing w:before="101" w:line="220" w:lineRule="auto"/>
              <w:ind w:left="394"/>
              <w:rPr>
                <w:sz w:val="24"/>
                <w:szCs w:val="24"/>
              </w:rPr>
            </w:pPr>
            <w:r>
              <w:rPr>
                <w:spacing w:val="-2"/>
                <w:sz w:val="24"/>
                <w:szCs w:val="24"/>
              </w:rPr>
              <w:t>房屋结构</w:t>
            </w:r>
          </w:p>
        </w:tc>
        <w:tc>
          <w:tcPr>
            <w:tcW w:w="4119" w:type="dxa"/>
            <w:gridSpan w:val="2"/>
            <w:vAlign w:val="top"/>
          </w:tcPr>
          <w:p w14:paraId="30EC922C">
            <w:pPr>
              <w:rPr>
                <w:rFonts w:ascii="Arial"/>
                <w:sz w:val="24"/>
                <w:szCs w:val="24"/>
              </w:rPr>
            </w:pPr>
          </w:p>
        </w:tc>
        <w:tc>
          <w:tcPr>
            <w:tcW w:w="1871" w:type="dxa"/>
            <w:vAlign w:val="top"/>
          </w:tcPr>
          <w:p w14:paraId="522CF3AF">
            <w:pPr>
              <w:pStyle w:val="23"/>
              <w:spacing w:before="110" w:line="221" w:lineRule="auto"/>
              <w:ind w:left="438"/>
              <w:rPr>
                <w:sz w:val="24"/>
                <w:szCs w:val="24"/>
              </w:rPr>
            </w:pPr>
            <w:r>
              <w:rPr>
                <w:spacing w:val="-2"/>
                <w:sz w:val="24"/>
                <w:szCs w:val="24"/>
              </w:rPr>
              <w:t>建筑面积</w:t>
            </w:r>
          </w:p>
        </w:tc>
        <w:tc>
          <w:tcPr>
            <w:tcW w:w="1712" w:type="dxa"/>
            <w:vAlign w:val="top"/>
          </w:tcPr>
          <w:p w14:paraId="5B01A9CC">
            <w:pPr>
              <w:rPr>
                <w:rFonts w:ascii="Arial"/>
                <w:sz w:val="24"/>
                <w:szCs w:val="24"/>
              </w:rPr>
            </w:pPr>
          </w:p>
        </w:tc>
      </w:tr>
      <w:tr w14:paraId="28C7C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732" w:type="dxa"/>
            <w:vAlign w:val="top"/>
          </w:tcPr>
          <w:p w14:paraId="64F1D36E">
            <w:pPr>
              <w:pStyle w:val="23"/>
              <w:spacing w:before="152" w:line="242" w:lineRule="auto"/>
              <w:ind w:left="754" w:right="143" w:hanging="597"/>
              <w:rPr>
                <w:sz w:val="24"/>
                <w:szCs w:val="24"/>
              </w:rPr>
            </w:pPr>
            <w:r>
              <w:rPr>
                <w:spacing w:val="-3"/>
                <w:sz w:val="24"/>
                <w:szCs w:val="24"/>
              </w:rPr>
              <w:t>项目负责人签</w:t>
            </w:r>
            <w:r>
              <w:rPr>
                <w:sz w:val="24"/>
                <w:szCs w:val="24"/>
              </w:rPr>
              <w:t>字</w:t>
            </w:r>
          </w:p>
        </w:tc>
        <w:tc>
          <w:tcPr>
            <w:tcW w:w="4119" w:type="dxa"/>
            <w:gridSpan w:val="2"/>
            <w:vAlign w:val="top"/>
          </w:tcPr>
          <w:p w14:paraId="6FBD6347">
            <w:pPr>
              <w:rPr>
                <w:rFonts w:ascii="Arial"/>
                <w:sz w:val="24"/>
                <w:szCs w:val="24"/>
              </w:rPr>
            </w:pPr>
          </w:p>
        </w:tc>
        <w:tc>
          <w:tcPr>
            <w:tcW w:w="1871" w:type="dxa"/>
            <w:vAlign w:val="top"/>
          </w:tcPr>
          <w:p w14:paraId="187BC83B">
            <w:pPr>
              <w:pStyle w:val="23"/>
              <w:spacing w:before="34" w:line="220" w:lineRule="auto"/>
              <w:ind w:left="220"/>
              <w:rPr>
                <w:sz w:val="24"/>
                <w:szCs w:val="24"/>
              </w:rPr>
            </w:pPr>
            <w:r>
              <w:rPr>
                <w:spacing w:val="-3"/>
                <w:sz w:val="24"/>
                <w:szCs w:val="24"/>
              </w:rPr>
              <w:t>管理单位（监</w:t>
            </w:r>
          </w:p>
          <w:p w14:paraId="43FA9707">
            <w:pPr>
              <w:pStyle w:val="23"/>
              <w:spacing w:before="23" w:line="220" w:lineRule="auto"/>
              <w:ind w:left="217"/>
              <w:rPr>
                <w:sz w:val="24"/>
                <w:szCs w:val="24"/>
              </w:rPr>
            </w:pPr>
            <w:r>
              <w:rPr>
                <w:spacing w:val="-1"/>
                <w:sz w:val="24"/>
                <w:szCs w:val="24"/>
              </w:rPr>
              <w:t>理单位）代表</w:t>
            </w:r>
          </w:p>
          <w:p w14:paraId="69EF895D">
            <w:pPr>
              <w:pStyle w:val="23"/>
              <w:spacing w:before="20" w:line="206" w:lineRule="auto"/>
              <w:ind w:left="656"/>
              <w:rPr>
                <w:sz w:val="24"/>
                <w:szCs w:val="24"/>
              </w:rPr>
            </w:pPr>
            <w:r>
              <w:rPr>
                <w:spacing w:val="-2"/>
                <w:sz w:val="24"/>
                <w:szCs w:val="24"/>
              </w:rPr>
              <w:t>签字</w:t>
            </w:r>
          </w:p>
        </w:tc>
        <w:tc>
          <w:tcPr>
            <w:tcW w:w="1712" w:type="dxa"/>
            <w:vAlign w:val="top"/>
          </w:tcPr>
          <w:p w14:paraId="704BC6BD">
            <w:pPr>
              <w:rPr>
                <w:rFonts w:ascii="Arial"/>
                <w:sz w:val="24"/>
                <w:szCs w:val="24"/>
              </w:rPr>
            </w:pPr>
          </w:p>
        </w:tc>
      </w:tr>
      <w:tr w14:paraId="3842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32" w:type="dxa"/>
            <w:vAlign w:val="top"/>
          </w:tcPr>
          <w:p w14:paraId="1F5E0E67">
            <w:pPr>
              <w:pStyle w:val="23"/>
              <w:spacing w:before="103" w:line="220" w:lineRule="auto"/>
              <w:ind w:left="392"/>
              <w:rPr>
                <w:sz w:val="24"/>
                <w:szCs w:val="24"/>
              </w:rPr>
            </w:pPr>
            <w:r>
              <w:rPr>
                <w:spacing w:val="-2"/>
                <w:sz w:val="24"/>
                <w:szCs w:val="24"/>
              </w:rPr>
              <w:t>施工日期</w:t>
            </w:r>
          </w:p>
        </w:tc>
        <w:tc>
          <w:tcPr>
            <w:tcW w:w="2226" w:type="dxa"/>
            <w:vAlign w:val="top"/>
          </w:tcPr>
          <w:p w14:paraId="2486AD82">
            <w:pPr>
              <w:pStyle w:val="23"/>
              <w:spacing w:before="102" w:line="220" w:lineRule="auto"/>
              <w:ind w:left="637"/>
              <w:rPr>
                <w:sz w:val="24"/>
                <w:szCs w:val="24"/>
              </w:rPr>
            </w:pPr>
            <w:r>
              <w:rPr>
                <w:spacing w:val="-2"/>
                <w:sz w:val="24"/>
                <w:szCs w:val="24"/>
              </w:rPr>
              <w:t>施工内容</w:t>
            </w:r>
          </w:p>
        </w:tc>
        <w:tc>
          <w:tcPr>
            <w:tcW w:w="1893" w:type="dxa"/>
            <w:vAlign w:val="top"/>
          </w:tcPr>
          <w:p w14:paraId="1650B99E">
            <w:pPr>
              <w:pStyle w:val="23"/>
              <w:spacing w:before="103" w:line="220" w:lineRule="auto"/>
              <w:ind w:left="639"/>
              <w:rPr>
                <w:sz w:val="24"/>
                <w:szCs w:val="24"/>
              </w:rPr>
            </w:pPr>
            <w:r>
              <w:rPr>
                <w:spacing w:val="-2"/>
                <w:sz w:val="24"/>
                <w:szCs w:val="24"/>
              </w:rPr>
              <w:t>施工范围</w:t>
            </w:r>
          </w:p>
        </w:tc>
        <w:tc>
          <w:tcPr>
            <w:tcW w:w="1871" w:type="dxa"/>
            <w:vAlign w:val="top"/>
          </w:tcPr>
          <w:p w14:paraId="7FBF77EE">
            <w:pPr>
              <w:pStyle w:val="23"/>
              <w:spacing w:before="102" w:line="220" w:lineRule="auto"/>
              <w:ind w:left="406"/>
              <w:rPr>
                <w:sz w:val="24"/>
                <w:szCs w:val="24"/>
              </w:rPr>
            </w:pPr>
            <w:r>
              <w:rPr>
                <w:spacing w:val="-2"/>
                <w:sz w:val="24"/>
                <w:szCs w:val="24"/>
              </w:rPr>
              <w:t>药物使用情况</w:t>
            </w:r>
          </w:p>
        </w:tc>
        <w:tc>
          <w:tcPr>
            <w:tcW w:w="1712" w:type="dxa"/>
            <w:vAlign w:val="top"/>
          </w:tcPr>
          <w:p w14:paraId="6FB1766C">
            <w:pPr>
              <w:pStyle w:val="23"/>
              <w:spacing w:before="103" w:line="222" w:lineRule="auto"/>
              <w:ind w:left="651"/>
              <w:rPr>
                <w:sz w:val="24"/>
                <w:szCs w:val="24"/>
              </w:rPr>
            </w:pPr>
            <w:r>
              <w:rPr>
                <w:spacing w:val="-2"/>
                <w:sz w:val="24"/>
                <w:szCs w:val="24"/>
              </w:rPr>
              <w:t>施工人</w:t>
            </w:r>
          </w:p>
        </w:tc>
      </w:tr>
      <w:tr w14:paraId="7BDA2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2" w:type="dxa"/>
            <w:vAlign w:val="top"/>
          </w:tcPr>
          <w:p w14:paraId="518608DE">
            <w:pPr>
              <w:rPr>
                <w:rFonts w:ascii="Arial"/>
                <w:sz w:val="21"/>
              </w:rPr>
            </w:pPr>
          </w:p>
        </w:tc>
        <w:tc>
          <w:tcPr>
            <w:tcW w:w="2226" w:type="dxa"/>
            <w:vAlign w:val="top"/>
          </w:tcPr>
          <w:p w14:paraId="629FC7AA">
            <w:pPr>
              <w:rPr>
                <w:rFonts w:ascii="Arial"/>
                <w:sz w:val="21"/>
              </w:rPr>
            </w:pPr>
          </w:p>
        </w:tc>
        <w:tc>
          <w:tcPr>
            <w:tcW w:w="1893" w:type="dxa"/>
            <w:vAlign w:val="top"/>
          </w:tcPr>
          <w:p w14:paraId="4816D48D">
            <w:pPr>
              <w:rPr>
                <w:rFonts w:ascii="Arial"/>
                <w:sz w:val="21"/>
              </w:rPr>
            </w:pPr>
          </w:p>
        </w:tc>
        <w:tc>
          <w:tcPr>
            <w:tcW w:w="1871" w:type="dxa"/>
            <w:vAlign w:val="top"/>
          </w:tcPr>
          <w:p w14:paraId="645C2990">
            <w:pPr>
              <w:rPr>
                <w:rFonts w:ascii="Arial"/>
                <w:sz w:val="21"/>
              </w:rPr>
            </w:pPr>
          </w:p>
        </w:tc>
        <w:tc>
          <w:tcPr>
            <w:tcW w:w="1712" w:type="dxa"/>
            <w:vAlign w:val="top"/>
          </w:tcPr>
          <w:p w14:paraId="17B54115">
            <w:pPr>
              <w:rPr>
                <w:rFonts w:ascii="Arial"/>
                <w:sz w:val="21"/>
              </w:rPr>
            </w:pPr>
          </w:p>
        </w:tc>
      </w:tr>
      <w:tr w14:paraId="62BEB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2" w:type="dxa"/>
            <w:vAlign w:val="top"/>
          </w:tcPr>
          <w:p w14:paraId="4CD6B9B5">
            <w:pPr>
              <w:rPr>
                <w:rFonts w:ascii="Arial"/>
                <w:sz w:val="21"/>
              </w:rPr>
            </w:pPr>
          </w:p>
        </w:tc>
        <w:tc>
          <w:tcPr>
            <w:tcW w:w="2226" w:type="dxa"/>
            <w:vAlign w:val="top"/>
          </w:tcPr>
          <w:p w14:paraId="4C021F7E">
            <w:pPr>
              <w:rPr>
                <w:rFonts w:ascii="Arial"/>
                <w:sz w:val="21"/>
              </w:rPr>
            </w:pPr>
          </w:p>
        </w:tc>
        <w:tc>
          <w:tcPr>
            <w:tcW w:w="1893" w:type="dxa"/>
            <w:vAlign w:val="top"/>
          </w:tcPr>
          <w:p w14:paraId="73F9AC4A">
            <w:pPr>
              <w:rPr>
                <w:rFonts w:ascii="Arial"/>
                <w:sz w:val="21"/>
              </w:rPr>
            </w:pPr>
          </w:p>
        </w:tc>
        <w:tc>
          <w:tcPr>
            <w:tcW w:w="1871" w:type="dxa"/>
            <w:vAlign w:val="top"/>
          </w:tcPr>
          <w:p w14:paraId="6B742EFD">
            <w:pPr>
              <w:rPr>
                <w:rFonts w:ascii="Arial"/>
                <w:sz w:val="21"/>
              </w:rPr>
            </w:pPr>
          </w:p>
        </w:tc>
        <w:tc>
          <w:tcPr>
            <w:tcW w:w="1712" w:type="dxa"/>
            <w:vAlign w:val="top"/>
          </w:tcPr>
          <w:p w14:paraId="77460BB4">
            <w:pPr>
              <w:rPr>
                <w:rFonts w:ascii="Arial"/>
                <w:sz w:val="21"/>
              </w:rPr>
            </w:pPr>
          </w:p>
        </w:tc>
      </w:tr>
      <w:tr w14:paraId="5EB4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32" w:type="dxa"/>
            <w:vAlign w:val="top"/>
          </w:tcPr>
          <w:p w14:paraId="4909C692">
            <w:pPr>
              <w:rPr>
                <w:rFonts w:ascii="Arial"/>
                <w:sz w:val="21"/>
              </w:rPr>
            </w:pPr>
          </w:p>
        </w:tc>
        <w:tc>
          <w:tcPr>
            <w:tcW w:w="2226" w:type="dxa"/>
            <w:vAlign w:val="top"/>
          </w:tcPr>
          <w:p w14:paraId="1750489D">
            <w:pPr>
              <w:rPr>
                <w:rFonts w:ascii="Arial"/>
                <w:sz w:val="21"/>
              </w:rPr>
            </w:pPr>
          </w:p>
        </w:tc>
        <w:tc>
          <w:tcPr>
            <w:tcW w:w="1893" w:type="dxa"/>
            <w:vAlign w:val="top"/>
          </w:tcPr>
          <w:p w14:paraId="3BC1D6F0">
            <w:pPr>
              <w:rPr>
                <w:rFonts w:ascii="Arial"/>
                <w:sz w:val="21"/>
              </w:rPr>
            </w:pPr>
          </w:p>
        </w:tc>
        <w:tc>
          <w:tcPr>
            <w:tcW w:w="1871" w:type="dxa"/>
            <w:vAlign w:val="top"/>
          </w:tcPr>
          <w:p w14:paraId="02BAAC1D">
            <w:pPr>
              <w:rPr>
                <w:rFonts w:ascii="Arial"/>
                <w:sz w:val="21"/>
              </w:rPr>
            </w:pPr>
          </w:p>
        </w:tc>
        <w:tc>
          <w:tcPr>
            <w:tcW w:w="1712" w:type="dxa"/>
            <w:vAlign w:val="top"/>
          </w:tcPr>
          <w:p w14:paraId="26A419E9">
            <w:pPr>
              <w:rPr>
                <w:rFonts w:ascii="Arial"/>
                <w:sz w:val="21"/>
              </w:rPr>
            </w:pPr>
          </w:p>
        </w:tc>
      </w:tr>
      <w:tr w14:paraId="769E9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2" w:type="dxa"/>
            <w:vAlign w:val="top"/>
          </w:tcPr>
          <w:p w14:paraId="1280C796">
            <w:pPr>
              <w:rPr>
                <w:rFonts w:ascii="Arial"/>
                <w:sz w:val="21"/>
              </w:rPr>
            </w:pPr>
          </w:p>
        </w:tc>
        <w:tc>
          <w:tcPr>
            <w:tcW w:w="2226" w:type="dxa"/>
            <w:vAlign w:val="top"/>
          </w:tcPr>
          <w:p w14:paraId="387ABBDB">
            <w:pPr>
              <w:rPr>
                <w:rFonts w:ascii="Arial"/>
                <w:sz w:val="21"/>
              </w:rPr>
            </w:pPr>
          </w:p>
        </w:tc>
        <w:tc>
          <w:tcPr>
            <w:tcW w:w="1893" w:type="dxa"/>
            <w:vAlign w:val="top"/>
          </w:tcPr>
          <w:p w14:paraId="77ABB9F4">
            <w:pPr>
              <w:rPr>
                <w:rFonts w:ascii="Arial"/>
                <w:sz w:val="21"/>
              </w:rPr>
            </w:pPr>
          </w:p>
        </w:tc>
        <w:tc>
          <w:tcPr>
            <w:tcW w:w="1871" w:type="dxa"/>
            <w:vAlign w:val="top"/>
          </w:tcPr>
          <w:p w14:paraId="0DF578E5">
            <w:pPr>
              <w:rPr>
                <w:rFonts w:ascii="Arial"/>
                <w:sz w:val="21"/>
              </w:rPr>
            </w:pPr>
          </w:p>
        </w:tc>
        <w:tc>
          <w:tcPr>
            <w:tcW w:w="1712" w:type="dxa"/>
            <w:vAlign w:val="top"/>
          </w:tcPr>
          <w:p w14:paraId="6A909E11">
            <w:pPr>
              <w:rPr>
                <w:rFonts w:ascii="Arial"/>
                <w:sz w:val="21"/>
              </w:rPr>
            </w:pPr>
          </w:p>
        </w:tc>
      </w:tr>
      <w:tr w14:paraId="3A51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2" w:type="dxa"/>
            <w:vAlign w:val="top"/>
          </w:tcPr>
          <w:p w14:paraId="5533D2DC">
            <w:pPr>
              <w:rPr>
                <w:rFonts w:ascii="Arial"/>
                <w:sz w:val="21"/>
              </w:rPr>
            </w:pPr>
          </w:p>
        </w:tc>
        <w:tc>
          <w:tcPr>
            <w:tcW w:w="2226" w:type="dxa"/>
            <w:vAlign w:val="top"/>
          </w:tcPr>
          <w:p w14:paraId="557A8CBD">
            <w:pPr>
              <w:rPr>
                <w:rFonts w:ascii="Arial"/>
                <w:sz w:val="21"/>
              </w:rPr>
            </w:pPr>
          </w:p>
        </w:tc>
        <w:tc>
          <w:tcPr>
            <w:tcW w:w="1893" w:type="dxa"/>
            <w:vAlign w:val="top"/>
          </w:tcPr>
          <w:p w14:paraId="5859BF9E">
            <w:pPr>
              <w:rPr>
                <w:rFonts w:ascii="Arial"/>
                <w:sz w:val="21"/>
              </w:rPr>
            </w:pPr>
          </w:p>
        </w:tc>
        <w:tc>
          <w:tcPr>
            <w:tcW w:w="1871" w:type="dxa"/>
            <w:vAlign w:val="top"/>
          </w:tcPr>
          <w:p w14:paraId="3154E322">
            <w:pPr>
              <w:rPr>
                <w:rFonts w:ascii="Arial"/>
                <w:sz w:val="21"/>
              </w:rPr>
            </w:pPr>
          </w:p>
        </w:tc>
        <w:tc>
          <w:tcPr>
            <w:tcW w:w="1712" w:type="dxa"/>
            <w:vAlign w:val="top"/>
          </w:tcPr>
          <w:p w14:paraId="488C7E02">
            <w:pPr>
              <w:rPr>
                <w:rFonts w:ascii="Arial"/>
                <w:sz w:val="21"/>
              </w:rPr>
            </w:pPr>
          </w:p>
        </w:tc>
      </w:tr>
      <w:tr w14:paraId="2C2F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2" w:type="dxa"/>
            <w:vAlign w:val="top"/>
          </w:tcPr>
          <w:p w14:paraId="7D39E622">
            <w:pPr>
              <w:rPr>
                <w:rFonts w:ascii="Arial"/>
                <w:sz w:val="21"/>
              </w:rPr>
            </w:pPr>
          </w:p>
        </w:tc>
        <w:tc>
          <w:tcPr>
            <w:tcW w:w="2226" w:type="dxa"/>
            <w:vAlign w:val="top"/>
          </w:tcPr>
          <w:p w14:paraId="5475464D">
            <w:pPr>
              <w:rPr>
                <w:rFonts w:ascii="Arial"/>
                <w:sz w:val="21"/>
              </w:rPr>
            </w:pPr>
          </w:p>
        </w:tc>
        <w:tc>
          <w:tcPr>
            <w:tcW w:w="1893" w:type="dxa"/>
            <w:vAlign w:val="top"/>
          </w:tcPr>
          <w:p w14:paraId="1D2D40BF">
            <w:pPr>
              <w:rPr>
                <w:rFonts w:ascii="Arial"/>
                <w:sz w:val="21"/>
              </w:rPr>
            </w:pPr>
          </w:p>
        </w:tc>
        <w:tc>
          <w:tcPr>
            <w:tcW w:w="1871" w:type="dxa"/>
            <w:vAlign w:val="top"/>
          </w:tcPr>
          <w:p w14:paraId="170E0431">
            <w:pPr>
              <w:rPr>
                <w:rFonts w:ascii="Arial"/>
                <w:sz w:val="21"/>
              </w:rPr>
            </w:pPr>
          </w:p>
        </w:tc>
        <w:tc>
          <w:tcPr>
            <w:tcW w:w="1712" w:type="dxa"/>
            <w:vAlign w:val="top"/>
          </w:tcPr>
          <w:p w14:paraId="1DD9DAD7">
            <w:pPr>
              <w:rPr>
                <w:rFonts w:ascii="Arial"/>
                <w:sz w:val="21"/>
              </w:rPr>
            </w:pPr>
          </w:p>
        </w:tc>
      </w:tr>
      <w:tr w14:paraId="10F9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2" w:type="dxa"/>
            <w:vAlign w:val="top"/>
          </w:tcPr>
          <w:p w14:paraId="21DBFE35">
            <w:pPr>
              <w:rPr>
                <w:rFonts w:ascii="Arial"/>
                <w:sz w:val="21"/>
              </w:rPr>
            </w:pPr>
          </w:p>
        </w:tc>
        <w:tc>
          <w:tcPr>
            <w:tcW w:w="2226" w:type="dxa"/>
            <w:vAlign w:val="top"/>
          </w:tcPr>
          <w:p w14:paraId="6E450501">
            <w:pPr>
              <w:rPr>
                <w:rFonts w:ascii="Arial"/>
                <w:sz w:val="21"/>
              </w:rPr>
            </w:pPr>
          </w:p>
        </w:tc>
        <w:tc>
          <w:tcPr>
            <w:tcW w:w="1893" w:type="dxa"/>
            <w:vAlign w:val="top"/>
          </w:tcPr>
          <w:p w14:paraId="519B2946">
            <w:pPr>
              <w:rPr>
                <w:rFonts w:ascii="Arial"/>
                <w:sz w:val="21"/>
              </w:rPr>
            </w:pPr>
          </w:p>
        </w:tc>
        <w:tc>
          <w:tcPr>
            <w:tcW w:w="1871" w:type="dxa"/>
            <w:vAlign w:val="top"/>
          </w:tcPr>
          <w:p w14:paraId="238ADCA8">
            <w:pPr>
              <w:rPr>
                <w:rFonts w:ascii="Arial"/>
                <w:sz w:val="21"/>
              </w:rPr>
            </w:pPr>
          </w:p>
        </w:tc>
        <w:tc>
          <w:tcPr>
            <w:tcW w:w="1712" w:type="dxa"/>
            <w:vAlign w:val="top"/>
          </w:tcPr>
          <w:p w14:paraId="0F1F92CE">
            <w:pPr>
              <w:rPr>
                <w:rFonts w:ascii="Arial"/>
                <w:sz w:val="21"/>
              </w:rPr>
            </w:pPr>
          </w:p>
        </w:tc>
      </w:tr>
      <w:tr w14:paraId="7F6ED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2" w:type="dxa"/>
            <w:vAlign w:val="top"/>
          </w:tcPr>
          <w:p w14:paraId="1DB19D1F">
            <w:pPr>
              <w:rPr>
                <w:rFonts w:ascii="Arial"/>
                <w:sz w:val="21"/>
              </w:rPr>
            </w:pPr>
          </w:p>
        </w:tc>
        <w:tc>
          <w:tcPr>
            <w:tcW w:w="2226" w:type="dxa"/>
            <w:vAlign w:val="top"/>
          </w:tcPr>
          <w:p w14:paraId="3ECA3661">
            <w:pPr>
              <w:rPr>
                <w:rFonts w:ascii="Arial"/>
                <w:sz w:val="21"/>
              </w:rPr>
            </w:pPr>
          </w:p>
        </w:tc>
        <w:tc>
          <w:tcPr>
            <w:tcW w:w="1893" w:type="dxa"/>
            <w:vAlign w:val="top"/>
          </w:tcPr>
          <w:p w14:paraId="70CF84A8">
            <w:pPr>
              <w:rPr>
                <w:rFonts w:ascii="Arial"/>
                <w:sz w:val="21"/>
              </w:rPr>
            </w:pPr>
          </w:p>
        </w:tc>
        <w:tc>
          <w:tcPr>
            <w:tcW w:w="1871" w:type="dxa"/>
            <w:vAlign w:val="top"/>
          </w:tcPr>
          <w:p w14:paraId="517FC4E2">
            <w:pPr>
              <w:rPr>
                <w:rFonts w:ascii="Arial"/>
                <w:sz w:val="21"/>
              </w:rPr>
            </w:pPr>
          </w:p>
        </w:tc>
        <w:tc>
          <w:tcPr>
            <w:tcW w:w="1712" w:type="dxa"/>
            <w:vAlign w:val="top"/>
          </w:tcPr>
          <w:p w14:paraId="6EC65E8E">
            <w:pPr>
              <w:rPr>
                <w:rFonts w:ascii="Arial"/>
                <w:sz w:val="21"/>
              </w:rPr>
            </w:pPr>
          </w:p>
        </w:tc>
      </w:tr>
      <w:tr w14:paraId="4F6FE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32" w:type="dxa"/>
            <w:vAlign w:val="top"/>
          </w:tcPr>
          <w:p w14:paraId="22DB2BBF">
            <w:pPr>
              <w:rPr>
                <w:rFonts w:ascii="Arial"/>
                <w:sz w:val="21"/>
              </w:rPr>
            </w:pPr>
          </w:p>
        </w:tc>
        <w:tc>
          <w:tcPr>
            <w:tcW w:w="2226" w:type="dxa"/>
            <w:vAlign w:val="top"/>
          </w:tcPr>
          <w:p w14:paraId="21E3C49A">
            <w:pPr>
              <w:rPr>
                <w:rFonts w:ascii="Arial"/>
                <w:sz w:val="21"/>
              </w:rPr>
            </w:pPr>
          </w:p>
        </w:tc>
        <w:tc>
          <w:tcPr>
            <w:tcW w:w="1893" w:type="dxa"/>
            <w:vAlign w:val="top"/>
          </w:tcPr>
          <w:p w14:paraId="3E37EE42">
            <w:pPr>
              <w:rPr>
                <w:rFonts w:ascii="Arial"/>
                <w:sz w:val="21"/>
              </w:rPr>
            </w:pPr>
          </w:p>
        </w:tc>
        <w:tc>
          <w:tcPr>
            <w:tcW w:w="1871" w:type="dxa"/>
            <w:vAlign w:val="top"/>
          </w:tcPr>
          <w:p w14:paraId="0406F09D">
            <w:pPr>
              <w:rPr>
                <w:rFonts w:ascii="Arial"/>
                <w:sz w:val="21"/>
              </w:rPr>
            </w:pPr>
          </w:p>
        </w:tc>
        <w:tc>
          <w:tcPr>
            <w:tcW w:w="1712" w:type="dxa"/>
            <w:vAlign w:val="top"/>
          </w:tcPr>
          <w:p w14:paraId="3CA7D182">
            <w:pPr>
              <w:rPr>
                <w:rFonts w:ascii="Arial"/>
                <w:sz w:val="21"/>
              </w:rPr>
            </w:pPr>
          </w:p>
        </w:tc>
      </w:tr>
      <w:tr w14:paraId="74657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2" w:type="dxa"/>
            <w:vAlign w:val="top"/>
          </w:tcPr>
          <w:p w14:paraId="3FF30815">
            <w:pPr>
              <w:rPr>
                <w:rFonts w:ascii="Arial"/>
                <w:sz w:val="21"/>
              </w:rPr>
            </w:pPr>
          </w:p>
        </w:tc>
        <w:tc>
          <w:tcPr>
            <w:tcW w:w="2226" w:type="dxa"/>
            <w:vAlign w:val="top"/>
          </w:tcPr>
          <w:p w14:paraId="74DE2FED">
            <w:pPr>
              <w:rPr>
                <w:rFonts w:ascii="Arial"/>
                <w:sz w:val="21"/>
              </w:rPr>
            </w:pPr>
          </w:p>
        </w:tc>
        <w:tc>
          <w:tcPr>
            <w:tcW w:w="1893" w:type="dxa"/>
            <w:vAlign w:val="top"/>
          </w:tcPr>
          <w:p w14:paraId="70FCC545">
            <w:pPr>
              <w:rPr>
                <w:rFonts w:ascii="Arial"/>
                <w:sz w:val="21"/>
              </w:rPr>
            </w:pPr>
          </w:p>
        </w:tc>
        <w:tc>
          <w:tcPr>
            <w:tcW w:w="1871" w:type="dxa"/>
            <w:vAlign w:val="top"/>
          </w:tcPr>
          <w:p w14:paraId="5E48EE8C">
            <w:pPr>
              <w:rPr>
                <w:rFonts w:ascii="Arial"/>
                <w:sz w:val="21"/>
              </w:rPr>
            </w:pPr>
          </w:p>
        </w:tc>
        <w:tc>
          <w:tcPr>
            <w:tcW w:w="1712" w:type="dxa"/>
            <w:vAlign w:val="top"/>
          </w:tcPr>
          <w:p w14:paraId="4EF6FB21">
            <w:pPr>
              <w:rPr>
                <w:rFonts w:ascii="Arial"/>
                <w:sz w:val="21"/>
              </w:rPr>
            </w:pPr>
          </w:p>
        </w:tc>
      </w:tr>
      <w:tr w14:paraId="2909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732" w:type="dxa"/>
            <w:vAlign w:val="top"/>
          </w:tcPr>
          <w:p w14:paraId="398ACDCD">
            <w:pPr>
              <w:pStyle w:val="23"/>
              <w:spacing w:before="84" w:line="221" w:lineRule="auto"/>
              <w:ind w:left="636"/>
              <w:rPr>
                <w:sz w:val="24"/>
                <w:szCs w:val="24"/>
              </w:rPr>
            </w:pPr>
            <w:r>
              <w:rPr>
                <w:spacing w:val="-4"/>
                <w:sz w:val="24"/>
                <w:szCs w:val="24"/>
              </w:rPr>
              <w:t>备注</w:t>
            </w:r>
          </w:p>
        </w:tc>
        <w:tc>
          <w:tcPr>
            <w:tcW w:w="7702" w:type="dxa"/>
            <w:gridSpan w:val="4"/>
            <w:vAlign w:val="top"/>
          </w:tcPr>
          <w:p w14:paraId="3AD280BA">
            <w:pPr>
              <w:rPr>
                <w:rFonts w:ascii="Arial"/>
                <w:sz w:val="21"/>
              </w:rPr>
            </w:pPr>
          </w:p>
        </w:tc>
      </w:tr>
    </w:tbl>
    <w:p w14:paraId="245CABC9">
      <w:pPr>
        <w:pStyle w:val="12"/>
      </w:pPr>
    </w:p>
    <w:p w14:paraId="40DB5E7A">
      <w:pPr>
        <w:rPr>
          <w:rFonts w:hint="default"/>
          <w:lang w:val="en-US" w:eastAsia="zh-CN"/>
        </w:rPr>
        <w:sectPr>
          <w:pgSz w:w="11906" w:h="16838"/>
          <w:pgMar w:top="1247" w:right="1247" w:bottom="1247" w:left="1247" w:header="851" w:footer="992" w:gutter="0"/>
          <w:pgNumType w:fmt="decimal"/>
          <w:cols w:space="425" w:num="1"/>
          <w:docGrid w:type="lines" w:linePitch="312" w:charSpace="0"/>
        </w:sectPr>
      </w:pPr>
    </w:p>
    <w:p w14:paraId="629A3D5D">
      <w:pPr>
        <w:spacing w:before="117" w:line="220" w:lineRule="auto"/>
        <w:jc w:val="center"/>
        <w:rPr>
          <w:rFonts w:ascii="黑体" w:hAnsi="黑体" w:eastAsia="黑体" w:cs="黑体"/>
          <w:spacing w:val="-5"/>
          <w:sz w:val="36"/>
          <w:szCs w:val="36"/>
        </w:rPr>
      </w:pPr>
      <w:r>
        <w:rPr>
          <w:rFonts w:ascii="黑体" w:hAnsi="黑体" w:eastAsia="黑体" w:cs="黑体"/>
          <w:spacing w:val="-5"/>
          <w:sz w:val="36"/>
          <w:szCs w:val="36"/>
        </w:rPr>
        <w:t>表 9 白蚁预防工程复查回访记录表</w:t>
      </w:r>
    </w:p>
    <w:p w14:paraId="776F45D0">
      <w:pPr>
        <w:spacing w:before="14" w:line="212" w:lineRule="auto"/>
        <w:ind w:left="7057"/>
        <w:rPr>
          <w:rFonts w:ascii="宋体" w:hAnsi="宋体" w:eastAsia="宋体" w:cs="宋体"/>
          <w:sz w:val="22"/>
          <w:szCs w:val="22"/>
        </w:rPr>
      </w:pPr>
      <w:r>
        <w:rPr>
          <w:rFonts w:ascii="宋体" w:hAnsi="宋体" w:eastAsia="宋体" w:cs="宋体"/>
          <w:spacing w:val="-10"/>
          <w:sz w:val="22"/>
          <w:szCs w:val="22"/>
        </w:rPr>
        <w:t>登记编号：</w:t>
      </w:r>
    </w:p>
    <w:tbl>
      <w:tblPr>
        <w:tblStyle w:val="22"/>
        <w:tblW w:w="9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9"/>
        <w:gridCol w:w="1348"/>
        <w:gridCol w:w="2807"/>
        <w:gridCol w:w="974"/>
        <w:gridCol w:w="1614"/>
        <w:gridCol w:w="1356"/>
      </w:tblGrid>
      <w:tr w14:paraId="10F4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667" w:type="dxa"/>
            <w:gridSpan w:val="2"/>
            <w:vAlign w:val="top"/>
          </w:tcPr>
          <w:p w14:paraId="1F9A6060">
            <w:pPr>
              <w:pStyle w:val="23"/>
              <w:spacing w:before="105" w:line="220" w:lineRule="auto"/>
              <w:ind w:left="864"/>
              <w:rPr>
                <w:sz w:val="24"/>
                <w:szCs w:val="24"/>
              </w:rPr>
            </w:pPr>
            <w:r>
              <w:rPr>
                <w:spacing w:val="-3"/>
                <w:sz w:val="24"/>
                <w:szCs w:val="24"/>
              </w:rPr>
              <w:t>工程名称</w:t>
            </w:r>
          </w:p>
        </w:tc>
        <w:tc>
          <w:tcPr>
            <w:tcW w:w="6751" w:type="dxa"/>
            <w:gridSpan w:val="4"/>
            <w:vAlign w:val="top"/>
          </w:tcPr>
          <w:p w14:paraId="2F0CE76C">
            <w:pPr>
              <w:rPr>
                <w:rFonts w:ascii="Arial"/>
                <w:sz w:val="24"/>
                <w:szCs w:val="24"/>
              </w:rPr>
            </w:pPr>
          </w:p>
        </w:tc>
      </w:tr>
      <w:tr w14:paraId="47921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67" w:type="dxa"/>
            <w:gridSpan w:val="2"/>
            <w:vAlign w:val="top"/>
          </w:tcPr>
          <w:p w14:paraId="7266020B">
            <w:pPr>
              <w:pStyle w:val="23"/>
              <w:spacing w:before="98" w:line="220" w:lineRule="auto"/>
              <w:ind w:left="864"/>
              <w:rPr>
                <w:sz w:val="24"/>
                <w:szCs w:val="24"/>
              </w:rPr>
            </w:pPr>
            <w:r>
              <w:rPr>
                <w:spacing w:val="-3"/>
                <w:sz w:val="24"/>
                <w:szCs w:val="24"/>
              </w:rPr>
              <w:t>工程地址</w:t>
            </w:r>
          </w:p>
        </w:tc>
        <w:tc>
          <w:tcPr>
            <w:tcW w:w="6751" w:type="dxa"/>
            <w:gridSpan w:val="4"/>
            <w:vAlign w:val="top"/>
          </w:tcPr>
          <w:p w14:paraId="50DA220C">
            <w:pPr>
              <w:rPr>
                <w:rFonts w:ascii="Arial"/>
                <w:sz w:val="24"/>
                <w:szCs w:val="24"/>
              </w:rPr>
            </w:pPr>
          </w:p>
        </w:tc>
      </w:tr>
      <w:tr w14:paraId="2D6BF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667" w:type="dxa"/>
            <w:gridSpan w:val="2"/>
            <w:vAlign w:val="top"/>
          </w:tcPr>
          <w:p w14:paraId="7F22010D">
            <w:pPr>
              <w:pStyle w:val="23"/>
              <w:spacing w:before="100" w:line="222" w:lineRule="auto"/>
              <w:ind w:left="740"/>
              <w:rPr>
                <w:sz w:val="24"/>
                <w:szCs w:val="24"/>
              </w:rPr>
            </w:pPr>
            <w:r>
              <w:rPr>
                <w:spacing w:val="-2"/>
                <w:sz w:val="24"/>
                <w:szCs w:val="24"/>
              </w:rPr>
              <w:t>施工联系人</w:t>
            </w:r>
          </w:p>
        </w:tc>
        <w:tc>
          <w:tcPr>
            <w:tcW w:w="3781" w:type="dxa"/>
            <w:gridSpan w:val="2"/>
            <w:vAlign w:val="top"/>
          </w:tcPr>
          <w:p w14:paraId="7ABDF4F5">
            <w:pPr>
              <w:rPr>
                <w:rFonts w:ascii="Arial"/>
                <w:sz w:val="24"/>
                <w:szCs w:val="24"/>
              </w:rPr>
            </w:pPr>
          </w:p>
        </w:tc>
        <w:tc>
          <w:tcPr>
            <w:tcW w:w="1614" w:type="dxa"/>
            <w:vAlign w:val="center"/>
          </w:tcPr>
          <w:p w14:paraId="0DB614D1">
            <w:pPr>
              <w:pStyle w:val="23"/>
              <w:spacing w:before="110" w:line="222" w:lineRule="auto"/>
              <w:jc w:val="center"/>
              <w:rPr>
                <w:sz w:val="24"/>
                <w:szCs w:val="24"/>
              </w:rPr>
            </w:pPr>
            <w:r>
              <w:rPr>
                <w:spacing w:val="-2"/>
                <w:sz w:val="24"/>
                <w:szCs w:val="24"/>
              </w:rPr>
              <w:t>联系电话</w:t>
            </w:r>
          </w:p>
        </w:tc>
        <w:tc>
          <w:tcPr>
            <w:tcW w:w="1356" w:type="dxa"/>
            <w:vAlign w:val="top"/>
          </w:tcPr>
          <w:p w14:paraId="06273D2B">
            <w:pPr>
              <w:rPr>
                <w:rFonts w:ascii="Arial"/>
                <w:sz w:val="24"/>
                <w:szCs w:val="24"/>
              </w:rPr>
            </w:pPr>
          </w:p>
        </w:tc>
      </w:tr>
      <w:tr w14:paraId="384F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67" w:type="dxa"/>
            <w:gridSpan w:val="2"/>
            <w:vAlign w:val="top"/>
          </w:tcPr>
          <w:p w14:paraId="40127D28">
            <w:pPr>
              <w:pStyle w:val="23"/>
              <w:spacing w:before="98" w:line="220" w:lineRule="auto"/>
              <w:ind w:left="864"/>
              <w:rPr>
                <w:sz w:val="24"/>
                <w:szCs w:val="24"/>
              </w:rPr>
            </w:pPr>
            <w:r>
              <w:rPr>
                <w:spacing w:val="-3"/>
                <w:sz w:val="24"/>
                <w:szCs w:val="24"/>
              </w:rPr>
              <w:t>建筑面积</w:t>
            </w:r>
          </w:p>
        </w:tc>
        <w:tc>
          <w:tcPr>
            <w:tcW w:w="3781" w:type="dxa"/>
            <w:gridSpan w:val="2"/>
            <w:vAlign w:val="top"/>
          </w:tcPr>
          <w:p w14:paraId="5F7671D8">
            <w:pPr>
              <w:rPr>
                <w:rFonts w:ascii="Arial"/>
                <w:sz w:val="24"/>
                <w:szCs w:val="24"/>
              </w:rPr>
            </w:pPr>
          </w:p>
        </w:tc>
        <w:tc>
          <w:tcPr>
            <w:tcW w:w="1614" w:type="dxa"/>
            <w:vAlign w:val="center"/>
          </w:tcPr>
          <w:p w14:paraId="45927E9F">
            <w:pPr>
              <w:pStyle w:val="23"/>
              <w:spacing w:before="110" w:line="220" w:lineRule="auto"/>
              <w:jc w:val="center"/>
              <w:rPr>
                <w:sz w:val="24"/>
                <w:szCs w:val="24"/>
              </w:rPr>
            </w:pPr>
            <w:r>
              <w:rPr>
                <w:spacing w:val="-2"/>
                <w:sz w:val="24"/>
                <w:szCs w:val="24"/>
              </w:rPr>
              <w:t>竣工时间</w:t>
            </w:r>
          </w:p>
        </w:tc>
        <w:tc>
          <w:tcPr>
            <w:tcW w:w="1356" w:type="dxa"/>
            <w:vAlign w:val="top"/>
          </w:tcPr>
          <w:p w14:paraId="50A37836">
            <w:pPr>
              <w:rPr>
                <w:rFonts w:ascii="Arial"/>
                <w:sz w:val="24"/>
                <w:szCs w:val="24"/>
              </w:rPr>
            </w:pPr>
          </w:p>
        </w:tc>
      </w:tr>
      <w:tr w14:paraId="05422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418" w:type="dxa"/>
            <w:gridSpan w:val="6"/>
            <w:vAlign w:val="top"/>
          </w:tcPr>
          <w:p w14:paraId="381236D4">
            <w:pPr>
              <w:pStyle w:val="23"/>
              <w:spacing w:before="189" w:line="220" w:lineRule="auto"/>
              <w:ind w:left="4743"/>
              <w:rPr>
                <w:sz w:val="24"/>
                <w:szCs w:val="24"/>
              </w:rPr>
            </w:pPr>
            <w:r>
              <w:rPr>
                <w:spacing w:val="-3"/>
                <w:sz w:val="24"/>
                <w:szCs w:val="24"/>
              </w:rPr>
              <w:t>复查情况</w:t>
            </w:r>
          </w:p>
        </w:tc>
      </w:tr>
      <w:tr w14:paraId="5826C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8" w:hRule="atLeast"/>
        </w:trPr>
        <w:tc>
          <w:tcPr>
            <w:tcW w:w="9418" w:type="dxa"/>
            <w:gridSpan w:val="6"/>
            <w:vAlign w:val="top"/>
          </w:tcPr>
          <w:p w14:paraId="4BB8A648">
            <w:pPr>
              <w:pStyle w:val="23"/>
              <w:spacing w:before="197" w:line="220" w:lineRule="auto"/>
              <w:ind w:left="121"/>
              <w:rPr>
                <w:sz w:val="24"/>
                <w:szCs w:val="24"/>
              </w:rPr>
            </w:pPr>
            <w:r>
              <w:rPr>
                <w:spacing w:val="-12"/>
                <w:sz w:val="24"/>
                <w:szCs w:val="24"/>
              </w:rPr>
              <w:t>蚁害情况：</w:t>
            </w:r>
          </w:p>
          <w:p w14:paraId="578473FE">
            <w:pPr>
              <w:spacing w:line="257" w:lineRule="auto"/>
              <w:rPr>
                <w:rFonts w:ascii="Arial"/>
                <w:sz w:val="24"/>
                <w:szCs w:val="24"/>
              </w:rPr>
            </w:pPr>
          </w:p>
          <w:p w14:paraId="7D77A2A4">
            <w:pPr>
              <w:spacing w:line="257" w:lineRule="auto"/>
              <w:rPr>
                <w:rFonts w:ascii="Arial"/>
                <w:sz w:val="24"/>
                <w:szCs w:val="24"/>
              </w:rPr>
            </w:pPr>
          </w:p>
          <w:p w14:paraId="00D1B730">
            <w:pPr>
              <w:spacing w:line="257" w:lineRule="auto"/>
              <w:rPr>
                <w:rFonts w:ascii="Arial"/>
                <w:sz w:val="24"/>
                <w:szCs w:val="24"/>
              </w:rPr>
            </w:pPr>
          </w:p>
          <w:p w14:paraId="41D51B7A">
            <w:pPr>
              <w:spacing w:line="258" w:lineRule="auto"/>
              <w:rPr>
                <w:rFonts w:ascii="Arial"/>
                <w:sz w:val="24"/>
                <w:szCs w:val="24"/>
              </w:rPr>
            </w:pPr>
          </w:p>
          <w:p w14:paraId="6BC88488">
            <w:pPr>
              <w:spacing w:line="258" w:lineRule="auto"/>
              <w:rPr>
                <w:rFonts w:ascii="Arial"/>
                <w:sz w:val="24"/>
                <w:szCs w:val="24"/>
              </w:rPr>
            </w:pPr>
          </w:p>
          <w:p w14:paraId="1AE16272">
            <w:pPr>
              <w:spacing w:line="258" w:lineRule="auto"/>
              <w:rPr>
                <w:rFonts w:ascii="Arial"/>
                <w:sz w:val="24"/>
                <w:szCs w:val="24"/>
              </w:rPr>
            </w:pPr>
          </w:p>
          <w:p w14:paraId="158AFD6D">
            <w:pPr>
              <w:spacing w:line="258" w:lineRule="auto"/>
              <w:rPr>
                <w:rFonts w:ascii="Arial"/>
                <w:sz w:val="24"/>
                <w:szCs w:val="24"/>
              </w:rPr>
            </w:pPr>
          </w:p>
          <w:p w14:paraId="13B56FB4">
            <w:pPr>
              <w:pStyle w:val="23"/>
              <w:spacing w:before="78" w:line="220" w:lineRule="auto"/>
              <w:jc w:val="right"/>
              <w:rPr>
                <w:sz w:val="24"/>
                <w:szCs w:val="24"/>
              </w:rPr>
            </w:pPr>
            <w:r>
              <w:rPr>
                <w:spacing w:val="-1"/>
                <w:sz w:val="24"/>
                <w:szCs w:val="24"/>
              </w:rPr>
              <w:t>检查人：                  检查</w:t>
            </w:r>
            <w:r>
              <w:rPr>
                <w:spacing w:val="-2"/>
                <w:sz w:val="24"/>
                <w:szCs w:val="24"/>
              </w:rPr>
              <w:t>日期：</w:t>
            </w:r>
            <w:r>
              <w:rPr>
                <w:spacing w:val="3"/>
                <w:sz w:val="24"/>
                <w:szCs w:val="24"/>
              </w:rPr>
              <w:t xml:space="preserve">   </w:t>
            </w:r>
            <w:r>
              <w:rPr>
                <w:spacing w:val="-2"/>
                <w:sz w:val="24"/>
                <w:szCs w:val="24"/>
              </w:rPr>
              <w:t>年</w:t>
            </w:r>
            <w:r>
              <w:rPr>
                <w:spacing w:val="5"/>
                <w:sz w:val="24"/>
                <w:szCs w:val="24"/>
              </w:rPr>
              <w:t xml:space="preserve">   </w:t>
            </w:r>
            <w:r>
              <w:rPr>
                <w:spacing w:val="-2"/>
                <w:sz w:val="24"/>
                <w:szCs w:val="24"/>
              </w:rPr>
              <w:t>月</w:t>
            </w:r>
            <w:r>
              <w:rPr>
                <w:spacing w:val="17"/>
                <w:sz w:val="24"/>
                <w:szCs w:val="24"/>
              </w:rPr>
              <w:t xml:space="preserve">   </w:t>
            </w:r>
            <w:r>
              <w:rPr>
                <w:spacing w:val="-2"/>
                <w:sz w:val="24"/>
                <w:szCs w:val="24"/>
              </w:rPr>
              <w:t>日</w:t>
            </w:r>
          </w:p>
        </w:tc>
      </w:tr>
      <w:tr w14:paraId="63CEF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9418" w:type="dxa"/>
            <w:gridSpan w:val="6"/>
            <w:vAlign w:val="top"/>
          </w:tcPr>
          <w:p w14:paraId="199DD43C">
            <w:pPr>
              <w:pStyle w:val="23"/>
              <w:spacing w:before="225" w:line="220" w:lineRule="auto"/>
              <w:ind w:left="121"/>
              <w:rPr>
                <w:sz w:val="24"/>
                <w:szCs w:val="24"/>
              </w:rPr>
            </w:pPr>
            <w:r>
              <w:rPr>
                <w:spacing w:val="-12"/>
                <w:sz w:val="24"/>
                <w:szCs w:val="24"/>
              </w:rPr>
              <w:t>处理情况：</w:t>
            </w:r>
          </w:p>
          <w:p w14:paraId="45F14B00">
            <w:pPr>
              <w:spacing w:line="296" w:lineRule="auto"/>
              <w:rPr>
                <w:rFonts w:ascii="Arial"/>
                <w:sz w:val="24"/>
                <w:szCs w:val="24"/>
              </w:rPr>
            </w:pPr>
          </w:p>
          <w:p w14:paraId="001D096C">
            <w:pPr>
              <w:spacing w:line="296" w:lineRule="auto"/>
              <w:rPr>
                <w:rFonts w:ascii="Arial"/>
                <w:sz w:val="24"/>
                <w:szCs w:val="24"/>
              </w:rPr>
            </w:pPr>
          </w:p>
          <w:p w14:paraId="46B324C4">
            <w:pPr>
              <w:spacing w:line="296" w:lineRule="auto"/>
              <w:rPr>
                <w:rFonts w:ascii="Arial"/>
                <w:sz w:val="24"/>
                <w:szCs w:val="24"/>
              </w:rPr>
            </w:pPr>
          </w:p>
          <w:p w14:paraId="2C03A9C8">
            <w:pPr>
              <w:spacing w:line="297" w:lineRule="auto"/>
              <w:rPr>
                <w:rFonts w:ascii="Arial"/>
                <w:sz w:val="24"/>
                <w:szCs w:val="24"/>
              </w:rPr>
            </w:pPr>
          </w:p>
          <w:p w14:paraId="66515A9F">
            <w:pPr>
              <w:pStyle w:val="23"/>
              <w:spacing w:before="78" w:line="220" w:lineRule="auto"/>
              <w:jc w:val="right"/>
              <w:rPr>
                <w:sz w:val="24"/>
                <w:szCs w:val="24"/>
              </w:rPr>
            </w:pPr>
            <w:r>
              <w:rPr>
                <w:spacing w:val="-3"/>
                <w:sz w:val="24"/>
                <w:szCs w:val="24"/>
              </w:rPr>
              <w:t>处理人：</w:t>
            </w:r>
            <w:r>
              <w:rPr>
                <w:sz w:val="24"/>
                <w:szCs w:val="24"/>
              </w:rPr>
              <w:t xml:space="preserve">                  </w:t>
            </w:r>
            <w:r>
              <w:rPr>
                <w:spacing w:val="-3"/>
                <w:sz w:val="24"/>
                <w:szCs w:val="24"/>
              </w:rPr>
              <w:t>处理日期：   年</w:t>
            </w:r>
            <w:r>
              <w:rPr>
                <w:spacing w:val="9"/>
                <w:sz w:val="24"/>
                <w:szCs w:val="24"/>
              </w:rPr>
              <w:t xml:space="preserve">   </w:t>
            </w:r>
            <w:r>
              <w:rPr>
                <w:spacing w:val="-3"/>
                <w:sz w:val="24"/>
                <w:szCs w:val="24"/>
              </w:rPr>
              <w:t>月</w:t>
            </w:r>
            <w:r>
              <w:rPr>
                <w:spacing w:val="17"/>
                <w:sz w:val="24"/>
                <w:szCs w:val="24"/>
              </w:rPr>
              <w:t xml:space="preserve">   </w:t>
            </w:r>
            <w:r>
              <w:rPr>
                <w:spacing w:val="-3"/>
                <w:sz w:val="24"/>
                <w:szCs w:val="24"/>
              </w:rPr>
              <w:t>日</w:t>
            </w:r>
          </w:p>
        </w:tc>
      </w:tr>
      <w:tr w14:paraId="1533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5474" w:type="dxa"/>
            <w:gridSpan w:val="3"/>
            <w:vAlign w:val="top"/>
          </w:tcPr>
          <w:p w14:paraId="08142B59">
            <w:pPr>
              <w:pStyle w:val="23"/>
              <w:spacing w:before="39" w:line="220" w:lineRule="auto"/>
              <w:ind w:left="116"/>
              <w:rPr>
                <w:sz w:val="24"/>
                <w:szCs w:val="24"/>
              </w:rPr>
            </w:pPr>
            <w:r>
              <w:rPr>
                <w:spacing w:val="-5"/>
                <w:sz w:val="24"/>
                <w:szCs w:val="24"/>
              </w:rPr>
              <w:t>业主单位/个人代表意见：</w:t>
            </w:r>
          </w:p>
          <w:p w14:paraId="457B68D2">
            <w:pPr>
              <w:spacing w:line="296" w:lineRule="auto"/>
              <w:rPr>
                <w:rFonts w:ascii="Arial"/>
                <w:sz w:val="24"/>
                <w:szCs w:val="24"/>
              </w:rPr>
            </w:pPr>
          </w:p>
          <w:p w14:paraId="1519B27E">
            <w:pPr>
              <w:spacing w:line="296" w:lineRule="auto"/>
              <w:rPr>
                <w:rFonts w:ascii="Arial"/>
                <w:sz w:val="24"/>
                <w:szCs w:val="24"/>
              </w:rPr>
            </w:pPr>
          </w:p>
          <w:p w14:paraId="7BEE60EE">
            <w:pPr>
              <w:spacing w:line="297" w:lineRule="auto"/>
              <w:rPr>
                <w:rFonts w:ascii="Arial"/>
                <w:sz w:val="24"/>
                <w:szCs w:val="24"/>
              </w:rPr>
            </w:pPr>
          </w:p>
          <w:p w14:paraId="6652954A">
            <w:pPr>
              <w:spacing w:line="297" w:lineRule="auto"/>
              <w:rPr>
                <w:rFonts w:ascii="Arial"/>
                <w:sz w:val="24"/>
                <w:szCs w:val="24"/>
              </w:rPr>
            </w:pPr>
          </w:p>
          <w:p w14:paraId="320E7CA9">
            <w:pPr>
              <w:pStyle w:val="23"/>
              <w:spacing w:before="78" w:line="220" w:lineRule="auto"/>
              <w:ind w:left="117"/>
              <w:rPr>
                <w:sz w:val="24"/>
                <w:szCs w:val="24"/>
              </w:rPr>
            </w:pPr>
            <w:r>
              <w:rPr>
                <w:spacing w:val="-15"/>
                <w:sz w:val="24"/>
                <w:szCs w:val="24"/>
              </w:rPr>
              <w:t>签字：</w:t>
            </w:r>
          </w:p>
          <w:p w14:paraId="38543B0B">
            <w:pPr>
              <w:pStyle w:val="23"/>
              <w:spacing w:before="24" w:line="204" w:lineRule="auto"/>
              <w:ind w:left="118"/>
              <w:rPr>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tc>
        <w:tc>
          <w:tcPr>
            <w:tcW w:w="3944" w:type="dxa"/>
            <w:gridSpan w:val="3"/>
            <w:vAlign w:val="top"/>
          </w:tcPr>
          <w:p w14:paraId="3E63AE2C">
            <w:pPr>
              <w:pStyle w:val="23"/>
              <w:spacing w:before="40" w:line="220" w:lineRule="auto"/>
              <w:ind w:left="121"/>
              <w:rPr>
                <w:sz w:val="24"/>
                <w:szCs w:val="24"/>
              </w:rPr>
            </w:pPr>
            <w:r>
              <w:rPr>
                <w:spacing w:val="-12"/>
                <w:sz w:val="24"/>
                <w:szCs w:val="24"/>
              </w:rPr>
              <w:t>复查单位：</w:t>
            </w:r>
          </w:p>
          <w:p w14:paraId="27F9A61B">
            <w:pPr>
              <w:spacing w:line="296" w:lineRule="auto"/>
              <w:rPr>
                <w:rFonts w:ascii="Arial"/>
                <w:sz w:val="24"/>
                <w:szCs w:val="24"/>
              </w:rPr>
            </w:pPr>
          </w:p>
          <w:p w14:paraId="3626877E">
            <w:pPr>
              <w:spacing w:line="296" w:lineRule="auto"/>
              <w:rPr>
                <w:rFonts w:ascii="Arial"/>
                <w:sz w:val="24"/>
                <w:szCs w:val="24"/>
              </w:rPr>
            </w:pPr>
          </w:p>
          <w:p w14:paraId="7196A1F4">
            <w:pPr>
              <w:spacing w:line="296" w:lineRule="auto"/>
              <w:rPr>
                <w:rFonts w:ascii="Arial"/>
                <w:sz w:val="24"/>
                <w:szCs w:val="24"/>
              </w:rPr>
            </w:pPr>
          </w:p>
          <w:p w14:paraId="3D374F06">
            <w:pPr>
              <w:spacing w:line="297" w:lineRule="auto"/>
              <w:rPr>
                <w:rFonts w:ascii="Arial"/>
                <w:sz w:val="24"/>
                <w:szCs w:val="24"/>
              </w:rPr>
            </w:pPr>
          </w:p>
          <w:p w14:paraId="576A03B0">
            <w:pPr>
              <w:pStyle w:val="23"/>
              <w:spacing w:before="78" w:line="219" w:lineRule="auto"/>
              <w:jc w:val="right"/>
              <w:rPr>
                <w:sz w:val="24"/>
                <w:szCs w:val="24"/>
              </w:rPr>
            </w:pPr>
            <w:r>
              <w:rPr>
                <w:rFonts w:hint="eastAsia"/>
                <w:spacing w:val="-6"/>
                <w:sz w:val="24"/>
                <w:szCs w:val="24"/>
                <w:lang w:eastAsia="zh-CN"/>
              </w:rPr>
              <w:t>（</w:t>
            </w:r>
            <w:r>
              <w:rPr>
                <w:spacing w:val="-6"/>
                <w:sz w:val="24"/>
                <w:szCs w:val="24"/>
              </w:rPr>
              <w:t>公章）</w:t>
            </w:r>
          </w:p>
          <w:p w14:paraId="23EBE9A5">
            <w:pPr>
              <w:pStyle w:val="23"/>
              <w:spacing w:before="25" w:line="204" w:lineRule="auto"/>
              <w:jc w:val="right"/>
              <w:rPr>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tc>
      </w:tr>
      <w:tr w14:paraId="015C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19" w:type="dxa"/>
            <w:vAlign w:val="top"/>
          </w:tcPr>
          <w:p w14:paraId="1B61D052">
            <w:pPr>
              <w:pStyle w:val="23"/>
              <w:spacing w:before="198" w:line="222" w:lineRule="auto"/>
              <w:ind w:left="447"/>
              <w:rPr>
                <w:sz w:val="24"/>
                <w:szCs w:val="24"/>
              </w:rPr>
            </w:pPr>
            <w:r>
              <w:rPr>
                <w:spacing w:val="-3"/>
                <w:sz w:val="24"/>
                <w:szCs w:val="24"/>
              </w:rPr>
              <w:t>备注</w:t>
            </w:r>
          </w:p>
        </w:tc>
        <w:tc>
          <w:tcPr>
            <w:tcW w:w="8099" w:type="dxa"/>
            <w:gridSpan w:val="5"/>
            <w:vAlign w:val="top"/>
          </w:tcPr>
          <w:p w14:paraId="6EAAEAD1">
            <w:pPr>
              <w:pStyle w:val="23"/>
              <w:spacing w:before="189" w:line="219" w:lineRule="auto"/>
              <w:ind w:left="114"/>
              <w:rPr>
                <w:sz w:val="24"/>
                <w:szCs w:val="24"/>
              </w:rPr>
            </w:pPr>
            <w:r>
              <w:rPr>
                <w:spacing w:val="-1"/>
                <w:sz w:val="24"/>
                <w:szCs w:val="24"/>
              </w:rPr>
              <w:t xml:space="preserve">本次复查回访系该工程项目竣工后第    年第    </w:t>
            </w:r>
            <w:r>
              <w:rPr>
                <w:spacing w:val="-2"/>
                <w:sz w:val="24"/>
                <w:szCs w:val="24"/>
              </w:rPr>
              <w:t>次复查。</w:t>
            </w:r>
          </w:p>
        </w:tc>
      </w:tr>
    </w:tbl>
    <w:p w14:paraId="551D09E7">
      <w:pPr>
        <w:rPr>
          <w:rFonts w:hint="default"/>
          <w:lang w:val="en-US" w:eastAsia="zh-CN"/>
        </w:rPr>
        <w:sectPr>
          <w:pgSz w:w="11906" w:h="16838"/>
          <w:pgMar w:top="1247" w:right="1247" w:bottom="1247" w:left="1247" w:header="851" w:footer="992" w:gutter="0"/>
          <w:pgNumType w:fmt="decimal"/>
          <w:cols w:space="425" w:num="1"/>
          <w:docGrid w:type="lines" w:linePitch="312" w:charSpace="0"/>
        </w:sectPr>
      </w:pPr>
    </w:p>
    <w:p w14:paraId="16AF3817">
      <w:pPr>
        <w:spacing w:before="117" w:line="220" w:lineRule="auto"/>
        <w:jc w:val="center"/>
        <w:rPr>
          <w:rFonts w:ascii="黑体" w:hAnsi="黑体" w:eastAsia="黑体" w:cs="黑体"/>
          <w:spacing w:val="-5"/>
          <w:sz w:val="36"/>
          <w:szCs w:val="36"/>
        </w:rPr>
      </w:pPr>
      <w:r>
        <w:rPr>
          <w:rFonts w:ascii="黑体" w:hAnsi="黑体" w:eastAsia="黑体" w:cs="黑体"/>
          <w:spacing w:val="-5"/>
          <w:sz w:val="36"/>
          <w:szCs w:val="36"/>
        </w:rPr>
        <w:t>表 10 白蚁预防工程（药物屏障）效果评价表</w:t>
      </w:r>
    </w:p>
    <w:p w14:paraId="5D0EE757">
      <w:pPr>
        <w:pStyle w:val="7"/>
        <w:tabs>
          <w:tab w:val="left" w:pos="7560"/>
        </w:tabs>
        <w:spacing w:before="72" w:line="222" w:lineRule="auto"/>
        <w:ind w:right="-48" w:rightChars="0" w:firstLine="7200" w:firstLineChars="3600"/>
        <w:rPr>
          <w:rFonts w:ascii="宋体" w:hAnsi="宋体" w:eastAsia="宋体" w:cs="宋体"/>
          <w:b w:val="0"/>
          <w:bCs/>
          <w:sz w:val="22"/>
          <w:szCs w:val="22"/>
        </w:rPr>
      </w:pPr>
      <w:r>
        <w:rPr>
          <w:rFonts w:ascii="宋体" w:hAnsi="宋体" w:eastAsia="宋体" w:cs="宋体"/>
          <w:b w:val="0"/>
          <w:bCs/>
          <w:spacing w:val="-10"/>
          <w:sz w:val="22"/>
          <w:szCs w:val="22"/>
        </w:rPr>
        <w:t>登记编号：</w:t>
      </w:r>
    </w:p>
    <w:tbl>
      <w:tblPr>
        <w:tblStyle w:val="22"/>
        <w:tblW w:w="94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535"/>
        <w:gridCol w:w="2572"/>
        <w:gridCol w:w="1350"/>
        <w:gridCol w:w="1996"/>
        <w:gridCol w:w="1638"/>
      </w:tblGrid>
      <w:tr w14:paraId="3E942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907" w:type="dxa"/>
            <w:gridSpan w:val="2"/>
            <w:vAlign w:val="top"/>
          </w:tcPr>
          <w:p w14:paraId="65179862">
            <w:pPr>
              <w:pStyle w:val="23"/>
              <w:spacing w:before="114" w:line="221" w:lineRule="auto"/>
              <w:ind w:left="522"/>
              <w:rPr>
                <w:sz w:val="21"/>
                <w:szCs w:val="21"/>
              </w:rPr>
            </w:pPr>
            <w:r>
              <w:rPr>
                <w:spacing w:val="-2"/>
                <w:sz w:val="21"/>
                <w:szCs w:val="21"/>
              </w:rPr>
              <w:t>工程名称</w:t>
            </w:r>
          </w:p>
        </w:tc>
        <w:tc>
          <w:tcPr>
            <w:tcW w:w="7556" w:type="dxa"/>
            <w:gridSpan w:val="4"/>
            <w:vAlign w:val="top"/>
          </w:tcPr>
          <w:p w14:paraId="6B152DAC">
            <w:pPr>
              <w:rPr>
                <w:rFonts w:ascii="Arial"/>
                <w:sz w:val="21"/>
                <w:szCs w:val="21"/>
              </w:rPr>
            </w:pPr>
          </w:p>
        </w:tc>
      </w:tr>
      <w:tr w14:paraId="7E1A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07" w:type="dxa"/>
            <w:gridSpan w:val="2"/>
            <w:vAlign w:val="top"/>
          </w:tcPr>
          <w:p w14:paraId="6C4F50CA">
            <w:pPr>
              <w:pStyle w:val="23"/>
              <w:spacing w:before="109" w:line="221" w:lineRule="auto"/>
              <w:ind w:left="522"/>
              <w:rPr>
                <w:sz w:val="21"/>
                <w:szCs w:val="21"/>
              </w:rPr>
            </w:pPr>
            <w:r>
              <w:rPr>
                <w:spacing w:val="-2"/>
                <w:sz w:val="21"/>
                <w:szCs w:val="21"/>
              </w:rPr>
              <w:t>工程地址</w:t>
            </w:r>
          </w:p>
        </w:tc>
        <w:tc>
          <w:tcPr>
            <w:tcW w:w="7556" w:type="dxa"/>
            <w:gridSpan w:val="4"/>
            <w:vAlign w:val="top"/>
          </w:tcPr>
          <w:p w14:paraId="48E86136">
            <w:pPr>
              <w:rPr>
                <w:rFonts w:ascii="Arial"/>
                <w:sz w:val="21"/>
                <w:szCs w:val="21"/>
              </w:rPr>
            </w:pPr>
          </w:p>
        </w:tc>
      </w:tr>
      <w:tr w14:paraId="5EBC8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07" w:type="dxa"/>
            <w:gridSpan w:val="2"/>
            <w:vAlign w:val="top"/>
          </w:tcPr>
          <w:p w14:paraId="6747A380">
            <w:pPr>
              <w:pStyle w:val="23"/>
              <w:spacing w:before="111" w:line="220" w:lineRule="auto"/>
              <w:ind w:left="242"/>
              <w:rPr>
                <w:sz w:val="21"/>
                <w:szCs w:val="21"/>
              </w:rPr>
            </w:pPr>
            <w:r>
              <w:rPr>
                <w:spacing w:val="-1"/>
                <w:sz w:val="21"/>
                <w:szCs w:val="21"/>
              </w:rPr>
              <w:t>业主/管理单位</w:t>
            </w:r>
          </w:p>
        </w:tc>
        <w:tc>
          <w:tcPr>
            <w:tcW w:w="3922" w:type="dxa"/>
            <w:gridSpan w:val="2"/>
            <w:vAlign w:val="top"/>
          </w:tcPr>
          <w:p w14:paraId="7FC56A59">
            <w:pPr>
              <w:rPr>
                <w:rFonts w:ascii="Arial"/>
                <w:sz w:val="21"/>
                <w:szCs w:val="21"/>
              </w:rPr>
            </w:pPr>
          </w:p>
        </w:tc>
        <w:tc>
          <w:tcPr>
            <w:tcW w:w="1996" w:type="dxa"/>
            <w:vAlign w:val="top"/>
          </w:tcPr>
          <w:p w14:paraId="7361D4B1">
            <w:pPr>
              <w:pStyle w:val="23"/>
              <w:spacing w:before="111" w:line="222" w:lineRule="auto"/>
              <w:ind w:left="345"/>
              <w:rPr>
                <w:sz w:val="21"/>
                <w:szCs w:val="21"/>
              </w:rPr>
            </w:pPr>
            <w:r>
              <w:rPr>
                <w:spacing w:val="-2"/>
                <w:sz w:val="21"/>
                <w:szCs w:val="21"/>
              </w:rPr>
              <w:t>联系人及电话</w:t>
            </w:r>
          </w:p>
        </w:tc>
        <w:tc>
          <w:tcPr>
            <w:tcW w:w="1638" w:type="dxa"/>
            <w:vAlign w:val="top"/>
          </w:tcPr>
          <w:p w14:paraId="558DA3F9">
            <w:pPr>
              <w:rPr>
                <w:rFonts w:ascii="Arial"/>
                <w:sz w:val="21"/>
                <w:szCs w:val="21"/>
              </w:rPr>
            </w:pPr>
          </w:p>
        </w:tc>
      </w:tr>
      <w:tr w14:paraId="70CC2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07" w:type="dxa"/>
            <w:gridSpan w:val="2"/>
            <w:vAlign w:val="top"/>
          </w:tcPr>
          <w:p w14:paraId="369D1B41">
            <w:pPr>
              <w:pStyle w:val="23"/>
              <w:spacing w:before="110" w:line="221" w:lineRule="auto"/>
              <w:ind w:left="518"/>
              <w:rPr>
                <w:sz w:val="21"/>
                <w:szCs w:val="21"/>
              </w:rPr>
            </w:pPr>
            <w:r>
              <w:rPr>
                <w:spacing w:val="-1"/>
                <w:sz w:val="21"/>
                <w:szCs w:val="21"/>
              </w:rPr>
              <w:t>施工单位</w:t>
            </w:r>
          </w:p>
        </w:tc>
        <w:tc>
          <w:tcPr>
            <w:tcW w:w="3922" w:type="dxa"/>
            <w:gridSpan w:val="2"/>
            <w:vAlign w:val="top"/>
          </w:tcPr>
          <w:p w14:paraId="32220DCB">
            <w:pPr>
              <w:rPr>
                <w:rFonts w:ascii="Arial"/>
                <w:sz w:val="21"/>
                <w:szCs w:val="21"/>
              </w:rPr>
            </w:pPr>
          </w:p>
        </w:tc>
        <w:tc>
          <w:tcPr>
            <w:tcW w:w="1996" w:type="dxa"/>
            <w:vAlign w:val="top"/>
          </w:tcPr>
          <w:p w14:paraId="7F896FC9">
            <w:pPr>
              <w:pStyle w:val="23"/>
              <w:spacing w:before="111" w:line="222" w:lineRule="auto"/>
              <w:ind w:left="345"/>
              <w:rPr>
                <w:sz w:val="21"/>
                <w:szCs w:val="21"/>
              </w:rPr>
            </w:pPr>
            <w:r>
              <w:rPr>
                <w:spacing w:val="-2"/>
                <w:sz w:val="21"/>
                <w:szCs w:val="21"/>
              </w:rPr>
              <w:t>联系人及电话</w:t>
            </w:r>
          </w:p>
        </w:tc>
        <w:tc>
          <w:tcPr>
            <w:tcW w:w="1638" w:type="dxa"/>
            <w:vAlign w:val="top"/>
          </w:tcPr>
          <w:p w14:paraId="0717149F">
            <w:pPr>
              <w:rPr>
                <w:rFonts w:ascii="Arial"/>
                <w:sz w:val="21"/>
                <w:szCs w:val="21"/>
              </w:rPr>
            </w:pPr>
          </w:p>
        </w:tc>
      </w:tr>
      <w:tr w14:paraId="0D1B3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07" w:type="dxa"/>
            <w:gridSpan w:val="2"/>
            <w:vAlign w:val="top"/>
          </w:tcPr>
          <w:p w14:paraId="0B064441">
            <w:pPr>
              <w:pStyle w:val="23"/>
              <w:spacing w:before="111" w:line="221" w:lineRule="auto"/>
              <w:ind w:left="522"/>
              <w:rPr>
                <w:sz w:val="21"/>
                <w:szCs w:val="21"/>
              </w:rPr>
            </w:pPr>
            <w:r>
              <w:rPr>
                <w:spacing w:val="-2"/>
                <w:sz w:val="21"/>
                <w:szCs w:val="21"/>
              </w:rPr>
              <w:t>建筑面积</w:t>
            </w:r>
          </w:p>
        </w:tc>
        <w:tc>
          <w:tcPr>
            <w:tcW w:w="3922" w:type="dxa"/>
            <w:gridSpan w:val="2"/>
            <w:vAlign w:val="top"/>
          </w:tcPr>
          <w:p w14:paraId="72BF7E6A">
            <w:pPr>
              <w:rPr>
                <w:rFonts w:ascii="Arial"/>
                <w:sz w:val="21"/>
                <w:szCs w:val="21"/>
              </w:rPr>
            </w:pPr>
          </w:p>
        </w:tc>
        <w:tc>
          <w:tcPr>
            <w:tcW w:w="1996" w:type="dxa"/>
            <w:vAlign w:val="top"/>
          </w:tcPr>
          <w:p w14:paraId="3F3ACBD9">
            <w:pPr>
              <w:pStyle w:val="23"/>
              <w:spacing w:before="111" w:line="220" w:lineRule="auto"/>
              <w:ind w:left="564"/>
              <w:rPr>
                <w:sz w:val="21"/>
                <w:szCs w:val="21"/>
              </w:rPr>
            </w:pPr>
            <w:r>
              <w:rPr>
                <w:spacing w:val="-2"/>
                <w:sz w:val="21"/>
                <w:szCs w:val="21"/>
              </w:rPr>
              <w:t>竣工时间</w:t>
            </w:r>
          </w:p>
        </w:tc>
        <w:tc>
          <w:tcPr>
            <w:tcW w:w="1638" w:type="dxa"/>
            <w:vAlign w:val="top"/>
          </w:tcPr>
          <w:p w14:paraId="64F9F0FF">
            <w:pPr>
              <w:rPr>
                <w:rFonts w:ascii="Arial"/>
                <w:sz w:val="21"/>
                <w:szCs w:val="21"/>
              </w:rPr>
            </w:pPr>
          </w:p>
        </w:tc>
      </w:tr>
      <w:tr w14:paraId="082FC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1907" w:type="dxa"/>
            <w:gridSpan w:val="2"/>
            <w:vAlign w:val="top"/>
          </w:tcPr>
          <w:p w14:paraId="3A4B8D47">
            <w:pPr>
              <w:pStyle w:val="23"/>
              <w:spacing w:before="121" w:line="219" w:lineRule="auto"/>
              <w:ind w:left="522"/>
              <w:rPr>
                <w:sz w:val="21"/>
                <w:szCs w:val="21"/>
              </w:rPr>
            </w:pPr>
            <w:r>
              <w:rPr>
                <w:spacing w:val="-2"/>
                <w:sz w:val="21"/>
                <w:szCs w:val="21"/>
              </w:rPr>
              <w:t>药剂名称</w:t>
            </w:r>
          </w:p>
        </w:tc>
        <w:tc>
          <w:tcPr>
            <w:tcW w:w="2572" w:type="dxa"/>
            <w:vAlign w:val="top"/>
          </w:tcPr>
          <w:p w14:paraId="1E788E2F">
            <w:pPr>
              <w:pStyle w:val="23"/>
              <w:spacing w:before="121" w:line="219" w:lineRule="auto"/>
              <w:ind w:left="443"/>
              <w:rPr>
                <w:sz w:val="21"/>
                <w:szCs w:val="21"/>
              </w:rPr>
            </w:pPr>
            <w:r>
              <w:rPr>
                <w:spacing w:val="-2"/>
                <w:sz w:val="21"/>
                <w:szCs w:val="21"/>
              </w:rPr>
              <w:t>药剂浓度及用量</w:t>
            </w:r>
          </w:p>
        </w:tc>
        <w:tc>
          <w:tcPr>
            <w:tcW w:w="4984" w:type="dxa"/>
            <w:gridSpan w:val="3"/>
            <w:vAlign w:val="top"/>
          </w:tcPr>
          <w:p w14:paraId="130F6433">
            <w:pPr>
              <w:pStyle w:val="23"/>
              <w:spacing w:before="121" w:line="220" w:lineRule="auto"/>
              <w:ind w:firstLine="416" w:firstLineChars="200"/>
              <w:rPr>
                <w:sz w:val="21"/>
                <w:szCs w:val="21"/>
              </w:rPr>
            </w:pPr>
            <w:r>
              <w:rPr>
                <w:spacing w:val="-1"/>
                <w:sz w:val="21"/>
                <w:szCs w:val="21"/>
              </w:rPr>
              <w:t>药物屏障的类型、面积、部位及施工完成情况</w:t>
            </w:r>
          </w:p>
        </w:tc>
      </w:tr>
      <w:tr w14:paraId="231A2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907" w:type="dxa"/>
            <w:gridSpan w:val="2"/>
            <w:vAlign w:val="top"/>
          </w:tcPr>
          <w:p w14:paraId="6B2D4656">
            <w:pPr>
              <w:rPr>
                <w:rFonts w:ascii="Arial"/>
                <w:sz w:val="21"/>
                <w:szCs w:val="21"/>
              </w:rPr>
            </w:pPr>
          </w:p>
        </w:tc>
        <w:tc>
          <w:tcPr>
            <w:tcW w:w="2572" w:type="dxa"/>
            <w:vAlign w:val="top"/>
          </w:tcPr>
          <w:p w14:paraId="435B2E3A">
            <w:pPr>
              <w:rPr>
                <w:rFonts w:ascii="Arial"/>
                <w:sz w:val="21"/>
                <w:szCs w:val="21"/>
              </w:rPr>
            </w:pPr>
          </w:p>
        </w:tc>
        <w:tc>
          <w:tcPr>
            <w:tcW w:w="4984" w:type="dxa"/>
            <w:gridSpan w:val="3"/>
            <w:vAlign w:val="top"/>
          </w:tcPr>
          <w:p w14:paraId="78C05AAE">
            <w:pPr>
              <w:rPr>
                <w:rFonts w:ascii="Arial"/>
                <w:sz w:val="21"/>
                <w:szCs w:val="21"/>
              </w:rPr>
            </w:pPr>
          </w:p>
        </w:tc>
      </w:tr>
      <w:tr w14:paraId="24C20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1907" w:type="dxa"/>
            <w:gridSpan w:val="2"/>
            <w:vAlign w:val="top"/>
          </w:tcPr>
          <w:p w14:paraId="7BF1FED5">
            <w:pPr>
              <w:rPr>
                <w:rFonts w:ascii="Arial"/>
                <w:sz w:val="21"/>
                <w:szCs w:val="21"/>
              </w:rPr>
            </w:pPr>
          </w:p>
        </w:tc>
        <w:tc>
          <w:tcPr>
            <w:tcW w:w="2572" w:type="dxa"/>
            <w:vAlign w:val="top"/>
          </w:tcPr>
          <w:p w14:paraId="62749D34">
            <w:pPr>
              <w:rPr>
                <w:rFonts w:ascii="Arial"/>
                <w:sz w:val="21"/>
                <w:szCs w:val="21"/>
              </w:rPr>
            </w:pPr>
          </w:p>
        </w:tc>
        <w:tc>
          <w:tcPr>
            <w:tcW w:w="4984" w:type="dxa"/>
            <w:gridSpan w:val="3"/>
            <w:vAlign w:val="top"/>
          </w:tcPr>
          <w:p w14:paraId="48231F1F">
            <w:pPr>
              <w:rPr>
                <w:rFonts w:ascii="Arial"/>
                <w:sz w:val="21"/>
                <w:szCs w:val="21"/>
              </w:rPr>
            </w:pPr>
          </w:p>
        </w:tc>
      </w:tr>
      <w:tr w14:paraId="05B90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907" w:type="dxa"/>
            <w:gridSpan w:val="2"/>
            <w:vAlign w:val="top"/>
          </w:tcPr>
          <w:p w14:paraId="3C3C30BA">
            <w:pPr>
              <w:rPr>
                <w:rFonts w:ascii="Arial"/>
                <w:sz w:val="21"/>
                <w:szCs w:val="21"/>
              </w:rPr>
            </w:pPr>
          </w:p>
        </w:tc>
        <w:tc>
          <w:tcPr>
            <w:tcW w:w="2572" w:type="dxa"/>
            <w:vAlign w:val="top"/>
          </w:tcPr>
          <w:p w14:paraId="43B22FB5">
            <w:pPr>
              <w:rPr>
                <w:rFonts w:ascii="Arial"/>
                <w:sz w:val="21"/>
                <w:szCs w:val="21"/>
              </w:rPr>
            </w:pPr>
          </w:p>
        </w:tc>
        <w:tc>
          <w:tcPr>
            <w:tcW w:w="4984" w:type="dxa"/>
            <w:gridSpan w:val="3"/>
            <w:vAlign w:val="top"/>
          </w:tcPr>
          <w:p w14:paraId="44D17B3F">
            <w:pPr>
              <w:rPr>
                <w:rFonts w:ascii="Arial"/>
                <w:sz w:val="21"/>
                <w:szCs w:val="21"/>
              </w:rPr>
            </w:pPr>
          </w:p>
        </w:tc>
      </w:tr>
      <w:tr w14:paraId="6C792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907" w:type="dxa"/>
            <w:gridSpan w:val="2"/>
            <w:vAlign w:val="top"/>
          </w:tcPr>
          <w:p w14:paraId="63B7F417">
            <w:pPr>
              <w:rPr>
                <w:rFonts w:ascii="Arial"/>
                <w:sz w:val="21"/>
                <w:szCs w:val="21"/>
              </w:rPr>
            </w:pPr>
          </w:p>
        </w:tc>
        <w:tc>
          <w:tcPr>
            <w:tcW w:w="2572" w:type="dxa"/>
            <w:vAlign w:val="top"/>
          </w:tcPr>
          <w:p w14:paraId="790D2132">
            <w:pPr>
              <w:rPr>
                <w:rFonts w:ascii="Arial"/>
                <w:sz w:val="21"/>
                <w:szCs w:val="21"/>
              </w:rPr>
            </w:pPr>
          </w:p>
        </w:tc>
        <w:tc>
          <w:tcPr>
            <w:tcW w:w="4984" w:type="dxa"/>
            <w:gridSpan w:val="3"/>
            <w:vAlign w:val="top"/>
          </w:tcPr>
          <w:p w14:paraId="6DE7CF17">
            <w:pPr>
              <w:rPr>
                <w:rFonts w:ascii="Arial"/>
                <w:sz w:val="21"/>
                <w:szCs w:val="21"/>
              </w:rPr>
            </w:pPr>
          </w:p>
        </w:tc>
      </w:tr>
      <w:tr w14:paraId="609D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1907" w:type="dxa"/>
            <w:gridSpan w:val="2"/>
            <w:vAlign w:val="top"/>
          </w:tcPr>
          <w:p w14:paraId="512F6051">
            <w:pPr>
              <w:rPr>
                <w:rFonts w:ascii="Arial"/>
                <w:sz w:val="21"/>
                <w:szCs w:val="21"/>
              </w:rPr>
            </w:pPr>
          </w:p>
        </w:tc>
        <w:tc>
          <w:tcPr>
            <w:tcW w:w="2572" w:type="dxa"/>
            <w:vAlign w:val="top"/>
          </w:tcPr>
          <w:p w14:paraId="75EA78E8">
            <w:pPr>
              <w:rPr>
                <w:rFonts w:ascii="Arial"/>
                <w:sz w:val="21"/>
                <w:szCs w:val="21"/>
              </w:rPr>
            </w:pPr>
          </w:p>
        </w:tc>
        <w:tc>
          <w:tcPr>
            <w:tcW w:w="4984" w:type="dxa"/>
            <w:gridSpan w:val="3"/>
            <w:vAlign w:val="top"/>
          </w:tcPr>
          <w:p w14:paraId="30F2079C">
            <w:pPr>
              <w:rPr>
                <w:rFonts w:ascii="Arial"/>
                <w:sz w:val="21"/>
                <w:szCs w:val="21"/>
              </w:rPr>
            </w:pPr>
          </w:p>
        </w:tc>
      </w:tr>
      <w:tr w14:paraId="6CF6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907" w:type="dxa"/>
            <w:gridSpan w:val="2"/>
            <w:vAlign w:val="top"/>
          </w:tcPr>
          <w:p w14:paraId="57004AD9">
            <w:pPr>
              <w:rPr>
                <w:rFonts w:ascii="Arial"/>
                <w:sz w:val="21"/>
                <w:szCs w:val="21"/>
              </w:rPr>
            </w:pPr>
          </w:p>
        </w:tc>
        <w:tc>
          <w:tcPr>
            <w:tcW w:w="2572" w:type="dxa"/>
            <w:vAlign w:val="top"/>
          </w:tcPr>
          <w:p w14:paraId="4EFAF908">
            <w:pPr>
              <w:rPr>
                <w:rFonts w:ascii="Arial"/>
                <w:sz w:val="21"/>
                <w:szCs w:val="21"/>
              </w:rPr>
            </w:pPr>
          </w:p>
        </w:tc>
        <w:tc>
          <w:tcPr>
            <w:tcW w:w="4984" w:type="dxa"/>
            <w:gridSpan w:val="3"/>
            <w:vAlign w:val="top"/>
          </w:tcPr>
          <w:p w14:paraId="0574CC4A">
            <w:pPr>
              <w:rPr>
                <w:rFonts w:ascii="Arial"/>
                <w:sz w:val="21"/>
                <w:szCs w:val="21"/>
              </w:rPr>
            </w:pPr>
          </w:p>
        </w:tc>
      </w:tr>
      <w:tr w14:paraId="5F2F9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7" w:hRule="atLeast"/>
        </w:trPr>
        <w:tc>
          <w:tcPr>
            <w:tcW w:w="4479" w:type="dxa"/>
            <w:gridSpan w:val="3"/>
            <w:vAlign w:val="top"/>
          </w:tcPr>
          <w:p w14:paraId="45EF16DB">
            <w:pPr>
              <w:spacing w:line="421" w:lineRule="auto"/>
              <w:rPr>
                <w:rFonts w:ascii="Arial"/>
                <w:sz w:val="21"/>
                <w:szCs w:val="21"/>
              </w:rPr>
            </w:pPr>
          </w:p>
          <w:p w14:paraId="51457ADD">
            <w:pPr>
              <w:pStyle w:val="23"/>
              <w:spacing w:before="78" w:line="220" w:lineRule="auto"/>
              <w:ind w:left="119"/>
              <w:rPr>
                <w:sz w:val="21"/>
                <w:szCs w:val="21"/>
              </w:rPr>
            </w:pPr>
            <w:r>
              <w:rPr>
                <w:spacing w:val="-9"/>
                <w:sz w:val="21"/>
                <w:szCs w:val="21"/>
              </w:rPr>
              <w:t>单位自查情况：</w:t>
            </w:r>
          </w:p>
          <w:p w14:paraId="4CB21EDA">
            <w:pPr>
              <w:spacing w:line="242" w:lineRule="auto"/>
              <w:rPr>
                <w:rFonts w:ascii="Arial"/>
                <w:sz w:val="21"/>
                <w:szCs w:val="21"/>
              </w:rPr>
            </w:pPr>
          </w:p>
          <w:p w14:paraId="4B20AD0D">
            <w:pPr>
              <w:spacing w:line="242" w:lineRule="auto"/>
              <w:rPr>
                <w:rFonts w:ascii="Arial"/>
                <w:sz w:val="21"/>
                <w:szCs w:val="21"/>
              </w:rPr>
            </w:pPr>
          </w:p>
          <w:p w14:paraId="01C4789C">
            <w:pPr>
              <w:spacing w:line="242" w:lineRule="auto"/>
              <w:rPr>
                <w:rFonts w:ascii="Arial"/>
                <w:sz w:val="21"/>
                <w:szCs w:val="21"/>
              </w:rPr>
            </w:pPr>
          </w:p>
          <w:p w14:paraId="55ED4B2D">
            <w:pPr>
              <w:spacing w:line="242" w:lineRule="auto"/>
              <w:rPr>
                <w:rFonts w:ascii="Arial"/>
                <w:sz w:val="21"/>
                <w:szCs w:val="21"/>
              </w:rPr>
            </w:pPr>
          </w:p>
          <w:p w14:paraId="668A1094">
            <w:pPr>
              <w:spacing w:line="242" w:lineRule="auto"/>
              <w:rPr>
                <w:rFonts w:ascii="Arial"/>
                <w:sz w:val="21"/>
                <w:szCs w:val="21"/>
              </w:rPr>
            </w:pPr>
          </w:p>
          <w:p w14:paraId="4123B26E">
            <w:pPr>
              <w:spacing w:line="242" w:lineRule="auto"/>
              <w:rPr>
                <w:rFonts w:ascii="Arial"/>
                <w:sz w:val="21"/>
                <w:szCs w:val="21"/>
              </w:rPr>
            </w:pPr>
          </w:p>
          <w:p w14:paraId="5126DE03">
            <w:pPr>
              <w:spacing w:line="242" w:lineRule="auto"/>
              <w:rPr>
                <w:rFonts w:ascii="Arial"/>
                <w:sz w:val="21"/>
                <w:szCs w:val="21"/>
              </w:rPr>
            </w:pPr>
          </w:p>
          <w:p w14:paraId="2742371F">
            <w:pPr>
              <w:spacing w:line="242" w:lineRule="auto"/>
              <w:rPr>
                <w:rFonts w:ascii="Arial"/>
                <w:sz w:val="21"/>
                <w:szCs w:val="21"/>
              </w:rPr>
            </w:pPr>
          </w:p>
          <w:p w14:paraId="1BA2DAAD">
            <w:pPr>
              <w:spacing w:line="242" w:lineRule="auto"/>
              <w:rPr>
                <w:rFonts w:ascii="Arial"/>
                <w:sz w:val="21"/>
                <w:szCs w:val="21"/>
              </w:rPr>
            </w:pPr>
          </w:p>
          <w:p w14:paraId="66F15BD3">
            <w:pPr>
              <w:spacing w:line="243" w:lineRule="auto"/>
              <w:rPr>
                <w:rFonts w:ascii="Arial"/>
                <w:sz w:val="21"/>
                <w:szCs w:val="21"/>
              </w:rPr>
            </w:pPr>
          </w:p>
          <w:p w14:paraId="1021B6B5">
            <w:pPr>
              <w:pStyle w:val="23"/>
              <w:spacing w:before="78" w:line="219" w:lineRule="auto"/>
              <w:ind w:left="118"/>
              <w:rPr>
                <w:sz w:val="21"/>
                <w:szCs w:val="21"/>
              </w:rPr>
            </w:pPr>
            <w:r>
              <w:rPr>
                <w:spacing w:val="-13"/>
                <w:sz w:val="21"/>
                <w:szCs w:val="21"/>
              </w:rPr>
              <w:t>质检员：</w:t>
            </w:r>
          </w:p>
          <w:p w14:paraId="2E550BE9">
            <w:pPr>
              <w:spacing w:line="258" w:lineRule="auto"/>
              <w:rPr>
                <w:rFonts w:ascii="Arial"/>
                <w:sz w:val="21"/>
                <w:szCs w:val="21"/>
              </w:rPr>
            </w:pPr>
          </w:p>
          <w:p w14:paraId="51A5CB8F">
            <w:pPr>
              <w:pStyle w:val="23"/>
              <w:spacing w:before="78" w:line="219" w:lineRule="auto"/>
              <w:jc w:val="right"/>
              <w:rPr>
                <w:sz w:val="21"/>
                <w:szCs w:val="21"/>
              </w:rPr>
            </w:pPr>
            <w:r>
              <w:rPr>
                <w:spacing w:val="-6"/>
                <w:sz w:val="21"/>
                <w:szCs w:val="21"/>
              </w:rPr>
              <w:t>白蚁防治单位（公章）</w:t>
            </w:r>
          </w:p>
          <w:p w14:paraId="281EF388">
            <w:pPr>
              <w:pStyle w:val="23"/>
              <w:spacing w:before="25" w:line="219" w:lineRule="auto"/>
              <w:ind w:left="158"/>
              <w:rPr>
                <w:sz w:val="21"/>
                <w:szCs w:val="21"/>
              </w:rPr>
            </w:pPr>
            <w:r>
              <w:rPr>
                <w:spacing w:val="-13"/>
                <w:sz w:val="21"/>
                <w:szCs w:val="21"/>
              </w:rPr>
              <w:t>日期：</w:t>
            </w:r>
            <w:r>
              <w:rPr>
                <w:spacing w:val="3"/>
                <w:sz w:val="21"/>
                <w:szCs w:val="21"/>
              </w:rPr>
              <w:t xml:space="preserve">   </w:t>
            </w:r>
            <w:r>
              <w:rPr>
                <w:spacing w:val="-13"/>
                <w:sz w:val="21"/>
                <w:szCs w:val="21"/>
              </w:rPr>
              <w:t>年</w:t>
            </w:r>
            <w:r>
              <w:rPr>
                <w:spacing w:val="5"/>
                <w:sz w:val="21"/>
                <w:szCs w:val="21"/>
              </w:rPr>
              <w:t xml:space="preserve">   </w:t>
            </w:r>
            <w:r>
              <w:rPr>
                <w:spacing w:val="-13"/>
                <w:sz w:val="21"/>
                <w:szCs w:val="21"/>
              </w:rPr>
              <w:t>月</w:t>
            </w:r>
            <w:r>
              <w:rPr>
                <w:spacing w:val="17"/>
                <w:sz w:val="21"/>
                <w:szCs w:val="21"/>
              </w:rPr>
              <w:t xml:space="preserve">   </w:t>
            </w:r>
            <w:r>
              <w:rPr>
                <w:spacing w:val="-13"/>
                <w:sz w:val="21"/>
                <w:szCs w:val="21"/>
              </w:rPr>
              <w:t>日</w:t>
            </w:r>
          </w:p>
        </w:tc>
        <w:tc>
          <w:tcPr>
            <w:tcW w:w="4984" w:type="dxa"/>
            <w:gridSpan w:val="3"/>
            <w:vAlign w:val="top"/>
          </w:tcPr>
          <w:p w14:paraId="1CA6DD83">
            <w:pPr>
              <w:spacing w:line="420" w:lineRule="auto"/>
              <w:rPr>
                <w:rFonts w:ascii="Arial"/>
                <w:sz w:val="21"/>
                <w:szCs w:val="21"/>
              </w:rPr>
            </w:pPr>
          </w:p>
          <w:p w14:paraId="7A5AA3D5">
            <w:pPr>
              <w:pStyle w:val="23"/>
              <w:spacing w:before="78" w:line="218" w:lineRule="auto"/>
              <w:ind w:left="121"/>
              <w:rPr>
                <w:sz w:val="21"/>
                <w:szCs w:val="21"/>
              </w:rPr>
            </w:pPr>
            <w:r>
              <w:rPr>
                <w:spacing w:val="-9"/>
                <w:sz w:val="21"/>
                <w:szCs w:val="21"/>
              </w:rPr>
              <w:t>效果评价意见：</w:t>
            </w:r>
          </w:p>
          <w:p w14:paraId="038AE7EB">
            <w:pPr>
              <w:spacing w:line="253" w:lineRule="auto"/>
              <w:rPr>
                <w:rFonts w:ascii="Arial"/>
                <w:sz w:val="21"/>
                <w:szCs w:val="21"/>
              </w:rPr>
            </w:pPr>
          </w:p>
          <w:p w14:paraId="77EC4D1C">
            <w:pPr>
              <w:spacing w:line="253" w:lineRule="auto"/>
              <w:rPr>
                <w:rFonts w:ascii="Arial"/>
                <w:sz w:val="21"/>
                <w:szCs w:val="21"/>
              </w:rPr>
            </w:pPr>
          </w:p>
          <w:p w14:paraId="57703208">
            <w:pPr>
              <w:spacing w:line="253" w:lineRule="auto"/>
              <w:rPr>
                <w:rFonts w:ascii="Arial"/>
                <w:sz w:val="21"/>
                <w:szCs w:val="21"/>
              </w:rPr>
            </w:pPr>
          </w:p>
          <w:p w14:paraId="4726D91F">
            <w:pPr>
              <w:spacing w:line="253" w:lineRule="auto"/>
              <w:rPr>
                <w:rFonts w:ascii="Arial"/>
                <w:sz w:val="21"/>
                <w:szCs w:val="21"/>
              </w:rPr>
            </w:pPr>
          </w:p>
          <w:p w14:paraId="2C244CD0">
            <w:pPr>
              <w:spacing w:line="254" w:lineRule="auto"/>
              <w:rPr>
                <w:rFonts w:ascii="Arial"/>
                <w:sz w:val="21"/>
                <w:szCs w:val="21"/>
              </w:rPr>
            </w:pPr>
          </w:p>
          <w:p w14:paraId="6FBDED97">
            <w:pPr>
              <w:spacing w:line="254" w:lineRule="auto"/>
              <w:rPr>
                <w:rFonts w:ascii="Arial"/>
                <w:sz w:val="21"/>
                <w:szCs w:val="21"/>
              </w:rPr>
            </w:pPr>
          </w:p>
          <w:p w14:paraId="34BDF171">
            <w:pPr>
              <w:spacing w:line="254" w:lineRule="auto"/>
              <w:rPr>
                <w:rFonts w:ascii="Arial"/>
                <w:sz w:val="21"/>
                <w:szCs w:val="21"/>
              </w:rPr>
            </w:pPr>
          </w:p>
          <w:p w14:paraId="015661A9">
            <w:pPr>
              <w:spacing w:line="254" w:lineRule="auto"/>
              <w:rPr>
                <w:rFonts w:ascii="Arial"/>
                <w:sz w:val="21"/>
                <w:szCs w:val="21"/>
              </w:rPr>
            </w:pPr>
          </w:p>
          <w:p w14:paraId="0DABFD74">
            <w:pPr>
              <w:spacing w:line="254" w:lineRule="auto"/>
              <w:rPr>
                <w:rFonts w:ascii="Arial"/>
                <w:sz w:val="21"/>
                <w:szCs w:val="21"/>
              </w:rPr>
            </w:pPr>
          </w:p>
          <w:p w14:paraId="27EB0DCF">
            <w:pPr>
              <w:spacing w:line="254" w:lineRule="auto"/>
              <w:rPr>
                <w:rFonts w:ascii="Arial"/>
                <w:sz w:val="21"/>
                <w:szCs w:val="21"/>
              </w:rPr>
            </w:pPr>
          </w:p>
          <w:p w14:paraId="5A47C3AA">
            <w:pPr>
              <w:spacing w:line="254" w:lineRule="auto"/>
              <w:rPr>
                <w:rFonts w:ascii="Arial"/>
                <w:sz w:val="21"/>
                <w:szCs w:val="21"/>
              </w:rPr>
            </w:pPr>
          </w:p>
          <w:p w14:paraId="62EA09EB">
            <w:pPr>
              <w:spacing w:line="254" w:lineRule="auto"/>
              <w:rPr>
                <w:rFonts w:ascii="Arial"/>
                <w:sz w:val="21"/>
                <w:szCs w:val="21"/>
              </w:rPr>
            </w:pPr>
          </w:p>
          <w:p w14:paraId="632006BF">
            <w:pPr>
              <w:pStyle w:val="23"/>
              <w:spacing w:before="78" w:line="218" w:lineRule="auto"/>
              <w:ind w:left="114"/>
              <w:rPr>
                <w:sz w:val="21"/>
                <w:szCs w:val="21"/>
              </w:rPr>
            </w:pPr>
            <w:r>
              <w:rPr>
                <w:spacing w:val="-12"/>
                <w:sz w:val="21"/>
                <w:szCs w:val="21"/>
              </w:rPr>
              <w:t>评价人：</w:t>
            </w:r>
          </w:p>
          <w:p w14:paraId="141D5C50">
            <w:pPr>
              <w:pStyle w:val="23"/>
              <w:spacing w:before="26" w:line="219" w:lineRule="auto"/>
              <w:ind w:left="2076"/>
              <w:rPr>
                <w:sz w:val="21"/>
                <w:szCs w:val="21"/>
              </w:rPr>
            </w:pPr>
            <w:r>
              <w:rPr>
                <w:spacing w:val="-13"/>
                <w:sz w:val="21"/>
                <w:szCs w:val="21"/>
              </w:rPr>
              <w:t>日期：</w:t>
            </w:r>
            <w:r>
              <w:rPr>
                <w:spacing w:val="2"/>
                <w:sz w:val="21"/>
                <w:szCs w:val="21"/>
              </w:rPr>
              <w:t xml:space="preserve">    </w:t>
            </w:r>
            <w:r>
              <w:rPr>
                <w:spacing w:val="-13"/>
                <w:sz w:val="21"/>
                <w:szCs w:val="21"/>
              </w:rPr>
              <w:t>年</w:t>
            </w:r>
            <w:r>
              <w:rPr>
                <w:spacing w:val="4"/>
                <w:sz w:val="21"/>
                <w:szCs w:val="21"/>
              </w:rPr>
              <w:t xml:space="preserve">    </w:t>
            </w:r>
            <w:r>
              <w:rPr>
                <w:spacing w:val="-13"/>
                <w:sz w:val="21"/>
                <w:szCs w:val="21"/>
              </w:rPr>
              <w:t>月</w:t>
            </w:r>
            <w:r>
              <w:rPr>
                <w:spacing w:val="17"/>
                <w:sz w:val="21"/>
                <w:szCs w:val="21"/>
              </w:rPr>
              <w:t xml:space="preserve">   </w:t>
            </w:r>
            <w:r>
              <w:rPr>
                <w:spacing w:val="-13"/>
                <w:sz w:val="21"/>
                <w:szCs w:val="21"/>
              </w:rPr>
              <w:t>日</w:t>
            </w:r>
          </w:p>
        </w:tc>
      </w:tr>
      <w:tr w14:paraId="674BD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72" w:type="dxa"/>
            <w:vAlign w:val="top"/>
          </w:tcPr>
          <w:p w14:paraId="35D151A7">
            <w:pPr>
              <w:pStyle w:val="23"/>
              <w:spacing w:before="198" w:line="222" w:lineRule="auto"/>
              <w:ind w:left="474"/>
              <w:rPr>
                <w:sz w:val="21"/>
                <w:szCs w:val="21"/>
              </w:rPr>
            </w:pPr>
            <w:r>
              <w:rPr>
                <w:spacing w:val="-3"/>
                <w:sz w:val="21"/>
                <w:szCs w:val="21"/>
              </w:rPr>
              <w:t>备注</w:t>
            </w:r>
          </w:p>
        </w:tc>
        <w:tc>
          <w:tcPr>
            <w:tcW w:w="8091" w:type="dxa"/>
            <w:gridSpan w:val="5"/>
            <w:vAlign w:val="top"/>
          </w:tcPr>
          <w:p w14:paraId="5A82D21C">
            <w:pPr>
              <w:rPr>
                <w:rFonts w:ascii="Arial"/>
                <w:sz w:val="21"/>
                <w:szCs w:val="21"/>
              </w:rPr>
            </w:pPr>
          </w:p>
        </w:tc>
      </w:tr>
    </w:tbl>
    <w:p w14:paraId="0F37F008">
      <w:pPr>
        <w:rPr>
          <w:rFonts w:hint="default"/>
          <w:lang w:val="en-US" w:eastAsia="zh-CN"/>
        </w:rPr>
        <w:sectPr>
          <w:pgSz w:w="11906" w:h="16838"/>
          <w:pgMar w:top="1247" w:right="1247" w:bottom="1247" w:left="1247" w:header="851" w:footer="992" w:gutter="0"/>
          <w:pgNumType w:fmt="decimal"/>
          <w:cols w:space="425" w:num="1"/>
          <w:docGrid w:type="lines" w:linePitch="312" w:charSpace="0"/>
        </w:sectPr>
      </w:pPr>
    </w:p>
    <w:p w14:paraId="230C0990">
      <w:pPr>
        <w:pStyle w:val="7"/>
        <w:spacing w:before="73" w:line="222" w:lineRule="auto"/>
        <w:ind w:right="172" w:rightChars="0"/>
        <w:jc w:val="center"/>
        <w:rPr>
          <w:rFonts w:ascii="黑体" w:hAnsi="黑体" w:eastAsia="黑体" w:cs="黑体"/>
          <w:b w:val="0"/>
          <w:spacing w:val="-5"/>
          <w:kern w:val="2"/>
          <w:sz w:val="36"/>
          <w:szCs w:val="36"/>
          <w:lang w:val="en-US" w:eastAsia="zh-CN" w:bidi="ar-SA"/>
        </w:rPr>
      </w:pPr>
      <w:r>
        <w:rPr>
          <w:rFonts w:ascii="黑体" w:hAnsi="黑体" w:eastAsia="黑体" w:cs="黑体"/>
          <w:b w:val="0"/>
          <w:spacing w:val="-5"/>
          <w:kern w:val="2"/>
          <w:sz w:val="36"/>
          <w:szCs w:val="36"/>
          <w:lang w:val="en-US" w:eastAsia="zh-CN" w:bidi="ar-SA"/>
        </w:rPr>
        <w:t>表 11 白蚁防治工程监测装置安装记录表</w:t>
      </w:r>
    </w:p>
    <w:p w14:paraId="5BB292AA">
      <w:pPr>
        <w:pStyle w:val="7"/>
        <w:spacing w:before="73" w:line="222" w:lineRule="auto"/>
        <w:ind w:right="172" w:rightChars="0"/>
        <w:jc w:val="center"/>
        <w:rPr>
          <w:rFonts w:ascii="宋体" w:hAnsi="宋体" w:eastAsia="宋体" w:cs="宋体"/>
          <w:sz w:val="22"/>
          <w:szCs w:val="22"/>
        </w:rPr>
      </w:pPr>
      <w:r>
        <w:rPr>
          <w:rFonts w:hint="eastAsia" w:ascii="宋体" w:hAnsi="宋体" w:eastAsia="宋体" w:cs="宋体"/>
          <w:spacing w:val="-3"/>
          <w:sz w:val="22"/>
          <w:szCs w:val="22"/>
          <w:lang w:val="en-US" w:eastAsia="zh-CN"/>
        </w:rPr>
        <w:t xml:space="preserve">                                                           </w:t>
      </w:r>
      <w:r>
        <w:rPr>
          <w:rFonts w:hint="eastAsia" w:ascii="宋体" w:hAnsi="宋体" w:eastAsia="宋体" w:cs="宋体"/>
          <w:b w:val="0"/>
          <w:bCs/>
          <w:spacing w:val="-3"/>
          <w:sz w:val="22"/>
          <w:szCs w:val="22"/>
          <w:lang w:val="en-US" w:eastAsia="zh-CN"/>
        </w:rPr>
        <w:t xml:space="preserve">  </w:t>
      </w:r>
      <w:r>
        <w:rPr>
          <w:rFonts w:ascii="宋体" w:hAnsi="宋体" w:eastAsia="宋体" w:cs="宋体"/>
          <w:b w:val="0"/>
          <w:bCs/>
          <w:spacing w:val="-3"/>
          <w:sz w:val="22"/>
          <w:szCs w:val="22"/>
        </w:rPr>
        <w:t>登记编号：</w:t>
      </w:r>
    </w:p>
    <w:tbl>
      <w:tblPr>
        <w:tblStyle w:val="22"/>
        <w:tblW w:w="94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3"/>
        <w:gridCol w:w="777"/>
        <w:gridCol w:w="2474"/>
        <w:gridCol w:w="532"/>
        <w:gridCol w:w="1602"/>
        <w:gridCol w:w="94"/>
        <w:gridCol w:w="2039"/>
      </w:tblGrid>
      <w:tr w14:paraId="7F68B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660" w:type="dxa"/>
            <w:gridSpan w:val="2"/>
            <w:vAlign w:val="top"/>
          </w:tcPr>
          <w:p w14:paraId="4C633996">
            <w:pPr>
              <w:pStyle w:val="23"/>
              <w:spacing w:before="105" w:line="220" w:lineRule="auto"/>
              <w:ind w:left="859"/>
              <w:rPr>
                <w:sz w:val="24"/>
                <w:szCs w:val="24"/>
              </w:rPr>
            </w:pPr>
            <w:r>
              <w:rPr>
                <w:spacing w:val="-3"/>
                <w:sz w:val="24"/>
                <w:szCs w:val="24"/>
              </w:rPr>
              <w:t>工程名称</w:t>
            </w:r>
          </w:p>
        </w:tc>
        <w:tc>
          <w:tcPr>
            <w:tcW w:w="6741" w:type="dxa"/>
            <w:gridSpan w:val="5"/>
            <w:vAlign w:val="top"/>
          </w:tcPr>
          <w:p w14:paraId="0822F766">
            <w:pPr>
              <w:rPr>
                <w:rFonts w:ascii="Arial"/>
                <w:sz w:val="21"/>
              </w:rPr>
            </w:pPr>
          </w:p>
        </w:tc>
      </w:tr>
      <w:tr w14:paraId="19238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 w:hRule="atLeast"/>
        </w:trPr>
        <w:tc>
          <w:tcPr>
            <w:tcW w:w="2660" w:type="dxa"/>
            <w:gridSpan w:val="2"/>
            <w:vAlign w:val="top"/>
          </w:tcPr>
          <w:p w14:paraId="20A88447">
            <w:pPr>
              <w:pStyle w:val="23"/>
              <w:spacing w:before="98" w:line="220" w:lineRule="auto"/>
              <w:ind w:left="859"/>
              <w:rPr>
                <w:sz w:val="24"/>
                <w:szCs w:val="24"/>
              </w:rPr>
            </w:pPr>
            <w:r>
              <w:rPr>
                <w:spacing w:val="-3"/>
                <w:sz w:val="24"/>
                <w:szCs w:val="24"/>
              </w:rPr>
              <w:t>工程地址</w:t>
            </w:r>
          </w:p>
        </w:tc>
        <w:tc>
          <w:tcPr>
            <w:tcW w:w="6741" w:type="dxa"/>
            <w:gridSpan w:val="5"/>
            <w:vAlign w:val="top"/>
          </w:tcPr>
          <w:p w14:paraId="443A2CED">
            <w:pPr>
              <w:rPr>
                <w:rFonts w:ascii="Arial"/>
                <w:sz w:val="21"/>
              </w:rPr>
            </w:pPr>
          </w:p>
        </w:tc>
      </w:tr>
      <w:tr w14:paraId="279AF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660" w:type="dxa"/>
            <w:gridSpan w:val="2"/>
            <w:vAlign w:val="top"/>
          </w:tcPr>
          <w:p w14:paraId="6D025DD2">
            <w:pPr>
              <w:pStyle w:val="23"/>
              <w:spacing w:before="101" w:line="222" w:lineRule="auto"/>
              <w:ind w:left="735"/>
              <w:rPr>
                <w:sz w:val="24"/>
                <w:szCs w:val="24"/>
              </w:rPr>
            </w:pPr>
            <w:r>
              <w:rPr>
                <w:spacing w:val="-2"/>
                <w:sz w:val="24"/>
                <w:szCs w:val="24"/>
              </w:rPr>
              <w:t>施工联系人</w:t>
            </w:r>
          </w:p>
        </w:tc>
        <w:tc>
          <w:tcPr>
            <w:tcW w:w="2474" w:type="dxa"/>
            <w:vAlign w:val="top"/>
          </w:tcPr>
          <w:p w14:paraId="158E1164">
            <w:pPr>
              <w:rPr>
                <w:rFonts w:ascii="Arial"/>
                <w:sz w:val="21"/>
              </w:rPr>
            </w:pPr>
          </w:p>
        </w:tc>
        <w:tc>
          <w:tcPr>
            <w:tcW w:w="2134" w:type="dxa"/>
            <w:gridSpan w:val="2"/>
            <w:vAlign w:val="top"/>
          </w:tcPr>
          <w:p w14:paraId="1C80C92D">
            <w:pPr>
              <w:pStyle w:val="23"/>
              <w:spacing w:before="101" w:line="222" w:lineRule="auto"/>
              <w:ind w:left="608"/>
              <w:rPr>
                <w:sz w:val="24"/>
                <w:szCs w:val="24"/>
              </w:rPr>
            </w:pPr>
            <w:r>
              <w:rPr>
                <w:spacing w:val="-2"/>
                <w:sz w:val="24"/>
                <w:szCs w:val="24"/>
              </w:rPr>
              <w:t>联系电话</w:t>
            </w:r>
          </w:p>
        </w:tc>
        <w:tc>
          <w:tcPr>
            <w:tcW w:w="2133" w:type="dxa"/>
            <w:gridSpan w:val="2"/>
            <w:vAlign w:val="top"/>
          </w:tcPr>
          <w:p w14:paraId="3D9BC51B">
            <w:pPr>
              <w:rPr>
                <w:rFonts w:ascii="Arial"/>
                <w:sz w:val="21"/>
              </w:rPr>
            </w:pPr>
          </w:p>
        </w:tc>
      </w:tr>
      <w:tr w14:paraId="6774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 w:hRule="atLeast"/>
        </w:trPr>
        <w:tc>
          <w:tcPr>
            <w:tcW w:w="2660" w:type="dxa"/>
            <w:gridSpan w:val="2"/>
            <w:vAlign w:val="top"/>
          </w:tcPr>
          <w:p w14:paraId="748C6662">
            <w:pPr>
              <w:pStyle w:val="23"/>
              <w:spacing w:before="99" w:line="220" w:lineRule="auto"/>
              <w:ind w:left="859"/>
              <w:rPr>
                <w:sz w:val="24"/>
                <w:szCs w:val="24"/>
              </w:rPr>
            </w:pPr>
            <w:r>
              <w:rPr>
                <w:spacing w:val="-3"/>
                <w:sz w:val="24"/>
                <w:szCs w:val="24"/>
              </w:rPr>
              <w:t>建筑面积</w:t>
            </w:r>
          </w:p>
        </w:tc>
        <w:tc>
          <w:tcPr>
            <w:tcW w:w="2474" w:type="dxa"/>
            <w:vAlign w:val="top"/>
          </w:tcPr>
          <w:p w14:paraId="4C5745C9">
            <w:pPr>
              <w:rPr>
                <w:rFonts w:ascii="Arial"/>
                <w:sz w:val="21"/>
              </w:rPr>
            </w:pPr>
          </w:p>
        </w:tc>
        <w:tc>
          <w:tcPr>
            <w:tcW w:w="2134" w:type="dxa"/>
            <w:gridSpan w:val="2"/>
            <w:vAlign w:val="top"/>
          </w:tcPr>
          <w:p w14:paraId="30A15B99">
            <w:pPr>
              <w:pStyle w:val="23"/>
              <w:spacing w:before="99" w:line="220" w:lineRule="auto"/>
              <w:ind w:left="646"/>
              <w:rPr>
                <w:sz w:val="24"/>
                <w:szCs w:val="24"/>
              </w:rPr>
            </w:pPr>
            <w:r>
              <w:rPr>
                <w:spacing w:val="-10"/>
                <w:sz w:val="24"/>
                <w:szCs w:val="24"/>
              </w:rPr>
              <w:t>占地面积</w:t>
            </w:r>
          </w:p>
        </w:tc>
        <w:tc>
          <w:tcPr>
            <w:tcW w:w="2133" w:type="dxa"/>
            <w:gridSpan w:val="2"/>
            <w:vAlign w:val="top"/>
          </w:tcPr>
          <w:p w14:paraId="5B20CE19">
            <w:pPr>
              <w:rPr>
                <w:rFonts w:ascii="Arial"/>
                <w:sz w:val="21"/>
              </w:rPr>
            </w:pPr>
          </w:p>
        </w:tc>
      </w:tr>
      <w:tr w14:paraId="010DD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660" w:type="dxa"/>
            <w:gridSpan w:val="2"/>
            <w:vAlign w:val="top"/>
          </w:tcPr>
          <w:p w14:paraId="097AA08E">
            <w:pPr>
              <w:pStyle w:val="23"/>
              <w:spacing w:before="102" w:line="220" w:lineRule="auto"/>
              <w:ind w:left="857"/>
              <w:rPr>
                <w:sz w:val="24"/>
                <w:szCs w:val="24"/>
              </w:rPr>
            </w:pPr>
            <w:r>
              <w:rPr>
                <w:spacing w:val="-2"/>
                <w:sz w:val="24"/>
                <w:szCs w:val="24"/>
              </w:rPr>
              <w:t>房屋长度</w:t>
            </w:r>
          </w:p>
        </w:tc>
        <w:tc>
          <w:tcPr>
            <w:tcW w:w="2474" w:type="dxa"/>
            <w:vAlign w:val="top"/>
          </w:tcPr>
          <w:p w14:paraId="7EE5A8D6">
            <w:pPr>
              <w:rPr>
                <w:rFonts w:ascii="Arial"/>
                <w:sz w:val="21"/>
              </w:rPr>
            </w:pPr>
          </w:p>
        </w:tc>
        <w:tc>
          <w:tcPr>
            <w:tcW w:w="2134" w:type="dxa"/>
            <w:gridSpan w:val="2"/>
            <w:vAlign w:val="top"/>
          </w:tcPr>
          <w:p w14:paraId="4997DBFD">
            <w:pPr>
              <w:pStyle w:val="23"/>
              <w:spacing w:before="102" w:line="220" w:lineRule="auto"/>
              <w:ind w:left="608"/>
              <w:rPr>
                <w:sz w:val="24"/>
                <w:szCs w:val="24"/>
              </w:rPr>
            </w:pPr>
            <w:r>
              <w:rPr>
                <w:spacing w:val="-2"/>
                <w:sz w:val="24"/>
                <w:szCs w:val="24"/>
              </w:rPr>
              <w:t>房屋宽度</w:t>
            </w:r>
          </w:p>
        </w:tc>
        <w:tc>
          <w:tcPr>
            <w:tcW w:w="2133" w:type="dxa"/>
            <w:gridSpan w:val="2"/>
            <w:vAlign w:val="top"/>
          </w:tcPr>
          <w:p w14:paraId="4999AA8C">
            <w:pPr>
              <w:rPr>
                <w:rFonts w:ascii="Arial"/>
                <w:sz w:val="21"/>
              </w:rPr>
            </w:pPr>
          </w:p>
        </w:tc>
      </w:tr>
      <w:tr w14:paraId="6482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60" w:type="dxa"/>
            <w:gridSpan w:val="2"/>
            <w:vAlign w:val="top"/>
          </w:tcPr>
          <w:p w14:paraId="4480E1A4">
            <w:pPr>
              <w:pStyle w:val="23"/>
              <w:spacing w:before="100" w:line="220" w:lineRule="auto"/>
              <w:ind w:left="857"/>
              <w:rPr>
                <w:sz w:val="24"/>
                <w:szCs w:val="24"/>
              </w:rPr>
            </w:pPr>
            <w:r>
              <w:rPr>
                <w:spacing w:val="-2"/>
                <w:sz w:val="24"/>
                <w:szCs w:val="24"/>
              </w:rPr>
              <w:t>房屋周长</w:t>
            </w:r>
          </w:p>
        </w:tc>
        <w:tc>
          <w:tcPr>
            <w:tcW w:w="2474" w:type="dxa"/>
            <w:vAlign w:val="top"/>
          </w:tcPr>
          <w:p w14:paraId="7FFB3B8E">
            <w:pPr>
              <w:rPr>
                <w:rFonts w:ascii="Arial"/>
                <w:sz w:val="21"/>
              </w:rPr>
            </w:pPr>
          </w:p>
        </w:tc>
        <w:tc>
          <w:tcPr>
            <w:tcW w:w="2134" w:type="dxa"/>
            <w:gridSpan w:val="2"/>
            <w:vAlign w:val="top"/>
          </w:tcPr>
          <w:p w14:paraId="2D2D32ED">
            <w:pPr>
              <w:pStyle w:val="23"/>
              <w:spacing w:before="100" w:line="220" w:lineRule="auto"/>
              <w:ind w:left="368"/>
              <w:rPr>
                <w:sz w:val="24"/>
                <w:szCs w:val="24"/>
              </w:rPr>
            </w:pPr>
            <w:r>
              <w:rPr>
                <w:spacing w:val="-2"/>
                <w:sz w:val="24"/>
                <w:szCs w:val="24"/>
              </w:rPr>
              <w:t>监控系统名称</w:t>
            </w:r>
          </w:p>
        </w:tc>
        <w:tc>
          <w:tcPr>
            <w:tcW w:w="2133" w:type="dxa"/>
            <w:gridSpan w:val="2"/>
            <w:vAlign w:val="top"/>
          </w:tcPr>
          <w:p w14:paraId="13CD837E">
            <w:pPr>
              <w:rPr>
                <w:rFonts w:ascii="Arial"/>
                <w:sz w:val="21"/>
              </w:rPr>
            </w:pPr>
          </w:p>
        </w:tc>
      </w:tr>
      <w:tr w14:paraId="785D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660" w:type="dxa"/>
            <w:gridSpan w:val="2"/>
            <w:vAlign w:val="top"/>
          </w:tcPr>
          <w:p w14:paraId="1122B049">
            <w:pPr>
              <w:pStyle w:val="23"/>
              <w:spacing w:before="102" w:line="220" w:lineRule="auto"/>
              <w:ind w:left="861"/>
              <w:rPr>
                <w:sz w:val="24"/>
                <w:szCs w:val="24"/>
              </w:rPr>
            </w:pPr>
            <w:r>
              <w:rPr>
                <w:spacing w:val="-3"/>
                <w:sz w:val="24"/>
                <w:szCs w:val="24"/>
              </w:rPr>
              <w:t>安装数量</w:t>
            </w:r>
          </w:p>
        </w:tc>
        <w:tc>
          <w:tcPr>
            <w:tcW w:w="2474" w:type="dxa"/>
            <w:vAlign w:val="top"/>
          </w:tcPr>
          <w:p w14:paraId="52B120A8">
            <w:pPr>
              <w:rPr>
                <w:rFonts w:ascii="Arial"/>
                <w:sz w:val="21"/>
              </w:rPr>
            </w:pPr>
          </w:p>
        </w:tc>
        <w:tc>
          <w:tcPr>
            <w:tcW w:w="2134" w:type="dxa"/>
            <w:gridSpan w:val="2"/>
            <w:vAlign w:val="top"/>
          </w:tcPr>
          <w:p w14:paraId="617C934C">
            <w:pPr>
              <w:pStyle w:val="23"/>
              <w:spacing w:before="102" w:line="220" w:lineRule="auto"/>
              <w:ind w:left="612"/>
              <w:rPr>
                <w:sz w:val="24"/>
                <w:szCs w:val="24"/>
              </w:rPr>
            </w:pPr>
            <w:r>
              <w:rPr>
                <w:spacing w:val="-3"/>
                <w:sz w:val="24"/>
                <w:szCs w:val="24"/>
              </w:rPr>
              <w:t>安装时间</w:t>
            </w:r>
          </w:p>
        </w:tc>
        <w:tc>
          <w:tcPr>
            <w:tcW w:w="2133" w:type="dxa"/>
            <w:gridSpan w:val="2"/>
            <w:vAlign w:val="top"/>
          </w:tcPr>
          <w:p w14:paraId="5C5E2A17">
            <w:pPr>
              <w:rPr>
                <w:rFonts w:ascii="Arial"/>
                <w:sz w:val="21"/>
              </w:rPr>
            </w:pPr>
          </w:p>
        </w:tc>
      </w:tr>
      <w:tr w14:paraId="7C49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1" w:hRule="atLeast"/>
        </w:trPr>
        <w:tc>
          <w:tcPr>
            <w:tcW w:w="1883" w:type="dxa"/>
            <w:vAlign w:val="top"/>
          </w:tcPr>
          <w:p w14:paraId="2591F649">
            <w:pPr>
              <w:spacing w:line="275" w:lineRule="auto"/>
              <w:rPr>
                <w:rFonts w:ascii="Arial"/>
                <w:sz w:val="21"/>
              </w:rPr>
            </w:pPr>
          </w:p>
          <w:p w14:paraId="525016F4">
            <w:pPr>
              <w:spacing w:line="276" w:lineRule="auto"/>
              <w:rPr>
                <w:rFonts w:ascii="Arial"/>
                <w:sz w:val="21"/>
              </w:rPr>
            </w:pPr>
          </w:p>
          <w:p w14:paraId="6DB9DFB8">
            <w:pPr>
              <w:spacing w:line="276" w:lineRule="auto"/>
              <w:rPr>
                <w:rFonts w:ascii="Arial"/>
                <w:sz w:val="21"/>
              </w:rPr>
            </w:pPr>
          </w:p>
          <w:p w14:paraId="5E800911">
            <w:pPr>
              <w:spacing w:line="276" w:lineRule="auto"/>
              <w:rPr>
                <w:rFonts w:ascii="Arial"/>
                <w:sz w:val="21"/>
              </w:rPr>
            </w:pPr>
          </w:p>
          <w:p w14:paraId="3B8F67EE">
            <w:pPr>
              <w:spacing w:line="276" w:lineRule="auto"/>
              <w:rPr>
                <w:rFonts w:ascii="Arial"/>
                <w:sz w:val="21"/>
              </w:rPr>
            </w:pPr>
          </w:p>
          <w:p w14:paraId="0E563E61">
            <w:pPr>
              <w:pStyle w:val="23"/>
              <w:spacing w:before="78" w:line="220" w:lineRule="auto"/>
              <w:ind w:left="472"/>
              <w:rPr>
                <w:sz w:val="24"/>
                <w:szCs w:val="24"/>
              </w:rPr>
            </w:pPr>
            <w:r>
              <w:rPr>
                <w:spacing w:val="-3"/>
                <w:sz w:val="24"/>
                <w:szCs w:val="24"/>
              </w:rPr>
              <w:t>安装情况</w:t>
            </w:r>
          </w:p>
        </w:tc>
        <w:tc>
          <w:tcPr>
            <w:tcW w:w="777" w:type="dxa"/>
            <w:tcBorders>
              <w:right w:val="nil"/>
            </w:tcBorders>
            <w:vAlign w:val="top"/>
          </w:tcPr>
          <w:p w14:paraId="0032E880">
            <w:pPr>
              <w:rPr>
                <w:rFonts w:ascii="Arial"/>
                <w:sz w:val="21"/>
              </w:rPr>
            </w:pPr>
          </w:p>
        </w:tc>
        <w:tc>
          <w:tcPr>
            <w:tcW w:w="6741" w:type="dxa"/>
            <w:gridSpan w:val="5"/>
            <w:tcBorders>
              <w:left w:val="nil"/>
            </w:tcBorders>
            <w:vAlign w:val="top"/>
          </w:tcPr>
          <w:p w14:paraId="2BF35311">
            <w:pPr>
              <w:rPr>
                <w:rFonts w:ascii="Arial"/>
                <w:sz w:val="21"/>
              </w:rPr>
            </w:pPr>
          </w:p>
        </w:tc>
      </w:tr>
      <w:tr w14:paraId="5C107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8" w:hRule="atLeast"/>
        </w:trPr>
        <w:tc>
          <w:tcPr>
            <w:tcW w:w="1883" w:type="dxa"/>
            <w:vAlign w:val="top"/>
          </w:tcPr>
          <w:p w14:paraId="3B060043">
            <w:pPr>
              <w:spacing w:line="311" w:lineRule="auto"/>
              <w:rPr>
                <w:rFonts w:ascii="Arial"/>
                <w:sz w:val="21"/>
              </w:rPr>
            </w:pPr>
          </w:p>
          <w:p w14:paraId="11E5CF87">
            <w:pPr>
              <w:spacing w:line="311" w:lineRule="auto"/>
              <w:rPr>
                <w:rFonts w:ascii="Arial"/>
                <w:sz w:val="21"/>
              </w:rPr>
            </w:pPr>
          </w:p>
          <w:p w14:paraId="6BC01197">
            <w:pPr>
              <w:spacing w:line="311" w:lineRule="auto"/>
              <w:rPr>
                <w:rFonts w:ascii="Arial"/>
                <w:sz w:val="21"/>
              </w:rPr>
            </w:pPr>
          </w:p>
          <w:p w14:paraId="369A4315">
            <w:pPr>
              <w:pStyle w:val="23"/>
              <w:spacing w:before="78"/>
              <w:ind w:left="229" w:right="219" w:hanging="3"/>
              <w:rPr>
                <w:sz w:val="24"/>
                <w:szCs w:val="24"/>
              </w:rPr>
            </w:pPr>
            <w:r>
              <w:rPr>
                <w:spacing w:val="-2"/>
                <w:sz w:val="24"/>
                <w:szCs w:val="24"/>
              </w:rPr>
              <w:t>业主单位（监</w:t>
            </w:r>
            <w:r>
              <w:rPr>
                <w:spacing w:val="-3"/>
                <w:sz w:val="24"/>
                <w:szCs w:val="24"/>
              </w:rPr>
              <w:t>理单位）证明</w:t>
            </w:r>
          </w:p>
        </w:tc>
        <w:tc>
          <w:tcPr>
            <w:tcW w:w="777" w:type="dxa"/>
            <w:tcBorders>
              <w:right w:val="nil"/>
            </w:tcBorders>
            <w:vAlign w:val="top"/>
          </w:tcPr>
          <w:p w14:paraId="1DDCF333">
            <w:pPr>
              <w:rPr>
                <w:rFonts w:ascii="Arial"/>
                <w:sz w:val="21"/>
              </w:rPr>
            </w:pPr>
          </w:p>
        </w:tc>
        <w:tc>
          <w:tcPr>
            <w:tcW w:w="6741" w:type="dxa"/>
            <w:gridSpan w:val="5"/>
            <w:tcBorders>
              <w:left w:val="nil"/>
            </w:tcBorders>
            <w:vAlign w:val="top"/>
          </w:tcPr>
          <w:p w14:paraId="6A14E1E0">
            <w:pPr>
              <w:spacing w:line="258" w:lineRule="auto"/>
              <w:rPr>
                <w:rFonts w:ascii="Arial"/>
                <w:sz w:val="21"/>
              </w:rPr>
            </w:pPr>
          </w:p>
          <w:p w14:paraId="273943B1">
            <w:pPr>
              <w:spacing w:line="258" w:lineRule="auto"/>
              <w:rPr>
                <w:rFonts w:ascii="Arial"/>
                <w:sz w:val="21"/>
              </w:rPr>
            </w:pPr>
          </w:p>
          <w:p w14:paraId="275F4CD8">
            <w:pPr>
              <w:spacing w:line="258" w:lineRule="auto"/>
              <w:rPr>
                <w:rFonts w:ascii="Arial"/>
                <w:sz w:val="21"/>
              </w:rPr>
            </w:pPr>
          </w:p>
          <w:p w14:paraId="77C4C095">
            <w:pPr>
              <w:spacing w:line="258" w:lineRule="auto"/>
              <w:rPr>
                <w:rFonts w:ascii="Arial"/>
                <w:sz w:val="21"/>
              </w:rPr>
            </w:pPr>
          </w:p>
          <w:p w14:paraId="2177F7D8">
            <w:pPr>
              <w:spacing w:line="259" w:lineRule="auto"/>
              <w:rPr>
                <w:rFonts w:ascii="Arial"/>
                <w:sz w:val="21"/>
              </w:rPr>
            </w:pPr>
          </w:p>
          <w:p w14:paraId="75B4A73D">
            <w:pPr>
              <w:spacing w:line="259" w:lineRule="auto"/>
              <w:rPr>
                <w:rFonts w:ascii="Arial"/>
                <w:sz w:val="21"/>
              </w:rPr>
            </w:pPr>
          </w:p>
          <w:p w14:paraId="71BBA5D7">
            <w:pPr>
              <w:pStyle w:val="23"/>
              <w:spacing w:before="78" w:line="219" w:lineRule="auto"/>
              <w:ind w:left="3258"/>
              <w:rPr>
                <w:sz w:val="24"/>
                <w:szCs w:val="24"/>
              </w:rPr>
            </w:pPr>
            <w:r>
              <w:rPr>
                <w:spacing w:val="-3"/>
                <w:sz w:val="24"/>
                <w:szCs w:val="24"/>
              </w:rPr>
              <w:t>签章</w:t>
            </w:r>
          </w:p>
        </w:tc>
      </w:tr>
      <w:tr w14:paraId="024F7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883" w:type="dxa"/>
            <w:vAlign w:val="top"/>
          </w:tcPr>
          <w:p w14:paraId="7F59E9C2">
            <w:pPr>
              <w:spacing w:line="242" w:lineRule="auto"/>
              <w:rPr>
                <w:rFonts w:ascii="Arial"/>
                <w:sz w:val="21"/>
              </w:rPr>
            </w:pPr>
          </w:p>
          <w:p w14:paraId="6B69AC0A">
            <w:pPr>
              <w:pStyle w:val="23"/>
              <w:spacing w:before="78" w:line="221" w:lineRule="auto"/>
              <w:ind w:left="579"/>
              <w:rPr>
                <w:sz w:val="24"/>
                <w:szCs w:val="24"/>
              </w:rPr>
            </w:pPr>
            <w:r>
              <w:rPr>
                <w:spacing w:val="-2"/>
                <w:sz w:val="24"/>
                <w:szCs w:val="24"/>
              </w:rPr>
              <w:t>施工人员</w:t>
            </w:r>
          </w:p>
        </w:tc>
        <w:tc>
          <w:tcPr>
            <w:tcW w:w="777" w:type="dxa"/>
            <w:tcBorders>
              <w:right w:val="nil"/>
            </w:tcBorders>
            <w:vAlign w:val="top"/>
          </w:tcPr>
          <w:p w14:paraId="1A1C3038">
            <w:pPr>
              <w:rPr>
                <w:rFonts w:ascii="Arial"/>
                <w:sz w:val="21"/>
              </w:rPr>
            </w:pPr>
          </w:p>
        </w:tc>
        <w:tc>
          <w:tcPr>
            <w:tcW w:w="3006" w:type="dxa"/>
            <w:gridSpan w:val="2"/>
            <w:tcBorders>
              <w:left w:val="nil"/>
            </w:tcBorders>
            <w:vAlign w:val="top"/>
          </w:tcPr>
          <w:p w14:paraId="569623BF">
            <w:pPr>
              <w:rPr>
                <w:rFonts w:ascii="Arial"/>
                <w:sz w:val="21"/>
              </w:rPr>
            </w:pPr>
          </w:p>
        </w:tc>
        <w:tc>
          <w:tcPr>
            <w:tcW w:w="1696" w:type="dxa"/>
            <w:gridSpan w:val="2"/>
            <w:vAlign w:val="top"/>
          </w:tcPr>
          <w:p w14:paraId="4573F10B">
            <w:pPr>
              <w:spacing w:line="242" w:lineRule="auto"/>
              <w:rPr>
                <w:rFonts w:ascii="Arial"/>
                <w:sz w:val="21"/>
              </w:rPr>
            </w:pPr>
          </w:p>
          <w:p w14:paraId="2E8A5451">
            <w:pPr>
              <w:pStyle w:val="23"/>
              <w:spacing w:before="78" w:line="220" w:lineRule="auto"/>
              <w:ind w:left="399"/>
              <w:rPr>
                <w:sz w:val="24"/>
                <w:szCs w:val="24"/>
              </w:rPr>
            </w:pPr>
            <w:r>
              <w:rPr>
                <w:spacing w:val="-3"/>
                <w:sz w:val="24"/>
                <w:szCs w:val="24"/>
              </w:rPr>
              <w:t>项目负责</w:t>
            </w:r>
          </w:p>
        </w:tc>
        <w:tc>
          <w:tcPr>
            <w:tcW w:w="2039" w:type="dxa"/>
            <w:vAlign w:val="top"/>
          </w:tcPr>
          <w:p w14:paraId="341E64C2">
            <w:pPr>
              <w:rPr>
                <w:rFonts w:ascii="Arial"/>
                <w:sz w:val="21"/>
              </w:rPr>
            </w:pPr>
          </w:p>
        </w:tc>
      </w:tr>
    </w:tbl>
    <w:p w14:paraId="74D391EA">
      <w:pPr>
        <w:spacing w:before="35" w:line="219" w:lineRule="auto"/>
        <w:ind w:left="32"/>
        <w:rPr>
          <w:rFonts w:ascii="宋体" w:hAnsi="宋体" w:eastAsia="宋体" w:cs="宋体"/>
          <w:sz w:val="24"/>
          <w:szCs w:val="24"/>
        </w:rPr>
      </w:pPr>
      <w:r>
        <w:rPr>
          <w:rFonts w:ascii="宋体" w:hAnsi="宋体" w:eastAsia="宋体" w:cs="宋体"/>
          <w:spacing w:val="-2"/>
          <w:sz w:val="24"/>
          <w:szCs w:val="24"/>
        </w:rPr>
        <w:t>附：监测装置安装位置标示图</w:t>
      </w:r>
    </w:p>
    <w:p w14:paraId="4F06A765">
      <w:pPr>
        <w:rPr>
          <w:rFonts w:hint="default"/>
          <w:lang w:val="en-US" w:eastAsia="zh-CN"/>
        </w:rPr>
        <w:sectPr>
          <w:pgSz w:w="11906" w:h="16838"/>
          <w:pgMar w:top="1247" w:right="1247" w:bottom="1247" w:left="1247" w:header="851" w:footer="992" w:gutter="0"/>
          <w:pgNumType w:fmt="decimal"/>
          <w:cols w:space="425" w:num="1"/>
          <w:docGrid w:type="lines" w:linePitch="312" w:charSpace="0"/>
        </w:sectPr>
      </w:pPr>
    </w:p>
    <w:p w14:paraId="72EB9CE3">
      <w:pPr>
        <w:pStyle w:val="7"/>
        <w:spacing w:before="73" w:line="222" w:lineRule="auto"/>
        <w:ind w:right="172" w:rightChars="0"/>
        <w:jc w:val="center"/>
        <w:rPr>
          <w:rFonts w:ascii="黑体" w:hAnsi="黑体" w:eastAsia="黑体" w:cs="黑体"/>
          <w:b w:val="0"/>
          <w:spacing w:val="-5"/>
          <w:kern w:val="2"/>
          <w:sz w:val="36"/>
          <w:szCs w:val="36"/>
          <w:lang w:val="en-US" w:eastAsia="zh-CN" w:bidi="ar-SA"/>
        </w:rPr>
      </w:pPr>
      <w:r>
        <w:rPr>
          <w:rFonts w:ascii="黑体" w:hAnsi="黑体" w:eastAsia="黑体" w:cs="黑体"/>
          <w:b w:val="0"/>
          <w:spacing w:val="-5"/>
          <w:kern w:val="2"/>
          <w:sz w:val="36"/>
          <w:szCs w:val="36"/>
          <w:lang w:val="en-US" w:eastAsia="zh-CN" w:bidi="ar-SA"/>
        </w:rPr>
        <w:t>表 12 白蚁防治工程监测装置检查和维护记录表</w:t>
      </w:r>
    </w:p>
    <w:p w14:paraId="0574E7B8">
      <w:pPr>
        <w:pStyle w:val="7"/>
        <w:spacing w:before="72" w:line="222" w:lineRule="auto"/>
        <w:ind w:right="172" w:rightChars="0" w:firstLine="7200" w:firstLineChars="3600"/>
        <w:rPr>
          <w:rFonts w:ascii="宋体" w:hAnsi="宋体" w:eastAsia="宋体" w:cs="宋体"/>
          <w:b w:val="0"/>
          <w:bCs/>
          <w:sz w:val="22"/>
          <w:szCs w:val="22"/>
        </w:rPr>
      </w:pPr>
      <w:r>
        <w:rPr>
          <w:rFonts w:ascii="宋体" w:hAnsi="宋体" w:eastAsia="宋体" w:cs="宋体"/>
          <w:b w:val="0"/>
          <w:bCs/>
          <w:spacing w:val="-10"/>
          <w:sz w:val="22"/>
          <w:szCs w:val="22"/>
        </w:rPr>
        <w:t>登记编号：</w:t>
      </w:r>
    </w:p>
    <w:tbl>
      <w:tblPr>
        <w:tblStyle w:val="22"/>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1991"/>
        <w:gridCol w:w="1917"/>
        <w:gridCol w:w="1879"/>
        <w:gridCol w:w="1917"/>
      </w:tblGrid>
      <w:tr w14:paraId="12F55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792" w:type="dxa"/>
            <w:vAlign w:val="top"/>
          </w:tcPr>
          <w:p w14:paraId="7358608C">
            <w:pPr>
              <w:pStyle w:val="23"/>
              <w:spacing w:before="114" w:line="221" w:lineRule="auto"/>
              <w:ind w:left="464"/>
              <w:rPr>
                <w:sz w:val="21"/>
                <w:szCs w:val="21"/>
              </w:rPr>
            </w:pPr>
            <w:r>
              <w:rPr>
                <w:spacing w:val="-2"/>
                <w:sz w:val="21"/>
                <w:szCs w:val="21"/>
              </w:rPr>
              <w:t>工程名称</w:t>
            </w:r>
          </w:p>
        </w:tc>
        <w:tc>
          <w:tcPr>
            <w:tcW w:w="7704" w:type="dxa"/>
            <w:gridSpan w:val="4"/>
            <w:vAlign w:val="top"/>
          </w:tcPr>
          <w:p w14:paraId="167019BD">
            <w:pPr>
              <w:rPr>
                <w:rFonts w:ascii="Arial"/>
                <w:sz w:val="21"/>
                <w:szCs w:val="21"/>
              </w:rPr>
            </w:pPr>
          </w:p>
        </w:tc>
      </w:tr>
      <w:tr w14:paraId="49F95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92" w:type="dxa"/>
            <w:vAlign w:val="top"/>
          </w:tcPr>
          <w:p w14:paraId="1DA07A6D">
            <w:pPr>
              <w:pStyle w:val="23"/>
              <w:spacing w:before="110" w:line="221" w:lineRule="auto"/>
              <w:ind w:left="464"/>
              <w:rPr>
                <w:sz w:val="21"/>
                <w:szCs w:val="21"/>
              </w:rPr>
            </w:pPr>
            <w:r>
              <w:rPr>
                <w:spacing w:val="-2"/>
                <w:sz w:val="21"/>
                <w:szCs w:val="21"/>
              </w:rPr>
              <w:t>工程地址</w:t>
            </w:r>
          </w:p>
        </w:tc>
        <w:tc>
          <w:tcPr>
            <w:tcW w:w="7704" w:type="dxa"/>
            <w:gridSpan w:val="4"/>
            <w:vAlign w:val="top"/>
          </w:tcPr>
          <w:p w14:paraId="3B169C93">
            <w:pPr>
              <w:rPr>
                <w:rFonts w:ascii="Arial"/>
                <w:sz w:val="21"/>
                <w:szCs w:val="21"/>
              </w:rPr>
            </w:pPr>
          </w:p>
        </w:tc>
      </w:tr>
      <w:tr w14:paraId="53894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92" w:type="dxa"/>
            <w:vAlign w:val="top"/>
          </w:tcPr>
          <w:p w14:paraId="1541D1B0">
            <w:pPr>
              <w:pStyle w:val="23"/>
              <w:spacing w:before="110" w:line="222" w:lineRule="auto"/>
              <w:ind w:left="354"/>
              <w:rPr>
                <w:sz w:val="21"/>
                <w:szCs w:val="21"/>
              </w:rPr>
            </w:pPr>
            <w:r>
              <w:rPr>
                <w:spacing w:val="-2"/>
                <w:sz w:val="21"/>
                <w:szCs w:val="21"/>
              </w:rPr>
              <w:t>工地联系人</w:t>
            </w:r>
          </w:p>
        </w:tc>
        <w:tc>
          <w:tcPr>
            <w:tcW w:w="3908" w:type="dxa"/>
            <w:gridSpan w:val="2"/>
            <w:vAlign w:val="top"/>
          </w:tcPr>
          <w:p w14:paraId="72ED9CF7">
            <w:pPr>
              <w:rPr>
                <w:rFonts w:ascii="Arial"/>
                <w:sz w:val="21"/>
                <w:szCs w:val="21"/>
              </w:rPr>
            </w:pPr>
          </w:p>
        </w:tc>
        <w:tc>
          <w:tcPr>
            <w:tcW w:w="1879" w:type="dxa"/>
            <w:vAlign w:val="top"/>
          </w:tcPr>
          <w:p w14:paraId="3B93A651">
            <w:pPr>
              <w:pStyle w:val="23"/>
              <w:spacing w:before="110" w:line="222" w:lineRule="auto"/>
              <w:ind w:left="463"/>
              <w:rPr>
                <w:sz w:val="21"/>
                <w:szCs w:val="21"/>
              </w:rPr>
            </w:pPr>
            <w:r>
              <w:rPr>
                <w:spacing w:val="-2"/>
                <w:sz w:val="21"/>
                <w:szCs w:val="21"/>
              </w:rPr>
              <w:t>联系电话</w:t>
            </w:r>
          </w:p>
        </w:tc>
        <w:tc>
          <w:tcPr>
            <w:tcW w:w="1917" w:type="dxa"/>
            <w:vAlign w:val="top"/>
          </w:tcPr>
          <w:p w14:paraId="3956E30D">
            <w:pPr>
              <w:rPr>
                <w:rFonts w:ascii="Arial"/>
                <w:sz w:val="21"/>
                <w:szCs w:val="21"/>
              </w:rPr>
            </w:pPr>
          </w:p>
        </w:tc>
      </w:tr>
      <w:tr w14:paraId="1BDDF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92" w:type="dxa"/>
            <w:vAlign w:val="top"/>
          </w:tcPr>
          <w:p w14:paraId="0B2F4179">
            <w:pPr>
              <w:pStyle w:val="23"/>
              <w:spacing w:before="150" w:line="221" w:lineRule="auto"/>
              <w:ind w:left="462"/>
              <w:rPr>
                <w:sz w:val="21"/>
                <w:szCs w:val="21"/>
              </w:rPr>
            </w:pPr>
            <w:r>
              <w:rPr>
                <w:spacing w:val="-2"/>
                <w:sz w:val="21"/>
                <w:szCs w:val="21"/>
              </w:rPr>
              <w:t>房屋结构</w:t>
            </w:r>
          </w:p>
        </w:tc>
        <w:tc>
          <w:tcPr>
            <w:tcW w:w="3908" w:type="dxa"/>
            <w:gridSpan w:val="2"/>
            <w:vAlign w:val="top"/>
          </w:tcPr>
          <w:p w14:paraId="4C3172CE">
            <w:pPr>
              <w:rPr>
                <w:rFonts w:ascii="Arial"/>
                <w:sz w:val="21"/>
                <w:szCs w:val="21"/>
              </w:rPr>
            </w:pPr>
          </w:p>
        </w:tc>
        <w:tc>
          <w:tcPr>
            <w:tcW w:w="1879" w:type="dxa"/>
            <w:vAlign w:val="top"/>
          </w:tcPr>
          <w:p w14:paraId="3AA8761C">
            <w:pPr>
              <w:pStyle w:val="23"/>
              <w:spacing w:before="150" w:line="221" w:lineRule="auto"/>
              <w:ind w:left="465"/>
              <w:rPr>
                <w:sz w:val="21"/>
                <w:szCs w:val="21"/>
              </w:rPr>
            </w:pPr>
            <w:r>
              <w:rPr>
                <w:spacing w:val="-2"/>
                <w:sz w:val="21"/>
                <w:szCs w:val="21"/>
              </w:rPr>
              <w:t>建筑面积</w:t>
            </w:r>
          </w:p>
        </w:tc>
        <w:tc>
          <w:tcPr>
            <w:tcW w:w="1917" w:type="dxa"/>
            <w:vAlign w:val="top"/>
          </w:tcPr>
          <w:p w14:paraId="5AEF42EB">
            <w:pPr>
              <w:rPr>
                <w:rFonts w:ascii="Arial"/>
                <w:sz w:val="21"/>
                <w:szCs w:val="21"/>
              </w:rPr>
            </w:pPr>
          </w:p>
        </w:tc>
      </w:tr>
      <w:tr w14:paraId="68DEB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92" w:type="dxa"/>
            <w:vAlign w:val="top"/>
          </w:tcPr>
          <w:p w14:paraId="23F7D336">
            <w:pPr>
              <w:pStyle w:val="23"/>
              <w:spacing w:before="109" w:line="221" w:lineRule="auto"/>
              <w:ind w:left="466"/>
              <w:rPr>
                <w:sz w:val="21"/>
                <w:szCs w:val="21"/>
              </w:rPr>
            </w:pPr>
            <w:r>
              <w:rPr>
                <w:spacing w:val="-2"/>
                <w:sz w:val="21"/>
                <w:szCs w:val="21"/>
              </w:rPr>
              <w:t>安装时间</w:t>
            </w:r>
          </w:p>
        </w:tc>
        <w:tc>
          <w:tcPr>
            <w:tcW w:w="3908" w:type="dxa"/>
            <w:gridSpan w:val="2"/>
            <w:vAlign w:val="top"/>
          </w:tcPr>
          <w:p w14:paraId="143645BA">
            <w:pPr>
              <w:rPr>
                <w:rFonts w:ascii="Arial"/>
                <w:sz w:val="21"/>
                <w:szCs w:val="21"/>
              </w:rPr>
            </w:pPr>
          </w:p>
        </w:tc>
        <w:tc>
          <w:tcPr>
            <w:tcW w:w="1879" w:type="dxa"/>
            <w:vAlign w:val="top"/>
          </w:tcPr>
          <w:p w14:paraId="67D5565B">
            <w:pPr>
              <w:pStyle w:val="23"/>
              <w:spacing w:before="110" w:line="220" w:lineRule="auto"/>
              <w:ind w:left="467"/>
              <w:rPr>
                <w:sz w:val="21"/>
                <w:szCs w:val="21"/>
              </w:rPr>
            </w:pPr>
            <w:r>
              <w:rPr>
                <w:spacing w:val="-2"/>
                <w:sz w:val="21"/>
                <w:szCs w:val="21"/>
              </w:rPr>
              <w:t>安装数量</w:t>
            </w:r>
          </w:p>
        </w:tc>
        <w:tc>
          <w:tcPr>
            <w:tcW w:w="1917" w:type="dxa"/>
            <w:vAlign w:val="top"/>
          </w:tcPr>
          <w:p w14:paraId="7C0004FD">
            <w:pPr>
              <w:rPr>
                <w:rFonts w:ascii="Arial"/>
                <w:sz w:val="21"/>
                <w:szCs w:val="21"/>
              </w:rPr>
            </w:pPr>
          </w:p>
        </w:tc>
      </w:tr>
      <w:tr w14:paraId="3B85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92" w:type="dxa"/>
            <w:vMerge w:val="restart"/>
            <w:tcBorders>
              <w:bottom w:val="nil"/>
            </w:tcBorders>
            <w:vAlign w:val="top"/>
          </w:tcPr>
          <w:p w14:paraId="1B75C17E">
            <w:pPr>
              <w:pStyle w:val="23"/>
              <w:spacing w:before="190" w:line="242" w:lineRule="auto"/>
              <w:ind w:left="573" w:right="450" w:hanging="111"/>
              <w:rPr>
                <w:sz w:val="21"/>
                <w:szCs w:val="21"/>
              </w:rPr>
            </w:pPr>
            <w:r>
              <w:rPr>
                <w:spacing w:val="-2"/>
                <w:sz w:val="21"/>
                <w:szCs w:val="21"/>
              </w:rPr>
              <w:t>监测装置</w:t>
            </w:r>
            <w:r>
              <w:rPr>
                <w:spacing w:val="-5"/>
                <w:sz w:val="21"/>
                <w:szCs w:val="21"/>
              </w:rPr>
              <w:t>编</w:t>
            </w:r>
            <w:r>
              <w:rPr>
                <w:spacing w:val="7"/>
                <w:sz w:val="21"/>
                <w:szCs w:val="21"/>
              </w:rPr>
              <w:t xml:space="preserve">  </w:t>
            </w:r>
            <w:r>
              <w:rPr>
                <w:spacing w:val="-5"/>
                <w:sz w:val="21"/>
                <w:szCs w:val="21"/>
              </w:rPr>
              <w:t>号</w:t>
            </w:r>
          </w:p>
        </w:tc>
        <w:tc>
          <w:tcPr>
            <w:tcW w:w="7704" w:type="dxa"/>
            <w:gridSpan w:val="4"/>
            <w:vAlign w:val="top"/>
          </w:tcPr>
          <w:p w14:paraId="0720EB42">
            <w:pPr>
              <w:pStyle w:val="23"/>
              <w:spacing w:before="110" w:line="220" w:lineRule="auto"/>
              <w:ind w:left="3878"/>
              <w:rPr>
                <w:sz w:val="21"/>
                <w:szCs w:val="21"/>
              </w:rPr>
            </w:pPr>
            <w:r>
              <w:rPr>
                <w:spacing w:val="-2"/>
                <w:sz w:val="21"/>
                <w:szCs w:val="21"/>
              </w:rPr>
              <w:t>检查日期</w:t>
            </w:r>
          </w:p>
        </w:tc>
      </w:tr>
      <w:tr w14:paraId="1827D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92" w:type="dxa"/>
            <w:vMerge w:val="continue"/>
            <w:tcBorders>
              <w:top w:val="nil"/>
            </w:tcBorders>
            <w:vAlign w:val="top"/>
          </w:tcPr>
          <w:p w14:paraId="407A222B">
            <w:pPr>
              <w:rPr>
                <w:rFonts w:ascii="Arial"/>
                <w:sz w:val="21"/>
                <w:szCs w:val="21"/>
              </w:rPr>
            </w:pPr>
          </w:p>
        </w:tc>
        <w:tc>
          <w:tcPr>
            <w:tcW w:w="1991" w:type="dxa"/>
            <w:vAlign w:val="top"/>
          </w:tcPr>
          <w:p w14:paraId="3F011AD2">
            <w:pPr>
              <w:pStyle w:val="23"/>
              <w:spacing w:before="110" w:line="220" w:lineRule="auto"/>
              <w:ind w:left="552"/>
              <w:rPr>
                <w:sz w:val="21"/>
                <w:szCs w:val="21"/>
              </w:rPr>
            </w:pPr>
            <w:r>
              <w:rPr>
                <w:spacing w:val="-8"/>
                <w:sz w:val="21"/>
                <w:szCs w:val="21"/>
              </w:rPr>
              <w:t>年</w:t>
            </w:r>
            <w:r>
              <w:rPr>
                <w:spacing w:val="5"/>
                <w:sz w:val="21"/>
                <w:szCs w:val="21"/>
              </w:rPr>
              <w:t xml:space="preserve">   </w:t>
            </w:r>
            <w:r>
              <w:rPr>
                <w:spacing w:val="-8"/>
                <w:sz w:val="21"/>
                <w:szCs w:val="21"/>
              </w:rPr>
              <w:t>月</w:t>
            </w:r>
            <w:r>
              <w:rPr>
                <w:spacing w:val="23"/>
                <w:sz w:val="21"/>
                <w:szCs w:val="21"/>
              </w:rPr>
              <w:t xml:space="preserve">  </w:t>
            </w:r>
            <w:r>
              <w:rPr>
                <w:spacing w:val="-8"/>
                <w:sz w:val="21"/>
                <w:szCs w:val="21"/>
              </w:rPr>
              <w:t>日</w:t>
            </w:r>
          </w:p>
        </w:tc>
        <w:tc>
          <w:tcPr>
            <w:tcW w:w="1917" w:type="dxa"/>
            <w:vAlign w:val="top"/>
          </w:tcPr>
          <w:p w14:paraId="1E90836C">
            <w:pPr>
              <w:pStyle w:val="23"/>
              <w:spacing w:before="110" w:line="220" w:lineRule="auto"/>
              <w:ind w:left="553"/>
              <w:rPr>
                <w:sz w:val="21"/>
                <w:szCs w:val="21"/>
              </w:rPr>
            </w:pPr>
            <w:r>
              <w:rPr>
                <w:spacing w:val="-8"/>
                <w:sz w:val="21"/>
                <w:szCs w:val="21"/>
              </w:rPr>
              <w:t>年</w:t>
            </w:r>
            <w:r>
              <w:rPr>
                <w:spacing w:val="5"/>
                <w:sz w:val="21"/>
                <w:szCs w:val="21"/>
              </w:rPr>
              <w:t xml:space="preserve">   </w:t>
            </w:r>
            <w:r>
              <w:rPr>
                <w:spacing w:val="-8"/>
                <w:sz w:val="21"/>
                <w:szCs w:val="21"/>
              </w:rPr>
              <w:t>月</w:t>
            </w:r>
            <w:r>
              <w:rPr>
                <w:spacing w:val="23"/>
                <w:sz w:val="21"/>
                <w:szCs w:val="21"/>
              </w:rPr>
              <w:t xml:space="preserve">  </w:t>
            </w:r>
            <w:r>
              <w:rPr>
                <w:spacing w:val="-8"/>
                <w:sz w:val="21"/>
                <w:szCs w:val="21"/>
              </w:rPr>
              <w:t>日</w:t>
            </w:r>
          </w:p>
        </w:tc>
        <w:tc>
          <w:tcPr>
            <w:tcW w:w="1879" w:type="dxa"/>
            <w:vAlign w:val="top"/>
          </w:tcPr>
          <w:p w14:paraId="45C0C246">
            <w:pPr>
              <w:pStyle w:val="23"/>
              <w:spacing w:before="110" w:line="220" w:lineRule="auto"/>
              <w:ind w:left="417"/>
              <w:rPr>
                <w:sz w:val="21"/>
                <w:szCs w:val="21"/>
              </w:rPr>
            </w:pPr>
            <w:r>
              <w:rPr>
                <w:spacing w:val="-8"/>
                <w:sz w:val="21"/>
                <w:szCs w:val="21"/>
              </w:rPr>
              <w:t>年</w:t>
            </w:r>
            <w:r>
              <w:rPr>
                <w:spacing w:val="5"/>
                <w:sz w:val="21"/>
                <w:szCs w:val="21"/>
              </w:rPr>
              <w:t xml:space="preserve">   </w:t>
            </w:r>
            <w:r>
              <w:rPr>
                <w:spacing w:val="-8"/>
                <w:sz w:val="21"/>
                <w:szCs w:val="21"/>
              </w:rPr>
              <w:t>月</w:t>
            </w:r>
            <w:r>
              <w:rPr>
                <w:spacing w:val="23"/>
                <w:sz w:val="21"/>
                <w:szCs w:val="21"/>
              </w:rPr>
              <w:t xml:space="preserve">  </w:t>
            </w:r>
            <w:r>
              <w:rPr>
                <w:spacing w:val="-8"/>
                <w:sz w:val="21"/>
                <w:szCs w:val="21"/>
              </w:rPr>
              <w:t>日</w:t>
            </w:r>
          </w:p>
        </w:tc>
        <w:tc>
          <w:tcPr>
            <w:tcW w:w="1917" w:type="dxa"/>
            <w:vAlign w:val="top"/>
          </w:tcPr>
          <w:p w14:paraId="563C5FA7">
            <w:pPr>
              <w:pStyle w:val="23"/>
              <w:spacing w:before="110" w:line="220" w:lineRule="auto"/>
              <w:ind w:left="397"/>
              <w:rPr>
                <w:sz w:val="21"/>
                <w:szCs w:val="21"/>
              </w:rPr>
            </w:pPr>
            <w:r>
              <w:rPr>
                <w:spacing w:val="-8"/>
                <w:sz w:val="21"/>
                <w:szCs w:val="21"/>
              </w:rPr>
              <w:t>年</w:t>
            </w:r>
            <w:r>
              <w:rPr>
                <w:spacing w:val="5"/>
                <w:sz w:val="21"/>
                <w:szCs w:val="21"/>
              </w:rPr>
              <w:t xml:space="preserve">   </w:t>
            </w:r>
            <w:r>
              <w:rPr>
                <w:spacing w:val="-8"/>
                <w:sz w:val="21"/>
                <w:szCs w:val="21"/>
              </w:rPr>
              <w:t>月</w:t>
            </w:r>
            <w:r>
              <w:rPr>
                <w:spacing w:val="23"/>
                <w:sz w:val="21"/>
                <w:szCs w:val="21"/>
              </w:rPr>
              <w:t xml:space="preserve">  </w:t>
            </w:r>
            <w:r>
              <w:rPr>
                <w:spacing w:val="-8"/>
                <w:sz w:val="21"/>
                <w:szCs w:val="21"/>
              </w:rPr>
              <w:t>日</w:t>
            </w:r>
          </w:p>
        </w:tc>
      </w:tr>
      <w:tr w14:paraId="607AF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92" w:type="dxa"/>
            <w:vAlign w:val="top"/>
          </w:tcPr>
          <w:p w14:paraId="43A842DD">
            <w:pPr>
              <w:rPr>
                <w:rFonts w:ascii="Arial"/>
                <w:sz w:val="21"/>
                <w:szCs w:val="21"/>
              </w:rPr>
            </w:pPr>
          </w:p>
        </w:tc>
        <w:tc>
          <w:tcPr>
            <w:tcW w:w="1991" w:type="dxa"/>
            <w:vAlign w:val="top"/>
          </w:tcPr>
          <w:p w14:paraId="061E9977">
            <w:pPr>
              <w:rPr>
                <w:rFonts w:ascii="Arial"/>
                <w:sz w:val="21"/>
                <w:szCs w:val="21"/>
              </w:rPr>
            </w:pPr>
          </w:p>
        </w:tc>
        <w:tc>
          <w:tcPr>
            <w:tcW w:w="1917" w:type="dxa"/>
            <w:vAlign w:val="top"/>
          </w:tcPr>
          <w:p w14:paraId="6943314F">
            <w:pPr>
              <w:rPr>
                <w:rFonts w:ascii="Arial"/>
                <w:sz w:val="21"/>
                <w:szCs w:val="21"/>
              </w:rPr>
            </w:pPr>
          </w:p>
        </w:tc>
        <w:tc>
          <w:tcPr>
            <w:tcW w:w="1879" w:type="dxa"/>
            <w:vAlign w:val="top"/>
          </w:tcPr>
          <w:p w14:paraId="63879F31">
            <w:pPr>
              <w:rPr>
                <w:rFonts w:ascii="Arial"/>
                <w:sz w:val="21"/>
                <w:szCs w:val="21"/>
              </w:rPr>
            </w:pPr>
          </w:p>
        </w:tc>
        <w:tc>
          <w:tcPr>
            <w:tcW w:w="1917" w:type="dxa"/>
            <w:vAlign w:val="top"/>
          </w:tcPr>
          <w:p w14:paraId="6530FED2">
            <w:pPr>
              <w:rPr>
                <w:rFonts w:ascii="Arial"/>
                <w:sz w:val="21"/>
                <w:szCs w:val="21"/>
              </w:rPr>
            </w:pPr>
          </w:p>
        </w:tc>
      </w:tr>
      <w:tr w14:paraId="07634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792" w:type="dxa"/>
            <w:vAlign w:val="top"/>
          </w:tcPr>
          <w:p w14:paraId="389D373C">
            <w:pPr>
              <w:rPr>
                <w:rFonts w:ascii="Arial"/>
                <w:sz w:val="21"/>
                <w:szCs w:val="21"/>
              </w:rPr>
            </w:pPr>
          </w:p>
        </w:tc>
        <w:tc>
          <w:tcPr>
            <w:tcW w:w="1991" w:type="dxa"/>
            <w:vAlign w:val="top"/>
          </w:tcPr>
          <w:p w14:paraId="753844D6">
            <w:pPr>
              <w:rPr>
                <w:rFonts w:ascii="Arial"/>
                <w:sz w:val="21"/>
                <w:szCs w:val="21"/>
              </w:rPr>
            </w:pPr>
          </w:p>
        </w:tc>
        <w:tc>
          <w:tcPr>
            <w:tcW w:w="1917" w:type="dxa"/>
            <w:vAlign w:val="top"/>
          </w:tcPr>
          <w:p w14:paraId="64CDCD1F">
            <w:pPr>
              <w:rPr>
                <w:rFonts w:ascii="Arial"/>
                <w:sz w:val="21"/>
                <w:szCs w:val="21"/>
              </w:rPr>
            </w:pPr>
          </w:p>
        </w:tc>
        <w:tc>
          <w:tcPr>
            <w:tcW w:w="1879" w:type="dxa"/>
            <w:vAlign w:val="top"/>
          </w:tcPr>
          <w:p w14:paraId="4DE90C1E">
            <w:pPr>
              <w:rPr>
                <w:rFonts w:ascii="Arial"/>
                <w:sz w:val="21"/>
                <w:szCs w:val="21"/>
              </w:rPr>
            </w:pPr>
          </w:p>
        </w:tc>
        <w:tc>
          <w:tcPr>
            <w:tcW w:w="1917" w:type="dxa"/>
            <w:vAlign w:val="top"/>
          </w:tcPr>
          <w:p w14:paraId="089BA381">
            <w:pPr>
              <w:rPr>
                <w:rFonts w:ascii="Arial"/>
                <w:sz w:val="21"/>
                <w:szCs w:val="21"/>
              </w:rPr>
            </w:pPr>
          </w:p>
        </w:tc>
      </w:tr>
      <w:tr w14:paraId="7036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792" w:type="dxa"/>
            <w:vAlign w:val="top"/>
          </w:tcPr>
          <w:p w14:paraId="18518277">
            <w:pPr>
              <w:rPr>
                <w:rFonts w:ascii="Arial"/>
                <w:sz w:val="21"/>
                <w:szCs w:val="21"/>
              </w:rPr>
            </w:pPr>
          </w:p>
        </w:tc>
        <w:tc>
          <w:tcPr>
            <w:tcW w:w="1991" w:type="dxa"/>
            <w:vAlign w:val="top"/>
          </w:tcPr>
          <w:p w14:paraId="6CF5FFFF">
            <w:pPr>
              <w:rPr>
                <w:rFonts w:ascii="Arial"/>
                <w:sz w:val="21"/>
                <w:szCs w:val="21"/>
              </w:rPr>
            </w:pPr>
          </w:p>
        </w:tc>
        <w:tc>
          <w:tcPr>
            <w:tcW w:w="1917" w:type="dxa"/>
            <w:vAlign w:val="top"/>
          </w:tcPr>
          <w:p w14:paraId="4927EA88">
            <w:pPr>
              <w:rPr>
                <w:rFonts w:ascii="Arial"/>
                <w:sz w:val="21"/>
                <w:szCs w:val="21"/>
              </w:rPr>
            </w:pPr>
          </w:p>
        </w:tc>
        <w:tc>
          <w:tcPr>
            <w:tcW w:w="1879" w:type="dxa"/>
            <w:vAlign w:val="top"/>
          </w:tcPr>
          <w:p w14:paraId="11245A1D">
            <w:pPr>
              <w:rPr>
                <w:rFonts w:ascii="Arial"/>
                <w:sz w:val="21"/>
                <w:szCs w:val="21"/>
              </w:rPr>
            </w:pPr>
          </w:p>
        </w:tc>
        <w:tc>
          <w:tcPr>
            <w:tcW w:w="1917" w:type="dxa"/>
            <w:vAlign w:val="top"/>
          </w:tcPr>
          <w:p w14:paraId="0F03BCE0">
            <w:pPr>
              <w:rPr>
                <w:rFonts w:ascii="Arial"/>
                <w:sz w:val="21"/>
                <w:szCs w:val="21"/>
              </w:rPr>
            </w:pPr>
          </w:p>
        </w:tc>
      </w:tr>
      <w:tr w14:paraId="7F934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792" w:type="dxa"/>
            <w:vAlign w:val="top"/>
          </w:tcPr>
          <w:p w14:paraId="52F38CE6">
            <w:pPr>
              <w:rPr>
                <w:rFonts w:ascii="Arial"/>
                <w:sz w:val="21"/>
                <w:szCs w:val="21"/>
              </w:rPr>
            </w:pPr>
          </w:p>
        </w:tc>
        <w:tc>
          <w:tcPr>
            <w:tcW w:w="1991" w:type="dxa"/>
            <w:vAlign w:val="top"/>
          </w:tcPr>
          <w:p w14:paraId="5D39F279">
            <w:pPr>
              <w:rPr>
                <w:rFonts w:ascii="Arial"/>
                <w:sz w:val="21"/>
                <w:szCs w:val="21"/>
              </w:rPr>
            </w:pPr>
          </w:p>
        </w:tc>
        <w:tc>
          <w:tcPr>
            <w:tcW w:w="1917" w:type="dxa"/>
            <w:vAlign w:val="top"/>
          </w:tcPr>
          <w:p w14:paraId="423DED94">
            <w:pPr>
              <w:rPr>
                <w:rFonts w:ascii="Arial"/>
                <w:sz w:val="21"/>
                <w:szCs w:val="21"/>
              </w:rPr>
            </w:pPr>
          </w:p>
        </w:tc>
        <w:tc>
          <w:tcPr>
            <w:tcW w:w="1879" w:type="dxa"/>
            <w:vAlign w:val="top"/>
          </w:tcPr>
          <w:p w14:paraId="70BA88A2">
            <w:pPr>
              <w:rPr>
                <w:rFonts w:ascii="Arial"/>
                <w:sz w:val="21"/>
                <w:szCs w:val="21"/>
              </w:rPr>
            </w:pPr>
          </w:p>
        </w:tc>
        <w:tc>
          <w:tcPr>
            <w:tcW w:w="1917" w:type="dxa"/>
            <w:vAlign w:val="top"/>
          </w:tcPr>
          <w:p w14:paraId="7F626A7B">
            <w:pPr>
              <w:rPr>
                <w:rFonts w:ascii="Arial"/>
                <w:sz w:val="21"/>
                <w:szCs w:val="21"/>
              </w:rPr>
            </w:pPr>
          </w:p>
        </w:tc>
      </w:tr>
      <w:tr w14:paraId="3EF0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92" w:type="dxa"/>
            <w:vAlign w:val="top"/>
          </w:tcPr>
          <w:p w14:paraId="4543836F">
            <w:pPr>
              <w:rPr>
                <w:rFonts w:ascii="Arial"/>
                <w:sz w:val="21"/>
                <w:szCs w:val="21"/>
              </w:rPr>
            </w:pPr>
          </w:p>
        </w:tc>
        <w:tc>
          <w:tcPr>
            <w:tcW w:w="1991" w:type="dxa"/>
            <w:vAlign w:val="top"/>
          </w:tcPr>
          <w:p w14:paraId="7BE5FA90">
            <w:pPr>
              <w:rPr>
                <w:rFonts w:ascii="Arial"/>
                <w:sz w:val="21"/>
                <w:szCs w:val="21"/>
              </w:rPr>
            </w:pPr>
          </w:p>
        </w:tc>
        <w:tc>
          <w:tcPr>
            <w:tcW w:w="1917" w:type="dxa"/>
            <w:vAlign w:val="top"/>
          </w:tcPr>
          <w:p w14:paraId="0742296B">
            <w:pPr>
              <w:rPr>
                <w:rFonts w:ascii="Arial"/>
                <w:sz w:val="21"/>
                <w:szCs w:val="21"/>
              </w:rPr>
            </w:pPr>
          </w:p>
        </w:tc>
        <w:tc>
          <w:tcPr>
            <w:tcW w:w="1879" w:type="dxa"/>
            <w:vAlign w:val="top"/>
          </w:tcPr>
          <w:p w14:paraId="65390A30">
            <w:pPr>
              <w:rPr>
                <w:rFonts w:ascii="Arial"/>
                <w:sz w:val="21"/>
                <w:szCs w:val="21"/>
              </w:rPr>
            </w:pPr>
          </w:p>
        </w:tc>
        <w:tc>
          <w:tcPr>
            <w:tcW w:w="1917" w:type="dxa"/>
            <w:vAlign w:val="top"/>
          </w:tcPr>
          <w:p w14:paraId="4E230AFB">
            <w:pPr>
              <w:rPr>
                <w:rFonts w:ascii="Arial"/>
                <w:sz w:val="21"/>
                <w:szCs w:val="21"/>
              </w:rPr>
            </w:pPr>
          </w:p>
        </w:tc>
      </w:tr>
      <w:tr w14:paraId="3DE36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792" w:type="dxa"/>
            <w:vAlign w:val="top"/>
          </w:tcPr>
          <w:p w14:paraId="0A6A41CF">
            <w:pPr>
              <w:rPr>
                <w:rFonts w:ascii="Arial"/>
                <w:sz w:val="21"/>
                <w:szCs w:val="21"/>
              </w:rPr>
            </w:pPr>
          </w:p>
        </w:tc>
        <w:tc>
          <w:tcPr>
            <w:tcW w:w="1991" w:type="dxa"/>
            <w:vAlign w:val="top"/>
          </w:tcPr>
          <w:p w14:paraId="714E5666">
            <w:pPr>
              <w:rPr>
                <w:rFonts w:ascii="Arial"/>
                <w:sz w:val="21"/>
                <w:szCs w:val="21"/>
              </w:rPr>
            </w:pPr>
          </w:p>
        </w:tc>
        <w:tc>
          <w:tcPr>
            <w:tcW w:w="1917" w:type="dxa"/>
            <w:vAlign w:val="top"/>
          </w:tcPr>
          <w:p w14:paraId="37EF84F1">
            <w:pPr>
              <w:rPr>
                <w:rFonts w:ascii="Arial"/>
                <w:sz w:val="21"/>
                <w:szCs w:val="21"/>
              </w:rPr>
            </w:pPr>
          </w:p>
        </w:tc>
        <w:tc>
          <w:tcPr>
            <w:tcW w:w="1879" w:type="dxa"/>
            <w:vAlign w:val="top"/>
          </w:tcPr>
          <w:p w14:paraId="62246100">
            <w:pPr>
              <w:rPr>
                <w:rFonts w:ascii="Arial"/>
                <w:sz w:val="21"/>
                <w:szCs w:val="21"/>
              </w:rPr>
            </w:pPr>
          </w:p>
        </w:tc>
        <w:tc>
          <w:tcPr>
            <w:tcW w:w="1917" w:type="dxa"/>
            <w:vAlign w:val="top"/>
          </w:tcPr>
          <w:p w14:paraId="056D491F">
            <w:pPr>
              <w:rPr>
                <w:rFonts w:ascii="Arial"/>
                <w:sz w:val="21"/>
                <w:szCs w:val="21"/>
              </w:rPr>
            </w:pPr>
          </w:p>
        </w:tc>
      </w:tr>
      <w:tr w14:paraId="1D479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792" w:type="dxa"/>
            <w:vAlign w:val="top"/>
          </w:tcPr>
          <w:p w14:paraId="5480C41C">
            <w:pPr>
              <w:rPr>
                <w:rFonts w:ascii="Arial"/>
                <w:sz w:val="21"/>
                <w:szCs w:val="21"/>
              </w:rPr>
            </w:pPr>
          </w:p>
        </w:tc>
        <w:tc>
          <w:tcPr>
            <w:tcW w:w="1991" w:type="dxa"/>
            <w:vAlign w:val="top"/>
          </w:tcPr>
          <w:p w14:paraId="5B5AB02A">
            <w:pPr>
              <w:rPr>
                <w:rFonts w:ascii="Arial"/>
                <w:sz w:val="21"/>
                <w:szCs w:val="21"/>
              </w:rPr>
            </w:pPr>
          </w:p>
        </w:tc>
        <w:tc>
          <w:tcPr>
            <w:tcW w:w="1917" w:type="dxa"/>
            <w:vAlign w:val="top"/>
          </w:tcPr>
          <w:p w14:paraId="0831CAF9">
            <w:pPr>
              <w:rPr>
                <w:rFonts w:ascii="Arial"/>
                <w:sz w:val="21"/>
                <w:szCs w:val="21"/>
              </w:rPr>
            </w:pPr>
          </w:p>
        </w:tc>
        <w:tc>
          <w:tcPr>
            <w:tcW w:w="1879" w:type="dxa"/>
            <w:vAlign w:val="top"/>
          </w:tcPr>
          <w:p w14:paraId="3346E588">
            <w:pPr>
              <w:rPr>
                <w:rFonts w:ascii="Arial"/>
                <w:sz w:val="21"/>
                <w:szCs w:val="21"/>
              </w:rPr>
            </w:pPr>
          </w:p>
        </w:tc>
        <w:tc>
          <w:tcPr>
            <w:tcW w:w="1917" w:type="dxa"/>
            <w:vAlign w:val="top"/>
          </w:tcPr>
          <w:p w14:paraId="5802C6CE">
            <w:pPr>
              <w:rPr>
                <w:rFonts w:ascii="Arial"/>
                <w:sz w:val="21"/>
                <w:szCs w:val="21"/>
              </w:rPr>
            </w:pPr>
          </w:p>
        </w:tc>
      </w:tr>
      <w:tr w14:paraId="561BF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792" w:type="dxa"/>
            <w:vAlign w:val="top"/>
          </w:tcPr>
          <w:p w14:paraId="0EE6E836">
            <w:pPr>
              <w:rPr>
                <w:rFonts w:ascii="Arial"/>
                <w:sz w:val="21"/>
                <w:szCs w:val="21"/>
              </w:rPr>
            </w:pPr>
          </w:p>
        </w:tc>
        <w:tc>
          <w:tcPr>
            <w:tcW w:w="1991" w:type="dxa"/>
            <w:vAlign w:val="top"/>
          </w:tcPr>
          <w:p w14:paraId="00285A5B">
            <w:pPr>
              <w:rPr>
                <w:rFonts w:ascii="Arial"/>
                <w:sz w:val="21"/>
                <w:szCs w:val="21"/>
              </w:rPr>
            </w:pPr>
          </w:p>
        </w:tc>
        <w:tc>
          <w:tcPr>
            <w:tcW w:w="1917" w:type="dxa"/>
            <w:vAlign w:val="top"/>
          </w:tcPr>
          <w:p w14:paraId="37AE929B">
            <w:pPr>
              <w:rPr>
                <w:rFonts w:ascii="Arial"/>
                <w:sz w:val="21"/>
                <w:szCs w:val="21"/>
              </w:rPr>
            </w:pPr>
          </w:p>
        </w:tc>
        <w:tc>
          <w:tcPr>
            <w:tcW w:w="1879" w:type="dxa"/>
            <w:vAlign w:val="top"/>
          </w:tcPr>
          <w:p w14:paraId="5754D8C2">
            <w:pPr>
              <w:rPr>
                <w:rFonts w:ascii="Arial"/>
                <w:sz w:val="21"/>
                <w:szCs w:val="21"/>
              </w:rPr>
            </w:pPr>
          </w:p>
        </w:tc>
        <w:tc>
          <w:tcPr>
            <w:tcW w:w="1917" w:type="dxa"/>
            <w:vAlign w:val="top"/>
          </w:tcPr>
          <w:p w14:paraId="2A4C89D2">
            <w:pPr>
              <w:rPr>
                <w:rFonts w:ascii="Arial"/>
                <w:sz w:val="21"/>
                <w:szCs w:val="21"/>
              </w:rPr>
            </w:pPr>
          </w:p>
        </w:tc>
      </w:tr>
      <w:tr w14:paraId="6452C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92" w:type="dxa"/>
            <w:vAlign w:val="top"/>
          </w:tcPr>
          <w:p w14:paraId="1B275910">
            <w:pPr>
              <w:pStyle w:val="23"/>
              <w:spacing w:before="157" w:line="220" w:lineRule="auto"/>
              <w:ind w:left="421"/>
              <w:rPr>
                <w:sz w:val="21"/>
                <w:szCs w:val="21"/>
              </w:rPr>
            </w:pPr>
            <w:r>
              <w:rPr>
                <w:spacing w:val="-2"/>
                <w:sz w:val="21"/>
                <w:szCs w:val="21"/>
              </w:rPr>
              <w:t>检查人员</w:t>
            </w:r>
          </w:p>
        </w:tc>
        <w:tc>
          <w:tcPr>
            <w:tcW w:w="1991" w:type="dxa"/>
            <w:vAlign w:val="top"/>
          </w:tcPr>
          <w:p w14:paraId="0F9A7343">
            <w:pPr>
              <w:rPr>
                <w:rFonts w:ascii="Arial"/>
                <w:sz w:val="21"/>
                <w:szCs w:val="21"/>
              </w:rPr>
            </w:pPr>
          </w:p>
        </w:tc>
        <w:tc>
          <w:tcPr>
            <w:tcW w:w="1917" w:type="dxa"/>
            <w:vAlign w:val="top"/>
          </w:tcPr>
          <w:p w14:paraId="2F32E48F">
            <w:pPr>
              <w:rPr>
                <w:rFonts w:ascii="Arial"/>
                <w:sz w:val="21"/>
                <w:szCs w:val="21"/>
              </w:rPr>
            </w:pPr>
          </w:p>
        </w:tc>
        <w:tc>
          <w:tcPr>
            <w:tcW w:w="1879" w:type="dxa"/>
            <w:vAlign w:val="top"/>
          </w:tcPr>
          <w:p w14:paraId="57086E27">
            <w:pPr>
              <w:rPr>
                <w:rFonts w:ascii="Arial"/>
                <w:sz w:val="21"/>
                <w:szCs w:val="21"/>
              </w:rPr>
            </w:pPr>
          </w:p>
        </w:tc>
        <w:tc>
          <w:tcPr>
            <w:tcW w:w="1917" w:type="dxa"/>
            <w:vAlign w:val="top"/>
          </w:tcPr>
          <w:p w14:paraId="35D3F672">
            <w:pPr>
              <w:rPr>
                <w:rFonts w:ascii="Arial"/>
                <w:sz w:val="21"/>
                <w:szCs w:val="21"/>
              </w:rPr>
            </w:pPr>
          </w:p>
        </w:tc>
      </w:tr>
      <w:tr w14:paraId="14D3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792" w:type="dxa"/>
            <w:vAlign w:val="top"/>
          </w:tcPr>
          <w:p w14:paraId="5502A578">
            <w:pPr>
              <w:pStyle w:val="23"/>
              <w:spacing w:before="160" w:line="220" w:lineRule="auto"/>
              <w:ind w:left="434"/>
              <w:rPr>
                <w:sz w:val="21"/>
                <w:szCs w:val="21"/>
              </w:rPr>
            </w:pPr>
            <w:r>
              <w:rPr>
                <w:spacing w:val="-5"/>
                <w:sz w:val="21"/>
                <w:szCs w:val="21"/>
              </w:rPr>
              <w:t>审核人员</w:t>
            </w:r>
          </w:p>
        </w:tc>
        <w:tc>
          <w:tcPr>
            <w:tcW w:w="1991" w:type="dxa"/>
            <w:vAlign w:val="top"/>
          </w:tcPr>
          <w:p w14:paraId="18785093">
            <w:pPr>
              <w:rPr>
                <w:rFonts w:ascii="Arial"/>
                <w:sz w:val="21"/>
                <w:szCs w:val="21"/>
              </w:rPr>
            </w:pPr>
          </w:p>
        </w:tc>
        <w:tc>
          <w:tcPr>
            <w:tcW w:w="1917" w:type="dxa"/>
            <w:vAlign w:val="top"/>
          </w:tcPr>
          <w:p w14:paraId="5A535CBB">
            <w:pPr>
              <w:rPr>
                <w:rFonts w:ascii="Arial"/>
                <w:sz w:val="21"/>
                <w:szCs w:val="21"/>
              </w:rPr>
            </w:pPr>
          </w:p>
        </w:tc>
        <w:tc>
          <w:tcPr>
            <w:tcW w:w="1879" w:type="dxa"/>
            <w:vAlign w:val="top"/>
          </w:tcPr>
          <w:p w14:paraId="3B100392">
            <w:pPr>
              <w:rPr>
                <w:rFonts w:ascii="Arial"/>
                <w:sz w:val="21"/>
                <w:szCs w:val="21"/>
              </w:rPr>
            </w:pPr>
          </w:p>
        </w:tc>
        <w:tc>
          <w:tcPr>
            <w:tcW w:w="1917" w:type="dxa"/>
            <w:vAlign w:val="top"/>
          </w:tcPr>
          <w:p w14:paraId="049CEBF1">
            <w:pPr>
              <w:rPr>
                <w:rFonts w:ascii="Arial"/>
                <w:sz w:val="21"/>
                <w:szCs w:val="21"/>
              </w:rPr>
            </w:pPr>
          </w:p>
        </w:tc>
      </w:tr>
      <w:tr w14:paraId="242F6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1792" w:type="dxa"/>
            <w:vAlign w:val="top"/>
          </w:tcPr>
          <w:p w14:paraId="58464EAC">
            <w:pPr>
              <w:spacing w:line="267" w:lineRule="auto"/>
              <w:rPr>
                <w:rFonts w:ascii="Arial"/>
                <w:sz w:val="21"/>
                <w:szCs w:val="21"/>
              </w:rPr>
            </w:pPr>
          </w:p>
          <w:p w14:paraId="11C1DC84">
            <w:pPr>
              <w:spacing w:line="268" w:lineRule="auto"/>
              <w:rPr>
                <w:rFonts w:ascii="Arial"/>
                <w:sz w:val="21"/>
                <w:szCs w:val="21"/>
              </w:rPr>
            </w:pPr>
          </w:p>
          <w:p w14:paraId="3CC5BB1B">
            <w:pPr>
              <w:pStyle w:val="23"/>
              <w:spacing w:before="78" w:line="221" w:lineRule="auto"/>
              <w:ind w:left="664"/>
              <w:rPr>
                <w:sz w:val="21"/>
                <w:szCs w:val="21"/>
              </w:rPr>
            </w:pPr>
            <w:r>
              <w:rPr>
                <w:spacing w:val="-4"/>
                <w:sz w:val="21"/>
                <w:szCs w:val="21"/>
              </w:rPr>
              <w:t>备注</w:t>
            </w:r>
          </w:p>
        </w:tc>
        <w:tc>
          <w:tcPr>
            <w:tcW w:w="7704" w:type="dxa"/>
            <w:gridSpan w:val="4"/>
            <w:vAlign w:val="top"/>
          </w:tcPr>
          <w:p w14:paraId="39034DFC">
            <w:pPr>
              <w:pStyle w:val="23"/>
              <w:spacing w:before="87" w:line="226" w:lineRule="auto"/>
              <w:ind w:left="120" w:right="253" w:hanging="9"/>
              <w:rPr>
                <w:sz w:val="21"/>
                <w:szCs w:val="21"/>
              </w:rPr>
            </w:pPr>
            <w:r>
              <w:rPr>
                <w:spacing w:val="1"/>
                <w:sz w:val="21"/>
                <w:szCs w:val="21"/>
              </w:rPr>
              <w:t>表格记录方式：</w:t>
            </w:r>
            <w:r>
              <w:rPr>
                <w:rFonts w:ascii="Arial" w:hAnsi="Arial" w:eastAsia="Arial" w:cs="Arial"/>
                <w:spacing w:val="1"/>
                <w:sz w:val="21"/>
                <w:szCs w:val="21"/>
              </w:rPr>
              <w:t>1.</w:t>
            </w:r>
            <w:r>
              <w:rPr>
                <w:spacing w:val="1"/>
                <w:sz w:val="21"/>
                <w:szCs w:val="21"/>
              </w:rPr>
              <w:t>有白蚁的记录</w:t>
            </w:r>
            <w:r>
              <w:rPr>
                <w:rFonts w:ascii="Arial" w:hAnsi="Arial" w:eastAsia="Arial" w:cs="Arial"/>
                <w:spacing w:val="1"/>
                <w:sz w:val="21"/>
                <w:szCs w:val="21"/>
              </w:rPr>
              <w:t>+</w:t>
            </w:r>
            <w:r>
              <w:rPr>
                <w:spacing w:val="1"/>
                <w:sz w:val="21"/>
                <w:szCs w:val="21"/>
              </w:rPr>
              <w:t>，无白蚁标记</w:t>
            </w:r>
            <w:r>
              <w:rPr>
                <w:rFonts w:ascii="微软雅黑" w:hAnsi="微软雅黑" w:eastAsia="微软雅黑" w:cs="微软雅黑"/>
                <w:spacing w:val="1"/>
                <w:sz w:val="21"/>
                <w:szCs w:val="21"/>
              </w:rPr>
              <w:t>-</w:t>
            </w:r>
            <w:r>
              <w:rPr>
                <w:spacing w:val="1"/>
                <w:sz w:val="21"/>
                <w:szCs w:val="21"/>
              </w:rPr>
              <w:t>；</w:t>
            </w:r>
            <w:r>
              <w:rPr>
                <w:rFonts w:ascii="Arial" w:hAnsi="Arial" w:eastAsia="Arial" w:cs="Arial"/>
                <w:spacing w:val="1"/>
                <w:sz w:val="21"/>
                <w:szCs w:val="21"/>
              </w:rPr>
              <w:t>2.</w:t>
            </w:r>
            <w:r>
              <w:rPr>
                <w:spacing w:val="1"/>
                <w:sz w:val="21"/>
                <w:szCs w:val="21"/>
              </w:rPr>
              <w:t>乳白蚁种群标记</w:t>
            </w:r>
            <w:r>
              <w:rPr>
                <w:rFonts w:ascii="Arial" w:hAnsi="Arial" w:eastAsia="Arial" w:cs="Arial"/>
                <w:spacing w:val="1"/>
                <w:sz w:val="21"/>
                <w:szCs w:val="21"/>
              </w:rPr>
              <w:t>C</w:t>
            </w:r>
            <w:r>
              <w:rPr>
                <w:spacing w:val="1"/>
                <w:sz w:val="21"/>
                <w:szCs w:val="21"/>
              </w:rPr>
              <w:t>，散白蚁种群标记</w:t>
            </w:r>
            <w:r>
              <w:rPr>
                <w:spacing w:val="2"/>
                <w:sz w:val="21"/>
                <w:szCs w:val="21"/>
              </w:rPr>
              <w:t xml:space="preserve"> </w:t>
            </w:r>
            <w:r>
              <w:rPr>
                <w:rFonts w:ascii="Arial" w:hAnsi="Arial" w:eastAsia="Arial" w:cs="Arial"/>
                <w:spacing w:val="-2"/>
                <w:sz w:val="21"/>
                <w:szCs w:val="21"/>
              </w:rPr>
              <w:t>R</w:t>
            </w:r>
            <w:r>
              <w:rPr>
                <w:spacing w:val="-2"/>
                <w:sz w:val="21"/>
                <w:szCs w:val="21"/>
              </w:rPr>
              <w:t>，土白蚁种群标记</w:t>
            </w:r>
            <w:r>
              <w:rPr>
                <w:spacing w:val="-42"/>
                <w:sz w:val="21"/>
                <w:szCs w:val="21"/>
              </w:rPr>
              <w:t xml:space="preserve"> </w:t>
            </w:r>
            <w:r>
              <w:rPr>
                <w:rFonts w:ascii="Arial" w:hAnsi="Arial" w:eastAsia="Arial" w:cs="Arial"/>
                <w:spacing w:val="-2"/>
                <w:sz w:val="21"/>
                <w:szCs w:val="21"/>
              </w:rPr>
              <w:t>O</w:t>
            </w:r>
            <w:r>
              <w:rPr>
                <w:spacing w:val="-2"/>
                <w:sz w:val="21"/>
                <w:szCs w:val="21"/>
              </w:rPr>
              <w:t>，大白蚁种群标记</w:t>
            </w:r>
            <w:r>
              <w:rPr>
                <w:spacing w:val="-37"/>
                <w:sz w:val="21"/>
                <w:szCs w:val="21"/>
              </w:rPr>
              <w:t xml:space="preserve"> </w:t>
            </w:r>
            <w:r>
              <w:rPr>
                <w:rFonts w:ascii="Arial" w:hAnsi="Arial" w:eastAsia="Arial" w:cs="Arial"/>
                <w:spacing w:val="-2"/>
                <w:sz w:val="21"/>
                <w:szCs w:val="21"/>
              </w:rPr>
              <w:t>M</w:t>
            </w:r>
            <w:r>
              <w:rPr>
                <w:rFonts w:ascii="Arial" w:hAnsi="Arial" w:eastAsia="Arial" w:cs="Arial"/>
                <w:spacing w:val="-32"/>
                <w:sz w:val="21"/>
                <w:szCs w:val="21"/>
              </w:rPr>
              <w:t xml:space="preserve"> </w:t>
            </w:r>
            <w:r>
              <w:rPr>
                <w:spacing w:val="-2"/>
                <w:sz w:val="21"/>
                <w:szCs w:val="21"/>
              </w:rPr>
              <w:t>；</w:t>
            </w:r>
            <w:r>
              <w:rPr>
                <w:rFonts w:ascii="Arial" w:hAnsi="Arial" w:eastAsia="Arial" w:cs="Arial"/>
                <w:spacing w:val="-2"/>
                <w:sz w:val="21"/>
                <w:szCs w:val="21"/>
              </w:rPr>
              <w:t>3.</w:t>
            </w:r>
            <w:r>
              <w:rPr>
                <w:spacing w:val="-2"/>
                <w:sz w:val="21"/>
                <w:szCs w:val="21"/>
              </w:rPr>
              <w:t>重新更换饵料标</w:t>
            </w:r>
            <w:r>
              <w:rPr>
                <w:spacing w:val="-3"/>
                <w:sz w:val="21"/>
                <w:szCs w:val="21"/>
              </w:rPr>
              <w:t>记☆；</w:t>
            </w:r>
            <w:r>
              <w:rPr>
                <w:rFonts w:ascii="Arial" w:hAnsi="Arial" w:eastAsia="Arial" w:cs="Arial"/>
                <w:spacing w:val="-3"/>
                <w:sz w:val="21"/>
                <w:szCs w:val="21"/>
              </w:rPr>
              <w:t>4.</w:t>
            </w:r>
            <w:r>
              <w:rPr>
                <w:spacing w:val="-3"/>
                <w:sz w:val="21"/>
                <w:szCs w:val="21"/>
              </w:rPr>
              <w:t>投入饵剂标记△。</w:t>
            </w:r>
          </w:p>
        </w:tc>
      </w:tr>
    </w:tbl>
    <w:p w14:paraId="474CE930">
      <w:pPr>
        <w:spacing w:before="31" w:line="186" w:lineRule="auto"/>
        <w:ind w:left="29"/>
        <w:rPr>
          <w:rFonts w:ascii="宋体" w:hAnsi="宋体" w:eastAsia="宋体" w:cs="宋体"/>
          <w:sz w:val="21"/>
          <w:szCs w:val="21"/>
        </w:rPr>
      </w:pPr>
      <w:r>
        <w:rPr>
          <w:rFonts w:ascii="宋体" w:hAnsi="宋体" w:eastAsia="宋体" w:cs="宋体"/>
          <w:spacing w:val="-3"/>
          <w:sz w:val="21"/>
          <w:szCs w:val="21"/>
        </w:rPr>
        <w:t>附：监测装置施工图</w:t>
      </w:r>
    </w:p>
    <w:p w14:paraId="13E0D7D3">
      <w:pPr>
        <w:sectPr>
          <w:pgSz w:w="11906" w:h="16838"/>
          <w:pgMar w:top="1247" w:right="1247" w:bottom="1247" w:left="1247" w:header="851" w:footer="992" w:gutter="0"/>
          <w:pgNumType w:fmt="decimal"/>
          <w:cols w:space="425" w:num="1"/>
          <w:docGrid w:type="lines" w:linePitch="312" w:charSpace="0"/>
        </w:sectPr>
      </w:pPr>
    </w:p>
    <w:p w14:paraId="09DE289E"/>
    <w:p w14:paraId="2ED087DD">
      <w:pPr>
        <w:pStyle w:val="7"/>
        <w:spacing w:before="73" w:line="222" w:lineRule="auto"/>
        <w:ind w:right="172" w:rightChars="0"/>
        <w:jc w:val="center"/>
        <w:rPr>
          <w:rFonts w:ascii="黑体" w:hAnsi="黑体" w:eastAsia="黑体" w:cs="黑体"/>
          <w:b w:val="0"/>
          <w:spacing w:val="-5"/>
          <w:kern w:val="2"/>
          <w:sz w:val="36"/>
          <w:szCs w:val="36"/>
          <w:lang w:val="en-US" w:eastAsia="zh-CN" w:bidi="ar-SA"/>
        </w:rPr>
      </w:pPr>
      <w:r>
        <w:rPr>
          <w:rFonts w:ascii="黑体" w:hAnsi="黑体" w:eastAsia="黑体" w:cs="黑体"/>
          <w:b w:val="0"/>
          <w:spacing w:val="-5"/>
          <w:kern w:val="2"/>
          <w:sz w:val="36"/>
          <w:szCs w:val="36"/>
          <w:lang w:val="en-US" w:eastAsia="zh-CN" w:bidi="ar-SA"/>
        </w:rPr>
        <w:t>表 13 蚁情监测记录表</w:t>
      </w:r>
    </w:p>
    <w:p w14:paraId="24EDAB2C">
      <w:pPr>
        <w:spacing w:before="13" w:line="212" w:lineRule="auto"/>
        <w:ind w:left="6615"/>
        <w:rPr>
          <w:rFonts w:ascii="宋体" w:hAnsi="宋体" w:eastAsia="宋体" w:cs="宋体"/>
          <w:sz w:val="22"/>
          <w:szCs w:val="22"/>
        </w:rPr>
      </w:pPr>
      <w:r>
        <w:rPr>
          <w:rFonts w:ascii="宋体" w:hAnsi="宋体" w:eastAsia="宋体" w:cs="宋体"/>
          <w:spacing w:val="-3"/>
          <w:sz w:val="22"/>
          <w:szCs w:val="22"/>
        </w:rPr>
        <w:t>登记编号：</w:t>
      </w:r>
    </w:p>
    <w:tbl>
      <w:tblPr>
        <w:tblStyle w:val="22"/>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127"/>
        <w:gridCol w:w="1683"/>
        <w:gridCol w:w="1917"/>
        <w:gridCol w:w="289"/>
        <w:gridCol w:w="1394"/>
        <w:gridCol w:w="600"/>
        <w:gridCol w:w="1200"/>
        <w:gridCol w:w="817"/>
      </w:tblGrid>
      <w:tr w14:paraId="6604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134" w:type="dxa"/>
            <w:gridSpan w:val="3"/>
            <w:vAlign w:val="top"/>
          </w:tcPr>
          <w:p w14:paraId="12CD8A17">
            <w:pPr>
              <w:pStyle w:val="23"/>
              <w:spacing w:before="105" w:line="220" w:lineRule="auto"/>
              <w:ind w:left="933"/>
              <w:rPr>
                <w:sz w:val="24"/>
                <w:szCs w:val="24"/>
              </w:rPr>
            </w:pPr>
            <w:r>
              <w:rPr>
                <w:spacing w:val="-3"/>
                <w:sz w:val="24"/>
                <w:szCs w:val="24"/>
              </w:rPr>
              <w:t>工程名称</w:t>
            </w:r>
          </w:p>
        </w:tc>
        <w:tc>
          <w:tcPr>
            <w:tcW w:w="6217" w:type="dxa"/>
            <w:gridSpan w:val="6"/>
            <w:vAlign w:val="top"/>
          </w:tcPr>
          <w:p w14:paraId="02CCD29B">
            <w:pPr>
              <w:rPr>
                <w:rFonts w:ascii="Arial"/>
                <w:sz w:val="21"/>
              </w:rPr>
            </w:pPr>
          </w:p>
        </w:tc>
      </w:tr>
      <w:tr w14:paraId="6F06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134" w:type="dxa"/>
            <w:gridSpan w:val="3"/>
            <w:vAlign w:val="top"/>
          </w:tcPr>
          <w:p w14:paraId="2A6EC206">
            <w:pPr>
              <w:pStyle w:val="23"/>
              <w:spacing w:before="98" w:line="220" w:lineRule="auto"/>
              <w:ind w:left="933"/>
              <w:rPr>
                <w:sz w:val="24"/>
                <w:szCs w:val="24"/>
              </w:rPr>
            </w:pPr>
            <w:r>
              <w:rPr>
                <w:spacing w:val="-3"/>
                <w:sz w:val="24"/>
                <w:szCs w:val="24"/>
              </w:rPr>
              <w:t>工程地址</w:t>
            </w:r>
          </w:p>
        </w:tc>
        <w:tc>
          <w:tcPr>
            <w:tcW w:w="3600" w:type="dxa"/>
            <w:gridSpan w:val="3"/>
            <w:vAlign w:val="top"/>
          </w:tcPr>
          <w:p w14:paraId="35219AAA">
            <w:pPr>
              <w:rPr>
                <w:rFonts w:ascii="Arial"/>
                <w:sz w:val="21"/>
              </w:rPr>
            </w:pPr>
          </w:p>
        </w:tc>
        <w:tc>
          <w:tcPr>
            <w:tcW w:w="1800" w:type="dxa"/>
            <w:gridSpan w:val="2"/>
            <w:vAlign w:val="center"/>
          </w:tcPr>
          <w:p w14:paraId="1E99AA1F">
            <w:pPr>
              <w:pStyle w:val="23"/>
              <w:spacing w:before="98" w:line="220" w:lineRule="auto"/>
              <w:jc w:val="center"/>
              <w:rPr>
                <w:sz w:val="24"/>
                <w:szCs w:val="24"/>
              </w:rPr>
            </w:pPr>
            <w:r>
              <w:rPr>
                <w:spacing w:val="-2"/>
                <w:sz w:val="24"/>
                <w:szCs w:val="24"/>
              </w:rPr>
              <w:t>监测日期</w:t>
            </w:r>
          </w:p>
        </w:tc>
        <w:tc>
          <w:tcPr>
            <w:tcW w:w="817" w:type="dxa"/>
            <w:vAlign w:val="top"/>
          </w:tcPr>
          <w:p w14:paraId="64AA988C">
            <w:pPr>
              <w:rPr>
                <w:rFonts w:ascii="Arial"/>
                <w:sz w:val="21"/>
              </w:rPr>
            </w:pPr>
          </w:p>
        </w:tc>
      </w:tr>
      <w:tr w14:paraId="717D5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51" w:type="dxa"/>
            <w:gridSpan w:val="2"/>
            <w:vMerge w:val="restart"/>
            <w:tcBorders>
              <w:bottom w:val="nil"/>
            </w:tcBorders>
            <w:vAlign w:val="top"/>
          </w:tcPr>
          <w:p w14:paraId="043A0092">
            <w:pPr>
              <w:spacing w:line="246" w:lineRule="auto"/>
              <w:rPr>
                <w:rFonts w:ascii="Arial"/>
                <w:sz w:val="21"/>
              </w:rPr>
            </w:pPr>
          </w:p>
          <w:p w14:paraId="27A7649E">
            <w:pPr>
              <w:spacing w:line="246" w:lineRule="auto"/>
              <w:rPr>
                <w:rFonts w:ascii="Arial"/>
                <w:sz w:val="21"/>
              </w:rPr>
            </w:pPr>
          </w:p>
          <w:p w14:paraId="21BA0649">
            <w:pPr>
              <w:spacing w:line="247" w:lineRule="auto"/>
              <w:rPr>
                <w:rFonts w:ascii="Arial"/>
                <w:sz w:val="21"/>
              </w:rPr>
            </w:pPr>
          </w:p>
          <w:p w14:paraId="0039D96F">
            <w:pPr>
              <w:spacing w:line="247" w:lineRule="auto"/>
              <w:rPr>
                <w:rFonts w:ascii="Arial"/>
                <w:sz w:val="21"/>
              </w:rPr>
            </w:pPr>
          </w:p>
          <w:p w14:paraId="061EDE76">
            <w:pPr>
              <w:pStyle w:val="23"/>
              <w:spacing w:before="78" w:line="241" w:lineRule="auto"/>
              <w:ind w:left="502" w:right="131" w:hanging="337"/>
              <w:rPr>
                <w:sz w:val="24"/>
                <w:szCs w:val="24"/>
              </w:rPr>
            </w:pPr>
            <w:r>
              <w:rPr>
                <w:spacing w:val="-7"/>
                <w:sz w:val="24"/>
                <w:szCs w:val="24"/>
              </w:rPr>
              <w:t>□监测装置</w:t>
            </w:r>
            <w:r>
              <w:rPr>
                <w:spacing w:val="-3"/>
                <w:sz w:val="24"/>
                <w:szCs w:val="24"/>
              </w:rPr>
              <w:t>预警</w:t>
            </w:r>
          </w:p>
        </w:tc>
        <w:tc>
          <w:tcPr>
            <w:tcW w:w="1683" w:type="dxa"/>
            <w:vMerge w:val="restart"/>
            <w:tcBorders>
              <w:bottom w:val="nil"/>
            </w:tcBorders>
            <w:vAlign w:val="top"/>
          </w:tcPr>
          <w:p w14:paraId="5EA0CA9C">
            <w:pPr>
              <w:spacing w:line="313" w:lineRule="auto"/>
              <w:rPr>
                <w:rFonts w:ascii="Arial"/>
                <w:sz w:val="21"/>
              </w:rPr>
            </w:pPr>
          </w:p>
          <w:p w14:paraId="3FCEA0B8">
            <w:pPr>
              <w:pStyle w:val="23"/>
              <w:spacing w:before="78" w:line="243" w:lineRule="auto"/>
              <w:ind w:left="317" w:right="190" w:hanging="98"/>
              <w:rPr>
                <w:sz w:val="24"/>
                <w:szCs w:val="24"/>
              </w:rPr>
            </w:pPr>
            <w:r>
              <w:rPr>
                <w:spacing w:val="-9"/>
                <w:sz w:val="24"/>
                <w:szCs w:val="24"/>
              </w:rPr>
              <w:t>□定期检</w:t>
            </w:r>
            <w:r>
              <w:rPr>
                <w:spacing w:val="-3"/>
                <w:sz w:val="24"/>
                <w:szCs w:val="24"/>
              </w:rPr>
              <w:t>查监测</w:t>
            </w:r>
          </w:p>
        </w:tc>
        <w:tc>
          <w:tcPr>
            <w:tcW w:w="1917" w:type="dxa"/>
            <w:vAlign w:val="top"/>
          </w:tcPr>
          <w:p w14:paraId="12327A74">
            <w:pPr>
              <w:pStyle w:val="23"/>
              <w:spacing w:before="101" w:line="220" w:lineRule="auto"/>
              <w:ind w:left="548"/>
              <w:rPr>
                <w:sz w:val="24"/>
                <w:szCs w:val="24"/>
              </w:rPr>
            </w:pPr>
            <w:r>
              <w:rPr>
                <w:spacing w:val="-2"/>
                <w:sz w:val="24"/>
                <w:szCs w:val="24"/>
              </w:rPr>
              <w:t>装置总数</w:t>
            </w:r>
          </w:p>
        </w:tc>
        <w:tc>
          <w:tcPr>
            <w:tcW w:w="1683" w:type="dxa"/>
            <w:gridSpan w:val="2"/>
            <w:vAlign w:val="top"/>
          </w:tcPr>
          <w:p w14:paraId="18C26A88">
            <w:pPr>
              <w:rPr>
                <w:rFonts w:ascii="Arial"/>
                <w:sz w:val="21"/>
              </w:rPr>
            </w:pPr>
          </w:p>
        </w:tc>
        <w:tc>
          <w:tcPr>
            <w:tcW w:w="1800" w:type="dxa"/>
            <w:gridSpan w:val="2"/>
            <w:vAlign w:val="center"/>
          </w:tcPr>
          <w:p w14:paraId="2D07ACA1">
            <w:pPr>
              <w:pStyle w:val="23"/>
              <w:spacing w:before="101" w:line="220" w:lineRule="auto"/>
              <w:jc w:val="center"/>
              <w:rPr>
                <w:sz w:val="24"/>
                <w:szCs w:val="24"/>
              </w:rPr>
            </w:pPr>
            <w:r>
              <w:rPr>
                <w:spacing w:val="-2"/>
                <w:sz w:val="24"/>
                <w:szCs w:val="24"/>
              </w:rPr>
              <w:t>检查数量</w:t>
            </w:r>
          </w:p>
        </w:tc>
        <w:tc>
          <w:tcPr>
            <w:tcW w:w="817" w:type="dxa"/>
            <w:vAlign w:val="top"/>
          </w:tcPr>
          <w:p w14:paraId="5BA326B7">
            <w:pPr>
              <w:rPr>
                <w:rFonts w:ascii="Arial"/>
                <w:sz w:val="21"/>
              </w:rPr>
            </w:pPr>
          </w:p>
        </w:tc>
      </w:tr>
      <w:tr w14:paraId="2086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 w:hRule="atLeast"/>
        </w:trPr>
        <w:tc>
          <w:tcPr>
            <w:tcW w:w="1451" w:type="dxa"/>
            <w:gridSpan w:val="2"/>
            <w:vMerge w:val="continue"/>
            <w:tcBorders>
              <w:top w:val="nil"/>
              <w:bottom w:val="nil"/>
            </w:tcBorders>
            <w:vAlign w:val="top"/>
          </w:tcPr>
          <w:p w14:paraId="4FB0B9BC">
            <w:pPr>
              <w:rPr>
                <w:rFonts w:ascii="Arial"/>
                <w:sz w:val="21"/>
              </w:rPr>
            </w:pPr>
          </w:p>
        </w:tc>
        <w:tc>
          <w:tcPr>
            <w:tcW w:w="1683" w:type="dxa"/>
            <w:vMerge w:val="continue"/>
            <w:tcBorders>
              <w:top w:val="nil"/>
              <w:bottom w:val="nil"/>
            </w:tcBorders>
            <w:vAlign w:val="top"/>
          </w:tcPr>
          <w:p w14:paraId="05C30435">
            <w:pPr>
              <w:rPr>
                <w:rFonts w:ascii="Arial"/>
                <w:sz w:val="21"/>
              </w:rPr>
            </w:pPr>
          </w:p>
        </w:tc>
        <w:tc>
          <w:tcPr>
            <w:tcW w:w="1917" w:type="dxa"/>
            <w:vAlign w:val="top"/>
          </w:tcPr>
          <w:p w14:paraId="58A70E0B">
            <w:pPr>
              <w:pStyle w:val="23"/>
              <w:spacing w:before="98" w:line="220" w:lineRule="auto"/>
              <w:ind w:left="549"/>
              <w:rPr>
                <w:sz w:val="24"/>
                <w:szCs w:val="24"/>
              </w:rPr>
            </w:pPr>
            <w:r>
              <w:rPr>
                <w:spacing w:val="-2"/>
                <w:sz w:val="24"/>
                <w:szCs w:val="24"/>
              </w:rPr>
              <w:t>有蚁数量</w:t>
            </w:r>
          </w:p>
        </w:tc>
        <w:tc>
          <w:tcPr>
            <w:tcW w:w="4300" w:type="dxa"/>
            <w:gridSpan w:val="5"/>
            <w:vAlign w:val="top"/>
          </w:tcPr>
          <w:p w14:paraId="58E4BF94">
            <w:pPr>
              <w:rPr>
                <w:rFonts w:ascii="Arial"/>
                <w:sz w:val="21"/>
              </w:rPr>
            </w:pPr>
          </w:p>
        </w:tc>
      </w:tr>
      <w:tr w14:paraId="76FF0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51" w:type="dxa"/>
            <w:gridSpan w:val="2"/>
            <w:vMerge w:val="continue"/>
            <w:tcBorders>
              <w:top w:val="nil"/>
              <w:bottom w:val="nil"/>
            </w:tcBorders>
            <w:vAlign w:val="top"/>
          </w:tcPr>
          <w:p w14:paraId="6A800D0E">
            <w:pPr>
              <w:rPr>
                <w:rFonts w:ascii="Arial"/>
                <w:sz w:val="21"/>
              </w:rPr>
            </w:pPr>
          </w:p>
        </w:tc>
        <w:tc>
          <w:tcPr>
            <w:tcW w:w="1683" w:type="dxa"/>
            <w:vMerge w:val="continue"/>
            <w:tcBorders>
              <w:top w:val="nil"/>
            </w:tcBorders>
            <w:vAlign w:val="top"/>
          </w:tcPr>
          <w:p w14:paraId="0EAF4404">
            <w:pPr>
              <w:rPr>
                <w:rFonts w:ascii="Arial"/>
                <w:sz w:val="21"/>
              </w:rPr>
            </w:pPr>
          </w:p>
        </w:tc>
        <w:tc>
          <w:tcPr>
            <w:tcW w:w="1917" w:type="dxa"/>
            <w:vAlign w:val="top"/>
          </w:tcPr>
          <w:p w14:paraId="6798C495">
            <w:pPr>
              <w:pStyle w:val="23"/>
              <w:spacing w:before="102" w:line="220" w:lineRule="auto"/>
              <w:ind w:left="189"/>
              <w:rPr>
                <w:sz w:val="24"/>
                <w:szCs w:val="24"/>
              </w:rPr>
            </w:pPr>
            <w:r>
              <w:rPr>
                <w:spacing w:val="-2"/>
                <w:sz w:val="24"/>
                <w:szCs w:val="24"/>
              </w:rPr>
              <w:t>有蚁情点位编号</w:t>
            </w:r>
          </w:p>
        </w:tc>
        <w:tc>
          <w:tcPr>
            <w:tcW w:w="4300" w:type="dxa"/>
            <w:gridSpan w:val="5"/>
            <w:vAlign w:val="top"/>
          </w:tcPr>
          <w:p w14:paraId="366F8C94">
            <w:pPr>
              <w:rPr>
                <w:rFonts w:ascii="Arial"/>
                <w:sz w:val="21"/>
              </w:rPr>
            </w:pPr>
          </w:p>
        </w:tc>
      </w:tr>
      <w:tr w14:paraId="5B3AD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51" w:type="dxa"/>
            <w:gridSpan w:val="2"/>
            <w:vMerge w:val="continue"/>
            <w:tcBorders>
              <w:top w:val="nil"/>
              <w:bottom w:val="nil"/>
            </w:tcBorders>
            <w:vAlign w:val="top"/>
          </w:tcPr>
          <w:p w14:paraId="0A793CB7">
            <w:pPr>
              <w:rPr>
                <w:rFonts w:ascii="Arial"/>
                <w:sz w:val="21"/>
              </w:rPr>
            </w:pPr>
          </w:p>
        </w:tc>
        <w:tc>
          <w:tcPr>
            <w:tcW w:w="1683" w:type="dxa"/>
            <w:vMerge w:val="restart"/>
            <w:tcBorders>
              <w:bottom w:val="nil"/>
            </w:tcBorders>
            <w:vAlign w:val="top"/>
          </w:tcPr>
          <w:p w14:paraId="7783D346">
            <w:pPr>
              <w:spacing w:line="315" w:lineRule="auto"/>
              <w:rPr>
                <w:rFonts w:ascii="Arial"/>
                <w:sz w:val="21"/>
              </w:rPr>
            </w:pPr>
          </w:p>
          <w:p w14:paraId="16DEB9EC">
            <w:pPr>
              <w:pStyle w:val="23"/>
              <w:spacing w:before="78" w:line="243" w:lineRule="auto"/>
              <w:ind w:left="325" w:right="190" w:hanging="106"/>
              <w:rPr>
                <w:sz w:val="24"/>
                <w:szCs w:val="24"/>
              </w:rPr>
            </w:pPr>
            <w:r>
              <w:rPr>
                <w:spacing w:val="-9"/>
                <w:sz w:val="24"/>
                <w:szCs w:val="24"/>
              </w:rPr>
              <w:t>□远程实</w:t>
            </w:r>
            <w:r>
              <w:rPr>
                <w:spacing w:val="-5"/>
                <w:sz w:val="24"/>
                <w:szCs w:val="24"/>
              </w:rPr>
              <w:t>时监测</w:t>
            </w:r>
          </w:p>
        </w:tc>
        <w:tc>
          <w:tcPr>
            <w:tcW w:w="1917" w:type="dxa"/>
            <w:vAlign w:val="top"/>
          </w:tcPr>
          <w:p w14:paraId="67212B0A">
            <w:pPr>
              <w:pStyle w:val="23"/>
              <w:spacing w:before="99" w:line="220" w:lineRule="auto"/>
              <w:ind w:left="548"/>
              <w:rPr>
                <w:sz w:val="24"/>
                <w:szCs w:val="24"/>
              </w:rPr>
            </w:pPr>
            <w:r>
              <w:rPr>
                <w:spacing w:val="-2"/>
                <w:sz w:val="24"/>
                <w:szCs w:val="24"/>
              </w:rPr>
              <w:t>装置总数</w:t>
            </w:r>
          </w:p>
        </w:tc>
        <w:tc>
          <w:tcPr>
            <w:tcW w:w="1683" w:type="dxa"/>
            <w:gridSpan w:val="2"/>
            <w:vAlign w:val="top"/>
          </w:tcPr>
          <w:p w14:paraId="11F3996C">
            <w:pPr>
              <w:rPr>
                <w:rFonts w:ascii="Arial"/>
                <w:sz w:val="21"/>
              </w:rPr>
            </w:pPr>
          </w:p>
        </w:tc>
        <w:tc>
          <w:tcPr>
            <w:tcW w:w="1800" w:type="dxa"/>
            <w:gridSpan w:val="2"/>
            <w:vAlign w:val="center"/>
          </w:tcPr>
          <w:p w14:paraId="5B97E839">
            <w:pPr>
              <w:pStyle w:val="23"/>
              <w:spacing w:before="99" w:line="220" w:lineRule="auto"/>
              <w:jc w:val="center"/>
              <w:rPr>
                <w:sz w:val="24"/>
                <w:szCs w:val="24"/>
              </w:rPr>
            </w:pPr>
            <w:r>
              <w:rPr>
                <w:spacing w:val="-7"/>
                <w:sz w:val="24"/>
                <w:szCs w:val="24"/>
              </w:rPr>
              <w:t>自动报警数量</w:t>
            </w:r>
          </w:p>
        </w:tc>
        <w:tc>
          <w:tcPr>
            <w:tcW w:w="817" w:type="dxa"/>
            <w:vAlign w:val="top"/>
          </w:tcPr>
          <w:p w14:paraId="2460B079">
            <w:pPr>
              <w:rPr>
                <w:rFonts w:ascii="Arial"/>
                <w:sz w:val="21"/>
              </w:rPr>
            </w:pPr>
          </w:p>
        </w:tc>
      </w:tr>
      <w:tr w14:paraId="4B89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51" w:type="dxa"/>
            <w:gridSpan w:val="2"/>
            <w:vMerge w:val="continue"/>
            <w:tcBorders>
              <w:top w:val="nil"/>
              <w:bottom w:val="nil"/>
            </w:tcBorders>
            <w:vAlign w:val="top"/>
          </w:tcPr>
          <w:p w14:paraId="0FE71CF0">
            <w:pPr>
              <w:rPr>
                <w:rFonts w:ascii="Arial"/>
                <w:sz w:val="21"/>
              </w:rPr>
            </w:pPr>
          </w:p>
        </w:tc>
        <w:tc>
          <w:tcPr>
            <w:tcW w:w="1683" w:type="dxa"/>
            <w:vMerge w:val="continue"/>
            <w:tcBorders>
              <w:top w:val="nil"/>
              <w:bottom w:val="nil"/>
            </w:tcBorders>
            <w:vAlign w:val="top"/>
          </w:tcPr>
          <w:p w14:paraId="23CC7566">
            <w:pPr>
              <w:rPr>
                <w:rFonts w:ascii="Arial"/>
                <w:sz w:val="21"/>
              </w:rPr>
            </w:pPr>
          </w:p>
        </w:tc>
        <w:tc>
          <w:tcPr>
            <w:tcW w:w="1917" w:type="dxa"/>
            <w:vAlign w:val="top"/>
          </w:tcPr>
          <w:p w14:paraId="3D085875">
            <w:pPr>
              <w:pStyle w:val="23"/>
              <w:spacing w:before="103" w:line="220" w:lineRule="auto"/>
              <w:ind w:left="549"/>
              <w:rPr>
                <w:sz w:val="24"/>
                <w:szCs w:val="24"/>
              </w:rPr>
            </w:pPr>
            <w:r>
              <w:rPr>
                <w:spacing w:val="-2"/>
                <w:sz w:val="24"/>
                <w:szCs w:val="24"/>
              </w:rPr>
              <w:t>有蚁数量</w:t>
            </w:r>
          </w:p>
        </w:tc>
        <w:tc>
          <w:tcPr>
            <w:tcW w:w="4300" w:type="dxa"/>
            <w:gridSpan w:val="5"/>
            <w:vAlign w:val="top"/>
          </w:tcPr>
          <w:p w14:paraId="50521F32">
            <w:pPr>
              <w:rPr>
                <w:rFonts w:ascii="Arial"/>
                <w:sz w:val="21"/>
              </w:rPr>
            </w:pPr>
          </w:p>
        </w:tc>
      </w:tr>
      <w:tr w14:paraId="23E0F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51" w:type="dxa"/>
            <w:gridSpan w:val="2"/>
            <w:vMerge w:val="continue"/>
            <w:tcBorders>
              <w:top w:val="nil"/>
            </w:tcBorders>
            <w:vAlign w:val="top"/>
          </w:tcPr>
          <w:p w14:paraId="75F2BE2A">
            <w:pPr>
              <w:rPr>
                <w:rFonts w:ascii="Arial"/>
                <w:sz w:val="21"/>
              </w:rPr>
            </w:pPr>
          </w:p>
        </w:tc>
        <w:tc>
          <w:tcPr>
            <w:tcW w:w="1683" w:type="dxa"/>
            <w:vMerge w:val="continue"/>
            <w:tcBorders>
              <w:top w:val="nil"/>
            </w:tcBorders>
            <w:vAlign w:val="top"/>
          </w:tcPr>
          <w:p w14:paraId="4824E226">
            <w:pPr>
              <w:rPr>
                <w:rFonts w:ascii="Arial"/>
                <w:sz w:val="21"/>
              </w:rPr>
            </w:pPr>
          </w:p>
        </w:tc>
        <w:tc>
          <w:tcPr>
            <w:tcW w:w="1917" w:type="dxa"/>
            <w:vAlign w:val="top"/>
          </w:tcPr>
          <w:p w14:paraId="2DD2D3E4">
            <w:pPr>
              <w:pStyle w:val="23"/>
              <w:spacing w:before="100" w:line="220" w:lineRule="auto"/>
              <w:ind w:left="189"/>
              <w:rPr>
                <w:sz w:val="24"/>
                <w:szCs w:val="24"/>
              </w:rPr>
            </w:pPr>
            <w:r>
              <w:rPr>
                <w:spacing w:val="-2"/>
                <w:sz w:val="24"/>
                <w:szCs w:val="24"/>
              </w:rPr>
              <w:t>有蚁情点位编号</w:t>
            </w:r>
          </w:p>
        </w:tc>
        <w:tc>
          <w:tcPr>
            <w:tcW w:w="4300" w:type="dxa"/>
            <w:gridSpan w:val="5"/>
            <w:vAlign w:val="top"/>
          </w:tcPr>
          <w:p w14:paraId="28C1045B">
            <w:pPr>
              <w:rPr>
                <w:rFonts w:ascii="Arial"/>
                <w:sz w:val="21"/>
              </w:rPr>
            </w:pPr>
          </w:p>
        </w:tc>
      </w:tr>
      <w:tr w14:paraId="0E48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451" w:type="dxa"/>
            <w:gridSpan w:val="2"/>
            <w:vMerge w:val="restart"/>
            <w:tcBorders>
              <w:bottom w:val="nil"/>
            </w:tcBorders>
            <w:vAlign w:val="top"/>
          </w:tcPr>
          <w:p w14:paraId="5DF151AB">
            <w:pPr>
              <w:spacing w:line="255" w:lineRule="auto"/>
              <w:rPr>
                <w:rFonts w:ascii="Arial"/>
                <w:sz w:val="21"/>
              </w:rPr>
            </w:pPr>
          </w:p>
          <w:p w14:paraId="2A5929ED">
            <w:pPr>
              <w:spacing w:line="255" w:lineRule="auto"/>
              <w:rPr>
                <w:rFonts w:ascii="Arial"/>
                <w:sz w:val="21"/>
              </w:rPr>
            </w:pPr>
          </w:p>
          <w:p w14:paraId="0AE378E2">
            <w:pPr>
              <w:spacing w:line="255" w:lineRule="auto"/>
              <w:rPr>
                <w:rFonts w:ascii="Arial"/>
                <w:sz w:val="21"/>
              </w:rPr>
            </w:pPr>
          </w:p>
          <w:p w14:paraId="519DF6D3">
            <w:pPr>
              <w:pStyle w:val="23"/>
              <w:spacing w:before="78" w:line="243" w:lineRule="auto"/>
              <w:ind w:left="501" w:right="131" w:hanging="336"/>
              <w:rPr>
                <w:sz w:val="24"/>
                <w:szCs w:val="24"/>
              </w:rPr>
            </w:pPr>
            <w:r>
              <w:rPr>
                <w:spacing w:val="-7"/>
                <w:sz w:val="24"/>
                <w:szCs w:val="24"/>
              </w:rPr>
              <w:t>□白蚁分飞</w:t>
            </w:r>
            <w:r>
              <w:rPr>
                <w:spacing w:val="-3"/>
                <w:sz w:val="24"/>
                <w:szCs w:val="24"/>
              </w:rPr>
              <w:t>监测</w:t>
            </w:r>
          </w:p>
        </w:tc>
        <w:tc>
          <w:tcPr>
            <w:tcW w:w="3600" w:type="dxa"/>
            <w:gridSpan w:val="2"/>
            <w:vAlign w:val="top"/>
          </w:tcPr>
          <w:p w14:paraId="35CF047E">
            <w:pPr>
              <w:pStyle w:val="23"/>
              <w:spacing w:before="104" w:line="220" w:lineRule="auto"/>
              <w:ind w:left="1222"/>
              <w:rPr>
                <w:sz w:val="24"/>
                <w:szCs w:val="24"/>
              </w:rPr>
            </w:pPr>
            <w:r>
              <w:rPr>
                <w:spacing w:val="-3"/>
                <w:sz w:val="24"/>
                <w:szCs w:val="24"/>
              </w:rPr>
              <w:t>分飞时间</w:t>
            </w:r>
          </w:p>
        </w:tc>
        <w:tc>
          <w:tcPr>
            <w:tcW w:w="4300" w:type="dxa"/>
            <w:gridSpan w:val="5"/>
            <w:vAlign w:val="top"/>
          </w:tcPr>
          <w:p w14:paraId="02455207">
            <w:pPr>
              <w:rPr>
                <w:rFonts w:ascii="Arial"/>
                <w:sz w:val="21"/>
              </w:rPr>
            </w:pPr>
          </w:p>
        </w:tc>
      </w:tr>
      <w:tr w14:paraId="2F80B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51" w:type="dxa"/>
            <w:gridSpan w:val="2"/>
            <w:vMerge w:val="continue"/>
            <w:tcBorders>
              <w:top w:val="nil"/>
              <w:bottom w:val="nil"/>
            </w:tcBorders>
            <w:vAlign w:val="top"/>
          </w:tcPr>
          <w:p w14:paraId="3A1E1325">
            <w:pPr>
              <w:rPr>
                <w:rFonts w:ascii="Arial"/>
                <w:sz w:val="21"/>
              </w:rPr>
            </w:pPr>
          </w:p>
        </w:tc>
        <w:tc>
          <w:tcPr>
            <w:tcW w:w="3600" w:type="dxa"/>
            <w:gridSpan w:val="2"/>
            <w:vMerge w:val="restart"/>
            <w:tcBorders>
              <w:bottom w:val="nil"/>
            </w:tcBorders>
            <w:vAlign w:val="top"/>
          </w:tcPr>
          <w:p w14:paraId="22E0BE0C">
            <w:pPr>
              <w:spacing w:line="248" w:lineRule="auto"/>
              <w:rPr>
                <w:rFonts w:ascii="Arial"/>
                <w:sz w:val="21"/>
              </w:rPr>
            </w:pPr>
          </w:p>
          <w:p w14:paraId="52F27664">
            <w:pPr>
              <w:pStyle w:val="23"/>
              <w:spacing w:before="78" w:line="220" w:lineRule="auto"/>
              <w:ind w:left="740"/>
              <w:rPr>
                <w:sz w:val="24"/>
                <w:szCs w:val="24"/>
              </w:rPr>
            </w:pPr>
            <w:r>
              <w:rPr>
                <w:spacing w:val="-2"/>
                <w:sz w:val="24"/>
                <w:szCs w:val="24"/>
              </w:rPr>
              <w:t>房屋建筑白蚁分飞</w:t>
            </w:r>
          </w:p>
        </w:tc>
        <w:tc>
          <w:tcPr>
            <w:tcW w:w="1683" w:type="dxa"/>
            <w:gridSpan w:val="2"/>
            <w:vAlign w:val="top"/>
          </w:tcPr>
          <w:p w14:paraId="4373E7D1">
            <w:pPr>
              <w:pStyle w:val="23"/>
              <w:spacing w:before="101" w:line="220" w:lineRule="auto"/>
              <w:ind w:left="377"/>
              <w:rPr>
                <w:sz w:val="24"/>
                <w:szCs w:val="24"/>
              </w:rPr>
            </w:pPr>
            <w:r>
              <w:rPr>
                <w:spacing w:val="-2"/>
                <w:sz w:val="24"/>
                <w:szCs w:val="24"/>
              </w:rPr>
              <w:t>分飞点数量</w:t>
            </w:r>
          </w:p>
        </w:tc>
        <w:tc>
          <w:tcPr>
            <w:tcW w:w="600" w:type="dxa"/>
            <w:vAlign w:val="top"/>
          </w:tcPr>
          <w:p w14:paraId="65F42C68">
            <w:pPr>
              <w:rPr>
                <w:rFonts w:ascii="Arial"/>
                <w:sz w:val="21"/>
              </w:rPr>
            </w:pPr>
          </w:p>
        </w:tc>
        <w:tc>
          <w:tcPr>
            <w:tcW w:w="1200" w:type="dxa"/>
            <w:vAlign w:val="top"/>
          </w:tcPr>
          <w:p w14:paraId="7B367AC3">
            <w:pPr>
              <w:pStyle w:val="23"/>
              <w:spacing w:before="101" w:line="220" w:lineRule="auto"/>
              <w:ind w:left="232"/>
              <w:rPr>
                <w:sz w:val="24"/>
                <w:szCs w:val="24"/>
              </w:rPr>
            </w:pPr>
            <w:r>
              <w:rPr>
                <w:spacing w:val="-9"/>
                <w:sz w:val="24"/>
                <w:szCs w:val="24"/>
              </w:rPr>
              <w:t>白蚁种类</w:t>
            </w:r>
          </w:p>
        </w:tc>
        <w:tc>
          <w:tcPr>
            <w:tcW w:w="817" w:type="dxa"/>
            <w:vAlign w:val="top"/>
          </w:tcPr>
          <w:p w14:paraId="7FF6362B">
            <w:pPr>
              <w:rPr>
                <w:rFonts w:ascii="Arial"/>
                <w:sz w:val="21"/>
              </w:rPr>
            </w:pPr>
          </w:p>
        </w:tc>
      </w:tr>
      <w:tr w14:paraId="132E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51" w:type="dxa"/>
            <w:gridSpan w:val="2"/>
            <w:vMerge w:val="continue"/>
            <w:tcBorders>
              <w:top w:val="nil"/>
              <w:bottom w:val="nil"/>
            </w:tcBorders>
            <w:vAlign w:val="top"/>
          </w:tcPr>
          <w:p w14:paraId="44E5A078">
            <w:pPr>
              <w:rPr>
                <w:rFonts w:ascii="Arial"/>
                <w:sz w:val="21"/>
              </w:rPr>
            </w:pPr>
          </w:p>
        </w:tc>
        <w:tc>
          <w:tcPr>
            <w:tcW w:w="3600" w:type="dxa"/>
            <w:gridSpan w:val="2"/>
            <w:vMerge w:val="continue"/>
            <w:tcBorders>
              <w:top w:val="nil"/>
            </w:tcBorders>
            <w:vAlign w:val="top"/>
          </w:tcPr>
          <w:p w14:paraId="0B748C5F">
            <w:pPr>
              <w:rPr>
                <w:rFonts w:ascii="Arial"/>
                <w:sz w:val="21"/>
              </w:rPr>
            </w:pPr>
          </w:p>
        </w:tc>
        <w:tc>
          <w:tcPr>
            <w:tcW w:w="1683" w:type="dxa"/>
            <w:gridSpan w:val="2"/>
            <w:vAlign w:val="top"/>
          </w:tcPr>
          <w:p w14:paraId="17B3EEB9">
            <w:pPr>
              <w:pStyle w:val="23"/>
              <w:spacing w:before="104" w:line="220" w:lineRule="auto"/>
              <w:ind w:left="497"/>
              <w:rPr>
                <w:sz w:val="24"/>
                <w:szCs w:val="24"/>
              </w:rPr>
            </w:pPr>
            <w:r>
              <w:rPr>
                <w:spacing w:val="-3"/>
                <w:sz w:val="24"/>
                <w:szCs w:val="24"/>
              </w:rPr>
              <w:t>分飞部位</w:t>
            </w:r>
          </w:p>
        </w:tc>
        <w:tc>
          <w:tcPr>
            <w:tcW w:w="2617" w:type="dxa"/>
            <w:gridSpan w:val="3"/>
            <w:vAlign w:val="top"/>
          </w:tcPr>
          <w:p w14:paraId="02EF2DBC">
            <w:pPr>
              <w:rPr>
                <w:rFonts w:ascii="Arial"/>
                <w:sz w:val="21"/>
              </w:rPr>
            </w:pPr>
          </w:p>
        </w:tc>
      </w:tr>
      <w:tr w14:paraId="7104E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51" w:type="dxa"/>
            <w:gridSpan w:val="2"/>
            <w:vMerge w:val="continue"/>
            <w:tcBorders>
              <w:top w:val="nil"/>
              <w:bottom w:val="nil"/>
            </w:tcBorders>
            <w:vAlign w:val="top"/>
          </w:tcPr>
          <w:p w14:paraId="41D04501">
            <w:pPr>
              <w:rPr>
                <w:rFonts w:ascii="Arial"/>
                <w:sz w:val="21"/>
              </w:rPr>
            </w:pPr>
          </w:p>
        </w:tc>
        <w:tc>
          <w:tcPr>
            <w:tcW w:w="3600" w:type="dxa"/>
            <w:gridSpan w:val="2"/>
            <w:vMerge w:val="restart"/>
            <w:tcBorders>
              <w:bottom w:val="nil"/>
            </w:tcBorders>
            <w:vAlign w:val="top"/>
          </w:tcPr>
          <w:p w14:paraId="0AC2B5D7">
            <w:pPr>
              <w:spacing w:line="247" w:lineRule="auto"/>
              <w:rPr>
                <w:rFonts w:ascii="Arial"/>
                <w:sz w:val="21"/>
              </w:rPr>
            </w:pPr>
          </w:p>
          <w:p w14:paraId="72CA5AFD">
            <w:pPr>
              <w:pStyle w:val="23"/>
              <w:spacing w:before="78" w:line="220" w:lineRule="auto"/>
              <w:ind w:left="759"/>
              <w:rPr>
                <w:sz w:val="24"/>
                <w:szCs w:val="24"/>
              </w:rPr>
            </w:pPr>
            <w:r>
              <w:rPr>
                <w:spacing w:val="-4"/>
                <w:sz w:val="24"/>
                <w:szCs w:val="24"/>
              </w:rPr>
              <w:t>园林植被白蚁分飞</w:t>
            </w:r>
          </w:p>
        </w:tc>
        <w:tc>
          <w:tcPr>
            <w:tcW w:w="1683" w:type="dxa"/>
            <w:gridSpan w:val="2"/>
            <w:vAlign w:val="top"/>
          </w:tcPr>
          <w:p w14:paraId="17BC916E">
            <w:pPr>
              <w:pStyle w:val="23"/>
              <w:spacing w:before="101" w:line="220" w:lineRule="auto"/>
              <w:ind w:left="377"/>
              <w:rPr>
                <w:sz w:val="24"/>
                <w:szCs w:val="24"/>
              </w:rPr>
            </w:pPr>
            <w:r>
              <w:rPr>
                <w:spacing w:val="-2"/>
                <w:sz w:val="24"/>
                <w:szCs w:val="24"/>
              </w:rPr>
              <w:t>分飞点数量</w:t>
            </w:r>
          </w:p>
        </w:tc>
        <w:tc>
          <w:tcPr>
            <w:tcW w:w="600" w:type="dxa"/>
            <w:vAlign w:val="top"/>
          </w:tcPr>
          <w:p w14:paraId="4DE06EFF">
            <w:pPr>
              <w:rPr>
                <w:rFonts w:ascii="Arial"/>
                <w:sz w:val="21"/>
              </w:rPr>
            </w:pPr>
          </w:p>
        </w:tc>
        <w:tc>
          <w:tcPr>
            <w:tcW w:w="1200" w:type="dxa"/>
            <w:vAlign w:val="top"/>
          </w:tcPr>
          <w:p w14:paraId="4CAA8CA2">
            <w:pPr>
              <w:pStyle w:val="23"/>
              <w:spacing w:before="101" w:line="220" w:lineRule="auto"/>
              <w:ind w:left="232"/>
              <w:rPr>
                <w:sz w:val="24"/>
                <w:szCs w:val="24"/>
              </w:rPr>
            </w:pPr>
            <w:r>
              <w:rPr>
                <w:spacing w:val="-9"/>
                <w:sz w:val="24"/>
                <w:szCs w:val="24"/>
              </w:rPr>
              <w:t>白蚁种类</w:t>
            </w:r>
          </w:p>
        </w:tc>
        <w:tc>
          <w:tcPr>
            <w:tcW w:w="817" w:type="dxa"/>
            <w:vAlign w:val="top"/>
          </w:tcPr>
          <w:p w14:paraId="20BE08E6">
            <w:pPr>
              <w:rPr>
                <w:rFonts w:ascii="Arial"/>
                <w:sz w:val="21"/>
              </w:rPr>
            </w:pPr>
          </w:p>
        </w:tc>
      </w:tr>
      <w:tr w14:paraId="5EC6E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51" w:type="dxa"/>
            <w:gridSpan w:val="2"/>
            <w:vMerge w:val="continue"/>
            <w:tcBorders>
              <w:top w:val="nil"/>
            </w:tcBorders>
            <w:vAlign w:val="top"/>
          </w:tcPr>
          <w:p w14:paraId="110D780A">
            <w:pPr>
              <w:rPr>
                <w:rFonts w:ascii="Arial"/>
                <w:sz w:val="21"/>
              </w:rPr>
            </w:pPr>
          </w:p>
        </w:tc>
        <w:tc>
          <w:tcPr>
            <w:tcW w:w="3600" w:type="dxa"/>
            <w:gridSpan w:val="2"/>
            <w:vMerge w:val="continue"/>
            <w:tcBorders>
              <w:top w:val="nil"/>
            </w:tcBorders>
            <w:vAlign w:val="top"/>
          </w:tcPr>
          <w:p w14:paraId="0A6B99C0">
            <w:pPr>
              <w:rPr>
                <w:rFonts w:ascii="Arial"/>
                <w:sz w:val="21"/>
              </w:rPr>
            </w:pPr>
          </w:p>
        </w:tc>
        <w:tc>
          <w:tcPr>
            <w:tcW w:w="1683" w:type="dxa"/>
            <w:gridSpan w:val="2"/>
            <w:vAlign w:val="top"/>
          </w:tcPr>
          <w:p w14:paraId="4E803D9E">
            <w:pPr>
              <w:pStyle w:val="23"/>
              <w:spacing w:before="104" w:line="220" w:lineRule="auto"/>
              <w:ind w:left="377"/>
              <w:rPr>
                <w:sz w:val="24"/>
                <w:szCs w:val="24"/>
              </w:rPr>
            </w:pPr>
            <w:r>
              <w:rPr>
                <w:spacing w:val="-2"/>
                <w:sz w:val="24"/>
                <w:szCs w:val="24"/>
              </w:rPr>
              <w:t>分飞点情况</w:t>
            </w:r>
          </w:p>
        </w:tc>
        <w:tc>
          <w:tcPr>
            <w:tcW w:w="2617" w:type="dxa"/>
            <w:gridSpan w:val="3"/>
            <w:vAlign w:val="top"/>
          </w:tcPr>
          <w:p w14:paraId="59CA17EB">
            <w:pPr>
              <w:rPr>
                <w:rFonts w:ascii="Arial"/>
                <w:sz w:val="21"/>
              </w:rPr>
            </w:pPr>
          </w:p>
        </w:tc>
      </w:tr>
      <w:tr w14:paraId="4E2F9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3" w:hRule="atLeast"/>
        </w:trPr>
        <w:tc>
          <w:tcPr>
            <w:tcW w:w="1451" w:type="dxa"/>
            <w:gridSpan w:val="2"/>
            <w:vAlign w:val="top"/>
          </w:tcPr>
          <w:p w14:paraId="691EB89A">
            <w:pPr>
              <w:spacing w:line="252" w:lineRule="auto"/>
              <w:rPr>
                <w:rFonts w:ascii="Arial"/>
                <w:sz w:val="21"/>
              </w:rPr>
            </w:pPr>
          </w:p>
          <w:p w14:paraId="061646B5">
            <w:pPr>
              <w:spacing w:line="252" w:lineRule="auto"/>
              <w:rPr>
                <w:rFonts w:ascii="Arial"/>
                <w:sz w:val="21"/>
              </w:rPr>
            </w:pPr>
          </w:p>
          <w:p w14:paraId="5D6CF568">
            <w:pPr>
              <w:spacing w:line="252" w:lineRule="auto"/>
              <w:rPr>
                <w:rFonts w:ascii="Arial"/>
                <w:sz w:val="21"/>
              </w:rPr>
            </w:pPr>
          </w:p>
          <w:p w14:paraId="1D03A7D1">
            <w:pPr>
              <w:spacing w:line="253" w:lineRule="auto"/>
              <w:rPr>
                <w:rFonts w:ascii="Arial"/>
                <w:sz w:val="21"/>
              </w:rPr>
            </w:pPr>
          </w:p>
          <w:p w14:paraId="740502F8">
            <w:pPr>
              <w:pStyle w:val="23"/>
              <w:spacing w:before="78" w:line="220" w:lineRule="auto"/>
              <w:ind w:left="264"/>
              <w:rPr>
                <w:sz w:val="24"/>
                <w:szCs w:val="24"/>
              </w:rPr>
            </w:pPr>
            <w:r>
              <w:rPr>
                <w:spacing w:val="-3"/>
                <w:sz w:val="24"/>
                <w:szCs w:val="24"/>
              </w:rPr>
              <w:t>危害情况</w:t>
            </w:r>
          </w:p>
        </w:tc>
        <w:tc>
          <w:tcPr>
            <w:tcW w:w="7900" w:type="dxa"/>
            <w:gridSpan w:val="7"/>
            <w:vAlign w:val="top"/>
          </w:tcPr>
          <w:p w14:paraId="614D568A">
            <w:pPr>
              <w:rPr>
                <w:rFonts w:ascii="Arial"/>
                <w:sz w:val="21"/>
              </w:rPr>
            </w:pPr>
          </w:p>
        </w:tc>
      </w:tr>
      <w:tr w14:paraId="7C488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5340" w:type="dxa"/>
            <w:gridSpan w:val="5"/>
            <w:vAlign w:val="top"/>
          </w:tcPr>
          <w:p w14:paraId="4E5E8160">
            <w:pPr>
              <w:pStyle w:val="23"/>
              <w:spacing w:before="179" w:line="222" w:lineRule="auto"/>
              <w:ind w:left="119"/>
              <w:rPr>
                <w:sz w:val="24"/>
                <w:szCs w:val="24"/>
              </w:rPr>
            </w:pPr>
            <w:r>
              <w:rPr>
                <w:spacing w:val="-13"/>
                <w:sz w:val="24"/>
                <w:szCs w:val="24"/>
              </w:rPr>
              <w:t>调查人：</w:t>
            </w:r>
          </w:p>
          <w:p w14:paraId="6842F25A">
            <w:pPr>
              <w:spacing w:line="295" w:lineRule="auto"/>
              <w:rPr>
                <w:rFonts w:ascii="Arial"/>
                <w:sz w:val="21"/>
              </w:rPr>
            </w:pPr>
          </w:p>
          <w:p w14:paraId="54592C38">
            <w:pPr>
              <w:spacing w:line="296" w:lineRule="auto"/>
              <w:rPr>
                <w:rFonts w:ascii="Arial"/>
                <w:sz w:val="21"/>
              </w:rPr>
            </w:pPr>
          </w:p>
          <w:p w14:paraId="49EB641D">
            <w:pPr>
              <w:spacing w:line="296" w:lineRule="auto"/>
              <w:rPr>
                <w:rFonts w:ascii="Arial"/>
                <w:sz w:val="21"/>
              </w:rPr>
            </w:pPr>
          </w:p>
          <w:p w14:paraId="0B712937">
            <w:pPr>
              <w:spacing w:line="296" w:lineRule="auto"/>
              <w:rPr>
                <w:rFonts w:ascii="Arial"/>
                <w:sz w:val="21"/>
              </w:rPr>
            </w:pPr>
          </w:p>
          <w:p w14:paraId="7DFFB88B">
            <w:pPr>
              <w:pStyle w:val="23"/>
              <w:spacing w:before="78" w:line="220" w:lineRule="auto"/>
              <w:ind w:left="2998"/>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tc>
        <w:tc>
          <w:tcPr>
            <w:tcW w:w="4011" w:type="dxa"/>
            <w:gridSpan w:val="4"/>
            <w:vAlign w:val="top"/>
          </w:tcPr>
          <w:p w14:paraId="478C82EB">
            <w:pPr>
              <w:pStyle w:val="23"/>
              <w:spacing w:before="179" w:line="220" w:lineRule="auto"/>
              <w:ind w:left="235"/>
              <w:rPr>
                <w:sz w:val="24"/>
                <w:szCs w:val="24"/>
              </w:rPr>
            </w:pPr>
            <w:r>
              <w:rPr>
                <w:spacing w:val="-2"/>
                <w:sz w:val="24"/>
                <w:szCs w:val="24"/>
              </w:rPr>
              <w:t>联系人意见 ：</w:t>
            </w:r>
          </w:p>
          <w:p w14:paraId="525AA261">
            <w:pPr>
              <w:spacing w:line="292" w:lineRule="auto"/>
              <w:rPr>
                <w:rFonts w:ascii="Arial"/>
                <w:sz w:val="21"/>
              </w:rPr>
            </w:pPr>
          </w:p>
          <w:p w14:paraId="3FC5898F">
            <w:pPr>
              <w:spacing w:line="292" w:lineRule="auto"/>
              <w:rPr>
                <w:rFonts w:ascii="Arial"/>
                <w:sz w:val="21"/>
              </w:rPr>
            </w:pPr>
          </w:p>
          <w:p w14:paraId="30B1A5C6">
            <w:pPr>
              <w:spacing w:line="292" w:lineRule="auto"/>
              <w:rPr>
                <w:rFonts w:ascii="Arial"/>
                <w:sz w:val="21"/>
              </w:rPr>
            </w:pPr>
          </w:p>
          <w:p w14:paraId="4F2F1847">
            <w:pPr>
              <w:pStyle w:val="23"/>
              <w:spacing w:before="78" w:line="220" w:lineRule="auto"/>
              <w:jc w:val="center"/>
              <w:rPr>
                <w:sz w:val="24"/>
                <w:szCs w:val="24"/>
              </w:rPr>
            </w:pPr>
            <w:r>
              <w:rPr>
                <w:spacing w:val="-15"/>
                <w:sz w:val="24"/>
                <w:szCs w:val="24"/>
              </w:rPr>
              <w:t>签字：</w:t>
            </w:r>
          </w:p>
          <w:p w14:paraId="051718BC">
            <w:pPr>
              <w:pStyle w:val="23"/>
              <w:spacing w:before="26" w:line="220" w:lineRule="auto"/>
              <w:jc w:val="center"/>
              <w:rPr>
                <w:sz w:val="24"/>
                <w:szCs w:val="24"/>
              </w:rPr>
            </w:pPr>
            <w:r>
              <w:rPr>
                <w:spacing w:val="-9"/>
                <w:sz w:val="24"/>
                <w:szCs w:val="24"/>
              </w:rPr>
              <w:t>年</w:t>
            </w:r>
            <w:r>
              <w:rPr>
                <w:spacing w:val="3"/>
                <w:sz w:val="24"/>
                <w:szCs w:val="24"/>
              </w:rPr>
              <w:t xml:space="preserve">    </w:t>
            </w:r>
            <w:r>
              <w:rPr>
                <w:spacing w:val="-9"/>
                <w:sz w:val="24"/>
                <w:szCs w:val="24"/>
              </w:rPr>
              <w:t>月</w:t>
            </w:r>
            <w:r>
              <w:rPr>
                <w:spacing w:val="18"/>
                <w:sz w:val="24"/>
                <w:szCs w:val="24"/>
              </w:rPr>
              <w:t xml:space="preserve">   </w:t>
            </w:r>
            <w:r>
              <w:rPr>
                <w:spacing w:val="-9"/>
                <w:sz w:val="24"/>
                <w:szCs w:val="24"/>
              </w:rPr>
              <w:t>日</w:t>
            </w:r>
          </w:p>
        </w:tc>
      </w:tr>
      <w:tr w14:paraId="61003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324" w:type="dxa"/>
            <w:vAlign w:val="top"/>
          </w:tcPr>
          <w:p w14:paraId="37351AA6">
            <w:pPr>
              <w:pStyle w:val="23"/>
              <w:spacing w:before="187" w:line="221" w:lineRule="auto"/>
              <w:ind w:left="120"/>
              <w:rPr>
                <w:sz w:val="24"/>
                <w:szCs w:val="24"/>
              </w:rPr>
            </w:pPr>
            <w:r>
              <w:rPr>
                <w:spacing w:val="-4"/>
                <w:sz w:val="24"/>
                <w:szCs w:val="24"/>
              </w:rPr>
              <w:t>备注</w:t>
            </w:r>
          </w:p>
        </w:tc>
        <w:tc>
          <w:tcPr>
            <w:tcW w:w="8027" w:type="dxa"/>
            <w:gridSpan w:val="8"/>
            <w:vAlign w:val="top"/>
          </w:tcPr>
          <w:p w14:paraId="1BA3C123">
            <w:pPr>
              <w:rPr>
                <w:rFonts w:ascii="Arial"/>
                <w:sz w:val="21"/>
              </w:rPr>
            </w:pPr>
          </w:p>
        </w:tc>
      </w:tr>
    </w:tbl>
    <w:p w14:paraId="718D02F2">
      <w:pPr>
        <w:rPr>
          <w:rFonts w:hint="default"/>
          <w:lang w:val="en-US" w:eastAsia="zh-CN"/>
        </w:rPr>
        <w:sectPr>
          <w:pgSz w:w="11906" w:h="16838"/>
          <w:pgMar w:top="1247" w:right="1247" w:bottom="1247" w:left="1247" w:header="851" w:footer="992" w:gutter="0"/>
          <w:pgNumType w:fmt="decimal"/>
          <w:cols w:space="425" w:num="1"/>
          <w:docGrid w:type="lines" w:linePitch="312" w:charSpace="0"/>
        </w:sectPr>
      </w:pPr>
    </w:p>
    <w:p w14:paraId="0443D772">
      <w:pPr>
        <w:pStyle w:val="7"/>
        <w:spacing w:before="73" w:line="222" w:lineRule="auto"/>
        <w:ind w:right="172" w:rightChars="0"/>
        <w:jc w:val="center"/>
        <w:rPr>
          <w:rFonts w:ascii="黑体" w:hAnsi="黑体" w:eastAsia="黑体" w:cs="黑体"/>
          <w:b w:val="0"/>
          <w:spacing w:val="-5"/>
          <w:kern w:val="2"/>
          <w:sz w:val="36"/>
          <w:szCs w:val="36"/>
          <w:lang w:val="en-US" w:eastAsia="zh-CN" w:bidi="ar-SA"/>
        </w:rPr>
      </w:pPr>
      <w:r>
        <w:rPr>
          <w:rFonts w:ascii="黑体" w:hAnsi="黑体" w:eastAsia="黑体" w:cs="黑体"/>
          <w:b w:val="0"/>
          <w:spacing w:val="-5"/>
          <w:kern w:val="2"/>
          <w:sz w:val="36"/>
          <w:szCs w:val="36"/>
          <w:lang w:val="en-US" w:eastAsia="zh-CN" w:bidi="ar-SA"/>
        </w:rPr>
        <w:t>表 14 白蚁灭治工程效果评价表</w:t>
      </w:r>
    </w:p>
    <w:p w14:paraId="466644B6">
      <w:pPr>
        <w:spacing w:before="14" w:line="212" w:lineRule="auto"/>
        <w:ind w:left="7057"/>
        <w:rPr>
          <w:rFonts w:ascii="宋体" w:hAnsi="宋体" w:eastAsia="宋体" w:cs="宋体"/>
          <w:sz w:val="22"/>
          <w:szCs w:val="22"/>
        </w:rPr>
      </w:pPr>
      <w:r>
        <w:rPr>
          <w:rFonts w:ascii="宋体" w:hAnsi="宋体" w:eastAsia="宋体" w:cs="宋体"/>
          <w:spacing w:val="-10"/>
          <w:sz w:val="22"/>
          <w:szCs w:val="22"/>
        </w:rPr>
        <w:t>登记编号：</w:t>
      </w:r>
    </w:p>
    <w:tbl>
      <w:tblPr>
        <w:tblStyle w:val="22"/>
        <w:tblW w:w="9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9"/>
        <w:gridCol w:w="1317"/>
        <w:gridCol w:w="1950"/>
        <w:gridCol w:w="2381"/>
        <w:gridCol w:w="2702"/>
      </w:tblGrid>
      <w:tr w14:paraId="5257A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446" w:type="dxa"/>
            <w:gridSpan w:val="2"/>
            <w:vAlign w:val="top"/>
          </w:tcPr>
          <w:p w14:paraId="32018437">
            <w:pPr>
              <w:pStyle w:val="23"/>
              <w:spacing w:before="114" w:line="221" w:lineRule="auto"/>
              <w:ind w:left="903"/>
              <w:rPr>
                <w:sz w:val="22"/>
                <w:szCs w:val="22"/>
              </w:rPr>
            </w:pPr>
            <w:r>
              <w:rPr>
                <w:spacing w:val="-2"/>
                <w:sz w:val="22"/>
                <w:szCs w:val="22"/>
              </w:rPr>
              <w:t>工程名称</w:t>
            </w:r>
          </w:p>
        </w:tc>
        <w:tc>
          <w:tcPr>
            <w:tcW w:w="7033" w:type="dxa"/>
            <w:gridSpan w:val="3"/>
            <w:vAlign w:val="top"/>
          </w:tcPr>
          <w:p w14:paraId="24E89E56">
            <w:pPr>
              <w:rPr>
                <w:rFonts w:ascii="Arial"/>
                <w:sz w:val="21"/>
              </w:rPr>
            </w:pPr>
          </w:p>
        </w:tc>
      </w:tr>
      <w:tr w14:paraId="0A78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46" w:type="dxa"/>
            <w:gridSpan w:val="2"/>
            <w:vAlign w:val="top"/>
          </w:tcPr>
          <w:p w14:paraId="71C046FA">
            <w:pPr>
              <w:pStyle w:val="23"/>
              <w:spacing w:before="109" w:line="221" w:lineRule="auto"/>
              <w:ind w:left="903"/>
              <w:rPr>
                <w:sz w:val="22"/>
                <w:szCs w:val="22"/>
              </w:rPr>
            </w:pPr>
            <w:r>
              <w:rPr>
                <w:spacing w:val="-2"/>
                <w:sz w:val="22"/>
                <w:szCs w:val="22"/>
              </w:rPr>
              <w:t>工程地址</w:t>
            </w:r>
          </w:p>
        </w:tc>
        <w:tc>
          <w:tcPr>
            <w:tcW w:w="7033" w:type="dxa"/>
            <w:gridSpan w:val="3"/>
            <w:vAlign w:val="top"/>
          </w:tcPr>
          <w:p w14:paraId="5C536785">
            <w:pPr>
              <w:rPr>
                <w:rFonts w:ascii="Arial"/>
                <w:sz w:val="21"/>
              </w:rPr>
            </w:pPr>
          </w:p>
        </w:tc>
      </w:tr>
      <w:tr w14:paraId="0713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29" w:type="dxa"/>
            <w:vMerge w:val="restart"/>
            <w:tcBorders>
              <w:bottom w:val="nil"/>
            </w:tcBorders>
            <w:vAlign w:val="center"/>
          </w:tcPr>
          <w:p w14:paraId="78720903">
            <w:pPr>
              <w:pStyle w:val="23"/>
              <w:spacing w:before="194" w:line="242" w:lineRule="auto"/>
              <w:ind w:left="321" w:right="301" w:hanging="6"/>
              <w:jc w:val="center"/>
              <w:rPr>
                <w:sz w:val="22"/>
                <w:szCs w:val="22"/>
              </w:rPr>
            </w:pPr>
            <w:r>
              <w:rPr>
                <w:spacing w:val="-5"/>
                <w:sz w:val="22"/>
                <w:szCs w:val="22"/>
              </w:rPr>
              <w:t>工程</w:t>
            </w:r>
            <w:r>
              <w:rPr>
                <w:spacing w:val="-9"/>
                <w:sz w:val="22"/>
                <w:szCs w:val="22"/>
              </w:rPr>
              <w:t>资料</w:t>
            </w:r>
          </w:p>
        </w:tc>
        <w:tc>
          <w:tcPr>
            <w:tcW w:w="1317" w:type="dxa"/>
            <w:vAlign w:val="center"/>
          </w:tcPr>
          <w:p w14:paraId="70622E42">
            <w:pPr>
              <w:pStyle w:val="23"/>
              <w:spacing w:before="110" w:line="222" w:lineRule="auto"/>
              <w:jc w:val="center"/>
              <w:rPr>
                <w:sz w:val="22"/>
                <w:szCs w:val="22"/>
              </w:rPr>
            </w:pPr>
            <w:r>
              <w:rPr>
                <w:spacing w:val="-2"/>
                <w:sz w:val="22"/>
                <w:szCs w:val="22"/>
              </w:rPr>
              <w:t>灭治合同</w:t>
            </w:r>
          </w:p>
        </w:tc>
        <w:tc>
          <w:tcPr>
            <w:tcW w:w="1950" w:type="dxa"/>
            <w:vAlign w:val="center"/>
          </w:tcPr>
          <w:p w14:paraId="6FC79D29">
            <w:pPr>
              <w:pStyle w:val="23"/>
              <w:spacing w:before="101" w:line="220" w:lineRule="auto"/>
              <w:jc w:val="center"/>
              <w:rPr>
                <w:sz w:val="24"/>
                <w:szCs w:val="24"/>
              </w:rPr>
            </w:pPr>
            <w:r>
              <w:rPr>
                <w:spacing w:val="-13"/>
                <w:sz w:val="24"/>
                <w:szCs w:val="24"/>
              </w:rPr>
              <w:t>□无</w:t>
            </w:r>
            <w:r>
              <w:rPr>
                <w:spacing w:val="11"/>
                <w:sz w:val="24"/>
                <w:szCs w:val="24"/>
              </w:rPr>
              <w:t xml:space="preserve">   </w:t>
            </w:r>
            <w:r>
              <w:rPr>
                <w:spacing w:val="-13"/>
                <w:sz w:val="24"/>
                <w:szCs w:val="24"/>
              </w:rPr>
              <w:t>□有</w:t>
            </w:r>
          </w:p>
        </w:tc>
        <w:tc>
          <w:tcPr>
            <w:tcW w:w="2381" w:type="dxa"/>
            <w:vAlign w:val="center"/>
          </w:tcPr>
          <w:p w14:paraId="248FB0EE">
            <w:pPr>
              <w:pStyle w:val="23"/>
              <w:spacing w:before="110" w:line="221" w:lineRule="auto"/>
              <w:jc w:val="center"/>
              <w:rPr>
                <w:sz w:val="22"/>
                <w:szCs w:val="22"/>
              </w:rPr>
            </w:pPr>
            <w:r>
              <w:rPr>
                <w:spacing w:val="-2"/>
                <w:sz w:val="22"/>
                <w:szCs w:val="22"/>
              </w:rPr>
              <w:t>现场调查</w:t>
            </w:r>
          </w:p>
        </w:tc>
        <w:tc>
          <w:tcPr>
            <w:tcW w:w="2702" w:type="dxa"/>
            <w:vAlign w:val="center"/>
          </w:tcPr>
          <w:p w14:paraId="62578961">
            <w:pPr>
              <w:pStyle w:val="23"/>
              <w:spacing w:before="101" w:line="220" w:lineRule="auto"/>
              <w:jc w:val="center"/>
              <w:rPr>
                <w:sz w:val="24"/>
                <w:szCs w:val="24"/>
              </w:rPr>
            </w:pPr>
            <w:r>
              <w:rPr>
                <w:spacing w:val="-13"/>
                <w:sz w:val="24"/>
                <w:szCs w:val="24"/>
              </w:rPr>
              <w:t>□无</w:t>
            </w:r>
            <w:r>
              <w:rPr>
                <w:spacing w:val="11"/>
                <w:sz w:val="24"/>
                <w:szCs w:val="24"/>
              </w:rPr>
              <w:t xml:space="preserve">   </w:t>
            </w:r>
            <w:r>
              <w:rPr>
                <w:spacing w:val="-13"/>
                <w:sz w:val="24"/>
                <w:szCs w:val="24"/>
              </w:rPr>
              <w:t>□有</w:t>
            </w:r>
          </w:p>
        </w:tc>
      </w:tr>
      <w:tr w14:paraId="7DD0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29" w:type="dxa"/>
            <w:vMerge w:val="continue"/>
            <w:tcBorders>
              <w:top w:val="nil"/>
            </w:tcBorders>
            <w:vAlign w:val="center"/>
          </w:tcPr>
          <w:p w14:paraId="6A4ECF37">
            <w:pPr>
              <w:jc w:val="center"/>
              <w:rPr>
                <w:rFonts w:ascii="Arial"/>
                <w:sz w:val="21"/>
              </w:rPr>
            </w:pPr>
          </w:p>
        </w:tc>
        <w:tc>
          <w:tcPr>
            <w:tcW w:w="1317" w:type="dxa"/>
            <w:vAlign w:val="center"/>
          </w:tcPr>
          <w:p w14:paraId="232F203B">
            <w:pPr>
              <w:pStyle w:val="23"/>
              <w:spacing w:before="110" w:line="221" w:lineRule="auto"/>
              <w:jc w:val="center"/>
              <w:rPr>
                <w:sz w:val="22"/>
                <w:szCs w:val="22"/>
              </w:rPr>
            </w:pPr>
            <w:r>
              <w:rPr>
                <w:spacing w:val="-1"/>
                <w:sz w:val="22"/>
                <w:szCs w:val="22"/>
              </w:rPr>
              <w:t>施工方案</w:t>
            </w:r>
          </w:p>
        </w:tc>
        <w:tc>
          <w:tcPr>
            <w:tcW w:w="1950" w:type="dxa"/>
            <w:vAlign w:val="center"/>
          </w:tcPr>
          <w:p w14:paraId="11F63EBF">
            <w:pPr>
              <w:pStyle w:val="23"/>
              <w:spacing w:before="99" w:line="220" w:lineRule="auto"/>
              <w:jc w:val="center"/>
              <w:rPr>
                <w:sz w:val="24"/>
                <w:szCs w:val="24"/>
              </w:rPr>
            </w:pPr>
            <w:r>
              <w:rPr>
                <w:spacing w:val="-13"/>
                <w:sz w:val="24"/>
                <w:szCs w:val="24"/>
              </w:rPr>
              <w:t>□无</w:t>
            </w:r>
            <w:r>
              <w:rPr>
                <w:spacing w:val="11"/>
                <w:sz w:val="24"/>
                <w:szCs w:val="24"/>
              </w:rPr>
              <w:t xml:space="preserve">   </w:t>
            </w:r>
            <w:r>
              <w:rPr>
                <w:spacing w:val="-13"/>
                <w:sz w:val="24"/>
                <w:szCs w:val="24"/>
              </w:rPr>
              <w:t>□有</w:t>
            </w:r>
          </w:p>
        </w:tc>
        <w:tc>
          <w:tcPr>
            <w:tcW w:w="2381" w:type="dxa"/>
            <w:vAlign w:val="center"/>
          </w:tcPr>
          <w:p w14:paraId="6B01CBAD">
            <w:pPr>
              <w:pStyle w:val="23"/>
              <w:spacing w:before="111" w:line="222" w:lineRule="auto"/>
              <w:jc w:val="center"/>
              <w:rPr>
                <w:sz w:val="22"/>
                <w:szCs w:val="22"/>
              </w:rPr>
            </w:pPr>
            <w:r>
              <w:rPr>
                <w:spacing w:val="-1"/>
                <w:sz w:val="22"/>
                <w:szCs w:val="22"/>
              </w:rPr>
              <w:t>施工记录</w:t>
            </w:r>
          </w:p>
        </w:tc>
        <w:tc>
          <w:tcPr>
            <w:tcW w:w="2702" w:type="dxa"/>
            <w:vAlign w:val="center"/>
          </w:tcPr>
          <w:p w14:paraId="34625471">
            <w:pPr>
              <w:pStyle w:val="23"/>
              <w:spacing w:before="99" w:line="220" w:lineRule="auto"/>
              <w:jc w:val="center"/>
              <w:rPr>
                <w:sz w:val="24"/>
                <w:szCs w:val="24"/>
              </w:rPr>
            </w:pPr>
            <w:r>
              <w:rPr>
                <w:spacing w:val="-13"/>
                <w:sz w:val="24"/>
                <w:szCs w:val="24"/>
              </w:rPr>
              <w:t>□无</w:t>
            </w:r>
            <w:r>
              <w:rPr>
                <w:spacing w:val="11"/>
                <w:sz w:val="24"/>
                <w:szCs w:val="24"/>
              </w:rPr>
              <w:t xml:space="preserve">   </w:t>
            </w:r>
            <w:r>
              <w:rPr>
                <w:spacing w:val="-13"/>
                <w:sz w:val="24"/>
                <w:szCs w:val="24"/>
              </w:rPr>
              <w:t>□有</w:t>
            </w:r>
          </w:p>
        </w:tc>
      </w:tr>
      <w:tr w14:paraId="59E2E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129" w:type="dxa"/>
            <w:vMerge w:val="restart"/>
            <w:tcBorders>
              <w:bottom w:val="nil"/>
            </w:tcBorders>
            <w:vAlign w:val="center"/>
          </w:tcPr>
          <w:p w14:paraId="6A7BEEA5">
            <w:pPr>
              <w:pStyle w:val="23"/>
              <w:spacing w:before="72" w:line="244" w:lineRule="auto"/>
              <w:ind w:right="191"/>
              <w:jc w:val="center"/>
              <w:rPr>
                <w:sz w:val="22"/>
                <w:szCs w:val="22"/>
              </w:rPr>
            </w:pPr>
            <w:r>
              <w:rPr>
                <w:spacing w:val="-13"/>
                <w:sz w:val="22"/>
                <w:szCs w:val="22"/>
              </w:rPr>
              <w:t>白蚁灭</w:t>
            </w:r>
            <w:r>
              <w:rPr>
                <w:spacing w:val="-4"/>
                <w:sz w:val="22"/>
                <w:szCs w:val="22"/>
              </w:rPr>
              <w:t>治处理</w:t>
            </w:r>
          </w:p>
        </w:tc>
        <w:tc>
          <w:tcPr>
            <w:tcW w:w="1317" w:type="dxa"/>
            <w:vAlign w:val="center"/>
          </w:tcPr>
          <w:p w14:paraId="361C6D59">
            <w:pPr>
              <w:pStyle w:val="23"/>
              <w:spacing w:before="128" w:line="247" w:lineRule="auto"/>
              <w:ind w:right="145"/>
              <w:jc w:val="center"/>
              <w:rPr>
                <w:sz w:val="22"/>
                <w:szCs w:val="22"/>
              </w:rPr>
            </w:pPr>
            <w:r>
              <w:rPr>
                <w:spacing w:val="-7"/>
                <w:sz w:val="22"/>
                <w:szCs w:val="22"/>
              </w:rPr>
              <w:t>白蚁危害点处</w:t>
            </w:r>
            <w:r>
              <w:rPr>
                <w:sz w:val="22"/>
                <w:szCs w:val="22"/>
              </w:rPr>
              <w:t>理</w:t>
            </w:r>
          </w:p>
        </w:tc>
        <w:tc>
          <w:tcPr>
            <w:tcW w:w="1950" w:type="dxa"/>
            <w:vAlign w:val="center"/>
          </w:tcPr>
          <w:p w14:paraId="6A8F8CE1">
            <w:pPr>
              <w:pStyle w:val="23"/>
              <w:spacing w:before="106" w:line="220" w:lineRule="auto"/>
              <w:jc w:val="center"/>
              <w:rPr>
                <w:sz w:val="24"/>
                <w:szCs w:val="24"/>
              </w:rPr>
            </w:pPr>
            <w:r>
              <w:rPr>
                <w:spacing w:val="-5"/>
                <w:sz w:val="24"/>
                <w:szCs w:val="24"/>
              </w:rPr>
              <w:t>发现</w:t>
            </w:r>
            <w:r>
              <w:rPr>
                <w:spacing w:val="4"/>
                <w:sz w:val="24"/>
                <w:szCs w:val="24"/>
              </w:rPr>
              <w:t xml:space="preserve">   </w:t>
            </w:r>
            <w:r>
              <w:rPr>
                <w:spacing w:val="-5"/>
                <w:sz w:val="24"/>
                <w:szCs w:val="24"/>
              </w:rPr>
              <w:t>处</w:t>
            </w:r>
          </w:p>
          <w:p w14:paraId="3D4FAA05">
            <w:pPr>
              <w:pStyle w:val="23"/>
              <w:spacing w:before="25" w:line="224" w:lineRule="auto"/>
              <w:jc w:val="center"/>
              <w:rPr>
                <w:sz w:val="24"/>
                <w:szCs w:val="24"/>
              </w:rPr>
            </w:pPr>
            <w:r>
              <w:rPr>
                <w:spacing w:val="-5"/>
                <w:sz w:val="24"/>
                <w:szCs w:val="24"/>
              </w:rPr>
              <w:t>处理</w:t>
            </w:r>
            <w:r>
              <w:rPr>
                <w:spacing w:val="4"/>
                <w:sz w:val="24"/>
                <w:szCs w:val="24"/>
              </w:rPr>
              <w:t xml:space="preserve">   </w:t>
            </w:r>
            <w:r>
              <w:rPr>
                <w:spacing w:val="-5"/>
                <w:sz w:val="24"/>
                <w:szCs w:val="24"/>
              </w:rPr>
              <w:t>处</w:t>
            </w:r>
          </w:p>
        </w:tc>
        <w:tc>
          <w:tcPr>
            <w:tcW w:w="2381" w:type="dxa"/>
            <w:vAlign w:val="center"/>
          </w:tcPr>
          <w:p w14:paraId="14E150CE">
            <w:pPr>
              <w:pStyle w:val="23"/>
              <w:spacing w:before="273" w:line="221" w:lineRule="auto"/>
              <w:jc w:val="center"/>
              <w:rPr>
                <w:sz w:val="22"/>
                <w:szCs w:val="22"/>
              </w:rPr>
            </w:pPr>
            <w:r>
              <w:rPr>
                <w:spacing w:val="-2"/>
                <w:sz w:val="22"/>
                <w:szCs w:val="22"/>
              </w:rPr>
              <w:t>监测控制系统</w:t>
            </w:r>
          </w:p>
        </w:tc>
        <w:tc>
          <w:tcPr>
            <w:tcW w:w="2702" w:type="dxa"/>
            <w:vAlign w:val="center"/>
          </w:tcPr>
          <w:p w14:paraId="745DAC84">
            <w:pPr>
              <w:pStyle w:val="23"/>
              <w:spacing w:before="106" w:line="219" w:lineRule="auto"/>
              <w:jc w:val="center"/>
              <w:rPr>
                <w:sz w:val="24"/>
                <w:szCs w:val="24"/>
              </w:rPr>
            </w:pPr>
            <w:r>
              <w:rPr>
                <w:spacing w:val="-4"/>
                <w:sz w:val="24"/>
                <w:szCs w:val="24"/>
              </w:rPr>
              <w:t>埋设</w:t>
            </w:r>
            <w:r>
              <w:rPr>
                <w:spacing w:val="3"/>
                <w:sz w:val="24"/>
                <w:szCs w:val="24"/>
              </w:rPr>
              <w:t xml:space="preserve">   </w:t>
            </w:r>
            <w:r>
              <w:rPr>
                <w:spacing w:val="-4"/>
                <w:sz w:val="24"/>
                <w:szCs w:val="24"/>
              </w:rPr>
              <w:t>个</w:t>
            </w:r>
          </w:p>
          <w:p w14:paraId="58765BA1">
            <w:pPr>
              <w:pStyle w:val="23"/>
              <w:spacing w:before="27" w:line="219" w:lineRule="auto"/>
              <w:jc w:val="center"/>
              <w:rPr>
                <w:sz w:val="24"/>
                <w:szCs w:val="24"/>
              </w:rPr>
            </w:pPr>
            <w:r>
              <w:rPr>
                <w:spacing w:val="-1"/>
                <w:sz w:val="24"/>
                <w:szCs w:val="24"/>
              </w:rPr>
              <w:t>检查维护  个次</w:t>
            </w:r>
          </w:p>
        </w:tc>
      </w:tr>
      <w:tr w14:paraId="0C0F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29" w:type="dxa"/>
            <w:vMerge w:val="continue"/>
            <w:tcBorders>
              <w:top w:val="nil"/>
            </w:tcBorders>
            <w:vAlign w:val="center"/>
          </w:tcPr>
          <w:p w14:paraId="1B24BBBD">
            <w:pPr>
              <w:jc w:val="center"/>
              <w:rPr>
                <w:rFonts w:ascii="Arial"/>
                <w:sz w:val="21"/>
              </w:rPr>
            </w:pPr>
          </w:p>
        </w:tc>
        <w:tc>
          <w:tcPr>
            <w:tcW w:w="1317" w:type="dxa"/>
            <w:vAlign w:val="center"/>
          </w:tcPr>
          <w:p w14:paraId="1A2A09F4">
            <w:pPr>
              <w:pStyle w:val="23"/>
              <w:spacing w:before="110" w:line="221" w:lineRule="auto"/>
              <w:jc w:val="center"/>
              <w:rPr>
                <w:sz w:val="22"/>
                <w:szCs w:val="22"/>
              </w:rPr>
            </w:pPr>
            <w:r>
              <w:rPr>
                <w:spacing w:val="-2"/>
                <w:sz w:val="22"/>
                <w:szCs w:val="22"/>
              </w:rPr>
              <w:t>其他处理</w:t>
            </w:r>
          </w:p>
        </w:tc>
        <w:tc>
          <w:tcPr>
            <w:tcW w:w="7033" w:type="dxa"/>
            <w:gridSpan w:val="3"/>
            <w:vAlign w:val="center"/>
          </w:tcPr>
          <w:p w14:paraId="131015FF">
            <w:pPr>
              <w:jc w:val="center"/>
              <w:rPr>
                <w:rFonts w:ascii="Arial"/>
                <w:sz w:val="21"/>
              </w:rPr>
            </w:pPr>
          </w:p>
        </w:tc>
      </w:tr>
      <w:tr w14:paraId="48D4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29" w:type="dxa"/>
            <w:vMerge w:val="restart"/>
            <w:tcBorders>
              <w:bottom w:val="nil"/>
            </w:tcBorders>
            <w:vAlign w:val="center"/>
          </w:tcPr>
          <w:p w14:paraId="3E8C3ABE">
            <w:pPr>
              <w:pStyle w:val="23"/>
              <w:spacing w:before="71" w:line="239" w:lineRule="auto"/>
              <w:ind w:right="82" w:rightChars="0"/>
              <w:jc w:val="center"/>
              <w:rPr>
                <w:sz w:val="22"/>
                <w:szCs w:val="22"/>
              </w:rPr>
            </w:pPr>
            <w:r>
              <w:rPr>
                <w:spacing w:val="-13"/>
                <w:sz w:val="22"/>
                <w:szCs w:val="22"/>
              </w:rPr>
              <w:t>白蚁灭</w:t>
            </w:r>
            <w:r>
              <w:rPr>
                <w:spacing w:val="-4"/>
                <w:sz w:val="22"/>
                <w:szCs w:val="22"/>
              </w:rPr>
              <w:t>治效果评价</w:t>
            </w:r>
          </w:p>
        </w:tc>
        <w:tc>
          <w:tcPr>
            <w:tcW w:w="5648" w:type="dxa"/>
            <w:gridSpan w:val="3"/>
            <w:vAlign w:val="top"/>
          </w:tcPr>
          <w:p w14:paraId="37958C79">
            <w:pPr>
              <w:pStyle w:val="23"/>
              <w:spacing w:before="120" w:line="221" w:lineRule="auto"/>
              <w:ind w:left="2649"/>
              <w:rPr>
                <w:sz w:val="22"/>
                <w:szCs w:val="22"/>
              </w:rPr>
            </w:pPr>
            <w:r>
              <w:rPr>
                <w:spacing w:val="-3"/>
                <w:sz w:val="22"/>
                <w:szCs w:val="22"/>
              </w:rPr>
              <w:t>指标</w:t>
            </w:r>
          </w:p>
        </w:tc>
        <w:tc>
          <w:tcPr>
            <w:tcW w:w="2702" w:type="dxa"/>
            <w:vAlign w:val="center"/>
          </w:tcPr>
          <w:p w14:paraId="3073A0B4">
            <w:pPr>
              <w:pStyle w:val="23"/>
              <w:spacing w:before="120" w:line="219" w:lineRule="auto"/>
              <w:jc w:val="center"/>
              <w:rPr>
                <w:sz w:val="22"/>
                <w:szCs w:val="22"/>
              </w:rPr>
            </w:pPr>
            <w:r>
              <w:rPr>
                <w:spacing w:val="-2"/>
                <w:sz w:val="22"/>
                <w:szCs w:val="22"/>
              </w:rPr>
              <w:t>评价项</w:t>
            </w:r>
          </w:p>
        </w:tc>
      </w:tr>
      <w:tr w14:paraId="2D024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29" w:type="dxa"/>
            <w:vMerge w:val="continue"/>
            <w:tcBorders>
              <w:top w:val="nil"/>
              <w:bottom w:val="nil"/>
            </w:tcBorders>
            <w:vAlign w:val="center"/>
          </w:tcPr>
          <w:p w14:paraId="160B1A5F">
            <w:pPr>
              <w:jc w:val="center"/>
              <w:rPr>
                <w:rFonts w:ascii="Arial"/>
                <w:sz w:val="21"/>
              </w:rPr>
            </w:pPr>
          </w:p>
        </w:tc>
        <w:tc>
          <w:tcPr>
            <w:tcW w:w="5648" w:type="dxa"/>
            <w:gridSpan w:val="3"/>
            <w:vAlign w:val="top"/>
          </w:tcPr>
          <w:p w14:paraId="193681C6">
            <w:pPr>
              <w:pStyle w:val="23"/>
              <w:spacing w:before="112" w:line="220" w:lineRule="auto"/>
              <w:ind w:left="1132"/>
              <w:rPr>
                <w:sz w:val="22"/>
                <w:szCs w:val="22"/>
              </w:rPr>
            </w:pPr>
            <w:r>
              <w:rPr>
                <w:spacing w:val="-2"/>
                <w:sz w:val="22"/>
                <w:szCs w:val="22"/>
              </w:rPr>
              <w:t>已发现的白蚁危害点不存在白蚁活体</w:t>
            </w:r>
          </w:p>
        </w:tc>
        <w:tc>
          <w:tcPr>
            <w:tcW w:w="2702" w:type="dxa"/>
            <w:vAlign w:val="center"/>
          </w:tcPr>
          <w:p w14:paraId="09E7ECF1">
            <w:pPr>
              <w:pStyle w:val="23"/>
              <w:spacing w:before="103" w:line="219" w:lineRule="auto"/>
              <w:jc w:val="center"/>
              <w:rPr>
                <w:sz w:val="24"/>
                <w:szCs w:val="24"/>
              </w:rPr>
            </w:pPr>
            <w:r>
              <w:rPr>
                <w:spacing w:val="-9"/>
                <w:sz w:val="24"/>
                <w:szCs w:val="24"/>
              </w:rPr>
              <w:t>□符合</w:t>
            </w:r>
            <w:r>
              <w:rPr>
                <w:spacing w:val="12"/>
                <w:sz w:val="24"/>
                <w:szCs w:val="24"/>
              </w:rPr>
              <w:t xml:space="preserve">   </w:t>
            </w:r>
            <w:r>
              <w:rPr>
                <w:spacing w:val="-9"/>
                <w:sz w:val="24"/>
                <w:szCs w:val="24"/>
              </w:rPr>
              <w:t>□不符合</w:t>
            </w:r>
          </w:p>
        </w:tc>
      </w:tr>
      <w:tr w14:paraId="5847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29" w:type="dxa"/>
            <w:vMerge w:val="continue"/>
            <w:tcBorders>
              <w:top w:val="nil"/>
              <w:bottom w:val="nil"/>
            </w:tcBorders>
            <w:vAlign w:val="center"/>
          </w:tcPr>
          <w:p w14:paraId="278EDCB8">
            <w:pPr>
              <w:jc w:val="center"/>
              <w:rPr>
                <w:rFonts w:ascii="Arial"/>
                <w:sz w:val="21"/>
              </w:rPr>
            </w:pPr>
          </w:p>
        </w:tc>
        <w:tc>
          <w:tcPr>
            <w:tcW w:w="5648" w:type="dxa"/>
            <w:gridSpan w:val="3"/>
            <w:vAlign w:val="top"/>
          </w:tcPr>
          <w:p w14:paraId="664C6AE6">
            <w:pPr>
              <w:pStyle w:val="23"/>
              <w:spacing w:before="114" w:line="220" w:lineRule="auto"/>
              <w:ind w:left="1132"/>
              <w:rPr>
                <w:sz w:val="22"/>
                <w:szCs w:val="22"/>
              </w:rPr>
            </w:pPr>
            <w:r>
              <w:rPr>
                <w:spacing w:val="-2"/>
                <w:sz w:val="22"/>
                <w:szCs w:val="22"/>
              </w:rPr>
              <w:t>已治理房屋未出现新的白蚁活动迹象</w:t>
            </w:r>
          </w:p>
        </w:tc>
        <w:tc>
          <w:tcPr>
            <w:tcW w:w="2702" w:type="dxa"/>
            <w:vAlign w:val="center"/>
          </w:tcPr>
          <w:p w14:paraId="701C8E7B">
            <w:pPr>
              <w:pStyle w:val="23"/>
              <w:spacing w:before="103" w:line="219" w:lineRule="auto"/>
              <w:jc w:val="center"/>
              <w:rPr>
                <w:sz w:val="24"/>
                <w:szCs w:val="24"/>
              </w:rPr>
            </w:pPr>
            <w:r>
              <w:rPr>
                <w:spacing w:val="-9"/>
                <w:sz w:val="24"/>
                <w:szCs w:val="24"/>
              </w:rPr>
              <w:t>□符合</w:t>
            </w:r>
            <w:r>
              <w:rPr>
                <w:spacing w:val="12"/>
                <w:sz w:val="24"/>
                <w:szCs w:val="24"/>
              </w:rPr>
              <w:t xml:space="preserve">   </w:t>
            </w:r>
            <w:r>
              <w:rPr>
                <w:spacing w:val="-9"/>
                <w:sz w:val="24"/>
                <w:szCs w:val="24"/>
              </w:rPr>
              <w:t>□不符合</w:t>
            </w:r>
          </w:p>
        </w:tc>
      </w:tr>
      <w:tr w14:paraId="7CB9D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29" w:type="dxa"/>
            <w:vMerge w:val="continue"/>
            <w:tcBorders>
              <w:top w:val="nil"/>
            </w:tcBorders>
            <w:vAlign w:val="center"/>
          </w:tcPr>
          <w:p w14:paraId="594D183F">
            <w:pPr>
              <w:jc w:val="center"/>
              <w:rPr>
                <w:rFonts w:ascii="Arial"/>
                <w:sz w:val="21"/>
              </w:rPr>
            </w:pPr>
          </w:p>
        </w:tc>
        <w:tc>
          <w:tcPr>
            <w:tcW w:w="5648" w:type="dxa"/>
            <w:gridSpan w:val="3"/>
            <w:vAlign w:val="top"/>
          </w:tcPr>
          <w:p w14:paraId="4AF77DB0">
            <w:pPr>
              <w:pStyle w:val="23"/>
              <w:spacing w:before="97" w:line="220" w:lineRule="auto"/>
              <w:ind w:left="1217"/>
              <w:rPr>
                <w:sz w:val="22"/>
                <w:szCs w:val="22"/>
              </w:rPr>
            </w:pPr>
            <w:r>
              <w:rPr>
                <w:spacing w:val="-1"/>
                <w:sz w:val="22"/>
                <w:szCs w:val="22"/>
              </w:rPr>
              <w:t>房屋周边环境不存在白蚁活动迹象</w:t>
            </w:r>
          </w:p>
        </w:tc>
        <w:tc>
          <w:tcPr>
            <w:tcW w:w="2702" w:type="dxa"/>
            <w:vAlign w:val="center"/>
          </w:tcPr>
          <w:p w14:paraId="21DA5978">
            <w:pPr>
              <w:pStyle w:val="23"/>
              <w:spacing w:before="86" w:line="219" w:lineRule="auto"/>
              <w:jc w:val="center"/>
              <w:rPr>
                <w:sz w:val="24"/>
                <w:szCs w:val="24"/>
              </w:rPr>
            </w:pPr>
            <w:r>
              <w:rPr>
                <w:spacing w:val="-9"/>
                <w:sz w:val="24"/>
                <w:szCs w:val="24"/>
              </w:rPr>
              <w:t>□符合</w:t>
            </w:r>
            <w:r>
              <w:rPr>
                <w:spacing w:val="12"/>
                <w:sz w:val="24"/>
                <w:szCs w:val="24"/>
              </w:rPr>
              <w:t xml:space="preserve">   </w:t>
            </w:r>
            <w:r>
              <w:rPr>
                <w:spacing w:val="-9"/>
                <w:sz w:val="24"/>
                <w:szCs w:val="24"/>
              </w:rPr>
              <w:t>□不符合</w:t>
            </w:r>
          </w:p>
        </w:tc>
      </w:tr>
      <w:tr w14:paraId="77FAE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29" w:type="dxa"/>
            <w:vAlign w:val="center"/>
          </w:tcPr>
          <w:p w14:paraId="27C11061">
            <w:pPr>
              <w:pStyle w:val="23"/>
              <w:spacing w:before="34" w:line="222" w:lineRule="auto"/>
              <w:jc w:val="center"/>
              <w:rPr>
                <w:spacing w:val="-3"/>
                <w:sz w:val="22"/>
                <w:szCs w:val="22"/>
              </w:rPr>
            </w:pPr>
            <w:r>
              <w:rPr>
                <w:spacing w:val="-3"/>
                <w:sz w:val="22"/>
                <w:szCs w:val="22"/>
              </w:rPr>
              <w:t>安全</w:t>
            </w:r>
          </w:p>
          <w:p w14:paraId="2033DB5B">
            <w:pPr>
              <w:pStyle w:val="23"/>
              <w:spacing w:before="34" w:line="222" w:lineRule="auto"/>
              <w:jc w:val="center"/>
              <w:rPr>
                <w:sz w:val="22"/>
                <w:szCs w:val="22"/>
              </w:rPr>
            </w:pPr>
            <w:r>
              <w:rPr>
                <w:spacing w:val="-3"/>
                <w:sz w:val="22"/>
                <w:szCs w:val="22"/>
              </w:rPr>
              <w:t>生产</w:t>
            </w:r>
          </w:p>
        </w:tc>
        <w:tc>
          <w:tcPr>
            <w:tcW w:w="5648" w:type="dxa"/>
            <w:gridSpan w:val="3"/>
            <w:vAlign w:val="top"/>
          </w:tcPr>
          <w:p w14:paraId="1DE458DD">
            <w:pPr>
              <w:pStyle w:val="23"/>
              <w:spacing w:before="176" w:line="220" w:lineRule="auto"/>
              <w:ind w:left="2211"/>
              <w:rPr>
                <w:sz w:val="22"/>
                <w:szCs w:val="22"/>
              </w:rPr>
            </w:pPr>
            <w:r>
              <w:rPr>
                <w:spacing w:val="-2"/>
                <w:sz w:val="22"/>
                <w:szCs w:val="22"/>
              </w:rPr>
              <w:t>安全生产事故</w:t>
            </w:r>
          </w:p>
        </w:tc>
        <w:tc>
          <w:tcPr>
            <w:tcW w:w="2702" w:type="dxa"/>
            <w:vAlign w:val="center"/>
          </w:tcPr>
          <w:p w14:paraId="67C7E929">
            <w:pPr>
              <w:pStyle w:val="23"/>
              <w:spacing w:before="167" w:line="220" w:lineRule="auto"/>
              <w:jc w:val="center"/>
              <w:rPr>
                <w:sz w:val="24"/>
                <w:szCs w:val="24"/>
              </w:rPr>
            </w:pPr>
            <w:r>
              <w:rPr>
                <w:spacing w:val="-9"/>
                <w:sz w:val="24"/>
                <w:szCs w:val="24"/>
              </w:rPr>
              <w:t>□发生</w:t>
            </w:r>
            <w:r>
              <w:rPr>
                <w:spacing w:val="12"/>
                <w:sz w:val="24"/>
                <w:szCs w:val="24"/>
              </w:rPr>
              <w:t xml:space="preserve">   </w:t>
            </w:r>
            <w:r>
              <w:rPr>
                <w:spacing w:val="-9"/>
                <w:sz w:val="24"/>
                <w:szCs w:val="24"/>
              </w:rPr>
              <w:t>□未发生</w:t>
            </w:r>
          </w:p>
        </w:tc>
      </w:tr>
      <w:tr w14:paraId="37585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29" w:type="dxa"/>
            <w:vMerge w:val="restart"/>
            <w:tcBorders>
              <w:bottom w:val="nil"/>
            </w:tcBorders>
            <w:vAlign w:val="center"/>
          </w:tcPr>
          <w:p w14:paraId="0BAB3FEC">
            <w:pPr>
              <w:pStyle w:val="23"/>
              <w:spacing w:before="72" w:line="239" w:lineRule="auto"/>
              <w:ind w:right="65" w:rightChars="0"/>
              <w:jc w:val="center"/>
              <w:rPr>
                <w:spacing w:val="-5"/>
                <w:sz w:val="22"/>
                <w:szCs w:val="22"/>
              </w:rPr>
            </w:pPr>
            <w:r>
              <w:rPr>
                <w:spacing w:val="-5"/>
                <w:sz w:val="22"/>
                <w:szCs w:val="22"/>
              </w:rPr>
              <w:t>用户</w:t>
            </w:r>
          </w:p>
          <w:p w14:paraId="7E25339C">
            <w:pPr>
              <w:pStyle w:val="23"/>
              <w:spacing w:before="72" w:line="239" w:lineRule="auto"/>
              <w:ind w:right="65" w:rightChars="0"/>
              <w:jc w:val="center"/>
              <w:rPr>
                <w:sz w:val="22"/>
                <w:szCs w:val="22"/>
              </w:rPr>
            </w:pPr>
            <w:r>
              <w:rPr>
                <w:spacing w:val="-4"/>
                <w:sz w:val="22"/>
                <w:szCs w:val="22"/>
              </w:rPr>
              <w:t>评价</w:t>
            </w:r>
          </w:p>
        </w:tc>
        <w:tc>
          <w:tcPr>
            <w:tcW w:w="8350" w:type="dxa"/>
            <w:gridSpan w:val="4"/>
            <w:vAlign w:val="top"/>
          </w:tcPr>
          <w:p w14:paraId="5A107867">
            <w:pPr>
              <w:pStyle w:val="23"/>
              <w:spacing w:before="86" w:line="219" w:lineRule="auto"/>
              <w:ind w:left="2914"/>
              <w:rPr>
                <w:sz w:val="24"/>
                <w:szCs w:val="24"/>
              </w:rPr>
            </w:pPr>
            <w:r>
              <w:rPr>
                <w:spacing w:val="-8"/>
                <w:sz w:val="24"/>
                <w:szCs w:val="24"/>
              </w:rPr>
              <w:t>□满意</w:t>
            </w:r>
            <w:r>
              <w:rPr>
                <w:spacing w:val="11"/>
                <w:sz w:val="24"/>
                <w:szCs w:val="24"/>
              </w:rPr>
              <w:t xml:space="preserve">   </w:t>
            </w:r>
            <w:r>
              <w:rPr>
                <w:spacing w:val="-8"/>
                <w:sz w:val="24"/>
                <w:szCs w:val="24"/>
              </w:rPr>
              <w:t>□基本满意</w:t>
            </w:r>
            <w:r>
              <w:rPr>
                <w:spacing w:val="12"/>
                <w:sz w:val="24"/>
                <w:szCs w:val="24"/>
              </w:rPr>
              <w:t xml:space="preserve">   </w:t>
            </w:r>
            <w:r>
              <w:rPr>
                <w:spacing w:val="-8"/>
                <w:sz w:val="24"/>
                <w:szCs w:val="24"/>
              </w:rPr>
              <w:t>□不满意</w:t>
            </w:r>
          </w:p>
        </w:tc>
      </w:tr>
      <w:tr w14:paraId="6700D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1129" w:type="dxa"/>
            <w:vMerge w:val="continue"/>
            <w:tcBorders>
              <w:top w:val="nil"/>
            </w:tcBorders>
            <w:vAlign w:val="center"/>
          </w:tcPr>
          <w:p w14:paraId="7739ABE6">
            <w:pPr>
              <w:jc w:val="center"/>
              <w:rPr>
                <w:rFonts w:ascii="Arial"/>
                <w:sz w:val="21"/>
              </w:rPr>
            </w:pPr>
          </w:p>
        </w:tc>
        <w:tc>
          <w:tcPr>
            <w:tcW w:w="8350" w:type="dxa"/>
            <w:gridSpan w:val="4"/>
            <w:vAlign w:val="top"/>
          </w:tcPr>
          <w:p w14:paraId="02D10EE3">
            <w:pPr>
              <w:spacing w:line="267" w:lineRule="auto"/>
              <w:rPr>
                <w:rFonts w:ascii="Arial"/>
                <w:sz w:val="21"/>
              </w:rPr>
            </w:pPr>
          </w:p>
          <w:p w14:paraId="088CADAA">
            <w:pPr>
              <w:spacing w:line="267" w:lineRule="auto"/>
              <w:rPr>
                <w:rFonts w:ascii="Arial"/>
                <w:sz w:val="21"/>
              </w:rPr>
            </w:pPr>
          </w:p>
          <w:p w14:paraId="0905C341">
            <w:pPr>
              <w:spacing w:line="268" w:lineRule="auto"/>
              <w:rPr>
                <w:rFonts w:ascii="Arial"/>
                <w:sz w:val="21"/>
              </w:rPr>
            </w:pPr>
          </w:p>
          <w:p w14:paraId="0FD61FAA">
            <w:pPr>
              <w:spacing w:line="268" w:lineRule="auto"/>
              <w:rPr>
                <w:rFonts w:ascii="Arial"/>
                <w:sz w:val="21"/>
              </w:rPr>
            </w:pPr>
          </w:p>
          <w:p w14:paraId="187EF973">
            <w:pPr>
              <w:pStyle w:val="23"/>
              <w:spacing w:before="78" w:line="220" w:lineRule="auto"/>
              <w:jc w:val="right"/>
              <w:rPr>
                <w:sz w:val="24"/>
                <w:szCs w:val="24"/>
              </w:rPr>
            </w:pPr>
            <w:r>
              <w:rPr>
                <w:spacing w:val="-10"/>
                <w:sz w:val="24"/>
                <w:szCs w:val="24"/>
              </w:rPr>
              <w:t>房屋联系人：</w:t>
            </w:r>
          </w:p>
          <w:p w14:paraId="423B2787">
            <w:pPr>
              <w:pStyle w:val="23"/>
              <w:spacing w:before="23" w:line="219" w:lineRule="auto"/>
              <w:jc w:val="right"/>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tc>
      </w:tr>
      <w:tr w14:paraId="63BB9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1129" w:type="dxa"/>
            <w:vAlign w:val="center"/>
          </w:tcPr>
          <w:p w14:paraId="6E88F906">
            <w:pPr>
              <w:pStyle w:val="23"/>
              <w:spacing w:before="72" w:line="242" w:lineRule="auto"/>
              <w:ind w:right="65" w:rightChars="0"/>
              <w:jc w:val="center"/>
              <w:rPr>
                <w:sz w:val="22"/>
                <w:szCs w:val="22"/>
              </w:rPr>
            </w:pPr>
            <w:r>
              <w:rPr>
                <w:spacing w:val="-4"/>
                <w:sz w:val="22"/>
                <w:szCs w:val="22"/>
              </w:rPr>
              <w:t>评价</w:t>
            </w:r>
            <w:r>
              <w:rPr>
                <w:spacing w:val="-7"/>
                <w:sz w:val="22"/>
                <w:szCs w:val="22"/>
              </w:rPr>
              <w:t>结论</w:t>
            </w:r>
          </w:p>
        </w:tc>
        <w:tc>
          <w:tcPr>
            <w:tcW w:w="8350" w:type="dxa"/>
            <w:gridSpan w:val="4"/>
            <w:vAlign w:val="top"/>
          </w:tcPr>
          <w:p w14:paraId="53C9EA19">
            <w:pPr>
              <w:spacing w:line="277" w:lineRule="auto"/>
              <w:rPr>
                <w:rFonts w:ascii="Arial"/>
                <w:sz w:val="21"/>
              </w:rPr>
            </w:pPr>
          </w:p>
          <w:p w14:paraId="3E7C3544">
            <w:pPr>
              <w:spacing w:line="277" w:lineRule="auto"/>
              <w:rPr>
                <w:rFonts w:ascii="Arial"/>
                <w:sz w:val="21"/>
              </w:rPr>
            </w:pPr>
          </w:p>
          <w:p w14:paraId="1855EB96">
            <w:pPr>
              <w:spacing w:line="277" w:lineRule="auto"/>
              <w:rPr>
                <w:rFonts w:ascii="Arial"/>
                <w:sz w:val="21"/>
              </w:rPr>
            </w:pPr>
          </w:p>
          <w:p w14:paraId="45930C10">
            <w:pPr>
              <w:spacing w:line="277" w:lineRule="auto"/>
              <w:rPr>
                <w:rFonts w:ascii="Arial"/>
                <w:sz w:val="21"/>
              </w:rPr>
            </w:pPr>
          </w:p>
          <w:p w14:paraId="36ED33A0">
            <w:pPr>
              <w:spacing w:line="277" w:lineRule="auto"/>
              <w:rPr>
                <w:rFonts w:ascii="Arial"/>
                <w:sz w:val="21"/>
              </w:rPr>
            </w:pPr>
          </w:p>
          <w:p w14:paraId="2BC38A13">
            <w:pPr>
              <w:spacing w:line="277" w:lineRule="auto"/>
              <w:rPr>
                <w:rFonts w:ascii="Arial"/>
                <w:sz w:val="21"/>
              </w:rPr>
            </w:pPr>
          </w:p>
          <w:p w14:paraId="1C8FA1FF">
            <w:pPr>
              <w:pStyle w:val="23"/>
              <w:spacing w:before="78" w:line="218" w:lineRule="auto"/>
              <w:jc w:val="right"/>
              <w:rPr>
                <w:sz w:val="24"/>
                <w:szCs w:val="24"/>
              </w:rPr>
            </w:pPr>
            <w:r>
              <w:rPr>
                <w:spacing w:val="-12"/>
                <w:sz w:val="24"/>
                <w:szCs w:val="24"/>
              </w:rPr>
              <w:t>评价人：</w:t>
            </w:r>
          </w:p>
          <w:p w14:paraId="4BE85601">
            <w:pPr>
              <w:pStyle w:val="23"/>
              <w:spacing w:before="28" w:line="219" w:lineRule="auto"/>
              <w:jc w:val="right"/>
              <w:rPr>
                <w:sz w:val="24"/>
                <w:szCs w:val="24"/>
              </w:rPr>
            </w:pPr>
            <w:r>
              <w:rPr>
                <w:spacing w:val="-6"/>
                <w:sz w:val="24"/>
                <w:szCs w:val="24"/>
              </w:rPr>
              <w:t>白蚁防治单位（公章）</w:t>
            </w:r>
          </w:p>
          <w:p w14:paraId="621519BF">
            <w:pPr>
              <w:pStyle w:val="23"/>
              <w:spacing w:before="28" w:line="219" w:lineRule="auto"/>
              <w:jc w:val="right"/>
              <w:rPr>
                <w:sz w:val="24"/>
                <w:szCs w:val="24"/>
              </w:rPr>
            </w:pP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tc>
      </w:tr>
      <w:tr w14:paraId="610F6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129" w:type="dxa"/>
            <w:vAlign w:val="top"/>
          </w:tcPr>
          <w:p w14:paraId="150C0430">
            <w:pPr>
              <w:pStyle w:val="23"/>
              <w:spacing w:before="311" w:line="222" w:lineRule="auto"/>
              <w:ind w:left="315"/>
              <w:rPr>
                <w:sz w:val="22"/>
                <w:szCs w:val="22"/>
              </w:rPr>
            </w:pPr>
            <w:r>
              <w:rPr>
                <w:spacing w:val="-3"/>
                <w:sz w:val="22"/>
                <w:szCs w:val="22"/>
              </w:rPr>
              <w:t>备注</w:t>
            </w:r>
          </w:p>
        </w:tc>
        <w:tc>
          <w:tcPr>
            <w:tcW w:w="8350" w:type="dxa"/>
            <w:gridSpan w:val="4"/>
            <w:vAlign w:val="top"/>
          </w:tcPr>
          <w:p w14:paraId="0CF53F92">
            <w:pPr>
              <w:rPr>
                <w:rFonts w:ascii="Arial"/>
                <w:sz w:val="21"/>
              </w:rPr>
            </w:pPr>
          </w:p>
        </w:tc>
      </w:tr>
    </w:tbl>
    <w:p w14:paraId="40BF70A3">
      <w:pPr>
        <w:rPr>
          <w:rFonts w:hint="default"/>
          <w:lang w:val="en-US" w:eastAsia="zh-CN"/>
        </w:rPr>
        <w:sectPr>
          <w:pgSz w:w="11906" w:h="16838"/>
          <w:pgMar w:top="1247" w:right="1247" w:bottom="1247" w:left="1247" w:header="851" w:footer="992" w:gutter="0"/>
          <w:pgNumType w:fmt="decimal"/>
          <w:cols w:space="425" w:num="1"/>
          <w:docGrid w:type="lines" w:linePitch="312" w:charSpace="0"/>
        </w:sectPr>
      </w:pPr>
    </w:p>
    <w:p w14:paraId="7D80596F">
      <w:pPr>
        <w:pStyle w:val="7"/>
        <w:spacing w:before="73" w:line="222" w:lineRule="auto"/>
        <w:ind w:right="172" w:rightChars="0"/>
        <w:jc w:val="center"/>
        <w:rPr>
          <w:rFonts w:ascii="黑体" w:hAnsi="黑体" w:eastAsia="黑体" w:cs="黑体"/>
          <w:b w:val="0"/>
          <w:spacing w:val="-5"/>
          <w:kern w:val="2"/>
          <w:sz w:val="36"/>
          <w:szCs w:val="36"/>
          <w:lang w:val="en-US" w:eastAsia="zh-CN" w:bidi="ar-SA"/>
        </w:rPr>
      </w:pPr>
      <w:r>
        <w:rPr>
          <w:rFonts w:ascii="黑体" w:hAnsi="黑体" w:eastAsia="黑体" w:cs="黑体"/>
          <w:b w:val="0"/>
          <w:spacing w:val="-5"/>
          <w:kern w:val="2"/>
          <w:sz w:val="36"/>
          <w:szCs w:val="36"/>
          <w:lang w:val="en-US" w:eastAsia="zh-CN" w:bidi="ar-SA"/>
        </w:rPr>
        <w:t>表 15 白蚁综合治理工程验收报告</w:t>
      </w:r>
    </w:p>
    <w:tbl>
      <w:tblPr>
        <w:tblStyle w:val="22"/>
        <w:tblW w:w="94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
        <w:gridCol w:w="2364"/>
        <w:gridCol w:w="812"/>
        <w:gridCol w:w="1222"/>
        <w:gridCol w:w="2011"/>
        <w:gridCol w:w="455"/>
        <w:gridCol w:w="1567"/>
        <w:gridCol w:w="950"/>
      </w:tblGrid>
      <w:tr w14:paraId="3D8B6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84" w:type="dxa"/>
            <w:gridSpan w:val="2"/>
            <w:vAlign w:val="center"/>
          </w:tcPr>
          <w:p w14:paraId="74168AD6">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2"/>
                <w:sz w:val="21"/>
                <w:szCs w:val="21"/>
              </w:rPr>
              <w:t>工程名称</w:t>
            </w:r>
          </w:p>
        </w:tc>
        <w:tc>
          <w:tcPr>
            <w:tcW w:w="4500" w:type="dxa"/>
            <w:gridSpan w:val="4"/>
            <w:vAlign w:val="top"/>
          </w:tcPr>
          <w:p w14:paraId="60B3FD41">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c>
          <w:tcPr>
            <w:tcW w:w="1567" w:type="dxa"/>
            <w:vAlign w:val="center"/>
          </w:tcPr>
          <w:p w14:paraId="50AF2039">
            <w:pPr>
              <w:pStyle w:val="23"/>
              <w:keepNext w:val="0"/>
              <w:keepLines w:val="0"/>
              <w:pageBreakBefore w:val="0"/>
              <w:widowControl w:val="0"/>
              <w:kinsoku/>
              <w:wordWrap/>
              <w:overflowPunct/>
              <w:topLinePunct w:val="0"/>
              <w:autoSpaceDE/>
              <w:autoSpaceDN/>
              <w:bidi w:val="0"/>
              <w:adjustRightInd w:val="0"/>
              <w:snapToGrid w:val="0"/>
              <w:spacing w:line="0" w:lineRule="atLeast"/>
              <w:ind w:left="132"/>
              <w:jc w:val="center"/>
              <w:textAlignment w:val="auto"/>
              <w:rPr>
                <w:sz w:val="21"/>
                <w:szCs w:val="21"/>
              </w:rPr>
            </w:pPr>
            <w:r>
              <w:rPr>
                <w:spacing w:val="-1"/>
                <w:sz w:val="21"/>
                <w:szCs w:val="21"/>
              </w:rPr>
              <w:t>验收日期</w:t>
            </w:r>
          </w:p>
        </w:tc>
        <w:tc>
          <w:tcPr>
            <w:tcW w:w="950" w:type="dxa"/>
            <w:vAlign w:val="top"/>
          </w:tcPr>
          <w:p w14:paraId="5A359126">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r>
      <w:tr w14:paraId="2B6B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401" w:type="dxa"/>
            <w:gridSpan w:val="8"/>
            <w:vAlign w:val="center"/>
          </w:tcPr>
          <w:p w14:paraId="738E5A13">
            <w:pPr>
              <w:pStyle w:val="23"/>
              <w:keepNext w:val="0"/>
              <w:keepLines w:val="0"/>
              <w:pageBreakBefore w:val="0"/>
              <w:widowControl w:val="0"/>
              <w:kinsoku/>
              <w:wordWrap/>
              <w:overflowPunct/>
              <w:topLinePunct w:val="0"/>
              <w:autoSpaceDE/>
              <w:autoSpaceDN/>
              <w:bidi w:val="0"/>
              <w:adjustRightInd w:val="0"/>
              <w:snapToGrid w:val="0"/>
              <w:spacing w:line="0" w:lineRule="atLeast"/>
              <w:ind w:left="119"/>
              <w:jc w:val="both"/>
              <w:textAlignment w:val="auto"/>
              <w:rPr>
                <w:sz w:val="21"/>
                <w:szCs w:val="21"/>
              </w:rPr>
            </w:pPr>
            <w:r>
              <w:rPr>
                <w:spacing w:val="-2"/>
                <w:sz w:val="21"/>
                <w:szCs w:val="21"/>
              </w:rPr>
              <w:t>一、技术资料完整性</w:t>
            </w:r>
          </w:p>
        </w:tc>
      </w:tr>
      <w:tr w14:paraId="7972B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84" w:type="dxa"/>
            <w:gridSpan w:val="2"/>
            <w:vAlign w:val="center"/>
          </w:tcPr>
          <w:p w14:paraId="1255AAC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4"/>
                <w:sz w:val="21"/>
                <w:szCs w:val="21"/>
              </w:rPr>
              <w:t>白蚁综合治理合同或文件</w:t>
            </w:r>
          </w:p>
        </w:tc>
        <w:tc>
          <w:tcPr>
            <w:tcW w:w="2034" w:type="dxa"/>
            <w:gridSpan w:val="2"/>
            <w:vAlign w:val="center"/>
          </w:tcPr>
          <w:p w14:paraId="66BAF1BA">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3"/>
                <w:sz w:val="21"/>
                <w:szCs w:val="21"/>
              </w:rPr>
              <w:t>□无</w:t>
            </w:r>
            <w:r>
              <w:rPr>
                <w:spacing w:val="34"/>
                <w:sz w:val="21"/>
                <w:szCs w:val="21"/>
              </w:rPr>
              <w:t xml:space="preserve"> </w:t>
            </w:r>
            <w:r>
              <w:rPr>
                <w:spacing w:val="-13"/>
                <w:sz w:val="21"/>
                <w:szCs w:val="21"/>
              </w:rPr>
              <w:t>□有</w:t>
            </w:r>
            <w:r>
              <w:rPr>
                <w:spacing w:val="29"/>
                <w:sz w:val="21"/>
                <w:szCs w:val="21"/>
              </w:rPr>
              <w:t xml:space="preserve"> </w:t>
            </w:r>
            <w:r>
              <w:rPr>
                <w:spacing w:val="-13"/>
                <w:sz w:val="21"/>
                <w:szCs w:val="21"/>
              </w:rPr>
              <w:t>□全</w:t>
            </w:r>
          </w:p>
        </w:tc>
        <w:tc>
          <w:tcPr>
            <w:tcW w:w="2466" w:type="dxa"/>
            <w:gridSpan w:val="2"/>
            <w:vAlign w:val="center"/>
          </w:tcPr>
          <w:p w14:paraId="7CF64E59">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4"/>
                <w:sz w:val="21"/>
                <w:szCs w:val="21"/>
              </w:rPr>
              <w:t>白蚁综合治理技术方案</w:t>
            </w:r>
          </w:p>
        </w:tc>
        <w:tc>
          <w:tcPr>
            <w:tcW w:w="2517" w:type="dxa"/>
            <w:gridSpan w:val="2"/>
            <w:vAlign w:val="center"/>
          </w:tcPr>
          <w:p w14:paraId="642F2D6B">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3"/>
                <w:sz w:val="21"/>
                <w:szCs w:val="21"/>
              </w:rPr>
              <w:t>□无</w:t>
            </w:r>
            <w:r>
              <w:rPr>
                <w:spacing w:val="34"/>
                <w:sz w:val="21"/>
                <w:szCs w:val="21"/>
              </w:rPr>
              <w:t xml:space="preserve"> </w:t>
            </w:r>
            <w:r>
              <w:rPr>
                <w:spacing w:val="-13"/>
                <w:sz w:val="21"/>
                <w:szCs w:val="21"/>
              </w:rPr>
              <w:t>□有</w:t>
            </w:r>
            <w:r>
              <w:rPr>
                <w:spacing w:val="29"/>
                <w:sz w:val="21"/>
                <w:szCs w:val="21"/>
              </w:rPr>
              <w:t xml:space="preserve"> </w:t>
            </w:r>
            <w:r>
              <w:rPr>
                <w:spacing w:val="-13"/>
                <w:sz w:val="21"/>
                <w:szCs w:val="21"/>
              </w:rPr>
              <w:t>□全</w:t>
            </w:r>
          </w:p>
        </w:tc>
      </w:tr>
      <w:tr w14:paraId="4F2F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84" w:type="dxa"/>
            <w:gridSpan w:val="2"/>
            <w:vAlign w:val="center"/>
          </w:tcPr>
          <w:p w14:paraId="08D815C9">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2"/>
                <w:sz w:val="21"/>
                <w:szCs w:val="21"/>
              </w:rPr>
              <w:t>蚁情调查记录</w:t>
            </w:r>
          </w:p>
        </w:tc>
        <w:tc>
          <w:tcPr>
            <w:tcW w:w="2034" w:type="dxa"/>
            <w:gridSpan w:val="2"/>
            <w:vAlign w:val="center"/>
          </w:tcPr>
          <w:p w14:paraId="628E68D5">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3"/>
                <w:sz w:val="21"/>
                <w:szCs w:val="21"/>
              </w:rPr>
              <w:t>□无</w:t>
            </w:r>
            <w:r>
              <w:rPr>
                <w:spacing w:val="34"/>
                <w:sz w:val="21"/>
                <w:szCs w:val="21"/>
              </w:rPr>
              <w:t xml:space="preserve"> </w:t>
            </w:r>
            <w:r>
              <w:rPr>
                <w:spacing w:val="-13"/>
                <w:sz w:val="21"/>
                <w:szCs w:val="21"/>
              </w:rPr>
              <w:t>□有</w:t>
            </w:r>
            <w:r>
              <w:rPr>
                <w:spacing w:val="29"/>
                <w:sz w:val="21"/>
                <w:szCs w:val="21"/>
              </w:rPr>
              <w:t xml:space="preserve"> </w:t>
            </w:r>
            <w:r>
              <w:rPr>
                <w:spacing w:val="-13"/>
                <w:sz w:val="21"/>
                <w:szCs w:val="21"/>
              </w:rPr>
              <w:t>□全</w:t>
            </w:r>
          </w:p>
        </w:tc>
        <w:tc>
          <w:tcPr>
            <w:tcW w:w="2466" w:type="dxa"/>
            <w:gridSpan w:val="2"/>
            <w:vAlign w:val="center"/>
          </w:tcPr>
          <w:p w14:paraId="0B46933D">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4"/>
                <w:sz w:val="21"/>
                <w:szCs w:val="21"/>
              </w:rPr>
              <w:t>防治施工记录</w:t>
            </w:r>
          </w:p>
        </w:tc>
        <w:tc>
          <w:tcPr>
            <w:tcW w:w="2517" w:type="dxa"/>
            <w:gridSpan w:val="2"/>
            <w:vAlign w:val="center"/>
          </w:tcPr>
          <w:p w14:paraId="779B81A1">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3"/>
                <w:sz w:val="21"/>
                <w:szCs w:val="21"/>
              </w:rPr>
              <w:t>□无</w:t>
            </w:r>
            <w:r>
              <w:rPr>
                <w:spacing w:val="34"/>
                <w:sz w:val="21"/>
                <w:szCs w:val="21"/>
              </w:rPr>
              <w:t xml:space="preserve"> </w:t>
            </w:r>
            <w:r>
              <w:rPr>
                <w:spacing w:val="-13"/>
                <w:sz w:val="21"/>
                <w:szCs w:val="21"/>
              </w:rPr>
              <w:t>□有</w:t>
            </w:r>
            <w:r>
              <w:rPr>
                <w:spacing w:val="29"/>
                <w:sz w:val="21"/>
                <w:szCs w:val="21"/>
              </w:rPr>
              <w:t xml:space="preserve"> </w:t>
            </w:r>
            <w:r>
              <w:rPr>
                <w:spacing w:val="-13"/>
                <w:sz w:val="21"/>
                <w:szCs w:val="21"/>
              </w:rPr>
              <w:t>□全</w:t>
            </w:r>
          </w:p>
        </w:tc>
      </w:tr>
      <w:tr w14:paraId="4CA84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384" w:type="dxa"/>
            <w:gridSpan w:val="2"/>
            <w:vAlign w:val="center"/>
          </w:tcPr>
          <w:p w14:paraId="5070E805">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5"/>
                <w:sz w:val="21"/>
                <w:szCs w:val="21"/>
              </w:rPr>
              <w:t>回访复查记录</w:t>
            </w:r>
          </w:p>
        </w:tc>
        <w:tc>
          <w:tcPr>
            <w:tcW w:w="2034" w:type="dxa"/>
            <w:gridSpan w:val="2"/>
            <w:vAlign w:val="center"/>
          </w:tcPr>
          <w:p w14:paraId="1E5687BF">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rFonts w:hint="eastAsia"/>
                <w:spacing w:val="-13"/>
                <w:sz w:val="21"/>
                <w:szCs w:val="21"/>
                <w:lang w:eastAsia="zh-CN"/>
              </w:rPr>
              <w:t>□</w:t>
            </w:r>
            <w:r>
              <w:rPr>
                <w:spacing w:val="-13"/>
                <w:sz w:val="21"/>
                <w:szCs w:val="21"/>
              </w:rPr>
              <w:t>无</w:t>
            </w:r>
            <w:r>
              <w:rPr>
                <w:spacing w:val="34"/>
                <w:sz w:val="21"/>
                <w:szCs w:val="21"/>
              </w:rPr>
              <w:t xml:space="preserve"> </w:t>
            </w:r>
            <w:r>
              <w:rPr>
                <w:spacing w:val="-13"/>
                <w:sz w:val="21"/>
                <w:szCs w:val="21"/>
              </w:rPr>
              <w:t>□有</w:t>
            </w:r>
            <w:r>
              <w:rPr>
                <w:spacing w:val="29"/>
                <w:sz w:val="21"/>
                <w:szCs w:val="21"/>
              </w:rPr>
              <w:t xml:space="preserve"> </w:t>
            </w:r>
            <w:r>
              <w:rPr>
                <w:spacing w:val="-13"/>
                <w:sz w:val="21"/>
                <w:szCs w:val="21"/>
              </w:rPr>
              <w:t>□全</w:t>
            </w:r>
          </w:p>
        </w:tc>
        <w:tc>
          <w:tcPr>
            <w:tcW w:w="2466" w:type="dxa"/>
            <w:gridSpan w:val="2"/>
            <w:vAlign w:val="center"/>
          </w:tcPr>
          <w:p w14:paraId="50B0AE6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3"/>
                <w:sz w:val="21"/>
                <w:szCs w:val="21"/>
              </w:rPr>
              <w:t>防治施工效果评价</w:t>
            </w:r>
          </w:p>
        </w:tc>
        <w:tc>
          <w:tcPr>
            <w:tcW w:w="2517" w:type="dxa"/>
            <w:gridSpan w:val="2"/>
            <w:vAlign w:val="center"/>
          </w:tcPr>
          <w:p w14:paraId="570D81CB">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3"/>
                <w:sz w:val="21"/>
                <w:szCs w:val="21"/>
              </w:rPr>
              <w:t>□无</w:t>
            </w:r>
            <w:r>
              <w:rPr>
                <w:spacing w:val="34"/>
                <w:sz w:val="21"/>
                <w:szCs w:val="21"/>
              </w:rPr>
              <w:t xml:space="preserve"> </w:t>
            </w:r>
            <w:r>
              <w:rPr>
                <w:spacing w:val="-13"/>
                <w:sz w:val="21"/>
                <w:szCs w:val="21"/>
              </w:rPr>
              <w:t>□有</w:t>
            </w:r>
            <w:r>
              <w:rPr>
                <w:spacing w:val="29"/>
                <w:sz w:val="21"/>
                <w:szCs w:val="21"/>
              </w:rPr>
              <w:t xml:space="preserve"> </w:t>
            </w:r>
            <w:r>
              <w:rPr>
                <w:spacing w:val="-13"/>
                <w:sz w:val="21"/>
                <w:szCs w:val="21"/>
              </w:rPr>
              <w:t>□全</w:t>
            </w:r>
          </w:p>
        </w:tc>
      </w:tr>
      <w:tr w14:paraId="3F9D2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84" w:type="dxa"/>
            <w:gridSpan w:val="2"/>
            <w:vAlign w:val="center"/>
          </w:tcPr>
          <w:p w14:paraId="2AE21EDB">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
                <w:sz w:val="21"/>
                <w:szCs w:val="21"/>
              </w:rPr>
              <w:t>施工总结或竣工报告</w:t>
            </w:r>
          </w:p>
        </w:tc>
        <w:tc>
          <w:tcPr>
            <w:tcW w:w="2034" w:type="dxa"/>
            <w:gridSpan w:val="2"/>
            <w:vAlign w:val="center"/>
          </w:tcPr>
          <w:p w14:paraId="43C8933F">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3"/>
                <w:sz w:val="21"/>
                <w:szCs w:val="21"/>
              </w:rPr>
              <w:t>□无</w:t>
            </w:r>
            <w:r>
              <w:rPr>
                <w:spacing w:val="34"/>
                <w:sz w:val="21"/>
                <w:szCs w:val="21"/>
              </w:rPr>
              <w:t xml:space="preserve"> </w:t>
            </w:r>
            <w:r>
              <w:rPr>
                <w:spacing w:val="-13"/>
                <w:sz w:val="21"/>
                <w:szCs w:val="21"/>
              </w:rPr>
              <w:t>□有</w:t>
            </w:r>
            <w:r>
              <w:rPr>
                <w:spacing w:val="29"/>
                <w:sz w:val="21"/>
                <w:szCs w:val="21"/>
              </w:rPr>
              <w:t xml:space="preserve"> </w:t>
            </w:r>
            <w:r>
              <w:rPr>
                <w:spacing w:val="-13"/>
                <w:sz w:val="21"/>
                <w:szCs w:val="21"/>
              </w:rPr>
              <w:t>□全</w:t>
            </w:r>
          </w:p>
        </w:tc>
        <w:tc>
          <w:tcPr>
            <w:tcW w:w="2466" w:type="dxa"/>
            <w:gridSpan w:val="2"/>
            <w:vAlign w:val="center"/>
          </w:tcPr>
          <w:p w14:paraId="5BC7C9F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2"/>
                <w:sz w:val="21"/>
                <w:szCs w:val="21"/>
              </w:rPr>
              <w:t>安全生产记录</w:t>
            </w:r>
          </w:p>
        </w:tc>
        <w:tc>
          <w:tcPr>
            <w:tcW w:w="2517" w:type="dxa"/>
            <w:gridSpan w:val="2"/>
            <w:vAlign w:val="center"/>
          </w:tcPr>
          <w:p w14:paraId="2E08633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3"/>
                <w:sz w:val="21"/>
                <w:szCs w:val="21"/>
              </w:rPr>
              <w:t>□无</w:t>
            </w:r>
            <w:r>
              <w:rPr>
                <w:spacing w:val="34"/>
                <w:sz w:val="21"/>
                <w:szCs w:val="21"/>
              </w:rPr>
              <w:t xml:space="preserve"> </w:t>
            </w:r>
            <w:r>
              <w:rPr>
                <w:spacing w:val="-13"/>
                <w:sz w:val="21"/>
                <w:szCs w:val="21"/>
              </w:rPr>
              <w:t>□有</w:t>
            </w:r>
            <w:r>
              <w:rPr>
                <w:spacing w:val="29"/>
                <w:sz w:val="21"/>
                <w:szCs w:val="21"/>
              </w:rPr>
              <w:t xml:space="preserve"> </w:t>
            </w:r>
            <w:r>
              <w:rPr>
                <w:spacing w:val="-13"/>
                <w:sz w:val="21"/>
                <w:szCs w:val="21"/>
              </w:rPr>
              <w:t>□全</w:t>
            </w:r>
          </w:p>
        </w:tc>
      </w:tr>
      <w:tr w14:paraId="3B149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84" w:type="dxa"/>
            <w:gridSpan w:val="2"/>
            <w:vAlign w:val="center"/>
          </w:tcPr>
          <w:p w14:paraId="6CBDD4CE">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
                <w:sz w:val="21"/>
                <w:szCs w:val="21"/>
              </w:rPr>
              <w:t>其他相关的技术材料</w:t>
            </w:r>
          </w:p>
        </w:tc>
        <w:tc>
          <w:tcPr>
            <w:tcW w:w="7017" w:type="dxa"/>
            <w:gridSpan w:val="6"/>
            <w:vAlign w:val="top"/>
          </w:tcPr>
          <w:p w14:paraId="74CB1154">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r>
      <w:tr w14:paraId="3C886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401" w:type="dxa"/>
            <w:gridSpan w:val="8"/>
            <w:vAlign w:val="center"/>
          </w:tcPr>
          <w:p w14:paraId="00534885">
            <w:pPr>
              <w:pStyle w:val="23"/>
              <w:keepNext w:val="0"/>
              <w:keepLines w:val="0"/>
              <w:pageBreakBefore w:val="0"/>
              <w:widowControl w:val="0"/>
              <w:kinsoku/>
              <w:wordWrap/>
              <w:overflowPunct/>
              <w:topLinePunct w:val="0"/>
              <w:autoSpaceDE/>
              <w:autoSpaceDN/>
              <w:bidi w:val="0"/>
              <w:adjustRightInd w:val="0"/>
              <w:snapToGrid w:val="0"/>
              <w:spacing w:line="0" w:lineRule="atLeast"/>
              <w:ind w:left="119"/>
              <w:jc w:val="both"/>
              <w:textAlignment w:val="auto"/>
              <w:rPr>
                <w:sz w:val="21"/>
                <w:szCs w:val="21"/>
              </w:rPr>
            </w:pPr>
            <w:r>
              <w:rPr>
                <w:spacing w:val="-1"/>
                <w:sz w:val="21"/>
                <w:szCs w:val="21"/>
              </w:rPr>
              <w:t>二、药械的合规性（对照白蚁综合治理技术方案及相关规定）</w:t>
            </w:r>
          </w:p>
        </w:tc>
      </w:tr>
      <w:tr w14:paraId="7F7A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384" w:type="dxa"/>
            <w:gridSpan w:val="2"/>
            <w:vAlign w:val="center"/>
          </w:tcPr>
          <w:p w14:paraId="19D8AFB3">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7"/>
                <w:sz w:val="21"/>
                <w:szCs w:val="21"/>
              </w:rPr>
              <w:t>白蚁防治药剂</w:t>
            </w:r>
          </w:p>
        </w:tc>
        <w:tc>
          <w:tcPr>
            <w:tcW w:w="2034" w:type="dxa"/>
            <w:gridSpan w:val="2"/>
            <w:vAlign w:val="center"/>
          </w:tcPr>
          <w:p w14:paraId="48707F57">
            <w:pPr>
              <w:pStyle w:val="23"/>
              <w:keepNext w:val="0"/>
              <w:keepLines w:val="0"/>
              <w:pageBreakBefore w:val="0"/>
              <w:widowControl w:val="0"/>
              <w:kinsoku/>
              <w:wordWrap/>
              <w:overflowPunct/>
              <w:topLinePunct w:val="0"/>
              <w:autoSpaceDE/>
              <w:autoSpaceDN/>
              <w:bidi w:val="0"/>
              <w:adjustRightInd w:val="0"/>
              <w:snapToGrid w:val="0"/>
              <w:spacing w:line="0" w:lineRule="atLeast"/>
              <w:ind w:firstLine="588" w:firstLineChars="300"/>
              <w:jc w:val="both"/>
              <w:textAlignment w:val="auto"/>
              <w:rPr>
                <w:sz w:val="21"/>
                <w:szCs w:val="21"/>
              </w:rPr>
            </w:pPr>
            <w:r>
              <w:rPr>
                <w:spacing w:val="-7"/>
                <w:sz w:val="21"/>
                <w:szCs w:val="21"/>
              </w:rPr>
              <w:t>□符合</w:t>
            </w:r>
          </w:p>
          <w:p w14:paraId="4B12F095">
            <w:pPr>
              <w:pStyle w:val="23"/>
              <w:keepNext w:val="0"/>
              <w:keepLines w:val="0"/>
              <w:pageBreakBefore w:val="0"/>
              <w:widowControl w:val="0"/>
              <w:kinsoku/>
              <w:wordWrap/>
              <w:overflowPunct/>
              <w:topLinePunct w:val="0"/>
              <w:autoSpaceDE/>
              <w:autoSpaceDN/>
              <w:bidi w:val="0"/>
              <w:adjustRightInd w:val="0"/>
              <w:snapToGrid w:val="0"/>
              <w:spacing w:line="0" w:lineRule="atLeast"/>
              <w:ind w:firstLine="582" w:firstLineChars="300"/>
              <w:jc w:val="both"/>
              <w:textAlignment w:val="auto"/>
              <w:rPr>
                <w:sz w:val="21"/>
                <w:szCs w:val="21"/>
              </w:rPr>
            </w:pPr>
            <w:r>
              <w:rPr>
                <w:spacing w:val="-8"/>
                <w:sz w:val="21"/>
                <w:szCs w:val="21"/>
              </w:rPr>
              <w:t>□不符合</w:t>
            </w:r>
          </w:p>
        </w:tc>
        <w:tc>
          <w:tcPr>
            <w:tcW w:w="2466" w:type="dxa"/>
            <w:gridSpan w:val="2"/>
            <w:vAlign w:val="center"/>
          </w:tcPr>
          <w:p w14:paraId="7054B375">
            <w:pPr>
              <w:pStyle w:val="23"/>
              <w:keepNext w:val="0"/>
              <w:keepLines w:val="0"/>
              <w:pageBreakBefore w:val="0"/>
              <w:widowControl w:val="0"/>
              <w:kinsoku/>
              <w:wordWrap/>
              <w:overflowPunct/>
              <w:topLinePunct w:val="0"/>
              <w:autoSpaceDE/>
              <w:autoSpaceDN/>
              <w:bidi w:val="0"/>
              <w:adjustRightInd w:val="0"/>
              <w:snapToGrid w:val="0"/>
              <w:spacing w:line="0" w:lineRule="atLeast"/>
              <w:ind w:left="568"/>
              <w:jc w:val="center"/>
              <w:textAlignment w:val="auto"/>
              <w:rPr>
                <w:sz w:val="21"/>
                <w:szCs w:val="21"/>
              </w:rPr>
            </w:pPr>
            <w:r>
              <w:rPr>
                <w:spacing w:val="-2"/>
                <w:sz w:val="21"/>
                <w:szCs w:val="21"/>
              </w:rPr>
              <w:t>监测控制系统</w:t>
            </w:r>
          </w:p>
        </w:tc>
        <w:tc>
          <w:tcPr>
            <w:tcW w:w="2517" w:type="dxa"/>
            <w:gridSpan w:val="2"/>
            <w:vAlign w:val="center"/>
          </w:tcPr>
          <w:p w14:paraId="2C056E58">
            <w:pPr>
              <w:pStyle w:val="23"/>
              <w:keepNext w:val="0"/>
              <w:keepLines w:val="0"/>
              <w:pageBreakBefore w:val="0"/>
              <w:widowControl w:val="0"/>
              <w:kinsoku/>
              <w:wordWrap/>
              <w:overflowPunct/>
              <w:topLinePunct w:val="0"/>
              <w:autoSpaceDE/>
              <w:autoSpaceDN/>
              <w:bidi w:val="0"/>
              <w:adjustRightInd w:val="0"/>
              <w:snapToGrid w:val="0"/>
              <w:spacing w:line="0" w:lineRule="atLeast"/>
              <w:ind w:firstLine="588" w:firstLineChars="300"/>
              <w:jc w:val="both"/>
              <w:textAlignment w:val="auto"/>
              <w:rPr>
                <w:sz w:val="21"/>
                <w:szCs w:val="21"/>
              </w:rPr>
            </w:pPr>
            <w:r>
              <w:rPr>
                <w:spacing w:val="-7"/>
                <w:sz w:val="21"/>
                <w:szCs w:val="21"/>
              </w:rPr>
              <w:t>□符合</w:t>
            </w:r>
          </w:p>
          <w:p w14:paraId="6AFF55E2">
            <w:pPr>
              <w:pStyle w:val="23"/>
              <w:keepNext w:val="0"/>
              <w:keepLines w:val="0"/>
              <w:pageBreakBefore w:val="0"/>
              <w:widowControl w:val="0"/>
              <w:kinsoku/>
              <w:wordWrap/>
              <w:overflowPunct/>
              <w:topLinePunct w:val="0"/>
              <w:autoSpaceDE/>
              <w:autoSpaceDN/>
              <w:bidi w:val="0"/>
              <w:adjustRightInd w:val="0"/>
              <w:snapToGrid w:val="0"/>
              <w:spacing w:line="0" w:lineRule="atLeast"/>
              <w:ind w:firstLine="582" w:firstLineChars="300"/>
              <w:jc w:val="both"/>
              <w:textAlignment w:val="auto"/>
              <w:rPr>
                <w:sz w:val="21"/>
                <w:szCs w:val="21"/>
              </w:rPr>
            </w:pPr>
            <w:r>
              <w:rPr>
                <w:spacing w:val="-8"/>
                <w:sz w:val="21"/>
                <w:szCs w:val="21"/>
              </w:rPr>
              <w:t>□不符合</w:t>
            </w:r>
          </w:p>
        </w:tc>
      </w:tr>
      <w:tr w14:paraId="11C94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384" w:type="dxa"/>
            <w:gridSpan w:val="2"/>
            <w:vAlign w:val="center"/>
          </w:tcPr>
          <w:p w14:paraId="6CFA2279">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1"/>
                <w:sz w:val="21"/>
                <w:szCs w:val="21"/>
              </w:rPr>
              <w:t>施工器械</w:t>
            </w:r>
          </w:p>
        </w:tc>
        <w:tc>
          <w:tcPr>
            <w:tcW w:w="2034" w:type="dxa"/>
            <w:gridSpan w:val="2"/>
            <w:vAlign w:val="center"/>
          </w:tcPr>
          <w:p w14:paraId="7010DD2C">
            <w:pPr>
              <w:pStyle w:val="23"/>
              <w:keepNext w:val="0"/>
              <w:keepLines w:val="0"/>
              <w:pageBreakBefore w:val="0"/>
              <w:widowControl w:val="0"/>
              <w:kinsoku/>
              <w:wordWrap/>
              <w:overflowPunct/>
              <w:topLinePunct w:val="0"/>
              <w:autoSpaceDE/>
              <w:autoSpaceDN/>
              <w:bidi w:val="0"/>
              <w:adjustRightInd w:val="0"/>
              <w:snapToGrid w:val="0"/>
              <w:spacing w:line="0" w:lineRule="atLeast"/>
              <w:ind w:firstLine="588" w:firstLineChars="300"/>
              <w:jc w:val="both"/>
              <w:textAlignment w:val="auto"/>
              <w:rPr>
                <w:sz w:val="21"/>
                <w:szCs w:val="21"/>
              </w:rPr>
            </w:pPr>
            <w:r>
              <w:rPr>
                <w:rFonts w:hint="eastAsia"/>
                <w:spacing w:val="-7"/>
                <w:sz w:val="21"/>
                <w:szCs w:val="21"/>
                <w:lang w:eastAsia="zh-CN"/>
              </w:rPr>
              <w:t>□</w:t>
            </w:r>
            <w:r>
              <w:rPr>
                <w:spacing w:val="-7"/>
                <w:sz w:val="21"/>
                <w:szCs w:val="21"/>
              </w:rPr>
              <w:t>符合</w:t>
            </w:r>
          </w:p>
          <w:p w14:paraId="7116C33B">
            <w:pPr>
              <w:pStyle w:val="23"/>
              <w:keepNext w:val="0"/>
              <w:keepLines w:val="0"/>
              <w:pageBreakBefore w:val="0"/>
              <w:widowControl w:val="0"/>
              <w:kinsoku/>
              <w:wordWrap/>
              <w:overflowPunct/>
              <w:topLinePunct w:val="0"/>
              <w:autoSpaceDE/>
              <w:autoSpaceDN/>
              <w:bidi w:val="0"/>
              <w:adjustRightInd w:val="0"/>
              <w:snapToGrid w:val="0"/>
              <w:spacing w:line="0" w:lineRule="atLeast"/>
              <w:ind w:firstLine="582" w:firstLineChars="300"/>
              <w:jc w:val="both"/>
              <w:textAlignment w:val="auto"/>
              <w:rPr>
                <w:sz w:val="21"/>
                <w:szCs w:val="21"/>
              </w:rPr>
            </w:pPr>
            <w:r>
              <w:rPr>
                <w:spacing w:val="-8"/>
                <w:sz w:val="21"/>
                <w:szCs w:val="21"/>
              </w:rPr>
              <w:t>□不符合</w:t>
            </w:r>
          </w:p>
        </w:tc>
        <w:tc>
          <w:tcPr>
            <w:tcW w:w="2466" w:type="dxa"/>
            <w:gridSpan w:val="2"/>
            <w:vAlign w:val="center"/>
          </w:tcPr>
          <w:p w14:paraId="1913EC76">
            <w:pPr>
              <w:pStyle w:val="23"/>
              <w:keepNext w:val="0"/>
              <w:keepLines w:val="0"/>
              <w:pageBreakBefore w:val="0"/>
              <w:widowControl w:val="0"/>
              <w:kinsoku/>
              <w:wordWrap/>
              <w:overflowPunct/>
              <w:topLinePunct w:val="0"/>
              <w:autoSpaceDE/>
              <w:autoSpaceDN/>
              <w:bidi w:val="0"/>
              <w:adjustRightInd w:val="0"/>
              <w:snapToGrid w:val="0"/>
              <w:spacing w:line="0" w:lineRule="atLeast"/>
              <w:ind w:left="1007"/>
              <w:jc w:val="center"/>
              <w:textAlignment w:val="auto"/>
              <w:rPr>
                <w:sz w:val="21"/>
                <w:szCs w:val="21"/>
              </w:rPr>
            </w:pPr>
            <w:r>
              <w:rPr>
                <w:spacing w:val="-2"/>
                <w:sz w:val="21"/>
                <w:szCs w:val="21"/>
              </w:rPr>
              <w:t>其他</w:t>
            </w:r>
          </w:p>
        </w:tc>
        <w:tc>
          <w:tcPr>
            <w:tcW w:w="2517" w:type="dxa"/>
            <w:gridSpan w:val="2"/>
            <w:vAlign w:val="top"/>
          </w:tcPr>
          <w:p w14:paraId="7CC225C8">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r>
      <w:tr w14:paraId="2B73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401" w:type="dxa"/>
            <w:gridSpan w:val="8"/>
            <w:vAlign w:val="center"/>
          </w:tcPr>
          <w:p w14:paraId="70F10232">
            <w:pPr>
              <w:pStyle w:val="23"/>
              <w:keepNext w:val="0"/>
              <w:keepLines w:val="0"/>
              <w:pageBreakBefore w:val="0"/>
              <w:widowControl w:val="0"/>
              <w:kinsoku/>
              <w:wordWrap/>
              <w:overflowPunct/>
              <w:topLinePunct w:val="0"/>
              <w:autoSpaceDE/>
              <w:autoSpaceDN/>
              <w:bidi w:val="0"/>
              <w:adjustRightInd w:val="0"/>
              <w:snapToGrid w:val="0"/>
              <w:spacing w:line="0" w:lineRule="atLeast"/>
              <w:ind w:left="116"/>
              <w:jc w:val="both"/>
              <w:textAlignment w:val="auto"/>
              <w:rPr>
                <w:sz w:val="21"/>
                <w:szCs w:val="21"/>
              </w:rPr>
            </w:pPr>
            <w:r>
              <w:rPr>
                <w:spacing w:val="-1"/>
                <w:sz w:val="21"/>
                <w:szCs w:val="21"/>
              </w:rPr>
              <w:t>三、白蚁治理效果达标程度</w:t>
            </w:r>
          </w:p>
        </w:tc>
      </w:tr>
      <w:tr w14:paraId="5F86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418" w:type="dxa"/>
            <w:gridSpan w:val="4"/>
            <w:vAlign w:val="center"/>
          </w:tcPr>
          <w:p w14:paraId="5EF9A0E8">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3"/>
                <w:sz w:val="21"/>
                <w:szCs w:val="21"/>
              </w:rPr>
              <w:t>指标</w:t>
            </w:r>
          </w:p>
        </w:tc>
        <w:tc>
          <w:tcPr>
            <w:tcW w:w="2466" w:type="dxa"/>
            <w:gridSpan w:val="2"/>
            <w:vAlign w:val="top"/>
          </w:tcPr>
          <w:p w14:paraId="0264C1E0">
            <w:pPr>
              <w:pStyle w:val="23"/>
              <w:keepNext w:val="0"/>
              <w:keepLines w:val="0"/>
              <w:pageBreakBefore w:val="0"/>
              <w:widowControl w:val="0"/>
              <w:kinsoku/>
              <w:wordWrap/>
              <w:overflowPunct/>
              <w:topLinePunct w:val="0"/>
              <w:autoSpaceDE/>
              <w:autoSpaceDN/>
              <w:bidi w:val="0"/>
              <w:adjustRightInd w:val="0"/>
              <w:snapToGrid w:val="0"/>
              <w:spacing w:line="0" w:lineRule="atLeast"/>
              <w:ind w:left="790"/>
              <w:textAlignment w:val="auto"/>
              <w:rPr>
                <w:sz w:val="21"/>
                <w:szCs w:val="21"/>
              </w:rPr>
            </w:pPr>
            <w:r>
              <w:rPr>
                <w:spacing w:val="-3"/>
                <w:sz w:val="21"/>
                <w:szCs w:val="21"/>
              </w:rPr>
              <w:t>定量验收</w:t>
            </w:r>
          </w:p>
        </w:tc>
        <w:tc>
          <w:tcPr>
            <w:tcW w:w="2517" w:type="dxa"/>
            <w:gridSpan w:val="2"/>
            <w:vAlign w:val="center"/>
          </w:tcPr>
          <w:p w14:paraId="58ACDDDF">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3"/>
                <w:sz w:val="21"/>
                <w:szCs w:val="21"/>
              </w:rPr>
              <w:t>定性验收</w:t>
            </w:r>
          </w:p>
        </w:tc>
      </w:tr>
      <w:tr w14:paraId="65ECE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418" w:type="dxa"/>
            <w:gridSpan w:val="4"/>
            <w:vAlign w:val="center"/>
          </w:tcPr>
          <w:p w14:paraId="0695ED1D">
            <w:pPr>
              <w:pStyle w:val="23"/>
              <w:keepNext w:val="0"/>
              <w:keepLines w:val="0"/>
              <w:pageBreakBefore w:val="0"/>
              <w:widowControl w:val="0"/>
              <w:kinsoku/>
              <w:wordWrap/>
              <w:overflowPunct/>
              <w:topLinePunct w:val="0"/>
              <w:autoSpaceDE/>
              <w:autoSpaceDN/>
              <w:bidi w:val="0"/>
              <w:adjustRightInd w:val="0"/>
              <w:snapToGrid w:val="0"/>
              <w:spacing w:line="0" w:lineRule="atLeast"/>
              <w:ind w:left="121"/>
              <w:jc w:val="both"/>
              <w:textAlignment w:val="auto"/>
              <w:rPr>
                <w:sz w:val="21"/>
                <w:szCs w:val="21"/>
              </w:rPr>
            </w:pPr>
            <w:r>
              <w:rPr>
                <w:spacing w:val="-1"/>
                <w:sz w:val="21"/>
                <w:szCs w:val="21"/>
              </w:rPr>
              <w:t>原有白蚁危害点全部不存在白蚁活体</w:t>
            </w:r>
          </w:p>
        </w:tc>
        <w:tc>
          <w:tcPr>
            <w:tcW w:w="2466" w:type="dxa"/>
            <w:gridSpan w:val="2"/>
            <w:vAlign w:val="top"/>
          </w:tcPr>
          <w:p w14:paraId="01293731">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c>
          <w:tcPr>
            <w:tcW w:w="2517" w:type="dxa"/>
            <w:gridSpan w:val="2"/>
            <w:vAlign w:val="center"/>
          </w:tcPr>
          <w:p w14:paraId="75D6AD5A">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rFonts w:hint="eastAsia"/>
                <w:spacing w:val="-9"/>
                <w:sz w:val="21"/>
                <w:szCs w:val="21"/>
                <w:lang w:eastAsia="zh-CN"/>
              </w:rPr>
              <w:t>□</w:t>
            </w:r>
            <w:r>
              <w:rPr>
                <w:spacing w:val="-9"/>
                <w:sz w:val="21"/>
                <w:szCs w:val="21"/>
              </w:rPr>
              <w:t>符合</w:t>
            </w:r>
            <w:r>
              <w:rPr>
                <w:spacing w:val="17"/>
                <w:sz w:val="21"/>
                <w:szCs w:val="21"/>
              </w:rPr>
              <w:t xml:space="preserve">  </w:t>
            </w:r>
            <w:r>
              <w:rPr>
                <w:spacing w:val="-9"/>
                <w:sz w:val="21"/>
                <w:szCs w:val="21"/>
              </w:rPr>
              <w:t>□不符合</w:t>
            </w:r>
          </w:p>
        </w:tc>
      </w:tr>
      <w:tr w14:paraId="02F6B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418" w:type="dxa"/>
            <w:gridSpan w:val="4"/>
            <w:vAlign w:val="center"/>
          </w:tcPr>
          <w:p w14:paraId="05F0D46E">
            <w:pPr>
              <w:pStyle w:val="23"/>
              <w:keepNext w:val="0"/>
              <w:keepLines w:val="0"/>
              <w:pageBreakBefore w:val="0"/>
              <w:widowControl w:val="0"/>
              <w:kinsoku/>
              <w:wordWrap/>
              <w:overflowPunct/>
              <w:topLinePunct w:val="0"/>
              <w:autoSpaceDE/>
              <w:autoSpaceDN/>
              <w:bidi w:val="0"/>
              <w:adjustRightInd w:val="0"/>
              <w:snapToGrid w:val="0"/>
              <w:spacing w:line="0" w:lineRule="atLeast"/>
              <w:ind w:left="121"/>
              <w:jc w:val="both"/>
              <w:textAlignment w:val="auto"/>
              <w:rPr>
                <w:sz w:val="21"/>
                <w:szCs w:val="21"/>
              </w:rPr>
            </w:pPr>
            <w:r>
              <w:rPr>
                <w:spacing w:val="-2"/>
                <w:sz w:val="21"/>
                <w:szCs w:val="21"/>
              </w:rPr>
              <w:t>治理区域内危害率下降</w:t>
            </w:r>
            <w:r>
              <w:rPr>
                <w:spacing w:val="-39"/>
                <w:sz w:val="21"/>
                <w:szCs w:val="21"/>
              </w:rPr>
              <w:t xml:space="preserve"> </w:t>
            </w:r>
            <w:r>
              <w:rPr>
                <w:spacing w:val="-2"/>
                <w:sz w:val="21"/>
                <w:szCs w:val="21"/>
              </w:rPr>
              <w:t>90%以上</w:t>
            </w:r>
          </w:p>
        </w:tc>
        <w:tc>
          <w:tcPr>
            <w:tcW w:w="2466" w:type="dxa"/>
            <w:gridSpan w:val="2"/>
            <w:vAlign w:val="top"/>
          </w:tcPr>
          <w:p w14:paraId="1BB6756B">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c>
          <w:tcPr>
            <w:tcW w:w="2517" w:type="dxa"/>
            <w:gridSpan w:val="2"/>
            <w:vAlign w:val="center"/>
          </w:tcPr>
          <w:p w14:paraId="26D51C2C">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9"/>
                <w:sz w:val="21"/>
                <w:szCs w:val="21"/>
              </w:rPr>
              <w:t>□符合</w:t>
            </w:r>
            <w:r>
              <w:rPr>
                <w:spacing w:val="17"/>
                <w:sz w:val="21"/>
                <w:szCs w:val="21"/>
              </w:rPr>
              <w:t xml:space="preserve">  </w:t>
            </w:r>
            <w:r>
              <w:rPr>
                <w:spacing w:val="-9"/>
                <w:sz w:val="21"/>
                <w:szCs w:val="21"/>
              </w:rPr>
              <w:t>□不符合</w:t>
            </w:r>
          </w:p>
        </w:tc>
      </w:tr>
      <w:tr w14:paraId="17F1A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418" w:type="dxa"/>
            <w:gridSpan w:val="4"/>
            <w:vAlign w:val="center"/>
          </w:tcPr>
          <w:p w14:paraId="3F259626">
            <w:pPr>
              <w:pStyle w:val="23"/>
              <w:keepNext w:val="0"/>
              <w:keepLines w:val="0"/>
              <w:pageBreakBefore w:val="0"/>
              <w:widowControl w:val="0"/>
              <w:kinsoku/>
              <w:wordWrap/>
              <w:overflowPunct/>
              <w:topLinePunct w:val="0"/>
              <w:autoSpaceDE/>
              <w:autoSpaceDN/>
              <w:bidi w:val="0"/>
              <w:adjustRightInd w:val="0"/>
              <w:snapToGrid w:val="0"/>
              <w:spacing w:line="0" w:lineRule="atLeast"/>
              <w:ind w:left="140"/>
              <w:jc w:val="both"/>
              <w:textAlignment w:val="auto"/>
              <w:rPr>
                <w:sz w:val="21"/>
                <w:szCs w:val="21"/>
              </w:rPr>
            </w:pPr>
            <w:r>
              <w:rPr>
                <w:spacing w:val="-2"/>
                <w:sz w:val="21"/>
                <w:szCs w:val="21"/>
              </w:rPr>
              <w:t>已治理房屋未出现新的白蚁活动迹象</w:t>
            </w:r>
          </w:p>
        </w:tc>
        <w:tc>
          <w:tcPr>
            <w:tcW w:w="2466" w:type="dxa"/>
            <w:gridSpan w:val="2"/>
            <w:vAlign w:val="top"/>
          </w:tcPr>
          <w:p w14:paraId="2092DE58">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c>
          <w:tcPr>
            <w:tcW w:w="2517" w:type="dxa"/>
            <w:gridSpan w:val="2"/>
            <w:vAlign w:val="center"/>
          </w:tcPr>
          <w:p w14:paraId="32C1609F">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spacing w:val="-9"/>
                <w:sz w:val="21"/>
                <w:szCs w:val="21"/>
              </w:rPr>
              <w:t>□符合</w:t>
            </w:r>
            <w:r>
              <w:rPr>
                <w:spacing w:val="17"/>
                <w:sz w:val="21"/>
                <w:szCs w:val="21"/>
              </w:rPr>
              <w:t xml:space="preserve">  </w:t>
            </w:r>
            <w:r>
              <w:rPr>
                <w:spacing w:val="-9"/>
                <w:sz w:val="21"/>
                <w:szCs w:val="21"/>
              </w:rPr>
              <w:t>□不符合</w:t>
            </w:r>
          </w:p>
        </w:tc>
      </w:tr>
      <w:tr w14:paraId="5F2D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4418" w:type="dxa"/>
            <w:gridSpan w:val="4"/>
            <w:vAlign w:val="center"/>
          </w:tcPr>
          <w:p w14:paraId="2CBB40D7">
            <w:pPr>
              <w:pStyle w:val="23"/>
              <w:keepNext w:val="0"/>
              <w:keepLines w:val="0"/>
              <w:pageBreakBefore w:val="0"/>
              <w:widowControl w:val="0"/>
              <w:kinsoku/>
              <w:wordWrap/>
              <w:overflowPunct/>
              <w:topLinePunct w:val="0"/>
              <w:autoSpaceDE/>
              <w:autoSpaceDN/>
              <w:bidi w:val="0"/>
              <w:adjustRightInd w:val="0"/>
              <w:snapToGrid w:val="0"/>
              <w:spacing w:line="0" w:lineRule="atLeast"/>
              <w:ind w:left="121"/>
              <w:jc w:val="both"/>
              <w:textAlignment w:val="auto"/>
              <w:rPr>
                <w:rFonts w:ascii="微软雅黑" w:hAnsi="微软雅黑" w:eastAsia="微软雅黑" w:cs="微软雅黑"/>
                <w:sz w:val="21"/>
                <w:szCs w:val="21"/>
              </w:rPr>
            </w:pPr>
            <w:r>
              <w:rPr>
                <w:spacing w:val="-1"/>
                <w:sz w:val="21"/>
                <w:szCs w:val="21"/>
              </w:rPr>
              <w:t>治理区域内房屋白蚁危害等级不高于</w:t>
            </w:r>
            <w:r>
              <w:rPr>
                <w:rFonts w:ascii="微软雅黑" w:hAnsi="微软雅黑" w:eastAsia="微软雅黑" w:cs="微软雅黑"/>
                <w:spacing w:val="-1"/>
                <w:sz w:val="21"/>
                <w:szCs w:val="21"/>
              </w:rPr>
              <w:t>Ⅰ级</w:t>
            </w:r>
          </w:p>
        </w:tc>
        <w:tc>
          <w:tcPr>
            <w:tcW w:w="2466" w:type="dxa"/>
            <w:gridSpan w:val="2"/>
            <w:vAlign w:val="top"/>
          </w:tcPr>
          <w:p w14:paraId="3417CCA2">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c>
          <w:tcPr>
            <w:tcW w:w="2517" w:type="dxa"/>
            <w:gridSpan w:val="2"/>
            <w:vAlign w:val="center"/>
          </w:tcPr>
          <w:p w14:paraId="72151219">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rFonts w:hint="eastAsia"/>
                <w:spacing w:val="-9"/>
                <w:sz w:val="21"/>
                <w:szCs w:val="21"/>
                <w:lang w:eastAsia="zh-CN"/>
              </w:rPr>
              <w:t>□</w:t>
            </w:r>
            <w:r>
              <w:rPr>
                <w:spacing w:val="-9"/>
                <w:sz w:val="21"/>
                <w:szCs w:val="21"/>
              </w:rPr>
              <w:t>符合</w:t>
            </w:r>
            <w:r>
              <w:rPr>
                <w:spacing w:val="17"/>
                <w:sz w:val="21"/>
                <w:szCs w:val="21"/>
              </w:rPr>
              <w:t xml:space="preserve">  </w:t>
            </w:r>
            <w:r>
              <w:rPr>
                <w:spacing w:val="-9"/>
                <w:sz w:val="21"/>
                <w:szCs w:val="21"/>
              </w:rPr>
              <w:t>□不符合</w:t>
            </w:r>
          </w:p>
        </w:tc>
      </w:tr>
      <w:tr w14:paraId="6347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418" w:type="dxa"/>
            <w:gridSpan w:val="4"/>
            <w:vAlign w:val="center"/>
          </w:tcPr>
          <w:p w14:paraId="02D7E4E6">
            <w:pPr>
              <w:pStyle w:val="23"/>
              <w:keepNext w:val="0"/>
              <w:keepLines w:val="0"/>
              <w:pageBreakBefore w:val="0"/>
              <w:widowControl w:val="0"/>
              <w:kinsoku/>
              <w:wordWrap/>
              <w:overflowPunct/>
              <w:topLinePunct w:val="0"/>
              <w:autoSpaceDE/>
              <w:autoSpaceDN/>
              <w:bidi w:val="0"/>
              <w:adjustRightInd w:val="0"/>
              <w:snapToGrid w:val="0"/>
              <w:spacing w:line="0" w:lineRule="atLeast"/>
              <w:ind w:left="121"/>
              <w:jc w:val="both"/>
              <w:textAlignment w:val="auto"/>
              <w:rPr>
                <w:rFonts w:ascii="微软雅黑" w:hAnsi="微软雅黑" w:eastAsia="微软雅黑" w:cs="微软雅黑"/>
                <w:sz w:val="21"/>
                <w:szCs w:val="21"/>
              </w:rPr>
            </w:pPr>
            <w:r>
              <w:rPr>
                <w:spacing w:val="-1"/>
                <w:sz w:val="21"/>
                <w:szCs w:val="21"/>
              </w:rPr>
              <w:t>治理区域内园林植被白蚁危害等级不高于</w:t>
            </w:r>
            <w:r>
              <w:rPr>
                <w:rFonts w:ascii="微软雅黑" w:hAnsi="微软雅黑" w:eastAsia="微软雅黑" w:cs="微软雅黑"/>
                <w:spacing w:val="-1"/>
                <w:sz w:val="21"/>
                <w:szCs w:val="21"/>
              </w:rPr>
              <w:t>Ⅰ级</w:t>
            </w:r>
          </w:p>
        </w:tc>
        <w:tc>
          <w:tcPr>
            <w:tcW w:w="2466" w:type="dxa"/>
            <w:gridSpan w:val="2"/>
            <w:vAlign w:val="top"/>
          </w:tcPr>
          <w:p w14:paraId="5B220346">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c>
          <w:tcPr>
            <w:tcW w:w="2517" w:type="dxa"/>
            <w:gridSpan w:val="2"/>
            <w:vAlign w:val="center"/>
          </w:tcPr>
          <w:p w14:paraId="2C2C5AB8">
            <w:pPr>
              <w:pStyle w:val="23"/>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sz w:val="21"/>
                <w:szCs w:val="21"/>
              </w:rPr>
            </w:pPr>
            <w:r>
              <w:rPr>
                <w:rFonts w:hint="eastAsia"/>
                <w:spacing w:val="-9"/>
                <w:sz w:val="21"/>
                <w:szCs w:val="21"/>
                <w:lang w:eastAsia="zh-CN"/>
              </w:rPr>
              <w:t>□</w:t>
            </w:r>
            <w:r>
              <w:rPr>
                <w:spacing w:val="-9"/>
                <w:sz w:val="21"/>
                <w:szCs w:val="21"/>
              </w:rPr>
              <w:t>符合</w:t>
            </w:r>
            <w:r>
              <w:rPr>
                <w:spacing w:val="17"/>
                <w:sz w:val="21"/>
                <w:szCs w:val="21"/>
              </w:rPr>
              <w:t xml:space="preserve">  </w:t>
            </w:r>
            <w:r>
              <w:rPr>
                <w:spacing w:val="-9"/>
                <w:sz w:val="21"/>
                <w:szCs w:val="21"/>
              </w:rPr>
              <w:t>□不符合</w:t>
            </w:r>
          </w:p>
        </w:tc>
      </w:tr>
      <w:tr w14:paraId="3556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01" w:type="dxa"/>
            <w:gridSpan w:val="8"/>
            <w:vAlign w:val="center"/>
          </w:tcPr>
          <w:p w14:paraId="10CF0B72">
            <w:pPr>
              <w:pStyle w:val="23"/>
              <w:keepNext w:val="0"/>
              <w:keepLines w:val="0"/>
              <w:pageBreakBefore w:val="0"/>
              <w:widowControl w:val="0"/>
              <w:kinsoku/>
              <w:wordWrap/>
              <w:overflowPunct/>
              <w:topLinePunct w:val="0"/>
              <w:autoSpaceDE/>
              <w:autoSpaceDN/>
              <w:bidi w:val="0"/>
              <w:adjustRightInd w:val="0"/>
              <w:snapToGrid w:val="0"/>
              <w:spacing w:line="0" w:lineRule="atLeast"/>
              <w:ind w:left="137"/>
              <w:jc w:val="both"/>
              <w:textAlignment w:val="auto"/>
              <w:rPr>
                <w:sz w:val="21"/>
                <w:szCs w:val="21"/>
              </w:rPr>
            </w:pPr>
            <w:r>
              <w:rPr>
                <w:spacing w:val="-5"/>
                <w:sz w:val="21"/>
                <w:szCs w:val="21"/>
              </w:rPr>
              <w:t>四、安全生产</w:t>
            </w:r>
          </w:p>
        </w:tc>
      </w:tr>
      <w:tr w14:paraId="2FD0F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418" w:type="dxa"/>
            <w:gridSpan w:val="4"/>
            <w:vAlign w:val="center"/>
          </w:tcPr>
          <w:p w14:paraId="6A74F0FB">
            <w:pPr>
              <w:pStyle w:val="23"/>
              <w:keepNext w:val="0"/>
              <w:keepLines w:val="0"/>
              <w:pageBreakBefore w:val="0"/>
              <w:widowControl w:val="0"/>
              <w:kinsoku/>
              <w:wordWrap/>
              <w:overflowPunct/>
              <w:topLinePunct w:val="0"/>
              <w:autoSpaceDE/>
              <w:autoSpaceDN/>
              <w:bidi w:val="0"/>
              <w:adjustRightInd w:val="0"/>
              <w:snapToGrid w:val="0"/>
              <w:spacing w:line="0" w:lineRule="atLeast"/>
              <w:ind w:left="119"/>
              <w:jc w:val="both"/>
              <w:textAlignment w:val="auto"/>
              <w:rPr>
                <w:sz w:val="21"/>
                <w:szCs w:val="21"/>
              </w:rPr>
            </w:pPr>
            <w:r>
              <w:rPr>
                <w:spacing w:val="-2"/>
                <w:sz w:val="21"/>
                <w:szCs w:val="21"/>
              </w:rPr>
              <w:t>未发生安全事故</w:t>
            </w:r>
          </w:p>
        </w:tc>
        <w:tc>
          <w:tcPr>
            <w:tcW w:w="4983" w:type="dxa"/>
            <w:gridSpan w:val="4"/>
            <w:vAlign w:val="center"/>
          </w:tcPr>
          <w:p w14:paraId="3E040E38">
            <w:pPr>
              <w:pStyle w:val="23"/>
              <w:keepNext w:val="0"/>
              <w:keepLines w:val="0"/>
              <w:pageBreakBefore w:val="0"/>
              <w:widowControl w:val="0"/>
              <w:kinsoku/>
              <w:wordWrap/>
              <w:overflowPunct/>
              <w:topLinePunct w:val="0"/>
              <w:autoSpaceDE/>
              <w:autoSpaceDN/>
              <w:bidi w:val="0"/>
              <w:adjustRightInd w:val="0"/>
              <w:snapToGrid w:val="0"/>
              <w:spacing w:line="0" w:lineRule="atLeast"/>
              <w:ind w:left="136"/>
              <w:jc w:val="both"/>
              <w:textAlignment w:val="auto"/>
              <w:rPr>
                <w:sz w:val="21"/>
                <w:szCs w:val="21"/>
              </w:rPr>
            </w:pPr>
            <w:r>
              <w:rPr>
                <w:spacing w:val="-9"/>
                <w:sz w:val="21"/>
                <w:szCs w:val="21"/>
              </w:rPr>
              <w:t>□符合</w:t>
            </w:r>
            <w:r>
              <w:rPr>
                <w:spacing w:val="17"/>
                <w:sz w:val="21"/>
                <w:szCs w:val="21"/>
              </w:rPr>
              <w:t xml:space="preserve">  </w:t>
            </w:r>
            <w:r>
              <w:rPr>
                <w:spacing w:val="-9"/>
                <w:sz w:val="21"/>
                <w:szCs w:val="21"/>
              </w:rPr>
              <w:t>□不符合</w:t>
            </w:r>
          </w:p>
        </w:tc>
      </w:tr>
      <w:tr w14:paraId="20E9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01" w:type="dxa"/>
            <w:gridSpan w:val="8"/>
            <w:vAlign w:val="center"/>
          </w:tcPr>
          <w:p w14:paraId="62BC26DA">
            <w:pPr>
              <w:pStyle w:val="23"/>
              <w:keepNext w:val="0"/>
              <w:keepLines w:val="0"/>
              <w:pageBreakBefore w:val="0"/>
              <w:widowControl w:val="0"/>
              <w:kinsoku/>
              <w:wordWrap/>
              <w:overflowPunct/>
              <w:topLinePunct w:val="0"/>
              <w:autoSpaceDE/>
              <w:autoSpaceDN/>
              <w:bidi w:val="0"/>
              <w:adjustRightInd w:val="0"/>
              <w:snapToGrid w:val="0"/>
              <w:spacing w:line="0" w:lineRule="atLeast"/>
              <w:ind w:left="119"/>
              <w:jc w:val="both"/>
              <w:textAlignment w:val="auto"/>
              <w:rPr>
                <w:sz w:val="21"/>
                <w:szCs w:val="21"/>
              </w:rPr>
            </w:pPr>
            <w:r>
              <w:rPr>
                <w:spacing w:val="-2"/>
                <w:sz w:val="21"/>
                <w:szCs w:val="21"/>
              </w:rPr>
              <w:t>五、验收结论</w:t>
            </w:r>
          </w:p>
        </w:tc>
      </w:tr>
      <w:tr w14:paraId="2FAF2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401" w:type="dxa"/>
            <w:gridSpan w:val="8"/>
            <w:vAlign w:val="top"/>
          </w:tcPr>
          <w:p w14:paraId="357039F8">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tc>
      </w:tr>
      <w:tr w14:paraId="546D5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401" w:type="dxa"/>
            <w:gridSpan w:val="8"/>
            <w:vAlign w:val="center"/>
          </w:tcPr>
          <w:p w14:paraId="6262D9DB">
            <w:pPr>
              <w:pStyle w:val="23"/>
              <w:keepNext w:val="0"/>
              <w:keepLines w:val="0"/>
              <w:pageBreakBefore w:val="0"/>
              <w:widowControl w:val="0"/>
              <w:kinsoku/>
              <w:wordWrap/>
              <w:overflowPunct/>
              <w:topLinePunct w:val="0"/>
              <w:autoSpaceDE/>
              <w:autoSpaceDN/>
              <w:bidi w:val="0"/>
              <w:adjustRightInd w:val="0"/>
              <w:snapToGrid w:val="0"/>
              <w:spacing w:line="0" w:lineRule="atLeast"/>
              <w:ind w:left="115"/>
              <w:jc w:val="both"/>
              <w:textAlignment w:val="auto"/>
              <w:rPr>
                <w:sz w:val="21"/>
                <w:szCs w:val="21"/>
              </w:rPr>
            </w:pPr>
            <w:r>
              <w:rPr>
                <w:spacing w:val="-6"/>
                <w:sz w:val="21"/>
                <w:szCs w:val="21"/>
              </w:rPr>
              <w:t>验收人员签字：</w:t>
            </w:r>
          </w:p>
        </w:tc>
      </w:tr>
      <w:tr w14:paraId="0210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0" w:type="dxa"/>
          <w:trHeight w:val="2275" w:hRule="atLeast"/>
        </w:trPr>
        <w:tc>
          <w:tcPr>
            <w:tcW w:w="3176" w:type="dxa"/>
            <w:gridSpan w:val="2"/>
            <w:vAlign w:val="top"/>
          </w:tcPr>
          <w:p w14:paraId="2D58DE5C">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p w14:paraId="50435379">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p w14:paraId="4303E4D0">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p w14:paraId="367F4FAC">
            <w:pPr>
              <w:pStyle w:val="23"/>
              <w:keepNext w:val="0"/>
              <w:keepLines w:val="0"/>
              <w:pageBreakBefore w:val="0"/>
              <w:widowControl w:val="0"/>
              <w:kinsoku/>
              <w:wordWrap/>
              <w:overflowPunct/>
              <w:topLinePunct w:val="0"/>
              <w:autoSpaceDE/>
              <w:autoSpaceDN/>
              <w:bidi w:val="0"/>
              <w:adjustRightInd w:val="0"/>
              <w:snapToGrid w:val="0"/>
              <w:spacing w:line="0" w:lineRule="atLeast"/>
              <w:ind w:left="148"/>
              <w:textAlignment w:val="auto"/>
              <w:rPr>
                <w:spacing w:val="-6"/>
                <w:sz w:val="21"/>
                <w:szCs w:val="21"/>
              </w:rPr>
            </w:pPr>
          </w:p>
          <w:p w14:paraId="305626F9">
            <w:pPr>
              <w:pStyle w:val="23"/>
              <w:keepNext w:val="0"/>
              <w:keepLines w:val="0"/>
              <w:pageBreakBefore w:val="0"/>
              <w:widowControl w:val="0"/>
              <w:kinsoku/>
              <w:wordWrap/>
              <w:overflowPunct/>
              <w:topLinePunct w:val="0"/>
              <w:autoSpaceDE/>
              <w:autoSpaceDN/>
              <w:bidi w:val="0"/>
              <w:adjustRightInd w:val="0"/>
              <w:snapToGrid w:val="0"/>
              <w:spacing w:line="0" w:lineRule="atLeast"/>
              <w:ind w:left="148"/>
              <w:textAlignment w:val="auto"/>
              <w:rPr>
                <w:spacing w:val="-6"/>
                <w:sz w:val="21"/>
                <w:szCs w:val="21"/>
              </w:rPr>
            </w:pPr>
          </w:p>
          <w:p w14:paraId="143EB5F0">
            <w:pPr>
              <w:pStyle w:val="23"/>
              <w:keepNext w:val="0"/>
              <w:keepLines w:val="0"/>
              <w:pageBreakBefore w:val="0"/>
              <w:widowControl w:val="0"/>
              <w:kinsoku/>
              <w:wordWrap/>
              <w:overflowPunct/>
              <w:topLinePunct w:val="0"/>
              <w:autoSpaceDE/>
              <w:autoSpaceDN/>
              <w:bidi w:val="0"/>
              <w:adjustRightInd w:val="0"/>
              <w:snapToGrid w:val="0"/>
              <w:spacing w:line="0" w:lineRule="atLeast"/>
              <w:ind w:left="148"/>
              <w:textAlignment w:val="auto"/>
              <w:rPr>
                <w:sz w:val="21"/>
                <w:szCs w:val="21"/>
              </w:rPr>
            </w:pPr>
            <w:r>
              <w:rPr>
                <w:spacing w:val="-6"/>
                <w:sz w:val="21"/>
                <w:szCs w:val="21"/>
              </w:rPr>
              <w:t>白蚁防治单位（公章）</w:t>
            </w:r>
          </w:p>
          <w:p w14:paraId="3DBE8DD3">
            <w:pPr>
              <w:pStyle w:val="23"/>
              <w:keepNext w:val="0"/>
              <w:keepLines w:val="0"/>
              <w:pageBreakBefore w:val="0"/>
              <w:widowControl w:val="0"/>
              <w:kinsoku/>
              <w:wordWrap/>
              <w:overflowPunct/>
              <w:topLinePunct w:val="0"/>
              <w:autoSpaceDE/>
              <w:autoSpaceDN/>
              <w:bidi w:val="0"/>
              <w:adjustRightInd w:val="0"/>
              <w:snapToGrid w:val="0"/>
              <w:spacing w:line="0" w:lineRule="atLeast"/>
              <w:ind w:left="1439"/>
              <w:textAlignment w:val="auto"/>
              <w:rPr>
                <w:sz w:val="21"/>
                <w:szCs w:val="21"/>
              </w:rPr>
            </w:pPr>
            <w:r>
              <w:rPr>
                <w:spacing w:val="-8"/>
                <w:sz w:val="21"/>
                <w:szCs w:val="21"/>
              </w:rPr>
              <w:t>年</w:t>
            </w:r>
            <w:r>
              <w:rPr>
                <w:spacing w:val="3"/>
                <w:sz w:val="21"/>
                <w:szCs w:val="21"/>
              </w:rPr>
              <w:t xml:space="preserve">    </w:t>
            </w:r>
            <w:r>
              <w:rPr>
                <w:spacing w:val="-8"/>
                <w:sz w:val="21"/>
                <w:szCs w:val="21"/>
              </w:rPr>
              <w:t>月</w:t>
            </w:r>
            <w:r>
              <w:rPr>
                <w:spacing w:val="11"/>
                <w:sz w:val="21"/>
                <w:szCs w:val="21"/>
              </w:rPr>
              <w:t xml:space="preserve">    </w:t>
            </w:r>
            <w:r>
              <w:rPr>
                <w:spacing w:val="-8"/>
                <w:sz w:val="21"/>
                <w:szCs w:val="21"/>
              </w:rPr>
              <w:t>日</w:t>
            </w:r>
          </w:p>
        </w:tc>
        <w:tc>
          <w:tcPr>
            <w:tcW w:w="3233" w:type="dxa"/>
            <w:gridSpan w:val="2"/>
            <w:vAlign w:val="top"/>
          </w:tcPr>
          <w:p w14:paraId="377F4BEA">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p w14:paraId="70DB738B">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p w14:paraId="04F89D0A">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p w14:paraId="30E2A2F7">
            <w:pPr>
              <w:pStyle w:val="23"/>
              <w:keepNext w:val="0"/>
              <w:keepLines w:val="0"/>
              <w:pageBreakBefore w:val="0"/>
              <w:widowControl w:val="0"/>
              <w:kinsoku/>
              <w:wordWrap/>
              <w:overflowPunct/>
              <w:topLinePunct w:val="0"/>
              <w:autoSpaceDE/>
              <w:autoSpaceDN/>
              <w:bidi w:val="0"/>
              <w:adjustRightInd w:val="0"/>
              <w:snapToGrid w:val="0"/>
              <w:spacing w:line="0" w:lineRule="atLeast"/>
              <w:ind w:left="118"/>
              <w:textAlignment w:val="auto"/>
              <w:rPr>
                <w:spacing w:val="-3"/>
                <w:sz w:val="21"/>
                <w:szCs w:val="21"/>
              </w:rPr>
            </w:pPr>
            <w:r>
              <w:rPr>
                <w:spacing w:val="-3"/>
                <w:sz w:val="21"/>
                <w:szCs w:val="21"/>
              </w:rPr>
              <w:t>治</w:t>
            </w:r>
          </w:p>
          <w:p w14:paraId="75ABF582">
            <w:pPr>
              <w:pStyle w:val="23"/>
              <w:keepNext w:val="0"/>
              <w:keepLines w:val="0"/>
              <w:pageBreakBefore w:val="0"/>
              <w:widowControl w:val="0"/>
              <w:kinsoku/>
              <w:wordWrap/>
              <w:overflowPunct/>
              <w:topLinePunct w:val="0"/>
              <w:autoSpaceDE/>
              <w:autoSpaceDN/>
              <w:bidi w:val="0"/>
              <w:adjustRightInd w:val="0"/>
              <w:snapToGrid w:val="0"/>
              <w:spacing w:line="0" w:lineRule="atLeast"/>
              <w:ind w:left="118"/>
              <w:textAlignment w:val="auto"/>
              <w:rPr>
                <w:spacing w:val="-3"/>
                <w:sz w:val="21"/>
                <w:szCs w:val="21"/>
              </w:rPr>
            </w:pPr>
          </w:p>
          <w:p w14:paraId="37BAE197">
            <w:pPr>
              <w:pStyle w:val="23"/>
              <w:keepNext w:val="0"/>
              <w:keepLines w:val="0"/>
              <w:pageBreakBefore w:val="0"/>
              <w:widowControl w:val="0"/>
              <w:kinsoku/>
              <w:wordWrap/>
              <w:overflowPunct/>
              <w:topLinePunct w:val="0"/>
              <w:autoSpaceDE/>
              <w:autoSpaceDN/>
              <w:bidi w:val="0"/>
              <w:adjustRightInd w:val="0"/>
              <w:snapToGrid w:val="0"/>
              <w:spacing w:line="0" w:lineRule="atLeast"/>
              <w:ind w:left="118"/>
              <w:textAlignment w:val="auto"/>
              <w:rPr>
                <w:sz w:val="21"/>
                <w:szCs w:val="21"/>
              </w:rPr>
            </w:pPr>
            <w:r>
              <w:rPr>
                <w:spacing w:val="-3"/>
                <w:sz w:val="21"/>
                <w:szCs w:val="21"/>
              </w:rPr>
              <w:t>理区域管理方（公章）</w:t>
            </w:r>
          </w:p>
          <w:p w14:paraId="06CB5420">
            <w:pPr>
              <w:pStyle w:val="23"/>
              <w:keepNext w:val="0"/>
              <w:keepLines w:val="0"/>
              <w:pageBreakBefore w:val="0"/>
              <w:widowControl w:val="0"/>
              <w:kinsoku/>
              <w:wordWrap/>
              <w:overflowPunct/>
              <w:topLinePunct w:val="0"/>
              <w:autoSpaceDE/>
              <w:autoSpaceDN/>
              <w:bidi w:val="0"/>
              <w:adjustRightInd w:val="0"/>
              <w:snapToGrid w:val="0"/>
              <w:spacing w:line="0" w:lineRule="atLeast"/>
              <w:ind w:left="1436"/>
              <w:textAlignment w:val="auto"/>
              <w:rPr>
                <w:sz w:val="21"/>
                <w:szCs w:val="21"/>
              </w:rPr>
            </w:pPr>
            <w:r>
              <w:rPr>
                <w:spacing w:val="-8"/>
                <w:sz w:val="21"/>
                <w:szCs w:val="21"/>
              </w:rPr>
              <w:t>年</w:t>
            </w:r>
            <w:r>
              <w:rPr>
                <w:spacing w:val="3"/>
                <w:sz w:val="21"/>
                <w:szCs w:val="21"/>
              </w:rPr>
              <w:t xml:space="preserve">    </w:t>
            </w:r>
            <w:r>
              <w:rPr>
                <w:spacing w:val="-8"/>
                <w:sz w:val="21"/>
                <w:szCs w:val="21"/>
              </w:rPr>
              <w:t>月</w:t>
            </w:r>
            <w:r>
              <w:rPr>
                <w:spacing w:val="11"/>
                <w:sz w:val="21"/>
                <w:szCs w:val="21"/>
              </w:rPr>
              <w:t xml:space="preserve">    </w:t>
            </w:r>
            <w:r>
              <w:rPr>
                <w:spacing w:val="-8"/>
                <w:sz w:val="21"/>
                <w:szCs w:val="21"/>
              </w:rPr>
              <w:t>日</w:t>
            </w:r>
          </w:p>
        </w:tc>
        <w:tc>
          <w:tcPr>
            <w:tcW w:w="2972" w:type="dxa"/>
            <w:gridSpan w:val="3"/>
            <w:vAlign w:val="top"/>
          </w:tcPr>
          <w:p w14:paraId="4E628F2F">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ascii="Arial"/>
                <w:sz w:val="21"/>
                <w:szCs w:val="21"/>
              </w:rPr>
            </w:pPr>
          </w:p>
          <w:p w14:paraId="7E78E326">
            <w:pPr>
              <w:pStyle w:val="23"/>
              <w:keepNext w:val="0"/>
              <w:keepLines w:val="0"/>
              <w:pageBreakBefore w:val="0"/>
              <w:widowControl w:val="0"/>
              <w:kinsoku/>
              <w:wordWrap/>
              <w:overflowPunct/>
              <w:topLinePunct w:val="0"/>
              <w:autoSpaceDE/>
              <w:autoSpaceDN/>
              <w:bidi w:val="0"/>
              <w:adjustRightInd w:val="0"/>
              <w:snapToGrid w:val="0"/>
              <w:spacing w:line="0" w:lineRule="atLeast"/>
              <w:ind w:left="114"/>
              <w:textAlignment w:val="auto"/>
              <w:rPr>
                <w:spacing w:val="-1"/>
                <w:sz w:val="21"/>
                <w:szCs w:val="21"/>
              </w:rPr>
            </w:pPr>
          </w:p>
          <w:p w14:paraId="79E403BE">
            <w:pPr>
              <w:pStyle w:val="23"/>
              <w:keepNext w:val="0"/>
              <w:keepLines w:val="0"/>
              <w:pageBreakBefore w:val="0"/>
              <w:widowControl w:val="0"/>
              <w:kinsoku/>
              <w:wordWrap/>
              <w:overflowPunct/>
              <w:topLinePunct w:val="0"/>
              <w:autoSpaceDE/>
              <w:autoSpaceDN/>
              <w:bidi w:val="0"/>
              <w:adjustRightInd w:val="0"/>
              <w:snapToGrid w:val="0"/>
              <w:spacing w:line="0" w:lineRule="atLeast"/>
              <w:ind w:left="114"/>
              <w:textAlignment w:val="auto"/>
              <w:rPr>
                <w:spacing w:val="-1"/>
                <w:sz w:val="21"/>
                <w:szCs w:val="21"/>
              </w:rPr>
            </w:pPr>
          </w:p>
          <w:p w14:paraId="6771EEB1">
            <w:pPr>
              <w:pStyle w:val="23"/>
              <w:keepNext w:val="0"/>
              <w:keepLines w:val="0"/>
              <w:pageBreakBefore w:val="0"/>
              <w:widowControl w:val="0"/>
              <w:kinsoku/>
              <w:wordWrap/>
              <w:overflowPunct/>
              <w:topLinePunct w:val="0"/>
              <w:autoSpaceDE/>
              <w:autoSpaceDN/>
              <w:bidi w:val="0"/>
              <w:adjustRightInd w:val="0"/>
              <w:snapToGrid w:val="0"/>
              <w:spacing w:line="0" w:lineRule="atLeast"/>
              <w:ind w:left="114"/>
              <w:textAlignment w:val="auto"/>
              <w:rPr>
                <w:sz w:val="21"/>
                <w:szCs w:val="21"/>
              </w:rPr>
            </w:pPr>
            <w:r>
              <w:rPr>
                <w:spacing w:val="-1"/>
                <w:sz w:val="21"/>
                <w:szCs w:val="21"/>
              </w:rPr>
              <w:t>评价专家：</w:t>
            </w:r>
          </w:p>
          <w:p w14:paraId="3700868C">
            <w:pPr>
              <w:pStyle w:val="23"/>
              <w:keepNext w:val="0"/>
              <w:keepLines w:val="0"/>
              <w:pageBreakBefore w:val="0"/>
              <w:widowControl w:val="0"/>
              <w:kinsoku/>
              <w:wordWrap/>
              <w:overflowPunct/>
              <w:topLinePunct w:val="0"/>
              <w:autoSpaceDE/>
              <w:autoSpaceDN/>
              <w:bidi w:val="0"/>
              <w:adjustRightInd w:val="0"/>
              <w:snapToGrid w:val="0"/>
              <w:spacing w:line="0" w:lineRule="atLeast"/>
              <w:ind w:left="778"/>
              <w:textAlignment w:val="auto"/>
              <w:rPr>
                <w:sz w:val="21"/>
                <w:szCs w:val="21"/>
              </w:rPr>
            </w:pPr>
            <w:r>
              <w:rPr>
                <w:spacing w:val="-8"/>
                <w:sz w:val="21"/>
                <w:szCs w:val="21"/>
              </w:rPr>
              <w:t>年</w:t>
            </w:r>
            <w:r>
              <w:rPr>
                <w:spacing w:val="3"/>
                <w:sz w:val="21"/>
                <w:szCs w:val="21"/>
              </w:rPr>
              <w:t xml:space="preserve">    </w:t>
            </w:r>
            <w:r>
              <w:rPr>
                <w:spacing w:val="-8"/>
                <w:sz w:val="21"/>
                <w:szCs w:val="21"/>
              </w:rPr>
              <w:t>月</w:t>
            </w:r>
            <w:r>
              <w:rPr>
                <w:spacing w:val="12"/>
                <w:sz w:val="21"/>
                <w:szCs w:val="21"/>
              </w:rPr>
              <w:t xml:space="preserve">    </w:t>
            </w:r>
            <w:r>
              <w:rPr>
                <w:spacing w:val="-8"/>
                <w:sz w:val="21"/>
                <w:szCs w:val="21"/>
              </w:rPr>
              <w:t>日</w:t>
            </w:r>
          </w:p>
        </w:tc>
      </w:tr>
      <w:tr w14:paraId="2D8B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0" w:type="dxa"/>
          <w:trHeight w:val="589" w:hRule="atLeast"/>
        </w:trPr>
        <w:tc>
          <w:tcPr>
            <w:tcW w:w="9381" w:type="dxa"/>
            <w:gridSpan w:val="7"/>
            <w:vAlign w:val="top"/>
          </w:tcPr>
          <w:p w14:paraId="7B677879">
            <w:pPr>
              <w:pStyle w:val="23"/>
              <w:keepNext w:val="0"/>
              <w:keepLines w:val="0"/>
              <w:pageBreakBefore w:val="0"/>
              <w:widowControl w:val="0"/>
              <w:kinsoku/>
              <w:wordWrap/>
              <w:overflowPunct/>
              <w:topLinePunct w:val="0"/>
              <w:autoSpaceDE/>
              <w:autoSpaceDN/>
              <w:bidi w:val="0"/>
              <w:adjustRightInd w:val="0"/>
              <w:snapToGrid w:val="0"/>
              <w:spacing w:line="0" w:lineRule="atLeast"/>
              <w:ind w:left="119"/>
              <w:textAlignment w:val="auto"/>
              <w:rPr>
                <w:sz w:val="21"/>
                <w:szCs w:val="21"/>
              </w:rPr>
            </w:pPr>
            <w:r>
              <w:rPr>
                <w:spacing w:val="-3"/>
                <w:sz w:val="21"/>
                <w:szCs w:val="21"/>
              </w:rPr>
              <w:t>备注</w:t>
            </w:r>
          </w:p>
        </w:tc>
      </w:tr>
    </w:tbl>
    <w:p w14:paraId="3AC0B038">
      <w:pPr>
        <w:pStyle w:val="2"/>
        <w:spacing w:before="0" w:after="0" w:line="360" w:lineRule="auto"/>
        <w:jc w:val="center"/>
        <w:rPr>
          <w:color w:val="auto"/>
        </w:rPr>
      </w:pPr>
      <w:bookmarkStart w:id="21" w:name="_Toc122424247"/>
      <w:bookmarkStart w:id="22" w:name="_Toc23162"/>
      <w:r>
        <w:rPr>
          <w:rFonts w:hint="eastAsia"/>
          <w:color w:val="auto"/>
        </w:rPr>
        <w:t>第四章  评审程序、评审方法和评审标准</w:t>
      </w:r>
      <w:bookmarkEnd w:id="21"/>
      <w:bookmarkEnd w:id="22"/>
    </w:p>
    <w:p w14:paraId="7773000C">
      <w:pPr>
        <w:spacing w:line="360" w:lineRule="auto"/>
        <w:jc w:val="center"/>
        <w:rPr>
          <w:rFonts w:hint="eastAsia" w:ascii="宋体" w:hAnsi="宋体" w:eastAsia="宋体" w:cs="宋体"/>
          <w:b/>
          <w:bCs/>
          <w:color w:val="auto"/>
          <w:sz w:val="28"/>
          <w:szCs w:val="28"/>
        </w:rPr>
      </w:pPr>
      <w:r>
        <w:rPr>
          <w:rFonts w:hint="eastAsia" w:ascii="宋体" w:hAnsi="宋体"/>
          <w:b/>
          <w:color w:val="auto"/>
          <w:sz w:val="32"/>
          <w:szCs w:val="32"/>
        </w:rPr>
        <w:t>一、评审程序和评审方法</w:t>
      </w:r>
    </w:p>
    <w:p w14:paraId="2F0B0E93">
      <w:pPr>
        <w:keepNext w:val="0"/>
        <w:keepLines w:val="0"/>
        <w:pageBreakBefore w:val="0"/>
        <w:kinsoku/>
        <w:wordWrap/>
        <w:overflowPunct/>
        <w:topLinePunct w:val="0"/>
        <w:autoSpaceDE/>
        <w:autoSpaceDN/>
        <w:bidi w:val="0"/>
        <w:adjustRightInd w:val="0"/>
        <w:snapToGrid w:val="0"/>
        <w:spacing w:line="46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资格审查</w:t>
      </w:r>
    </w:p>
    <w:p w14:paraId="6E04D819">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响应文件开启后，磋商小组依法对供应商的资格证明文件进行审查。</w:t>
      </w:r>
    </w:p>
    <w:p w14:paraId="0B4BC2B4">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注：磋商小组在资格审查结束前，对供应商进行信用查询。</w:t>
      </w:r>
    </w:p>
    <w:p w14:paraId="78E3C40F">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（1）查询渠道：广西政府采购云平台“信用中国”网站（www.creditchina.gov.cn）、中国政府采购网（www.ccgp.gov.cn）链接入口。</w:t>
      </w:r>
    </w:p>
    <w:p w14:paraId="1E85EB81">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（2）信用查询截止时点：资格审查结束前。</w:t>
      </w:r>
    </w:p>
    <w:p w14:paraId="03E06A98">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（3）查询记录和证据留存方式：在查询网站中直接查询，截图另存为电子文档作为评审资料保存。</w:t>
      </w:r>
    </w:p>
    <w:p w14:paraId="14A49BF3">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5A7668BE">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资格审查标准为本磋商文件中载明对供应商资格要求的条件。资格审查采用合格制，凡符合磋商文件规定的供应商资格要求的响应文件均通过资格审查。</w:t>
      </w:r>
    </w:p>
    <w:p w14:paraId="789E05E2">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1.3</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供应商有下列情形之一的，资格审查不通过，其响应文件按无效处理：</w:t>
      </w:r>
    </w:p>
    <w:p w14:paraId="757AF3CB">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（1）不具备磋商文件中规定的资格要求的；</w:t>
      </w:r>
    </w:p>
    <w:p w14:paraId="533B4709">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（2）未按磋商文件规定的方式获取本磋商文件的供应商；</w:t>
      </w:r>
    </w:p>
    <w:p w14:paraId="1C6BA004">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（3）响应文件的资格证明文件缺少任一项“供应商须知前附表”资格证明文件规定的“必须提供”的文件资料的；</w:t>
      </w:r>
    </w:p>
    <w:p w14:paraId="469B4EA5">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（4）响应文件中的资格证明文件出现任一项不符合“供应商须知前附表”资格证明文件规定的“必须提供”的文件资料要求或者无效的；</w:t>
      </w:r>
    </w:p>
    <w:p w14:paraId="7980BFAF">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（5）有第二章“供应商须知”第</w:t>
      </w:r>
      <w:r>
        <w:rPr>
          <w:rFonts w:hint="eastAsia" w:ascii="宋体" w:hAnsi="宋体" w:eastAsia="宋体" w:cs="宋体"/>
          <w:b w:val="0"/>
          <w:bCs w:val="0"/>
          <w:color w:val="auto"/>
          <w:sz w:val="21"/>
          <w:szCs w:val="21"/>
          <w:lang w:val="en-US" w:eastAsia="zh-CN"/>
        </w:rPr>
        <w:t>4.1</w:t>
      </w:r>
      <w:r>
        <w:rPr>
          <w:rFonts w:hint="eastAsia" w:ascii="宋体" w:hAnsi="宋体" w:eastAsia="宋体" w:cs="宋体"/>
          <w:b w:val="0"/>
          <w:bCs w:val="0"/>
          <w:color w:val="auto"/>
          <w:sz w:val="21"/>
          <w:szCs w:val="21"/>
        </w:rPr>
        <w:t>项</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第</w:t>
      </w:r>
      <w:r>
        <w:rPr>
          <w:rFonts w:hint="eastAsia" w:ascii="宋体" w:hAnsi="宋体" w:eastAsia="宋体" w:cs="宋体"/>
          <w:b w:val="0"/>
          <w:bCs w:val="0"/>
          <w:color w:val="auto"/>
          <w:sz w:val="21"/>
          <w:szCs w:val="21"/>
          <w:lang w:val="en-US" w:eastAsia="zh-CN"/>
        </w:rPr>
        <w:t>4.2</w:t>
      </w:r>
      <w:r>
        <w:rPr>
          <w:rFonts w:hint="eastAsia" w:ascii="宋体" w:hAnsi="宋体" w:eastAsia="宋体" w:cs="宋体"/>
          <w:b w:val="0"/>
          <w:bCs w:val="0"/>
          <w:color w:val="auto"/>
          <w:sz w:val="21"/>
          <w:szCs w:val="21"/>
        </w:rPr>
        <w:t>项规定的任何一种情形的。</w:t>
      </w:r>
    </w:p>
    <w:p w14:paraId="067E8B4B">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1"/>
          <w:szCs w:val="21"/>
        </w:rPr>
        <w:t>1.4</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通过资格审查的合格供应商不足3家的，不得进入符合性审查环节，应当重新开展采购活动。</w:t>
      </w:r>
    </w:p>
    <w:p w14:paraId="0B65E4A2">
      <w:pPr>
        <w:keepNext w:val="0"/>
        <w:keepLines w:val="0"/>
        <w:pageBreakBefore w:val="0"/>
        <w:numPr>
          <w:ilvl w:val="0"/>
          <w:numId w:val="15"/>
        </w:numPr>
        <w:kinsoku/>
        <w:wordWrap/>
        <w:overflowPunct/>
        <w:topLinePunct w:val="0"/>
        <w:autoSpaceDE/>
        <w:autoSpaceDN/>
        <w:bidi w:val="0"/>
        <w:adjustRightInd w:val="0"/>
        <w:snapToGrid w:val="0"/>
        <w:spacing w:line="46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w:t>
      </w:r>
    </w:p>
    <w:p w14:paraId="586E7135">
      <w:pPr>
        <w:keepNext w:val="0"/>
        <w:keepLines w:val="0"/>
        <w:pageBreakBefore w:val="0"/>
        <w:numPr>
          <w:ilvl w:val="1"/>
          <w:numId w:val="16"/>
        </w:numPr>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bookmarkStart w:id="23" w:name="_Hlk42528882"/>
      <w:r>
        <w:rPr>
          <w:rFonts w:hint="eastAsia" w:ascii="宋体" w:hAnsi="宋体" w:eastAsia="宋体" w:cs="宋体"/>
          <w:color w:val="auto"/>
          <w:sz w:val="21"/>
          <w:szCs w:val="21"/>
        </w:rPr>
        <w:t>磋商小组对通过资格审查的合格供应商的响应文件的竞标报价、商务、技术等实质性要求进行符合性审查，以确定其是否满足磋商文件的实质性要求。</w:t>
      </w:r>
    </w:p>
    <w:p w14:paraId="2863EC75">
      <w:pPr>
        <w:keepNext w:val="0"/>
        <w:keepLines w:val="0"/>
        <w:pageBreakBefore w:val="0"/>
        <w:numPr>
          <w:ilvl w:val="0"/>
          <w:numId w:val="0"/>
        </w:numPr>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实质性偏离是指：</w:t>
      </w:r>
    </w:p>
    <w:p w14:paraId="4C3EE83E">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（1）实质性影响合同的范围、质量和履行；</w:t>
      </w:r>
    </w:p>
    <w:p w14:paraId="0D8525E7">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（2）实质性违背磋商文件，限制了采购人的权利和成交供应商合同项下的义务；</w:t>
      </w:r>
    </w:p>
    <w:p w14:paraId="2CE3BA72">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（3）不公正地影响了其它作出实质性响应的供应商的竞争地位。对没有实质性响应的响应文件将不进行评审，其磋商将被拒绝。</w:t>
      </w:r>
    </w:p>
    <w:bookmarkEnd w:id="23"/>
    <w:p w14:paraId="02EDF976">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0593B12">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rPr>
        <w:t>2.3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宋体" w:hAnsi="宋体" w:eastAsia="宋体" w:cs="宋体"/>
          <w:color w:val="auto"/>
          <w:spacing w:val="-6"/>
          <w:sz w:val="21"/>
          <w:szCs w:val="21"/>
        </w:rPr>
        <w:t>。</w:t>
      </w:r>
    </w:p>
    <w:p w14:paraId="089603E1">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负责人</w:t>
      </w:r>
      <w:r>
        <w:rPr>
          <w:rFonts w:hint="eastAsia" w:ascii="宋体" w:hAnsi="宋体" w:cs="宋体"/>
          <w:color w:val="auto"/>
          <w:sz w:val="21"/>
          <w:szCs w:val="21"/>
          <w:lang w:eastAsia="zh-CN"/>
        </w:rPr>
        <w:t>）</w:t>
      </w:r>
      <w:r>
        <w:rPr>
          <w:rFonts w:hint="eastAsia" w:ascii="宋体" w:hAnsi="宋体" w:eastAsia="宋体" w:cs="宋体"/>
          <w:color w:val="auto"/>
          <w:sz w:val="21"/>
          <w:szCs w:val="21"/>
        </w:rPr>
        <w:t>或者其授权的代表签字。</w:t>
      </w:r>
    </w:p>
    <w:p w14:paraId="49142CF6">
      <w:pPr>
        <w:keepNext w:val="0"/>
        <w:keepLines w:val="0"/>
        <w:pageBreakBefore w:val="0"/>
        <w:kinsoku/>
        <w:wordWrap/>
        <w:overflowPunct/>
        <w:topLinePunct w:val="0"/>
        <w:autoSpaceDE/>
        <w:autoSpaceDN/>
        <w:bidi w:val="0"/>
        <w:adjustRightInd w:val="0"/>
        <w:snapToGrid w:val="0"/>
        <w:spacing w:line="460" w:lineRule="atLeast"/>
        <w:ind w:firstLine="39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2.4</w:t>
      </w:r>
      <w:r>
        <w:rPr>
          <w:rFonts w:hint="eastAsia" w:ascii="宋体" w:hAnsi="宋体" w:eastAsia="宋体" w:cs="宋体"/>
          <w:color w:val="auto"/>
          <w:spacing w:val="-6"/>
          <w:sz w:val="21"/>
          <w:szCs w:val="21"/>
          <w:lang w:val="en-US" w:eastAsia="zh-CN"/>
        </w:rPr>
        <w:t xml:space="preserve"> </w:t>
      </w:r>
      <w:r>
        <w:rPr>
          <w:rFonts w:hint="eastAsia" w:ascii="宋体" w:hAnsi="宋体" w:eastAsia="宋体" w:cs="宋体"/>
          <w:color w:val="auto"/>
          <w:sz w:val="21"/>
          <w:szCs w:val="21"/>
        </w:rPr>
        <w:t xml:space="preserve">首次响应文件报价出现前后不一致的，按照下列规定修正： </w:t>
      </w:r>
    </w:p>
    <w:p w14:paraId="4A64568C">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（1）响应文件中报价表内容与响应文件中相应内容不一致的，以报价表为准；</w:t>
      </w:r>
    </w:p>
    <w:p w14:paraId="1B7C4391">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（2）大写金额和小写金额不一致的，以大写金额为准；</w:t>
      </w:r>
    </w:p>
    <w:p w14:paraId="1522C001">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（3）单价金额小数点或者百分比有明显错位的，以报价表的总价为准，并修改单价；</w:t>
      </w:r>
    </w:p>
    <w:p w14:paraId="7EADADC4">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（4）总价金额与按单价汇总金额不一致的，以单价金额计算结果为准。</w:t>
      </w:r>
    </w:p>
    <w:p w14:paraId="46B77828">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同时出现两种以上不一致的，按照以上（1）-（4）规定的顺序逐条进行修正。</w:t>
      </w:r>
      <w:r>
        <w:rPr>
          <w:rFonts w:hint="eastAsia" w:ascii="宋体" w:hAnsi="宋体" w:eastAsia="宋体" w:cs="宋体"/>
          <w:b/>
          <w:bCs/>
          <w:color w:val="auto"/>
          <w:sz w:val="21"/>
          <w:szCs w:val="21"/>
        </w:rPr>
        <w:t>修正后的报价经供应商确认后产生约束力，供应商不确认的，其响应文件按无效处理。</w:t>
      </w:r>
    </w:p>
    <w:p w14:paraId="2B74D68A">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商务技术报价评审</w:t>
      </w:r>
    </w:p>
    <w:p w14:paraId="44D16C4B">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在评审时，如发现下列情形之一的，将被视为响应文件无效处理：</w:t>
      </w:r>
    </w:p>
    <w:p w14:paraId="7EBE8364">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（1）商务技术评审</w:t>
      </w:r>
    </w:p>
    <w:p w14:paraId="618B4EA8">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1）响应文件未按磋商文件要求签署、盖章的；</w:t>
      </w:r>
    </w:p>
    <w:p w14:paraId="7D17EE36">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2）委托代理人未能出具有效身份证或者出具的身份证与授权委托书中的信息不符的； </w:t>
      </w:r>
    </w:p>
    <w:p w14:paraId="14884FEA">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3）提交的磋商保证金无效的或者未按照磋商文件的规定提交磋商保证金的</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如有</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w:t>
      </w:r>
    </w:p>
    <w:p w14:paraId="09A82CB4">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3F45A14E">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5）响应文件的实质性内容未使用中文表述、使用计量单位不符合磋商文件要求的；</w:t>
      </w:r>
    </w:p>
    <w:p w14:paraId="436F035D">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6）响应文件中的文件资料因填写不齐全或者内容虚假或者出现其他情形而导致被磋商小组认定无效的；</w:t>
      </w:r>
    </w:p>
    <w:p w14:paraId="68FD0810">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7）响应文件含有采购人不能接受的附加条件的；</w:t>
      </w:r>
    </w:p>
    <w:p w14:paraId="7EE71E16">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8）属于“供应商须知正文”第</w:t>
      </w:r>
      <w:r>
        <w:rPr>
          <w:rFonts w:hint="eastAsia" w:ascii="宋体" w:hAnsi="宋体" w:eastAsia="宋体" w:cs="宋体"/>
          <w:b w:val="0"/>
          <w:bCs/>
          <w:color w:val="auto"/>
          <w:sz w:val="21"/>
          <w:szCs w:val="21"/>
          <w:lang w:val="en-US" w:eastAsia="zh-CN"/>
        </w:rPr>
        <w:t>27.2</w:t>
      </w:r>
      <w:r>
        <w:rPr>
          <w:rFonts w:hint="eastAsia" w:ascii="宋体" w:hAnsi="宋体" w:eastAsia="宋体" w:cs="宋体"/>
          <w:b w:val="0"/>
          <w:bCs/>
          <w:color w:val="auto"/>
          <w:sz w:val="21"/>
          <w:szCs w:val="21"/>
        </w:rPr>
        <w:t>条供应商相互串通竞标情形的；</w:t>
      </w:r>
    </w:p>
    <w:p w14:paraId="097D3850">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9）虚假竞标，或者出现其他情形而导致被磋商小组认定无效的；</w:t>
      </w:r>
    </w:p>
    <w:p w14:paraId="1232FA9F">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w:t>
      </w:r>
      <w:bookmarkStart w:id="24" w:name="_Hlk71704147"/>
      <w:r>
        <w:rPr>
          <w:rFonts w:hint="eastAsia" w:ascii="宋体" w:hAnsi="宋体" w:eastAsia="宋体" w:cs="宋体"/>
          <w:b w:val="0"/>
          <w:bCs/>
          <w:color w:val="auto"/>
          <w:sz w:val="21"/>
          <w:szCs w:val="21"/>
        </w:rPr>
        <w:t>磋商文件未载明允许提供备选（替代）竞标方案或明确不允许提供备选（替代）竞标方案时，供应商提供了备选（替代）竞标方案的</w:t>
      </w:r>
      <w:bookmarkEnd w:id="24"/>
      <w:r>
        <w:rPr>
          <w:rFonts w:hint="eastAsia" w:ascii="宋体" w:hAnsi="宋体" w:eastAsia="宋体" w:cs="宋体"/>
          <w:b w:val="0"/>
          <w:bCs/>
          <w:color w:val="auto"/>
          <w:sz w:val="21"/>
          <w:szCs w:val="21"/>
        </w:rPr>
        <w:t>；</w:t>
      </w:r>
    </w:p>
    <w:p w14:paraId="2BA0A71D">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11）响应文件标注的项目名称或者项目编号与磋商文件标注的项目名称或者项目编号不一致的；</w:t>
      </w:r>
    </w:p>
    <w:p w14:paraId="3B39883C">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12）竞争性磋商文件明确不允许分包，响应文件拟分包的；</w:t>
      </w:r>
    </w:p>
    <w:p w14:paraId="0610377C">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13）未响应磋商文件实质性要求的；</w:t>
      </w:r>
    </w:p>
    <w:p w14:paraId="27FE4690">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14）法律、法规和磋商文件规定的其他无效情形。</w:t>
      </w:r>
    </w:p>
    <w:p w14:paraId="51249431">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（2）报价评审</w:t>
      </w:r>
    </w:p>
    <w:p w14:paraId="28A735A3">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 响应文件未提供“供应商须知前附表” 报价文件中规定的“竞标报价表”的；</w:t>
      </w:r>
    </w:p>
    <w:p w14:paraId="38A22542">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2）未采用人民币报价或者未按照磋商文件标明的币种报价的；</w:t>
      </w:r>
    </w:p>
    <w:p w14:paraId="73B4C900">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3）供应商响应文件中存在有选择、有条件报价的（磋商文件允许有备选方案或者其他约定的除外）；</w:t>
      </w:r>
    </w:p>
    <w:p w14:paraId="260F5CFC">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4）竞标报价（包含首次报价、最后报价）超过所竞标分标规定的采购预算金额或者最高限价的（如本项目公布了最高限价）</w:t>
      </w:r>
      <w:bookmarkStart w:id="25" w:name="_Hlk42596405"/>
      <w:r>
        <w:rPr>
          <w:rFonts w:hint="eastAsia" w:ascii="宋体" w:hAnsi="宋体" w:eastAsia="宋体" w:cs="宋体"/>
          <w:b w:val="0"/>
          <w:bCs/>
          <w:color w:val="auto"/>
          <w:sz w:val="21"/>
          <w:szCs w:val="21"/>
        </w:rPr>
        <w:t>；竞标报价（包含首次报价、最后报价）</w:t>
      </w:r>
      <w:bookmarkEnd w:id="25"/>
      <w:bookmarkStart w:id="26" w:name="_Hlk42596276"/>
      <w:r>
        <w:rPr>
          <w:rFonts w:hint="eastAsia" w:ascii="宋体" w:hAnsi="宋体" w:eastAsia="宋体" w:cs="宋体"/>
          <w:b w:val="0"/>
          <w:bCs/>
          <w:color w:val="auto"/>
          <w:sz w:val="21"/>
          <w:szCs w:val="21"/>
        </w:rPr>
        <w:t>超过磋商文件分项采购预算金额或者单价最高限价的</w:t>
      </w:r>
      <w:bookmarkEnd w:id="26"/>
      <w:r>
        <w:rPr>
          <w:rFonts w:hint="eastAsia" w:ascii="宋体" w:hAnsi="宋体" w:eastAsia="宋体" w:cs="宋体"/>
          <w:b w:val="0"/>
          <w:bCs/>
          <w:color w:val="auto"/>
          <w:sz w:val="21"/>
          <w:szCs w:val="21"/>
        </w:rPr>
        <w:t>（如项目有要求并公布了分项采购预算金额或者单价最高限价）；</w:t>
      </w:r>
    </w:p>
    <w:p w14:paraId="7A4FE9D7">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74D1FC6D">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6）在单价合同工程中供应商采用总价优惠或以总价百分比优惠的方式进行竞标报价的；</w:t>
      </w:r>
    </w:p>
    <w:p w14:paraId="45D9E996">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7）竞标总报价与已标价工程量清单汇总表不一致的；</w:t>
      </w:r>
    </w:p>
    <w:p w14:paraId="3F7AACBA">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8）安全文明施工费和规费、增值税不按广西壮族自治区费用定额及造价管理相关文件规定报价的（园林绿化及仿古建筑工程除外）；</w:t>
      </w:r>
    </w:p>
    <w:p w14:paraId="3219C4E9">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9）</w:t>
      </w:r>
      <w:r>
        <w:rPr>
          <w:rFonts w:hint="eastAsia" w:ascii="宋体" w:hAnsi="宋体" w:eastAsia="宋体" w:cs="宋体"/>
          <w:b w:val="0"/>
          <w:bCs/>
          <w:color w:val="auto"/>
          <w:sz w:val="21"/>
          <w:szCs w:val="21"/>
          <w:lang w:val="en-US" w:eastAsia="zh-CN"/>
        </w:rPr>
        <w:t>如项目编码、项目名称、项目特征、计量单位、工程数量与采购人提供的无法一一对应，该清单项目作废，该清单项目的费用视为包含在其他清单中；如作废的清单项目达到3项以上（不含本数）或作废的清单项目造价累计超过单位工程竞标报价的2%（不含本数），视为不响应竞争性磋商文件实质性内容，作废标处理</w:t>
      </w:r>
      <w:r>
        <w:rPr>
          <w:rFonts w:hint="eastAsia" w:ascii="宋体" w:hAnsi="宋体" w:eastAsia="宋体" w:cs="宋体"/>
          <w:b w:val="0"/>
          <w:bCs/>
          <w:color w:val="auto"/>
          <w:sz w:val="21"/>
          <w:szCs w:val="21"/>
        </w:rPr>
        <w:t>；</w:t>
      </w:r>
    </w:p>
    <w:p w14:paraId="75B44814">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10）供应商已标价工程量清单的项目名称或项目特征与工程量清单不一致，磋商小组要求澄清、说明或补正，但供应商拒绝澄清、说明或补正的；</w:t>
      </w:r>
    </w:p>
    <w:p w14:paraId="55FFBCF4">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）响应文件响应的标的数量及单位与竞争性磋商采购文件要求实质性不一致的；</w:t>
      </w:r>
    </w:p>
    <w:p w14:paraId="5B4311D6">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bookmarkStart w:id="27" w:name="_Hlk188371373"/>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）竞标函附录的承诺</w:t>
      </w:r>
      <w:bookmarkStart w:id="28" w:name="_Hlk188372203"/>
      <w:r>
        <w:rPr>
          <w:rFonts w:hint="eastAsia" w:ascii="宋体" w:hAnsi="宋体" w:eastAsia="宋体" w:cs="宋体"/>
          <w:b w:val="0"/>
          <w:bCs/>
          <w:color w:val="auto"/>
          <w:sz w:val="21"/>
          <w:szCs w:val="21"/>
        </w:rPr>
        <w:t>不</w:t>
      </w:r>
      <w:bookmarkEnd w:id="28"/>
      <w:r>
        <w:rPr>
          <w:rFonts w:hint="eastAsia" w:ascii="宋体" w:hAnsi="宋体" w:eastAsia="宋体" w:cs="宋体"/>
          <w:b w:val="0"/>
          <w:bCs/>
          <w:color w:val="auto"/>
          <w:sz w:val="21"/>
          <w:szCs w:val="21"/>
        </w:rPr>
        <w:t>符合磋商文件规定</w:t>
      </w:r>
      <w:bookmarkEnd w:id="27"/>
      <w:r>
        <w:rPr>
          <w:rFonts w:hint="eastAsia" w:ascii="宋体" w:hAnsi="宋体" w:eastAsia="宋体" w:cs="宋体"/>
          <w:b w:val="0"/>
          <w:bCs/>
          <w:color w:val="auto"/>
          <w:sz w:val="21"/>
          <w:szCs w:val="21"/>
        </w:rPr>
        <w:t>的；</w:t>
      </w:r>
    </w:p>
    <w:p w14:paraId="0CD42E10">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）未响应磋商文件实质性要求的。</w:t>
      </w:r>
    </w:p>
    <w:p w14:paraId="411D0491">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磋商小组对响应文件进行评审，未实质性响应磋商文件的响应文件按无效处理，磋商小组应当将资格和符合性不通过的情况告知有关供应商。</w:t>
      </w:r>
    </w:p>
    <w:p w14:paraId="63D0D3FB">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bCs/>
          <w:color w:val="auto"/>
          <w:sz w:val="28"/>
          <w:szCs w:val="28"/>
        </w:rPr>
      </w:pPr>
      <w:r>
        <w:rPr>
          <w:rFonts w:hint="eastAsia" w:ascii="宋体" w:hAnsi="宋体" w:eastAsia="宋体" w:cs="宋体"/>
          <w:color w:val="auto"/>
          <w:sz w:val="21"/>
          <w:szCs w:val="21"/>
        </w:rPr>
        <w:t>2.7通过符合性审查的合格供应商不足3家的，不得进入磋商环节，应当重新开展采购活动。</w:t>
      </w:r>
    </w:p>
    <w:p w14:paraId="31079828">
      <w:pPr>
        <w:keepNext w:val="0"/>
        <w:keepLines w:val="0"/>
        <w:pageBreakBefore w:val="0"/>
        <w:numPr>
          <w:ilvl w:val="0"/>
          <w:numId w:val="0"/>
        </w:numPr>
        <w:kinsoku/>
        <w:wordWrap/>
        <w:overflowPunct/>
        <w:topLinePunct w:val="0"/>
        <w:autoSpaceDE/>
        <w:autoSpaceDN/>
        <w:bidi w:val="0"/>
        <w:adjustRightInd w:val="0"/>
        <w:snapToGrid w:val="0"/>
        <w:spacing w:line="46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3. </w:t>
      </w:r>
      <w:r>
        <w:rPr>
          <w:rFonts w:hint="eastAsia" w:ascii="宋体" w:hAnsi="宋体" w:eastAsia="宋体" w:cs="宋体"/>
          <w:b/>
          <w:bCs/>
          <w:color w:val="auto"/>
          <w:sz w:val="24"/>
          <w:szCs w:val="24"/>
        </w:rPr>
        <w:t>磋商程序</w:t>
      </w:r>
    </w:p>
    <w:p w14:paraId="41FEFAD5">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磋商小组</w:t>
      </w:r>
      <w:r>
        <w:rPr>
          <w:rFonts w:hint="eastAsia" w:ascii="宋体" w:hAnsi="宋体" w:eastAsia="宋体" w:cs="宋体"/>
          <w:color w:val="auto"/>
          <w:sz w:val="21"/>
          <w:szCs w:val="21"/>
        </w:rPr>
        <w:t>集中与单一供应商分别进行磋商，并给予所有参加磋商的供应商平等的磋商机会。符合磋商资格的供应商必须在接到磋商通知后规定时间内参加磋商，</w:t>
      </w:r>
      <w:r>
        <w:rPr>
          <w:rFonts w:hint="eastAsia" w:ascii="宋体" w:hAnsi="宋体" w:eastAsia="宋体" w:cs="宋体"/>
          <w:b/>
          <w:bCs/>
          <w:color w:val="auto"/>
          <w:sz w:val="21"/>
          <w:szCs w:val="21"/>
        </w:rPr>
        <w:t>未在规定时间内参加磋商的视同放弃参加磋商权利，其响应文件按无效处理。</w:t>
      </w:r>
    </w:p>
    <w:p w14:paraId="4A6ACD9A">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1638E3B">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对磋商文件作出的实质性变动是磋商文件的有效组成部分，由磋商小组及时以电子澄清函形式同时通知所有参加磋商的供应商。</w:t>
      </w:r>
    </w:p>
    <w:p w14:paraId="7A4A8658">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3.4</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EF48E7E">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3.5</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磋商中，磋商的任何一方不得透露与磋商有关的其他供应商的技术资料、价格和其他信息</w:t>
      </w:r>
      <w:r>
        <w:rPr>
          <w:rFonts w:hint="eastAsia" w:ascii="宋体" w:hAnsi="宋体" w:eastAsia="宋体" w:cs="宋体"/>
          <w:color w:val="auto"/>
          <w:spacing w:val="-6"/>
          <w:sz w:val="21"/>
          <w:szCs w:val="21"/>
        </w:rPr>
        <w:t>。</w:t>
      </w:r>
    </w:p>
    <w:p w14:paraId="5693CB38">
      <w:pPr>
        <w:keepNext w:val="0"/>
        <w:keepLines w:val="0"/>
        <w:pageBreakBefore w:val="0"/>
        <w:widowControl/>
        <w:tabs>
          <w:tab w:val="left" w:pos="540"/>
        </w:tabs>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采购代理机构对磋商过程和磋商内容进行记录。</w:t>
      </w:r>
    </w:p>
    <w:p w14:paraId="633A5ECE">
      <w:pPr>
        <w:keepNext w:val="0"/>
        <w:keepLines w:val="0"/>
        <w:pageBreakBefore w:val="0"/>
        <w:widowControl/>
        <w:tabs>
          <w:tab w:val="left" w:pos="540"/>
        </w:tabs>
        <w:kinsoku/>
        <w:wordWrap/>
        <w:overflowPunct/>
        <w:topLinePunct w:val="0"/>
        <w:autoSpaceDE/>
        <w:autoSpaceDN/>
        <w:bidi w:val="0"/>
        <w:adjustRightInd w:val="0"/>
        <w:snapToGrid w:val="0"/>
        <w:spacing w:line="460" w:lineRule="atLeas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3.7</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02A31F9">
      <w:pPr>
        <w:keepNext w:val="0"/>
        <w:keepLines w:val="0"/>
        <w:pageBreakBefore w:val="0"/>
        <w:tabs>
          <w:tab w:val="left" w:pos="2835"/>
        </w:tabs>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3.8</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除本章第3.7条规定的情形外，对磋商过程提交的响应文件进行有效性、完整性和响应程度审查，通过审查的合格供应商不足3家的，应当重新开展采购活动。</w:t>
      </w:r>
    </w:p>
    <w:p w14:paraId="554E0223">
      <w:pPr>
        <w:keepNext w:val="0"/>
        <w:keepLines w:val="0"/>
        <w:pageBreakBefore w:val="0"/>
        <w:kinsoku/>
        <w:wordWrap/>
        <w:overflowPunct/>
        <w:topLinePunct w:val="0"/>
        <w:autoSpaceDE/>
        <w:autoSpaceDN/>
        <w:bidi w:val="0"/>
        <w:adjustRightInd w:val="0"/>
        <w:snapToGrid w:val="0"/>
        <w:spacing w:line="460" w:lineRule="atLeas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 最后报价</w:t>
      </w:r>
    </w:p>
    <w:p w14:paraId="1D063F9B">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磋商文件能够详细列明采购标的的技术、服务要求的，磋商结束后，磋商小组应当要求所有继续参加磋商的供应商在规定时间内在广西政府采购云平台开标大厅提交加盖供应商电子签章的最后报价，除本章第4.3条规定的情形外，提交最后报价的供应商不得少于3家，否则应当重新开展采购活动。</w:t>
      </w:r>
    </w:p>
    <w:p w14:paraId="584E7CF7">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0476E536">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如果供应商的最后报价与首次报价不一致的，不能只报竞标总报价，必须同时提供</w:t>
      </w:r>
      <w:r>
        <w:rPr>
          <w:rFonts w:hint="eastAsia" w:ascii="宋体" w:hAnsi="宋体" w:cs="宋体"/>
          <w:b/>
          <w:color w:val="auto"/>
          <w:sz w:val="21"/>
          <w:szCs w:val="21"/>
          <w:lang w:val="en-US" w:eastAsia="zh-CN"/>
        </w:rPr>
        <w:t>调整后的</w:t>
      </w:r>
      <w:r>
        <w:rPr>
          <w:rFonts w:hint="eastAsia" w:ascii="宋体" w:hAnsi="宋体" w:eastAsia="宋体" w:cs="宋体"/>
          <w:b/>
          <w:color w:val="auto"/>
          <w:sz w:val="21"/>
          <w:szCs w:val="21"/>
        </w:rPr>
        <w:t>“已标价工程量清单”，否则做无效响应处理。</w:t>
      </w:r>
    </w:p>
    <w:p w14:paraId="601C6910">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最后报价是供应商响应文件的有效组成部分。</w:t>
      </w:r>
    </w:p>
    <w:p w14:paraId="0FBC4BC2">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4910FFD2">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已经提交响应文件的供应商，在提交最后报价之前，可以根据磋商情况退出磋商，</w:t>
      </w:r>
      <w:r>
        <w:rPr>
          <w:rFonts w:hint="eastAsia" w:ascii="宋体" w:hAnsi="宋体" w:eastAsia="宋体" w:cs="宋体"/>
          <w:b/>
          <w:bCs/>
          <w:color w:val="auto"/>
          <w:sz w:val="21"/>
          <w:szCs w:val="21"/>
        </w:rPr>
        <w:t>退出磋商的供应商的响应文件按无效处理。</w:t>
      </w:r>
      <w:r>
        <w:rPr>
          <w:rFonts w:hint="eastAsia" w:ascii="宋体" w:hAnsi="宋体" w:eastAsia="宋体" w:cs="宋体"/>
          <w:color w:val="auto"/>
          <w:sz w:val="21"/>
          <w:szCs w:val="21"/>
        </w:rPr>
        <w:t>采购人、采购代理机构将退还退出磋商的供应商的保证金。</w:t>
      </w:r>
    </w:p>
    <w:p w14:paraId="24B078B0">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4.5</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供应商未在规定时间内提交最后报价的，视同退出磋商，其响应文件按无效处理。</w:t>
      </w:r>
    </w:p>
    <w:p w14:paraId="4BD74D24">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4.6</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最后报价统一开启后，磋商小组对最后报价进行有效性、完整性和响应程度的审查。</w:t>
      </w:r>
    </w:p>
    <w:p w14:paraId="152EB04B">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4.7</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最后报价出现前后不一致的，按照本章第2.4条的规定修正。 </w:t>
      </w:r>
    </w:p>
    <w:p w14:paraId="406E91CC">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4.8</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修正后的报价出现下列情形的，按无效响应处理：</w:t>
      </w:r>
    </w:p>
    <w:p w14:paraId="7D181766">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（1）供应商不确认的（全流程电子化评标采取在线确认）；</w:t>
      </w:r>
    </w:p>
    <w:p w14:paraId="49D3C87C">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（2）经供应商确认修正后的竞标报价（包含首次报价、最后报价）超过所竞标分标规定的采购预算金额或者最高限价的（如本项目公布了最高限价）；</w:t>
      </w:r>
    </w:p>
    <w:p w14:paraId="7E5B1CD8">
      <w:pPr>
        <w:keepNext w:val="0"/>
        <w:keepLines w:val="0"/>
        <w:pageBreakBefore w:val="0"/>
        <w:kinsoku/>
        <w:wordWrap/>
        <w:overflowPunct/>
        <w:topLinePunct w:val="0"/>
        <w:autoSpaceDE/>
        <w:autoSpaceDN/>
        <w:bidi w:val="0"/>
        <w:adjustRightInd w:val="0"/>
        <w:snapToGrid w:val="0"/>
        <w:spacing w:line="460" w:lineRule="atLeas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（3）经供应商确认修正后的竞标报价（包含首次报价、最后报价）超过分项采购预算金额或者单价最高限价的（如项目有要求并公布了分项采购预算金额或者单价最高限价）。</w:t>
      </w:r>
    </w:p>
    <w:p w14:paraId="2DFF8586">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4.9</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经供应商确认修正后的最后报价作为评审及签订合同的依据。</w:t>
      </w:r>
    </w:p>
    <w:p w14:paraId="486C8DE5">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4.10</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供应商出现最后报价按无效响应处理或者响应文件按无效处理时，磋商小组应当告知有关供应商。</w:t>
      </w:r>
    </w:p>
    <w:p w14:paraId="13032485">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bCs/>
          <w:color w:val="auto"/>
          <w:sz w:val="28"/>
          <w:szCs w:val="28"/>
        </w:rPr>
      </w:pPr>
      <w:r>
        <w:rPr>
          <w:rFonts w:hint="eastAsia" w:ascii="宋体" w:hAnsi="宋体" w:eastAsia="宋体" w:cs="宋体"/>
          <w:color w:val="auto"/>
          <w:sz w:val="21"/>
          <w:szCs w:val="21"/>
        </w:rPr>
        <w:t>4.11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最后报价结束后，磋商小组不得再与供应商进行任何形式的商谈。</w:t>
      </w:r>
    </w:p>
    <w:p w14:paraId="015E1784">
      <w:pPr>
        <w:keepNext w:val="0"/>
        <w:keepLines w:val="0"/>
        <w:pageBreakBefore w:val="0"/>
        <w:kinsoku/>
        <w:wordWrap/>
        <w:overflowPunct/>
        <w:topLinePunct w:val="0"/>
        <w:autoSpaceDE/>
        <w:autoSpaceDN/>
        <w:bidi w:val="0"/>
        <w:adjustRightInd w:val="0"/>
        <w:snapToGrid w:val="0"/>
        <w:spacing w:line="46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比较与评价</w:t>
      </w:r>
    </w:p>
    <w:p w14:paraId="5B9143CD">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评审方法：综合评分法。</w:t>
      </w:r>
    </w:p>
    <w:p w14:paraId="5045D327">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经磋商确定最终采购需求和提交最后报价的供应商后，由磋商小组采用综合评分法对提交最后报价的供应商的响应文件和最后报价进行综合评分。</w:t>
      </w:r>
    </w:p>
    <w:p w14:paraId="0A6C0110">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评审时，磋商小组各成员应当独立对每个有效响应的文件进行评价、打分，然后汇总每个供应商每项评分因素的得分。</w:t>
      </w:r>
    </w:p>
    <w:p w14:paraId="1E1B0294">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（1）磋商小组按照磋商文件中规定的评审标准计算各供应商的报价得分。项目评审过程中，不得去掉最后报价中的最高报价和最低报价。</w:t>
      </w:r>
    </w:p>
    <w:p w14:paraId="0974D8AF">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（2）各供应商的得分为磋商小组所有成员的有效评分的算术平均数。</w:t>
      </w:r>
    </w:p>
    <w:p w14:paraId="22AA835C">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b/>
          <w:bCs/>
          <w:color w:val="auto"/>
          <w:sz w:val="28"/>
          <w:szCs w:val="28"/>
        </w:rPr>
      </w:pPr>
      <w:r>
        <w:rPr>
          <w:rFonts w:hint="eastAsia" w:ascii="宋体" w:hAnsi="宋体" w:eastAsia="宋体" w:cs="宋体"/>
          <w:color w:val="auto"/>
          <w:sz w:val="21"/>
          <w:szCs w:val="21"/>
        </w:rPr>
        <w:t>5.4评审价为供应商的最后报价进行政策性扣除后的价格，评审价只是作为评审时使用。最终成交供应商的成交金额等于最后报价（如有修正，以确认修正后的最后报价为准）。</w:t>
      </w:r>
    </w:p>
    <w:p w14:paraId="50F17842">
      <w:pPr>
        <w:keepNext w:val="0"/>
        <w:keepLines w:val="0"/>
        <w:pageBreakBefore w:val="0"/>
        <w:kinsoku/>
        <w:wordWrap/>
        <w:overflowPunct/>
        <w:topLinePunct w:val="0"/>
        <w:autoSpaceDE/>
        <w:autoSpaceDN/>
        <w:bidi w:val="0"/>
        <w:adjustRightInd w:val="0"/>
        <w:snapToGrid w:val="0"/>
        <w:spacing w:line="46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 成交供应商推荐原则</w:t>
      </w:r>
    </w:p>
    <w:p w14:paraId="3E2AC33E">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6.1</w:t>
      </w:r>
      <w:r>
        <w:rPr>
          <w:rFonts w:hint="eastAsia" w:ascii="宋体" w:hAnsi="宋体" w:eastAsia="宋体" w:cs="宋体"/>
          <w:color w:val="auto"/>
          <w:sz w:val="21"/>
          <w:szCs w:val="21"/>
          <w:lang w:val="en-US" w:eastAsia="zh-CN"/>
        </w:rPr>
        <w:t xml:space="preserve"> </w:t>
      </w:r>
      <w:r>
        <w:rPr>
          <w:rFonts w:hint="eastAsia" w:ascii="宋体" w:hAnsi="宋体" w:eastAsia="宋体" w:cs="宋体"/>
          <w:bCs/>
          <w:color w:val="auto"/>
          <w:sz w:val="21"/>
          <w:szCs w:val="21"/>
        </w:rPr>
        <w:t>由磋商小组根据综合评分情况，按照评审得分由高到低顺序推荐3名以上成交候选供应商，并编写评审报告，</w:t>
      </w:r>
      <w:r>
        <w:rPr>
          <w:rFonts w:hint="eastAsia" w:ascii="宋体" w:hAnsi="宋体" w:eastAsia="宋体" w:cs="宋体"/>
          <w:color w:val="auto"/>
          <w:sz w:val="21"/>
          <w:szCs w:val="21"/>
        </w:rPr>
        <w:t>评审报告通过电子交易平台向采购人、采购代理机构提交。</w:t>
      </w:r>
      <w:r>
        <w:rPr>
          <w:rFonts w:hint="eastAsia" w:ascii="宋体" w:hAnsi="宋体" w:eastAsia="宋体" w:cs="宋体"/>
          <w:bCs/>
          <w:color w:val="auto"/>
          <w:sz w:val="21"/>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r>
        <w:rPr>
          <w:rFonts w:hint="eastAsia" w:ascii="宋体" w:hAnsi="宋体" w:eastAsia="宋体" w:cs="宋体"/>
          <w:color w:val="auto"/>
          <w:kern w:val="0"/>
          <w:sz w:val="21"/>
          <w:szCs w:val="21"/>
        </w:rPr>
        <w:t>。</w:t>
      </w:r>
    </w:p>
    <w:p w14:paraId="1DD5BB6E">
      <w:pPr>
        <w:keepNext w:val="0"/>
        <w:keepLines w:val="0"/>
        <w:pageBreakBefore w:val="0"/>
        <w:kinsoku/>
        <w:wordWrap/>
        <w:overflowPunct/>
        <w:topLinePunct w:val="0"/>
        <w:autoSpaceDE/>
        <w:autoSpaceDN/>
        <w:bidi w:val="0"/>
        <w:adjustRightInd w:val="0"/>
        <w:snapToGrid w:val="0"/>
        <w:spacing w:line="460" w:lineRule="atLeas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kern w:val="0"/>
          <w:sz w:val="21"/>
          <w:szCs w:val="21"/>
        </w:rPr>
        <w:t>6.2</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FBBDA2">
      <w:pPr>
        <w:keepNext w:val="0"/>
        <w:keepLines w:val="0"/>
        <w:pageBreakBefore w:val="0"/>
        <w:kinsoku/>
        <w:wordWrap/>
        <w:overflowPunct/>
        <w:topLinePunct w:val="0"/>
        <w:autoSpaceDE/>
        <w:autoSpaceDN/>
        <w:bidi w:val="0"/>
        <w:adjustRightInd/>
        <w:spacing w:line="440" w:lineRule="atLeast"/>
        <w:textAlignment w:val="auto"/>
        <w:rPr>
          <w:rFonts w:hint="eastAsia" w:ascii="宋体" w:hAnsi="宋体" w:eastAsia="宋体" w:cs="宋体"/>
          <w:lang w:val="en-US" w:eastAsia="zh-CN"/>
        </w:rPr>
        <w:sectPr>
          <w:pgSz w:w="11906" w:h="16838"/>
          <w:pgMar w:top="1247" w:right="1247" w:bottom="1247" w:left="1247" w:header="851" w:footer="992" w:gutter="0"/>
          <w:pgNumType w:fmt="decimal"/>
          <w:cols w:space="425" w:num="1"/>
          <w:docGrid w:type="lines" w:linePitch="312" w:charSpace="0"/>
        </w:sectPr>
      </w:pPr>
    </w:p>
    <w:p w14:paraId="2AD5768C">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23B32D16">
      <w:pPr>
        <w:spacing w:line="360" w:lineRule="auto"/>
        <w:ind w:firstLine="420" w:firstLineChars="200"/>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lang w:val="en-US" w:eastAsia="zh-CN"/>
        </w:rPr>
        <w:t xml:space="preserve"> </w:t>
      </w:r>
      <w:r>
        <w:rPr>
          <w:rFonts w:hint="eastAsia" w:ascii="宋体" w:hAnsi="宋体"/>
          <w:bCs/>
          <w:color w:val="auto"/>
          <w:szCs w:val="21"/>
        </w:rPr>
        <w:t>评审依据：磋商小组以磋商文件为评审依据，对供应商的</w:t>
      </w:r>
      <w:r>
        <w:rPr>
          <w:rFonts w:hint="eastAsia" w:ascii="宋体" w:hAnsi="宋体"/>
          <w:bCs/>
          <w:color w:val="auto"/>
          <w:szCs w:val="21"/>
          <w:lang w:val="en-US" w:eastAsia="zh-CN"/>
        </w:rPr>
        <w:t>有效磋商</w:t>
      </w:r>
      <w:r>
        <w:rPr>
          <w:rFonts w:hint="eastAsia" w:ascii="宋体" w:hAnsi="宋体"/>
          <w:bCs/>
          <w:color w:val="auto"/>
          <w:szCs w:val="21"/>
        </w:rPr>
        <w:t>报价、技术、商务等方面内容按百分制打分。（计分方法按四舍五入取至百分位）</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06"/>
        <w:gridCol w:w="1045"/>
        <w:gridCol w:w="5654"/>
        <w:gridCol w:w="1139"/>
      </w:tblGrid>
      <w:tr w14:paraId="4806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638" w:type="dxa"/>
            <w:tcMar>
              <w:top w:w="85" w:type="dxa"/>
              <w:left w:w="85" w:type="dxa"/>
              <w:bottom w:w="85" w:type="dxa"/>
              <w:right w:w="85" w:type="dxa"/>
            </w:tcMar>
            <w:vAlign w:val="center"/>
          </w:tcPr>
          <w:p w14:paraId="674A6ADD">
            <w:pPr>
              <w:pStyle w:val="10"/>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val="0"/>
                <w:sz w:val="21"/>
                <w:szCs w:val="21"/>
                <w:vertAlign w:val="baseline"/>
                <w:lang w:val="en-US" w:eastAsia="zh-CN"/>
              </w:rPr>
            </w:pPr>
            <w:r>
              <w:rPr>
                <w:rFonts w:hint="eastAsia" w:ascii="宋体" w:hAnsi="宋体" w:eastAsia="宋体" w:cs="宋体"/>
                <w:b/>
                <w:bCs w:val="0"/>
                <w:color w:val="auto"/>
                <w:sz w:val="21"/>
                <w:szCs w:val="21"/>
                <w:highlight w:val="none"/>
                <w:lang w:val="en-US" w:eastAsia="zh-CN"/>
              </w:rPr>
              <w:t>序号</w:t>
            </w:r>
          </w:p>
        </w:tc>
        <w:tc>
          <w:tcPr>
            <w:tcW w:w="1106" w:type="dxa"/>
            <w:tcMar>
              <w:top w:w="85" w:type="dxa"/>
              <w:left w:w="85" w:type="dxa"/>
              <w:bottom w:w="85" w:type="dxa"/>
              <w:right w:w="85" w:type="dxa"/>
            </w:tcMar>
            <w:vAlign w:val="center"/>
          </w:tcPr>
          <w:p w14:paraId="49AC6C22">
            <w:pPr>
              <w:pStyle w:val="10"/>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val="0"/>
                <w:sz w:val="21"/>
                <w:szCs w:val="21"/>
                <w:vertAlign w:val="baseline"/>
                <w:lang w:val="en-US" w:eastAsia="zh-CN"/>
              </w:rPr>
            </w:pPr>
            <w:r>
              <w:rPr>
                <w:rFonts w:hint="eastAsia" w:ascii="宋体" w:hAnsi="宋体" w:eastAsia="宋体" w:cs="宋体"/>
                <w:b/>
                <w:bCs w:val="0"/>
                <w:color w:val="auto"/>
                <w:sz w:val="21"/>
                <w:szCs w:val="21"/>
                <w:highlight w:val="none"/>
              </w:rPr>
              <w:t>评分项目</w:t>
            </w:r>
          </w:p>
        </w:tc>
        <w:tc>
          <w:tcPr>
            <w:tcW w:w="6699" w:type="dxa"/>
            <w:gridSpan w:val="2"/>
            <w:tcMar>
              <w:top w:w="85" w:type="dxa"/>
              <w:left w:w="85" w:type="dxa"/>
              <w:bottom w:w="85" w:type="dxa"/>
              <w:right w:w="85" w:type="dxa"/>
            </w:tcMar>
            <w:vAlign w:val="center"/>
          </w:tcPr>
          <w:p w14:paraId="4D81C7CB">
            <w:pPr>
              <w:pStyle w:val="10"/>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评审标准</w:t>
            </w:r>
          </w:p>
        </w:tc>
        <w:tc>
          <w:tcPr>
            <w:tcW w:w="1139" w:type="dxa"/>
            <w:tcMar>
              <w:top w:w="85" w:type="dxa"/>
              <w:left w:w="85" w:type="dxa"/>
              <w:bottom w:w="85" w:type="dxa"/>
              <w:right w:w="85" w:type="dxa"/>
            </w:tcMar>
            <w:vAlign w:val="center"/>
          </w:tcPr>
          <w:p w14:paraId="40D1A749">
            <w:pPr>
              <w:pStyle w:val="10"/>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val="0"/>
                <w:sz w:val="21"/>
                <w:szCs w:val="21"/>
                <w:vertAlign w:val="baseline"/>
                <w:lang w:val="en-US" w:eastAsia="zh-CN"/>
              </w:rPr>
            </w:pPr>
            <w:r>
              <w:rPr>
                <w:rFonts w:hint="eastAsia" w:ascii="宋体" w:hAnsi="宋体" w:eastAsia="宋体" w:cs="宋体"/>
                <w:b/>
                <w:bCs w:val="0"/>
                <w:color w:val="auto"/>
                <w:sz w:val="21"/>
                <w:szCs w:val="21"/>
                <w:highlight w:val="none"/>
              </w:rPr>
              <w:t>分值</w:t>
            </w:r>
          </w:p>
        </w:tc>
      </w:tr>
      <w:tr w14:paraId="4FD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38" w:type="dxa"/>
            <w:vMerge w:val="restart"/>
            <w:tcMar>
              <w:top w:w="85" w:type="dxa"/>
              <w:left w:w="85" w:type="dxa"/>
              <w:bottom w:w="85" w:type="dxa"/>
              <w:right w:w="85" w:type="dxa"/>
            </w:tcMar>
            <w:vAlign w:val="center"/>
          </w:tcPr>
          <w:p w14:paraId="1A656A21">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06" w:type="dxa"/>
            <w:vMerge w:val="restart"/>
            <w:tcMar>
              <w:top w:w="85" w:type="dxa"/>
              <w:left w:w="85" w:type="dxa"/>
              <w:bottom w:w="85" w:type="dxa"/>
              <w:right w:w="85" w:type="dxa"/>
            </w:tcMar>
            <w:vAlign w:val="center"/>
          </w:tcPr>
          <w:p w14:paraId="0074C8E1">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报价分</w:t>
            </w:r>
          </w:p>
        </w:tc>
        <w:tc>
          <w:tcPr>
            <w:tcW w:w="6699" w:type="dxa"/>
            <w:gridSpan w:val="2"/>
            <w:tcMar>
              <w:top w:w="85" w:type="dxa"/>
              <w:left w:w="85" w:type="dxa"/>
              <w:bottom w:w="85" w:type="dxa"/>
              <w:right w:w="85" w:type="dxa"/>
            </w:tcMar>
            <w:vAlign w:val="center"/>
          </w:tcPr>
          <w:p w14:paraId="3C0F1AF9">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报价分采用低价优先法计算，即以进入详评的且最后报价最低的供应商的价格为磋商基准价，其价格分为20分。其他供应商的报价分统一按照下列公式计算：</w:t>
            </w:r>
          </w:p>
          <w:p w14:paraId="0BA29FDF">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磋商报价得分=（磋商基准价/某供应商的最后磋商报价）×20分</w:t>
            </w:r>
          </w:p>
        </w:tc>
        <w:tc>
          <w:tcPr>
            <w:tcW w:w="1139" w:type="dxa"/>
            <w:vMerge w:val="restart"/>
            <w:tcMar>
              <w:top w:w="85" w:type="dxa"/>
              <w:left w:w="85" w:type="dxa"/>
              <w:bottom w:w="85" w:type="dxa"/>
              <w:right w:w="85" w:type="dxa"/>
            </w:tcMar>
            <w:vAlign w:val="center"/>
          </w:tcPr>
          <w:p w14:paraId="3CB05C05">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满分20分</w:t>
            </w:r>
          </w:p>
        </w:tc>
      </w:tr>
      <w:tr w14:paraId="6F4C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38" w:type="dxa"/>
            <w:vMerge w:val="continue"/>
            <w:tcMar>
              <w:top w:w="85" w:type="dxa"/>
              <w:left w:w="85" w:type="dxa"/>
              <w:bottom w:w="85" w:type="dxa"/>
              <w:right w:w="85" w:type="dxa"/>
            </w:tcMar>
          </w:tcPr>
          <w:p w14:paraId="18599E2B">
            <w:pPr>
              <w:pStyle w:val="11"/>
              <w:keepNext w:val="0"/>
              <w:keepLines w:val="0"/>
              <w:pageBreakBefore w:val="0"/>
              <w:widowControl w:val="0"/>
              <w:kinsoku/>
              <w:wordWrap/>
              <w:overflowPunct/>
              <w:topLinePunct w:val="0"/>
              <w:autoSpaceDE/>
              <w:autoSpaceDN/>
              <w:bidi w:val="0"/>
              <w:adjustRightInd w:val="0"/>
              <w:snapToGrid w:val="0"/>
              <w:spacing w:after="0" w:line="360" w:lineRule="atLeast"/>
              <w:textAlignment w:val="auto"/>
              <w:rPr>
                <w:rFonts w:hint="eastAsia" w:ascii="宋体" w:hAnsi="宋体" w:eastAsia="宋体" w:cs="宋体"/>
                <w:sz w:val="21"/>
                <w:szCs w:val="21"/>
                <w:vertAlign w:val="baseline"/>
                <w:lang w:val="en-US" w:eastAsia="zh-CN"/>
              </w:rPr>
            </w:pPr>
          </w:p>
        </w:tc>
        <w:tc>
          <w:tcPr>
            <w:tcW w:w="1106" w:type="dxa"/>
            <w:vMerge w:val="continue"/>
            <w:tcMar>
              <w:top w:w="85" w:type="dxa"/>
              <w:left w:w="85" w:type="dxa"/>
              <w:bottom w:w="85" w:type="dxa"/>
              <w:right w:w="85" w:type="dxa"/>
            </w:tcMar>
          </w:tcPr>
          <w:p w14:paraId="1F0D9F5A">
            <w:pPr>
              <w:pStyle w:val="11"/>
              <w:keepNext w:val="0"/>
              <w:keepLines w:val="0"/>
              <w:pageBreakBefore w:val="0"/>
              <w:widowControl w:val="0"/>
              <w:kinsoku/>
              <w:wordWrap/>
              <w:overflowPunct/>
              <w:topLinePunct w:val="0"/>
              <w:autoSpaceDE/>
              <w:autoSpaceDN/>
              <w:bidi w:val="0"/>
              <w:adjustRightInd w:val="0"/>
              <w:snapToGrid w:val="0"/>
              <w:spacing w:after="0" w:line="360" w:lineRule="atLeast"/>
              <w:textAlignment w:val="auto"/>
              <w:rPr>
                <w:rFonts w:hint="eastAsia" w:ascii="宋体" w:hAnsi="宋体" w:eastAsia="宋体" w:cs="宋体"/>
                <w:sz w:val="21"/>
                <w:szCs w:val="21"/>
                <w:vertAlign w:val="baseline"/>
                <w:lang w:val="en-US" w:eastAsia="zh-CN"/>
              </w:rPr>
            </w:pPr>
          </w:p>
        </w:tc>
        <w:tc>
          <w:tcPr>
            <w:tcW w:w="6699" w:type="dxa"/>
            <w:gridSpan w:val="2"/>
            <w:tcMar>
              <w:top w:w="85" w:type="dxa"/>
              <w:left w:w="85" w:type="dxa"/>
              <w:bottom w:w="85" w:type="dxa"/>
              <w:right w:w="85" w:type="dxa"/>
            </w:tcMar>
            <w:vAlign w:val="center"/>
          </w:tcPr>
          <w:p w14:paraId="654A1E0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本项目由于属于专门面向中小企业采购，按照《政府采购促进中小企业发展管理办法》（财库[2020]46号）规定，不再执行价格评审优惠的扶持政策。则某响应供应商最终报价等于其评审报价。</w:t>
            </w:r>
          </w:p>
        </w:tc>
        <w:tc>
          <w:tcPr>
            <w:tcW w:w="1139" w:type="dxa"/>
            <w:vMerge w:val="continue"/>
            <w:tcMar>
              <w:top w:w="85" w:type="dxa"/>
              <w:left w:w="85" w:type="dxa"/>
              <w:bottom w:w="85" w:type="dxa"/>
              <w:right w:w="85" w:type="dxa"/>
            </w:tcMar>
            <w:vAlign w:val="center"/>
          </w:tcPr>
          <w:p w14:paraId="2948F7A6">
            <w:pPr>
              <w:pStyle w:val="11"/>
              <w:keepNext w:val="0"/>
              <w:keepLines w:val="0"/>
              <w:pageBreakBefore w:val="0"/>
              <w:widowControl w:val="0"/>
              <w:kinsoku/>
              <w:wordWrap/>
              <w:overflowPunct/>
              <w:topLinePunct w:val="0"/>
              <w:autoSpaceDE/>
              <w:autoSpaceDN/>
              <w:bidi w:val="0"/>
              <w:adjustRightInd w:val="0"/>
              <w:snapToGrid w:val="0"/>
              <w:spacing w:after="0" w:line="360" w:lineRule="atLeast"/>
              <w:jc w:val="center"/>
              <w:textAlignment w:val="auto"/>
              <w:rPr>
                <w:rFonts w:hint="eastAsia" w:ascii="宋体" w:hAnsi="宋体" w:eastAsia="宋体" w:cs="宋体"/>
                <w:sz w:val="21"/>
                <w:szCs w:val="21"/>
                <w:vertAlign w:val="baseline"/>
                <w:lang w:val="en-US" w:eastAsia="zh-CN"/>
              </w:rPr>
            </w:pPr>
          </w:p>
        </w:tc>
      </w:tr>
      <w:tr w14:paraId="78C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tcMar>
              <w:top w:w="85" w:type="dxa"/>
              <w:left w:w="85" w:type="dxa"/>
              <w:bottom w:w="85" w:type="dxa"/>
              <w:right w:w="85" w:type="dxa"/>
            </w:tcMar>
            <w:vAlign w:val="center"/>
          </w:tcPr>
          <w:p w14:paraId="4B88B8E5">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w:t>
            </w:r>
          </w:p>
        </w:tc>
        <w:tc>
          <w:tcPr>
            <w:tcW w:w="1106" w:type="dxa"/>
            <w:tcMar>
              <w:top w:w="85" w:type="dxa"/>
              <w:left w:w="85" w:type="dxa"/>
              <w:bottom w:w="85" w:type="dxa"/>
              <w:right w:w="85" w:type="dxa"/>
            </w:tcMar>
            <w:vAlign w:val="center"/>
          </w:tcPr>
          <w:p w14:paraId="0E91E3DD">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技术分</w:t>
            </w:r>
          </w:p>
        </w:tc>
        <w:tc>
          <w:tcPr>
            <w:tcW w:w="6699" w:type="dxa"/>
            <w:gridSpan w:val="2"/>
            <w:tcMar>
              <w:top w:w="85" w:type="dxa"/>
              <w:left w:w="85" w:type="dxa"/>
              <w:bottom w:w="85" w:type="dxa"/>
              <w:right w:w="85" w:type="dxa"/>
            </w:tcMar>
            <w:vAlign w:val="center"/>
          </w:tcPr>
          <w:p w14:paraId="18355EB3">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评审标准</w:t>
            </w:r>
          </w:p>
        </w:tc>
        <w:tc>
          <w:tcPr>
            <w:tcW w:w="1139" w:type="dxa"/>
            <w:tcMar>
              <w:top w:w="85" w:type="dxa"/>
              <w:left w:w="85" w:type="dxa"/>
              <w:bottom w:w="85" w:type="dxa"/>
              <w:right w:w="85" w:type="dxa"/>
            </w:tcMar>
            <w:vAlign w:val="center"/>
          </w:tcPr>
          <w:p w14:paraId="597B572B">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满分70分</w:t>
            </w:r>
          </w:p>
        </w:tc>
      </w:tr>
      <w:tr w14:paraId="49F2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38" w:type="dxa"/>
            <w:vMerge w:val="restart"/>
            <w:tcMar>
              <w:top w:w="85" w:type="dxa"/>
              <w:left w:w="85" w:type="dxa"/>
              <w:bottom w:w="85" w:type="dxa"/>
              <w:right w:w="85" w:type="dxa"/>
            </w:tcMar>
            <w:vAlign w:val="center"/>
          </w:tcPr>
          <w:p w14:paraId="4347D12A">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w:t>
            </w:r>
          </w:p>
        </w:tc>
        <w:tc>
          <w:tcPr>
            <w:tcW w:w="1106" w:type="dxa"/>
            <w:vMerge w:val="restart"/>
            <w:tcMar>
              <w:top w:w="85" w:type="dxa"/>
              <w:left w:w="85" w:type="dxa"/>
              <w:bottom w:w="85" w:type="dxa"/>
              <w:right w:w="85" w:type="dxa"/>
            </w:tcMar>
            <w:vAlign w:val="center"/>
          </w:tcPr>
          <w:p w14:paraId="2F6C35D7">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企业实力及项目管理机构分</w:t>
            </w:r>
          </w:p>
        </w:tc>
        <w:tc>
          <w:tcPr>
            <w:tcW w:w="1045" w:type="dxa"/>
            <w:tcMar>
              <w:top w:w="85" w:type="dxa"/>
              <w:left w:w="85" w:type="dxa"/>
              <w:bottom w:w="85" w:type="dxa"/>
              <w:right w:w="85" w:type="dxa"/>
            </w:tcMar>
            <w:vAlign w:val="center"/>
          </w:tcPr>
          <w:p w14:paraId="215B2E06">
            <w:pPr>
              <w:keepNext w:val="0"/>
              <w:keepLines w:val="0"/>
              <w:pageBreakBefore w:val="0"/>
              <w:suppressLineNumbers w:val="0"/>
              <w:tabs>
                <w:tab w:val="left" w:pos="5527"/>
              </w:tabs>
              <w:kinsoku/>
              <w:wordWrap/>
              <w:overflowPunct/>
              <w:topLinePunct w:val="0"/>
              <w:autoSpaceDE/>
              <w:autoSpaceDN/>
              <w:bidi w:val="0"/>
              <w:spacing w:before="0" w:beforeAutospacing="0" w:after="0" w:afterAutospacing="0" w:line="240" w:lineRule="auto"/>
              <w:ind w:left="-63" w:leftChars="-30" w:right="-63" w:rightChars="-3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7"/>
                <w:sz w:val="21"/>
                <w:szCs w:val="21"/>
                <w:highlight w:val="none"/>
                <w:lang w:val="en-US" w:eastAsia="zh-CN"/>
              </w:rPr>
              <w:t>企业实力</w:t>
            </w:r>
          </w:p>
        </w:tc>
        <w:tc>
          <w:tcPr>
            <w:tcW w:w="5654" w:type="dxa"/>
            <w:tcMar>
              <w:top w:w="85" w:type="dxa"/>
              <w:left w:w="85" w:type="dxa"/>
              <w:bottom w:w="85" w:type="dxa"/>
              <w:right w:w="85" w:type="dxa"/>
            </w:tcMar>
            <w:vAlign w:val="center"/>
          </w:tcPr>
          <w:p w14:paraId="08EA3C60">
            <w:pPr>
              <w:keepNext w:val="0"/>
              <w:keepLines w:val="0"/>
              <w:pageBreakBefore w:val="0"/>
              <w:suppressLineNumbers w:val="0"/>
              <w:tabs>
                <w:tab w:val="left" w:pos="5527"/>
              </w:tabs>
              <w:kinsoku/>
              <w:wordWrap/>
              <w:overflowPunct/>
              <w:topLinePunct w:val="0"/>
              <w:autoSpaceDE/>
              <w:autoSpaceDN/>
              <w:bidi w:val="0"/>
              <w:spacing w:before="0" w:beforeAutospacing="0" w:after="0" w:afterAutospacing="0" w:line="240" w:lineRule="auto"/>
              <w:ind w:left="0" w:leftChars="0" w:right="0" w:right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提供有效期内的质量管理（ISO9001）、环境管理（ISO14001）、职业健康安全管理（ISO45001）体系认证证书且认证范围涵盖文物近现代重要史迹及代表性建筑保护工程施工等相关内容的，每提供1项证书得1分，此项满分为3分。</w:t>
            </w:r>
          </w:p>
          <w:p w14:paraId="395D05F9">
            <w:pPr>
              <w:keepNext w:val="0"/>
              <w:keepLines w:val="0"/>
              <w:pageBreakBefore w:val="0"/>
              <w:suppressLineNumbers w:val="0"/>
              <w:tabs>
                <w:tab w:val="left" w:pos="5527"/>
              </w:tabs>
              <w:kinsoku/>
              <w:wordWrap/>
              <w:overflowPunct/>
              <w:topLinePunct w:val="0"/>
              <w:autoSpaceDE/>
              <w:autoSpaceDN/>
              <w:bidi w:val="0"/>
              <w:spacing w:before="0" w:beforeAutospacing="0" w:after="0" w:afterAutospacing="0" w:line="240" w:lineRule="auto"/>
              <w:ind w:left="0" w:leftChars="0" w:right="0" w:rightChars="0"/>
              <w:jc w:val="left"/>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注：以上证明材料须同时提供证书复印件或扫描件和全国认证认可信息公共服务平台（http://cx.cnca.cn/）查询截图，证明材料均需加盖单位CA公章，否则不予计分。</w:t>
            </w:r>
          </w:p>
        </w:tc>
        <w:tc>
          <w:tcPr>
            <w:tcW w:w="1139" w:type="dxa"/>
            <w:tcMar>
              <w:top w:w="85" w:type="dxa"/>
              <w:left w:w="85" w:type="dxa"/>
              <w:bottom w:w="85" w:type="dxa"/>
              <w:right w:w="85" w:type="dxa"/>
            </w:tcMar>
            <w:vAlign w:val="center"/>
          </w:tcPr>
          <w:p w14:paraId="0FB4B8CC">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3分</w:t>
            </w:r>
          </w:p>
        </w:tc>
      </w:tr>
      <w:tr w14:paraId="021B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38" w:type="dxa"/>
            <w:vMerge w:val="continue"/>
            <w:tcMar>
              <w:top w:w="85" w:type="dxa"/>
              <w:left w:w="85" w:type="dxa"/>
              <w:bottom w:w="85" w:type="dxa"/>
              <w:right w:w="85" w:type="dxa"/>
            </w:tcMar>
            <w:vAlign w:val="center"/>
          </w:tcPr>
          <w:p w14:paraId="3443C6F1">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106" w:type="dxa"/>
            <w:vMerge w:val="continue"/>
            <w:tcMar>
              <w:top w:w="85" w:type="dxa"/>
              <w:left w:w="85" w:type="dxa"/>
              <w:bottom w:w="85" w:type="dxa"/>
              <w:right w:w="85" w:type="dxa"/>
            </w:tcMar>
            <w:vAlign w:val="center"/>
          </w:tcPr>
          <w:p w14:paraId="25C05D3F">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45" w:type="dxa"/>
            <w:vMerge w:val="restart"/>
            <w:shd w:val="clear" w:color="auto" w:fill="auto"/>
            <w:tcMar>
              <w:top w:w="85" w:type="dxa"/>
              <w:left w:w="85" w:type="dxa"/>
              <w:bottom w:w="85" w:type="dxa"/>
              <w:right w:w="85" w:type="dxa"/>
            </w:tcMar>
            <w:vAlign w:val="center"/>
          </w:tcPr>
          <w:p w14:paraId="43A430E8">
            <w:pPr>
              <w:keepNext w:val="0"/>
              <w:keepLines w:val="0"/>
              <w:pageBreakBefore w:val="0"/>
              <w:suppressLineNumbers w:val="0"/>
              <w:tabs>
                <w:tab w:val="left" w:pos="5527"/>
              </w:tabs>
              <w:kinsoku/>
              <w:wordWrap/>
              <w:overflowPunct/>
              <w:topLinePunct w:val="0"/>
              <w:autoSpaceDE/>
              <w:autoSpaceDN/>
              <w:bidi w:val="0"/>
              <w:spacing w:before="0" w:beforeAutospacing="0" w:after="0" w:afterAutospacing="0" w:line="240" w:lineRule="auto"/>
              <w:ind w:left="-63" w:leftChars="-30" w:right="-63" w:rightChars="-30"/>
              <w:jc w:val="center"/>
              <w:outlineLvl w:val="9"/>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sz w:val="21"/>
                <w:szCs w:val="21"/>
                <w:highlight w:val="none"/>
                <w:lang w:val="en-US" w:eastAsia="zh-CN"/>
              </w:rPr>
              <w:t>人员配备</w:t>
            </w:r>
          </w:p>
        </w:tc>
        <w:tc>
          <w:tcPr>
            <w:tcW w:w="5654" w:type="dxa"/>
            <w:shd w:val="clear" w:color="auto" w:fill="auto"/>
            <w:tcMar>
              <w:top w:w="85" w:type="dxa"/>
              <w:left w:w="85" w:type="dxa"/>
              <w:bottom w:w="85" w:type="dxa"/>
              <w:right w:w="85" w:type="dxa"/>
            </w:tcMar>
            <w:vAlign w:val="center"/>
          </w:tcPr>
          <w:p w14:paraId="5F44F93B">
            <w:pPr>
              <w:keepNext w:val="0"/>
              <w:keepLines w:val="0"/>
              <w:pageBreakBefore w:val="0"/>
              <w:suppressLineNumbers w:val="0"/>
              <w:tabs>
                <w:tab w:val="left" w:pos="5527"/>
              </w:tabs>
              <w:kinsoku/>
              <w:wordWrap/>
              <w:overflowPunct/>
              <w:topLinePunct w:val="0"/>
              <w:autoSpaceDE/>
              <w:autoSpaceDN/>
              <w:bidi w:val="0"/>
              <w:spacing w:before="0" w:beforeAutospacing="0" w:after="0" w:afterAutospacing="0" w:line="240" w:lineRule="auto"/>
              <w:ind w:left="0" w:leftChars="0" w:right="0" w:right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拟投入本项目技术负责人具有结构专业中级以上（含中级）职称的得2分，此项满分2分。</w:t>
            </w:r>
          </w:p>
          <w:p w14:paraId="34784F99">
            <w:pPr>
              <w:keepNext w:val="0"/>
              <w:keepLines w:val="0"/>
              <w:pageBreakBefore w:val="0"/>
              <w:suppressLineNumbers w:val="0"/>
              <w:tabs>
                <w:tab w:val="left" w:pos="5527"/>
              </w:tabs>
              <w:kinsoku/>
              <w:wordWrap/>
              <w:overflowPunct/>
              <w:topLinePunct w:val="0"/>
              <w:autoSpaceDE/>
              <w:autoSpaceDN/>
              <w:bidi w:val="0"/>
              <w:spacing w:before="0" w:beforeAutospacing="0" w:after="0" w:afterAutospacing="0" w:line="240" w:lineRule="auto"/>
              <w:ind w:left="0" w:leftChars="0" w:right="0" w:right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注：需提供拟投入本项目技术负责人身份证正、背面复印件或扫描件、职称证复印件或扫描件及截止本项目响应时间前半年内任意3个月社保缴纳证明（所有资料均需加盖单位CA公章，否则不予计分）</w:t>
            </w:r>
          </w:p>
        </w:tc>
        <w:tc>
          <w:tcPr>
            <w:tcW w:w="1139" w:type="dxa"/>
            <w:shd w:val="clear" w:color="auto" w:fill="auto"/>
            <w:tcMar>
              <w:top w:w="85" w:type="dxa"/>
              <w:left w:w="85" w:type="dxa"/>
              <w:bottom w:w="85" w:type="dxa"/>
              <w:right w:w="85" w:type="dxa"/>
            </w:tcMar>
            <w:vAlign w:val="center"/>
          </w:tcPr>
          <w:p w14:paraId="3D360115">
            <w:pPr>
              <w:keepNext w:val="0"/>
              <w:keepLines w:val="0"/>
              <w:pageBreakBefore w:val="0"/>
              <w:widowControl/>
              <w:suppressLineNumbers w:val="0"/>
              <w:tabs>
                <w:tab w:val="left" w:pos="5527"/>
              </w:tabs>
              <w:kinsoku/>
              <w:wordWrap/>
              <w:overflowPunct/>
              <w:topLinePunct w:val="0"/>
              <w:autoSpaceDE/>
              <w:autoSpaceDN/>
              <w:bidi w:val="0"/>
              <w:spacing w:before="0" w:beforeAutospacing="0" w:after="0" w:afterAutospacing="0" w:line="240" w:lineRule="auto"/>
              <w:ind w:left="0" w:leftChars="0" w:right="-80" w:rightChars="-38"/>
              <w:jc w:val="center"/>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2分</w:t>
            </w:r>
          </w:p>
        </w:tc>
      </w:tr>
      <w:tr w14:paraId="3B6B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30470908">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highlight w:val="none"/>
                <w:vertAlign w:val="baseline"/>
                <w:lang w:val="en-US" w:eastAsia="zh-CN"/>
              </w:rPr>
            </w:pPr>
          </w:p>
        </w:tc>
        <w:tc>
          <w:tcPr>
            <w:tcW w:w="1106" w:type="dxa"/>
            <w:vMerge w:val="continue"/>
            <w:tcMar>
              <w:top w:w="85" w:type="dxa"/>
              <w:left w:w="85" w:type="dxa"/>
              <w:bottom w:w="85" w:type="dxa"/>
              <w:right w:w="85" w:type="dxa"/>
            </w:tcMar>
          </w:tcPr>
          <w:p w14:paraId="1E0C7935">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highlight w:val="none"/>
                <w:vertAlign w:val="baseline"/>
                <w:lang w:val="en-US" w:eastAsia="zh-CN"/>
              </w:rPr>
            </w:pPr>
          </w:p>
        </w:tc>
        <w:tc>
          <w:tcPr>
            <w:tcW w:w="1045" w:type="dxa"/>
            <w:vMerge w:val="continue"/>
            <w:tcMar>
              <w:top w:w="85" w:type="dxa"/>
              <w:left w:w="85" w:type="dxa"/>
              <w:bottom w:w="85" w:type="dxa"/>
              <w:right w:w="85" w:type="dxa"/>
            </w:tcMar>
            <w:vAlign w:val="center"/>
          </w:tcPr>
          <w:p w14:paraId="5F03918C">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5654" w:type="dxa"/>
            <w:shd w:val="clear" w:color="auto" w:fill="auto"/>
            <w:tcMar>
              <w:top w:w="85" w:type="dxa"/>
              <w:left w:w="85" w:type="dxa"/>
              <w:bottom w:w="85" w:type="dxa"/>
              <w:right w:w="85" w:type="dxa"/>
            </w:tcMar>
            <w:vAlign w:val="center"/>
          </w:tcPr>
          <w:p w14:paraId="0653F827">
            <w:pPr>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拟投入本项目的施工人员具有古建筑传统瓦工(砧刻工)、古建筑传统瓦工(泥塑工)、古建筑传统木工（匾额工）、古建筑传统石工（砧细工）、古建筑传统彩画工(彩绘工)。</w:t>
            </w:r>
          </w:p>
          <w:p w14:paraId="224A0BC7">
            <w:pPr>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需具备相应的的证书，每提供一名相应岗位人员得1分，此项满分为5分。 </w:t>
            </w:r>
          </w:p>
          <w:p w14:paraId="390B1095">
            <w:pPr>
              <w:keepNext w:val="0"/>
              <w:keepLines w:val="0"/>
              <w:pageBreakBefore w:val="0"/>
              <w:suppressLineNumbers w:val="0"/>
              <w:tabs>
                <w:tab w:val="left" w:pos="5527"/>
              </w:tabs>
              <w:kinsoku/>
              <w:wordWrap/>
              <w:overflowPunct/>
              <w:topLinePunct w:val="0"/>
              <w:autoSpaceDE/>
              <w:autoSpaceDN/>
              <w:bidi w:val="0"/>
              <w:spacing w:before="0" w:beforeAutospacing="0" w:after="0" w:afterAutospacing="0" w:line="240" w:lineRule="auto"/>
              <w:ind w:left="0" w:leftChars="0" w:right="0" w:right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注：需提</w:t>
            </w:r>
            <w:r>
              <w:rPr>
                <w:rFonts w:hint="eastAsia" w:ascii="宋体" w:hAnsi="宋体" w:eastAsia="宋体" w:cs="宋体"/>
                <w:color w:val="auto"/>
                <w:sz w:val="21"/>
                <w:szCs w:val="21"/>
                <w:highlight w:val="none"/>
                <w:lang w:val="en-US" w:eastAsia="zh-CN"/>
              </w:rPr>
              <w:t>供相对应人员资料。人员资料包括身份证正、背面复印件或扫描件、资格证书（如有）</w:t>
            </w:r>
            <w:r>
              <w:rPr>
                <w:rFonts w:hint="eastAsia" w:ascii="宋体" w:hAnsi="宋体" w:eastAsia="宋体" w:cs="宋体"/>
                <w:color w:val="auto"/>
                <w:kern w:val="2"/>
                <w:sz w:val="21"/>
                <w:szCs w:val="21"/>
                <w:highlight w:val="none"/>
                <w:lang w:val="en-US" w:eastAsia="zh-CN" w:bidi="ar-SA"/>
              </w:rPr>
              <w:t>及截止本项目响应时间前半年内任意3个月社保缴纳证明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（所有资料均需加盖单位CA公章，否则不予计分）</w:t>
            </w:r>
          </w:p>
        </w:tc>
        <w:tc>
          <w:tcPr>
            <w:tcW w:w="1139" w:type="dxa"/>
            <w:shd w:val="clear" w:color="auto" w:fill="auto"/>
            <w:tcMar>
              <w:top w:w="85" w:type="dxa"/>
              <w:left w:w="85" w:type="dxa"/>
              <w:bottom w:w="85" w:type="dxa"/>
              <w:right w:w="85" w:type="dxa"/>
            </w:tcMar>
            <w:vAlign w:val="center"/>
          </w:tcPr>
          <w:p w14:paraId="385A960F">
            <w:pPr>
              <w:keepNext w:val="0"/>
              <w:keepLines w:val="0"/>
              <w:pageBreakBefore w:val="0"/>
              <w:widowControl/>
              <w:suppressLineNumbers w:val="0"/>
              <w:tabs>
                <w:tab w:val="left" w:pos="5527"/>
              </w:tabs>
              <w:kinsoku/>
              <w:wordWrap/>
              <w:overflowPunct/>
              <w:topLinePunct w:val="0"/>
              <w:autoSpaceDE/>
              <w:autoSpaceDN/>
              <w:bidi w:val="0"/>
              <w:spacing w:before="0" w:beforeAutospacing="0" w:after="0" w:afterAutospacing="0" w:line="240" w:lineRule="auto"/>
              <w:ind w:left="0" w:leftChars="0" w:right="-80" w:rightChars="-38"/>
              <w:jc w:val="center"/>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5分</w:t>
            </w:r>
          </w:p>
        </w:tc>
      </w:tr>
      <w:tr w14:paraId="24DC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638" w:type="dxa"/>
            <w:vMerge w:val="restart"/>
            <w:tcMar>
              <w:top w:w="85" w:type="dxa"/>
              <w:left w:w="85" w:type="dxa"/>
              <w:bottom w:w="85" w:type="dxa"/>
              <w:right w:w="85" w:type="dxa"/>
            </w:tcMar>
            <w:vAlign w:val="center"/>
          </w:tcPr>
          <w:p w14:paraId="737022F4">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w:t>
            </w:r>
          </w:p>
        </w:tc>
        <w:tc>
          <w:tcPr>
            <w:tcW w:w="1106" w:type="dxa"/>
            <w:vMerge w:val="restart"/>
            <w:tcMar>
              <w:top w:w="85" w:type="dxa"/>
              <w:left w:w="85" w:type="dxa"/>
              <w:bottom w:w="85" w:type="dxa"/>
              <w:right w:w="85" w:type="dxa"/>
            </w:tcMar>
            <w:vAlign w:val="center"/>
          </w:tcPr>
          <w:p w14:paraId="66EDEE33">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施工组织设计</w:t>
            </w:r>
          </w:p>
        </w:tc>
        <w:tc>
          <w:tcPr>
            <w:tcW w:w="1045" w:type="dxa"/>
            <w:tcMar>
              <w:top w:w="85" w:type="dxa"/>
              <w:left w:w="85" w:type="dxa"/>
              <w:bottom w:w="85" w:type="dxa"/>
              <w:right w:w="85" w:type="dxa"/>
            </w:tcMar>
            <w:vAlign w:val="center"/>
          </w:tcPr>
          <w:p w14:paraId="7E4CDF2A">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主要施工方法</w:t>
            </w:r>
          </w:p>
        </w:tc>
        <w:tc>
          <w:tcPr>
            <w:tcW w:w="5654" w:type="dxa"/>
            <w:tcMar>
              <w:top w:w="85" w:type="dxa"/>
              <w:left w:w="85" w:type="dxa"/>
              <w:bottom w:w="85" w:type="dxa"/>
              <w:right w:w="85" w:type="dxa"/>
            </w:tcMar>
            <w:vAlign w:val="center"/>
          </w:tcPr>
          <w:p w14:paraId="68DBC97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一档（8分）：各主要分部施工方法符合项目实际，有详尽的施工技术方案，工艺先进、方法科学合理、可行，对工艺、方法有具体的文字介绍及图表展示，能指导具体施工并确保安全。</w:t>
            </w:r>
          </w:p>
          <w:p w14:paraId="06AFB7A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二档（6分）：各主要分部施工方法符合项目实际，有详尽的施工技术方案，工艺、方法与项目实际要求相符，能指导具体施工并确保安全。</w:t>
            </w:r>
          </w:p>
          <w:p w14:paraId="69CDB46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三档（4分）：各主要分部施工方法符合项目实际，有简单的施工技术方案，工艺、方法基本满足项目要求，能指导具体施工并确保安全。</w:t>
            </w:r>
          </w:p>
          <w:p w14:paraId="57AE5B24">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四档（2分）：各主要分部施工方法符合项目实际，简单的施工技术方案，工艺、方法简单，勉强指导具体施工并确保安全。</w:t>
            </w:r>
          </w:p>
          <w:p w14:paraId="6B6ACD0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五档（1分）：各主要分部施工方法不符合项目实际，无详尽的施工技术方案，不能指导具体施工并确保安全。</w:t>
            </w:r>
          </w:p>
        </w:tc>
        <w:tc>
          <w:tcPr>
            <w:tcW w:w="1139" w:type="dxa"/>
            <w:tcMar>
              <w:top w:w="85" w:type="dxa"/>
              <w:left w:w="85" w:type="dxa"/>
              <w:bottom w:w="85" w:type="dxa"/>
              <w:right w:w="85" w:type="dxa"/>
            </w:tcMar>
            <w:vAlign w:val="center"/>
          </w:tcPr>
          <w:p w14:paraId="4A456FE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8分</w:t>
            </w:r>
          </w:p>
        </w:tc>
      </w:tr>
      <w:tr w14:paraId="173C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65FF0B75">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106" w:type="dxa"/>
            <w:vMerge w:val="continue"/>
            <w:tcMar>
              <w:top w:w="85" w:type="dxa"/>
              <w:left w:w="85" w:type="dxa"/>
              <w:bottom w:w="85" w:type="dxa"/>
              <w:right w:w="85" w:type="dxa"/>
            </w:tcMar>
          </w:tcPr>
          <w:p w14:paraId="5588D36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045" w:type="dxa"/>
            <w:tcMar>
              <w:top w:w="85" w:type="dxa"/>
              <w:left w:w="85" w:type="dxa"/>
              <w:bottom w:w="85" w:type="dxa"/>
              <w:right w:w="85" w:type="dxa"/>
            </w:tcMar>
            <w:vAlign w:val="center"/>
          </w:tcPr>
          <w:p w14:paraId="03AFFED7">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拟投入的主要物资计划</w:t>
            </w:r>
          </w:p>
        </w:tc>
        <w:tc>
          <w:tcPr>
            <w:tcW w:w="5654" w:type="dxa"/>
            <w:tcMar>
              <w:top w:w="85" w:type="dxa"/>
              <w:left w:w="85" w:type="dxa"/>
              <w:bottom w:w="85" w:type="dxa"/>
              <w:right w:w="85" w:type="dxa"/>
            </w:tcMar>
            <w:vAlign w:val="center"/>
          </w:tcPr>
          <w:p w14:paraId="3DDC80B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一档（6分）：投入的施工材料有详细的组织计划且计划完整周密，数量、选型配置、进场时间安排科学合理，与施工进度相匹配，完全满足施工需要。</w:t>
            </w:r>
          </w:p>
          <w:p w14:paraId="559E1EC8">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二档（4分）：投入的施工材料有组织计划且计划周密，数量、选型配置、进场时间安排较好满足施工需要。</w:t>
            </w:r>
          </w:p>
          <w:p w14:paraId="20C4E383">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三档（3分）：投入的施工材料有组织计划但计划简单，数量、选型配置、进场时间安排基本合理，满足施工需要。</w:t>
            </w:r>
          </w:p>
          <w:p w14:paraId="5829D14D">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四档（2分）：投入的施工材料有组织计划但计划简单，数量、选型配置、进场时间安排没有完全和项目进度协调，但基本满足施工需要。</w:t>
            </w:r>
          </w:p>
          <w:p w14:paraId="2EC22FFC">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五档（1分）：投入的施工材料无详细的组织计划，数量、选型配置、进场时间安排不合理，不能满足施工需要。</w:t>
            </w:r>
          </w:p>
        </w:tc>
        <w:tc>
          <w:tcPr>
            <w:tcW w:w="1139" w:type="dxa"/>
            <w:tcMar>
              <w:top w:w="85" w:type="dxa"/>
              <w:left w:w="85" w:type="dxa"/>
              <w:bottom w:w="85" w:type="dxa"/>
              <w:right w:w="85" w:type="dxa"/>
            </w:tcMar>
            <w:vAlign w:val="center"/>
          </w:tcPr>
          <w:p w14:paraId="4E2F926A">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6分</w:t>
            </w:r>
          </w:p>
        </w:tc>
      </w:tr>
      <w:tr w14:paraId="7974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12BA3584">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106" w:type="dxa"/>
            <w:vMerge w:val="continue"/>
            <w:tcMar>
              <w:top w:w="85" w:type="dxa"/>
              <w:left w:w="85" w:type="dxa"/>
              <w:bottom w:w="85" w:type="dxa"/>
              <w:right w:w="85" w:type="dxa"/>
            </w:tcMar>
          </w:tcPr>
          <w:p w14:paraId="26ED261A">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045" w:type="dxa"/>
            <w:tcMar>
              <w:top w:w="85" w:type="dxa"/>
              <w:left w:w="85" w:type="dxa"/>
              <w:bottom w:w="85" w:type="dxa"/>
              <w:right w:w="85" w:type="dxa"/>
            </w:tcMar>
            <w:vAlign w:val="center"/>
          </w:tcPr>
          <w:p w14:paraId="4C7657D8">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劳动力安排计划</w:t>
            </w:r>
          </w:p>
        </w:tc>
        <w:tc>
          <w:tcPr>
            <w:tcW w:w="5654" w:type="dxa"/>
            <w:tcMar>
              <w:top w:w="85" w:type="dxa"/>
              <w:left w:w="85" w:type="dxa"/>
              <w:bottom w:w="85" w:type="dxa"/>
              <w:right w:w="85" w:type="dxa"/>
            </w:tcMar>
            <w:vAlign w:val="center"/>
          </w:tcPr>
          <w:p w14:paraId="2E4FD445">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一档（8分）：各主要施工工序有非常详细周密的劳动力安排计划，有非常详细周密的各工种劳动力安排计划，劳动力投入的时间、人数、工种与项目进度要求相匹配，科学合理，完全满足施工需要。</w:t>
            </w:r>
          </w:p>
          <w:p w14:paraId="097D08A8">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二档（6分）：各主要施工工序有较详细周密的劳动力安排计划，有较详细周密的各工种劳动力安排计划，劳动力投入的时间、人数、工种满足项目进度要求，基本满足施工需要。</w:t>
            </w:r>
          </w:p>
          <w:p w14:paraId="5F40230B">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三档（4分）：各主要施工工序有劳动力安排计划，有各工种劳动力安排计划，劳动力投入的时间、人数、工种没有结合项目进度要求，基本满足施工需要。</w:t>
            </w:r>
          </w:p>
          <w:p w14:paraId="7F3DB983">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四档（2分）：各主要施工工序有劳动力安排计划，有各工种劳动力安排计划，勉强满足施工需要。</w:t>
            </w:r>
          </w:p>
          <w:p w14:paraId="38039A44">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五档（1分）：各主要施工工序无劳动力安排计划，无各工种劳动力安排计划，劳动力投入不合理，不能满足施工需要。</w:t>
            </w:r>
          </w:p>
        </w:tc>
        <w:tc>
          <w:tcPr>
            <w:tcW w:w="1139" w:type="dxa"/>
            <w:tcMar>
              <w:top w:w="85" w:type="dxa"/>
              <w:left w:w="85" w:type="dxa"/>
              <w:bottom w:w="85" w:type="dxa"/>
              <w:right w:w="85" w:type="dxa"/>
            </w:tcMar>
            <w:vAlign w:val="center"/>
          </w:tcPr>
          <w:p w14:paraId="54BDBAC0">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8分</w:t>
            </w:r>
          </w:p>
        </w:tc>
      </w:tr>
      <w:tr w14:paraId="77CF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27F39459">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106" w:type="dxa"/>
            <w:vMerge w:val="continue"/>
            <w:tcMar>
              <w:top w:w="85" w:type="dxa"/>
              <w:left w:w="85" w:type="dxa"/>
              <w:bottom w:w="85" w:type="dxa"/>
              <w:right w:w="85" w:type="dxa"/>
            </w:tcMar>
          </w:tcPr>
          <w:p w14:paraId="714DB7D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045" w:type="dxa"/>
            <w:tcMar>
              <w:top w:w="85" w:type="dxa"/>
              <w:left w:w="85" w:type="dxa"/>
              <w:bottom w:w="85" w:type="dxa"/>
              <w:right w:w="85" w:type="dxa"/>
            </w:tcMar>
            <w:vAlign w:val="center"/>
          </w:tcPr>
          <w:p w14:paraId="376E223D">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确保工程质量的技术组织措施</w:t>
            </w:r>
          </w:p>
        </w:tc>
        <w:tc>
          <w:tcPr>
            <w:tcW w:w="5654" w:type="dxa"/>
            <w:tcMar>
              <w:top w:w="85" w:type="dxa"/>
              <w:left w:w="85" w:type="dxa"/>
              <w:bottom w:w="85" w:type="dxa"/>
              <w:right w:w="85" w:type="dxa"/>
            </w:tcMar>
            <w:vAlign w:val="center"/>
          </w:tcPr>
          <w:p w14:paraId="0F52C37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一档（8分）：有专门且专业的质量技术管理班子和制度，且人员配备科学合理，制度科学合理健全。主要工序质量技术保证措施和手段科学合理，自控体系完整，能有效保证技术质量，达到承诺的质量标准。</w:t>
            </w:r>
          </w:p>
          <w:p w14:paraId="25B9247A">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二档（6分）：有专门的质量技术管理班子和制度，且人员配备合理，制度合理健全。主要工序的质量技术保证措施和手段合理，自控体系完整，保证技术质量，达到承诺的质量标准。</w:t>
            </w:r>
          </w:p>
          <w:p w14:paraId="52B382DE">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4分）：有专门的质量技术管理班子和制度，且人员配备合理，制度健全。主要工序的质量技术保证措施和手段部分与本项目无关但基本满足要求，自控体系表述简单，基本保证技术质量，达到承诺的质量标准。</w:t>
            </w:r>
          </w:p>
          <w:p w14:paraId="435266AF">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四档（2分）：有专门的质量技术管理班子和制度，且人员配备基本合理，有基本的制度。主要工序的质量技术保证措施和手段有缺项，自控体系表述简单，基本保证技术质量，达到承诺的质量标准。</w:t>
            </w:r>
          </w:p>
          <w:p w14:paraId="171BA62F">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五档（1分）：有专门的质量技术管理班子和制度，人员配备不合理，制度不健全。主要工序无质量技术保证措施和手段，自控体系不完整，不能有效保证技术质量，达不到承诺的质量标准。</w:t>
            </w:r>
          </w:p>
        </w:tc>
        <w:tc>
          <w:tcPr>
            <w:tcW w:w="1139" w:type="dxa"/>
            <w:tcMar>
              <w:top w:w="85" w:type="dxa"/>
              <w:left w:w="85" w:type="dxa"/>
              <w:bottom w:w="85" w:type="dxa"/>
              <w:right w:w="85" w:type="dxa"/>
            </w:tcMar>
            <w:vAlign w:val="center"/>
          </w:tcPr>
          <w:p w14:paraId="3650EB29">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8分</w:t>
            </w:r>
          </w:p>
        </w:tc>
      </w:tr>
      <w:tr w14:paraId="1D5E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20D44978">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106" w:type="dxa"/>
            <w:vMerge w:val="continue"/>
            <w:tcMar>
              <w:top w:w="85" w:type="dxa"/>
              <w:left w:w="85" w:type="dxa"/>
              <w:bottom w:w="85" w:type="dxa"/>
              <w:right w:w="85" w:type="dxa"/>
            </w:tcMar>
          </w:tcPr>
          <w:p w14:paraId="133E6B44">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045" w:type="dxa"/>
            <w:tcMar>
              <w:top w:w="85" w:type="dxa"/>
              <w:left w:w="85" w:type="dxa"/>
              <w:bottom w:w="85" w:type="dxa"/>
              <w:right w:w="85" w:type="dxa"/>
            </w:tcMar>
            <w:vAlign w:val="center"/>
          </w:tcPr>
          <w:p w14:paraId="331C3953">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确保安全生产的技术组织措施</w:t>
            </w:r>
          </w:p>
        </w:tc>
        <w:tc>
          <w:tcPr>
            <w:tcW w:w="5654" w:type="dxa"/>
            <w:tcMar>
              <w:top w:w="85" w:type="dxa"/>
              <w:left w:w="85" w:type="dxa"/>
              <w:bottom w:w="85" w:type="dxa"/>
              <w:right w:w="85" w:type="dxa"/>
            </w:tcMar>
            <w:vAlign w:val="center"/>
          </w:tcPr>
          <w:p w14:paraId="0334258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6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12EB240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4分）：有专门的专业安全管理人员和制度，且人员配备科学合理，制度健全、合理，各道工序安全技术措施符合实际，确保工程质量的技术组织措施符合实际且基本满足有关安全技术标准要求。现场防火、应急救援、社会治安安全措施符合项目要求。</w:t>
            </w:r>
          </w:p>
          <w:p w14:paraId="48373801">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3分）：有专门的安全管理人员和制度，且人员配备合理，制度健全，各道工序安全技术措施基本符合项目实际，确保工程质量的技术组织措施符合实际且基本满足有关安全技术标准要求。现场防火、应急救援、社会治安安全措施符合项目要求。</w:t>
            </w:r>
          </w:p>
          <w:p w14:paraId="2E4E8DAA">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有专门的安全管理人员和制度，人员配备基本合理，制度内容简单，各道工序安全技术措施针对性不强，确保工程质量的技术组织措施符合实际且基本满足有关安全技术标准要求。现场防火、应急救援、社会治安安全措施不具体。</w:t>
            </w:r>
          </w:p>
          <w:p w14:paraId="005C9F65">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五档（1分）：有专门的安全管理人员和制度，人员配备不合理，制度不健全，各道工序安全技术措施无针对性，不满足有关安全技术标准要求。现场防火、应急救援、社会治安安全措施不得力。</w:t>
            </w:r>
          </w:p>
        </w:tc>
        <w:tc>
          <w:tcPr>
            <w:tcW w:w="1139" w:type="dxa"/>
            <w:tcMar>
              <w:top w:w="85" w:type="dxa"/>
              <w:left w:w="85" w:type="dxa"/>
              <w:bottom w:w="85" w:type="dxa"/>
              <w:right w:w="85" w:type="dxa"/>
            </w:tcMar>
            <w:vAlign w:val="center"/>
          </w:tcPr>
          <w:p w14:paraId="491E5E5C">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6分</w:t>
            </w:r>
          </w:p>
        </w:tc>
      </w:tr>
      <w:tr w14:paraId="51F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65C517B7">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106" w:type="dxa"/>
            <w:vMerge w:val="continue"/>
            <w:tcMar>
              <w:top w:w="85" w:type="dxa"/>
              <w:left w:w="85" w:type="dxa"/>
              <w:bottom w:w="85" w:type="dxa"/>
              <w:right w:w="85" w:type="dxa"/>
            </w:tcMar>
          </w:tcPr>
          <w:p w14:paraId="0CDF4BA7">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045" w:type="dxa"/>
            <w:tcMar>
              <w:top w:w="85" w:type="dxa"/>
              <w:left w:w="85" w:type="dxa"/>
              <w:bottom w:w="85" w:type="dxa"/>
              <w:right w:w="85" w:type="dxa"/>
            </w:tcMar>
            <w:vAlign w:val="center"/>
          </w:tcPr>
          <w:p w14:paraId="4FB8C5B9">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确保工期的技术组织措施</w:t>
            </w:r>
          </w:p>
        </w:tc>
        <w:tc>
          <w:tcPr>
            <w:tcW w:w="5654" w:type="dxa"/>
            <w:tcMar>
              <w:top w:w="85" w:type="dxa"/>
              <w:left w:w="85" w:type="dxa"/>
              <w:bottom w:w="85" w:type="dxa"/>
              <w:right w:w="85" w:type="dxa"/>
            </w:tcMar>
            <w:vAlign w:val="center"/>
          </w:tcPr>
          <w:p w14:paraId="16B4C7CB">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6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要求。</w:t>
            </w:r>
          </w:p>
          <w:p w14:paraId="139AD384">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4分）：在施工工艺、施工方法、材料选用、劳动力安排、技术等方面有保证工期的措施，有赶工措施。有控制工期的施工进度计划。有施工总进度表或施工网络图，各项计划图表编制要素基本齐全，安排合理，基本符合本项目施工实际要求。</w:t>
            </w:r>
          </w:p>
          <w:p w14:paraId="47F7BB4C">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3分）：在施工工艺、施工方法、材料选用、劳动力安排、技术等方面有保证工期的措施但措施基本可行，没有赶工措施。有控制工期的施工进度计划但不科学。有施工总进度表或施工网络图，各项计划图表编制简单，安排基本合理，仅基本符合本项目施工实际要求。</w:t>
            </w:r>
          </w:p>
          <w:p w14:paraId="1875584A">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在施工工艺、施工方法、材料选用、劳动力安排、技术等方面有保证工期的措施有缺陷但勉强符合项目实际。有控制工期的施工进度计划但不科学。有施工总进度表或施工网络图，各项计划图表编制简单且有错漏，安排基本合理，仅基本符合本项目施工实际要求。</w:t>
            </w:r>
          </w:p>
          <w:p w14:paraId="2228E494">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五档（1分）：在施工工艺、施工方法、材料选用、劳动力安排、技术等方面有保证工期的措施但措施差。无控制工期的施工进度计划。无施工总进度表或施工网络图，不符合本项目施工实际要求。</w:t>
            </w:r>
          </w:p>
        </w:tc>
        <w:tc>
          <w:tcPr>
            <w:tcW w:w="1139" w:type="dxa"/>
            <w:tcMar>
              <w:top w:w="85" w:type="dxa"/>
              <w:left w:w="85" w:type="dxa"/>
              <w:bottom w:w="85" w:type="dxa"/>
              <w:right w:w="85" w:type="dxa"/>
            </w:tcMar>
            <w:vAlign w:val="center"/>
          </w:tcPr>
          <w:p w14:paraId="5C0D1AF4">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6分</w:t>
            </w:r>
          </w:p>
        </w:tc>
      </w:tr>
      <w:tr w14:paraId="431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73C18DD0">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106" w:type="dxa"/>
            <w:vMerge w:val="continue"/>
            <w:tcMar>
              <w:top w:w="85" w:type="dxa"/>
              <w:left w:w="85" w:type="dxa"/>
              <w:bottom w:w="85" w:type="dxa"/>
              <w:right w:w="85" w:type="dxa"/>
            </w:tcMar>
          </w:tcPr>
          <w:p w14:paraId="4C0E3201">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045" w:type="dxa"/>
            <w:tcMar>
              <w:top w:w="85" w:type="dxa"/>
              <w:left w:w="85" w:type="dxa"/>
              <w:bottom w:w="85" w:type="dxa"/>
              <w:right w:w="85" w:type="dxa"/>
            </w:tcMar>
            <w:vAlign w:val="center"/>
          </w:tcPr>
          <w:p w14:paraId="1CF1DD3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确保文明施工的技术组织措施</w:t>
            </w:r>
          </w:p>
        </w:tc>
        <w:tc>
          <w:tcPr>
            <w:tcW w:w="5654" w:type="dxa"/>
            <w:tcMar>
              <w:top w:w="85" w:type="dxa"/>
              <w:left w:w="85" w:type="dxa"/>
              <w:bottom w:w="85" w:type="dxa"/>
              <w:right w:w="85" w:type="dxa"/>
            </w:tcMar>
            <w:vAlign w:val="center"/>
          </w:tcPr>
          <w:p w14:paraId="0750186E">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6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4DBF927F">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4分）：针对本工程项目特点，有现场文明施工、环境保护措施，且措施内容达到《建筑施工安全生产检查标准》（JGJ59-2011）合格标准并符合《广西壮族自治区建筑工程文明施工导则》要求。各项措施满足项目实际要求。有具体实现现场文明施工目标的承诺。</w:t>
            </w:r>
          </w:p>
          <w:p w14:paraId="252DBBCE">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3分）：有现场文明施工、环境保护措施，且措施内容达到《建筑施工安全生产检查标准》（JGJ59-2011）合格标准并符合《广西壮族自治区建筑工程文明施工导则》要求。有具体实现现场文明施工目标的承诺。</w:t>
            </w:r>
          </w:p>
          <w:p w14:paraId="63630340">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有现场文明施工、环境保护措施，且措施内容基本能符合《建筑施工安全生产检查标准》（JGJ59-2011）合格标准，基本符合《广西壮族自治区建筑工程文明施工导则》要求。有提供实现现场文明施工目标的承诺。</w:t>
            </w:r>
          </w:p>
          <w:p w14:paraId="5DF8CFE3">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五档（1分）：没有现场文明施工、环境保护措施。无具体实现现场文明施工目标的承诺。</w:t>
            </w:r>
          </w:p>
        </w:tc>
        <w:tc>
          <w:tcPr>
            <w:tcW w:w="1139" w:type="dxa"/>
            <w:tcMar>
              <w:top w:w="85" w:type="dxa"/>
              <w:left w:w="85" w:type="dxa"/>
              <w:bottom w:w="85" w:type="dxa"/>
              <w:right w:w="85" w:type="dxa"/>
            </w:tcMar>
            <w:vAlign w:val="center"/>
          </w:tcPr>
          <w:p w14:paraId="5684E55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6分</w:t>
            </w:r>
          </w:p>
        </w:tc>
      </w:tr>
      <w:tr w14:paraId="0C44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7D2A7871">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106" w:type="dxa"/>
            <w:vMerge w:val="continue"/>
            <w:tcMar>
              <w:top w:w="85" w:type="dxa"/>
              <w:left w:w="85" w:type="dxa"/>
              <w:bottom w:w="85" w:type="dxa"/>
              <w:right w:w="85" w:type="dxa"/>
            </w:tcMar>
          </w:tcPr>
          <w:p w14:paraId="0E18E1F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045" w:type="dxa"/>
            <w:tcMar>
              <w:top w:w="85" w:type="dxa"/>
              <w:left w:w="85" w:type="dxa"/>
              <w:bottom w:w="85" w:type="dxa"/>
              <w:right w:w="85" w:type="dxa"/>
            </w:tcMar>
            <w:vAlign w:val="center"/>
          </w:tcPr>
          <w:p w14:paraId="38DC205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工程施工的重点和难点及保证措施</w:t>
            </w:r>
          </w:p>
        </w:tc>
        <w:tc>
          <w:tcPr>
            <w:tcW w:w="5654" w:type="dxa"/>
            <w:tcMar>
              <w:top w:w="85" w:type="dxa"/>
              <w:left w:w="85" w:type="dxa"/>
              <w:bottom w:w="85" w:type="dxa"/>
              <w:right w:w="85" w:type="dxa"/>
            </w:tcMar>
            <w:vAlign w:val="center"/>
          </w:tcPr>
          <w:p w14:paraId="5F470165">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一档（6分）：针对本工程的特点，阐述本工程的重点和难点，解决重点和难点问题的方法科学合理且全面。</w:t>
            </w:r>
          </w:p>
          <w:p w14:paraId="2FB42EA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二档（4分）：针对本工程的特点，阐述本工程的重点和难点，解决重点和难点问题的方法合理。</w:t>
            </w:r>
          </w:p>
          <w:p w14:paraId="607B943D">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三档（3分）：针对本工程的特点，阐述本工程的重点和难点，解决重点和难点问题的方法简单但基本合理。</w:t>
            </w:r>
          </w:p>
          <w:p w14:paraId="37309180">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四档（2分）：针对本工程的特点，阐述本工程的重点和难点，解决重点和难点问题的方法有缺陷。</w:t>
            </w:r>
          </w:p>
          <w:p w14:paraId="0AEA1E53">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五档（1分）：未针对本工程的特点，阐述本工程的重点和难点，解决重点和难点问题的方法不合理。</w:t>
            </w:r>
          </w:p>
        </w:tc>
        <w:tc>
          <w:tcPr>
            <w:tcW w:w="1139" w:type="dxa"/>
            <w:tcMar>
              <w:top w:w="85" w:type="dxa"/>
              <w:left w:w="85" w:type="dxa"/>
              <w:bottom w:w="85" w:type="dxa"/>
              <w:right w:w="85" w:type="dxa"/>
            </w:tcMar>
            <w:vAlign w:val="center"/>
          </w:tcPr>
          <w:p w14:paraId="398CDCF7">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6分</w:t>
            </w:r>
          </w:p>
        </w:tc>
      </w:tr>
      <w:tr w14:paraId="03D5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vMerge w:val="continue"/>
            <w:tcMar>
              <w:top w:w="85" w:type="dxa"/>
              <w:left w:w="85" w:type="dxa"/>
              <w:bottom w:w="85" w:type="dxa"/>
              <w:right w:w="85" w:type="dxa"/>
            </w:tcMar>
          </w:tcPr>
          <w:p w14:paraId="505F020E">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106" w:type="dxa"/>
            <w:vMerge w:val="continue"/>
            <w:tcMar>
              <w:top w:w="85" w:type="dxa"/>
              <w:left w:w="85" w:type="dxa"/>
              <w:bottom w:w="85" w:type="dxa"/>
              <w:right w:w="85" w:type="dxa"/>
            </w:tcMar>
          </w:tcPr>
          <w:p w14:paraId="6A3F1290">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textAlignment w:val="auto"/>
              <w:rPr>
                <w:rFonts w:hint="eastAsia" w:ascii="宋体" w:hAnsi="宋体" w:eastAsia="宋体" w:cs="宋体"/>
                <w:color w:val="auto"/>
                <w:sz w:val="21"/>
                <w:szCs w:val="21"/>
                <w:vertAlign w:val="baseline"/>
                <w:lang w:val="en-US" w:eastAsia="zh-CN"/>
              </w:rPr>
            </w:pPr>
          </w:p>
        </w:tc>
        <w:tc>
          <w:tcPr>
            <w:tcW w:w="1045" w:type="dxa"/>
            <w:tcMar>
              <w:top w:w="85" w:type="dxa"/>
              <w:left w:w="85" w:type="dxa"/>
              <w:bottom w:w="85" w:type="dxa"/>
              <w:right w:w="85" w:type="dxa"/>
            </w:tcMar>
            <w:vAlign w:val="center"/>
          </w:tcPr>
          <w:p w14:paraId="415D50E3">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施工总平面布置图</w:t>
            </w:r>
          </w:p>
        </w:tc>
        <w:tc>
          <w:tcPr>
            <w:tcW w:w="5654" w:type="dxa"/>
            <w:tcMar>
              <w:top w:w="85" w:type="dxa"/>
              <w:left w:w="85" w:type="dxa"/>
              <w:bottom w:w="85" w:type="dxa"/>
              <w:right w:w="85" w:type="dxa"/>
            </w:tcMar>
            <w:vAlign w:val="center"/>
          </w:tcPr>
          <w:p w14:paraId="28B0B286">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一档（6分）：有施工总平面布置图，各功能分区详细、界线明确。安排科学合理，完全符合本项目施工实际要求。</w:t>
            </w:r>
          </w:p>
          <w:p w14:paraId="19239F6B">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二档（4分）：有施工总平面布置图，各功能分区基本明确。安排合理，仅符合本项目施工实际要求。</w:t>
            </w:r>
          </w:p>
          <w:p w14:paraId="31EDF92E">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三档（3分）：有施工总平面布置图，安排基本合理，基本符合本项目施工实际要求。</w:t>
            </w:r>
          </w:p>
          <w:p w14:paraId="3AE6869B">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四档（2分）：有施工总平面布置图，各功能分区比较混乱，勉强符合本项目施工实际要求。</w:t>
            </w:r>
          </w:p>
          <w:p w14:paraId="3E9F7E88">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五档（1分）：无施工总平面布置图，安排不合理，不符合本项目施工实际要求。</w:t>
            </w:r>
          </w:p>
        </w:tc>
        <w:tc>
          <w:tcPr>
            <w:tcW w:w="1139" w:type="dxa"/>
            <w:tcMar>
              <w:top w:w="85" w:type="dxa"/>
              <w:left w:w="85" w:type="dxa"/>
              <w:bottom w:w="85" w:type="dxa"/>
              <w:right w:w="85" w:type="dxa"/>
            </w:tcMar>
            <w:vAlign w:val="center"/>
          </w:tcPr>
          <w:p w14:paraId="1B936421">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6分</w:t>
            </w:r>
          </w:p>
        </w:tc>
      </w:tr>
      <w:tr w14:paraId="521C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tcMar>
              <w:top w:w="85" w:type="dxa"/>
              <w:left w:w="85" w:type="dxa"/>
              <w:bottom w:w="85" w:type="dxa"/>
              <w:right w:w="85" w:type="dxa"/>
            </w:tcMar>
            <w:vAlign w:val="center"/>
          </w:tcPr>
          <w:p w14:paraId="26576F32">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w:t>
            </w:r>
          </w:p>
        </w:tc>
        <w:tc>
          <w:tcPr>
            <w:tcW w:w="1106" w:type="dxa"/>
            <w:tcMar>
              <w:top w:w="85" w:type="dxa"/>
              <w:left w:w="85" w:type="dxa"/>
              <w:bottom w:w="85" w:type="dxa"/>
              <w:right w:w="85" w:type="dxa"/>
            </w:tcMar>
            <w:vAlign w:val="center"/>
          </w:tcPr>
          <w:p w14:paraId="6F4FAAB7">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商务分</w:t>
            </w:r>
          </w:p>
        </w:tc>
        <w:tc>
          <w:tcPr>
            <w:tcW w:w="6699" w:type="dxa"/>
            <w:gridSpan w:val="2"/>
            <w:tcMar>
              <w:top w:w="85" w:type="dxa"/>
              <w:left w:w="85" w:type="dxa"/>
              <w:bottom w:w="85" w:type="dxa"/>
              <w:right w:w="85" w:type="dxa"/>
            </w:tcMar>
            <w:vAlign w:val="center"/>
          </w:tcPr>
          <w:p w14:paraId="0F0ED3EA">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评审标准</w:t>
            </w:r>
          </w:p>
        </w:tc>
        <w:tc>
          <w:tcPr>
            <w:tcW w:w="1139" w:type="dxa"/>
            <w:tcMar>
              <w:top w:w="85" w:type="dxa"/>
              <w:left w:w="85" w:type="dxa"/>
              <w:bottom w:w="85" w:type="dxa"/>
              <w:right w:w="85" w:type="dxa"/>
            </w:tcMar>
            <w:vAlign w:val="center"/>
          </w:tcPr>
          <w:p w14:paraId="2F4E35AD">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满分10分</w:t>
            </w:r>
          </w:p>
        </w:tc>
      </w:tr>
      <w:tr w14:paraId="7293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8" w:type="dxa"/>
            <w:tcMar>
              <w:top w:w="85" w:type="dxa"/>
              <w:left w:w="85" w:type="dxa"/>
              <w:bottom w:w="85" w:type="dxa"/>
              <w:right w:w="85" w:type="dxa"/>
            </w:tcMar>
            <w:vAlign w:val="center"/>
          </w:tcPr>
          <w:p w14:paraId="2ED0D0E0">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w:t>
            </w:r>
          </w:p>
        </w:tc>
        <w:tc>
          <w:tcPr>
            <w:tcW w:w="1106" w:type="dxa"/>
            <w:tcMar>
              <w:top w:w="85" w:type="dxa"/>
              <w:left w:w="85" w:type="dxa"/>
              <w:bottom w:w="85" w:type="dxa"/>
              <w:right w:w="85" w:type="dxa"/>
            </w:tcMar>
            <w:vAlign w:val="center"/>
          </w:tcPr>
          <w:p w14:paraId="63C04891">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业绩分</w:t>
            </w:r>
          </w:p>
        </w:tc>
        <w:tc>
          <w:tcPr>
            <w:tcW w:w="6699" w:type="dxa"/>
            <w:gridSpan w:val="2"/>
            <w:tcMar>
              <w:top w:w="85" w:type="dxa"/>
              <w:left w:w="85" w:type="dxa"/>
              <w:bottom w:w="85" w:type="dxa"/>
              <w:right w:w="85" w:type="dxa"/>
            </w:tcMar>
            <w:vAlign w:val="center"/>
          </w:tcPr>
          <w:p w14:paraId="2AA9A2B6">
            <w:pPr>
              <w:keepNext w:val="0"/>
              <w:keepLines w:val="0"/>
              <w:pageBreakBefore w:val="0"/>
              <w:suppressLineNumbers w:val="0"/>
              <w:tabs>
                <w:tab w:val="left" w:pos="5527"/>
              </w:tabs>
              <w:kinsoku/>
              <w:wordWrap/>
              <w:overflowPunct/>
              <w:topLinePunct w:val="0"/>
              <w:autoSpaceDE/>
              <w:autoSpaceDN/>
              <w:bidi w:val="0"/>
              <w:spacing w:before="0" w:beforeAutospacing="0" w:after="0" w:afterAutospacing="0" w:line="240" w:lineRule="auto"/>
              <w:ind w:left="0" w:leftChars="0" w:right="0" w:right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近三年</w:t>
            </w:r>
            <w:r>
              <w:rPr>
                <w:rFonts w:hint="eastAsia" w:ascii="宋体" w:hAnsi="宋体" w:eastAsia="宋体" w:cs="宋体"/>
                <w:color w:val="auto"/>
                <w:kern w:val="2"/>
                <w:sz w:val="21"/>
                <w:szCs w:val="21"/>
                <w:highlight w:val="none"/>
                <w:lang w:val="en-US" w:eastAsia="zh-CN" w:bidi="ar-SA"/>
              </w:rPr>
              <w:t>（以合同签订日期为准）文物修缮工程</w:t>
            </w:r>
            <w:r>
              <w:rPr>
                <w:rFonts w:hint="eastAsia" w:ascii="宋体" w:hAnsi="宋体" w:cs="宋体"/>
                <w:color w:val="auto"/>
                <w:kern w:val="2"/>
                <w:sz w:val="21"/>
                <w:szCs w:val="21"/>
                <w:highlight w:val="none"/>
                <w:lang w:val="en-US" w:eastAsia="zh-CN" w:bidi="ar-SA"/>
              </w:rPr>
              <w:t>或文物保护工程等类似相关工程</w:t>
            </w:r>
            <w:r>
              <w:rPr>
                <w:rFonts w:hint="eastAsia" w:ascii="宋体" w:hAnsi="宋体" w:eastAsia="宋体" w:cs="宋体"/>
                <w:color w:val="auto"/>
                <w:kern w:val="2"/>
                <w:sz w:val="21"/>
                <w:szCs w:val="21"/>
                <w:highlight w:val="none"/>
                <w:lang w:val="en-US" w:eastAsia="zh-CN" w:bidi="ar-SA"/>
              </w:rPr>
              <w:t>业绩</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sz w:val="21"/>
                <w:szCs w:val="21"/>
                <w:highlight w:val="none"/>
              </w:rPr>
              <w:t>，每</w:t>
            </w:r>
            <w:r>
              <w:rPr>
                <w:rFonts w:hint="eastAsia" w:ascii="宋体" w:hAnsi="宋体" w:cs="宋体"/>
                <w:color w:val="auto"/>
                <w:sz w:val="21"/>
                <w:szCs w:val="21"/>
                <w:highlight w:val="none"/>
                <w:lang w:val="en-US" w:eastAsia="zh-CN"/>
              </w:rPr>
              <w:t>提供一个业绩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此项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42C8E2B5">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rPr>
              <w:t>提供项目的</w:t>
            </w:r>
            <w:r>
              <w:rPr>
                <w:rFonts w:hint="eastAsia" w:ascii="宋体" w:hAnsi="宋体" w:eastAsia="宋体" w:cs="宋体"/>
                <w:color w:val="auto"/>
                <w:sz w:val="21"/>
                <w:szCs w:val="21"/>
                <w:highlight w:val="none"/>
                <w:lang w:val="en-US" w:eastAsia="zh-CN"/>
              </w:rPr>
              <w:t>中标（成交）通知书或</w:t>
            </w:r>
            <w:r>
              <w:rPr>
                <w:rFonts w:hint="eastAsia" w:ascii="宋体" w:hAnsi="宋体" w:eastAsia="宋体" w:cs="宋体"/>
                <w:color w:val="auto"/>
                <w:sz w:val="21"/>
                <w:szCs w:val="21"/>
                <w:highlight w:val="none"/>
              </w:rPr>
              <w:t>合同（要点包括签约时间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建设内容（或施工范围）</w:t>
            </w:r>
            <w:r>
              <w:rPr>
                <w:rFonts w:hint="eastAsia" w:ascii="宋体" w:hAnsi="宋体" w:eastAsia="宋体" w:cs="宋体"/>
                <w:color w:val="auto"/>
                <w:sz w:val="21"/>
                <w:szCs w:val="21"/>
                <w:highlight w:val="none"/>
              </w:rPr>
              <w:t>和双方盖章）扫描件</w:t>
            </w:r>
            <w:r>
              <w:rPr>
                <w:rFonts w:hint="eastAsia" w:ascii="宋体" w:hAnsi="宋体" w:eastAsia="宋体" w:cs="宋体"/>
                <w:color w:val="auto"/>
                <w:sz w:val="21"/>
                <w:szCs w:val="21"/>
                <w:highlight w:val="none"/>
                <w:lang w:val="en-US" w:eastAsia="zh-CN"/>
              </w:rPr>
              <w:t>并加盖单位CA公章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否则该项业绩</w:t>
            </w:r>
            <w:r>
              <w:rPr>
                <w:rFonts w:hint="eastAsia" w:ascii="宋体" w:hAnsi="宋体" w:cs="宋体"/>
                <w:color w:val="auto"/>
                <w:sz w:val="21"/>
                <w:szCs w:val="21"/>
                <w:highlight w:val="none"/>
                <w:lang w:val="en-US" w:eastAsia="zh-CN"/>
              </w:rPr>
              <w:t>不予计分（同一业绩的建设内容同时包含多项文物修缮工程、文物保护工程等内容的，按一个业绩计分）</w:t>
            </w:r>
            <w:r>
              <w:rPr>
                <w:rFonts w:hint="eastAsia" w:ascii="宋体" w:hAnsi="宋体" w:eastAsia="宋体" w:cs="宋体"/>
                <w:color w:val="auto"/>
                <w:sz w:val="21"/>
                <w:szCs w:val="21"/>
                <w:highlight w:val="none"/>
              </w:rPr>
              <w:t>。</w:t>
            </w:r>
          </w:p>
        </w:tc>
        <w:tc>
          <w:tcPr>
            <w:tcW w:w="1139" w:type="dxa"/>
            <w:tcMar>
              <w:top w:w="85" w:type="dxa"/>
              <w:left w:w="85" w:type="dxa"/>
              <w:bottom w:w="85" w:type="dxa"/>
              <w:right w:w="85" w:type="dxa"/>
            </w:tcMar>
            <w:vAlign w:val="center"/>
          </w:tcPr>
          <w:p w14:paraId="4CFF0C0F">
            <w:pPr>
              <w:pStyle w:val="11"/>
              <w:keepNext w:val="0"/>
              <w:keepLines w:val="0"/>
              <w:pageBreakBefore w:val="0"/>
              <w:widowControl w:val="0"/>
              <w:kinsoku/>
              <w:wordWrap/>
              <w:overflowPunct/>
              <w:topLinePunct w:val="0"/>
              <w:autoSpaceDE/>
              <w:autoSpaceDN/>
              <w:bidi w:val="0"/>
              <w:adjustRightInd w:val="0"/>
              <w:snapToGrid w:val="0"/>
              <w:spacing w:after="0" w:line="360" w:lineRule="atLeas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10分</w:t>
            </w:r>
          </w:p>
        </w:tc>
      </w:tr>
      <w:tr w14:paraId="35B8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43" w:type="dxa"/>
            <w:gridSpan w:val="4"/>
            <w:tcMar>
              <w:top w:w="85" w:type="dxa"/>
              <w:left w:w="85" w:type="dxa"/>
              <w:bottom w:w="85" w:type="dxa"/>
              <w:right w:w="85" w:type="dxa"/>
            </w:tcMar>
            <w:vAlign w:val="center"/>
          </w:tcPr>
          <w:p w14:paraId="218F9001">
            <w:pPr>
              <w:pStyle w:val="10"/>
              <w:keepNext w:val="0"/>
              <w:keepLines w:val="0"/>
              <w:pageBreakBefore w:val="0"/>
              <w:widowControl w:val="0"/>
              <w:kinsoku/>
              <w:wordWrap w:val="0"/>
              <w:overflowPunct/>
              <w:topLinePunct w:val="0"/>
              <w:autoSpaceDE/>
              <w:autoSpaceDN/>
              <w:bidi w:val="0"/>
              <w:adjustRightInd w:val="0"/>
              <w:snapToGrid w:val="0"/>
              <w:spacing w:line="360" w:lineRule="atLeast"/>
              <w:jc w:val="both"/>
              <w:textAlignment w:val="auto"/>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color w:val="auto"/>
                <w:kern w:val="2"/>
                <w:sz w:val="21"/>
                <w:szCs w:val="21"/>
              </w:rPr>
              <w:t>总得分＝1＋2＋3</w:t>
            </w:r>
          </w:p>
        </w:tc>
        <w:tc>
          <w:tcPr>
            <w:tcW w:w="1139" w:type="dxa"/>
            <w:tcMar>
              <w:top w:w="85" w:type="dxa"/>
              <w:left w:w="85" w:type="dxa"/>
              <w:bottom w:w="85" w:type="dxa"/>
              <w:right w:w="85" w:type="dxa"/>
            </w:tcMar>
            <w:vAlign w:val="center"/>
          </w:tcPr>
          <w:p w14:paraId="29B91E68">
            <w:pPr>
              <w:pStyle w:val="10"/>
              <w:keepNext w:val="0"/>
              <w:keepLines w:val="0"/>
              <w:pageBreakBefore w:val="0"/>
              <w:widowControl w:val="0"/>
              <w:kinsoku/>
              <w:wordWrap w:val="0"/>
              <w:overflowPunct/>
              <w:topLinePunct w:val="0"/>
              <w:autoSpaceDE/>
              <w:autoSpaceDN/>
              <w:bidi w:val="0"/>
              <w:adjustRightInd w:val="0"/>
              <w:snapToGrid w:val="0"/>
              <w:spacing w:line="360" w:lineRule="atLeast"/>
              <w:jc w:val="center"/>
              <w:textAlignment w:val="auto"/>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rPr>
              <w:t>100分</w:t>
            </w:r>
          </w:p>
        </w:tc>
      </w:tr>
      <w:tr w14:paraId="5DFC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82" w:type="dxa"/>
            <w:gridSpan w:val="5"/>
            <w:tcMar>
              <w:top w:w="85" w:type="dxa"/>
              <w:left w:w="85" w:type="dxa"/>
              <w:bottom w:w="85" w:type="dxa"/>
              <w:right w:w="85" w:type="dxa"/>
            </w:tcMar>
            <w:vAlign w:val="center"/>
          </w:tcPr>
          <w:p w14:paraId="133CDC06">
            <w:pPr>
              <w:keepNext w:val="0"/>
              <w:keepLines w:val="0"/>
              <w:pageBreakBefore w:val="0"/>
              <w:widowControl w:val="0"/>
              <w:kinsoku/>
              <w:wordWrap w:val="0"/>
              <w:overflowPunct/>
              <w:topLinePunct w:val="0"/>
              <w:autoSpaceDE/>
              <w:autoSpaceDN/>
              <w:bidi w:val="0"/>
              <w:adjustRightInd w:val="0"/>
              <w:snapToGrid w:val="0"/>
              <w:spacing w:line="360" w:lineRule="atLeast"/>
              <w:jc w:val="both"/>
              <w:textAlignment w:val="auto"/>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color w:val="auto"/>
                <w:sz w:val="21"/>
                <w:szCs w:val="21"/>
              </w:rPr>
              <w:t>本项目为施工项目，不涉及政策功能的节能，环保分加分。</w:t>
            </w:r>
          </w:p>
        </w:tc>
      </w:tr>
    </w:tbl>
    <w:p w14:paraId="6CB86D38">
      <w:pPr>
        <w:pStyle w:val="11"/>
        <w:keepNext w:val="0"/>
        <w:keepLines w:val="0"/>
        <w:pageBreakBefore w:val="0"/>
        <w:widowControl w:val="0"/>
        <w:kinsoku/>
        <w:wordWrap/>
        <w:overflowPunct/>
        <w:topLinePunct w:val="0"/>
        <w:autoSpaceDE/>
        <w:autoSpaceDN/>
        <w:bidi w:val="0"/>
        <w:adjustRightInd w:val="0"/>
        <w:snapToGrid w:val="0"/>
        <w:spacing w:after="0" w:line="440" w:lineRule="atLeast"/>
        <w:textAlignment w:val="auto"/>
        <w:rPr>
          <w:rFonts w:hint="eastAsia" w:ascii="宋体" w:hAnsi="宋体" w:eastAsia="宋体" w:cs="宋体"/>
          <w:sz w:val="21"/>
          <w:szCs w:val="21"/>
          <w:lang w:val="en-US" w:eastAsia="zh-CN"/>
        </w:rPr>
        <w:sectPr>
          <w:pgSz w:w="11906" w:h="16838"/>
          <w:pgMar w:top="1247" w:right="1247" w:bottom="1247" w:left="1247" w:header="851" w:footer="992" w:gutter="0"/>
          <w:pgNumType w:fmt="decimal"/>
          <w:cols w:space="425" w:num="1"/>
          <w:docGrid w:type="lines" w:linePitch="312" w:charSpace="0"/>
        </w:sectPr>
      </w:pPr>
    </w:p>
    <w:p w14:paraId="63A31B86">
      <w:pPr>
        <w:pStyle w:val="2"/>
        <w:jc w:val="center"/>
        <w:rPr>
          <w:color w:val="auto"/>
        </w:rPr>
      </w:pPr>
      <w:bookmarkStart w:id="29" w:name="_Toc122424248"/>
      <w:bookmarkStart w:id="30" w:name="_Toc27541"/>
      <w:r>
        <w:rPr>
          <w:rFonts w:hint="eastAsia"/>
          <w:color w:val="auto"/>
        </w:rPr>
        <w:t>第五章 工程量清单及图纸</w:t>
      </w:r>
      <w:bookmarkEnd w:id="29"/>
      <w:r>
        <w:rPr>
          <w:rFonts w:hint="eastAsia"/>
          <w:color w:val="auto"/>
          <w:lang w:val="en-US" w:eastAsia="zh-CN"/>
        </w:rPr>
        <w:t>（另册）</w:t>
      </w:r>
      <w:bookmarkEnd w:id="30"/>
    </w:p>
    <w:p w14:paraId="1093637C">
      <w:pPr>
        <w:pStyle w:val="12"/>
        <w:rPr>
          <w:rFonts w:hint="eastAsia"/>
          <w:lang w:val="en-US" w:eastAsia="zh-CN"/>
        </w:rPr>
        <w:sectPr>
          <w:pgSz w:w="11906" w:h="16838"/>
          <w:pgMar w:top="1247" w:right="1247" w:bottom="1247" w:left="1247" w:header="851" w:footer="992" w:gutter="0"/>
          <w:pgNumType w:fmt="decimal"/>
          <w:cols w:space="425" w:num="1"/>
          <w:docGrid w:type="lines" w:linePitch="312" w:charSpace="0"/>
        </w:sectPr>
      </w:pPr>
    </w:p>
    <w:p w14:paraId="27D3C2D9">
      <w:pPr>
        <w:pStyle w:val="2"/>
        <w:jc w:val="center"/>
        <w:rPr>
          <w:color w:val="auto"/>
        </w:rPr>
      </w:pPr>
      <w:bookmarkStart w:id="31" w:name="_Toc5332"/>
      <w:bookmarkStart w:id="32" w:name="_Toc122424265"/>
      <w:r>
        <w:rPr>
          <w:rFonts w:hint="eastAsia"/>
          <w:color w:val="auto"/>
        </w:rPr>
        <w:t>第六章 响应文件格式</w:t>
      </w:r>
      <w:bookmarkEnd w:id="31"/>
      <w:bookmarkEnd w:id="32"/>
    </w:p>
    <w:p w14:paraId="32EEF7C7">
      <w:pPr>
        <w:spacing w:line="480" w:lineRule="auto"/>
        <w:ind w:left="0" w:leftChars="0" w:firstLine="420" w:firstLineChars="200"/>
        <w:rPr>
          <w:rFonts w:hint="eastAsia" w:ascii="宋体" w:hAnsi="宋体" w:cs="宋体"/>
          <w:szCs w:val="21"/>
        </w:rPr>
      </w:pPr>
      <w:bookmarkStart w:id="33" w:name="_Toc35611438"/>
      <w:bookmarkStart w:id="34" w:name="_Toc31728084"/>
      <w:bookmarkStart w:id="35" w:name="_Toc31723070"/>
      <w:bookmarkStart w:id="36" w:name="_Toc44229899"/>
      <w:bookmarkStart w:id="37" w:name="_Toc71366186"/>
      <w:bookmarkStart w:id="38" w:name="_Toc35611516"/>
      <w:r>
        <w:rPr>
          <w:rFonts w:hint="eastAsia" w:ascii="宋体" w:hAnsi="宋体" w:cs="宋体"/>
          <w:szCs w:val="21"/>
        </w:rPr>
        <w:t>说明：</w:t>
      </w:r>
    </w:p>
    <w:p w14:paraId="09534313">
      <w:pPr>
        <w:spacing w:line="480" w:lineRule="auto"/>
        <w:ind w:left="0" w:leftChars="0" w:firstLine="480" w:firstLineChars="200"/>
        <w:rPr>
          <w:rFonts w:hint="eastAsia" w:ascii="宋体" w:hAnsi="宋体" w:eastAsia="宋体" w:cs="宋体"/>
          <w:sz w:val="24"/>
          <w:szCs w:val="24"/>
          <w:lang w:eastAsia="zh-CN"/>
        </w:rPr>
      </w:pPr>
      <w:r>
        <w:rPr>
          <w:rFonts w:hint="eastAsia" w:ascii="宋体" w:hAnsi="宋体" w:cs="宋体"/>
          <w:sz w:val="24"/>
          <w:szCs w:val="24"/>
        </w:rPr>
        <w:t>1、本章所列的响应文件格式，供应商可根据自身情况进行补充和修改、扩展，但补充和修改不得造成与本章格式内容有实质性的违背。</w:t>
      </w:r>
    </w:p>
    <w:p w14:paraId="42B05B9B">
      <w:pPr>
        <w:spacing w:line="480" w:lineRule="auto"/>
        <w:ind w:left="0" w:leftChars="0" w:firstLine="482" w:firstLineChars="200"/>
        <w:rPr>
          <w:rFonts w:hint="eastAsia" w:ascii="宋体" w:hAnsi="宋体" w:cs="宋体"/>
          <w:b/>
          <w:bCs/>
          <w:sz w:val="24"/>
          <w:szCs w:val="24"/>
        </w:rPr>
      </w:pPr>
      <w:r>
        <w:rPr>
          <w:rFonts w:hint="eastAsia" w:ascii="宋体" w:hAnsi="宋体" w:cs="宋体"/>
          <w:b/>
          <w:bCs/>
          <w:sz w:val="24"/>
          <w:szCs w:val="24"/>
        </w:rPr>
        <w:t>2、目录由供应商自行编写。</w:t>
      </w:r>
    </w:p>
    <w:p w14:paraId="6B64331D">
      <w:pPr>
        <w:spacing w:line="480" w:lineRule="auto"/>
        <w:ind w:left="0" w:leftChars="0" w:firstLine="480" w:firstLineChars="200"/>
        <w:rPr>
          <w:rFonts w:hint="eastAsia" w:ascii="宋体" w:hAnsi="宋体" w:cs="宋体"/>
          <w:sz w:val="24"/>
          <w:szCs w:val="24"/>
        </w:rPr>
      </w:pPr>
      <w:r>
        <w:rPr>
          <w:rFonts w:hint="eastAsia" w:ascii="宋体" w:hAnsi="宋体" w:cs="宋体"/>
          <w:sz w:val="24"/>
          <w:szCs w:val="24"/>
        </w:rPr>
        <w:t>3、供应商资格证明文件按供应商须知要求提供。</w:t>
      </w:r>
    </w:p>
    <w:p w14:paraId="2734B85B">
      <w:pPr>
        <w:spacing w:line="480" w:lineRule="auto"/>
        <w:ind w:left="0" w:leftChars="0"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相关</w:t>
      </w:r>
      <w:r>
        <w:rPr>
          <w:rFonts w:hint="eastAsia" w:ascii="宋体" w:hAnsi="宋体" w:cs="宋体"/>
          <w:sz w:val="24"/>
          <w:szCs w:val="24"/>
        </w:rPr>
        <w:t>授权委托书填写说明：</w:t>
      </w:r>
    </w:p>
    <w:p w14:paraId="60EC904E">
      <w:pPr>
        <w:spacing w:line="480" w:lineRule="auto"/>
        <w:ind w:left="0" w:leftChars="0" w:firstLine="480" w:firstLineChars="200"/>
        <w:rPr>
          <w:rFonts w:hint="eastAsia" w:ascii="宋体" w:hAnsi="宋体" w:cs="宋体"/>
          <w:sz w:val="24"/>
          <w:szCs w:val="24"/>
        </w:rPr>
      </w:pPr>
      <w:r>
        <w:rPr>
          <w:rFonts w:hint="eastAsia" w:ascii="宋体" w:hAnsi="宋体" w:cs="宋体"/>
          <w:sz w:val="24"/>
          <w:szCs w:val="24"/>
        </w:rPr>
        <w:t>4.1委托书所签发的代理期必须涵盖代理人所有签字为有效时间。</w:t>
      </w:r>
    </w:p>
    <w:p w14:paraId="31853629">
      <w:pPr>
        <w:spacing w:line="480" w:lineRule="auto"/>
        <w:ind w:left="0" w:leftChars="0" w:firstLine="480" w:firstLineChars="200"/>
        <w:rPr>
          <w:rFonts w:hint="eastAsia" w:ascii="宋体" w:hAnsi="宋体" w:cs="宋体"/>
          <w:sz w:val="24"/>
          <w:szCs w:val="24"/>
        </w:rPr>
      </w:pPr>
      <w:r>
        <w:rPr>
          <w:rFonts w:hint="eastAsia" w:ascii="宋体" w:hAnsi="宋体" w:cs="宋体"/>
          <w:sz w:val="24"/>
          <w:szCs w:val="24"/>
        </w:rPr>
        <w:t>4.2委托书内容要填写明确，文字要工整清楚。</w:t>
      </w:r>
    </w:p>
    <w:p w14:paraId="19CF0D60">
      <w:pPr>
        <w:spacing w:line="480" w:lineRule="auto"/>
        <w:ind w:left="0" w:leftChars="0" w:firstLine="480" w:firstLineChars="200"/>
        <w:rPr>
          <w:rFonts w:hint="eastAsia" w:ascii="宋体" w:hAnsi="宋体" w:cs="宋体"/>
          <w:sz w:val="24"/>
          <w:szCs w:val="24"/>
        </w:rPr>
      </w:pPr>
      <w:r>
        <w:rPr>
          <w:rFonts w:hint="eastAsia" w:ascii="宋体" w:hAnsi="宋体" w:cs="宋体"/>
          <w:sz w:val="24"/>
          <w:szCs w:val="24"/>
        </w:rPr>
        <w:t>4.3委托书不得转借、转让，不得买卖。</w:t>
      </w:r>
    </w:p>
    <w:p w14:paraId="7E385044">
      <w:pPr>
        <w:spacing w:line="480" w:lineRule="auto"/>
        <w:ind w:left="0" w:leftChars="0" w:firstLine="480" w:firstLineChars="200"/>
        <w:rPr>
          <w:rFonts w:hint="eastAsia" w:ascii="宋体" w:hAnsi="宋体" w:cs="宋体"/>
          <w:sz w:val="24"/>
          <w:szCs w:val="24"/>
        </w:rPr>
      </w:pPr>
      <w:r>
        <w:rPr>
          <w:rFonts w:hint="eastAsia" w:ascii="宋体" w:hAnsi="宋体" w:cs="宋体"/>
          <w:sz w:val="24"/>
          <w:szCs w:val="24"/>
        </w:rPr>
        <w:t>4.4 代理人根据授权范围，以委托单位的名义签订合同，并将此委托书提交给采购人作为合同附件。</w:t>
      </w:r>
    </w:p>
    <w:p w14:paraId="5A6AC57A">
      <w:pPr>
        <w:spacing w:line="480" w:lineRule="auto"/>
        <w:ind w:left="0" w:leftChars="0" w:firstLine="480" w:firstLineChars="200"/>
        <w:rPr>
          <w:rFonts w:hint="eastAsia" w:ascii="宋体" w:hAnsi="宋体" w:cs="宋体"/>
          <w:b/>
          <w:bCs/>
          <w:sz w:val="24"/>
          <w:szCs w:val="24"/>
        </w:rPr>
      </w:pPr>
      <w:r>
        <w:rPr>
          <w:rFonts w:hint="eastAsia" w:ascii="宋体" w:hAnsi="宋体" w:cs="宋体"/>
          <w:sz w:val="24"/>
          <w:szCs w:val="24"/>
          <w:lang w:val="en-US" w:eastAsia="zh-CN"/>
        </w:rPr>
        <w:t xml:space="preserve">4.5 </w:t>
      </w:r>
      <w:r>
        <w:rPr>
          <w:rFonts w:hint="eastAsia" w:ascii="宋体" w:hAnsi="宋体" w:cs="宋体"/>
          <w:b w:val="0"/>
          <w:bCs w:val="0"/>
          <w:sz w:val="24"/>
          <w:szCs w:val="24"/>
        </w:rPr>
        <w:t>如果其授权代表</w:t>
      </w:r>
      <w:r>
        <w:rPr>
          <w:rFonts w:hint="eastAsia" w:ascii="宋体" w:hAnsi="宋体" w:cs="宋体"/>
          <w:b w:val="0"/>
          <w:bCs w:val="0"/>
          <w:sz w:val="24"/>
          <w:szCs w:val="24"/>
          <w:lang w:val="en-US" w:eastAsia="zh-CN"/>
        </w:rPr>
        <w:t>无</w:t>
      </w:r>
      <w:r>
        <w:rPr>
          <w:rFonts w:hint="eastAsia" w:ascii="宋体" w:hAnsi="宋体" w:cs="宋体"/>
          <w:b w:val="0"/>
          <w:bCs w:val="0"/>
          <w:sz w:val="24"/>
          <w:szCs w:val="24"/>
        </w:rPr>
        <w:t>CA电子签章或电子签名的，涉及签字的内容，可以线下签字后上传。</w:t>
      </w:r>
    </w:p>
    <w:p w14:paraId="6FA02F11">
      <w:pPr>
        <w:spacing w:line="480" w:lineRule="auto"/>
        <w:ind w:firstLine="482" w:firstLineChars="200"/>
        <w:rPr>
          <w:rFonts w:hint="eastAsia" w:ascii="宋体" w:hAnsi="宋体" w:cs="宋体"/>
          <w:b/>
          <w:bCs/>
          <w:sz w:val="24"/>
          <w:szCs w:val="24"/>
        </w:rPr>
      </w:pPr>
      <w:r>
        <w:rPr>
          <w:rFonts w:hint="eastAsia" w:ascii="宋体" w:hAnsi="宋体" w:cs="宋体"/>
          <w:b/>
          <w:bCs/>
          <w:sz w:val="24"/>
          <w:szCs w:val="24"/>
        </w:rPr>
        <w:t>5、响应文件中涉及的加盖公章均采用</w:t>
      </w:r>
      <w:r>
        <w:rPr>
          <w:rFonts w:hint="eastAsia" w:ascii="宋体" w:hAnsi="宋体" w:cs="宋体"/>
          <w:b/>
          <w:bCs/>
          <w:sz w:val="24"/>
          <w:szCs w:val="24"/>
          <w:lang w:val="en-US" w:eastAsia="zh-CN"/>
        </w:rPr>
        <w:t>广西政府采购云平台</w:t>
      </w:r>
      <w:r>
        <w:rPr>
          <w:rFonts w:hint="eastAsia" w:ascii="宋体" w:hAnsi="宋体" w:cs="宋体"/>
          <w:b/>
          <w:bCs/>
          <w:sz w:val="24"/>
          <w:szCs w:val="24"/>
        </w:rPr>
        <w:t>CA电子公章。供应商为自然人时</w:t>
      </w:r>
      <w:r>
        <w:rPr>
          <w:rFonts w:hint="eastAsia" w:ascii="宋体" w:hAnsi="宋体" w:cs="宋体"/>
          <w:b/>
          <w:bCs/>
          <w:sz w:val="24"/>
          <w:szCs w:val="24"/>
          <w:lang w:val="en-US" w:eastAsia="zh-CN"/>
        </w:rPr>
        <w:t>如无广西政府采购云平台</w:t>
      </w:r>
      <w:r>
        <w:rPr>
          <w:rFonts w:hint="eastAsia" w:ascii="宋体" w:hAnsi="宋体" w:cs="宋体"/>
          <w:b/>
          <w:bCs/>
          <w:sz w:val="24"/>
          <w:szCs w:val="24"/>
        </w:rPr>
        <w:t>CA电子签章或电子签名</w:t>
      </w:r>
      <w:r>
        <w:rPr>
          <w:rFonts w:hint="eastAsia" w:ascii="宋体" w:hAnsi="宋体" w:cs="宋体"/>
          <w:b/>
          <w:bCs/>
          <w:sz w:val="24"/>
          <w:szCs w:val="24"/>
          <w:lang w:val="en-US" w:eastAsia="zh-CN"/>
        </w:rPr>
        <w:t>的，可线下签字，签字后的资料文件再按相关要求上传</w:t>
      </w:r>
      <w:r>
        <w:rPr>
          <w:rFonts w:hint="eastAsia" w:ascii="宋体" w:hAnsi="宋体" w:cs="宋体"/>
          <w:b/>
          <w:bCs/>
          <w:sz w:val="24"/>
          <w:szCs w:val="24"/>
        </w:rPr>
        <w:t>。</w:t>
      </w:r>
    </w:p>
    <w:p w14:paraId="7436A86D">
      <w:pPr>
        <w:spacing w:line="480" w:lineRule="auto"/>
        <w:ind w:left="0" w:leftChars="0" w:firstLine="482" w:firstLineChars="200"/>
        <w:rPr>
          <w:rFonts w:hint="eastAsia" w:ascii="宋体" w:hAnsi="宋体" w:cs="宋体"/>
          <w:b/>
          <w:sz w:val="52"/>
          <w:szCs w:val="52"/>
          <w:lang w:val="en-US" w:eastAsia="zh-CN"/>
        </w:rPr>
      </w:pPr>
      <w:r>
        <w:rPr>
          <w:rFonts w:hint="eastAsia" w:ascii="宋体" w:hAnsi="宋体" w:cs="宋体"/>
          <w:b/>
          <w:bCs/>
          <w:sz w:val="24"/>
          <w:szCs w:val="24"/>
          <w:lang w:val="en-US" w:eastAsia="zh-CN"/>
        </w:rPr>
        <w:t>6、供应商为自然人时，响应文件格式中“供应商”则为“自然人本人姓名”。</w:t>
      </w:r>
    </w:p>
    <w:p w14:paraId="4B62D87D">
      <w:pPr>
        <w:rPr>
          <w:rFonts w:hint="eastAsia"/>
          <w:b/>
          <w:color w:val="auto"/>
          <w:sz w:val="32"/>
          <w:szCs w:val="32"/>
        </w:rPr>
        <w:sectPr>
          <w:pgSz w:w="11906" w:h="16838"/>
          <w:pgMar w:top="1247" w:right="1247" w:bottom="1247" w:left="1247" w:header="851" w:footer="992" w:gutter="0"/>
          <w:pgNumType w:fmt="decimal"/>
          <w:cols w:space="425" w:num="1"/>
          <w:docGrid w:type="lines" w:linePitch="312" w:charSpace="0"/>
        </w:sectPr>
      </w:pPr>
    </w:p>
    <w:bookmarkEnd w:id="33"/>
    <w:bookmarkEnd w:id="34"/>
    <w:bookmarkEnd w:id="35"/>
    <w:bookmarkEnd w:id="36"/>
    <w:bookmarkEnd w:id="37"/>
    <w:bookmarkEnd w:id="38"/>
    <w:p w14:paraId="41F6C984">
      <w:pPr>
        <w:spacing w:line="360" w:lineRule="auto"/>
        <w:ind w:right="420" w:firstLine="643" w:firstLineChars="200"/>
        <w:contextualSpacing/>
        <w:jc w:val="left"/>
        <w:rPr>
          <w:rFonts w:ascii="宋体" w:hAnsi="宋体"/>
          <w:b/>
          <w:color w:val="auto"/>
          <w:sz w:val="32"/>
          <w:szCs w:val="32"/>
        </w:rPr>
      </w:pPr>
      <w:r>
        <w:rPr>
          <w:rFonts w:hint="eastAsia" w:ascii="宋体" w:hAnsi="宋体"/>
          <w:b/>
          <w:color w:val="auto"/>
          <w:sz w:val="32"/>
          <w:szCs w:val="32"/>
          <w:lang w:val="en-US" w:eastAsia="zh-CN"/>
        </w:rPr>
        <w:t>一、</w:t>
      </w:r>
      <w:r>
        <w:rPr>
          <w:rFonts w:hint="eastAsia" w:ascii="宋体" w:hAnsi="宋体"/>
          <w:b/>
          <w:color w:val="auto"/>
          <w:sz w:val="32"/>
          <w:szCs w:val="32"/>
        </w:rPr>
        <w:t xml:space="preserve">报价文件格式 </w:t>
      </w:r>
    </w:p>
    <w:p w14:paraId="3410665C">
      <w:pPr>
        <w:snapToGrid w:val="0"/>
        <w:spacing w:before="156" w:beforeLines="50" w:after="50" w:line="360" w:lineRule="auto"/>
        <w:ind w:firstLine="643" w:firstLineChars="200"/>
        <w:jc w:val="left"/>
        <w:rPr>
          <w:rFonts w:hint="eastAsia" w:ascii="宋体" w:hAnsi="宋体" w:eastAsia="宋体"/>
          <w:b/>
          <w:color w:val="auto"/>
          <w:sz w:val="32"/>
          <w:szCs w:val="32"/>
          <w:lang w:eastAsia="zh-CN"/>
        </w:rPr>
      </w:pPr>
      <w:r>
        <w:rPr>
          <w:rFonts w:hint="eastAsia" w:ascii="宋体" w:hAnsi="宋体"/>
          <w:b/>
          <w:color w:val="auto"/>
          <w:sz w:val="32"/>
          <w:szCs w:val="32"/>
        </w:rPr>
        <w:t>1.</w:t>
      </w:r>
      <w:r>
        <w:rPr>
          <w:rFonts w:hint="eastAsia" w:ascii="宋体" w:hAnsi="宋体"/>
          <w:b/>
          <w:color w:val="auto"/>
          <w:sz w:val="32"/>
          <w:szCs w:val="32"/>
          <w:lang w:val="en-US" w:eastAsia="zh-CN"/>
        </w:rPr>
        <w:t xml:space="preserve"> </w:t>
      </w:r>
      <w:r>
        <w:rPr>
          <w:rFonts w:hint="eastAsia" w:ascii="宋体" w:hAnsi="宋体"/>
          <w:b/>
          <w:color w:val="auto"/>
          <w:sz w:val="32"/>
          <w:szCs w:val="32"/>
        </w:rPr>
        <w:t>报价文件封面格式</w:t>
      </w:r>
    </w:p>
    <w:p w14:paraId="4E50D755">
      <w:pPr>
        <w:snapToGrid w:val="0"/>
        <w:spacing w:before="156" w:beforeLines="50" w:after="50"/>
        <w:rPr>
          <w:rFonts w:ascii="宋体" w:hAnsi="宋体"/>
          <w:bCs/>
          <w:color w:val="auto"/>
          <w:sz w:val="32"/>
          <w:szCs w:val="20"/>
        </w:rPr>
      </w:pPr>
      <w:r>
        <w:rPr>
          <w:rFonts w:hint="eastAsia" w:ascii="宋体" w:hAnsi="宋体"/>
          <w:color w:val="auto"/>
          <w:sz w:val="24"/>
        </w:rPr>
        <w:t xml:space="preserve">                                                    </w:t>
      </w:r>
    </w:p>
    <w:p w14:paraId="5AB22FC1">
      <w:pPr>
        <w:snapToGrid w:val="0"/>
        <w:spacing w:before="156" w:beforeLines="50" w:after="50"/>
        <w:jc w:val="center"/>
        <w:rPr>
          <w:rFonts w:ascii="宋体" w:hAnsi="宋体"/>
          <w:color w:val="auto"/>
          <w:sz w:val="24"/>
          <w:szCs w:val="20"/>
        </w:rPr>
      </w:pPr>
      <w:r>
        <w:rPr>
          <w:rFonts w:hint="eastAsia" w:ascii="宋体" w:hAnsi="宋体"/>
          <w:color w:val="auto"/>
          <w:sz w:val="44"/>
          <w:szCs w:val="44"/>
        </w:rPr>
        <w:t>电 子 响 应 文 件</w:t>
      </w:r>
    </w:p>
    <w:p w14:paraId="302C07F5">
      <w:pPr>
        <w:snapToGrid w:val="0"/>
        <w:spacing w:before="156" w:beforeLines="50" w:after="50"/>
        <w:rPr>
          <w:rFonts w:ascii="宋体" w:hAnsi="宋体"/>
          <w:color w:val="auto"/>
          <w:sz w:val="24"/>
          <w:szCs w:val="20"/>
        </w:rPr>
      </w:pPr>
    </w:p>
    <w:p w14:paraId="0D8C7EDC">
      <w:pPr>
        <w:snapToGrid w:val="0"/>
        <w:spacing w:before="156" w:beforeLines="50" w:after="50"/>
        <w:rPr>
          <w:rFonts w:ascii="宋体" w:hAnsi="宋体"/>
          <w:color w:val="auto"/>
          <w:sz w:val="24"/>
          <w:szCs w:val="20"/>
        </w:rPr>
      </w:pPr>
    </w:p>
    <w:p w14:paraId="6454E7A8">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文  件</w:t>
      </w:r>
    </w:p>
    <w:p w14:paraId="08CBB253">
      <w:pPr>
        <w:snapToGrid w:val="0"/>
        <w:spacing w:before="156" w:beforeLines="50" w:after="50"/>
        <w:rPr>
          <w:rFonts w:ascii="宋体" w:hAnsi="宋体"/>
          <w:bCs/>
          <w:color w:val="auto"/>
          <w:sz w:val="24"/>
          <w:szCs w:val="20"/>
        </w:rPr>
      </w:pPr>
    </w:p>
    <w:p w14:paraId="4719F8DF">
      <w:pPr>
        <w:snapToGrid w:val="0"/>
        <w:spacing w:before="156" w:beforeLines="50" w:after="50"/>
        <w:rPr>
          <w:rFonts w:ascii="宋体" w:hAnsi="宋体"/>
          <w:bCs/>
          <w:color w:val="auto"/>
          <w:sz w:val="24"/>
          <w:szCs w:val="20"/>
        </w:rPr>
      </w:pPr>
    </w:p>
    <w:p w14:paraId="23E6095C">
      <w:pPr>
        <w:snapToGrid w:val="0"/>
        <w:spacing w:before="156" w:beforeLines="50" w:after="50"/>
        <w:rPr>
          <w:rFonts w:ascii="宋体" w:hAnsi="宋体"/>
          <w:bCs/>
          <w:color w:val="auto"/>
          <w:sz w:val="24"/>
          <w:szCs w:val="20"/>
        </w:rPr>
      </w:pPr>
    </w:p>
    <w:p w14:paraId="14D4E51A">
      <w:pPr>
        <w:snapToGrid w:val="0"/>
        <w:spacing w:before="156" w:beforeLines="50" w:after="50"/>
        <w:rPr>
          <w:rFonts w:ascii="宋体" w:hAnsi="宋体"/>
          <w:bCs/>
          <w:color w:val="auto"/>
          <w:sz w:val="24"/>
          <w:szCs w:val="20"/>
        </w:rPr>
      </w:pPr>
    </w:p>
    <w:p w14:paraId="506763EC">
      <w:pPr>
        <w:snapToGrid w:val="0"/>
        <w:spacing w:before="156" w:beforeLines="50" w:after="50"/>
        <w:rPr>
          <w:rFonts w:ascii="宋体" w:hAnsi="宋体"/>
          <w:bCs/>
          <w:color w:val="auto"/>
          <w:sz w:val="24"/>
          <w:szCs w:val="20"/>
        </w:rPr>
      </w:pPr>
    </w:p>
    <w:p w14:paraId="597AAB4D">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73DED17D">
      <w:pPr>
        <w:snapToGrid w:val="0"/>
        <w:spacing w:before="156" w:beforeLines="50" w:after="50"/>
        <w:ind w:firstLine="720" w:firstLineChars="225"/>
        <w:rPr>
          <w:rFonts w:ascii="宋体" w:hAnsi="宋体" w:cs="仿宋_GB2312"/>
          <w:bCs/>
          <w:color w:val="auto"/>
          <w:sz w:val="32"/>
          <w:szCs w:val="32"/>
        </w:rPr>
      </w:pPr>
    </w:p>
    <w:p w14:paraId="622E1936">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01C4F642">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36483706">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620942F6">
      <w:pPr>
        <w:snapToGrid w:val="0"/>
        <w:spacing w:before="156" w:beforeLines="50" w:after="50"/>
        <w:ind w:firstLine="720" w:firstLineChars="225"/>
        <w:rPr>
          <w:rFonts w:ascii="宋体" w:hAnsi="宋体" w:cs="仿宋_GB2312"/>
          <w:bCs/>
          <w:color w:val="auto"/>
          <w:sz w:val="32"/>
          <w:szCs w:val="32"/>
        </w:rPr>
      </w:pPr>
    </w:p>
    <w:p w14:paraId="7BF80A50">
      <w:pPr>
        <w:pStyle w:val="5"/>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0CFB514A">
      <w:pPr>
        <w:pStyle w:val="5"/>
        <w:snapToGrid w:val="0"/>
        <w:spacing w:before="50" w:after="50"/>
        <w:ind w:firstLine="640" w:firstLineChars="200"/>
        <w:rPr>
          <w:rFonts w:ascii="宋体" w:hAnsi="宋体" w:cs="仿宋_GB2312"/>
          <w:bCs/>
          <w:color w:val="auto"/>
          <w:sz w:val="32"/>
          <w:szCs w:val="32"/>
        </w:rPr>
      </w:pPr>
    </w:p>
    <w:p w14:paraId="411A09A7">
      <w:pPr>
        <w:pStyle w:val="5"/>
        <w:snapToGrid w:val="0"/>
        <w:spacing w:before="50" w:after="50"/>
        <w:ind w:firstLine="720" w:firstLineChars="225"/>
        <w:rPr>
          <w:rFonts w:ascii="宋体" w:hAnsi="宋体" w:cs="仿宋_GB2312"/>
          <w:bCs/>
          <w:color w:val="auto"/>
          <w:sz w:val="32"/>
          <w:szCs w:val="32"/>
        </w:rPr>
      </w:pPr>
    </w:p>
    <w:p w14:paraId="0514F79C">
      <w:pPr>
        <w:pStyle w:val="5"/>
        <w:snapToGrid w:val="0"/>
        <w:spacing w:before="50" w:after="50"/>
        <w:ind w:firstLine="0"/>
        <w:rPr>
          <w:rFonts w:ascii="宋体" w:hAnsi="宋体" w:cs="仿宋_GB2312"/>
          <w:bCs/>
          <w:color w:val="auto"/>
          <w:sz w:val="32"/>
          <w:szCs w:val="32"/>
        </w:rPr>
      </w:pPr>
    </w:p>
    <w:p w14:paraId="10138131">
      <w:pPr>
        <w:pStyle w:val="5"/>
        <w:snapToGrid w:val="0"/>
        <w:spacing w:before="50" w:after="50"/>
        <w:ind w:firstLine="1280" w:firstLineChars="400"/>
        <w:rPr>
          <w:rFonts w:ascii="宋体" w:hAnsi="宋体" w:cs="仿宋_GB2312"/>
          <w:bCs/>
          <w:color w:val="auto"/>
          <w:sz w:val="32"/>
          <w:szCs w:val="32"/>
        </w:rPr>
      </w:pPr>
    </w:p>
    <w:p w14:paraId="176CDB6A">
      <w:pPr>
        <w:snapToGrid w:val="0"/>
        <w:spacing w:before="156"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14E80FFF">
      <w:pPr>
        <w:snapToGrid w:val="0"/>
        <w:spacing w:before="156" w:beforeLines="50" w:after="50" w:line="360" w:lineRule="auto"/>
        <w:ind w:left="142"/>
        <w:jc w:val="left"/>
        <w:rPr>
          <w:rFonts w:ascii="宋体" w:hAnsi="宋体"/>
          <w:b/>
          <w:bCs/>
          <w:color w:val="auto"/>
          <w:sz w:val="24"/>
        </w:rPr>
      </w:pPr>
      <w:r>
        <w:rPr>
          <w:rFonts w:hint="eastAsia" w:ascii="宋体" w:hAnsi="宋体"/>
          <w:color w:val="auto"/>
          <w:szCs w:val="21"/>
        </w:rPr>
        <w:br w:type="page"/>
      </w:r>
      <w:r>
        <w:rPr>
          <w:rFonts w:hint="eastAsia" w:ascii="宋体" w:hAnsi="宋体"/>
          <w:color w:val="auto"/>
          <w:szCs w:val="21"/>
          <w:lang w:val="en-US" w:eastAsia="zh-CN"/>
        </w:rPr>
        <w:t xml:space="preserve">  </w:t>
      </w:r>
      <w:r>
        <w:rPr>
          <w:rFonts w:hint="eastAsia" w:ascii="宋体" w:hAnsi="宋体"/>
          <w:b/>
          <w:bCs/>
          <w:color w:val="auto"/>
          <w:sz w:val="32"/>
          <w:szCs w:val="32"/>
        </w:rPr>
        <w:t>2.</w:t>
      </w:r>
      <w:r>
        <w:rPr>
          <w:rFonts w:hint="eastAsia" w:ascii="宋体" w:hAnsi="宋体"/>
          <w:b/>
          <w:bCs/>
          <w:color w:val="auto"/>
          <w:sz w:val="32"/>
          <w:szCs w:val="32"/>
          <w:lang w:val="en-US" w:eastAsia="zh-CN"/>
        </w:rPr>
        <w:t xml:space="preserve"> </w:t>
      </w:r>
      <w:r>
        <w:rPr>
          <w:rFonts w:hint="eastAsia" w:ascii="宋体" w:hAnsi="宋体"/>
          <w:b/>
          <w:bCs/>
          <w:color w:val="auto"/>
          <w:sz w:val="32"/>
          <w:szCs w:val="32"/>
        </w:rPr>
        <w:t>报价文件目录</w:t>
      </w:r>
    </w:p>
    <w:p w14:paraId="3290770F">
      <w:pPr>
        <w:spacing w:line="520" w:lineRule="exact"/>
        <w:jc w:val="left"/>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5B1675AC">
      <w:pPr>
        <w:spacing w:line="520" w:lineRule="exact"/>
        <w:jc w:val="center"/>
        <w:rPr>
          <w:rFonts w:ascii="宋体" w:hAnsi="宋体" w:cs="方正小标宋简体"/>
          <w:b/>
          <w:bCs/>
          <w:color w:val="auto"/>
          <w:sz w:val="32"/>
          <w:szCs w:val="32"/>
        </w:rPr>
      </w:pPr>
      <w:r>
        <w:rPr>
          <w:rFonts w:ascii="宋体" w:hAnsi="宋体"/>
          <w:b/>
          <w:bCs/>
          <w:color w:val="auto"/>
          <w:sz w:val="32"/>
          <w:szCs w:val="32"/>
        </w:rPr>
        <w:br w:type="page"/>
      </w:r>
      <w:r>
        <w:rPr>
          <w:rFonts w:hint="eastAsia" w:ascii="宋体" w:hAnsi="宋体" w:cs="方正小标宋简体"/>
          <w:b/>
          <w:bCs/>
          <w:color w:val="auto"/>
          <w:sz w:val="32"/>
          <w:szCs w:val="32"/>
        </w:rPr>
        <w:t>竞标函及竞标函附录</w:t>
      </w:r>
    </w:p>
    <w:p w14:paraId="49BA0940">
      <w:pPr>
        <w:spacing w:line="520" w:lineRule="exact"/>
        <w:jc w:val="center"/>
        <w:rPr>
          <w:rFonts w:ascii="宋体" w:hAnsi="宋体" w:cs="方正小标宋简体"/>
          <w:b/>
          <w:bCs/>
          <w:color w:val="auto"/>
          <w:sz w:val="32"/>
          <w:szCs w:val="32"/>
        </w:rPr>
      </w:pPr>
    </w:p>
    <w:p w14:paraId="617EC853">
      <w:pPr>
        <w:spacing w:line="520" w:lineRule="exact"/>
        <w:jc w:val="center"/>
        <w:rPr>
          <w:rFonts w:ascii="宋体" w:hAnsi="宋体" w:cs="方正小标宋简体"/>
          <w:b/>
          <w:bCs/>
          <w:color w:val="auto"/>
          <w:sz w:val="32"/>
          <w:szCs w:val="32"/>
        </w:rPr>
      </w:pPr>
      <w:r>
        <w:rPr>
          <w:rFonts w:hint="eastAsia" w:ascii="宋体" w:hAnsi="宋体" w:cs="方正小标宋简体"/>
          <w:b/>
          <w:bCs/>
          <w:color w:val="auto"/>
          <w:sz w:val="32"/>
          <w:szCs w:val="32"/>
        </w:rPr>
        <w:t>（一）竞标函</w:t>
      </w:r>
    </w:p>
    <w:p w14:paraId="46BB82C6">
      <w:pPr>
        <w:spacing w:line="520" w:lineRule="exact"/>
        <w:jc w:val="center"/>
        <w:rPr>
          <w:rFonts w:ascii="宋体" w:hAnsi="宋体" w:cs="方正小标宋简体"/>
          <w:b/>
          <w:bCs/>
          <w:color w:val="auto"/>
          <w:sz w:val="32"/>
          <w:szCs w:val="32"/>
        </w:rPr>
      </w:pPr>
    </w:p>
    <w:p w14:paraId="5F6B15C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bidi="zh-CN"/>
        </w:rPr>
        <w:t>采购人名称</w:t>
      </w:r>
      <w:r>
        <w:rPr>
          <w:rFonts w:hint="eastAsia" w:ascii="宋体" w:hAnsi="宋体" w:eastAsia="宋体" w:cs="宋体"/>
          <w:color w:val="auto"/>
          <w:sz w:val="24"/>
          <w:szCs w:val="24"/>
        </w:rPr>
        <w:t>）：</w:t>
      </w:r>
    </w:p>
    <w:p w14:paraId="2057F665">
      <w:pPr>
        <w:pStyle w:val="24"/>
        <w:numPr>
          <w:ilvl w:val="0"/>
          <w:numId w:val="17"/>
        </w:numPr>
        <w:tabs>
          <w:tab w:val="left" w:pos="762"/>
          <w:tab w:val="left" w:pos="2074"/>
          <w:tab w:val="left" w:pos="3430"/>
          <w:tab w:val="left" w:pos="4687"/>
          <w:tab w:val="left" w:pos="7898"/>
        </w:tabs>
        <w:ind w:firstLine="480" w:firstLineChars="200"/>
        <w:rPr>
          <w:rFonts w:hint="eastAsia" w:ascii="宋体" w:hAnsi="宋体" w:eastAsia="宋体" w:cs="宋体"/>
          <w:color w:val="auto"/>
          <w:sz w:val="24"/>
          <w:szCs w:val="24"/>
        </w:rPr>
      </w:pPr>
      <w:bookmarkStart w:id="39" w:name="bookmark2065"/>
      <w:bookmarkEnd w:id="39"/>
      <w:r>
        <w:rPr>
          <w:rFonts w:hint="eastAsia" w:ascii="宋体" w:hAnsi="宋体" w:eastAsia="宋体" w:cs="宋体"/>
          <w:color w:val="auto"/>
          <w:sz w:val="24"/>
          <w:szCs w:val="24"/>
        </w:rPr>
        <w:t>我方已仔细研究了</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（项目名称、项目编号）</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磋商文件的全部内容，愿意以人民币（大写）</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）的竞标总报价，工期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，按合同约定实施和完成承包工程，修补工程中的任何缺陷，工程质量达到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bidi="en-US"/>
        </w:rPr>
        <w:t>。</w:t>
      </w:r>
    </w:p>
    <w:p w14:paraId="7E95E75C">
      <w:pPr>
        <w:pStyle w:val="24"/>
        <w:numPr>
          <w:ilvl w:val="0"/>
          <w:numId w:val="17"/>
        </w:numPr>
        <w:tabs>
          <w:tab w:val="left" w:pos="762"/>
        </w:tabs>
        <w:ind w:left="0" w:leftChars="0" w:firstLine="480" w:firstLineChars="200"/>
        <w:rPr>
          <w:rFonts w:hint="eastAsia" w:ascii="宋体" w:hAnsi="宋体" w:eastAsia="宋体" w:cs="宋体"/>
          <w:color w:val="auto"/>
          <w:sz w:val="24"/>
          <w:szCs w:val="24"/>
        </w:rPr>
      </w:pPr>
      <w:bookmarkStart w:id="40" w:name="bookmark2067"/>
      <w:bookmarkEnd w:id="40"/>
      <w:bookmarkStart w:id="41" w:name="bookmark2068"/>
      <w:bookmarkEnd w:id="41"/>
      <w:bookmarkStart w:id="42" w:name="bookmark2066"/>
      <w:bookmarkEnd w:id="42"/>
      <w:r>
        <w:rPr>
          <w:rFonts w:hint="eastAsia" w:ascii="宋体" w:hAnsi="宋体" w:eastAsia="宋体" w:cs="宋体"/>
          <w:color w:val="auto"/>
          <w:sz w:val="24"/>
          <w:szCs w:val="24"/>
        </w:rPr>
        <w:t>我方承认竞标函附录是我方竞标函的组成部分。</w:t>
      </w:r>
    </w:p>
    <w:p w14:paraId="49206BD8">
      <w:pPr>
        <w:pStyle w:val="24"/>
        <w:numPr>
          <w:ilvl w:val="0"/>
          <w:numId w:val="17"/>
        </w:numPr>
        <w:tabs>
          <w:tab w:val="left" w:pos="762"/>
        </w:tabs>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如我方成交：</w:t>
      </w:r>
    </w:p>
    <w:p w14:paraId="5867F80E">
      <w:pPr>
        <w:pStyle w:val="24"/>
        <w:tabs>
          <w:tab w:val="left" w:pos="903"/>
        </w:tabs>
        <w:ind w:firstLine="420"/>
        <w:rPr>
          <w:rFonts w:hint="eastAsia" w:ascii="宋体" w:hAnsi="宋体" w:eastAsia="宋体" w:cs="宋体"/>
          <w:color w:val="auto"/>
          <w:sz w:val="24"/>
          <w:szCs w:val="24"/>
        </w:rPr>
      </w:pPr>
      <w:bookmarkStart w:id="43" w:name="bookmark2069"/>
      <w:r>
        <w:rPr>
          <w:rFonts w:hint="eastAsia" w:ascii="宋体" w:hAnsi="宋体" w:eastAsia="宋体" w:cs="宋体"/>
          <w:color w:val="auto"/>
          <w:sz w:val="24"/>
          <w:szCs w:val="24"/>
        </w:rPr>
        <w:t>（</w:t>
      </w:r>
      <w:bookmarkEnd w:id="43"/>
      <w:r>
        <w:rPr>
          <w:rFonts w:hint="eastAsia" w:ascii="宋体" w:hAnsi="宋体" w:eastAsia="宋体" w:cs="宋体"/>
          <w:color w:val="auto"/>
          <w:sz w:val="24"/>
          <w:szCs w:val="24"/>
        </w:rPr>
        <w:t>1）我方承诺在收到成交通知书后，在成交通知书规定的期限内与你方签订合同。</w:t>
      </w:r>
    </w:p>
    <w:p w14:paraId="430050A7">
      <w:pPr>
        <w:pStyle w:val="24"/>
        <w:tabs>
          <w:tab w:val="left" w:pos="903"/>
        </w:tabs>
        <w:ind w:firstLine="420"/>
        <w:rPr>
          <w:rFonts w:hint="eastAsia" w:ascii="宋体" w:hAnsi="宋体" w:eastAsia="宋体" w:cs="宋体"/>
          <w:color w:val="auto"/>
          <w:sz w:val="24"/>
          <w:szCs w:val="24"/>
        </w:rPr>
      </w:pPr>
      <w:bookmarkStart w:id="44" w:name="bookmark2070"/>
      <w:r>
        <w:rPr>
          <w:rFonts w:hint="eastAsia" w:ascii="宋体" w:hAnsi="宋体" w:eastAsia="宋体" w:cs="宋体"/>
          <w:color w:val="auto"/>
          <w:sz w:val="24"/>
          <w:szCs w:val="24"/>
        </w:rPr>
        <w:t>（</w:t>
      </w:r>
      <w:bookmarkEnd w:id="44"/>
      <w:r>
        <w:rPr>
          <w:rFonts w:hint="eastAsia" w:ascii="宋体" w:hAnsi="宋体" w:eastAsia="宋体" w:cs="宋体"/>
          <w:color w:val="auto"/>
          <w:sz w:val="24"/>
          <w:szCs w:val="24"/>
        </w:rPr>
        <w:t>2）在签订合同时不向你方提出附加条件。</w:t>
      </w:r>
    </w:p>
    <w:p w14:paraId="5473EA86">
      <w:pPr>
        <w:pStyle w:val="24"/>
        <w:tabs>
          <w:tab w:val="left" w:pos="903"/>
        </w:tabs>
        <w:ind w:firstLine="420"/>
        <w:rPr>
          <w:rFonts w:hint="eastAsia" w:ascii="宋体" w:hAnsi="宋体" w:eastAsia="宋体" w:cs="宋体"/>
          <w:color w:val="auto"/>
          <w:sz w:val="24"/>
          <w:szCs w:val="24"/>
        </w:rPr>
      </w:pPr>
      <w:bookmarkStart w:id="45" w:name="bookmark2071"/>
      <w:r>
        <w:rPr>
          <w:rFonts w:hint="eastAsia" w:ascii="宋体" w:hAnsi="宋体" w:eastAsia="宋体" w:cs="宋体"/>
          <w:color w:val="auto"/>
          <w:sz w:val="24"/>
          <w:szCs w:val="24"/>
        </w:rPr>
        <w:t>（</w:t>
      </w:r>
      <w:bookmarkEnd w:id="45"/>
      <w:r>
        <w:rPr>
          <w:rFonts w:hint="eastAsia" w:ascii="宋体" w:hAnsi="宋体" w:eastAsia="宋体" w:cs="宋体"/>
          <w:color w:val="auto"/>
          <w:sz w:val="24"/>
          <w:szCs w:val="24"/>
        </w:rPr>
        <w:t>3）我方承诺按照磋商文件规定向你方递交履约担保。</w:t>
      </w:r>
    </w:p>
    <w:p w14:paraId="51822881">
      <w:pPr>
        <w:pStyle w:val="24"/>
        <w:tabs>
          <w:tab w:val="left" w:pos="903"/>
        </w:tabs>
        <w:ind w:firstLine="420"/>
        <w:rPr>
          <w:rFonts w:hint="eastAsia" w:ascii="宋体" w:hAnsi="宋体" w:eastAsia="宋体" w:cs="宋体"/>
          <w:color w:val="auto"/>
          <w:sz w:val="24"/>
          <w:szCs w:val="24"/>
        </w:rPr>
      </w:pPr>
      <w:bookmarkStart w:id="46" w:name="bookmark2072"/>
      <w:r>
        <w:rPr>
          <w:rFonts w:hint="eastAsia" w:ascii="宋体" w:hAnsi="宋体" w:eastAsia="宋体" w:cs="宋体"/>
          <w:color w:val="auto"/>
          <w:sz w:val="24"/>
          <w:szCs w:val="24"/>
        </w:rPr>
        <w:t>（</w:t>
      </w:r>
      <w:bookmarkEnd w:id="46"/>
      <w:r>
        <w:rPr>
          <w:rFonts w:hint="eastAsia" w:ascii="宋体" w:hAnsi="宋体" w:eastAsia="宋体" w:cs="宋体"/>
          <w:color w:val="auto"/>
          <w:sz w:val="24"/>
          <w:szCs w:val="24"/>
        </w:rPr>
        <w:t>4）我方承诺在合同约定的期限内完成并移交全部合同工程。</w:t>
      </w:r>
    </w:p>
    <w:p w14:paraId="0362B2C6">
      <w:pPr>
        <w:pStyle w:val="24"/>
        <w:numPr>
          <w:ilvl w:val="0"/>
          <w:numId w:val="0"/>
        </w:numPr>
        <w:tabs>
          <w:tab w:val="left" w:pos="762"/>
        </w:tabs>
        <w:ind w:firstLine="480" w:firstLineChars="200"/>
        <w:rPr>
          <w:rFonts w:hint="eastAsia" w:ascii="宋体" w:hAnsi="宋体" w:eastAsia="宋体" w:cs="宋体"/>
          <w:color w:val="auto"/>
          <w:sz w:val="24"/>
          <w:szCs w:val="24"/>
        </w:rPr>
      </w:pPr>
      <w:bookmarkStart w:id="47" w:name="bookmark2073"/>
      <w:bookmarkEnd w:id="47"/>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在合同协议书正式签署生效之前，本竞标函连同你方的成交通知书将构成我们双方之间共同遵守的文件，对双方具有约束力。</w:t>
      </w:r>
    </w:p>
    <w:p w14:paraId="6EA8BADB">
      <w:pPr>
        <w:spacing w:line="360" w:lineRule="auto"/>
        <w:ind w:firstLine="480" w:firstLineChars="200"/>
        <w:rPr>
          <w:rFonts w:hint="eastAsia" w:ascii="宋体" w:hAnsi="宋体" w:eastAsia="宋体" w:cs="宋体"/>
          <w:color w:val="auto"/>
          <w:sz w:val="24"/>
          <w:szCs w:val="24"/>
        </w:rPr>
      </w:pPr>
      <w:bookmarkStart w:id="48" w:name="bookmark2074"/>
      <w:bookmarkEnd w:id="48"/>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（其他补充说明）。</w:t>
      </w:r>
    </w:p>
    <w:p w14:paraId="0BBA86F4">
      <w:pPr>
        <w:snapToGrid w:val="0"/>
        <w:spacing w:before="156" w:beforeLines="50" w:after="50"/>
        <w:rPr>
          <w:rFonts w:ascii="宋体" w:hAnsi="宋体"/>
          <w:color w:val="auto"/>
          <w:sz w:val="24"/>
          <w:szCs w:val="24"/>
        </w:rPr>
      </w:pPr>
      <w:r>
        <w:rPr>
          <w:rFonts w:ascii="宋体" w:hAnsi="宋体"/>
          <w:color w:val="auto"/>
          <w:sz w:val="24"/>
          <w:szCs w:val="24"/>
        </w:rPr>
        <w:t xml:space="preserve"> </w:t>
      </w:r>
    </w:p>
    <w:p w14:paraId="0117CD66">
      <w:pPr>
        <w:spacing w:line="300" w:lineRule="auto"/>
        <w:rPr>
          <w:rFonts w:ascii="宋体" w:hAnsi="宋体"/>
          <w:color w:val="auto"/>
          <w:sz w:val="24"/>
          <w:szCs w:val="24"/>
        </w:rPr>
      </w:pPr>
    </w:p>
    <w:p w14:paraId="64091208">
      <w:pPr>
        <w:spacing w:line="300" w:lineRule="auto"/>
        <w:rPr>
          <w:rFonts w:ascii="宋体" w:hAnsi="宋体"/>
          <w:color w:val="auto"/>
          <w:sz w:val="24"/>
          <w:szCs w:val="24"/>
        </w:rPr>
      </w:pPr>
    </w:p>
    <w:p w14:paraId="77273F33">
      <w:pPr>
        <w:spacing w:line="360" w:lineRule="auto"/>
        <w:ind w:right="-44" w:rightChars="-21" w:firstLine="192" w:firstLineChars="80"/>
        <w:rPr>
          <w:rFonts w:hint="eastAsia" w:ascii="宋体" w:hAnsi="宋体" w:eastAsia="宋体" w:cs="宋体"/>
          <w:sz w:val="24"/>
          <w:szCs w:val="24"/>
        </w:rPr>
      </w:pPr>
      <w:r>
        <w:rPr>
          <w:rFonts w:hint="eastAsia" w:ascii="宋体" w:hAnsi="宋体" w:eastAsia="宋体" w:cs="宋体"/>
          <w:sz w:val="24"/>
          <w:szCs w:val="24"/>
        </w:rPr>
        <w:t>供应商（盖单位</w:t>
      </w:r>
      <w:r>
        <w:rPr>
          <w:rFonts w:hint="eastAsia" w:ascii="宋体" w:hAnsi="宋体" w:eastAsia="宋体" w:cs="宋体"/>
          <w:sz w:val="24"/>
          <w:szCs w:val="24"/>
          <w:lang w:val="en-US" w:eastAsia="zh-CN"/>
        </w:rPr>
        <w:t>CA</w:t>
      </w: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14:paraId="302DB539">
      <w:pPr>
        <w:spacing w:line="360" w:lineRule="auto"/>
        <w:ind w:right="-44" w:rightChars="-21" w:firstLine="192" w:firstLineChars="80"/>
        <w:rPr>
          <w:rFonts w:hint="eastAsia" w:ascii="宋体" w:hAnsi="宋体" w:eastAsia="宋体" w:cs="宋体"/>
          <w:sz w:val="24"/>
          <w:szCs w:val="24"/>
        </w:rPr>
      </w:pPr>
      <w:r>
        <w:rPr>
          <w:rFonts w:hint="eastAsia" w:ascii="宋体" w:hAnsi="宋体" w:eastAsia="宋体" w:cs="宋体"/>
          <w:sz w:val="24"/>
          <w:szCs w:val="24"/>
        </w:rPr>
        <w:t>日期：     年     月     日</w:t>
      </w:r>
    </w:p>
    <w:p w14:paraId="2995A52A">
      <w:pPr>
        <w:spacing w:line="300" w:lineRule="auto"/>
        <w:rPr>
          <w:rFonts w:ascii="宋体" w:hAnsi="宋体"/>
          <w:color w:val="auto"/>
          <w:szCs w:val="21"/>
        </w:rPr>
      </w:pPr>
    </w:p>
    <w:p w14:paraId="7354AF2C">
      <w:pPr>
        <w:spacing w:line="300" w:lineRule="auto"/>
        <w:rPr>
          <w:rFonts w:ascii="宋体" w:hAnsi="宋体"/>
          <w:color w:val="auto"/>
          <w:szCs w:val="21"/>
        </w:rPr>
      </w:pPr>
    </w:p>
    <w:p w14:paraId="684812D9">
      <w:pPr>
        <w:spacing w:line="300" w:lineRule="auto"/>
        <w:rPr>
          <w:rFonts w:ascii="宋体" w:hAnsi="宋体"/>
          <w:color w:val="auto"/>
          <w:szCs w:val="21"/>
        </w:rPr>
      </w:pPr>
    </w:p>
    <w:p w14:paraId="101957CB">
      <w:pPr>
        <w:spacing w:line="300" w:lineRule="auto"/>
        <w:rPr>
          <w:rFonts w:ascii="宋体" w:hAnsi="宋体"/>
          <w:color w:val="auto"/>
          <w:szCs w:val="21"/>
        </w:rPr>
      </w:pPr>
    </w:p>
    <w:p w14:paraId="6DA129D1">
      <w:pPr>
        <w:spacing w:line="300" w:lineRule="auto"/>
        <w:rPr>
          <w:rFonts w:ascii="宋体" w:hAnsi="宋体"/>
          <w:color w:val="auto"/>
          <w:szCs w:val="21"/>
        </w:rPr>
      </w:pPr>
    </w:p>
    <w:p w14:paraId="27FEDF17">
      <w:pPr>
        <w:spacing w:line="300" w:lineRule="auto"/>
        <w:rPr>
          <w:rFonts w:ascii="宋体" w:hAnsi="宋体"/>
          <w:color w:val="auto"/>
          <w:szCs w:val="21"/>
        </w:rPr>
      </w:pPr>
    </w:p>
    <w:p w14:paraId="6C5A11B8">
      <w:pPr>
        <w:spacing w:line="300" w:lineRule="auto"/>
        <w:rPr>
          <w:rFonts w:ascii="宋体" w:hAnsi="宋体"/>
          <w:color w:val="auto"/>
          <w:szCs w:val="21"/>
        </w:rPr>
      </w:pPr>
    </w:p>
    <w:p w14:paraId="29A34D2F">
      <w:pPr>
        <w:spacing w:line="300" w:lineRule="auto"/>
        <w:rPr>
          <w:rFonts w:ascii="宋体" w:hAnsi="宋体"/>
          <w:color w:val="auto"/>
          <w:szCs w:val="21"/>
        </w:rPr>
      </w:pPr>
    </w:p>
    <w:p w14:paraId="6DD9EC8D">
      <w:pPr>
        <w:spacing w:line="300" w:lineRule="auto"/>
        <w:rPr>
          <w:rFonts w:ascii="宋体" w:hAnsi="宋体"/>
          <w:color w:val="auto"/>
          <w:szCs w:val="21"/>
        </w:rPr>
      </w:pPr>
    </w:p>
    <w:p w14:paraId="1F453934">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（二）竞标函附录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359"/>
        <w:gridCol w:w="2300"/>
        <w:gridCol w:w="3279"/>
      </w:tblGrid>
      <w:tr w14:paraId="323D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025D82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 号</w:t>
            </w:r>
          </w:p>
        </w:tc>
        <w:tc>
          <w:tcPr>
            <w:tcW w:w="2359" w:type="dxa"/>
            <w:vAlign w:val="center"/>
          </w:tcPr>
          <w:p w14:paraId="55E44DA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条款内容</w:t>
            </w:r>
          </w:p>
        </w:tc>
        <w:tc>
          <w:tcPr>
            <w:tcW w:w="2300" w:type="dxa"/>
            <w:vAlign w:val="center"/>
          </w:tcPr>
          <w:p w14:paraId="753DCA5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合同条款号</w:t>
            </w:r>
          </w:p>
        </w:tc>
        <w:tc>
          <w:tcPr>
            <w:tcW w:w="3279" w:type="dxa"/>
            <w:vAlign w:val="center"/>
          </w:tcPr>
          <w:p w14:paraId="0C10073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约定内容</w:t>
            </w:r>
          </w:p>
        </w:tc>
      </w:tr>
      <w:tr w14:paraId="6426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322289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59" w:type="dxa"/>
            <w:vAlign w:val="center"/>
          </w:tcPr>
          <w:p w14:paraId="4912B17B">
            <w:pP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2300" w:type="dxa"/>
            <w:tcMar>
              <w:left w:w="170" w:type="dxa"/>
            </w:tcMar>
            <w:vAlign w:val="center"/>
          </w:tcPr>
          <w:p w14:paraId="4262CA7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3279" w:type="dxa"/>
            <w:vAlign w:val="center"/>
          </w:tcPr>
          <w:p w14:paraId="02575EC5">
            <w:pPr>
              <w:jc w:val="both"/>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p>
        </w:tc>
      </w:tr>
      <w:tr w14:paraId="5091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2" w:type="dxa"/>
            <w:vAlign w:val="center"/>
          </w:tcPr>
          <w:p w14:paraId="1A90664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59" w:type="dxa"/>
            <w:vAlign w:val="center"/>
          </w:tcPr>
          <w:p w14:paraId="0C1E3F04">
            <w:pPr>
              <w:rPr>
                <w:rFonts w:hint="eastAsia" w:ascii="宋体" w:hAnsi="宋体" w:eastAsia="宋体" w:cs="宋体"/>
                <w:color w:val="auto"/>
                <w:sz w:val="24"/>
                <w:szCs w:val="24"/>
              </w:rPr>
            </w:pPr>
            <w:r>
              <w:rPr>
                <w:rFonts w:hint="eastAsia" w:ascii="宋体" w:hAnsi="宋体" w:eastAsia="宋体" w:cs="宋体"/>
                <w:color w:val="auto"/>
                <w:sz w:val="24"/>
                <w:szCs w:val="24"/>
              </w:rPr>
              <w:t>竞标有效期</w:t>
            </w:r>
          </w:p>
        </w:tc>
        <w:tc>
          <w:tcPr>
            <w:tcW w:w="2300" w:type="dxa"/>
            <w:tcMar>
              <w:left w:w="170" w:type="dxa"/>
            </w:tcMar>
            <w:vAlign w:val="center"/>
          </w:tcPr>
          <w:p w14:paraId="07ED398E">
            <w:pPr>
              <w:rPr>
                <w:rFonts w:hint="eastAsia" w:ascii="宋体" w:hAnsi="宋体" w:eastAsia="宋体" w:cs="宋体"/>
                <w:color w:val="auto"/>
                <w:sz w:val="24"/>
                <w:szCs w:val="24"/>
              </w:rPr>
            </w:pPr>
          </w:p>
        </w:tc>
        <w:tc>
          <w:tcPr>
            <w:tcW w:w="3279" w:type="dxa"/>
            <w:vAlign w:val="center"/>
          </w:tcPr>
          <w:p w14:paraId="0B431A73">
            <w:pPr>
              <w:jc w:val="both"/>
              <w:rPr>
                <w:rFonts w:hint="eastAsia" w:ascii="宋体" w:hAnsi="宋体" w:eastAsia="宋体" w:cs="宋体"/>
                <w:color w:val="auto"/>
                <w:sz w:val="24"/>
                <w:szCs w:val="24"/>
              </w:rPr>
            </w:pPr>
            <w:r>
              <w:rPr>
                <w:rFonts w:hint="eastAsia" w:ascii="宋体" w:hAnsi="宋体" w:eastAsia="宋体" w:cs="宋体"/>
                <w:color w:val="000000"/>
                <w:sz w:val="24"/>
                <w:szCs w:val="24"/>
                <w:highlight w:val="none"/>
              </w:rPr>
              <w:t>自首次响应文件提交截止之日起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tc>
      </w:tr>
      <w:tr w14:paraId="3DF4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FCCCBA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59" w:type="dxa"/>
            <w:vAlign w:val="center"/>
          </w:tcPr>
          <w:p w14:paraId="3808580E">
            <w:pPr>
              <w:rPr>
                <w:rFonts w:hint="eastAsia" w:ascii="宋体" w:hAnsi="宋体" w:eastAsia="宋体" w:cs="宋体"/>
                <w:color w:val="auto"/>
                <w:sz w:val="24"/>
                <w:szCs w:val="24"/>
              </w:rPr>
            </w:pPr>
            <w:r>
              <w:rPr>
                <w:rFonts w:hint="eastAsia" w:ascii="宋体" w:hAnsi="宋体" w:eastAsia="宋体" w:cs="宋体"/>
                <w:color w:val="auto"/>
                <w:sz w:val="24"/>
                <w:szCs w:val="24"/>
              </w:rPr>
              <w:t>工期</w:t>
            </w:r>
          </w:p>
        </w:tc>
        <w:tc>
          <w:tcPr>
            <w:tcW w:w="2300" w:type="dxa"/>
            <w:tcMar>
              <w:left w:w="170" w:type="dxa"/>
            </w:tcMar>
            <w:vAlign w:val="center"/>
          </w:tcPr>
          <w:p w14:paraId="705A4BA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3279" w:type="dxa"/>
            <w:vAlign w:val="center"/>
          </w:tcPr>
          <w:p w14:paraId="05A4F278">
            <w:pPr>
              <w:jc w:val="center"/>
              <w:rPr>
                <w:rFonts w:hint="eastAsia" w:ascii="宋体" w:hAnsi="宋体" w:eastAsia="宋体" w:cs="宋体"/>
                <w:color w:val="auto"/>
                <w:sz w:val="24"/>
                <w:szCs w:val="24"/>
              </w:rPr>
            </w:pPr>
          </w:p>
        </w:tc>
      </w:tr>
      <w:tr w14:paraId="43E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9EA35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59" w:type="dxa"/>
            <w:vAlign w:val="center"/>
          </w:tcPr>
          <w:p w14:paraId="213C9C15">
            <w:pPr>
              <w:rPr>
                <w:rFonts w:hint="eastAsia" w:ascii="宋体" w:hAnsi="宋体" w:eastAsia="宋体" w:cs="宋体"/>
                <w:color w:val="auto"/>
                <w:sz w:val="24"/>
                <w:szCs w:val="24"/>
              </w:rPr>
            </w:pPr>
            <w:r>
              <w:rPr>
                <w:rFonts w:hint="eastAsia" w:ascii="宋体" w:hAnsi="宋体" w:eastAsia="宋体" w:cs="宋体"/>
                <w:color w:val="auto"/>
                <w:sz w:val="24"/>
                <w:szCs w:val="24"/>
              </w:rPr>
              <w:t>缺陷责任期</w:t>
            </w:r>
          </w:p>
        </w:tc>
        <w:tc>
          <w:tcPr>
            <w:tcW w:w="2300" w:type="dxa"/>
            <w:tcMar>
              <w:left w:w="170" w:type="dxa"/>
            </w:tcMar>
            <w:vAlign w:val="center"/>
          </w:tcPr>
          <w:p w14:paraId="05162AE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3279" w:type="dxa"/>
            <w:vAlign w:val="center"/>
          </w:tcPr>
          <w:p w14:paraId="5C5440E8">
            <w:pPr>
              <w:jc w:val="center"/>
              <w:rPr>
                <w:rFonts w:hint="eastAsia" w:ascii="宋体" w:hAnsi="宋体" w:eastAsia="宋体" w:cs="宋体"/>
                <w:color w:val="auto"/>
                <w:sz w:val="24"/>
                <w:szCs w:val="24"/>
              </w:rPr>
            </w:pPr>
          </w:p>
        </w:tc>
      </w:tr>
      <w:tr w14:paraId="05CE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A8674A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2359" w:type="dxa"/>
            <w:vAlign w:val="center"/>
          </w:tcPr>
          <w:p w14:paraId="18114AD8">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分包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p>
        </w:tc>
        <w:tc>
          <w:tcPr>
            <w:tcW w:w="2300" w:type="dxa"/>
            <w:tcMar>
              <w:left w:w="170" w:type="dxa"/>
            </w:tcMar>
            <w:vAlign w:val="center"/>
          </w:tcPr>
          <w:p w14:paraId="3B4C910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3279" w:type="dxa"/>
            <w:vAlign w:val="center"/>
          </w:tcPr>
          <w:p w14:paraId="7AFD4D2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见分包项目情况表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自拟</w:t>
            </w:r>
            <w:r>
              <w:rPr>
                <w:rFonts w:hint="eastAsia" w:ascii="宋体" w:hAnsi="宋体" w:eastAsia="宋体" w:cs="宋体"/>
                <w:color w:val="auto"/>
                <w:sz w:val="24"/>
                <w:szCs w:val="24"/>
                <w:lang w:eastAsia="zh-CN"/>
              </w:rPr>
              <w:t>）</w:t>
            </w:r>
          </w:p>
        </w:tc>
      </w:tr>
      <w:tr w14:paraId="4A97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F8829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2359" w:type="dxa"/>
            <w:vAlign w:val="center"/>
          </w:tcPr>
          <w:p w14:paraId="3917BE5C">
            <w:pP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2300" w:type="dxa"/>
            <w:tcMar>
              <w:left w:w="170" w:type="dxa"/>
            </w:tcMar>
            <w:vAlign w:val="center"/>
          </w:tcPr>
          <w:p w14:paraId="6C1AADE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3279" w:type="dxa"/>
            <w:vAlign w:val="center"/>
          </w:tcPr>
          <w:p w14:paraId="3E53CE4A">
            <w:pPr>
              <w:jc w:val="center"/>
              <w:rPr>
                <w:rFonts w:hint="eastAsia" w:ascii="宋体" w:hAnsi="宋体" w:eastAsia="宋体" w:cs="宋体"/>
                <w:color w:val="auto"/>
                <w:sz w:val="24"/>
                <w:szCs w:val="24"/>
              </w:rPr>
            </w:pPr>
          </w:p>
        </w:tc>
      </w:tr>
      <w:tr w14:paraId="417B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CF1ABBA">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c>
          <w:tcPr>
            <w:tcW w:w="2359" w:type="dxa"/>
            <w:vAlign w:val="center"/>
          </w:tcPr>
          <w:p w14:paraId="4A8C4637">
            <w:pPr>
              <w:rPr>
                <w:rFonts w:hint="eastAsia" w:ascii="宋体" w:hAnsi="宋体" w:eastAsia="宋体" w:cs="宋体"/>
                <w:color w:val="auto"/>
                <w:sz w:val="24"/>
                <w:szCs w:val="24"/>
              </w:rPr>
            </w:pPr>
            <w:r>
              <w:rPr>
                <w:rFonts w:hint="eastAsia" w:ascii="宋体" w:hAnsi="宋体" w:eastAsia="宋体" w:cs="宋体"/>
                <w:color w:val="auto"/>
                <w:sz w:val="24"/>
                <w:szCs w:val="24"/>
              </w:rPr>
              <w:t>预付款保函金额</w:t>
            </w:r>
          </w:p>
        </w:tc>
        <w:tc>
          <w:tcPr>
            <w:tcW w:w="2300" w:type="dxa"/>
            <w:tcMar>
              <w:left w:w="170" w:type="dxa"/>
            </w:tcMar>
            <w:vAlign w:val="center"/>
          </w:tcPr>
          <w:p w14:paraId="3D16864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3279" w:type="dxa"/>
            <w:vAlign w:val="center"/>
          </w:tcPr>
          <w:p w14:paraId="4518754E">
            <w:pPr>
              <w:jc w:val="center"/>
              <w:rPr>
                <w:rFonts w:hint="eastAsia" w:ascii="宋体" w:hAnsi="宋体" w:eastAsia="宋体" w:cs="宋体"/>
                <w:color w:val="auto"/>
                <w:sz w:val="24"/>
                <w:szCs w:val="24"/>
              </w:rPr>
            </w:pPr>
          </w:p>
        </w:tc>
      </w:tr>
      <w:tr w14:paraId="4493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5D124AA">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8</w:t>
            </w:r>
          </w:p>
        </w:tc>
        <w:tc>
          <w:tcPr>
            <w:tcW w:w="2359" w:type="dxa"/>
            <w:vAlign w:val="center"/>
          </w:tcPr>
          <w:p w14:paraId="147CA6E7">
            <w:pPr>
              <w:rPr>
                <w:rFonts w:hint="eastAsia" w:ascii="宋体" w:hAnsi="宋体" w:eastAsia="宋体" w:cs="宋体"/>
                <w:color w:val="auto"/>
                <w:sz w:val="24"/>
                <w:szCs w:val="24"/>
              </w:rPr>
            </w:pPr>
            <w:r>
              <w:rPr>
                <w:rFonts w:hint="eastAsia" w:ascii="宋体" w:hAnsi="宋体" w:eastAsia="宋体" w:cs="宋体"/>
                <w:color w:val="auto"/>
                <w:sz w:val="24"/>
                <w:szCs w:val="24"/>
              </w:rPr>
              <w:t>质量保证金额度</w:t>
            </w:r>
          </w:p>
        </w:tc>
        <w:tc>
          <w:tcPr>
            <w:tcW w:w="2300" w:type="dxa"/>
            <w:tcMar>
              <w:left w:w="170" w:type="dxa"/>
            </w:tcMar>
            <w:vAlign w:val="center"/>
          </w:tcPr>
          <w:p w14:paraId="586153E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3279" w:type="dxa"/>
            <w:vAlign w:val="center"/>
          </w:tcPr>
          <w:p w14:paraId="61BEB67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结算</w:t>
            </w:r>
            <w:r>
              <w:rPr>
                <w:rFonts w:hint="eastAsia" w:ascii="宋体" w:hAnsi="宋体" w:cs="宋体"/>
                <w:color w:val="auto"/>
                <w:sz w:val="24"/>
                <w:szCs w:val="24"/>
                <w:lang w:val="en-US" w:eastAsia="zh-CN"/>
              </w:rPr>
              <w:t>总</w:t>
            </w:r>
            <w:r>
              <w:rPr>
                <w:rFonts w:hint="eastAsia" w:ascii="宋体" w:hAnsi="宋体" w:eastAsia="宋体" w:cs="宋体"/>
                <w:color w:val="auto"/>
                <w:sz w:val="24"/>
                <w:szCs w:val="24"/>
              </w:rPr>
              <w:t>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工程款</w:t>
            </w:r>
            <w:r>
              <w:rPr>
                <w:rFonts w:hint="eastAsia" w:ascii="宋体" w:hAnsi="宋体" w:cs="宋体"/>
                <w:color w:val="auto"/>
                <w:sz w:val="24"/>
                <w:szCs w:val="24"/>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r w14:paraId="2BA3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26E91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59" w:type="dxa"/>
            <w:vAlign w:val="center"/>
          </w:tcPr>
          <w:p w14:paraId="3504E20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00" w:type="dxa"/>
            <w:tcMar>
              <w:left w:w="170" w:type="dxa"/>
            </w:tcMar>
            <w:vAlign w:val="center"/>
          </w:tcPr>
          <w:p w14:paraId="0A9BA2FB">
            <w:pPr>
              <w:rPr>
                <w:rFonts w:hint="eastAsia" w:ascii="宋体" w:hAnsi="宋体" w:eastAsia="宋体" w:cs="宋体"/>
                <w:color w:val="auto"/>
                <w:sz w:val="24"/>
                <w:szCs w:val="24"/>
              </w:rPr>
            </w:pPr>
          </w:p>
        </w:tc>
        <w:tc>
          <w:tcPr>
            <w:tcW w:w="3279" w:type="dxa"/>
            <w:vAlign w:val="center"/>
          </w:tcPr>
          <w:p w14:paraId="2CF1F532">
            <w:pPr>
              <w:jc w:val="center"/>
              <w:rPr>
                <w:rFonts w:hint="eastAsia" w:ascii="宋体" w:hAnsi="宋体" w:eastAsia="宋体" w:cs="宋体"/>
                <w:color w:val="auto"/>
                <w:sz w:val="24"/>
                <w:szCs w:val="24"/>
              </w:rPr>
            </w:pPr>
          </w:p>
        </w:tc>
      </w:tr>
      <w:tr w14:paraId="7F98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4"/>
            <w:vAlign w:val="center"/>
          </w:tcPr>
          <w:p w14:paraId="7CECD82C">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说明：供应商在响应磋商文件中规定的实质性要求和条件的基础上，可做出其他有利于采购人的承诺。此类承诺可在本表中予以补充填写。</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cs="宋体"/>
                <w:color w:val="auto"/>
                <w:sz w:val="24"/>
                <w:szCs w:val="24"/>
                <w:lang w:eastAsia="zh-CN"/>
              </w:rPr>
              <w:t>）</w:t>
            </w:r>
          </w:p>
        </w:tc>
      </w:tr>
    </w:tbl>
    <w:p w14:paraId="42446623">
      <w:pPr>
        <w:spacing w:line="360" w:lineRule="auto"/>
        <w:ind w:right="-44" w:rightChars="-21" w:firstLine="192" w:firstLineChars="80"/>
        <w:rPr>
          <w:rFonts w:hint="eastAsia" w:ascii="宋体" w:hAnsi="宋体" w:eastAsia="宋体" w:cs="宋体"/>
          <w:sz w:val="24"/>
          <w:szCs w:val="24"/>
        </w:rPr>
      </w:pPr>
    </w:p>
    <w:p w14:paraId="29FC1E1B">
      <w:pPr>
        <w:spacing w:line="360" w:lineRule="auto"/>
        <w:ind w:right="-44" w:rightChars="-21" w:firstLine="192" w:firstLineChars="80"/>
        <w:rPr>
          <w:rFonts w:hint="eastAsia" w:ascii="宋体" w:hAnsi="宋体" w:eastAsia="宋体" w:cs="宋体"/>
          <w:sz w:val="24"/>
          <w:szCs w:val="24"/>
        </w:rPr>
      </w:pPr>
    </w:p>
    <w:p w14:paraId="747062C1">
      <w:pPr>
        <w:spacing w:line="360" w:lineRule="auto"/>
        <w:ind w:right="-44" w:rightChars="-21" w:firstLine="192" w:firstLineChars="80"/>
        <w:rPr>
          <w:rFonts w:hint="eastAsia" w:ascii="宋体" w:hAnsi="宋体" w:eastAsia="宋体" w:cs="宋体"/>
          <w:sz w:val="24"/>
          <w:szCs w:val="24"/>
        </w:rPr>
      </w:pPr>
    </w:p>
    <w:p w14:paraId="6F3BDC54">
      <w:pPr>
        <w:spacing w:line="360" w:lineRule="auto"/>
        <w:ind w:right="-44" w:rightChars="-21" w:firstLine="192" w:firstLineChars="80"/>
        <w:rPr>
          <w:rFonts w:hint="eastAsia" w:ascii="宋体" w:hAnsi="宋体" w:eastAsia="宋体" w:cs="宋体"/>
          <w:sz w:val="24"/>
          <w:szCs w:val="24"/>
        </w:rPr>
      </w:pPr>
      <w:r>
        <w:rPr>
          <w:rFonts w:hint="eastAsia" w:ascii="宋体" w:hAnsi="宋体" w:eastAsia="宋体" w:cs="宋体"/>
          <w:sz w:val="24"/>
          <w:szCs w:val="24"/>
        </w:rPr>
        <w:t>供应商（盖单位</w:t>
      </w:r>
      <w:r>
        <w:rPr>
          <w:rFonts w:hint="eastAsia" w:ascii="宋体" w:hAnsi="宋体" w:eastAsia="宋体" w:cs="宋体"/>
          <w:sz w:val="24"/>
          <w:szCs w:val="24"/>
          <w:lang w:val="en-US" w:eastAsia="zh-CN"/>
        </w:rPr>
        <w:t>CA</w:t>
      </w: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14:paraId="6B6E14CB">
      <w:pPr>
        <w:spacing w:line="360" w:lineRule="auto"/>
        <w:ind w:right="-44" w:rightChars="-21" w:firstLine="192" w:firstLineChars="80"/>
        <w:rPr>
          <w:rFonts w:hint="eastAsia" w:ascii="宋体" w:hAnsi="宋体" w:eastAsia="宋体" w:cs="宋体"/>
        </w:rPr>
      </w:pPr>
      <w:r>
        <w:rPr>
          <w:rFonts w:hint="eastAsia" w:ascii="宋体" w:hAnsi="宋体" w:eastAsia="宋体" w:cs="宋体"/>
          <w:sz w:val="24"/>
          <w:szCs w:val="24"/>
        </w:rPr>
        <w:t>日期：     年     月     日</w:t>
      </w:r>
    </w:p>
    <w:p w14:paraId="64D60CF5">
      <w:pPr>
        <w:spacing w:line="320" w:lineRule="exact"/>
        <w:jc w:val="left"/>
        <w:rPr>
          <w:rFonts w:ascii="宋体" w:hAnsi="宋体"/>
          <w:color w:val="auto"/>
          <w:szCs w:val="21"/>
        </w:rPr>
      </w:pPr>
      <w:r>
        <w:rPr>
          <w:rFonts w:ascii="宋体" w:hAnsi="宋体"/>
          <w:color w:val="auto"/>
          <w:szCs w:val="21"/>
        </w:rPr>
        <w:br w:type="page"/>
      </w:r>
      <w:r>
        <w:rPr>
          <w:rFonts w:hint="eastAsia" w:ascii="宋体" w:hAnsi="宋体"/>
          <w:color w:val="auto"/>
          <w:szCs w:val="21"/>
        </w:rPr>
        <w:t xml:space="preserve"> </w:t>
      </w:r>
    </w:p>
    <w:p w14:paraId="2A2E8C8C">
      <w:pPr>
        <w:spacing w:line="360" w:lineRule="auto"/>
        <w:jc w:val="center"/>
        <w:rPr>
          <w:rFonts w:ascii="方正小标宋简体" w:hAnsi="方正小标宋简体" w:eastAsia="方正小标宋简体" w:cs="方正小标宋简体"/>
          <w:bCs/>
          <w:color w:val="auto"/>
          <w:sz w:val="32"/>
          <w:szCs w:val="32"/>
        </w:rPr>
      </w:pPr>
      <w:r>
        <w:rPr>
          <w:rFonts w:hint="eastAsia" w:ascii="宋体" w:hAnsi="宋体" w:cs="方正小标宋简体"/>
          <w:b/>
          <w:bCs/>
          <w:color w:val="auto"/>
          <w:sz w:val="32"/>
          <w:szCs w:val="32"/>
        </w:rPr>
        <w:t>竞标报价表</w:t>
      </w:r>
    </w:p>
    <w:p w14:paraId="0688066D">
      <w:pPr>
        <w:spacing w:line="440" w:lineRule="exact"/>
        <w:jc w:val="center"/>
        <w:rPr>
          <w:rFonts w:ascii="方正小标宋简体" w:hAnsi="方正小标宋简体" w:eastAsia="方正小标宋简体" w:cs="方正小标宋简体"/>
          <w:bCs/>
          <w:color w:val="auto"/>
          <w:sz w:val="32"/>
          <w:szCs w:val="32"/>
        </w:rPr>
      </w:pPr>
    </w:p>
    <w:p w14:paraId="55351DE7">
      <w:pPr>
        <w:spacing w:line="360" w:lineRule="auto"/>
        <w:contextualSpacing/>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54748276">
      <w:pPr>
        <w:spacing w:line="360" w:lineRule="auto"/>
        <w:contextualSpacing/>
        <w:rPr>
          <w:rFonts w:hint="eastAsia" w:ascii="宋体" w:hAnsi="宋体" w:cs="仿宋_GB2312"/>
          <w:color w:val="auto"/>
          <w:sz w:val="24"/>
        </w:rPr>
      </w:pPr>
    </w:p>
    <w:p w14:paraId="0B21D855">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r>
        <w:rPr>
          <w:rFonts w:hint="eastAsia" w:ascii="宋体" w:hAnsi="宋体" w:cs="仿宋_GB2312"/>
          <w:color w:val="auto"/>
          <w:sz w:val="24"/>
          <w:lang w:val="en-US" w:eastAsia="zh-CN"/>
        </w:rPr>
        <w:t xml:space="preserve">       </w:t>
      </w:r>
      <w:r>
        <w:rPr>
          <w:rFonts w:hint="eastAsia" w:ascii="宋体" w:hAnsi="宋体" w:cs="仿宋_GB2312"/>
          <w:color w:val="auto"/>
          <w:sz w:val="24"/>
        </w:rPr>
        <w:t xml:space="preserve">           单位：元</w:t>
      </w:r>
    </w:p>
    <w:tbl>
      <w:tblPr>
        <w:tblStyle w:val="16"/>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985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A3E861A">
            <w:pPr>
              <w:spacing w:line="360" w:lineRule="auto"/>
              <w:contextualSpacing/>
              <w:jc w:val="center"/>
              <w:rPr>
                <w:rFonts w:ascii="宋体" w:hAnsi="宋体" w:cs="仿宋_GB2312"/>
                <w:color w:val="auto"/>
                <w:sz w:val="24"/>
              </w:rPr>
            </w:pPr>
            <w:r>
              <w:rPr>
                <w:rFonts w:ascii="宋体" w:hAnsi="宋体" w:cs="仿宋_GB2312"/>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70BF4477">
            <w:pPr>
              <w:spacing w:line="360" w:lineRule="auto"/>
              <w:contextualSpacing/>
              <w:jc w:val="center"/>
              <w:rPr>
                <w:rFonts w:ascii="宋体" w:hAnsi="宋体" w:cs="仿宋_GB2312"/>
                <w:color w:val="auto"/>
                <w:sz w:val="24"/>
              </w:rPr>
            </w:pPr>
            <w:r>
              <w:rPr>
                <w:rFonts w:hint="eastAsia" w:ascii="宋体" w:hAnsi="宋体" w:cs="仿宋_GB2312"/>
                <w:color w:val="auto"/>
                <w:sz w:val="24"/>
              </w:rPr>
              <w:t>项目</w:t>
            </w:r>
            <w:r>
              <w:rPr>
                <w:rFonts w:ascii="宋体" w:hAnsi="宋体" w:cs="仿宋_GB2312"/>
                <w:color w:val="auto"/>
                <w:sz w:val="24"/>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0A64BCEF">
            <w:pPr>
              <w:spacing w:line="360" w:lineRule="auto"/>
              <w:contextualSpacing/>
              <w:jc w:val="center"/>
              <w:rPr>
                <w:rFonts w:ascii="宋体" w:hAnsi="宋体" w:cs="仿宋_GB2312"/>
                <w:color w:val="auto"/>
                <w:sz w:val="24"/>
              </w:rPr>
            </w:pPr>
            <w:r>
              <w:rPr>
                <w:rFonts w:hint="eastAsia" w:ascii="宋体" w:hAnsi="宋体" w:cs="仿宋_GB2312"/>
                <w:color w:val="auto"/>
                <w:sz w:val="24"/>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D47BE14">
            <w:pPr>
              <w:spacing w:line="360" w:lineRule="auto"/>
              <w:contextualSpacing/>
              <w:jc w:val="center"/>
              <w:rPr>
                <w:rFonts w:ascii="宋体" w:hAnsi="宋体" w:cs="仿宋_GB2312"/>
                <w:color w:val="auto"/>
                <w:sz w:val="24"/>
              </w:rPr>
            </w:pPr>
            <w:r>
              <w:rPr>
                <w:rFonts w:hint="eastAsia" w:ascii="宋体" w:hAnsi="宋体" w:cs="仿宋_GB2312"/>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2E929686">
            <w:pPr>
              <w:spacing w:line="360" w:lineRule="auto"/>
              <w:contextualSpacing/>
              <w:jc w:val="center"/>
              <w:rPr>
                <w:rFonts w:ascii="宋体" w:hAnsi="宋体" w:cs="仿宋_GB2312"/>
                <w:color w:val="auto"/>
                <w:sz w:val="24"/>
              </w:rPr>
            </w:pPr>
            <w:r>
              <w:rPr>
                <w:rFonts w:ascii="宋体" w:hAnsi="宋体" w:cs="仿宋_GB2312"/>
                <w:color w:val="auto"/>
                <w:sz w:val="24"/>
              </w:rPr>
              <w:t>备注</w:t>
            </w:r>
          </w:p>
        </w:tc>
      </w:tr>
      <w:tr w14:paraId="292C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9C93272">
            <w:pPr>
              <w:spacing w:line="360" w:lineRule="auto"/>
              <w:contextualSpacing/>
              <w:jc w:val="center"/>
              <w:rPr>
                <w:rFonts w:ascii="宋体" w:hAnsi="宋体" w:cs="仿宋_GB2312"/>
                <w:color w:val="auto"/>
                <w:sz w:val="24"/>
              </w:rPr>
            </w:pPr>
            <w:r>
              <w:rPr>
                <w:rFonts w:ascii="宋体" w:hAnsi="宋体" w:cs="仿宋_GB2312"/>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6345ED9D">
            <w:pPr>
              <w:spacing w:line="360" w:lineRule="auto"/>
              <w:contextualSpacing/>
              <w:jc w:val="center"/>
              <w:rPr>
                <w:rFonts w:ascii="宋体" w:hAnsi="宋体" w:cs="仿宋_GB2312"/>
                <w:color w:val="auto"/>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2FEEBC08">
            <w:pPr>
              <w:spacing w:line="360" w:lineRule="auto"/>
              <w:contextualSpacing/>
              <w:jc w:val="center"/>
              <w:rPr>
                <w:rFonts w:ascii="宋体" w:hAnsi="宋体" w:cs="仿宋_GB2312"/>
                <w:color w:val="auto"/>
                <w:sz w:val="24"/>
              </w:rPr>
            </w:pPr>
            <w:r>
              <w:rPr>
                <w:rFonts w:hint="eastAsia" w:ascii="宋体" w:hAnsi="宋体" w:cs="仿宋_GB2312"/>
                <w:color w:val="auto"/>
                <w:sz w:val="24"/>
              </w:rPr>
              <w:t>1项</w:t>
            </w:r>
          </w:p>
        </w:tc>
        <w:tc>
          <w:tcPr>
            <w:tcW w:w="3107" w:type="dxa"/>
            <w:tcBorders>
              <w:top w:val="single" w:color="auto" w:sz="4" w:space="0"/>
              <w:left w:val="single" w:color="auto" w:sz="4" w:space="0"/>
              <w:bottom w:val="single" w:color="auto" w:sz="4" w:space="0"/>
              <w:right w:val="single" w:color="auto" w:sz="4" w:space="0"/>
            </w:tcBorders>
          </w:tcPr>
          <w:p w14:paraId="7AACC014">
            <w:pPr>
              <w:spacing w:line="360" w:lineRule="auto"/>
              <w:contextualSpacing/>
              <w:rPr>
                <w:rFonts w:ascii="宋体" w:hAnsi="宋体" w:cs="仿宋_GB2312"/>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60FD43C">
            <w:pPr>
              <w:spacing w:line="360" w:lineRule="auto"/>
              <w:contextualSpacing/>
              <w:rPr>
                <w:rFonts w:ascii="宋体" w:hAnsi="宋体" w:cs="仿宋_GB2312"/>
                <w:color w:val="auto"/>
                <w:sz w:val="24"/>
              </w:rPr>
            </w:pPr>
          </w:p>
        </w:tc>
      </w:tr>
      <w:tr w14:paraId="2A0C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76ADB86A">
            <w:pPr>
              <w:pStyle w:val="6"/>
              <w:rPr>
                <w:rFonts w:ascii="宋体" w:hAnsi="宋体" w:cs="仿宋_GB2312"/>
                <w:color w:val="auto"/>
                <w:sz w:val="24"/>
              </w:rPr>
            </w:pPr>
            <w:r>
              <w:rPr>
                <w:rFonts w:hint="eastAsia" w:ascii="宋体" w:hAnsi="宋体" w:cs="仿宋_GB2312"/>
                <w:color w:val="auto"/>
                <w:sz w:val="24"/>
              </w:rPr>
              <w:t>合计金额（人民币）</w:t>
            </w:r>
            <w:r>
              <w:rPr>
                <w:rFonts w:hint="eastAsia" w:ascii="宋体" w:hAnsi="宋体" w:cs="仿宋_GB2312"/>
                <w:color w:val="auto"/>
                <w:sz w:val="24"/>
                <w:u w:val="single"/>
              </w:rPr>
              <w:t xml:space="preserve">大写：                      </w:t>
            </w:r>
            <w:r>
              <w:rPr>
                <w:rFonts w:hint="eastAsia" w:ascii="宋体" w:hAnsi="宋体" w:cs="仿宋_GB2312"/>
                <w:color w:val="auto"/>
                <w:sz w:val="24"/>
              </w:rPr>
              <w:t xml:space="preserve"> （</w:t>
            </w:r>
            <w:r>
              <w:rPr>
                <w:color w:val="auto"/>
                <w:szCs w:val="21"/>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55CFD703">
      <w:pPr>
        <w:spacing w:line="360" w:lineRule="auto"/>
        <w:contextualSpacing/>
        <w:jc w:val="left"/>
        <w:rPr>
          <w:rFonts w:ascii="宋体" w:hAnsi="宋体" w:cs="仿宋_GB2312"/>
          <w:color w:val="auto"/>
          <w:sz w:val="24"/>
        </w:rPr>
      </w:pPr>
    </w:p>
    <w:p w14:paraId="314DFF4C">
      <w:pPr>
        <w:spacing w:line="360" w:lineRule="auto"/>
        <w:ind w:right="-44" w:rightChars="-21" w:firstLine="192" w:firstLineChars="80"/>
        <w:rPr>
          <w:rFonts w:hint="eastAsia" w:ascii="宋体" w:hAnsi="宋体" w:eastAsia="宋体" w:cs="宋体"/>
          <w:sz w:val="24"/>
          <w:szCs w:val="24"/>
        </w:rPr>
      </w:pPr>
    </w:p>
    <w:p w14:paraId="0B71DFFA">
      <w:pPr>
        <w:spacing w:line="360" w:lineRule="auto"/>
        <w:ind w:right="-44" w:rightChars="-21" w:firstLine="192" w:firstLineChars="80"/>
        <w:rPr>
          <w:rFonts w:hint="eastAsia" w:ascii="宋体" w:hAnsi="宋体" w:eastAsia="宋体" w:cs="宋体"/>
          <w:sz w:val="24"/>
          <w:szCs w:val="24"/>
        </w:rPr>
      </w:pPr>
      <w:r>
        <w:rPr>
          <w:rFonts w:hint="eastAsia" w:ascii="宋体" w:hAnsi="宋体" w:eastAsia="宋体" w:cs="宋体"/>
          <w:sz w:val="24"/>
          <w:szCs w:val="24"/>
        </w:rPr>
        <w:t>供应商（盖单位</w:t>
      </w:r>
      <w:r>
        <w:rPr>
          <w:rFonts w:hint="eastAsia" w:ascii="宋体" w:hAnsi="宋体" w:eastAsia="宋体" w:cs="宋体"/>
          <w:sz w:val="24"/>
          <w:szCs w:val="24"/>
          <w:lang w:val="en-US" w:eastAsia="zh-CN"/>
        </w:rPr>
        <w:t>CA</w:t>
      </w: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14:paraId="5EFE0EA0">
      <w:pPr>
        <w:spacing w:line="360" w:lineRule="auto"/>
        <w:ind w:right="-44" w:rightChars="-21" w:firstLine="192" w:firstLineChars="80"/>
        <w:rPr>
          <w:rFonts w:hint="eastAsia" w:ascii="宋体" w:hAnsi="宋体" w:eastAsia="宋体" w:cs="宋体"/>
          <w:sz w:val="24"/>
          <w:szCs w:val="24"/>
        </w:rPr>
      </w:pPr>
      <w:r>
        <w:rPr>
          <w:rFonts w:hint="eastAsia" w:ascii="宋体" w:hAnsi="宋体" w:eastAsia="宋体" w:cs="宋体"/>
          <w:sz w:val="24"/>
          <w:szCs w:val="24"/>
        </w:rPr>
        <w:t>日期：     年     月     日</w:t>
      </w:r>
    </w:p>
    <w:p w14:paraId="37554864">
      <w:pPr>
        <w:pStyle w:val="13"/>
        <w:spacing w:line="400" w:lineRule="atLeast"/>
        <w:jc w:val="center"/>
        <w:rPr>
          <w:rFonts w:hint="eastAsia" w:ascii="宋体" w:hAnsi="宋体" w:cs="宋体"/>
          <w:b/>
          <w:bCs/>
          <w:sz w:val="32"/>
          <w:szCs w:val="32"/>
          <w:lang w:val="en-US" w:eastAsia="zh-CN"/>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19C29E4">
      <w:pPr>
        <w:pStyle w:val="13"/>
        <w:spacing w:line="400" w:lineRule="atLeas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已标价工程量清单</w:t>
      </w:r>
    </w:p>
    <w:p w14:paraId="4B93B582">
      <w:pPr>
        <w:pStyle w:val="13"/>
        <w:spacing w:line="400" w:lineRule="atLeas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（根据竞争性磋商文件给出的工程量清单编制，响应文件正本工程量清单报价表每一页均应盖供应商单位CA公章）</w:t>
      </w:r>
    </w:p>
    <w:p w14:paraId="558F9E98">
      <w:pPr>
        <w:pStyle w:val="13"/>
        <w:spacing w:line="400" w:lineRule="atLeast"/>
        <w:ind w:left="10" w:firstLine="410"/>
        <w:rPr>
          <w:rFonts w:hint="eastAsia" w:ascii="宋体" w:hAnsi="宋体" w:cs="宋体"/>
          <w:b/>
          <w:bCs/>
          <w:sz w:val="21"/>
          <w:szCs w:val="21"/>
        </w:rPr>
      </w:pPr>
    </w:p>
    <w:p w14:paraId="29497DB0">
      <w:pPr>
        <w:pStyle w:val="13"/>
        <w:spacing w:line="400" w:lineRule="atLeast"/>
        <w:ind w:left="10" w:firstLine="410"/>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编写说明：</w:t>
      </w:r>
    </w:p>
    <w:p w14:paraId="3C324CE1">
      <w:pPr>
        <w:pStyle w:val="13"/>
        <w:numPr>
          <w:ilvl w:val="0"/>
          <w:numId w:val="18"/>
        </w:numPr>
        <w:spacing w:line="400" w:lineRule="atLeast"/>
        <w:ind w:firstLine="420" w:firstLineChars="20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供应商应根据 《建设工程工程量清单计价规范》（GB50500-2013）、《广西壮族自治区建筑装饰装修工程消耗量定额》（2013）、《广西壮族自治区安装工程消耗量定额》（2015）、《关于建筑业实施营业税改征增值税后广西壮族自治区建设工程计价依据调整的通知》（桂建标〔2016〕17 号）等相关规范及磋商文件、图纸等自行编制已标价工程量清单。</w:t>
      </w:r>
    </w:p>
    <w:p w14:paraId="540A5311">
      <w:pPr>
        <w:pStyle w:val="13"/>
        <w:widowControl w:val="0"/>
        <w:numPr>
          <w:ilvl w:val="0"/>
          <w:numId w:val="0"/>
        </w:numPr>
        <w:snapToGrid w:val="0"/>
        <w:spacing w:line="400" w:lineRule="atLeast"/>
        <w:ind w:firstLine="420" w:firstLineChars="200"/>
        <w:jc w:val="left"/>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已标价工程量清单表格要按照采购工程量清单给出的表格要求和内容填报。供应商未在工程量清单中填入单价或总额价的工程子目，将被认为其己包含在工程量清单其他子目的单价和总额价中，采购人将不予支付。</w:t>
      </w:r>
    </w:p>
    <w:p w14:paraId="08F959D0">
      <w:pPr>
        <w:pStyle w:val="13"/>
        <w:widowControl w:val="0"/>
        <w:numPr>
          <w:ilvl w:val="0"/>
          <w:numId w:val="0"/>
        </w:numPr>
        <w:snapToGrid w:val="0"/>
        <w:spacing w:line="400" w:lineRule="atLeast"/>
        <w:jc w:val="left"/>
        <w:rPr>
          <w:rFonts w:hint="default" w:ascii="宋体" w:hAnsi="宋体" w:cs="宋体"/>
          <w:b w:val="0"/>
          <w:bCs w:val="0"/>
          <w:sz w:val="21"/>
          <w:szCs w:val="21"/>
          <w:lang w:val="en-US" w:eastAsia="zh-CN"/>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D6FBBD0">
      <w:pPr>
        <w:ind w:firstLine="643" w:firstLineChars="200"/>
        <w:rPr>
          <w:b/>
          <w:color w:val="auto"/>
          <w:sz w:val="32"/>
          <w:szCs w:val="32"/>
        </w:rPr>
      </w:pPr>
      <w:r>
        <w:rPr>
          <w:rFonts w:hint="eastAsia"/>
          <w:b/>
          <w:color w:val="auto"/>
          <w:sz w:val="32"/>
          <w:szCs w:val="32"/>
          <w:lang w:val="en-US" w:eastAsia="zh-CN"/>
        </w:rPr>
        <w:t>二、</w:t>
      </w:r>
      <w:r>
        <w:rPr>
          <w:rFonts w:hint="eastAsia"/>
          <w:b/>
          <w:color w:val="auto"/>
          <w:sz w:val="32"/>
          <w:szCs w:val="32"/>
        </w:rPr>
        <w:t>资格证明文件格式</w:t>
      </w:r>
    </w:p>
    <w:p w14:paraId="3D077A69">
      <w:pPr>
        <w:snapToGrid w:val="0"/>
        <w:spacing w:before="156" w:beforeLines="50" w:after="50" w:line="360" w:lineRule="auto"/>
        <w:ind w:firstLine="643" w:firstLineChars="200"/>
        <w:jc w:val="left"/>
        <w:rPr>
          <w:rFonts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39B9C168">
      <w:pPr>
        <w:snapToGrid w:val="0"/>
        <w:spacing w:before="156" w:beforeLines="50" w:after="50"/>
        <w:jc w:val="center"/>
        <w:rPr>
          <w:rFonts w:ascii="宋体" w:hAnsi="宋体"/>
          <w:color w:val="auto"/>
          <w:sz w:val="44"/>
          <w:szCs w:val="44"/>
        </w:rPr>
      </w:pPr>
    </w:p>
    <w:p w14:paraId="013E106A">
      <w:pPr>
        <w:snapToGrid w:val="0"/>
        <w:spacing w:before="156" w:beforeLines="50" w:after="50"/>
        <w:jc w:val="center"/>
        <w:rPr>
          <w:rFonts w:ascii="宋体" w:hAnsi="宋体"/>
          <w:color w:val="auto"/>
          <w:sz w:val="44"/>
          <w:szCs w:val="44"/>
        </w:rPr>
      </w:pPr>
      <w:r>
        <w:rPr>
          <w:rFonts w:hint="eastAsia" w:ascii="宋体" w:hAnsi="宋体"/>
          <w:color w:val="auto"/>
          <w:sz w:val="44"/>
          <w:szCs w:val="44"/>
        </w:rPr>
        <w:t>电 子 响 应 文 件</w:t>
      </w:r>
    </w:p>
    <w:p w14:paraId="4A251A27">
      <w:pPr>
        <w:snapToGrid w:val="0"/>
        <w:spacing w:before="156" w:beforeLines="50" w:after="50"/>
        <w:rPr>
          <w:rFonts w:ascii="宋体" w:hAnsi="宋体"/>
          <w:color w:val="auto"/>
          <w:sz w:val="24"/>
          <w:szCs w:val="20"/>
        </w:rPr>
      </w:pPr>
    </w:p>
    <w:p w14:paraId="6094ABB8">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66BE5D7B">
      <w:pPr>
        <w:snapToGrid w:val="0"/>
        <w:spacing w:before="156" w:beforeLines="50" w:after="50"/>
        <w:rPr>
          <w:rFonts w:ascii="宋体" w:hAnsi="宋体"/>
          <w:bCs/>
          <w:color w:val="auto"/>
          <w:sz w:val="24"/>
          <w:szCs w:val="20"/>
        </w:rPr>
      </w:pPr>
    </w:p>
    <w:p w14:paraId="46086773">
      <w:pPr>
        <w:snapToGrid w:val="0"/>
        <w:spacing w:before="156" w:beforeLines="50" w:after="50"/>
        <w:rPr>
          <w:rFonts w:ascii="宋体" w:hAnsi="宋体"/>
          <w:bCs/>
          <w:color w:val="auto"/>
          <w:sz w:val="24"/>
          <w:szCs w:val="20"/>
        </w:rPr>
      </w:pPr>
    </w:p>
    <w:p w14:paraId="632DCCE3">
      <w:pPr>
        <w:snapToGrid w:val="0"/>
        <w:spacing w:before="156" w:beforeLines="50" w:after="50"/>
        <w:rPr>
          <w:rFonts w:ascii="宋体" w:hAnsi="宋体"/>
          <w:bCs/>
          <w:color w:val="auto"/>
          <w:sz w:val="24"/>
          <w:szCs w:val="20"/>
        </w:rPr>
      </w:pPr>
    </w:p>
    <w:p w14:paraId="7DC27CE5">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60B20DA9">
      <w:pPr>
        <w:snapToGrid w:val="0"/>
        <w:spacing w:before="156" w:beforeLines="50" w:after="50"/>
        <w:ind w:firstLine="720" w:firstLineChars="225"/>
        <w:rPr>
          <w:rFonts w:ascii="宋体" w:hAnsi="宋体" w:cs="仿宋_GB2312"/>
          <w:bCs/>
          <w:color w:val="auto"/>
          <w:sz w:val="32"/>
          <w:szCs w:val="32"/>
        </w:rPr>
      </w:pPr>
    </w:p>
    <w:p w14:paraId="02DF9961">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66BC6A62">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359CEA9A">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10DCA0F3">
      <w:pPr>
        <w:snapToGrid w:val="0"/>
        <w:spacing w:before="156" w:beforeLines="50" w:after="50"/>
        <w:ind w:firstLine="720" w:firstLineChars="225"/>
        <w:rPr>
          <w:rFonts w:ascii="宋体" w:hAnsi="宋体" w:cs="仿宋_GB2312"/>
          <w:bCs/>
          <w:color w:val="auto"/>
          <w:sz w:val="32"/>
          <w:szCs w:val="32"/>
        </w:rPr>
      </w:pPr>
    </w:p>
    <w:p w14:paraId="249FCDB7">
      <w:pPr>
        <w:pStyle w:val="5"/>
        <w:snapToGrid w:val="0"/>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14:paraId="5BCB9684">
      <w:pPr>
        <w:pStyle w:val="5"/>
        <w:snapToGrid w:val="0"/>
        <w:spacing w:before="50" w:after="50"/>
        <w:ind w:firstLine="720" w:firstLineChars="225"/>
        <w:rPr>
          <w:rFonts w:ascii="宋体" w:hAnsi="宋体" w:cs="仿宋_GB2312"/>
          <w:bCs/>
          <w:color w:val="auto"/>
          <w:sz w:val="32"/>
          <w:szCs w:val="32"/>
        </w:rPr>
      </w:pPr>
    </w:p>
    <w:p w14:paraId="3C30479B">
      <w:pPr>
        <w:pStyle w:val="5"/>
        <w:snapToGrid w:val="0"/>
        <w:spacing w:before="50" w:after="50"/>
        <w:ind w:firstLine="1280" w:firstLineChars="400"/>
        <w:rPr>
          <w:rFonts w:ascii="宋体" w:hAnsi="宋体" w:cs="仿宋_GB2312"/>
          <w:bCs/>
          <w:color w:val="auto"/>
          <w:sz w:val="32"/>
          <w:szCs w:val="32"/>
        </w:rPr>
      </w:pPr>
    </w:p>
    <w:p w14:paraId="0FFD7037">
      <w:pPr>
        <w:snapToGrid w:val="0"/>
        <w:spacing w:before="156"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4B894A44">
      <w:pPr>
        <w:snapToGrid w:val="0"/>
        <w:spacing w:before="156"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color w:val="auto"/>
          <w:sz w:val="24"/>
          <w:lang w:val="en-US" w:eastAsia="zh-CN"/>
        </w:rPr>
        <w:t xml:space="preserve">  </w:t>
      </w:r>
      <w:r>
        <w:rPr>
          <w:rFonts w:hint="eastAsia" w:ascii="宋体" w:hAnsi="宋体"/>
          <w:b/>
          <w:bCs/>
          <w:color w:val="auto"/>
          <w:sz w:val="32"/>
          <w:szCs w:val="32"/>
        </w:rPr>
        <w:t>2.资格证明文件目录</w:t>
      </w:r>
    </w:p>
    <w:p w14:paraId="022F7171">
      <w:pPr>
        <w:snapToGrid w:val="0"/>
        <w:spacing w:before="156" w:beforeLines="50" w:after="50" w:line="360" w:lineRule="auto"/>
        <w:ind w:firstLine="645"/>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7A9C8295">
      <w:pPr>
        <w:pStyle w:val="25"/>
        <w:rPr>
          <w:rFonts w:hint="eastAsia"/>
          <w:lang w:val="en-US" w:eastAsia="zh-CN"/>
        </w:rPr>
        <w:sectPr>
          <w:pgSz w:w="11906" w:h="16838"/>
          <w:pgMar w:top="1247" w:right="1247" w:bottom="1247" w:left="1247" w:header="851" w:footer="992" w:gutter="0"/>
          <w:pgNumType w:fmt="decimal"/>
          <w:cols w:space="425" w:num="1"/>
          <w:docGrid w:type="lines" w:linePitch="312" w:charSpace="0"/>
        </w:sectPr>
      </w:pPr>
    </w:p>
    <w:p w14:paraId="699C8229">
      <w:pPr>
        <w:snapToGrid w:val="0"/>
        <w:spacing w:before="50" w:after="120" w:afterLines="50" w:line="360" w:lineRule="auto"/>
        <w:jc w:val="center"/>
        <w:rPr>
          <w:rFonts w:hint="eastAsia" w:ascii="宋体" w:hAnsi="宋体"/>
          <w:b/>
          <w:color w:val="auto"/>
          <w:sz w:val="32"/>
          <w:szCs w:val="32"/>
        </w:rPr>
      </w:pPr>
      <w:r>
        <w:rPr>
          <w:rFonts w:hint="eastAsia" w:ascii="宋体" w:hAnsi="宋体"/>
          <w:b/>
          <w:color w:val="auto"/>
          <w:sz w:val="32"/>
          <w:szCs w:val="32"/>
        </w:rPr>
        <w:t>供应商直接控股、管理关系信息表</w:t>
      </w:r>
    </w:p>
    <w:p w14:paraId="50B41B13">
      <w:pPr>
        <w:snapToGrid w:val="0"/>
        <w:spacing w:before="50" w:after="120" w:afterLines="50" w:line="360" w:lineRule="auto"/>
        <w:jc w:val="center"/>
        <w:rPr>
          <w:rFonts w:hint="eastAsia" w:ascii="宋体" w:hAnsi="宋体"/>
          <w:b/>
          <w:color w:val="auto"/>
          <w:sz w:val="32"/>
          <w:szCs w:val="32"/>
        </w:rPr>
      </w:pPr>
    </w:p>
    <w:p w14:paraId="018BC8CA">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1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BF4A1B5">
        <w:tblPrEx>
          <w:shd w:val="clear" w:color="auto" w:fill="FBFBFB"/>
          <w:tblCellMar>
            <w:top w:w="0" w:type="dxa"/>
            <w:left w:w="0" w:type="dxa"/>
            <w:bottom w:w="0" w:type="dxa"/>
            <w:right w:w="0" w:type="dxa"/>
          </w:tblCellMar>
        </w:tblPrEx>
        <w:trPr>
          <w:trHeight w:val="0" w:hRule="atLeast"/>
          <w:tblHeader/>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20860FF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4E250D7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339CEA6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206F849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0C5F90E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7F37B91">
        <w:tblPrEx>
          <w:shd w:val="clear" w:color="auto" w:fill="FBFBFB"/>
          <w:tblCellMar>
            <w:top w:w="0" w:type="dxa"/>
            <w:left w:w="0" w:type="dxa"/>
            <w:bottom w:w="0" w:type="dxa"/>
            <w:right w:w="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5936D8E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17832C72">
            <w:pPr>
              <w:spacing w:line="360" w:lineRule="auto"/>
              <w:jc w:val="center"/>
              <w:rPr>
                <w:rFonts w:ascii="宋体" w:hAnsi="宋体" w:cs="宋体"/>
                <w:color w:val="auto"/>
                <w:kern w:val="0"/>
                <w:sz w:val="24"/>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180111C5">
            <w:pPr>
              <w:spacing w:line="360" w:lineRule="auto"/>
              <w:jc w:val="center"/>
              <w:rPr>
                <w:rFonts w:ascii="宋体" w:hAnsi="宋体" w:cs="宋体"/>
                <w:color w:val="auto"/>
                <w:kern w:val="0"/>
                <w:sz w:val="24"/>
                <w:highlight w:val="none"/>
              </w:rPr>
            </w:pPr>
          </w:p>
        </w:tc>
        <w:tc>
          <w:tcPr>
            <w:tcW w:w="3722"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00BB9B14">
            <w:pPr>
              <w:spacing w:line="360" w:lineRule="auto"/>
              <w:jc w:val="center"/>
              <w:rPr>
                <w:rFonts w:ascii="宋体" w:hAnsi="宋体" w:cs="宋体"/>
                <w:color w:val="auto"/>
                <w:kern w:val="0"/>
                <w:sz w:val="24"/>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02D35240">
            <w:pPr>
              <w:spacing w:line="360" w:lineRule="auto"/>
              <w:jc w:val="center"/>
              <w:rPr>
                <w:rFonts w:ascii="宋体" w:hAnsi="宋体" w:cs="宋体"/>
                <w:color w:val="auto"/>
                <w:kern w:val="0"/>
                <w:sz w:val="24"/>
                <w:highlight w:val="none"/>
              </w:rPr>
            </w:pPr>
          </w:p>
        </w:tc>
      </w:tr>
      <w:tr w14:paraId="6CE57A87">
        <w:tblPrEx>
          <w:shd w:val="clear" w:color="auto" w:fill="FBFBFB"/>
          <w:tblCellMar>
            <w:top w:w="0" w:type="dxa"/>
            <w:left w:w="0" w:type="dxa"/>
            <w:bottom w:w="0" w:type="dxa"/>
            <w:right w:w="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1B6D145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6D4BC670">
            <w:pPr>
              <w:spacing w:line="360" w:lineRule="auto"/>
              <w:jc w:val="center"/>
              <w:rPr>
                <w:rFonts w:ascii="宋体" w:hAnsi="宋体" w:cs="宋体"/>
                <w:color w:val="auto"/>
                <w:kern w:val="0"/>
                <w:sz w:val="24"/>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336F5859">
            <w:pPr>
              <w:spacing w:line="360" w:lineRule="auto"/>
              <w:jc w:val="center"/>
              <w:rPr>
                <w:rFonts w:ascii="宋体" w:hAnsi="宋体" w:cs="宋体"/>
                <w:color w:val="auto"/>
                <w:kern w:val="0"/>
                <w:sz w:val="24"/>
                <w:highlight w:val="none"/>
              </w:rPr>
            </w:pPr>
          </w:p>
        </w:tc>
        <w:tc>
          <w:tcPr>
            <w:tcW w:w="3722"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734E73B9">
            <w:pPr>
              <w:spacing w:line="360" w:lineRule="auto"/>
              <w:jc w:val="center"/>
              <w:rPr>
                <w:rFonts w:ascii="宋体" w:hAnsi="宋体" w:cs="宋体"/>
                <w:color w:val="auto"/>
                <w:kern w:val="0"/>
                <w:sz w:val="24"/>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0A584A93">
            <w:pPr>
              <w:spacing w:line="360" w:lineRule="auto"/>
              <w:jc w:val="center"/>
              <w:rPr>
                <w:rFonts w:ascii="宋体" w:hAnsi="宋体" w:cs="宋体"/>
                <w:color w:val="auto"/>
                <w:kern w:val="0"/>
                <w:sz w:val="24"/>
                <w:highlight w:val="none"/>
              </w:rPr>
            </w:pPr>
          </w:p>
        </w:tc>
      </w:tr>
      <w:tr w14:paraId="35B8DE85">
        <w:tblPrEx>
          <w:shd w:val="clear" w:color="auto" w:fill="FBFBFB"/>
          <w:tblCellMar>
            <w:top w:w="0" w:type="dxa"/>
            <w:left w:w="0" w:type="dxa"/>
            <w:bottom w:w="0" w:type="dxa"/>
            <w:right w:w="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35F34EB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0B465F0D">
            <w:pPr>
              <w:spacing w:line="360" w:lineRule="auto"/>
              <w:jc w:val="center"/>
              <w:rPr>
                <w:rFonts w:ascii="宋体" w:hAnsi="宋体" w:cs="宋体"/>
                <w:color w:val="auto"/>
                <w:kern w:val="0"/>
                <w:sz w:val="24"/>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5DF8FB76">
            <w:pPr>
              <w:spacing w:line="360" w:lineRule="auto"/>
              <w:jc w:val="center"/>
              <w:rPr>
                <w:rFonts w:ascii="宋体" w:hAnsi="宋体" w:cs="宋体"/>
                <w:color w:val="auto"/>
                <w:kern w:val="0"/>
                <w:sz w:val="24"/>
                <w:highlight w:val="none"/>
              </w:rPr>
            </w:pPr>
          </w:p>
        </w:tc>
        <w:tc>
          <w:tcPr>
            <w:tcW w:w="3722"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0D7C1E6A">
            <w:pPr>
              <w:spacing w:line="360" w:lineRule="auto"/>
              <w:jc w:val="center"/>
              <w:rPr>
                <w:rFonts w:ascii="宋体" w:hAnsi="宋体" w:cs="宋体"/>
                <w:color w:val="auto"/>
                <w:kern w:val="0"/>
                <w:sz w:val="24"/>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74932640">
            <w:pPr>
              <w:spacing w:line="360" w:lineRule="auto"/>
              <w:jc w:val="center"/>
              <w:rPr>
                <w:rFonts w:ascii="宋体" w:hAnsi="宋体" w:cs="宋体"/>
                <w:color w:val="auto"/>
                <w:kern w:val="0"/>
                <w:sz w:val="24"/>
                <w:highlight w:val="none"/>
              </w:rPr>
            </w:pPr>
          </w:p>
        </w:tc>
      </w:tr>
      <w:tr w14:paraId="23F63303">
        <w:tblPrEx>
          <w:shd w:val="clear" w:color="auto" w:fill="FBFBFB"/>
          <w:tblCellMar>
            <w:top w:w="0" w:type="dxa"/>
            <w:left w:w="0" w:type="dxa"/>
            <w:bottom w:w="0" w:type="dxa"/>
            <w:right w:w="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521DF65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3974DCA0">
            <w:pPr>
              <w:spacing w:line="360" w:lineRule="auto"/>
              <w:jc w:val="center"/>
              <w:rPr>
                <w:rFonts w:ascii="宋体" w:hAnsi="宋体" w:cs="宋体"/>
                <w:color w:val="auto"/>
                <w:kern w:val="0"/>
                <w:sz w:val="24"/>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3094E8C3">
            <w:pPr>
              <w:spacing w:line="360" w:lineRule="auto"/>
              <w:jc w:val="center"/>
              <w:rPr>
                <w:rFonts w:ascii="宋体" w:hAnsi="宋体" w:cs="宋体"/>
                <w:color w:val="auto"/>
                <w:kern w:val="0"/>
                <w:sz w:val="24"/>
                <w:highlight w:val="none"/>
              </w:rPr>
            </w:pPr>
          </w:p>
        </w:tc>
        <w:tc>
          <w:tcPr>
            <w:tcW w:w="3722"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2C934E85">
            <w:pPr>
              <w:spacing w:line="360" w:lineRule="auto"/>
              <w:jc w:val="center"/>
              <w:rPr>
                <w:rFonts w:ascii="宋体" w:hAnsi="宋体" w:cs="宋体"/>
                <w:color w:val="auto"/>
                <w:kern w:val="0"/>
                <w:sz w:val="24"/>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tcMar>
              <w:top w:w="120" w:type="dxa"/>
              <w:left w:w="120" w:type="dxa"/>
              <w:bottom w:w="120" w:type="dxa"/>
              <w:right w:w="120" w:type="dxa"/>
            </w:tcMar>
            <w:vAlign w:val="center"/>
          </w:tcPr>
          <w:p w14:paraId="4E5371A6">
            <w:pPr>
              <w:spacing w:line="360" w:lineRule="auto"/>
              <w:jc w:val="center"/>
              <w:rPr>
                <w:rFonts w:ascii="宋体" w:hAnsi="宋体" w:cs="宋体"/>
                <w:color w:val="auto"/>
                <w:kern w:val="0"/>
                <w:sz w:val="24"/>
                <w:highlight w:val="none"/>
              </w:rPr>
            </w:pPr>
          </w:p>
        </w:tc>
      </w:tr>
    </w:tbl>
    <w:p w14:paraId="78394A49">
      <w:pPr>
        <w:pStyle w:val="4"/>
        <w:spacing w:before="96" w:line="360" w:lineRule="auto"/>
        <w:ind w:left="210" w:leftChars="100"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 </w:t>
      </w:r>
    </w:p>
    <w:p w14:paraId="6EB8BF01">
      <w:pPr>
        <w:pStyle w:val="4"/>
        <w:keepNext w:val="0"/>
        <w:keepLines w:val="0"/>
        <w:pageBreakBefore w:val="0"/>
        <w:widowControl w:val="0"/>
        <w:numPr>
          <w:ilvl w:val="0"/>
          <w:numId w:val="19"/>
        </w:numPr>
        <w:kinsoku/>
        <w:wordWrap/>
        <w:overflowPunct/>
        <w:topLinePunct w:val="0"/>
        <w:autoSpaceDE/>
        <w:autoSpaceDN/>
        <w:bidi w:val="0"/>
        <w:adjustRightInd w:val="0"/>
        <w:snapToGrid w:val="0"/>
        <w:spacing w:before="96" w:line="360" w:lineRule="auto"/>
        <w:ind w:left="8" w:leftChars="0" w:firstLine="416" w:firstLineChars="200"/>
        <w:textAlignment w:val="auto"/>
        <w:rPr>
          <w:rFonts w:hint="eastAsia" w:ascii="宋体" w:hAnsi="宋体" w:eastAsia="宋体" w:cs="宋体"/>
          <w:color w:val="000000"/>
          <w:sz w:val="21"/>
          <w:szCs w:val="21"/>
        </w:rPr>
      </w:pPr>
      <w:r>
        <w:rPr>
          <w:rFonts w:hint="eastAsia" w:ascii="宋体" w:hAnsi="宋体" w:eastAsia="宋体" w:cs="宋体"/>
          <w:color w:val="000000"/>
          <w:spacing w:val="-1"/>
          <w:sz w:val="2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w:t>
      </w:r>
      <w:r>
        <w:rPr>
          <w:rFonts w:hint="eastAsia" w:ascii="宋体" w:hAnsi="宋体" w:eastAsia="宋体" w:cs="宋体"/>
          <w:color w:val="000000"/>
          <w:sz w:val="21"/>
          <w:szCs w:val="21"/>
        </w:rPr>
        <w:t xml:space="preserve">会的决议产生重大影响的股东。 </w:t>
      </w:r>
    </w:p>
    <w:p w14:paraId="0E5A7906">
      <w:pPr>
        <w:pStyle w:val="4"/>
        <w:keepNext w:val="0"/>
        <w:keepLines w:val="0"/>
        <w:pageBreakBefore w:val="0"/>
        <w:widowControl w:val="0"/>
        <w:numPr>
          <w:ilvl w:val="0"/>
          <w:numId w:val="19"/>
        </w:numPr>
        <w:kinsoku/>
        <w:wordWrap/>
        <w:overflowPunct/>
        <w:topLinePunct w:val="0"/>
        <w:autoSpaceDE/>
        <w:autoSpaceDN/>
        <w:bidi w:val="0"/>
        <w:adjustRightInd w:val="0"/>
        <w:snapToGrid w:val="0"/>
        <w:spacing w:before="96" w:line="360" w:lineRule="auto"/>
        <w:ind w:left="8" w:leftChars="0" w:firstLine="416" w:firstLineChars="200"/>
        <w:textAlignment w:val="auto"/>
        <w:rPr>
          <w:rFonts w:hint="eastAsia" w:ascii="宋体" w:hAnsi="宋体" w:eastAsia="宋体" w:cs="宋体"/>
          <w:color w:val="000000"/>
          <w:sz w:val="21"/>
          <w:szCs w:val="21"/>
        </w:rPr>
      </w:pPr>
      <w:r>
        <w:rPr>
          <w:rFonts w:hint="eastAsia" w:ascii="宋体" w:hAnsi="宋体" w:eastAsia="宋体" w:cs="宋体"/>
          <w:color w:val="000000"/>
          <w:spacing w:val="-1"/>
          <w:sz w:val="21"/>
          <w:szCs w:val="21"/>
        </w:rPr>
        <w:t>本表所指的控股关系仅限于直接控股关系，不包括间接的控股关系。公司实际控制</w:t>
      </w:r>
      <w:r>
        <w:rPr>
          <w:rFonts w:hint="eastAsia" w:ascii="宋体" w:hAnsi="宋体" w:eastAsia="宋体" w:cs="宋体"/>
          <w:color w:val="000000"/>
          <w:sz w:val="21"/>
          <w:szCs w:val="21"/>
        </w:rPr>
        <w:t xml:space="preserve">人与公司之间的关系不属于本表所指的直接控股关系。 </w:t>
      </w:r>
    </w:p>
    <w:p w14:paraId="31843054">
      <w:pPr>
        <w:pStyle w:val="4"/>
        <w:keepNext w:val="0"/>
        <w:keepLines w:val="0"/>
        <w:pageBreakBefore w:val="0"/>
        <w:widowControl w:val="0"/>
        <w:numPr>
          <w:ilvl w:val="0"/>
          <w:numId w:val="19"/>
        </w:numPr>
        <w:kinsoku/>
        <w:wordWrap/>
        <w:overflowPunct/>
        <w:topLinePunct w:val="0"/>
        <w:autoSpaceDE/>
        <w:autoSpaceDN/>
        <w:bidi w:val="0"/>
        <w:adjustRightInd w:val="0"/>
        <w:snapToGrid w:val="0"/>
        <w:spacing w:before="96" w:line="360" w:lineRule="auto"/>
        <w:ind w:left="8"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供应商不存在直接控股股东的，则在“直接控股股东名称”里填“无”。 </w:t>
      </w:r>
    </w:p>
    <w:p w14:paraId="25EAB973">
      <w:pPr>
        <w:snapToGrid w:val="0"/>
        <w:spacing w:line="360" w:lineRule="auto"/>
        <w:jc w:val="left"/>
        <w:rPr>
          <w:rFonts w:hint="eastAsia" w:ascii="宋体" w:hAnsi="宋体"/>
          <w:color w:val="auto"/>
          <w:sz w:val="21"/>
          <w:szCs w:val="21"/>
          <w:highlight w:val="none"/>
        </w:rPr>
      </w:pPr>
    </w:p>
    <w:p w14:paraId="63DEB436">
      <w:pPr>
        <w:snapToGrid w:val="0"/>
        <w:spacing w:line="360" w:lineRule="auto"/>
        <w:jc w:val="left"/>
        <w:rPr>
          <w:rFonts w:hint="eastAsia" w:ascii="宋体" w:hAnsi="宋体"/>
          <w:color w:val="auto"/>
          <w:sz w:val="21"/>
          <w:szCs w:val="21"/>
          <w:highlight w:val="none"/>
        </w:rPr>
      </w:pPr>
    </w:p>
    <w:p w14:paraId="6D7E7B61">
      <w:pPr>
        <w:snapToGrid w:val="0"/>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供应商（盖单位CA公章）：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lang w:val="en-US" w:eastAsia="zh-CN"/>
        </w:rPr>
        <w:t xml:space="preserve">                               </w:t>
      </w:r>
    </w:p>
    <w:p w14:paraId="4F103A7D">
      <w:pPr>
        <w:snapToGrid w:val="0"/>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日期：     年     月     日</w:t>
      </w:r>
    </w:p>
    <w:p w14:paraId="1ABABFF9">
      <w:pPr>
        <w:snapToGrid w:val="0"/>
        <w:spacing w:line="360" w:lineRule="auto"/>
        <w:jc w:val="left"/>
        <w:rPr>
          <w:rFonts w:hint="eastAsia" w:ascii="宋体" w:hAnsi="宋体"/>
          <w:color w:val="auto"/>
          <w:szCs w:val="21"/>
          <w:highlight w:val="none"/>
        </w:rPr>
      </w:pPr>
    </w:p>
    <w:p w14:paraId="0E7E7308">
      <w:pPr>
        <w:snapToGrid w:val="0"/>
        <w:spacing w:before="120" w:beforeLines="50" w:after="50" w:line="360" w:lineRule="auto"/>
        <w:ind w:right="480" w:firstLine="422" w:firstLineChars="150"/>
        <w:rPr>
          <w:rFonts w:hint="eastAsia" w:ascii="宋体" w:hAnsi="宋体"/>
          <w:b/>
          <w:color w:val="auto"/>
          <w:sz w:val="28"/>
          <w:szCs w:val="28"/>
          <w:highlight w:val="none"/>
        </w:rPr>
      </w:pPr>
      <w:r>
        <w:rPr>
          <w:rFonts w:ascii="宋体" w:hAnsi="宋体"/>
          <w:b/>
          <w:color w:val="auto"/>
          <w:sz w:val="28"/>
          <w:szCs w:val="28"/>
          <w:highlight w:val="none"/>
        </w:rPr>
        <w:br w:type="page"/>
      </w:r>
    </w:p>
    <w:p w14:paraId="6A5D0035">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1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FBDB83D">
        <w:tblPrEx>
          <w:shd w:val="clear" w:color="auto" w:fill="FBFBFB"/>
          <w:tblCellMar>
            <w:top w:w="0" w:type="dxa"/>
            <w:left w:w="0" w:type="dxa"/>
            <w:bottom w:w="0" w:type="dxa"/>
            <w:right w:w="0" w:type="dxa"/>
          </w:tblCellMar>
        </w:tblPrEx>
        <w:trPr>
          <w:trHeight w:val="0" w:hRule="atLeast"/>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7001D8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D3645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0DA505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B762B4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D1C02D5">
        <w:tblPrEx>
          <w:tblCellMar>
            <w:top w:w="0" w:type="dxa"/>
            <w:left w:w="0" w:type="dxa"/>
            <w:bottom w:w="0" w:type="dxa"/>
            <w:right w:w="0" w:type="dxa"/>
          </w:tblCellMar>
        </w:tblPrEx>
        <w:trPr>
          <w:trHeight w:val="0" w:hRule="atLeast"/>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38525D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06A490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CEB705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E0B6D8D">
            <w:pPr>
              <w:spacing w:line="360" w:lineRule="auto"/>
              <w:jc w:val="center"/>
              <w:rPr>
                <w:rFonts w:ascii="宋体" w:hAnsi="宋体" w:cs="宋体"/>
                <w:color w:val="auto"/>
                <w:kern w:val="0"/>
                <w:sz w:val="24"/>
                <w:highlight w:val="none"/>
              </w:rPr>
            </w:pPr>
          </w:p>
        </w:tc>
      </w:tr>
      <w:tr w14:paraId="1730B4A8">
        <w:tblPrEx>
          <w:tblCellMar>
            <w:top w:w="0" w:type="dxa"/>
            <w:left w:w="0" w:type="dxa"/>
            <w:bottom w:w="0" w:type="dxa"/>
            <w:right w:w="0" w:type="dxa"/>
          </w:tblCellMar>
        </w:tblPrEx>
        <w:trPr>
          <w:trHeight w:val="0" w:hRule="atLeast"/>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B21648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FD1F93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FD8C69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F6F480B">
            <w:pPr>
              <w:spacing w:line="360" w:lineRule="auto"/>
              <w:jc w:val="center"/>
              <w:rPr>
                <w:rFonts w:ascii="宋体" w:hAnsi="宋体" w:cs="宋体"/>
                <w:color w:val="auto"/>
                <w:kern w:val="0"/>
                <w:sz w:val="24"/>
                <w:highlight w:val="none"/>
              </w:rPr>
            </w:pPr>
          </w:p>
        </w:tc>
      </w:tr>
      <w:tr w14:paraId="5C385AA5">
        <w:tblPrEx>
          <w:shd w:val="clear" w:color="auto" w:fill="FBFBFB"/>
          <w:tblCellMar>
            <w:top w:w="0" w:type="dxa"/>
            <w:left w:w="0" w:type="dxa"/>
            <w:bottom w:w="0" w:type="dxa"/>
            <w:right w:w="0" w:type="dxa"/>
          </w:tblCellMar>
        </w:tblPrEx>
        <w:trPr>
          <w:trHeight w:val="0" w:hRule="atLeast"/>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A91BBB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854007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94811D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760A07A">
            <w:pPr>
              <w:spacing w:line="360" w:lineRule="auto"/>
              <w:jc w:val="center"/>
              <w:rPr>
                <w:rFonts w:ascii="宋体" w:hAnsi="宋体" w:cs="宋体"/>
                <w:color w:val="auto"/>
                <w:kern w:val="0"/>
                <w:sz w:val="24"/>
                <w:highlight w:val="none"/>
              </w:rPr>
            </w:pPr>
          </w:p>
        </w:tc>
      </w:tr>
      <w:tr w14:paraId="6D9E91A9">
        <w:tblPrEx>
          <w:tblCellMar>
            <w:top w:w="0" w:type="dxa"/>
            <w:left w:w="0" w:type="dxa"/>
            <w:bottom w:w="0" w:type="dxa"/>
            <w:right w:w="0" w:type="dxa"/>
          </w:tblCellMar>
        </w:tblPrEx>
        <w:trPr>
          <w:trHeight w:val="0" w:hRule="atLeast"/>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0C7082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08CF24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6F1F21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5E67D47">
            <w:pPr>
              <w:spacing w:line="360" w:lineRule="auto"/>
              <w:jc w:val="center"/>
              <w:rPr>
                <w:rFonts w:ascii="宋体" w:hAnsi="宋体" w:cs="宋体"/>
                <w:color w:val="auto"/>
                <w:kern w:val="0"/>
                <w:sz w:val="24"/>
                <w:highlight w:val="none"/>
              </w:rPr>
            </w:pPr>
          </w:p>
        </w:tc>
      </w:tr>
    </w:tbl>
    <w:p w14:paraId="6130E021">
      <w:pPr>
        <w:keepNext w:val="0"/>
        <w:keepLines w:val="0"/>
        <w:pageBreakBefore w:val="0"/>
        <w:widowControl w:val="0"/>
        <w:kinsoku/>
        <w:wordWrap/>
        <w:overflowPunct/>
        <w:topLinePunct w:val="0"/>
        <w:autoSpaceDE/>
        <w:autoSpaceDN/>
        <w:bidi w:val="0"/>
        <w:adjustRightInd w:val="0"/>
        <w:snapToGrid w:val="0"/>
        <w:spacing w:before="0" w:line="360" w:lineRule="auto"/>
        <w:ind w:right="0" w:firstLine="416" w:firstLineChars="200"/>
        <w:jc w:val="left"/>
        <w:textAlignment w:val="auto"/>
        <w:outlineLvl w:val="9"/>
        <w:rPr>
          <w:rFonts w:hint="eastAsia" w:ascii="宋体" w:hAnsi="宋体" w:eastAsia="宋体" w:cs="宋体"/>
          <w:color w:val="000000"/>
          <w:spacing w:val="-1"/>
          <w:kern w:val="2"/>
          <w:sz w:val="21"/>
          <w:szCs w:val="21"/>
          <w:lang w:val="zh-CN" w:eastAsia="zh-CN" w:bidi="zh-CN"/>
        </w:rPr>
      </w:pPr>
    </w:p>
    <w:p w14:paraId="05FE4E85">
      <w:pPr>
        <w:keepNext w:val="0"/>
        <w:keepLines w:val="0"/>
        <w:pageBreakBefore w:val="0"/>
        <w:widowControl w:val="0"/>
        <w:kinsoku/>
        <w:wordWrap/>
        <w:overflowPunct/>
        <w:topLinePunct w:val="0"/>
        <w:autoSpaceDE/>
        <w:autoSpaceDN/>
        <w:bidi w:val="0"/>
        <w:adjustRightInd w:val="0"/>
        <w:snapToGrid w:val="0"/>
        <w:spacing w:before="0" w:line="360" w:lineRule="auto"/>
        <w:ind w:right="0" w:firstLine="416" w:firstLineChars="200"/>
        <w:jc w:val="left"/>
        <w:textAlignment w:val="auto"/>
        <w:outlineLvl w:val="9"/>
        <w:rPr>
          <w:rFonts w:hint="eastAsia" w:ascii="宋体" w:hAnsi="宋体" w:eastAsia="宋体" w:cs="宋体"/>
          <w:color w:val="000000"/>
          <w:spacing w:val="-1"/>
          <w:kern w:val="2"/>
          <w:sz w:val="21"/>
          <w:szCs w:val="21"/>
          <w:lang w:val="zh-CN" w:eastAsia="zh-CN" w:bidi="zh-CN"/>
        </w:rPr>
      </w:pPr>
      <w:r>
        <w:rPr>
          <w:rFonts w:hint="eastAsia" w:ascii="宋体" w:hAnsi="宋体" w:eastAsia="宋体" w:cs="宋体"/>
          <w:color w:val="000000"/>
          <w:spacing w:val="-1"/>
          <w:kern w:val="2"/>
          <w:sz w:val="21"/>
          <w:szCs w:val="21"/>
          <w:lang w:val="zh-CN" w:eastAsia="zh-CN" w:bidi="zh-CN"/>
        </w:rPr>
        <w:t xml:space="preserve">注： </w:t>
      </w:r>
    </w:p>
    <w:p w14:paraId="382B9B95">
      <w:pPr>
        <w:keepNext w:val="0"/>
        <w:keepLines w:val="0"/>
        <w:pageBreakBefore w:val="0"/>
        <w:widowControl w:val="0"/>
        <w:numPr>
          <w:ilvl w:val="0"/>
          <w:numId w:val="20"/>
        </w:numPr>
        <w:kinsoku/>
        <w:wordWrap/>
        <w:overflowPunct/>
        <w:topLinePunct w:val="0"/>
        <w:autoSpaceDE/>
        <w:autoSpaceDN/>
        <w:bidi w:val="0"/>
        <w:adjustRightInd w:val="0"/>
        <w:snapToGrid w:val="0"/>
        <w:spacing w:before="0" w:line="360" w:lineRule="auto"/>
        <w:ind w:right="0" w:rightChars="0" w:firstLine="416" w:firstLineChars="200"/>
        <w:jc w:val="left"/>
        <w:textAlignment w:val="auto"/>
        <w:outlineLvl w:val="9"/>
        <w:rPr>
          <w:rFonts w:hint="eastAsia" w:ascii="宋体" w:hAnsi="宋体" w:eastAsia="宋体" w:cs="宋体"/>
          <w:color w:val="000000"/>
          <w:spacing w:val="-1"/>
          <w:kern w:val="2"/>
          <w:sz w:val="21"/>
          <w:szCs w:val="21"/>
          <w:lang w:val="zh-CN" w:eastAsia="zh-CN" w:bidi="zh-CN"/>
        </w:rPr>
      </w:pPr>
      <w:r>
        <w:rPr>
          <w:rFonts w:hint="eastAsia" w:ascii="宋体" w:hAnsi="宋体" w:eastAsia="宋体" w:cs="宋体"/>
          <w:color w:val="000000"/>
          <w:spacing w:val="-1"/>
          <w:kern w:val="2"/>
          <w:sz w:val="21"/>
          <w:szCs w:val="21"/>
          <w:lang w:val="zh-CN" w:eastAsia="zh-CN" w:bidi="zh-CN"/>
        </w:rPr>
        <w:t xml:space="preserve">管理关系：是指不具有出资持股关系的其他单位之间存在的管理与被管理关系，如一些上下级关系的事业单位和团体组织。 </w:t>
      </w:r>
    </w:p>
    <w:p w14:paraId="373C447C">
      <w:pPr>
        <w:keepNext w:val="0"/>
        <w:keepLines w:val="0"/>
        <w:pageBreakBefore w:val="0"/>
        <w:widowControl w:val="0"/>
        <w:numPr>
          <w:ilvl w:val="0"/>
          <w:numId w:val="20"/>
        </w:numPr>
        <w:kinsoku/>
        <w:wordWrap/>
        <w:overflowPunct/>
        <w:topLinePunct w:val="0"/>
        <w:autoSpaceDE/>
        <w:autoSpaceDN/>
        <w:bidi w:val="0"/>
        <w:adjustRightInd w:val="0"/>
        <w:snapToGrid w:val="0"/>
        <w:spacing w:before="0" w:line="360" w:lineRule="auto"/>
        <w:ind w:right="0" w:rightChars="0" w:firstLine="416" w:firstLineChars="200"/>
        <w:jc w:val="left"/>
        <w:textAlignment w:val="auto"/>
        <w:outlineLvl w:val="9"/>
        <w:rPr>
          <w:rFonts w:hint="eastAsia" w:ascii="宋体" w:hAnsi="宋体" w:eastAsia="宋体" w:cs="宋体"/>
          <w:color w:val="000000"/>
          <w:spacing w:val="-1"/>
          <w:kern w:val="2"/>
          <w:sz w:val="21"/>
          <w:szCs w:val="21"/>
          <w:lang w:val="zh-CN" w:eastAsia="zh-CN" w:bidi="zh-CN"/>
        </w:rPr>
      </w:pPr>
      <w:r>
        <w:rPr>
          <w:rFonts w:hint="eastAsia" w:ascii="宋体" w:hAnsi="宋体" w:eastAsia="宋体" w:cs="宋体"/>
          <w:color w:val="000000"/>
          <w:spacing w:val="-1"/>
          <w:kern w:val="2"/>
          <w:sz w:val="21"/>
          <w:szCs w:val="21"/>
          <w:lang w:val="zh-CN" w:eastAsia="zh-CN" w:bidi="zh-CN"/>
        </w:rPr>
        <w:t xml:space="preserve">本表所指的管理关系仅限于直接管理关系，不包括间接的管理关系。 </w:t>
      </w:r>
    </w:p>
    <w:p w14:paraId="65BD1C91">
      <w:pPr>
        <w:keepNext w:val="0"/>
        <w:keepLines w:val="0"/>
        <w:pageBreakBefore w:val="0"/>
        <w:widowControl w:val="0"/>
        <w:numPr>
          <w:ilvl w:val="0"/>
          <w:numId w:val="20"/>
        </w:numPr>
        <w:kinsoku/>
        <w:wordWrap/>
        <w:overflowPunct/>
        <w:topLinePunct w:val="0"/>
        <w:autoSpaceDE/>
        <w:autoSpaceDN/>
        <w:bidi w:val="0"/>
        <w:adjustRightInd w:val="0"/>
        <w:snapToGrid w:val="0"/>
        <w:spacing w:before="0" w:line="360" w:lineRule="auto"/>
        <w:ind w:right="0" w:rightChars="0" w:firstLine="416" w:firstLineChars="200"/>
        <w:jc w:val="left"/>
        <w:textAlignment w:val="auto"/>
        <w:outlineLvl w:val="9"/>
        <w:rPr>
          <w:rFonts w:hint="eastAsia" w:ascii="宋体" w:hAnsi="宋体" w:eastAsia="宋体" w:cs="宋体"/>
          <w:color w:val="000000"/>
          <w:spacing w:val="-1"/>
          <w:kern w:val="2"/>
          <w:sz w:val="21"/>
          <w:szCs w:val="21"/>
          <w:lang w:val="zh-CN" w:eastAsia="zh-CN" w:bidi="zh-CN"/>
        </w:rPr>
      </w:pPr>
      <w:r>
        <w:rPr>
          <w:rFonts w:hint="eastAsia" w:ascii="宋体" w:hAnsi="宋体" w:eastAsia="宋体" w:cs="宋体"/>
          <w:color w:val="000000"/>
          <w:spacing w:val="-1"/>
          <w:kern w:val="2"/>
          <w:sz w:val="21"/>
          <w:szCs w:val="21"/>
          <w:lang w:val="zh-CN" w:eastAsia="zh-CN" w:bidi="zh-CN"/>
        </w:rPr>
        <w:t xml:space="preserve">供应商不存在直接管理关系的，则在“直接管理关系单位名称”里填“无”。 </w:t>
      </w:r>
    </w:p>
    <w:p w14:paraId="2F0D127F">
      <w:pPr>
        <w:snapToGrid w:val="0"/>
        <w:spacing w:line="360" w:lineRule="auto"/>
        <w:jc w:val="left"/>
        <w:rPr>
          <w:rFonts w:hint="eastAsia" w:ascii="宋体" w:hAnsi="宋体"/>
          <w:color w:val="auto"/>
          <w:sz w:val="21"/>
          <w:szCs w:val="21"/>
          <w:highlight w:val="none"/>
        </w:rPr>
      </w:pPr>
    </w:p>
    <w:p w14:paraId="743997FE">
      <w:pPr>
        <w:snapToGrid w:val="0"/>
        <w:spacing w:line="360" w:lineRule="auto"/>
        <w:jc w:val="left"/>
        <w:rPr>
          <w:rFonts w:hint="eastAsia"/>
          <w:color w:val="auto"/>
          <w:sz w:val="21"/>
          <w:szCs w:val="21"/>
          <w:highlight w:val="none"/>
        </w:rPr>
      </w:pPr>
    </w:p>
    <w:p w14:paraId="7A793CD4">
      <w:pPr>
        <w:snapToGrid w:val="0"/>
        <w:spacing w:line="360" w:lineRule="auto"/>
        <w:jc w:val="left"/>
        <w:rPr>
          <w:rFonts w:hint="eastAsia" w:ascii="宋体" w:hAnsi="宋体"/>
          <w:color w:val="auto"/>
          <w:sz w:val="21"/>
          <w:szCs w:val="21"/>
          <w:highlight w:val="none"/>
        </w:rPr>
      </w:pPr>
    </w:p>
    <w:p w14:paraId="627312B8">
      <w:pPr>
        <w:snapToGrid w:val="0"/>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供应商（盖单位CA公章）：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lang w:val="en-US" w:eastAsia="zh-CN"/>
        </w:rPr>
        <w:t xml:space="preserve">                               </w:t>
      </w:r>
    </w:p>
    <w:p w14:paraId="55E6A471">
      <w:pPr>
        <w:snapToGrid w:val="0"/>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日期：     年     月     日</w:t>
      </w:r>
    </w:p>
    <w:p w14:paraId="0DFBE01A">
      <w:pPr>
        <w:pStyle w:val="25"/>
        <w:rPr>
          <w:rFonts w:hint="eastAsia"/>
          <w:lang w:val="en-US" w:eastAsia="zh-CN"/>
        </w:rPr>
        <w:sectPr>
          <w:pgSz w:w="11906" w:h="16838"/>
          <w:pgMar w:top="1247" w:right="1247" w:bottom="1247" w:left="1247" w:header="851" w:footer="992" w:gutter="0"/>
          <w:pgNumType w:fmt="decimal"/>
          <w:cols w:space="425" w:num="1"/>
          <w:docGrid w:type="lines" w:linePitch="312" w:charSpace="0"/>
        </w:sectPr>
      </w:pPr>
    </w:p>
    <w:p w14:paraId="4070969D">
      <w:pPr>
        <w:spacing w:line="360" w:lineRule="auto"/>
        <w:jc w:val="center"/>
        <w:rPr>
          <w:rFonts w:ascii="宋体" w:hAnsi="宋体"/>
          <w:b/>
          <w:color w:val="auto"/>
          <w:sz w:val="32"/>
          <w:szCs w:val="32"/>
        </w:rPr>
      </w:pPr>
      <w:r>
        <w:rPr>
          <w:rFonts w:hint="eastAsia" w:ascii="宋体" w:hAnsi="宋体"/>
          <w:b/>
          <w:color w:val="auto"/>
          <w:sz w:val="32"/>
          <w:szCs w:val="32"/>
        </w:rPr>
        <w:t>竞标声明</w:t>
      </w:r>
    </w:p>
    <w:p w14:paraId="69DDE3DF">
      <w:pPr>
        <w:spacing w:line="360" w:lineRule="auto"/>
        <w:jc w:val="center"/>
        <w:rPr>
          <w:rFonts w:ascii="宋体" w:hAnsi="宋体"/>
          <w:color w:val="auto"/>
          <w:sz w:val="24"/>
          <w:szCs w:val="20"/>
        </w:rPr>
      </w:pPr>
    </w:p>
    <w:p w14:paraId="4CA39855">
      <w:pPr>
        <w:keepNext w:val="0"/>
        <w:keepLines w:val="0"/>
        <w:pageBreakBefore w:val="0"/>
        <w:widowControl w:val="0"/>
        <w:kinsoku/>
        <w:wordWrap/>
        <w:overflowPunct/>
        <w:topLinePunct w:val="0"/>
        <w:autoSpaceDE/>
        <w:autoSpaceDN/>
        <w:bidi w:val="0"/>
        <w:adjustRightInd/>
        <w:spacing w:line="360" w:lineRule="auto"/>
        <w:contextualSpacing/>
        <w:textAlignment w:val="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71E6E9DD">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lang w:val="en-US" w:eastAsia="zh-CN"/>
        </w:rPr>
        <w:t xml:space="preserve">  </w:t>
      </w:r>
      <w:r>
        <w:rPr>
          <w:rFonts w:hint="eastAsia" w:ascii="宋体" w:hAnsi="宋体" w:cs="宋体"/>
          <w:color w:val="auto"/>
          <w:sz w:val="24"/>
          <w:u w:val="single"/>
        </w:rPr>
        <w:t>（供应商名称）</w:t>
      </w:r>
      <w:r>
        <w:rPr>
          <w:rFonts w:hint="eastAsia" w:ascii="宋体" w:hAnsi="宋体" w:cs="宋体"/>
          <w:color w:val="auto"/>
          <w:sz w:val="24"/>
          <w:u w:val="single"/>
          <w:lang w:val="en-US" w:eastAsia="zh-CN"/>
        </w:rPr>
        <w:t xml:space="preserve">  </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4AC91C1F">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（项目名称）（项目编号）</w:t>
      </w:r>
      <w:r>
        <w:rPr>
          <w:rFonts w:hint="eastAsia" w:ascii="宋体" w:hAnsi="宋体" w:cs="宋体"/>
          <w:color w:val="auto"/>
          <w:sz w:val="24"/>
        </w:rPr>
        <w:t>项目的竞标，为便于贵方公正、择优地确定成交供应商及其服务，我方就本次竞标有关事项郑重声明如下：</w:t>
      </w:r>
    </w:p>
    <w:p w14:paraId="369C6D4A">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57421DA1">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7EA4165B">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3.在此，我方宣布同意如下：</w:t>
      </w:r>
    </w:p>
    <w:p w14:paraId="1C401F3F">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（1）将按磋商文件的约定履行合同责任和义务；</w:t>
      </w:r>
    </w:p>
    <w:p w14:paraId="33DFDF87">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（2）已详细审查全部磋商文件，包括澄清或者更正公告（如有）；</w:t>
      </w:r>
    </w:p>
    <w:p w14:paraId="79DC8A3D">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43B9C317">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（4）响应磋商文件规定的竞标有效期。</w:t>
      </w:r>
    </w:p>
    <w:p w14:paraId="7CA0EBCB">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549170B6">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（1）具有独立承担民事责任的能力；</w:t>
      </w:r>
    </w:p>
    <w:p w14:paraId="33F4AA97">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（2）具有良好的商业信誉和健全的财务会计制度；</w:t>
      </w:r>
    </w:p>
    <w:p w14:paraId="21BEEBC2">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（3）具有履行合同所必需的设备和专业技术能力；</w:t>
      </w:r>
    </w:p>
    <w:p w14:paraId="5B763360">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（4）有依法缴纳税收和社会保障资金的良好记录；</w:t>
      </w:r>
    </w:p>
    <w:p w14:paraId="4F9A50AE">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4748DCD0">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（6）法律、行政法规规定的其他条件。</w:t>
      </w:r>
    </w:p>
    <w:p w14:paraId="14EE379D">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612F594">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3EF4187">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336E8CAA">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A70C6A8">
      <w:pPr>
        <w:pStyle w:val="10"/>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Ansi="宋体" w:cs="宋体"/>
          <w:color w:val="auto"/>
          <w:sz w:val="24"/>
          <w:szCs w:val="24"/>
          <w:u w:val="single"/>
        </w:rPr>
      </w:pPr>
      <w:r>
        <w:rPr>
          <w:rFonts w:hint="eastAsia" w:hAnsi="宋体" w:cs="宋体"/>
          <w:color w:val="auto"/>
          <w:sz w:val="24"/>
          <w:szCs w:val="24"/>
        </w:rPr>
        <w:t>7.与本磋商有关的一切正式往来信函请寄：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357B0F63">
      <w:pPr>
        <w:pStyle w:val="10"/>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电子邮箱：</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7F03F0DB">
      <w:pPr>
        <w:pStyle w:val="9"/>
        <w:keepNext w:val="0"/>
        <w:keepLines w:val="0"/>
        <w:pageBreakBefore w:val="0"/>
        <w:widowControl w:val="0"/>
        <w:tabs>
          <w:tab w:val="left" w:pos="939"/>
        </w:tabs>
        <w:kinsoku/>
        <w:wordWrap/>
        <w:overflowPunct/>
        <w:topLinePunct w:val="0"/>
        <w:autoSpaceDE/>
        <w:autoSpaceDN/>
        <w:bidi w:val="0"/>
        <w:adjustRightInd/>
        <w:spacing w:line="360" w:lineRule="auto"/>
        <w:ind w:left="141" w:leftChars="67" w:firstLine="360" w:firstLineChars="150"/>
        <w:textAlignment w:val="auto"/>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w:t>
      </w:r>
      <w:r>
        <w:rPr>
          <w:rFonts w:hint="eastAsia" w:ascii="宋体" w:hAnsi="宋体" w:cs="宋体"/>
          <w:color w:val="auto"/>
          <w:sz w:val="24"/>
          <w:u w:val="single"/>
        </w:rPr>
        <w:t xml:space="preserve">                               </w:t>
      </w:r>
    </w:p>
    <w:p w14:paraId="4DEFE73A">
      <w:pPr>
        <w:pStyle w:val="9"/>
        <w:keepNext w:val="0"/>
        <w:keepLines w:val="0"/>
        <w:pageBreakBefore w:val="0"/>
        <w:widowControl w:val="0"/>
        <w:tabs>
          <w:tab w:val="left" w:pos="939"/>
        </w:tabs>
        <w:kinsoku/>
        <w:wordWrap/>
        <w:overflowPunct/>
        <w:topLinePunct w:val="0"/>
        <w:autoSpaceDE/>
        <w:autoSpaceDN/>
        <w:bidi w:val="0"/>
        <w:adjustRightInd/>
        <w:spacing w:line="360" w:lineRule="auto"/>
        <w:ind w:left="0" w:leftChars="0" w:firstLine="480" w:firstLineChars="200"/>
        <w:textAlignment w:val="auto"/>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112EF550">
      <w:pPr>
        <w:pStyle w:val="9"/>
        <w:keepNext w:val="0"/>
        <w:keepLines w:val="0"/>
        <w:pageBreakBefore w:val="0"/>
        <w:widowControl w:val="0"/>
        <w:tabs>
          <w:tab w:val="left" w:pos="939"/>
        </w:tabs>
        <w:kinsoku/>
        <w:wordWrap/>
        <w:overflowPunct/>
        <w:topLinePunct w:val="0"/>
        <w:autoSpaceDE/>
        <w:autoSpaceDN/>
        <w:bidi w:val="0"/>
        <w:adjustRightInd/>
        <w:spacing w:line="360" w:lineRule="auto"/>
        <w:ind w:left="141" w:leftChars="67" w:firstLine="360" w:firstLineChars="150"/>
        <w:textAlignment w:val="auto"/>
        <w:rPr>
          <w:rFonts w:ascii="宋体" w:hAnsi="宋体" w:cs="宋体"/>
          <w:color w:val="auto"/>
          <w:sz w:val="24"/>
        </w:rPr>
      </w:pPr>
      <w:r>
        <w:rPr>
          <w:rFonts w:hint="eastAsia" w:ascii="宋体" w:hAnsi="宋体" w:cs="宋体"/>
          <w:color w:val="auto"/>
          <w:sz w:val="24"/>
        </w:rPr>
        <w:t>特此承诺。</w:t>
      </w:r>
    </w:p>
    <w:p w14:paraId="18ADA81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 w:val="24"/>
          <w:highlight w:val="none"/>
          <w:lang w:val="en-US" w:eastAsia="zh-CN"/>
        </w:rPr>
      </w:pPr>
    </w:p>
    <w:p w14:paraId="475BEC2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 w:val="24"/>
          <w:highlight w:val="none"/>
          <w:lang w:val="en-US" w:eastAsia="zh-CN"/>
        </w:rPr>
      </w:pPr>
    </w:p>
    <w:p w14:paraId="0A2C469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供应商（盖单位CA公章）：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p>
    <w:p w14:paraId="3DE4461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日期：     年     月     日</w:t>
      </w:r>
    </w:p>
    <w:p w14:paraId="09A6546A">
      <w:pPr>
        <w:pStyle w:val="25"/>
        <w:rPr>
          <w:rFonts w:hint="eastAsia" w:ascii="宋体" w:hAnsi="宋体"/>
          <w:color w:val="auto"/>
          <w:sz w:val="24"/>
          <w:highlight w:val="none"/>
          <w:lang w:val="en-US" w:eastAsia="zh-CN"/>
        </w:rPr>
      </w:pPr>
    </w:p>
    <w:p w14:paraId="637D3891">
      <w:pPr>
        <w:pStyle w:val="25"/>
        <w:rPr>
          <w:rFonts w:hint="eastAsia" w:ascii="宋体" w:hAnsi="宋体"/>
          <w:b/>
          <w:bCs/>
          <w:color w:val="auto"/>
          <w:sz w:val="21"/>
          <w:szCs w:val="21"/>
          <w:highlight w:val="none"/>
          <w:lang w:val="en-US" w:eastAsia="zh-CN"/>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b/>
          <w:bCs/>
          <w:color w:val="auto"/>
          <w:sz w:val="21"/>
          <w:szCs w:val="21"/>
          <w:highlight w:val="none"/>
          <w:lang w:val="en-US" w:eastAsia="zh-CN"/>
        </w:rPr>
        <w:t>注：未按照本磋商函要求填报的磋商函将被视为非实质性响应磋商，从而导致该磋商被拒绝。</w:t>
      </w:r>
    </w:p>
    <w:p w14:paraId="122565F3">
      <w:pPr>
        <w:jc w:val="center"/>
        <w:rPr>
          <w:rFonts w:ascii="宋体" w:hAnsi="宋体" w:cs="方正小标宋简体"/>
          <w:b/>
          <w:color w:val="auto"/>
          <w:sz w:val="32"/>
          <w:szCs w:val="32"/>
        </w:rPr>
      </w:pPr>
      <w:bookmarkStart w:id="49" w:name="_Toc71365926"/>
      <w:r>
        <w:rPr>
          <w:rFonts w:hint="eastAsia" w:ascii="宋体" w:hAnsi="宋体" w:cs="方正小标宋简体"/>
          <w:b/>
          <w:color w:val="auto"/>
          <w:sz w:val="32"/>
          <w:szCs w:val="32"/>
        </w:rPr>
        <w:t>中小企业声明函（工程）</w:t>
      </w:r>
      <w:bookmarkEnd w:id="49"/>
    </w:p>
    <w:p w14:paraId="7ECF5276">
      <w:pPr>
        <w:pStyle w:val="7"/>
        <w:spacing w:line="500" w:lineRule="exact"/>
        <w:ind w:right="142" w:firstLine="658" w:firstLineChars="294"/>
        <w:rPr>
          <w:rFonts w:ascii="宋体" w:hAnsi="宋体"/>
          <w:b w:val="0"/>
          <w:bCs/>
          <w:color w:val="auto"/>
          <w:sz w:val="24"/>
        </w:rPr>
      </w:pPr>
      <w:r>
        <w:rPr>
          <w:rFonts w:ascii="宋体" w:hAnsi="宋体"/>
          <w:b w:val="0"/>
          <w:bCs/>
          <w:color w:val="auto"/>
          <w:sz w:val="24"/>
        </w:rPr>
        <w:t>本公司（联合体）郑重声明，根据《政府采购促进中小企业发展管理办法》（财库﹝2020﹞46号）的规定，本公司（联合体）参加</w:t>
      </w:r>
      <w:r>
        <w:rPr>
          <w:rFonts w:ascii="宋体" w:hAnsi="宋体"/>
          <w:b w:val="0"/>
          <w:bCs/>
          <w:color w:val="auto"/>
          <w:sz w:val="24"/>
          <w:u w:val="single"/>
        </w:rPr>
        <w:t>（单位名称）</w:t>
      </w:r>
      <w:r>
        <w:rPr>
          <w:rFonts w:ascii="宋体" w:hAnsi="宋体"/>
          <w:b w:val="0"/>
          <w:bCs/>
          <w:color w:val="auto"/>
          <w:sz w:val="24"/>
        </w:rPr>
        <w:t>的</w:t>
      </w:r>
      <w:r>
        <w:rPr>
          <w:rFonts w:ascii="宋体" w:hAnsi="宋体"/>
          <w:b w:val="0"/>
          <w:bCs/>
          <w:color w:val="auto"/>
          <w:sz w:val="24"/>
          <w:u w:val="single"/>
        </w:rPr>
        <w:t>（项目名称）</w:t>
      </w:r>
      <w:r>
        <w:rPr>
          <w:rFonts w:ascii="宋体" w:hAnsi="宋体"/>
          <w:b w:val="0"/>
          <w:bCs/>
          <w:color w:val="auto"/>
          <w:sz w:val="24"/>
        </w:rPr>
        <w:t>采购活动，</w:t>
      </w:r>
      <w:r>
        <w:rPr>
          <w:rFonts w:hint="eastAsia" w:ascii="宋体" w:hAnsi="宋体"/>
          <w:b w:val="0"/>
          <w:bCs/>
          <w:color w:val="auto"/>
          <w:sz w:val="24"/>
        </w:rPr>
        <w:t>工程的施工单位全部为符合政策要求的中小企业。相关企业（含联合体中的中小企业、签订分包意向协议的中小企业）的具体情况如下：</w:t>
      </w:r>
    </w:p>
    <w:p w14:paraId="480CF0AC">
      <w:pPr>
        <w:tabs>
          <w:tab w:val="left" w:pos="1384"/>
          <w:tab w:val="left" w:pos="4562"/>
          <w:tab w:val="left" w:pos="6803"/>
        </w:tabs>
        <w:spacing w:before="13" w:line="500" w:lineRule="exact"/>
        <w:ind w:right="142" w:firstLine="772" w:firstLineChars="322"/>
        <w:rPr>
          <w:rFonts w:ascii="宋体" w:hAnsi="宋体"/>
          <w:b w:val="0"/>
          <w:bCs/>
          <w:color w:val="auto"/>
          <w:sz w:val="24"/>
        </w:rPr>
      </w:pPr>
      <w:r>
        <w:rPr>
          <w:rFonts w:ascii="宋体" w:hAnsi="宋体"/>
          <w:b w:val="0"/>
          <w:bCs/>
          <w:color w:val="auto"/>
          <w:sz w:val="24"/>
        </w:rPr>
        <w:t>1.</w:t>
      </w:r>
      <w:r>
        <w:rPr>
          <w:rFonts w:ascii="宋体" w:hAnsi="宋体"/>
          <w:b w:val="0"/>
          <w:bCs/>
          <w:color w:val="auto"/>
          <w:sz w:val="24"/>
          <w:u w:val="single"/>
        </w:rPr>
        <w:t>（标的名称）</w:t>
      </w:r>
      <w:r>
        <w:rPr>
          <w:rFonts w:ascii="宋体" w:hAnsi="宋体"/>
          <w:b w:val="0"/>
          <w:bCs/>
          <w:color w:val="auto"/>
          <w:sz w:val="24"/>
        </w:rPr>
        <w:t>，属于</w:t>
      </w:r>
      <w:r>
        <w:rPr>
          <w:rFonts w:ascii="宋体" w:hAnsi="宋体"/>
          <w:b w:val="0"/>
          <w:bCs/>
          <w:color w:val="auto"/>
          <w:sz w:val="24"/>
          <w:u w:val="single"/>
        </w:rPr>
        <w:t>（采购文件中明确的所属</w:t>
      </w:r>
      <w:r>
        <w:rPr>
          <w:rFonts w:hint="eastAsia" w:ascii="宋体" w:hAnsi="宋体"/>
          <w:b w:val="0"/>
          <w:bCs/>
          <w:color w:val="auto"/>
          <w:sz w:val="24"/>
          <w:u w:val="single"/>
        </w:rPr>
        <w:t>行</w:t>
      </w:r>
      <w:r>
        <w:rPr>
          <w:rFonts w:ascii="宋体" w:hAnsi="宋体"/>
          <w:b w:val="0"/>
          <w:bCs/>
          <w:color w:val="auto"/>
          <w:sz w:val="24"/>
          <w:u w:val="single"/>
        </w:rPr>
        <w:t>业）</w:t>
      </w:r>
      <w:r>
        <w:rPr>
          <w:rFonts w:hint="eastAsia" w:ascii="宋体" w:hAnsi="宋体"/>
          <w:b w:val="0"/>
          <w:bCs/>
          <w:color w:val="auto"/>
          <w:sz w:val="24"/>
        </w:rPr>
        <w:t>；承建企业为</w:t>
      </w:r>
      <w:r>
        <w:rPr>
          <w:rFonts w:hint="eastAsia" w:ascii="宋体" w:hAnsi="宋体"/>
          <w:b w:val="0"/>
          <w:bCs/>
          <w:color w:val="auto"/>
          <w:sz w:val="24"/>
          <w:u w:val="single"/>
        </w:rPr>
        <w:t>（企业名称）</w:t>
      </w:r>
      <w:r>
        <w:rPr>
          <w:rFonts w:hint="eastAsia" w:ascii="宋体" w:hAnsi="宋体"/>
          <w:b w:val="0"/>
          <w:bCs/>
          <w:color w:val="auto"/>
          <w:sz w:val="24"/>
        </w:rPr>
        <w:t>，从业人员</w:t>
      </w:r>
      <w:r>
        <w:rPr>
          <w:rFonts w:hint="eastAsia" w:ascii="宋体" w:hAnsi="宋体"/>
          <w:b w:val="0"/>
          <w:bCs/>
          <w:color w:val="auto"/>
          <w:sz w:val="24"/>
          <w:u w:val="single"/>
        </w:rPr>
        <w:t xml:space="preserve"> </w:t>
      </w:r>
      <w:r>
        <w:rPr>
          <w:rFonts w:ascii="宋体" w:hAnsi="宋体"/>
          <w:b w:val="0"/>
          <w:bCs/>
          <w:color w:val="auto"/>
          <w:sz w:val="24"/>
          <w:u w:val="single"/>
        </w:rPr>
        <w:t xml:space="preserve">     </w:t>
      </w:r>
      <w:r>
        <w:rPr>
          <w:rFonts w:hint="eastAsia" w:ascii="宋体" w:hAnsi="宋体"/>
          <w:b w:val="0"/>
          <w:bCs/>
          <w:color w:val="auto"/>
          <w:sz w:val="24"/>
        </w:rPr>
        <w:t>人，营业收入为</w:t>
      </w:r>
      <w:r>
        <w:rPr>
          <w:rFonts w:hint="eastAsia" w:ascii="宋体" w:hAnsi="宋体"/>
          <w:b w:val="0"/>
          <w:bCs/>
          <w:color w:val="auto"/>
          <w:sz w:val="24"/>
          <w:u w:val="single"/>
        </w:rPr>
        <w:t xml:space="preserve"> </w:t>
      </w:r>
      <w:r>
        <w:rPr>
          <w:rFonts w:ascii="宋体" w:hAnsi="宋体"/>
          <w:b w:val="0"/>
          <w:bCs/>
          <w:color w:val="auto"/>
          <w:sz w:val="24"/>
          <w:u w:val="single"/>
        </w:rPr>
        <w:t xml:space="preserve">     </w:t>
      </w:r>
      <w:r>
        <w:rPr>
          <w:rFonts w:hint="eastAsia" w:ascii="宋体" w:hAnsi="宋体"/>
          <w:b w:val="0"/>
          <w:bCs/>
          <w:color w:val="auto"/>
          <w:sz w:val="24"/>
        </w:rPr>
        <w:t>万元，资产总额为</w:t>
      </w:r>
      <w:r>
        <w:rPr>
          <w:rFonts w:hint="eastAsia" w:ascii="宋体" w:hAnsi="宋体"/>
          <w:b w:val="0"/>
          <w:bCs/>
          <w:color w:val="auto"/>
          <w:sz w:val="24"/>
          <w:u w:val="single"/>
        </w:rPr>
        <w:t xml:space="preserve"> </w:t>
      </w:r>
      <w:r>
        <w:rPr>
          <w:rFonts w:ascii="宋体" w:hAnsi="宋体"/>
          <w:b w:val="0"/>
          <w:bCs/>
          <w:color w:val="auto"/>
          <w:sz w:val="24"/>
          <w:u w:val="single"/>
        </w:rPr>
        <w:t xml:space="preserve">     </w:t>
      </w:r>
      <w:r>
        <w:rPr>
          <w:rFonts w:hint="eastAsia" w:ascii="宋体" w:hAnsi="宋体"/>
          <w:b w:val="0"/>
          <w:bCs/>
          <w:color w:val="auto"/>
          <w:sz w:val="24"/>
        </w:rPr>
        <w:t>万元</w:t>
      </w:r>
      <w:r>
        <w:rPr>
          <w:rFonts w:ascii="宋体" w:hAnsi="宋体"/>
          <w:b w:val="0"/>
          <w:bCs/>
          <w:color w:val="auto"/>
          <w:sz w:val="24"/>
        </w:rPr>
        <w:t>，属于</w:t>
      </w:r>
      <w:r>
        <w:rPr>
          <w:rFonts w:ascii="宋体" w:hAnsi="宋体"/>
          <w:b w:val="0"/>
          <w:bCs/>
          <w:color w:val="auto"/>
          <w:sz w:val="24"/>
          <w:u w:val="single"/>
        </w:rPr>
        <w:t>（中型企业、</w:t>
      </w:r>
      <w:r>
        <w:rPr>
          <w:rFonts w:hint="eastAsia" w:ascii="宋体" w:hAnsi="宋体"/>
          <w:b w:val="0"/>
          <w:bCs/>
          <w:color w:val="auto"/>
          <w:sz w:val="24"/>
          <w:u w:val="single"/>
        </w:rPr>
        <w:t>小型企业、微型企业）</w:t>
      </w:r>
      <w:r>
        <w:rPr>
          <w:rFonts w:hint="eastAsia" w:ascii="宋体" w:hAnsi="宋体"/>
          <w:b w:val="0"/>
          <w:bCs/>
          <w:color w:val="auto"/>
          <w:sz w:val="24"/>
        </w:rPr>
        <w:t>；</w:t>
      </w:r>
    </w:p>
    <w:p w14:paraId="7C7183F8">
      <w:pPr>
        <w:tabs>
          <w:tab w:val="left" w:pos="1065"/>
          <w:tab w:val="left" w:pos="4262"/>
          <w:tab w:val="left" w:pos="6477"/>
        </w:tabs>
        <w:spacing w:before="20" w:line="500" w:lineRule="exact"/>
        <w:ind w:right="84" w:firstLine="772" w:firstLineChars="322"/>
        <w:rPr>
          <w:rFonts w:ascii="宋体" w:hAnsi="宋体"/>
          <w:b w:val="0"/>
          <w:bCs/>
          <w:color w:val="auto"/>
          <w:sz w:val="24"/>
          <w:u w:val="single"/>
        </w:rPr>
      </w:pPr>
      <w:r>
        <w:rPr>
          <w:rFonts w:ascii="宋体" w:hAnsi="宋体"/>
          <w:b w:val="0"/>
          <w:bCs/>
          <w:color w:val="auto"/>
          <w:sz w:val="24"/>
        </w:rPr>
        <w:t>2.</w:t>
      </w:r>
      <w:r>
        <w:rPr>
          <w:rFonts w:ascii="宋体" w:hAnsi="宋体"/>
          <w:b w:val="0"/>
          <w:bCs/>
          <w:color w:val="auto"/>
          <w:sz w:val="24"/>
          <w:u w:val="single"/>
        </w:rPr>
        <w:t>（标的名称）</w:t>
      </w:r>
      <w:r>
        <w:rPr>
          <w:rFonts w:ascii="宋体" w:hAnsi="宋体"/>
          <w:b w:val="0"/>
          <w:bCs/>
          <w:color w:val="auto"/>
          <w:sz w:val="24"/>
        </w:rPr>
        <w:t>，属于</w:t>
      </w:r>
      <w:r>
        <w:rPr>
          <w:rFonts w:ascii="宋体" w:hAnsi="宋体"/>
          <w:b w:val="0"/>
          <w:bCs/>
          <w:color w:val="auto"/>
          <w:sz w:val="24"/>
          <w:u w:val="single"/>
        </w:rPr>
        <w:t>（采购文件中明确的所属</w:t>
      </w:r>
      <w:r>
        <w:rPr>
          <w:rFonts w:hint="eastAsia" w:ascii="宋体" w:hAnsi="宋体"/>
          <w:b w:val="0"/>
          <w:bCs/>
          <w:color w:val="auto"/>
          <w:sz w:val="24"/>
          <w:u w:val="single"/>
        </w:rPr>
        <w:t>行业</w:t>
      </w:r>
      <w:r>
        <w:rPr>
          <w:rFonts w:ascii="宋体" w:hAnsi="宋体"/>
          <w:b w:val="0"/>
          <w:bCs/>
          <w:color w:val="auto"/>
          <w:sz w:val="24"/>
          <w:u w:val="single"/>
        </w:rPr>
        <w:t>）</w:t>
      </w:r>
      <w:r>
        <w:rPr>
          <w:rFonts w:hint="eastAsia" w:ascii="宋体" w:hAnsi="宋体"/>
          <w:b w:val="0"/>
          <w:bCs/>
          <w:color w:val="auto"/>
          <w:sz w:val="24"/>
        </w:rPr>
        <w:t>；承建企业为</w:t>
      </w:r>
      <w:r>
        <w:rPr>
          <w:rFonts w:hint="eastAsia" w:ascii="宋体" w:hAnsi="宋体"/>
          <w:b w:val="0"/>
          <w:bCs/>
          <w:color w:val="auto"/>
          <w:sz w:val="24"/>
          <w:u w:val="single"/>
        </w:rPr>
        <w:t>（企业名称）</w:t>
      </w:r>
      <w:r>
        <w:rPr>
          <w:rFonts w:hint="eastAsia" w:ascii="宋体" w:hAnsi="宋体"/>
          <w:b w:val="0"/>
          <w:bCs/>
          <w:color w:val="auto"/>
          <w:sz w:val="24"/>
        </w:rPr>
        <w:t>，从业人员</w:t>
      </w:r>
      <w:r>
        <w:rPr>
          <w:rFonts w:hint="eastAsia" w:ascii="宋体" w:hAnsi="宋体"/>
          <w:b w:val="0"/>
          <w:bCs/>
          <w:color w:val="auto"/>
          <w:sz w:val="24"/>
          <w:u w:val="single"/>
        </w:rPr>
        <w:t xml:space="preserve"> </w:t>
      </w:r>
      <w:r>
        <w:rPr>
          <w:rFonts w:ascii="宋体" w:hAnsi="宋体"/>
          <w:b w:val="0"/>
          <w:bCs/>
          <w:color w:val="auto"/>
          <w:sz w:val="24"/>
          <w:u w:val="single"/>
        </w:rPr>
        <w:t xml:space="preserve">     </w:t>
      </w:r>
      <w:r>
        <w:rPr>
          <w:rFonts w:hint="eastAsia" w:ascii="宋体" w:hAnsi="宋体"/>
          <w:b w:val="0"/>
          <w:bCs/>
          <w:color w:val="auto"/>
          <w:sz w:val="24"/>
        </w:rPr>
        <w:t>人，营业收入为</w:t>
      </w:r>
      <w:r>
        <w:rPr>
          <w:rFonts w:hint="eastAsia" w:ascii="宋体" w:hAnsi="宋体"/>
          <w:b w:val="0"/>
          <w:bCs/>
          <w:color w:val="auto"/>
          <w:sz w:val="24"/>
          <w:u w:val="single"/>
        </w:rPr>
        <w:t xml:space="preserve"> </w:t>
      </w:r>
      <w:r>
        <w:rPr>
          <w:rFonts w:ascii="宋体" w:hAnsi="宋体"/>
          <w:b w:val="0"/>
          <w:bCs/>
          <w:color w:val="auto"/>
          <w:sz w:val="24"/>
          <w:u w:val="single"/>
        </w:rPr>
        <w:t xml:space="preserve">     </w:t>
      </w:r>
      <w:r>
        <w:rPr>
          <w:rFonts w:hint="eastAsia" w:ascii="宋体" w:hAnsi="宋体"/>
          <w:b w:val="0"/>
          <w:bCs/>
          <w:color w:val="auto"/>
          <w:sz w:val="24"/>
        </w:rPr>
        <w:t>万元，资产总额为</w:t>
      </w:r>
      <w:r>
        <w:rPr>
          <w:rFonts w:hint="eastAsia" w:ascii="宋体" w:hAnsi="宋体"/>
          <w:b w:val="0"/>
          <w:bCs/>
          <w:color w:val="auto"/>
          <w:sz w:val="24"/>
          <w:u w:val="single"/>
        </w:rPr>
        <w:t xml:space="preserve"> </w:t>
      </w:r>
      <w:r>
        <w:rPr>
          <w:rFonts w:ascii="宋体" w:hAnsi="宋体"/>
          <w:b w:val="0"/>
          <w:bCs/>
          <w:color w:val="auto"/>
          <w:sz w:val="24"/>
          <w:u w:val="single"/>
        </w:rPr>
        <w:t xml:space="preserve">     </w:t>
      </w:r>
      <w:r>
        <w:rPr>
          <w:rFonts w:hint="eastAsia" w:ascii="宋体" w:hAnsi="宋体"/>
          <w:b w:val="0"/>
          <w:bCs/>
          <w:color w:val="auto"/>
          <w:sz w:val="24"/>
        </w:rPr>
        <w:t>万元</w:t>
      </w:r>
      <w:r>
        <w:rPr>
          <w:rFonts w:ascii="宋体" w:hAnsi="宋体"/>
          <w:b w:val="0"/>
          <w:bCs/>
          <w:color w:val="auto"/>
          <w:sz w:val="24"/>
        </w:rPr>
        <w:t>，属于</w:t>
      </w:r>
      <w:r>
        <w:rPr>
          <w:rFonts w:ascii="宋体" w:hAnsi="宋体"/>
          <w:b w:val="0"/>
          <w:bCs/>
          <w:color w:val="auto"/>
          <w:sz w:val="24"/>
          <w:u w:val="single"/>
        </w:rPr>
        <w:t>（中型企业、</w:t>
      </w:r>
      <w:r>
        <w:rPr>
          <w:rFonts w:hint="eastAsia" w:ascii="宋体" w:hAnsi="宋体"/>
          <w:b w:val="0"/>
          <w:bCs/>
          <w:color w:val="auto"/>
          <w:sz w:val="24"/>
          <w:u w:val="single"/>
        </w:rPr>
        <w:t>小型企业、微型企业）</w:t>
      </w:r>
      <w:r>
        <w:rPr>
          <w:rFonts w:hint="eastAsia" w:ascii="宋体" w:hAnsi="宋体"/>
          <w:b w:val="0"/>
          <w:bCs/>
          <w:color w:val="auto"/>
          <w:sz w:val="24"/>
        </w:rPr>
        <w:t>；</w:t>
      </w:r>
    </w:p>
    <w:p w14:paraId="60F2F300">
      <w:pPr>
        <w:pStyle w:val="7"/>
        <w:spacing w:before="34" w:line="500" w:lineRule="exact"/>
        <w:ind w:right="142" w:firstLine="658" w:firstLineChars="294"/>
        <w:rPr>
          <w:rFonts w:ascii="宋体" w:hAnsi="宋体"/>
          <w:b w:val="0"/>
          <w:bCs/>
          <w:color w:val="auto"/>
          <w:sz w:val="24"/>
        </w:rPr>
      </w:pPr>
      <w:r>
        <w:rPr>
          <w:rFonts w:ascii="宋体" w:hAnsi="宋体"/>
          <w:b w:val="0"/>
          <w:bCs/>
          <w:color w:val="auto"/>
          <w:sz w:val="24"/>
        </w:rPr>
        <w:t xml:space="preserve">…… </w:t>
      </w:r>
    </w:p>
    <w:p w14:paraId="3E49C9E0">
      <w:pPr>
        <w:pStyle w:val="7"/>
        <w:spacing w:before="34" w:line="500" w:lineRule="exact"/>
        <w:ind w:right="142" w:firstLine="658" w:firstLineChars="294"/>
        <w:rPr>
          <w:rFonts w:ascii="宋体" w:hAnsi="宋体"/>
          <w:b w:val="0"/>
          <w:bCs/>
          <w:color w:val="auto"/>
          <w:sz w:val="24"/>
        </w:rPr>
      </w:pPr>
      <w:r>
        <w:rPr>
          <w:rFonts w:ascii="宋体" w:hAnsi="宋体"/>
          <w:b w:val="0"/>
          <w:bCs/>
          <w:color w:val="auto"/>
          <w:sz w:val="24"/>
        </w:rPr>
        <w:t>以上企业，不属于大企业的分支机构，不存在控股股东为大企业的情形，也不存在与大企业的负责人为同一人的情形。</w:t>
      </w:r>
    </w:p>
    <w:p w14:paraId="7993BDA0">
      <w:pPr>
        <w:pStyle w:val="7"/>
        <w:spacing w:before="25" w:line="500" w:lineRule="exact"/>
        <w:ind w:right="142" w:firstLine="658" w:firstLineChars="294"/>
        <w:rPr>
          <w:rFonts w:ascii="宋体" w:hAnsi="宋体"/>
          <w:b w:val="0"/>
          <w:bCs/>
          <w:color w:val="auto"/>
          <w:sz w:val="24"/>
        </w:rPr>
      </w:pPr>
      <w:r>
        <w:rPr>
          <w:rFonts w:ascii="宋体" w:hAnsi="宋体"/>
          <w:b w:val="0"/>
          <w:bCs/>
          <w:color w:val="auto"/>
          <w:sz w:val="24"/>
        </w:rPr>
        <w:t>本企业对上述声明内容的真实性负责。如有虚假，将依法承担相应责任。</w:t>
      </w:r>
    </w:p>
    <w:p w14:paraId="6CFBBD6F">
      <w:pPr>
        <w:pStyle w:val="7"/>
        <w:spacing w:before="56" w:line="500" w:lineRule="exact"/>
        <w:ind w:right="650" w:firstLine="448" w:firstLineChars="200"/>
        <w:rPr>
          <w:rFonts w:hint="eastAsia" w:ascii="宋体" w:hAnsi="宋体"/>
          <w:b w:val="0"/>
          <w:bCs/>
          <w:color w:val="auto"/>
          <w:sz w:val="24"/>
        </w:rPr>
      </w:pPr>
    </w:p>
    <w:p w14:paraId="4FBDF533">
      <w:pPr>
        <w:pStyle w:val="7"/>
        <w:spacing w:before="56" w:line="500" w:lineRule="exact"/>
        <w:ind w:right="650" w:firstLine="5376" w:firstLineChars="2400"/>
        <w:rPr>
          <w:rFonts w:ascii="宋体" w:hAnsi="宋体"/>
          <w:b w:val="0"/>
          <w:bCs/>
          <w:color w:val="auto"/>
          <w:sz w:val="24"/>
        </w:rPr>
      </w:pPr>
      <w:r>
        <w:rPr>
          <w:rFonts w:hint="eastAsia" w:ascii="宋体" w:hAnsi="宋体"/>
          <w:b w:val="0"/>
          <w:bCs/>
          <w:color w:val="auto"/>
          <w:sz w:val="24"/>
        </w:rPr>
        <w:t>企业名称（盖章）：</w:t>
      </w:r>
      <w:r>
        <w:rPr>
          <w:rFonts w:ascii="宋体" w:hAnsi="宋体"/>
          <w:b w:val="0"/>
          <w:bCs/>
          <w:color w:val="auto"/>
          <w:sz w:val="24"/>
        </w:rPr>
        <w:t xml:space="preserve"> </w:t>
      </w:r>
    </w:p>
    <w:p w14:paraId="58769548">
      <w:pPr>
        <w:pStyle w:val="7"/>
        <w:spacing w:before="56" w:line="500" w:lineRule="exact"/>
        <w:ind w:right="1808" w:firstLine="5376" w:firstLineChars="2400"/>
        <w:rPr>
          <w:rFonts w:ascii="宋体" w:hAnsi="宋体"/>
          <w:b w:val="0"/>
          <w:bCs/>
          <w:color w:val="auto"/>
          <w:sz w:val="24"/>
        </w:rPr>
      </w:pPr>
      <w:r>
        <w:rPr>
          <w:rFonts w:ascii="宋体" w:hAnsi="宋体"/>
          <w:b w:val="0"/>
          <w:bCs/>
          <w:color w:val="auto"/>
          <w:sz w:val="24"/>
        </w:rPr>
        <w:t>日</w:t>
      </w:r>
      <w:r>
        <w:rPr>
          <w:rFonts w:hint="eastAsia" w:ascii="宋体" w:hAnsi="宋体"/>
          <w:b w:val="0"/>
          <w:bCs/>
          <w:color w:val="auto"/>
          <w:sz w:val="24"/>
          <w:lang w:val="en-US" w:eastAsia="zh-CN"/>
        </w:rPr>
        <w:t xml:space="preserve">            </w:t>
      </w:r>
      <w:r>
        <w:rPr>
          <w:rFonts w:ascii="宋体" w:hAnsi="宋体"/>
          <w:b w:val="0"/>
          <w:bCs/>
          <w:color w:val="auto"/>
          <w:sz w:val="24"/>
        </w:rPr>
        <w:t xml:space="preserve"> 期：</w:t>
      </w:r>
    </w:p>
    <w:p w14:paraId="131485D8">
      <w:pPr>
        <w:spacing w:line="520" w:lineRule="exact"/>
        <w:ind w:firstLine="420" w:firstLineChars="200"/>
        <w:jc w:val="left"/>
        <w:rPr>
          <w:rFonts w:ascii="宋体" w:hAnsi="宋体" w:cs="仿宋_GB2312"/>
          <w:color w:val="FF0000"/>
          <w:szCs w:val="21"/>
        </w:rPr>
      </w:pPr>
      <w:r>
        <w:rPr>
          <w:rFonts w:hint="eastAsia" w:ascii="宋体" w:hAnsi="宋体" w:cs="仿宋_GB2312"/>
          <w:b w:val="0"/>
          <w:bCs/>
          <w:color w:val="auto"/>
          <w:szCs w:val="21"/>
        </w:rPr>
        <w:t>注：1.对于联合体中由中小企业承担的部分，或者分包给中小企业的部分，供应商应当在声明函</w:t>
      </w:r>
      <w:r>
        <w:rPr>
          <w:rFonts w:hint="eastAsia" w:ascii="宋体" w:hAnsi="宋体" w:cs="仿宋_GB2312"/>
          <w:color w:val="auto"/>
          <w:szCs w:val="21"/>
        </w:rPr>
        <w:t>“项目名称”部分标明联合体中中小企业承担的具体内容或者中小企业的具体分包内容。</w:t>
      </w:r>
    </w:p>
    <w:p w14:paraId="7E4C31FF">
      <w:pPr>
        <w:spacing w:line="520" w:lineRule="exact"/>
        <w:ind w:firstLine="420" w:firstLineChars="200"/>
        <w:jc w:val="left"/>
        <w:rPr>
          <w:rFonts w:ascii="宋体" w:hAnsi="宋体" w:cs="仿宋_GB2312"/>
          <w:color w:val="auto"/>
          <w:szCs w:val="21"/>
        </w:rPr>
      </w:pPr>
      <w:r>
        <w:rPr>
          <w:rFonts w:hint="eastAsia" w:ascii="宋体" w:hAnsi="宋体" w:cs="仿宋_GB2312"/>
          <w:color w:val="auto"/>
          <w:szCs w:val="21"/>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D2EB5BD">
      <w:pPr>
        <w:pStyle w:val="10"/>
        <w:ind w:firstLine="241" w:firstLineChars="100"/>
        <w:rPr>
          <w:rFonts w:hint="eastAsia" w:hAnsi="宋体"/>
          <w:b/>
          <w:bCs/>
          <w:sz w:val="24"/>
          <w:szCs w:val="24"/>
        </w:rPr>
      </w:pPr>
    </w:p>
    <w:p w14:paraId="329026BA">
      <w:pPr>
        <w:pStyle w:val="10"/>
        <w:ind w:firstLine="241" w:firstLineChars="100"/>
        <w:rPr>
          <w:rFonts w:hint="eastAsia" w:hAnsi="宋体"/>
          <w:b/>
          <w:bCs/>
          <w:sz w:val="24"/>
          <w:szCs w:val="24"/>
        </w:rPr>
      </w:pPr>
    </w:p>
    <w:p w14:paraId="0E09BA95">
      <w:pPr>
        <w:pStyle w:val="10"/>
        <w:ind w:firstLine="241" w:firstLineChars="100"/>
        <w:rPr>
          <w:rFonts w:hint="eastAsia" w:hAnsi="宋体"/>
          <w:b/>
          <w:bCs/>
          <w:sz w:val="24"/>
          <w:szCs w:val="24"/>
        </w:rPr>
      </w:pPr>
    </w:p>
    <w:p w14:paraId="72DF1963">
      <w:pPr>
        <w:pStyle w:val="10"/>
        <w:ind w:firstLine="241" w:firstLineChars="100"/>
        <w:rPr>
          <w:rFonts w:hint="eastAsia" w:hAnsi="宋体"/>
          <w:b/>
          <w:bCs/>
          <w:sz w:val="24"/>
          <w:szCs w:val="24"/>
        </w:rPr>
      </w:pPr>
      <w:r>
        <w:rPr>
          <w:rFonts w:hint="eastAsia" w:hAnsi="宋体"/>
          <w:b/>
          <w:bCs/>
          <w:sz w:val="24"/>
          <w:szCs w:val="24"/>
        </w:rPr>
        <w:t>备注：《中小企业声明函》随成交结果将同时公告接受社会监督，供应商应如实申明。</w:t>
      </w:r>
    </w:p>
    <w:p w14:paraId="62B98B1E">
      <w:pPr>
        <w:numPr>
          <w:ilvl w:val="0"/>
          <w:numId w:val="0"/>
        </w:numPr>
        <w:tabs>
          <w:tab w:val="left" w:pos="1305"/>
        </w:tabs>
        <w:spacing w:line="400" w:lineRule="atLeast"/>
        <w:ind w:firstLine="420" w:firstLineChars="200"/>
        <w:rPr>
          <w:rFonts w:hint="eastAsia" w:ascii="宋体" w:hAnsi="宋体" w:cs="宋体"/>
          <w:szCs w:val="21"/>
          <w:lang w:val="en-US" w:eastAsia="zh-CN"/>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31C8148">
      <w:pPr>
        <w:spacing w:line="588" w:lineRule="exact"/>
        <w:jc w:val="center"/>
        <w:rPr>
          <w:rFonts w:ascii="宋体" w:hAnsi="宋体"/>
          <w:b/>
          <w:spacing w:val="6"/>
          <w:sz w:val="28"/>
          <w:szCs w:val="28"/>
        </w:rPr>
      </w:pPr>
      <w:r>
        <w:rPr>
          <w:rFonts w:hint="eastAsia" w:ascii="宋体" w:hAnsi="宋体"/>
          <w:b/>
          <w:spacing w:val="6"/>
          <w:sz w:val="28"/>
          <w:szCs w:val="28"/>
        </w:rPr>
        <w:t>残疾人福利性单位声明函（格式）</w:t>
      </w:r>
    </w:p>
    <w:p w14:paraId="2E2AB19F">
      <w:pPr>
        <w:spacing w:line="588" w:lineRule="exact"/>
        <w:rPr>
          <w:rFonts w:ascii="宋体" w:hAnsi="宋体"/>
          <w:b/>
          <w:spacing w:val="6"/>
          <w:sz w:val="30"/>
          <w:szCs w:val="30"/>
        </w:rPr>
      </w:pPr>
    </w:p>
    <w:p w14:paraId="53BA993A">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2F5C1D">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082805F">
      <w:pPr>
        <w:spacing w:line="588" w:lineRule="exact"/>
        <w:ind w:firstLine="504" w:firstLineChars="200"/>
        <w:rPr>
          <w:rFonts w:ascii="宋体" w:hAnsi="宋体"/>
          <w:spacing w:val="6"/>
          <w:sz w:val="24"/>
        </w:rPr>
      </w:pPr>
    </w:p>
    <w:p w14:paraId="7A68B17D">
      <w:pPr>
        <w:spacing w:line="588" w:lineRule="exact"/>
        <w:ind w:firstLine="504" w:firstLineChars="200"/>
        <w:rPr>
          <w:rFonts w:ascii="宋体" w:hAnsi="宋体"/>
          <w:spacing w:val="6"/>
          <w:sz w:val="24"/>
        </w:rPr>
      </w:pPr>
    </w:p>
    <w:p w14:paraId="32FB3479">
      <w:pPr>
        <w:tabs>
          <w:tab w:val="left" w:pos="4860"/>
        </w:tabs>
        <w:spacing w:line="588" w:lineRule="exact"/>
        <w:ind w:right="1560" w:firstLine="504" w:firstLineChars="200"/>
        <w:jc w:val="left"/>
        <w:rPr>
          <w:rFonts w:ascii="宋体" w:hAnsi="宋体"/>
          <w:spacing w:val="6"/>
          <w:sz w:val="24"/>
          <w:szCs w:val="24"/>
        </w:rPr>
      </w:pPr>
      <w:r>
        <w:rPr>
          <w:rFonts w:hint="eastAsia" w:ascii="宋体" w:hAnsi="宋体"/>
          <w:spacing w:val="6"/>
          <w:sz w:val="24"/>
          <w:szCs w:val="24"/>
        </w:rPr>
        <w:t>单位名称（</w:t>
      </w:r>
      <w:r>
        <w:rPr>
          <w:rFonts w:hint="eastAsia" w:hAnsi="宋体"/>
          <w:sz w:val="24"/>
          <w:szCs w:val="24"/>
        </w:rPr>
        <w:t>加盖电子公章</w:t>
      </w:r>
      <w:r>
        <w:rPr>
          <w:rFonts w:hint="eastAsia" w:ascii="宋体" w:hAnsi="宋体"/>
          <w:spacing w:val="6"/>
          <w:sz w:val="24"/>
          <w:szCs w:val="24"/>
        </w:rPr>
        <w:t>）：</w:t>
      </w:r>
      <w:r>
        <w:rPr>
          <w:rFonts w:hint="eastAsia" w:ascii="宋体" w:hAnsi="宋体"/>
          <w:spacing w:val="6"/>
          <w:sz w:val="24"/>
          <w:szCs w:val="24"/>
          <w:u w:val="single"/>
        </w:rPr>
        <w:t xml:space="preserve">            </w:t>
      </w:r>
    </w:p>
    <w:p w14:paraId="71DA5282">
      <w:pPr>
        <w:tabs>
          <w:tab w:val="left" w:pos="4860"/>
        </w:tabs>
        <w:spacing w:line="588" w:lineRule="exact"/>
        <w:ind w:right="1560" w:firstLine="504" w:firstLineChars="200"/>
        <w:jc w:val="left"/>
        <w:rPr>
          <w:rFonts w:hint="eastAsia" w:ascii="宋体" w:hAnsi="宋体"/>
          <w:spacing w:val="6"/>
          <w:sz w:val="24"/>
          <w:szCs w:val="24"/>
          <w:u w:val="single"/>
        </w:rPr>
      </w:pPr>
      <w:r>
        <w:rPr>
          <w:rFonts w:hint="eastAsia" w:ascii="宋体" w:hAnsi="宋体"/>
          <w:spacing w:val="6"/>
          <w:sz w:val="24"/>
          <w:szCs w:val="24"/>
        </w:rPr>
        <w:t>日  期：</w:t>
      </w:r>
      <w:r>
        <w:rPr>
          <w:rFonts w:hint="eastAsia" w:ascii="宋体" w:hAnsi="宋体"/>
          <w:spacing w:val="6"/>
          <w:sz w:val="24"/>
          <w:szCs w:val="24"/>
          <w:u w:val="single"/>
        </w:rPr>
        <w:t xml:space="preserve">                      </w:t>
      </w:r>
    </w:p>
    <w:p w14:paraId="77CD359B">
      <w:pPr>
        <w:spacing w:line="360" w:lineRule="auto"/>
        <w:ind w:firstLine="420" w:firstLineChars="200"/>
        <w:contextualSpacing/>
        <w:rPr>
          <w:rFonts w:hint="eastAsia" w:ascii="宋体" w:hAnsi="宋体" w:cs="仿宋_GB2312"/>
          <w:color w:val="auto"/>
          <w:szCs w:val="21"/>
        </w:rPr>
      </w:pPr>
    </w:p>
    <w:p w14:paraId="384B1DA3">
      <w:pPr>
        <w:spacing w:line="360" w:lineRule="auto"/>
        <w:ind w:firstLine="420" w:firstLineChars="200"/>
        <w:contextualSpacing/>
        <w:rPr>
          <w:rFonts w:hint="eastAsia" w:ascii="宋体" w:hAnsi="宋体" w:cs="仿宋_GB2312"/>
          <w:color w:val="auto"/>
          <w:szCs w:val="21"/>
        </w:rPr>
      </w:pPr>
    </w:p>
    <w:p w14:paraId="10EC5967">
      <w:pPr>
        <w:spacing w:line="360" w:lineRule="auto"/>
        <w:ind w:firstLine="482" w:firstLineChars="200"/>
        <w:contextualSpacing/>
        <w:rPr>
          <w:rFonts w:hint="eastAsia" w:ascii="宋体" w:hAnsi="宋体" w:cs="仿宋_GB2312"/>
          <w:b/>
          <w:bCs/>
          <w:color w:val="auto"/>
          <w:sz w:val="24"/>
          <w:szCs w:val="24"/>
        </w:rPr>
      </w:pPr>
      <w:r>
        <w:rPr>
          <w:rFonts w:hint="eastAsia" w:ascii="宋体" w:hAnsi="宋体" w:cs="仿宋_GB2312"/>
          <w:b/>
          <w:bCs/>
          <w:color w:val="auto"/>
          <w:sz w:val="24"/>
          <w:szCs w:val="24"/>
        </w:rPr>
        <w:t>备注：《残疾人福利性单位声明函》随成交结果将同时公告接受社会监督，供应商应如实申明。</w:t>
      </w:r>
    </w:p>
    <w:p w14:paraId="3387B249">
      <w:pPr>
        <w:spacing w:line="360" w:lineRule="auto"/>
        <w:ind w:firstLine="482" w:firstLineChars="200"/>
        <w:contextualSpacing/>
        <w:rPr>
          <w:rFonts w:hint="eastAsia" w:ascii="宋体" w:hAnsi="宋体" w:cs="仿宋_GB2312"/>
          <w:b/>
          <w:bCs/>
          <w:color w:val="auto"/>
          <w:sz w:val="24"/>
          <w:szCs w:val="24"/>
          <w:lang w:val="en-US" w:eastAsia="zh-CN"/>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8EB65E9">
      <w:pPr>
        <w:spacing w:line="360" w:lineRule="auto"/>
        <w:ind w:firstLine="643" w:firstLineChars="200"/>
        <w:contextualSpacing/>
        <w:jc w:val="both"/>
        <w:rPr>
          <w:rFonts w:ascii="宋体" w:hAns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商务技术文件格式</w:t>
      </w:r>
    </w:p>
    <w:p w14:paraId="1B1DEA24">
      <w:pPr>
        <w:snapToGrid w:val="0"/>
        <w:spacing w:before="156" w:beforeLines="50" w:after="50" w:line="360" w:lineRule="auto"/>
        <w:ind w:firstLine="643" w:firstLineChars="200"/>
        <w:jc w:val="left"/>
        <w:rPr>
          <w:rFonts w:ascii="宋体" w:hAnsi="宋体"/>
          <w:b/>
          <w:color w:val="auto"/>
          <w:sz w:val="32"/>
          <w:szCs w:val="32"/>
        </w:rPr>
      </w:pPr>
      <w:r>
        <w:rPr>
          <w:rFonts w:hint="eastAsia" w:ascii="宋体" w:hAnsi="宋体"/>
          <w:b/>
          <w:color w:val="auto"/>
          <w:sz w:val="32"/>
          <w:szCs w:val="32"/>
        </w:rPr>
        <w:t>1</w:t>
      </w:r>
      <w:r>
        <w:rPr>
          <w:rFonts w:hint="eastAsia" w:ascii="宋体" w:hAnsi="宋体"/>
          <w:b/>
          <w:color w:val="auto"/>
          <w:sz w:val="32"/>
          <w:szCs w:val="32"/>
          <w:lang w:val="en-US" w:eastAsia="zh-CN"/>
        </w:rPr>
        <w:t xml:space="preserve">. </w:t>
      </w:r>
      <w:r>
        <w:rPr>
          <w:rFonts w:hint="eastAsia" w:ascii="宋体" w:hAnsi="宋体"/>
          <w:b/>
          <w:color w:val="auto"/>
          <w:sz w:val="32"/>
          <w:szCs w:val="32"/>
        </w:rPr>
        <w:t>商务技术文件封面格式</w:t>
      </w:r>
    </w:p>
    <w:p w14:paraId="195E34DB">
      <w:pPr>
        <w:snapToGrid w:val="0"/>
        <w:spacing w:before="156" w:beforeLines="50" w:after="50"/>
        <w:rPr>
          <w:rFonts w:ascii="宋体" w:hAnsi="宋体"/>
          <w:bCs/>
          <w:color w:val="auto"/>
          <w:sz w:val="32"/>
          <w:szCs w:val="20"/>
        </w:rPr>
      </w:pPr>
      <w:r>
        <w:rPr>
          <w:rFonts w:hint="eastAsia" w:ascii="宋体" w:hAnsi="宋体"/>
          <w:color w:val="auto"/>
          <w:sz w:val="24"/>
        </w:rPr>
        <w:t xml:space="preserve">                                                    </w:t>
      </w:r>
    </w:p>
    <w:p w14:paraId="2F8978F7">
      <w:pPr>
        <w:snapToGrid w:val="0"/>
        <w:spacing w:before="156" w:beforeLines="50" w:after="50"/>
        <w:jc w:val="center"/>
        <w:rPr>
          <w:rFonts w:ascii="宋体" w:hAnsi="宋体"/>
          <w:color w:val="auto"/>
          <w:sz w:val="24"/>
          <w:szCs w:val="20"/>
        </w:rPr>
      </w:pPr>
      <w:r>
        <w:rPr>
          <w:rFonts w:hint="eastAsia" w:ascii="宋体" w:hAnsi="宋体"/>
          <w:color w:val="auto"/>
          <w:sz w:val="44"/>
          <w:szCs w:val="44"/>
        </w:rPr>
        <w:t>电 子 响 应 文 件</w:t>
      </w:r>
    </w:p>
    <w:p w14:paraId="01AAB23A">
      <w:pPr>
        <w:snapToGrid w:val="0"/>
        <w:spacing w:before="156" w:beforeLines="50" w:after="50"/>
        <w:rPr>
          <w:rFonts w:ascii="宋体" w:hAnsi="宋体"/>
          <w:color w:val="auto"/>
          <w:sz w:val="24"/>
          <w:szCs w:val="20"/>
        </w:rPr>
      </w:pPr>
    </w:p>
    <w:p w14:paraId="45C039F5">
      <w:pPr>
        <w:snapToGrid w:val="0"/>
        <w:spacing w:before="156" w:beforeLines="50" w:after="50"/>
        <w:rPr>
          <w:rFonts w:ascii="宋体" w:hAnsi="宋体"/>
          <w:color w:val="auto"/>
          <w:sz w:val="24"/>
          <w:szCs w:val="20"/>
        </w:rPr>
      </w:pPr>
    </w:p>
    <w:p w14:paraId="3AEFFB7B">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14:paraId="3A6DE222">
      <w:pPr>
        <w:snapToGrid w:val="0"/>
        <w:spacing w:before="156" w:beforeLines="50" w:after="50"/>
        <w:rPr>
          <w:rFonts w:ascii="宋体" w:hAnsi="宋体"/>
          <w:bCs/>
          <w:color w:val="auto"/>
          <w:sz w:val="24"/>
          <w:szCs w:val="20"/>
        </w:rPr>
      </w:pPr>
    </w:p>
    <w:p w14:paraId="7E84EA69">
      <w:pPr>
        <w:snapToGrid w:val="0"/>
        <w:spacing w:before="156" w:beforeLines="50" w:after="50"/>
        <w:rPr>
          <w:rFonts w:ascii="宋体" w:hAnsi="宋体"/>
          <w:bCs/>
          <w:color w:val="auto"/>
          <w:sz w:val="24"/>
          <w:szCs w:val="20"/>
        </w:rPr>
      </w:pPr>
    </w:p>
    <w:p w14:paraId="0F986C3C">
      <w:pPr>
        <w:snapToGrid w:val="0"/>
        <w:spacing w:before="156" w:beforeLines="50" w:after="50"/>
        <w:rPr>
          <w:rFonts w:ascii="宋体" w:hAnsi="宋体"/>
          <w:bCs/>
          <w:color w:val="auto"/>
          <w:sz w:val="24"/>
          <w:szCs w:val="20"/>
        </w:rPr>
      </w:pPr>
    </w:p>
    <w:p w14:paraId="50368893">
      <w:pPr>
        <w:snapToGrid w:val="0"/>
        <w:spacing w:before="156" w:beforeLines="50" w:after="50"/>
        <w:rPr>
          <w:rFonts w:ascii="宋体" w:hAnsi="宋体"/>
          <w:bCs/>
          <w:color w:val="auto"/>
          <w:sz w:val="24"/>
          <w:szCs w:val="20"/>
        </w:rPr>
      </w:pPr>
    </w:p>
    <w:p w14:paraId="2A3D8AA1">
      <w:pPr>
        <w:snapToGrid w:val="0"/>
        <w:spacing w:before="156" w:beforeLines="50" w:after="50"/>
        <w:rPr>
          <w:rFonts w:ascii="宋体" w:hAnsi="宋体"/>
          <w:bCs/>
          <w:color w:val="auto"/>
          <w:sz w:val="24"/>
          <w:szCs w:val="20"/>
        </w:rPr>
      </w:pPr>
    </w:p>
    <w:p w14:paraId="415C8A3D">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430C00A6">
      <w:pPr>
        <w:snapToGrid w:val="0"/>
        <w:spacing w:before="156" w:beforeLines="50" w:after="50"/>
        <w:ind w:firstLine="720" w:firstLineChars="225"/>
        <w:rPr>
          <w:rFonts w:ascii="宋体" w:hAnsi="宋体" w:cs="仿宋_GB2312"/>
          <w:bCs/>
          <w:color w:val="auto"/>
          <w:sz w:val="32"/>
          <w:szCs w:val="32"/>
        </w:rPr>
      </w:pPr>
    </w:p>
    <w:p w14:paraId="26525BEF">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1264CA8A">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40BE893B">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5CF2CBF">
      <w:pPr>
        <w:snapToGrid w:val="0"/>
        <w:spacing w:before="156" w:beforeLines="50" w:after="50"/>
        <w:ind w:firstLine="720" w:firstLineChars="225"/>
        <w:rPr>
          <w:rFonts w:ascii="宋体" w:hAnsi="宋体" w:cs="仿宋_GB2312"/>
          <w:bCs/>
          <w:color w:val="auto"/>
          <w:sz w:val="32"/>
          <w:szCs w:val="32"/>
        </w:rPr>
      </w:pPr>
    </w:p>
    <w:p w14:paraId="4E5BD039">
      <w:pPr>
        <w:pStyle w:val="5"/>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14D54086">
      <w:pPr>
        <w:pStyle w:val="5"/>
        <w:snapToGrid w:val="0"/>
        <w:spacing w:before="50" w:after="50"/>
        <w:ind w:firstLine="640" w:firstLineChars="200"/>
        <w:rPr>
          <w:rFonts w:ascii="宋体" w:hAnsi="宋体" w:cs="仿宋_GB2312"/>
          <w:bCs/>
          <w:color w:val="auto"/>
          <w:sz w:val="32"/>
          <w:szCs w:val="32"/>
        </w:rPr>
      </w:pPr>
    </w:p>
    <w:p w14:paraId="21A0D264">
      <w:pPr>
        <w:pStyle w:val="5"/>
        <w:snapToGrid w:val="0"/>
        <w:spacing w:before="50" w:after="50"/>
        <w:ind w:firstLine="720" w:firstLineChars="225"/>
        <w:rPr>
          <w:rFonts w:ascii="宋体" w:hAnsi="宋体" w:cs="仿宋_GB2312"/>
          <w:bCs/>
          <w:color w:val="auto"/>
          <w:sz w:val="32"/>
          <w:szCs w:val="32"/>
        </w:rPr>
      </w:pPr>
    </w:p>
    <w:p w14:paraId="710457ED">
      <w:pPr>
        <w:pStyle w:val="5"/>
        <w:snapToGrid w:val="0"/>
        <w:spacing w:before="50" w:after="50"/>
        <w:ind w:firstLine="0"/>
        <w:rPr>
          <w:rFonts w:ascii="宋体" w:hAnsi="宋体" w:cs="仿宋_GB2312"/>
          <w:bCs/>
          <w:color w:val="auto"/>
          <w:sz w:val="32"/>
          <w:szCs w:val="32"/>
        </w:rPr>
      </w:pPr>
    </w:p>
    <w:p w14:paraId="1024D8D5">
      <w:pPr>
        <w:pStyle w:val="5"/>
        <w:snapToGrid w:val="0"/>
        <w:spacing w:before="50" w:after="50"/>
        <w:ind w:firstLine="1280" w:firstLineChars="400"/>
        <w:rPr>
          <w:rFonts w:ascii="宋体" w:hAnsi="宋体" w:cs="仿宋_GB2312"/>
          <w:bCs/>
          <w:color w:val="auto"/>
          <w:sz w:val="32"/>
          <w:szCs w:val="32"/>
        </w:rPr>
      </w:pPr>
    </w:p>
    <w:p w14:paraId="4D9E299D">
      <w:pPr>
        <w:snapToGrid w:val="0"/>
        <w:spacing w:before="156"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2A053DBC">
      <w:pPr>
        <w:snapToGrid w:val="0"/>
        <w:spacing w:before="156" w:beforeLines="50" w:after="50" w:line="360" w:lineRule="auto"/>
        <w:ind w:right="480" w:firstLine="240" w:firstLineChars="100"/>
        <w:jc w:val="left"/>
        <w:rPr>
          <w:rFonts w:ascii="宋体" w:hAnsi="宋体"/>
          <w:b/>
          <w:bCs/>
          <w:color w:val="auto"/>
          <w:sz w:val="24"/>
        </w:rPr>
      </w:pPr>
      <w:r>
        <w:rPr>
          <w:rFonts w:ascii="宋体" w:hAnsi="宋体"/>
          <w:color w:val="auto"/>
          <w:sz w:val="24"/>
        </w:rPr>
        <w:br w:type="page"/>
      </w:r>
      <w:r>
        <w:rPr>
          <w:rFonts w:hint="eastAsia" w:ascii="宋体" w:hAnsi="宋体"/>
          <w:color w:val="auto"/>
          <w:sz w:val="24"/>
          <w:lang w:val="en-US" w:eastAsia="zh-CN"/>
        </w:rPr>
        <w:t xml:space="preserve">  </w:t>
      </w:r>
      <w:r>
        <w:rPr>
          <w:rFonts w:hint="eastAsia" w:ascii="宋体" w:hAnsi="宋体"/>
          <w:b/>
          <w:bCs/>
          <w:color w:val="auto"/>
          <w:sz w:val="32"/>
          <w:szCs w:val="32"/>
        </w:rPr>
        <w:t>2.</w:t>
      </w:r>
      <w:r>
        <w:rPr>
          <w:rFonts w:hint="eastAsia" w:ascii="宋体" w:hAnsi="宋体"/>
          <w:b/>
          <w:bCs/>
          <w:color w:val="auto"/>
          <w:sz w:val="32"/>
          <w:szCs w:val="32"/>
          <w:lang w:val="en-US" w:eastAsia="zh-CN"/>
        </w:rPr>
        <w:t xml:space="preserve"> </w:t>
      </w:r>
      <w:r>
        <w:rPr>
          <w:rFonts w:hint="eastAsia" w:ascii="宋体" w:hAnsi="宋体"/>
          <w:b/>
          <w:bCs/>
          <w:color w:val="auto"/>
          <w:sz w:val="32"/>
          <w:szCs w:val="32"/>
        </w:rPr>
        <w:t>商务技术文件目录</w:t>
      </w:r>
    </w:p>
    <w:p w14:paraId="63C9B2DF">
      <w:pPr>
        <w:snapToGrid w:val="0"/>
        <w:spacing w:before="156" w:beforeLines="50" w:after="50" w:line="360" w:lineRule="auto"/>
        <w:ind w:firstLine="640" w:firstLineChars="200"/>
        <w:rPr>
          <w:rFonts w:hint="eastAsia" w:ascii="宋体" w:hAnsi="宋体"/>
          <w:color w:val="auto"/>
          <w:sz w:val="32"/>
          <w:szCs w:val="32"/>
        </w:rPr>
        <w:sectPr>
          <w:pgSz w:w="11906" w:h="16838"/>
          <w:pgMar w:top="1247" w:right="1247" w:bottom="1247" w:left="1247" w:header="851" w:footer="992" w:gutter="0"/>
          <w:pgNumType w:fmt="decimal"/>
          <w:cols w:space="425" w:num="1"/>
          <w:docGrid w:type="lines" w:linePitch="312" w:charSpace="0"/>
        </w:sectPr>
      </w:pPr>
      <w:r>
        <w:rPr>
          <w:rFonts w:hint="eastAsia" w:ascii="宋体" w:hAnsi="宋体"/>
          <w:color w:val="auto"/>
          <w:sz w:val="32"/>
          <w:szCs w:val="32"/>
        </w:rPr>
        <w:t>根据磋商文件规定及供应商提供的材料自行编写目录（部分格式后附）。</w:t>
      </w:r>
    </w:p>
    <w:p w14:paraId="0B9937CA">
      <w:pPr>
        <w:numPr>
          <w:ilvl w:val="0"/>
          <w:numId w:val="0"/>
        </w:numPr>
        <w:spacing w:line="360" w:lineRule="auto"/>
        <w:contextualSpacing/>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无串通竞标行为的承诺函（格式）</w:t>
      </w:r>
      <w:bookmarkStart w:id="50" w:name="_Toc3385_WPSOffice_Level1"/>
      <w:bookmarkStart w:id="51" w:name="_Toc7307_WPSOffice_Level1"/>
      <w:bookmarkStart w:id="52" w:name="_Toc29075_WPSOffice_Level1"/>
      <w:bookmarkStart w:id="53" w:name="_Toc19763_WPSOffice_Level1"/>
      <w:bookmarkStart w:id="54" w:name="_Toc25553_WPSOffice_Level1"/>
      <w:bookmarkStart w:id="55" w:name="_Toc31123_WPSOffice_Level1"/>
      <w:bookmarkStart w:id="56" w:name="_Toc27848_WPSOffice_Level1"/>
      <w:bookmarkStart w:id="57" w:name="_Toc13028_WPSOffice_Level1"/>
      <w:bookmarkStart w:id="58" w:name="_Toc21172_WPSOffice_Level1"/>
      <w:bookmarkStart w:id="59" w:name="_Toc27137_WPSOffice_Level1"/>
      <w:bookmarkStart w:id="60" w:name="_Toc31728_WPSOffice_Level1"/>
    </w:p>
    <w:p w14:paraId="307E8D3D">
      <w:pPr>
        <w:numPr>
          <w:ilvl w:val="0"/>
          <w:numId w:val="0"/>
        </w:num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一、我方承诺无下列相互串通竞标的情形：</w:t>
      </w:r>
      <w:bookmarkEnd w:id="50"/>
      <w:bookmarkEnd w:id="51"/>
      <w:bookmarkEnd w:id="52"/>
      <w:bookmarkEnd w:id="53"/>
      <w:bookmarkEnd w:id="54"/>
      <w:bookmarkEnd w:id="55"/>
      <w:bookmarkEnd w:id="56"/>
      <w:bookmarkEnd w:id="57"/>
      <w:bookmarkEnd w:id="58"/>
      <w:bookmarkEnd w:id="59"/>
      <w:bookmarkEnd w:id="60"/>
    </w:p>
    <w:p w14:paraId="5577CADF">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111BF24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26888000">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3.不同供应商的响应文件载明的项目管理员为同一个人；</w:t>
      </w:r>
    </w:p>
    <w:p w14:paraId="7478B1D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139CE7A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6604C40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保证金从同一单位或者个人账户转出。</w:t>
      </w:r>
    </w:p>
    <w:p w14:paraId="12699DB9">
      <w:pPr>
        <w:spacing w:line="360" w:lineRule="auto"/>
        <w:ind w:firstLine="422" w:firstLineChars="200"/>
        <w:contextualSpacing/>
        <w:rPr>
          <w:rFonts w:hint="eastAsia" w:ascii="宋体" w:hAnsi="宋体" w:eastAsia="宋体" w:cs="宋体"/>
          <w:b/>
          <w:bCs/>
          <w:color w:val="auto"/>
          <w:sz w:val="21"/>
          <w:szCs w:val="21"/>
          <w:highlight w:val="none"/>
        </w:rPr>
      </w:pPr>
      <w:bookmarkStart w:id="61" w:name="_Toc30947_WPSOffice_Level1"/>
      <w:bookmarkStart w:id="62" w:name="_Toc29180_WPSOffice_Level1"/>
      <w:bookmarkStart w:id="63" w:name="_Toc8138_WPSOffice_Level1"/>
      <w:bookmarkStart w:id="64" w:name="_Toc3595_WPSOffice_Level1"/>
      <w:bookmarkStart w:id="65" w:name="_Toc846_WPSOffice_Level1"/>
      <w:bookmarkStart w:id="66" w:name="_Toc26072_WPSOffice_Level1"/>
      <w:bookmarkStart w:id="67" w:name="_Toc11813_WPSOffice_Level1"/>
      <w:bookmarkStart w:id="68" w:name="_Toc24870_WPSOffice_Level1"/>
      <w:bookmarkStart w:id="69" w:name="_Toc20220_WPSOffice_Level1"/>
      <w:bookmarkStart w:id="70" w:name="_Toc32701_WPSOffice_Level1"/>
      <w:bookmarkStart w:id="71" w:name="_Toc3438_WPSOffice_Level1"/>
      <w:bookmarkStart w:id="72" w:name="_Toc16090_WPSOffice_Level1"/>
      <w:bookmarkStart w:id="73" w:name="_Toc15918_WPSOffice_Level1"/>
      <w:r>
        <w:rPr>
          <w:rFonts w:hint="eastAsia" w:ascii="宋体" w:hAnsi="宋体" w:eastAsia="宋体" w:cs="宋体"/>
          <w:b/>
          <w:bCs/>
          <w:color w:val="auto"/>
          <w:sz w:val="21"/>
          <w:szCs w:val="21"/>
          <w:highlight w:val="none"/>
        </w:rPr>
        <w:t>二、我方承诺无下列恶意串通的情形：</w:t>
      </w:r>
      <w:bookmarkEnd w:id="61"/>
      <w:bookmarkEnd w:id="62"/>
      <w:bookmarkEnd w:id="63"/>
      <w:bookmarkEnd w:id="64"/>
      <w:bookmarkEnd w:id="65"/>
      <w:bookmarkEnd w:id="66"/>
      <w:bookmarkEnd w:id="67"/>
      <w:bookmarkEnd w:id="68"/>
      <w:bookmarkEnd w:id="69"/>
      <w:bookmarkEnd w:id="70"/>
      <w:bookmarkEnd w:id="71"/>
      <w:bookmarkEnd w:id="72"/>
      <w:bookmarkEnd w:id="73"/>
    </w:p>
    <w:p w14:paraId="7188457C">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10777AA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4C833E7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1F75E83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027A10F9">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w:t>
      </w:r>
      <w:r>
        <w:rPr>
          <w:rFonts w:hint="eastAsia" w:ascii="宋体" w:hAnsi="宋体" w:cs="宋体"/>
          <w:color w:val="auto"/>
          <w:sz w:val="21"/>
          <w:szCs w:val="21"/>
          <w:lang w:val="en-US" w:eastAsia="zh-CN"/>
        </w:rPr>
        <w:t>谈判</w:t>
      </w:r>
      <w:r>
        <w:rPr>
          <w:rFonts w:hint="eastAsia" w:ascii="宋体" w:hAnsi="宋体" w:eastAsia="宋体" w:cs="宋体"/>
          <w:color w:val="auto"/>
          <w:sz w:val="21"/>
          <w:szCs w:val="21"/>
          <w:highlight w:val="none"/>
        </w:rPr>
        <w:t>项目中事先约定轮流以高价位或者低价位成交，或者事先约定由某一特定供应商成交，然后再参加竞标；</w:t>
      </w:r>
    </w:p>
    <w:p w14:paraId="483FF53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686BC9F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03C4ECBB">
      <w:pPr>
        <w:spacing w:line="360" w:lineRule="auto"/>
        <w:ind w:firstLine="420" w:firstLineChars="200"/>
        <w:contextualSpacing/>
        <w:rPr>
          <w:rFonts w:hint="eastAsia" w:ascii="宋体" w:hAnsi="宋体" w:eastAsia="宋体" w:cs="宋体"/>
          <w:color w:val="auto"/>
          <w:sz w:val="21"/>
          <w:szCs w:val="21"/>
          <w:highlight w:val="none"/>
        </w:rPr>
      </w:pPr>
    </w:p>
    <w:p w14:paraId="06CB18C7">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582B9AB2">
      <w:pPr>
        <w:spacing w:line="360" w:lineRule="auto"/>
        <w:contextualSpacing/>
        <w:rPr>
          <w:rFonts w:hint="eastAsia" w:ascii="宋体" w:hAnsi="宋体" w:eastAsia="宋体" w:cs="宋体"/>
          <w:color w:val="auto"/>
          <w:sz w:val="21"/>
          <w:szCs w:val="21"/>
          <w:highlight w:val="none"/>
        </w:rPr>
      </w:pPr>
    </w:p>
    <w:p w14:paraId="352EE7F9">
      <w:pPr>
        <w:spacing w:line="360" w:lineRule="auto"/>
        <w:ind w:firstLine="420" w:firstLineChars="200"/>
        <w:contextualSpacing/>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供应商（盖单位CA公章）： </w:t>
      </w:r>
      <w:r>
        <w:rPr>
          <w:rFonts w:hint="eastAsia" w:ascii="宋体" w:hAnsi="宋体" w:eastAsia="宋体" w:cs="宋体"/>
          <w:color w:val="auto"/>
          <w:sz w:val="21"/>
          <w:szCs w:val="21"/>
          <w:highlight w:val="none"/>
          <w:u w:val="single"/>
          <w:lang w:val="en-US" w:eastAsia="zh-CN"/>
        </w:rPr>
        <w:t xml:space="preserve">                               </w:t>
      </w:r>
    </w:p>
    <w:p w14:paraId="5FC56489">
      <w:pPr>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7A54303">
      <w:pPr>
        <w:pStyle w:val="13"/>
        <w:spacing w:line="400" w:lineRule="atLeast"/>
        <w:jc w:val="center"/>
        <w:rPr>
          <w:rFonts w:hint="eastAsia" w:ascii="宋体" w:hAnsi="宋体" w:eastAsia="宋体" w:cs="宋体"/>
          <w:b/>
          <w:bCs/>
          <w:sz w:val="21"/>
          <w:szCs w:val="21"/>
          <w:lang w:val="en-US" w:eastAsia="zh-CN"/>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E75FCFB">
      <w:pPr>
        <w:pStyle w:val="13"/>
        <w:spacing w:line="400" w:lineRule="atLeast"/>
        <w:jc w:val="center"/>
        <w:rPr>
          <w:rFonts w:hint="eastAsia" w:ascii="宋体" w:hAnsi="宋体" w:cs="宋体"/>
          <w:b/>
          <w:bCs/>
          <w:sz w:val="32"/>
          <w:szCs w:val="32"/>
          <w:lang w:eastAsia="zh-CN"/>
        </w:rPr>
      </w:pPr>
      <w:r>
        <w:rPr>
          <w:rFonts w:hint="eastAsia" w:ascii="宋体" w:hAnsi="宋体" w:cs="宋体"/>
          <w:b/>
          <w:bCs/>
          <w:sz w:val="32"/>
          <w:szCs w:val="32"/>
        </w:rPr>
        <w:t>法定代表人（负责人）身份证明书</w:t>
      </w:r>
      <w:r>
        <w:rPr>
          <w:rFonts w:hint="eastAsia" w:ascii="宋体" w:hAnsi="宋体" w:cs="宋体"/>
          <w:b/>
          <w:bCs/>
          <w:sz w:val="32"/>
          <w:szCs w:val="32"/>
          <w:lang w:eastAsia="zh-CN"/>
        </w:rPr>
        <w:t>（</w:t>
      </w:r>
      <w:r>
        <w:rPr>
          <w:rFonts w:hint="eastAsia" w:ascii="宋体" w:hAnsi="宋体" w:cs="宋体"/>
          <w:b/>
          <w:bCs/>
          <w:sz w:val="32"/>
          <w:szCs w:val="32"/>
          <w:lang w:val="en-US" w:eastAsia="zh-CN"/>
        </w:rPr>
        <w:t>格式</w:t>
      </w:r>
      <w:r>
        <w:rPr>
          <w:rFonts w:hint="eastAsia" w:ascii="宋体" w:hAnsi="宋体" w:cs="宋体"/>
          <w:b/>
          <w:bCs/>
          <w:sz w:val="32"/>
          <w:szCs w:val="32"/>
          <w:lang w:eastAsia="zh-CN"/>
        </w:rPr>
        <w:t>）</w:t>
      </w:r>
    </w:p>
    <w:p w14:paraId="4EE74ED2">
      <w:pPr>
        <w:pStyle w:val="13"/>
        <w:spacing w:line="400" w:lineRule="atLeast"/>
        <w:jc w:val="center"/>
        <w:rPr>
          <w:rFonts w:hint="eastAsia" w:ascii="宋体" w:hAnsi="宋体" w:cs="宋体"/>
          <w:b/>
          <w:bCs/>
          <w:sz w:val="32"/>
          <w:szCs w:val="32"/>
          <w:lang w:eastAsia="zh-CN"/>
        </w:rPr>
      </w:pPr>
    </w:p>
    <w:p w14:paraId="5263B040">
      <w:pPr>
        <w:spacing w:line="480" w:lineRule="auto"/>
        <w:ind w:firstLine="420" w:firstLineChars="200"/>
        <w:rPr>
          <w:rFonts w:hint="eastAsia" w:ascii="宋体" w:hAnsi="宋体" w:eastAsia="宋体" w:cs="宋体"/>
          <w:sz w:val="21"/>
          <w:szCs w:val="21"/>
          <w:u w:val="single"/>
          <w:lang w:val="en-US" w:eastAsia="zh-CN"/>
        </w:rPr>
      </w:pPr>
      <w:r>
        <w:rPr>
          <w:rFonts w:hint="eastAsia" w:ascii="宋体" w:hAnsi="宋体" w:cs="宋体"/>
          <w:sz w:val="21"/>
          <w:szCs w:val="21"/>
        </w:rPr>
        <w:t>供应商：</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22652ED2">
      <w:pPr>
        <w:spacing w:line="480" w:lineRule="auto"/>
        <w:ind w:firstLine="420" w:firstLineChars="200"/>
        <w:rPr>
          <w:rFonts w:ascii="宋体" w:hAnsi="宋体" w:cs="宋体"/>
          <w:sz w:val="21"/>
          <w:szCs w:val="21"/>
          <w:u w:val="single"/>
        </w:rPr>
      </w:pPr>
      <w:r>
        <w:rPr>
          <w:rFonts w:hint="eastAsia" w:ascii="宋体" w:hAnsi="宋体" w:cs="宋体"/>
          <w:sz w:val="21"/>
          <w:szCs w:val="21"/>
        </w:rPr>
        <w:t>单位性质：</w:t>
      </w:r>
      <w:r>
        <w:rPr>
          <w:rFonts w:hint="eastAsia" w:ascii="宋体" w:hAnsi="宋体" w:cs="宋体"/>
          <w:sz w:val="21"/>
          <w:szCs w:val="21"/>
          <w:u w:val="single"/>
          <w:lang w:val="en-US" w:eastAsia="zh-CN"/>
        </w:rPr>
        <w:t xml:space="preserve">                      </w:t>
      </w:r>
    </w:p>
    <w:p w14:paraId="15B2D944">
      <w:pPr>
        <w:spacing w:line="480" w:lineRule="auto"/>
        <w:ind w:firstLine="420" w:firstLineChars="200"/>
        <w:rPr>
          <w:rFonts w:ascii="宋体" w:hAnsi="宋体" w:cs="宋体"/>
          <w:sz w:val="21"/>
          <w:szCs w:val="21"/>
        </w:rPr>
      </w:pP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w:t>
      </w:r>
      <w:r>
        <w:rPr>
          <w:rFonts w:hint="eastAsia" w:ascii="宋体" w:hAnsi="宋体" w:cs="宋体"/>
          <w:sz w:val="21"/>
          <w:szCs w:val="21"/>
          <w:u w:val="single"/>
          <w:lang w:val="en-US" w:eastAsia="zh-CN"/>
        </w:rPr>
        <w:t xml:space="preserve">                      </w:t>
      </w:r>
    </w:p>
    <w:p w14:paraId="2EED4157">
      <w:pPr>
        <w:spacing w:line="480" w:lineRule="auto"/>
        <w:ind w:firstLine="420" w:firstLineChars="200"/>
        <w:rPr>
          <w:rFonts w:ascii="宋体" w:hAnsi="宋体" w:cs="宋体"/>
          <w:sz w:val="21"/>
          <w:szCs w:val="21"/>
        </w:rPr>
      </w:pPr>
      <w:r>
        <w:rPr>
          <w:rFonts w:hint="eastAsia" w:ascii="宋体" w:hAnsi="宋体" w:cs="宋体"/>
          <w:sz w:val="21"/>
          <w:szCs w:val="21"/>
        </w:rPr>
        <w:t>成立时间：</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年</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月</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日</w:t>
      </w:r>
    </w:p>
    <w:p w14:paraId="1E5FB73F">
      <w:pPr>
        <w:spacing w:line="480" w:lineRule="auto"/>
        <w:ind w:firstLine="420" w:firstLineChars="200"/>
        <w:rPr>
          <w:rFonts w:ascii="宋体" w:hAnsi="宋体" w:cs="宋体"/>
          <w:sz w:val="21"/>
          <w:szCs w:val="21"/>
        </w:rPr>
      </w:pPr>
      <w:r>
        <w:rPr>
          <w:rFonts w:hint="eastAsia" w:ascii="宋体" w:hAnsi="宋体" w:cs="宋体"/>
          <w:sz w:val="21"/>
          <w:szCs w:val="21"/>
        </w:rPr>
        <w:t>经营期限：</w:t>
      </w:r>
      <w:r>
        <w:rPr>
          <w:rFonts w:hint="eastAsia" w:ascii="宋体" w:hAnsi="宋体" w:cs="宋体"/>
          <w:sz w:val="21"/>
          <w:szCs w:val="21"/>
          <w:u w:val="single"/>
          <w:lang w:val="en-US" w:eastAsia="zh-CN"/>
        </w:rPr>
        <w:t xml:space="preserve">                      </w:t>
      </w:r>
    </w:p>
    <w:p w14:paraId="237C1DC4">
      <w:pPr>
        <w:spacing w:line="480" w:lineRule="auto"/>
        <w:ind w:firstLine="420" w:firstLineChars="200"/>
        <w:rPr>
          <w:rFonts w:ascii="宋体" w:hAnsi="宋体" w:cs="宋体"/>
          <w:sz w:val="21"/>
          <w:szCs w:val="21"/>
        </w:rPr>
      </w:pPr>
      <w:r>
        <w:rPr>
          <w:rFonts w:hint="eastAsia" w:ascii="宋体" w:hAnsi="宋体" w:cs="宋体"/>
          <w:sz w:val="21"/>
          <w:szCs w:val="21"/>
        </w:rPr>
        <w:t>姓</w:t>
      </w:r>
      <w:r>
        <w:rPr>
          <w:rFonts w:ascii="宋体" w:hAnsi="宋体" w:cs="宋体"/>
          <w:sz w:val="21"/>
          <w:szCs w:val="21"/>
        </w:rPr>
        <w:t xml:space="preserve">    </w:t>
      </w:r>
      <w:r>
        <w:rPr>
          <w:rFonts w:hint="eastAsia" w:ascii="宋体" w:hAnsi="宋体" w:cs="宋体"/>
          <w:sz w:val="21"/>
          <w:szCs w:val="21"/>
        </w:rPr>
        <w:t>名：</w:t>
      </w:r>
      <w:r>
        <w:rPr>
          <w:rFonts w:hint="eastAsia" w:ascii="宋体" w:hAnsi="宋体" w:cs="宋体"/>
          <w:sz w:val="21"/>
          <w:szCs w:val="21"/>
          <w:u w:val="single"/>
          <w:lang w:val="en-US" w:eastAsia="zh-CN"/>
        </w:rPr>
        <w:t xml:space="preserve">                      </w:t>
      </w:r>
      <w:r>
        <w:rPr>
          <w:rFonts w:hint="eastAsia" w:ascii="宋体" w:hAnsi="宋体" w:cs="宋体"/>
          <w:sz w:val="21"/>
          <w:szCs w:val="21"/>
        </w:rPr>
        <w:t xml:space="preserve">     性</w:t>
      </w:r>
      <w:r>
        <w:rPr>
          <w:rFonts w:ascii="宋体" w:hAnsi="宋体" w:cs="宋体"/>
          <w:sz w:val="21"/>
          <w:szCs w:val="21"/>
        </w:rPr>
        <w:t xml:space="preserve">      </w:t>
      </w:r>
      <w:r>
        <w:rPr>
          <w:rFonts w:hint="eastAsia" w:ascii="宋体" w:hAnsi="宋体" w:cs="宋体"/>
          <w:sz w:val="21"/>
          <w:szCs w:val="21"/>
        </w:rPr>
        <w:t>别：</w:t>
      </w:r>
      <w:r>
        <w:rPr>
          <w:rFonts w:hint="eastAsia" w:ascii="宋体" w:hAnsi="宋体" w:cs="宋体"/>
          <w:sz w:val="21"/>
          <w:szCs w:val="21"/>
          <w:u w:val="single"/>
          <w:lang w:val="en-US" w:eastAsia="zh-CN"/>
        </w:rPr>
        <w:t xml:space="preserve">                      </w:t>
      </w:r>
    </w:p>
    <w:p w14:paraId="4DB1A717">
      <w:pPr>
        <w:spacing w:line="480" w:lineRule="auto"/>
        <w:ind w:firstLine="420" w:firstLineChars="200"/>
        <w:rPr>
          <w:rFonts w:ascii="宋体" w:hAnsi="宋体" w:cs="宋体"/>
          <w:sz w:val="21"/>
          <w:szCs w:val="21"/>
          <w:u w:val="single"/>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龄：</w:t>
      </w:r>
      <w:r>
        <w:rPr>
          <w:rFonts w:hint="eastAsia" w:ascii="宋体" w:hAnsi="宋体" w:cs="宋体"/>
          <w:sz w:val="21"/>
          <w:szCs w:val="21"/>
          <w:u w:val="single"/>
          <w:lang w:val="en-US" w:eastAsia="zh-CN"/>
        </w:rPr>
        <w:t xml:space="preserve">                      </w:t>
      </w:r>
      <w:r>
        <w:rPr>
          <w:rFonts w:hint="eastAsia" w:ascii="宋体" w:hAnsi="宋体" w:cs="宋体"/>
          <w:sz w:val="21"/>
          <w:szCs w:val="21"/>
        </w:rPr>
        <w:t xml:space="preserve">     职</w:t>
      </w:r>
      <w:r>
        <w:rPr>
          <w:rFonts w:ascii="宋体" w:hAnsi="宋体" w:cs="宋体"/>
          <w:sz w:val="21"/>
          <w:szCs w:val="21"/>
        </w:rPr>
        <w:t xml:space="preserve">      </w:t>
      </w:r>
      <w:r>
        <w:rPr>
          <w:rFonts w:hint="eastAsia" w:ascii="宋体" w:hAnsi="宋体" w:cs="宋体"/>
          <w:sz w:val="21"/>
          <w:szCs w:val="21"/>
        </w:rPr>
        <w:t>务：</w:t>
      </w:r>
      <w:r>
        <w:rPr>
          <w:rFonts w:hint="eastAsia" w:ascii="宋体" w:hAnsi="宋体" w:cs="宋体"/>
          <w:sz w:val="21"/>
          <w:szCs w:val="21"/>
          <w:u w:val="single"/>
          <w:lang w:val="en-US" w:eastAsia="zh-CN"/>
        </w:rPr>
        <w:t xml:space="preserve">                      </w:t>
      </w:r>
    </w:p>
    <w:p w14:paraId="77F46A8B">
      <w:pPr>
        <w:spacing w:line="480" w:lineRule="auto"/>
        <w:ind w:firstLine="420" w:firstLineChars="200"/>
        <w:rPr>
          <w:rFonts w:ascii="宋体" w:hAnsi="宋体" w:cs="宋体"/>
          <w:sz w:val="21"/>
          <w:szCs w:val="21"/>
        </w:rPr>
      </w:pPr>
      <w:r>
        <w:rPr>
          <w:rFonts w:hint="eastAsia" w:ascii="宋体" w:hAnsi="宋体" w:cs="宋体"/>
          <w:sz w:val="21"/>
          <w:szCs w:val="21"/>
        </w:rPr>
        <w:t>身份证号码：</w:t>
      </w:r>
      <w:r>
        <w:rPr>
          <w:rFonts w:hint="eastAsia" w:ascii="宋体" w:hAnsi="宋体" w:cs="宋体"/>
          <w:sz w:val="21"/>
          <w:szCs w:val="21"/>
          <w:u w:val="single"/>
        </w:rPr>
        <w:t xml:space="preserve">                    </w:t>
      </w:r>
      <w:r>
        <w:rPr>
          <w:rFonts w:hint="eastAsia" w:ascii="宋体" w:hAnsi="宋体" w:cs="宋体"/>
          <w:sz w:val="21"/>
          <w:szCs w:val="21"/>
        </w:rPr>
        <w:t>系</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w:t>
      </w:r>
      <w:r>
        <w:rPr>
          <w:rFonts w:hint="eastAsia" w:ascii="宋体" w:hAnsi="宋体" w:cs="宋体"/>
          <w:sz w:val="21"/>
          <w:szCs w:val="21"/>
          <w:u w:val="single"/>
          <w:lang w:val="en-US" w:eastAsia="zh-CN"/>
        </w:rPr>
        <w:t>供应商</w:t>
      </w:r>
      <w:r>
        <w:rPr>
          <w:rFonts w:hint="eastAsia" w:ascii="宋体" w:hAnsi="宋体" w:cs="宋体"/>
          <w:sz w:val="21"/>
          <w:szCs w:val="21"/>
          <w:u w:val="single"/>
        </w:rPr>
        <w:t>名称）</w:t>
      </w:r>
      <w:r>
        <w:rPr>
          <w:rFonts w:hint="eastAsia" w:ascii="宋体" w:hAnsi="宋体" w:cs="宋体"/>
          <w:sz w:val="21"/>
          <w:szCs w:val="21"/>
        </w:rPr>
        <w:t>的法定代表人（负责人）。</w:t>
      </w:r>
    </w:p>
    <w:p w14:paraId="0DEC3151">
      <w:pPr>
        <w:pStyle w:val="10"/>
        <w:spacing w:line="480" w:lineRule="auto"/>
        <w:ind w:firstLine="539" w:firstLineChars="257"/>
        <w:rPr>
          <w:rFonts w:hAnsi="宋体" w:cs="宋体"/>
          <w:sz w:val="21"/>
          <w:szCs w:val="21"/>
        </w:rPr>
      </w:pPr>
      <w:r>
        <w:rPr>
          <w:rFonts w:hint="eastAsia" w:hAnsi="宋体" w:cs="宋体"/>
          <w:sz w:val="21"/>
          <w:szCs w:val="21"/>
        </w:rPr>
        <w:t>特此证明。</w:t>
      </w:r>
    </w:p>
    <w:p w14:paraId="4529E757">
      <w:pPr>
        <w:spacing w:line="360" w:lineRule="auto"/>
        <w:ind w:right="-44" w:rightChars="-21" w:firstLine="168" w:firstLineChars="80"/>
        <w:rPr>
          <w:rFonts w:hint="eastAsia" w:hAnsi="宋体" w:cs="宋体"/>
          <w:sz w:val="21"/>
          <w:szCs w:val="21"/>
        </w:rPr>
      </w:pPr>
      <w:r>
        <w:rPr>
          <w:rFonts w:hint="eastAsia" w:hAnsi="宋体" w:cs="宋体"/>
          <w:sz w:val="21"/>
          <w:szCs w:val="21"/>
        </w:rPr>
        <w:t xml:space="preserve">                                             </w:t>
      </w:r>
    </w:p>
    <w:p w14:paraId="63862820">
      <w:pPr>
        <w:spacing w:line="360" w:lineRule="auto"/>
        <w:ind w:right="-44" w:rightChars="-21"/>
        <w:rPr>
          <w:rFonts w:hint="eastAsia" w:ascii="宋体" w:hAnsi="宋体" w:eastAsia="宋体" w:cs="宋体"/>
        </w:rPr>
      </w:pPr>
      <w:r>
        <w:rPr>
          <w:rFonts w:hint="eastAsia" w:hAnsi="宋体" w:cs="宋体"/>
          <w:sz w:val="21"/>
          <w:szCs w:val="21"/>
        </w:rPr>
        <w:t xml:space="preserve"> </w:t>
      </w:r>
      <w:r>
        <w:rPr>
          <w:rFonts w:hint="eastAsia" w:hAnsi="宋体" w:cs="宋体"/>
          <w:sz w:val="21"/>
          <w:szCs w:val="21"/>
          <w:lang w:val="en-US" w:eastAsia="zh-CN"/>
        </w:rPr>
        <w:t xml:space="preserve">                   </w:t>
      </w:r>
      <w:r>
        <w:rPr>
          <w:rFonts w:hint="eastAsia" w:ascii="宋体" w:hAnsi="宋体" w:eastAsia="宋体" w:cs="宋体"/>
        </w:rPr>
        <w:t>供应商（盖单位</w:t>
      </w:r>
      <w:r>
        <w:rPr>
          <w:rFonts w:hint="eastAsia" w:ascii="宋体" w:hAnsi="宋体" w:eastAsia="宋体" w:cs="宋体"/>
          <w:lang w:val="en-US" w:eastAsia="zh-CN"/>
        </w:rPr>
        <w:t>CA</w:t>
      </w:r>
      <w:r>
        <w:rPr>
          <w:rFonts w:hint="eastAsia" w:ascii="宋体" w:hAnsi="宋体" w:eastAsia="宋体" w:cs="宋体"/>
        </w:rPr>
        <w:t>公章）：</w:t>
      </w:r>
      <w:r>
        <w:rPr>
          <w:rFonts w:hint="eastAsia" w:ascii="宋体" w:hAnsi="宋体" w:eastAsia="宋体" w:cs="宋体"/>
          <w:u w:val="single"/>
        </w:rPr>
        <w:t xml:space="preserve">                                </w:t>
      </w:r>
    </w:p>
    <w:p w14:paraId="6734ADEB">
      <w:pPr>
        <w:spacing w:line="360" w:lineRule="auto"/>
        <w:ind w:right="-44" w:rightChars="-21" w:firstLine="2100" w:firstLineChars="1000"/>
        <w:rPr>
          <w:rFonts w:hint="eastAsia" w:ascii="宋体" w:hAnsi="宋体" w:eastAsia="宋体" w:cs="宋体"/>
        </w:rPr>
      </w:pPr>
      <w:r>
        <w:rPr>
          <w:rFonts w:hint="eastAsia" w:ascii="宋体" w:hAnsi="宋体" w:eastAsia="宋体" w:cs="宋体"/>
        </w:rPr>
        <w:t>日期：     年     月     日</w:t>
      </w:r>
    </w:p>
    <w:p w14:paraId="641BB0BB">
      <w:pPr>
        <w:pStyle w:val="10"/>
        <w:spacing w:line="480" w:lineRule="auto"/>
        <w:ind w:firstLine="6090" w:firstLineChars="2900"/>
        <w:jc w:val="both"/>
        <w:rPr>
          <w:rFonts w:hAnsi="宋体" w:cs="宋体"/>
          <w:sz w:val="21"/>
          <w:szCs w:val="21"/>
        </w:rPr>
      </w:pPr>
    </w:p>
    <w:p w14:paraId="71007CC9">
      <w:pPr>
        <w:pStyle w:val="10"/>
        <w:spacing w:line="480" w:lineRule="auto"/>
        <w:rPr>
          <w:rFonts w:hint="eastAsia" w:ascii="宋体" w:hAnsi="宋体" w:cs="宋体"/>
          <w:b/>
          <w:bCs/>
          <w:sz w:val="32"/>
          <w:szCs w:val="32"/>
          <w:lang w:eastAsia="zh-CN"/>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hAnsi="宋体" w:cs="宋体"/>
          <w:b/>
          <w:bCs/>
          <w:sz w:val="21"/>
          <w:szCs w:val="21"/>
        </w:rPr>
        <w:t>附：法定代表人（负责人）身份证正、背面复印件并加盖单位</w:t>
      </w:r>
      <w:r>
        <w:rPr>
          <w:rFonts w:hint="eastAsia" w:hAnsi="宋体" w:cs="宋体"/>
          <w:b/>
          <w:bCs/>
          <w:sz w:val="21"/>
          <w:szCs w:val="21"/>
          <w:lang w:val="en-US" w:eastAsia="zh-CN"/>
        </w:rPr>
        <w:t>CA</w:t>
      </w:r>
      <w:r>
        <w:rPr>
          <w:rFonts w:hint="eastAsia" w:hAnsi="宋体" w:cs="宋体"/>
          <w:b/>
          <w:bCs/>
          <w:sz w:val="21"/>
          <w:szCs w:val="21"/>
        </w:rPr>
        <w:t>公章。</w:t>
      </w:r>
    </w:p>
    <w:p w14:paraId="43065242">
      <w:pPr>
        <w:pStyle w:val="13"/>
        <w:numPr>
          <w:ilvl w:val="0"/>
          <w:numId w:val="0"/>
        </w:numPr>
        <w:spacing w:line="400" w:lineRule="atLeast"/>
        <w:jc w:val="center"/>
        <w:rPr>
          <w:rFonts w:hint="eastAsia" w:ascii="宋体" w:hAnsi="宋体" w:cs="宋体"/>
          <w:b/>
          <w:bCs/>
          <w:sz w:val="32"/>
          <w:szCs w:val="32"/>
          <w:lang w:eastAsia="zh-CN"/>
        </w:rPr>
      </w:pPr>
      <w:r>
        <w:rPr>
          <w:rFonts w:hint="eastAsia" w:ascii="宋体" w:hAnsi="宋体" w:cs="宋体"/>
          <w:b/>
          <w:bCs/>
          <w:sz w:val="32"/>
          <w:szCs w:val="32"/>
        </w:rPr>
        <w:t>法定代表人（负责人）授权委托书</w:t>
      </w:r>
      <w:r>
        <w:rPr>
          <w:rFonts w:hint="eastAsia" w:ascii="宋体" w:hAnsi="宋体" w:cs="宋体"/>
          <w:b/>
          <w:bCs/>
          <w:sz w:val="32"/>
          <w:szCs w:val="32"/>
          <w:lang w:eastAsia="zh-CN"/>
        </w:rPr>
        <w:t>（</w:t>
      </w:r>
      <w:r>
        <w:rPr>
          <w:rFonts w:hint="eastAsia" w:ascii="宋体" w:hAnsi="宋体" w:cs="宋体"/>
          <w:b/>
          <w:bCs/>
          <w:sz w:val="32"/>
          <w:szCs w:val="32"/>
          <w:lang w:val="en-US" w:eastAsia="zh-CN"/>
        </w:rPr>
        <w:t>格式</w:t>
      </w:r>
      <w:r>
        <w:rPr>
          <w:rFonts w:hint="eastAsia" w:ascii="宋体" w:hAnsi="宋体" w:cs="宋体"/>
          <w:b/>
          <w:bCs/>
          <w:sz w:val="32"/>
          <w:szCs w:val="32"/>
          <w:lang w:eastAsia="zh-CN"/>
        </w:rPr>
        <w:t>）</w:t>
      </w:r>
    </w:p>
    <w:p w14:paraId="1CB4B850">
      <w:pPr>
        <w:pStyle w:val="13"/>
        <w:numPr>
          <w:ilvl w:val="0"/>
          <w:numId w:val="0"/>
        </w:numPr>
        <w:spacing w:line="400" w:lineRule="atLeast"/>
        <w:jc w:val="both"/>
        <w:rPr>
          <w:rFonts w:hint="eastAsia" w:ascii="宋体" w:hAnsi="宋体"/>
          <w:sz w:val="21"/>
          <w:szCs w:val="21"/>
        </w:rPr>
      </w:pPr>
    </w:p>
    <w:p w14:paraId="482246A1">
      <w:pPr>
        <w:pStyle w:val="13"/>
        <w:numPr>
          <w:ilvl w:val="0"/>
          <w:numId w:val="0"/>
        </w:numPr>
        <w:spacing w:line="400" w:lineRule="atLeast"/>
        <w:jc w:val="both"/>
        <w:rPr>
          <w:rFonts w:hint="eastAsia" w:ascii="宋体" w:hAnsi="宋体" w:eastAsia="宋体"/>
          <w:sz w:val="21"/>
          <w:szCs w:val="21"/>
          <w:lang w:val="en-US" w:eastAsia="zh-CN"/>
        </w:rPr>
      </w:pPr>
      <w:r>
        <w:rPr>
          <w:rFonts w:hint="eastAsia" w:ascii="宋体" w:hAnsi="宋体"/>
          <w:sz w:val="21"/>
          <w:szCs w:val="21"/>
        </w:rPr>
        <w:t>致：</w:t>
      </w:r>
      <w:r>
        <w:rPr>
          <w:rFonts w:hint="eastAsia" w:ascii="宋体" w:hAnsi="宋体"/>
          <w:sz w:val="21"/>
          <w:szCs w:val="21"/>
          <w:u w:val="single"/>
        </w:rPr>
        <w:t xml:space="preserve"> </w:t>
      </w:r>
      <w:r>
        <w:rPr>
          <w:rFonts w:hint="eastAsia" w:ascii="宋体" w:hAnsi="宋体"/>
          <w:sz w:val="21"/>
          <w:szCs w:val="21"/>
          <w:u w:val="single"/>
          <w:lang w:val="en-US" w:eastAsia="zh-CN"/>
        </w:rPr>
        <w:t xml:space="preserve">               （采购人名称）</w:t>
      </w:r>
    </w:p>
    <w:p w14:paraId="3DF77D28">
      <w:pPr>
        <w:pStyle w:val="10"/>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hAnsi="宋体"/>
          <w:sz w:val="21"/>
          <w:szCs w:val="21"/>
        </w:rPr>
      </w:pPr>
      <w:r>
        <w:rPr>
          <w:rFonts w:hint="eastAsia" w:hAnsi="宋体"/>
          <w:kern w:val="0"/>
          <w:sz w:val="21"/>
          <w:szCs w:val="21"/>
        </w:rPr>
        <w:t>我</w:t>
      </w:r>
      <w:r>
        <w:rPr>
          <w:rFonts w:hint="eastAsia" w:hAnsi="宋体"/>
          <w:kern w:val="0"/>
          <w:sz w:val="21"/>
          <w:szCs w:val="21"/>
          <w:u w:val="single"/>
        </w:rPr>
        <w:t xml:space="preserve">              </w:t>
      </w:r>
      <w:r>
        <w:rPr>
          <w:rFonts w:hint="eastAsia" w:hAnsi="宋体"/>
          <w:kern w:val="0"/>
          <w:sz w:val="21"/>
          <w:szCs w:val="21"/>
        </w:rPr>
        <w:t>（姓名）系</w:t>
      </w:r>
      <w:r>
        <w:rPr>
          <w:rFonts w:hint="eastAsia" w:hAnsi="宋体"/>
          <w:kern w:val="0"/>
          <w:sz w:val="21"/>
          <w:szCs w:val="21"/>
          <w:u w:val="single"/>
        </w:rPr>
        <w:t xml:space="preserve">                              </w:t>
      </w:r>
      <w:r>
        <w:rPr>
          <w:rFonts w:hint="eastAsia" w:hAnsi="宋体"/>
          <w:kern w:val="0"/>
          <w:sz w:val="21"/>
          <w:szCs w:val="21"/>
        </w:rPr>
        <w:t>（供应商名称）的法定代表人（负责人），现授权委托</w:t>
      </w:r>
      <w:r>
        <w:rPr>
          <w:rFonts w:hint="eastAsia" w:hAnsi="宋体"/>
          <w:kern w:val="0"/>
          <w:sz w:val="21"/>
          <w:szCs w:val="21"/>
          <w:u w:val="single"/>
        </w:rPr>
        <w:t xml:space="preserve">            </w:t>
      </w:r>
      <w:r>
        <w:rPr>
          <w:rFonts w:hint="eastAsia" w:hAnsi="宋体"/>
          <w:kern w:val="0"/>
          <w:sz w:val="21"/>
          <w:szCs w:val="21"/>
        </w:rPr>
        <w:t>（姓名）以我公司名义参加</w:t>
      </w:r>
      <w:r>
        <w:rPr>
          <w:rFonts w:hint="eastAsia" w:hAnsi="宋体"/>
          <w:kern w:val="0"/>
          <w:sz w:val="21"/>
          <w:szCs w:val="21"/>
          <w:u w:val="single"/>
        </w:rPr>
        <w:t xml:space="preserve">      </w:t>
      </w:r>
      <w:r>
        <w:rPr>
          <w:rFonts w:hint="eastAsia" w:hAnsi="宋体"/>
          <w:sz w:val="21"/>
          <w:szCs w:val="21"/>
          <w:u w:val="single"/>
        </w:rPr>
        <w:t xml:space="preserve">（项目名称及项目编号）        </w:t>
      </w:r>
      <w:r>
        <w:rPr>
          <w:rFonts w:hint="eastAsia" w:hAnsi="宋体"/>
          <w:sz w:val="21"/>
          <w:szCs w:val="21"/>
        </w:rPr>
        <w:t>项目的</w:t>
      </w:r>
      <w:r>
        <w:rPr>
          <w:rFonts w:hint="eastAsia" w:hAnsi="宋体"/>
          <w:sz w:val="21"/>
          <w:szCs w:val="21"/>
          <w:lang w:val="en-US" w:eastAsia="zh-CN"/>
        </w:rPr>
        <w:t>磋商</w:t>
      </w:r>
      <w:r>
        <w:rPr>
          <w:rFonts w:hint="eastAsia" w:hAnsi="宋体"/>
          <w:sz w:val="21"/>
          <w:szCs w:val="21"/>
        </w:rPr>
        <w:t>活动，并代表我方全权办理针对上述项目的</w:t>
      </w:r>
      <w:r>
        <w:rPr>
          <w:rFonts w:hint="eastAsia" w:hAnsi="宋体"/>
          <w:sz w:val="21"/>
          <w:szCs w:val="21"/>
          <w:lang w:val="en-US" w:eastAsia="zh-CN"/>
        </w:rPr>
        <w:t>磋商</w:t>
      </w:r>
      <w:r>
        <w:rPr>
          <w:rFonts w:hint="eastAsia" w:hAnsi="宋体"/>
          <w:sz w:val="21"/>
          <w:szCs w:val="21"/>
        </w:rPr>
        <w:t>、签约等具体事务和签署相关文件。</w:t>
      </w:r>
    </w:p>
    <w:p w14:paraId="4F624AC9">
      <w:pPr>
        <w:pStyle w:val="10"/>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hAnsi="宋体"/>
          <w:sz w:val="21"/>
          <w:szCs w:val="21"/>
        </w:rPr>
      </w:pPr>
      <w:r>
        <w:rPr>
          <w:rFonts w:hint="eastAsia" w:hAnsi="宋体"/>
          <w:sz w:val="21"/>
          <w:szCs w:val="21"/>
        </w:rPr>
        <w:t>我方对被授权人的签字事项负全部责任。</w:t>
      </w:r>
    </w:p>
    <w:p w14:paraId="3515D3A9">
      <w:pPr>
        <w:pStyle w:val="10"/>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hAnsi="宋体"/>
          <w:sz w:val="21"/>
          <w:szCs w:val="21"/>
          <w:u w:val="single"/>
        </w:rPr>
      </w:pPr>
      <w:r>
        <w:rPr>
          <w:rFonts w:hint="eastAsia" w:hAnsi="宋体"/>
          <w:sz w:val="21"/>
          <w:szCs w:val="21"/>
        </w:rPr>
        <w:t>授权委托代理期限：从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 xml:space="preserve">月 </w:t>
      </w:r>
      <w:r>
        <w:rPr>
          <w:rFonts w:hint="eastAsia" w:hAnsi="宋体"/>
          <w:sz w:val="21"/>
          <w:szCs w:val="21"/>
          <w:u w:val="single"/>
        </w:rPr>
        <w:t xml:space="preserve">    </w:t>
      </w:r>
      <w:r>
        <w:rPr>
          <w:rFonts w:hint="eastAsia" w:hAnsi="宋体"/>
          <w:sz w:val="21"/>
          <w:szCs w:val="21"/>
        </w:rPr>
        <w:t xml:space="preserve"> 日起至</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 xml:space="preserve">月 </w:t>
      </w:r>
      <w:r>
        <w:rPr>
          <w:rFonts w:hint="eastAsia" w:hAnsi="宋体"/>
          <w:sz w:val="21"/>
          <w:szCs w:val="21"/>
          <w:u w:val="single"/>
        </w:rPr>
        <w:t xml:space="preserve">     </w:t>
      </w:r>
      <w:r>
        <w:rPr>
          <w:rFonts w:hint="eastAsia" w:hAnsi="宋体"/>
          <w:sz w:val="21"/>
          <w:szCs w:val="21"/>
        </w:rPr>
        <w:t>日止。</w:t>
      </w:r>
    </w:p>
    <w:p w14:paraId="743771DC">
      <w:pPr>
        <w:pStyle w:val="10"/>
        <w:keepNext w:val="0"/>
        <w:keepLines w:val="0"/>
        <w:pageBreakBefore w:val="0"/>
        <w:widowControl w:val="0"/>
        <w:kinsoku/>
        <w:wordWrap/>
        <w:overflowPunct/>
        <w:topLinePunct w:val="0"/>
        <w:autoSpaceDE/>
        <w:autoSpaceDN/>
        <w:bidi w:val="0"/>
        <w:adjustRightInd/>
        <w:spacing w:line="400" w:lineRule="atLeast"/>
        <w:textAlignment w:val="auto"/>
        <w:rPr>
          <w:rFonts w:hAnsi="宋体"/>
          <w:sz w:val="21"/>
          <w:szCs w:val="21"/>
          <w:u w:val="single"/>
        </w:rPr>
      </w:pPr>
      <w:r>
        <w:rPr>
          <w:rFonts w:hint="eastAsia" w:hAnsi="宋体"/>
          <w:sz w:val="21"/>
          <w:szCs w:val="21"/>
        </w:rPr>
        <w:t xml:space="preserve">                                                                                             </w:t>
      </w:r>
    </w:p>
    <w:p w14:paraId="2E5717F8">
      <w:pPr>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ascii="宋体" w:hAnsi="宋体"/>
          <w:sz w:val="21"/>
          <w:szCs w:val="21"/>
        </w:rPr>
      </w:pPr>
      <w:r>
        <w:rPr>
          <w:rFonts w:hint="eastAsia" w:ascii="宋体" w:hAnsi="宋体"/>
          <w:kern w:val="0"/>
          <w:sz w:val="21"/>
          <w:szCs w:val="21"/>
        </w:rPr>
        <w:t>代理人无转委托权,特此委托。</w:t>
      </w:r>
      <w:r>
        <w:rPr>
          <w:rFonts w:ascii="宋体" w:hAnsi="宋体"/>
          <w:kern w:val="0"/>
          <w:sz w:val="21"/>
          <w:szCs w:val="21"/>
        </w:rPr>
        <w:t xml:space="preserve"> </w:t>
      </w:r>
    </w:p>
    <w:p w14:paraId="527009D0">
      <w:pPr>
        <w:keepNext w:val="0"/>
        <w:keepLines w:val="0"/>
        <w:pageBreakBefore w:val="0"/>
        <w:widowControl w:val="0"/>
        <w:kinsoku/>
        <w:wordWrap/>
        <w:overflowPunct/>
        <w:topLinePunct w:val="0"/>
        <w:autoSpaceDE/>
        <w:autoSpaceDN/>
        <w:bidi w:val="0"/>
        <w:adjustRightInd/>
        <w:snapToGrid w:val="0"/>
        <w:spacing w:line="400" w:lineRule="atLeast"/>
        <w:ind w:firstLine="420"/>
        <w:textAlignment w:val="auto"/>
        <w:outlineLvl w:val="4"/>
        <w:rPr>
          <w:rFonts w:ascii="宋体" w:hAnsi="宋体"/>
          <w:sz w:val="21"/>
          <w:szCs w:val="21"/>
        </w:rPr>
      </w:pPr>
      <w:r>
        <w:rPr>
          <w:rFonts w:hint="eastAsia" w:ascii="宋体" w:hAnsi="宋体"/>
          <w:sz w:val="21"/>
          <w:szCs w:val="21"/>
        </w:rPr>
        <w:t>我已在下面签字，以资证明。</w:t>
      </w:r>
    </w:p>
    <w:p w14:paraId="38E67F3F">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9"/>
        <w:rPr>
          <w:rFonts w:ascii="宋体" w:hAnsi="宋体"/>
          <w:sz w:val="21"/>
          <w:szCs w:val="21"/>
        </w:rPr>
      </w:pPr>
    </w:p>
    <w:p w14:paraId="235AB370">
      <w:pPr>
        <w:keepNext w:val="0"/>
        <w:keepLines w:val="0"/>
        <w:pageBreakBefore w:val="0"/>
        <w:widowControl w:val="0"/>
        <w:kinsoku/>
        <w:wordWrap/>
        <w:overflowPunct/>
        <w:topLinePunct w:val="0"/>
        <w:autoSpaceDE/>
        <w:autoSpaceDN/>
        <w:bidi w:val="0"/>
        <w:adjustRightInd/>
        <w:snapToGrid w:val="0"/>
        <w:spacing w:line="400" w:lineRule="atLeast"/>
        <w:ind w:firstLine="420"/>
        <w:textAlignment w:val="auto"/>
        <w:outlineLvl w:val="4"/>
        <w:rPr>
          <w:rFonts w:ascii="宋体" w:hAnsi="宋体"/>
          <w:sz w:val="21"/>
          <w:szCs w:val="21"/>
          <w:u w:val="single"/>
        </w:rPr>
      </w:pPr>
      <w:r>
        <w:rPr>
          <w:rFonts w:hint="eastAsia" w:ascii="宋体" w:hAnsi="宋体"/>
          <w:sz w:val="21"/>
          <w:szCs w:val="21"/>
        </w:rPr>
        <w:t>供应商（</w:t>
      </w:r>
      <w:r>
        <w:rPr>
          <w:rFonts w:hint="eastAsia" w:ascii="宋体" w:hAnsi="宋体"/>
          <w:sz w:val="21"/>
          <w:szCs w:val="21"/>
          <w:lang w:val="en-US" w:eastAsia="zh-CN"/>
        </w:rPr>
        <w:t>盖单位CA</w:t>
      </w:r>
      <w:r>
        <w:rPr>
          <w:rFonts w:hint="eastAsia" w:ascii="宋体" w:hAnsi="宋体"/>
          <w:sz w:val="21"/>
          <w:szCs w:val="21"/>
        </w:rPr>
        <w:t>公章）：</w:t>
      </w:r>
      <w:r>
        <w:rPr>
          <w:rFonts w:hint="eastAsia" w:ascii="宋体" w:hAnsi="宋体"/>
          <w:b/>
          <w:sz w:val="21"/>
          <w:szCs w:val="21"/>
          <w:u w:val="single"/>
        </w:rPr>
        <w:t xml:space="preserve">                                      </w:t>
      </w:r>
    </w:p>
    <w:p w14:paraId="5AB36385">
      <w:pPr>
        <w:keepNext w:val="0"/>
        <w:keepLines w:val="0"/>
        <w:pageBreakBefore w:val="0"/>
        <w:widowControl w:val="0"/>
        <w:kinsoku/>
        <w:wordWrap/>
        <w:overflowPunct/>
        <w:topLinePunct w:val="0"/>
        <w:autoSpaceDE/>
        <w:autoSpaceDN/>
        <w:bidi w:val="0"/>
        <w:adjustRightInd/>
        <w:snapToGrid w:val="0"/>
        <w:spacing w:line="400" w:lineRule="atLeast"/>
        <w:ind w:firstLine="420"/>
        <w:textAlignment w:val="auto"/>
        <w:outlineLvl w:val="9"/>
        <w:rPr>
          <w:rFonts w:ascii="宋体" w:hAnsi="宋体"/>
          <w:sz w:val="21"/>
          <w:szCs w:val="21"/>
        </w:rPr>
      </w:pPr>
    </w:p>
    <w:p w14:paraId="5C62DDEF">
      <w:pPr>
        <w:keepNext w:val="0"/>
        <w:keepLines w:val="0"/>
        <w:pageBreakBefore w:val="0"/>
        <w:widowControl w:val="0"/>
        <w:kinsoku/>
        <w:wordWrap/>
        <w:overflowPunct/>
        <w:topLinePunct w:val="0"/>
        <w:autoSpaceDE/>
        <w:autoSpaceDN/>
        <w:bidi w:val="0"/>
        <w:adjustRightInd/>
        <w:snapToGrid w:val="0"/>
        <w:spacing w:line="400" w:lineRule="atLeast"/>
        <w:ind w:firstLine="420"/>
        <w:textAlignment w:val="auto"/>
        <w:outlineLvl w:val="4"/>
        <w:rPr>
          <w:rFonts w:hint="eastAsia" w:ascii="宋体" w:hAnsi="宋体"/>
          <w:sz w:val="21"/>
          <w:szCs w:val="21"/>
        </w:rPr>
      </w:pPr>
      <w:r>
        <w:rPr>
          <w:rFonts w:hint="eastAsia" w:ascii="宋体" w:hAnsi="宋体"/>
          <w:sz w:val="21"/>
          <w:szCs w:val="21"/>
        </w:rPr>
        <w:t>法定代表人（负责人）签字或盖章：</w:t>
      </w:r>
      <w:r>
        <w:rPr>
          <w:rFonts w:hint="eastAsia" w:ascii="宋体" w:hAnsi="宋体"/>
          <w:sz w:val="21"/>
          <w:szCs w:val="21"/>
          <w:u w:val="single"/>
        </w:rPr>
        <w:t xml:space="preserve">                  </w:t>
      </w:r>
      <w:r>
        <w:rPr>
          <w:rFonts w:hint="eastAsia" w:ascii="宋体" w:hAnsi="宋体"/>
          <w:sz w:val="21"/>
          <w:szCs w:val="21"/>
        </w:rPr>
        <w:t xml:space="preserve">        　　 </w:t>
      </w:r>
    </w:p>
    <w:p w14:paraId="2683A8DC">
      <w:pPr>
        <w:keepNext w:val="0"/>
        <w:keepLines w:val="0"/>
        <w:pageBreakBefore w:val="0"/>
        <w:widowControl w:val="0"/>
        <w:kinsoku/>
        <w:wordWrap/>
        <w:overflowPunct/>
        <w:topLinePunct w:val="0"/>
        <w:autoSpaceDE/>
        <w:autoSpaceDN/>
        <w:bidi w:val="0"/>
        <w:adjustRightInd/>
        <w:snapToGrid w:val="0"/>
        <w:spacing w:line="400" w:lineRule="atLeast"/>
        <w:ind w:firstLine="420"/>
        <w:textAlignment w:val="auto"/>
        <w:outlineLvl w:val="9"/>
        <w:rPr>
          <w:rFonts w:hint="eastAsia" w:ascii="宋体" w:hAnsi="宋体"/>
          <w:sz w:val="21"/>
          <w:szCs w:val="21"/>
        </w:rPr>
      </w:pPr>
    </w:p>
    <w:p w14:paraId="339ACDD4">
      <w:pPr>
        <w:keepNext w:val="0"/>
        <w:keepLines w:val="0"/>
        <w:pageBreakBefore w:val="0"/>
        <w:widowControl w:val="0"/>
        <w:kinsoku/>
        <w:wordWrap/>
        <w:overflowPunct/>
        <w:topLinePunct w:val="0"/>
        <w:autoSpaceDE/>
        <w:autoSpaceDN/>
        <w:bidi w:val="0"/>
        <w:adjustRightInd/>
        <w:snapToGrid w:val="0"/>
        <w:spacing w:line="400" w:lineRule="atLeast"/>
        <w:ind w:firstLine="420"/>
        <w:textAlignment w:val="auto"/>
        <w:outlineLvl w:val="4"/>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3CD2A4BD">
      <w:pPr>
        <w:pStyle w:val="10"/>
        <w:keepNext w:val="0"/>
        <w:keepLines w:val="0"/>
        <w:pageBreakBefore w:val="0"/>
        <w:widowControl w:val="0"/>
        <w:kinsoku/>
        <w:wordWrap/>
        <w:overflowPunct/>
        <w:topLinePunct w:val="0"/>
        <w:autoSpaceDE/>
        <w:autoSpaceDN/>
        <w:bidi w:val="0"/>
        <w:adjustRightInd/>
        <w:spacing w:line="400" w:lineRule="atLeast"/>
        <w:textAlignment w:val="auto"/>
        <w:rPr>
          <w:rFonts w:hint="eastAsia" w:hAnsi="宋体"/>
          <w:bCs/>
          <w:sz w:val="21"/>
          <w:szCs w:val="21"/>
        </w:rPr>
      </w:pPr>
    </w:p>
    <w:p w14:paraId="38D4DF61">
      <w:pPr>
        <w:pStyle w:val="10"/>
        <w:keepNext w:val="0"/>
        <w:keepLines w:val="0"/>
        <w:pageBreakBefore w:val="0"/>
        <w:widowControl w:val="0"/>
        <w:kinsoku/>
        <w:wordWrap/>
        <w:overflowPunct/>
        <w:topLinePunct w:val="0"/>
        <w:autoSpaceDE/>
        <w:autoSpaceDN/>
        <w:bidi w:val="0"/>
        <w:adjustRightInd/>
        <w:spacing w:line="400" w:lineRule="atLeast"/>
        <w:textAlignment w:val="auto"/>
        <w:rPr>
          <w:rFonts w:hint="eastAsia" w:hAnsi="宋体"/>
          <w:b/>
          <w:bCs w:val="0"/>
          <w:sz w:val="21"/>
          <w:szCs w:val="21"/>
          <w:lang w:eastAsia="zh-CN"/>
        </w:rPr>
      </w:pPr>
      <w:r>
        <w:rPr>
          <w:rFonts w:hint="eastAsia" w:hAnsi="宋体"/>
          <w:b/>
          <w:bCs w:val="0"/>
          <w:sz w:val="21"/>
          <w:szCs w:val="21"/>
        </w:rPr>
        <w:t>附：授权委托人身份证正背面复印件并加盖单位</w:t>
      </w:r>
      <w:r>
        <w:rPr>
          <w:rFonts w:hint="eastAsia" w:hAnsi="宋体"/>
          <w:b/>
          <w:bCs w:val="0"/>
          <w:sz w:val="21"/>
          <w:szCs w:val="21"/>
          <w:lang w:val="en-US" w:eastAsia="zh-CN"/>
        </w:rPr>
        <w:t>CA</w:t>
      </w:r>
      <w:r>
        <w:rPr>
          <w:rFonts w:hint="eastAsia" w:hAnsi="宋体"/>
          <w:b/>
          <w:bCs w:val="0"/>
          <w:sz w:val="21"/>
          <w:szCs w:val="21"/>
        </w:rPr>
        <w:t>公章</w:t>
      </w:r>
      <w:r>
        <w:rPr>
          <w:rFonts w:hint="eastAsia" w:hAnsi="宋体"/>
          <w:b/>
          <w:bCs w:val="0"/>
          <w:sz w:val="21"/>
          <w:szCs w:val="21"/>
          <w:lang w:eastAsia="zh-CN"/>
        </w:rPr>
        <w:t>。</w:t>
      </w:r>
    </w:p>
    <w:p w14:paraId="6579D535">
      <w:pPr>
        <w:pStyle w:val="21"/>
        <w:rPr>
          <w:rFonts w:hint="eastAsia" w:hAnsi="宋体"/>
          <w:b/>
          <w:bCs w:val="0"/>
          <w:sz w:val="21"/>
          <w:szCs w:val="21"/>
          <w:lang w:eastAsia="zh-CN"/>
        </w:rPr>
      </w:pPr>
    </w:p>
    <w:p w14:paraId="5A33F55A">
      <w:pPr>
        <w:tabs>
          <w:tab w:val="left" w:pos="1305"/>
        </w:tabs>
        <w:spacing w:line="400" w:lineRule="atLeast"/>
        <w:rPr>
          <w:rFonts w:hint="eastAsia" w:ascii="宋体" w:hAnsi="宋体" w:cs="宋体"/>
          <w:b/>
          <w:bCs/>
          <w:sz w:val="28"/>
          <w:szCs w:val="28"/>
          <w:lang w:val="en-US" w:eastAsia="zh-CN"/>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CC2DA71">
      <w:pPr>
        <w:pStyle w:val="25"/>
      </w:pPr>
    </w:p>
    <w:p w14:paraId="259F5BC2">
      <w:pPr>
        <w:spacing w:line="360" w:lineRule="auto"/>
        <w:jc w:val="center"/>
        <w:rPr>
          <w:rFonts w:ascii="宋体" w:hAnsi="宋体" w:cs="方正小标宋简体"/>
          <w:b/>
          <w:color w:val="auto"/>
          <w:sz w:val="32"/>
          <w:szCs w:val="32"/>
        </w:rPr>
      </w:pPr>
      <w:r>
        <w:rPr>
          <w:rFonts w:hint="eastAsia" w:ascii="宋体" w:hAnsi="宋体" w:cs="方正小标宋简体"/>
          <w:b/>
          <w:color w:val="auto"/>
          <w:sz w:val="32"/>
          <w:szCs w:val="32"/>
        </w:rPr>
        <w:t>建筑材料和设备节能环保要求承诺书</w:t>
      </w:r>
    </w:p>
    <w:p w14:paraId="5F3AD984">
      <w:pPr>
        <w:spacing w:line="360" w:lineRule="auto"/>
        <w:jc w:val="center"/>
        <w:rPr>
          <w:rFonts w:ascii="宋体" w:hAnsi="宋体" w:cs="宋体"/>
          <w:color w:val="auto"/>
          <w:szCs w:val="21"/>
        </w:rPr>
      </w:pPr>
    </w:p>
    <w:p w14:paraId="40C6F44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我方承诺，一旦成交，我方保证严格执行《财政部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13D1A141">
      <w:pPr>
        <w:spacing w:line="360" w:lineRule="auto"/>
        <w:ind w:firstLine="420" w:firstLineChars="200"/>
        <w:jc w:val="center"/>
        <w:rPr>
          <w:color w:val="auto"/>
          <w:sz w:val="21"/>
          <w:szCs w:val="21"/>
        </w:rPr>
      </w:pPr>
    </w:p>
    <w:p w14:paraId="1504774E">
      <w:pPr>
        <w:spacing w:line="360" w:lineRule="auto"/>
        <w:contextualSpacing/>
        <w:rPr>
          <w:rFonts w:ascii="宋体" w:hAnsi="宋体" w:cs="仿宋_GB2312"/>
          <w:color w:val="auto"/>
          <w:sz w:val="21"/>
          <w:szCs w:val="21"/>
        </w:rPr>
      </w:pPr>
    </w:p>
    <w:p w14:paraId="246172BB">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供应商（盖单位</w:t>
      </w:r>
      <w:r>
        <w:rPr>
          <w:rFonts w:hint="eastAsia" w:ascii="宋体" w:hAnsi="宋体" w:eastAsia="宋体" w:cs="宋体"/>
          <w:sz w:val="21"/>
          <w:szCs w:val="21"/>
          <w:lang w:val="en-US" w:eastAsia="zh-CN"/>
        </w:rPr>
        <w:t>CA</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p>
    <w:p w14:paraId="68ED0643">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日期：     年     月     日</w:t>
      </w:r>
    </w:p>
    <w:p w14:paraId="394D93E4">
      <w:pPr>
        <w:pStyle w:val="25"/>
        <w:spacing w:line="360" w:lineRule="auto"/>
        <w:rPr>
          <w:rFonts w:hint="eastAsia"/>
          <w:sz w:val="21"/>
          <w:szCs w:val="21"/>
          <w:lang w:val="en-US" w:eastAsia="zh-CN"/>
        </w:rPr>
        <w:sectPr>
          <w:pgSz w:w="11906" w:h="16838"/>
          <w:pgMar w:top="1247" w:right="1247" w:bottom="1247" w:left="1247" w:header="851" w:footer="992" w:gutter="0"/>
          <w:pgNumType w:fmt="decimal"/>
          <w:cols w:space="425" w:num="1"/>
          <w:docGrid w:type="lines" w:linePitch="312" w:charSpace="0"/>
        </w:sectPr>
      </w:pPr>
    </w:p>
    <w:p w14:paraId="06F49082">
      <w:pPr>
        <w:snapToGrid w:val="0"/>
        <w:spacing w:before="156" w:beforeLines="50" w:after="50"/>
        <w:jc w:val="center"/>
        <w:rPr>
          <w:rFonts w:ascii="宋体" w:hAnsi="宋体" w:cs="方正小标宋简体"/>
          <w:b/>
          <w:color w:val="auto"/>
          <w:sz w:val="32"/>
          <w:szCs w:val="32"/>
        </w:rPr>
      </w:pPr>
      <w:r>
        <w:rPr>
          <w:rFonts w:hint="eastAsia" w:ascii="宋体" w:hAnsi="宋体" w:cs="方正小标宋简体"/>
          <w:b/>
          <w:color w:val="auto"/>
          <w:sz w:val="32"/>
          <w:szCs w:val="32"/>
        </w:rPr>
        <w:t>商务要求响应表</w:t>
      </w:r>
    </w:p>
    <w:p w14:paraId="320F793F">
      <w:pPr>
        <w:spacing w:line="360" w:lineRule="auto"/>
        <w:contextualSpacing/>
        <w:rPr>
          <w:rFonts w:hint="eastAsia" w:ascii="宋体" w:hAnsi="宋体" w:cs="仿宋_GB2312"/>
          <w:color w:val="auto"/>
          <w:sz w:val="24"/>
        </w:rPr>
      </w:pPr>
    </w:p>
    <w:p w14:paraId="00C91FBC">
      <w:pPr>
        <w:spacing w:line="360" w:lineRule="auto"/>
        <w:contextualSpacing/>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采购项目编号：</w:t>
      </w:r>
      <w:r>
        <w:rPr>
          <w:rFonts w:hint="eastAsia" w:ascii="宋体" w:hAnsi="宋体" w:eastAsia="宋体" w:cs="宋体"/>
          <w:color w:val="auto"/>
          <w:sz w:val="21"/>
          <w:szCs w:val="21"/>
          <w:u w:val="single"/>
        </w:rPr>
        <w:t xml:space="preserve">                 </w:t>
      </w:r>
    </w:p>
    <w:p w14:paraId="5EF1356C">
      <w:pPr>
        <w:spacing w:line="360" w:lineRule="auto"/>
        <w:contextualSpacing/>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采购项目名称：</w:t>
      </w:r>
      <w:r>
        <w:rPr>
          <w:rFonts w:hint="eastAsia" w:ascii="宋体" w:hAnsi="宋体" w:eastAsia="宋体" w:cs="宋体"/>
          <w:color w:val="auto"/>
          <w:sz w:val="21"/>
          <w:szCs w:val="21"/>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47"/>
        <w:gridCol w:w="2239"/>
        <w:gridCol w:w="2064"/>
        <w:gridCol w:w="2896"/>
        <w:gridCol w:w="1582"/>
      </w:tblGrid>
      <w:tr w14:paraId="6E1CF3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0" w:type="pct"/>
            <w:vAlign w:val="center"/>
          </w:tcPr>
          <w:p w14:paraId="4E991D5F">
            <w:pPr>
              <w:pStyle w:val="8"/>
              <w:spacing w:line="360" w:lineRule="auto"/>
              <w:ind w:firstLine="0" w:firstLineChars="0"/>
              <w:contextualSpacing/>
              <w:jc w:val="center"/>
              <w:rPr>
                <w:rFonts w:hint="eastAsia" w:ascii="宋体" w:hAnsi="宋体" w:eastAsia="宋体" w:cs="宋体"/>
                <w:color w:val="auto"/>
                <w:kern w:val="2"/>
                <w:sz w:val="21"/>
                <w:szCs w:val="21"/>
              </w:rPr>
            </w:pPr>
            <w:bookmarkStart w:id="74" w:name="_Toc373333689"/>
            <w:bookmarkStart w:id="75" w:name="_Toc295404981"/>
            <w:bookmarkStart w:id="76" w:name="_Toc254970729"/>
            <w:bookmarkStart w:id="77" w:name="_Toc383699906"/>
            <w:bookmarkStart w:id="78" w:name="_Toc254970588"/>
            <w:bookmarkStart w:id="79" w:name="_Toc173211900"/>
            <w:bookmarkStart w:id="80" w:name="_Toc301781611"/>
            <w:bookmarkStart w:id="81" w:name="_Toc173066401"/>
            <w:bookmarkStart w:id="82" w:name="_Toc297193185"/>
            <w:r>
              <w:rPr>
                <w:rFonts w:hint="eastAsia" w:ascii="宋体" w:hAnsi="宋体" w:eastAsia="宋体" w:cs="宋体"/>
                <w:color w:val="auto"/>
                <w:kern w:val="2"/>
                <w:sz w:val="21"/>
                <w:szCs w:val="21"/>
              </w:rPr>
              <w:t>序号</w:t>
            </w:r>
            <w:bookmarkEnd w:id="74"/>
            <w:bookmarkEnd w:id="75"/>
            <w:bookmarkEnd w:id="76"/>
            <w:bookmarkEnd w:id="77"/>
            <w:bookmarkEnd w:id="78"/>
            <w:bookmarkEnd w:id="79"/>
            <w:bookmarkEnd w:id="80"/>
            <w:bookmarkEnd w:id="81"/>
            <w:bookmarkEnd w:id="82"/>
          </w:p>
        </w:tc>
        <w:tc>
          <w:tcPr>
            <w:tcW w:w="1162" w:type="pct"/>
            <w:tcBorders>
              <w:right w:val="single" w:color="auto" w:sz="4" w:space="0"/>
            </w:tcBorders>
            <w:vAlign w:val="center"/>
          </w:tcPr>
          <w:p w14:paraId="67D222A1">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名称</w:t>
            </w:r>
          </w:p>
        </w:tc>
        <w:tc>
          <w:tcPr>
            <w:tcW w:w="1071" w:type="pct"/>
            <w:tcBorders>
              <w:left w:val="single" w:color="auto" w:sz="4" w:space="0"/>
            </w:tcBorders>
            <w:vAlign w:val="center"/>
          </w:tcPr>
          <w:p w14:paraId="0E09114A">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磋商文件要求</w:t>
            </w:r>
          </w:p>
        </w:tc>
        <w:tc>
          <w:tcPr>
            <w:tcW w:w="1503" w:type="pct"/>
            <w:vAlign w:val="center"/>
          </w:tcPr>
          <w:p w14:paraId="219C74E9">
            <w:pPr>
              <w:pStyle w:val="8"/>
              <w:spacing w:line="360" w:lineRule="auto"/>
              <w:ind w:firstLine="0" w:firstLineChars="0"/>
              <w:contextualSpacing/>
              <w:jc w:val="center"/>
              <w:rPr>
                <w:rFonts w:hint="eastAsia" w:ascii="宋体" w:hAnsi="宋体" w:eastAsia="宋体" w:cs="宋体"/>
                <w:color w:val="auto"/>
                <w:kern w:val="2"/>
                <w:sz w:val="21"/>
                <w:szCs w:val="21"/>
              </w:rPr>
            </w:pPr>
            <w:bookmarkStart w:id="83" w:name="_Toc173211902"/>
            <w:bookmarkStart w:id="84" w:name="_Toc173066403"/>
            <w:bookmarkStart w:id="85" w:name="_Toc301781613"/>
            <w:bookmarkStart w:id="86" w:name="_Toc254970590"/>
            <w:bookmarkStart w:id="87" w:name="_Toc297193187"/>
            <w:bookmarkStart w:id="88" w:name="_Toc373333691"/>
            <w:bookmarkStart w:id="89" w:name="_Toc383699908"/>
            <w:bookmarkStart w:id="90" w:name="_Toc254970731"/>
            <w:bookmarkStart w:id="91" w:name="_Toc295404983"/>
            <w:r>
              <w:rPr>
                <w:rFonts w:hint="eastAsia" w:ascii="宋体" w:hAnsi="宋体" w:eastAsia="宋体" w:cs="宋体"/>
                <w:color w:val="auto"/>
                <w:kern w:val="2"/>
                <w:sz w:val="21"/>
                <w:szCs w:val="21"/>
              </w:rPr>
              <w:t>竞标响应</w:t>
            </w:r>
            <w:bookmarkEnd w:id="83"/>
            <w:bookmarkEnd w:id="84"/>
            <w:bookmarkEnd w:id="85"/>
            <w:bookmarkEnd w:id="86"/>
            <w:bookmarkEnd w:id="87"/>
            <w:bookmarkEnd w:id="88"/>
            <w:bookmarkEnd w:id="89"/>
            <w:bookmarkEnd w:id="90"/>
            <w:bookmarkEnd w:id="91"/>
          </w:p>
        </w:tc>
        <w:tc>
          <w:tcPr>
            <w:tcW w:w="821" w:type="pct"/>
            <w:vAlign w:val="center"/>
          </w:tcPr>
          <w:p w14:paraId="24D0A3B9">
            <w:pPr>
              <w:pStyle w:val="8"/>
              <w:spacing w:line="360" w:lineRule="auto"/>
              <w:ind w:firstLine="0" w:firstLineChars="0"/>
              <w:contextualSpacing/>
              <w:jc w:val="center"/>
              <w:rPr>
                <w:rFonts w:hint="eastAsia" w:ascii="宋体" w:hAnsi="宋体" w:eastAsia="宋体" w:cs="宋体"/>
                <w:color w:val="auto"/>
                <w:kern w:val="2"/>
                <w:sz w:val="21"/>
                <w:szCs w:val="21"/>
              </w:rPr>
            </w:pPr>
            <w:bookmarkStart w:id="92" w:name="_Toc373333692"/>
            <w:bookmarkStart w:id="93" w:name="_Toc254970732"/>
            <w:bookmarkStart w:id="94" w:name="_Toc173211903"/>
            <w:bookmarkStart w:id="95" w:name="_Toc295404984"/>
            <w:bookmarkStart w:id="96" w:name="_Toc297193188"/>
            <w:bookmarkStart w:id="97" w:name="_Toc254970591"/>
            <w:bookmarkStart w:id="98" w:name="_Toc173066404"/>
            <w:bookmarkStart w:id="99" w:name="_Toc301781614"/>
            <w:bookmarkStart w:id="100" w:name="_Toc383699909"/>
            <w:r>
              <w:rPr>
                <w:rFonts w:hint="eastAsia" w:ascii="宋体" w:hAnsi="宋体" w:eastAsia="宋体" w:cs="宋体"/>
                <w:color w:val="auto"/>
                <w:kern w:val="2"/>
                <w:sz w:val="21"/>
                <w:szCs w:val="21"/>
              </w:rPr>
              <w:t>偏离</w:t>
            </w:r>
            <w:bookmarkEnd w:id="92"/>
            <w:bookmarkEnd w:id="93"/>
            <w:bookmarkEnd w:id="94"/>
            <w:bookmarkEnd w:id="95"/>
            <w:bookmarkEnd w:id="96"/>
            <w:bookmarkEnd w:id="97"/>
            <w:bookmarkEnd w:id="98"/>
            <w:bookmarkEnd w:id="99"/>
            <w:bookmarkEnd w:id="100"/>
            <w:bookmarkStart w:id="101" w:name="_Toc173211904"/>
            <w:bookmarkStart w:id="102" w:name="_Toc301781615"/>
            <w:bookmarkStart w:id="103" w:name="_Toc254970592"/>
            <w:bookmarkStart w:id="104" w:name="_Toc173066405"/>
            <w:bookmarkStart w:id="105" w:name="_Toc254970733"/>
            <w:bookmarkStart w:id="106" w:name="_Toc295404985"/>
            <w:bookmarkStart w:id="107" w:name="_Toc383699910"/>
            <w:bookmarkStart w:id="108" w:name="_Toc297193189"/>
            <w:bookmarkStart w:id="109" w:name="_Toc373333693"/>
            <w:r>
              <w:rPr>
                <w:rFonts w:hint="eastAsia" w:ascii="宋体" w:hAnsi="宋体" w:eastAsia="宋体" w:cs="宋体"/>
                <w:color w:val="auto"/>
                <w:kern w:val="2"/>
                <w:sz w:val="21"/>
                <w:szCs w:val="21"/>
              </w:rPr>
              <w:t>说明</w:t>
            </w:r>
            <w:bookmarkEnd w:id="101"/>
            <w:bookmarkEnd w:id="102"/>
            <w:bookmarkEnd w:id="103"/>
            <w:bookmarkEnd w:id="104"/>
            <w:bookmarkEnd w:id="105"/>
            <w:bookmarkEnd w:id="106"/>
            <w:bookmarkEnd w:id="107"/>
            <w:bookmarkEnd w:id="108"/>
            <w:bookmarkEnd w:id="109"/>
          </w:p>
        </w:tc>
      </w:tr>
      <w:tr w14:paraId="2C2AE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0" w:type="pct"/>
            <w:vAlign w:val="center"/>
          </w:tcPr>
          <w:p w14:paraId="2BE0AEC1">
            <w:pPr>
              <w:pStyle w:val="8"/>
              <w:spacing w:line="360" w:lineRule="auto"/>
              <w:ind w:firstLine="0" w:firstLineChars="0"/>
              <w:contextualSpacing/>
              <w:jc w:val="center"/>
              <w:rPr>
                <w:rFonts w:hint="eastAsia" w:ascii="宋体" w:hAnsi="宋体" w:eastAsia="宋体" w:cs="宋体"/>
                <w:color w:val="auto"/>
                <w:kern w:val="2"/>
                <w:sz w:val="21"/>
                <w:szCs w:val="21"/>
              </w:rPr>
            </w:pPr>
            <w:bookmarkStart w:id="110" w:name="_Toc383699911"/>
            <w:bookmarkStart w:id="111" w:name="_Toc295404986"/>
            <w:bookmarkStart w:id="112" w:name="_Toc254970734"/>
            <w:bookmarkStart w:id="113" w:name="_Toc173211905"/>
            <w:bookmarkStart w:id="114" w:name="_Toc301781616"/>
            <w:bookmarkStart w:id="115" w:name="_Toc173066406"/>
            <w:bookmarkStart w:id="116" w:name="_Toc373333694"/>
            <w:bookmarkStart w:id="117" w:name="_Toc254970593"/>
            <w:bookmarkStart w:id="118" w:name="_Toc297193190"/>
            <w:r>
              <w:rPr>
                <w:rFonts w:hint="eastAsia" w:ascii="宋体" w:hAnsi="宋体" w:eastAsia="宋体" w:cs="宋体"/>
                <w:color w:val="auto"/>
                <w:kern w:val="2"/>
                <w:sz w:val="21"/>
                <w:szCs w:val="21"/>
              </w:rPr>
              <w:t>1</w:t>
            </w:r>
            <w:bookmarkEnd w:id="110"/>
            <w:bookmarkEnd w:id="111"/>
            <w:bookmarkEnd w:id="112"/>
            <w:bookmarkEnd w:id="113"/>
            <w:bookmarkEnd w:id="114"/>
            <w:bookmarkEnd w:id="115"/>
            <w:bookmarkEnd w:id="116"/>
            <w:bookmarkEnd w:id="117"/>
            <w:bookmarkEnd w:id="118"/>
          </w:p>
        </w:tc>
        <w:tc>
          <w:tcPr>
            <w:tcW w:w="1162" w:type="pct"/>
            <w:tcBorders>
              <w:right w:val="single" w:color="auto" w:sz="4" w:space="0"/>
            </w:tcBorders>
            <w:vAlign w:val="center"/>
          </w:tcPr>
          <w:p w14:paraId="33275A1C">
            <w:pPr>
              <w:spacing w:line="360" w:lineRule="auto"/>
              <w:rPr>
                <w:rFonts w:hint="eastAsia" w:ascii="宋体" w:hAnsi="宋体" w:eastAsia="宋体" w:cs="宋体"/>
                <w:color w:val="auto"/>
                <w:kern w:val="2"/>
                <w:sz w:val="21"/>
                <w:szCs w:val="21"/>
              </w:rPr>
            </w:pPr>
          </w:p>
        </w:tc>
        <w:tc>
          <w:tcPr>
            <w:tcW w:w="1071" w:type="pct"/>
            <w:tcBorders>
              <w:left w:val="single" w:color="auto" w:sz="4" w:space="0"/>
            </w:tcBorders>
            <w:vAlign w:val="center"/>
          </w:tcPr>
          <w:p w14:paraId="3880BA99">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5DD5A0A6">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1" w:type="pct"/>
            <w:vAlign w:val="center"/>
          </w:tcPr>
          <w:p w14:paraId="3469A211">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30C222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0" w:type="pct"/>
            <w:vAlign w:val="center"/>
          </w:tcPr>
          <w:p w14:paraId="56B3233C">
            <w:pPr>
              <w:pStyle w:val="8"/>
              <w:spacing w:line="360" w:lineRule="auto"/>
              <w:ind w:firstLine="0" w:firstLineChars="0"/>
              <w:contextualSpacing/>
              <w:jc w:val="center"/>
              <w:rPr>
                <w:rFonts w:hint="eastAsia" w:ascii="宋体" w:hAnsi="宋体" w:eastAsia="宋体" w:cs="宋体"/>
                <w:color w:val="auto"/>
                <w:kern w:val="2"/>
                <w:sz w:val="21"/>
                <w:szCs w:val="21"/>
              </w:rPr>
            </w:pPr>
            <w:bookmarkStart w:id="119" w:name="_Toc383699912"/>
            <w:bookmarkStart w:id="120" w:name="_Toc301781617"/>
            <w:bookmarkStart w:id="121" w:name="_Toc173211906"/>
            <w:bookmarkStart w:id="122" w:name="_Toc173066407"/>
            <w:bookmarkStart w:id="123" w:name="_Toc254970594"/>
            <w:bookmarkStart w:id="124" w:name="_Toc295404987"/>
            <w:bookmarkStart w:id="125" w:name="_Toc254970735"/>
            <w:bookmarkStart w:id="126" w:name="_Toc373333695"/>
            <w:bookmarkStart w:id="127" w:name="_Toc297193191"/>
            <w:r>
              <w:rPr>
                <w:rFonts w:hint="eastAsia" w:ascii="宋体" w:hAnsi="宋体" w:eastAsia="宋体" w:cs="宋体"/>
                <w:color w:val="auto"/>
                <w:kern w:val="2"/>
                <w:sz w:val="21"/>
                <w:szCs w:val="21"/>
              </w:rPr>
              <w:t>2</w:t>
            </w:r>
            <w:bookmarkEnd w:id="119"/>
            <w:bookmarkEnd w:id="120"/>
            <w:bookmarkEnd w:id="121"/>
            <w:bookmarkEnd w:id="122"/>
            <w:bookmarkEnd w:id="123"/>
            <w:bookmarkEnd w:id="124"/>
            <w:bookmarkEnd w:id="125"/>
            <w:bookmarkEnd w:id="126"/>
            <w:bookmarkEnd w:id="127"/>
          </w:p>
        </w:tc>
        <w:tc>
          <w:tcPr>
            <w:tcW w:w="1162" w:type="pct"/>
            <w:tcBorders>
              <w:right w:val="single" w:color="auto" w:sz="4" w:space="0"/>
            </w:tcBorders>
            <w:vAlign w:val="center"/>
          </w:tcPr>
          <w:p w14:paraId="50E59C17">
            <w:pPr>
              <w:spacing w:line="360" w:lineRule="auto"/>
              <w:rPr>
                <w:rFonts w:hint="eastAsia" w:ascii="宋体" w:hAnsi="宋体" w:eastAsia="宋体" w:cs="宋体"/>
                <w:color w:val="auto"/>
                <w:kern w:val="2"/>
                <w:sz w:val="21"/>
                <w:szCs w:val="21"/>
              </w:rPr>
            </w:pPr>
          </w:p>
        </w:tc>
        <w:tc>
          <w:tcPr>
            <w:tcW w:w="1071" w:type="pct"/>
            <w:tcBorders>
              <w:left w:val="single" w:color="auto" w:sz="4" w:space="0"/>
            </w:tcBorders>
            <w:vAlign w:val="center"/>
          </w:tcPr>
          <w:p w14:paraId="050F0F80">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4ED9493B">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1" w:type="pct"/>
            <w:vAlign w:val="center"/>
          </w:tcPr>
          <w:p w14:paraId="7362B8DA">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02BFAA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0" w:type="pct"/>
            <w:vAlign w:val="center"/>
          </w:tcPr>
          <w:p w14:paraId="1D206A9C">
            <w:pPr>
              <w:pStyle w:val="8"/>
              <w:spacing w:line="360" w:lineRule="auto"/>
              <w:ind w:firstLine="0" w:firstLineChars="0"/>
              <w:contextualSpacing/>
              <w:jc w:val="center"/>
              <w:rPr>
                <w:rFonts w:hint="eastAsia" w:ascii="宋体" w:hAnsi="宋体" w:eastAsia="宋体" w:cs="宋体"/>
                <w:color w:val="auto"/>
                <w:kern w:val="2"/>
                <w:sz w:val="21"/>
                <w:szCs w:val="21"/>
              </w:rPr>
            </w:pPr>
            <w:bookmarkStart w:id="128" w:name="_Toc173211907"/>
            <w:bookmarkStart w:id="129" w:name="_Toc297193192"/>
            <w:bookmarkStart w:id="130" w:name="_Toc254970595"/>
            <w:bookmarkStart w:id="131" w:name="_Toc301781618"/>
            <w:bookmarkStart w:id="132" w:name="_Toc373333696"/>
            <w:bookmarkStart w:id="133" w:name="_Toc173066408"/>
            <w:bookmarkStart w:id="134" w:name="_Toc254970736"/>
            <w:bookmarkStart w:id="135" w:name="_Toc383699913"/>
            <w:bookmarkStart w:id="136" w:name="_Toc295404988"/>
            <w:r>
              <w:rPr>
                <w:rFonts w:hint="eastAsia" w:ascii="宋体" w:hAnsi="宋体" w:eastAsia="宋体" w:cs="宋体"/>
                <w:color w:val="auto"/>
                <w:kern w:val="2"/>
                <w:sz w:val="21"/>
                <w:szCs w:val="21"/>
              </w:rPr>
              <w:t>3</w:t>
            </w:r>
            <w:bookmarkEnd w:id="128"/>
            <w:bookmarkEnd w:id="129"/>
            <w:bookmarkEnd w:id="130"/>
            <w:bookmarkEnd w:id="131"/>
            <w:bookmarkEnd w:id="132"/>
            <w:bookmarkEnd w:id="133"/>
            <w:bookmarkEnd w:id="134"/>
            <w:bookmarkEnd w:id="135"/>
            <w:bookmarkEnd w:id="136"/>
          </w:p>
        </w:tc>
        <w:tc>
          <w:tcPr>
            <w:tcW w:w="1162" w:type="pct"/>
            <w:tcBorders>
              <w:right w:val="single" w:color="auto" w:sz="4" w:space="0"/>
            </w:tcBorders>
            <w:vAlign w:val="center"/>
          </w:tcPr>
          <w:p w14:paraId="606438D7">
            <w:pPr>
              <w:spacing w:line="360" w:lineRule="auto"/>
              <w:rPr>
                <w:rFonts w:hint="eastAsia" w:ascii="宋体" w:hAnsi="宋体" w:eastAsia="宋体" w:cs="宋体"/>
                <w:color w:val="auto"/>
                <w:kern w:val="2"/>
                <w:sz w:val="21"/>
                <w:szCs w:val="21"/>
              </w:rPr>
            </w:pPr>
          </w:p>
        </w:tc>
        <w:tc>
          <w:tcPr>
            <w:tcW w:w="1071" w:type="pct"/>
            <w:tcBorders>
              <w:left w:val="single" w:color="auto" w:sz="4" w:space="0"/>
            </w:tcBorders>
            <w:vAlign w:val="center"/>
          </w:tcPr>
          <w:p w14:paraId="527AC21F">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352BC22E">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1" w:type="pct"/>
            <w:vAlign w:val="center"/>
          </w:tcPr>
          <w:p w14:paraId="7B717609">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65CB9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0" w:type="pct"/>
            <w:vAlign w:val="center"/>
          </w:tcPr>
          <w:p w14:paraId="39059728">
            <w:pPr>
              <w:pStyle w:val="8"/>
              <w:spacing w:line="360" w:lineRule="auto"/>
              <w:ind w:firstLine="0" w:firstLineChars="0"/>
              <w:contextualSpacing/>
              <w:jc w:val="center"/>
              <w:rPr>
                <w:rFonts w:hint="eastAsia" w:ascii="宋体" w:hAnsi="宋体" w:eastAsia="宋体" w:cs="宋体"/>
                <w:color w:val="auto"/>
                <w:kern w:val="2"/>
                <w:sz w:val="21"/>
                <w:szCs w:val="21"/>
              </w:rPr>
            </w:pPr>
            <w:bookmarkStart w:id="137" w:name="_Toc301781619"/>
            <w:bookmarkStart w:id="138" w:name="_Toc295404989"/>
            <w:bookmarkStart w:id="139" w:name="_Toc254970737"/>
            <w:bookmarkStart w:id="140" w:name="_Toc373333697"/>
            <w:bookmarkStart w:id="141" w:name="_Toc254970596"/>
            <w:bookmarkStart w:id="142" w:name="_Toc297193193"/>
            <w:bookmarkStart w:id="143" w:name="_Toc173211908"/>
            <w:bookmarkStart w:id="144" w:name="_Toc383699914"/>
            <w:bookmarkStart w:id="145" w:name="_Toc173066409"/>
            <w:r>
              <w:rPr>
                <w:rFonts w:hint="eastAsia" w:ascii="宋体" w:hAnsi="宋体" w:eastAsia="宋体" w:cs="宋体"/>
                <w:color w:val="auto"/>
                <w:kern w:val="2"/>
                <w:sz w:val="21"/>
                <w:szCs w:val="21"/>
              </w:rPr>
              <w:t>4</w:t>
            </w:r>
            <w:bookmarkEnd w:id="137"/>
            <w:bookmarkEnd w:id="138"/>
            <w:bookmarkEnd w:id="139"/>
            <w:bookmarkEnd w:id="140"/>
            <w:bookmarkEnd w:id="141"/>
            <w:bookmarkEnd w:id="142"/>
            <w:bookmarkEnd w:id="143"/>
            <w:bookmarkEnd w:id="144"/>
            <w:bookmarkEnd w:id="145"/>
          </w:p>
        </w:tc>
        <w:tc>
          <w:tcPr>
            <w:tcW w:w="1162" w:type="pct"/>
            <w:tcBorders>
              <w:right w:val="single" w:color="auto" w:sz="4" w:space="0"/>
            </w:tcBorders>
            <w:vAlign w:val="center"/>
          </w:tcPr>
          <w:p w14:paraId="215A14D0">
            <w:pPr>
              <w:spacing w:line="360" w:lineRule="auto"/>
              <w:rPr>
                <w:rFonts w:hint="eastAsia" w:ascii="宋体" w:hAnsi="宋体" w:eastAsia="宋体" w:cs="宋体"/>
                <w:color w:val="auto"/>
                <w:kern w:val="2"/>
                <w:sz w:val="21"/>
                <w:szCs w:val="21"/>
              </w:rPr>
            </w:pPr>
          </w:p>
        </w:tc>
        <w:tc>
          <w:tcPr>
            <w:tcW w:w="1071" w:type="pct"/>
            <w:tcBorders>
              <w:left w:val="single" w:color="auto" w:sz="4" w:space="0"/>
            </w:tcBorders>
            <w:vAlign w:val="center"/>
          </w:tcPr>
          <w:p w14:paraId="600A9EA5">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13289AE8">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1" w:type="pct"/>
            <w:vAlign w:val="center"/>
          </w:tcPr>
          <w:p w14:paraId="5D542126">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753637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0" w:type="pct"/>
            <w:vAlign w:val="center"/>
          </w:tcPr>
          <w:p w14:paraId="7126FF24">
            <w:pPr>
              <w:pStyle w:val="8"/>
              <w:spacing w:line="360" w:lineRule="auto"/>
              <w:ind w:firstLine="0" w:firstLineChars="0"/>
              <w:contextualSpacing/>
              <w:jc w:val="center"/>
              <w:rPr>
                <w:rFonts w:hint="eastAsia" w:ascii="宋体" w:hAnsi="宋体" w:eastAsia="宋体" w:cs="宋体"/>
                <w:color w:val="auto"/>
                <w:kern w:val="2"/>
                <w:sz w:val="21"/>
                <w:szCs w:val="21"/>
              </w:rPr>
            </w:pPr>
            <w:bookmarkStart w:id="146" w:name="_Toc301781620"/>
            <w:bookmarkStart w:id="147" w:name="_Toc295404990"/>
            <w:bookmarkStart w:id="148" w:name="_Toc173066410"/>
            <w:bookmarkStart w:id="149" w:name="_Toc373333698"/>
            <w:bookmarkStart w:id="150" w:name="_Toc383699915"/>
            <w:bookmarkStart w:id="151" w:name="_Toc254970738"/>
            <w:bookmarkStart w:id="152" w:name="_Toc173211909"/>
            <w:bookmarkStart w:id="153" w:name="_Toc297193194"/>
            <w:bookmarkStart w:id="154" w:name="_Toc254970597"/>
            <w:r>
              <w:rPr>
                <w:rFonts w:hint="eastAsia" w:ascii="宋体" w:hAnsi="宋体" w:eastAsia="宋体" w:cs="宋体"/>
                <w:color w:val="auto"/>
                <w:kern w:val="2"/>
                <w:sz w:val="21"/>
                <w:szCs w:val="21"/>
              </w:rPr>
              <w:t>5</w:t>
            </w:r>
            <w:bookmarkEnd w:id="146"/>
            <w:bookmarkEnd w:id="147"/>
            <w:bookmarkEnd w:id="148"/>
            <w:bookmarkEnd w:id="149"/>
            <w:bookmarkEnd w:id="150"/>
            <w:bookmarkEnd w:id="151"/>
            <w:bookmarkEnd w:id="152"/>
            <w:bookmarkEnd w:id="153"/>
            <w:bookmarkEnd w:id="154"/>
          </w:p>
        </w:tc>
        <w:tc>
          <w:tcPr>
            <w:tcW w:w="1162" w:type="pct"/>
            <w:tcBorders>
              <w:right w:val="single" w:color="auto" w:sz="4" w:space="0"/>
            </w:tcBorders>
            <w:vAlign w:val="center"/>
          </w:tcPr>
          <w:p w14:paraId="3F42A68C">
            <w:pPr>
              <w:spacing w:line="360" w:lineRule="auto"/>
              <w:rPr>
                <w:rFonts w:hint="eastAsia" w:ascii="宋体" w:hAnsi="宋体" w:eastAsia="宋体" w:cs="宋体"/>
                <w:color w:val="auto"/>
                <w:kern w:val="2"/>
                <w:sz w:val="21"/>
                <w:szCs w:val="21"/>
              </w:rPr>
            </w:pPr>
          </w:p>
        </w:tc>
        <w:tc>
          <w:tcPr>
            <w:tcW w:w="1071" w:type="pct"/>
            <w:tcBorders>
              <w:left w:val="single" w:color="auto" w:sz="4" w:space="0"/>
            </w:tcBorders>
            <w:vAlign w:val="center"/>
          </w:tcPr>
          <w:p w14:paraId="3548C201">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1397CA45">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1" w:type="pct"/>
            <w:vAlign w:val="center"/>
          </w:tcPr>
          <w:p w14:paraId="678852FE">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0A35B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40" w:type="pct"/>
            <w:vAlign w:val="center"/>
          </w:tcPr>
          <w:p w14:paraId="0586CA19">
            <w:pPr>
              <w:pStyle w:val="8"/>
              <w:spacing w:line="360" w:lineRule="auto"/>
              <w:ind w:firstLine="0" w:firstLineChars="0"/>
              <w:contextualSpacing/>
              <w:jc w:val="center"/>
              <w:rPr>
                <w:rFonts w:hint="eastAsia" w:ascii="宋体" w:hAnsi="宋体" w:eastAsia="宋体" w:cs="宋体"/>
                <w:color w:val="auto"/>
                <w:kern w:val="2"/>
                <w:sz w:val="21"/>
                <w:szCs w:val="21"/>
              </w:rPr>
            </w:pPr>
            <w:bookmarkStart w:id="155" w:name="_Toc373333699"/>
            <w:bookmarkStart w:id="156" w:name="_Toc295404991"/>
            <w:bookmarkStart w:id="157" w:name="_Toc254970743"/>
            <w:bookmarkStart w:id="158" w:name="_Toc173066415"/>
            <w:bookmarkStart w:id="159" w:name="_Toc383699916"/>
            <w:bookmarkStart w:id="160" w:name="_Toc173211914"/>
            <w:bookmarkStart w:id="161" w:name="_Toc254970602"/>
            <w:bookmarkStart w:id="162" w:name="_Toc301781621"/>
            <w:bookmarkStart w:id="163" w:name="_Toc297193195"/>
            <w:r>
              <w:rPr>
                <w:rFonts w:hint="eastAsia" w:ascii="宋体" w:hAnsi="宋体" w:eastAsia="宋体" w:cs="宋体"/>
                <w:color w:val="auto"/>
                <w:kern w:val="2"/>
                <w:sz w:val="21"/>
                <w:szCs w:val="21"/>
              </w:rPr>
              <w:t>…</w:t>
            </w:r>
            <w:bookmarkEnd w:id="155"/>
            <w:bookmarkEnd w:id="156"/>
            <w:bookmarkEnd w:id="157"/>
            <w:bookmarkEnd w:id="158"/>
            <w:bookmarkEnd w:id="159"/>
            <w:bookmarkEnd w:id="160"/>
            <w:bookmarkEnd w:id="161"/>
            <w:bookmarkEnd w:id="162"/>
            <w:bookmarkEnd w:id="163"/>
          </w:p>
        </w:tc>
        <w:tc>
          <w:tcPr>
            <w:tcW w:w="1162" w:type="pct"/>
            <w:tcBorders>
              <w:right w:val="single" w:color="auto" w:sz="4" w:space="0"/>
            </w:tcBorders>
            <w:vAlign w:val="center"/>
          </w:tcPr>
          <w:p w14:paraId="637C8E00">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071" w:type="pct"/>
            <w:tcBorders>
              <w:left w:val="single" w:color="auto" w:sz="4" w:space="0"/>
            </w:tcBorders>
            <w:vAlign w:val="center"/>
          </w:tcPr>
          <w:p w14:paraId="69D0A942">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705E7698">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1" w:type="pct"/>
            <w:tcBorders>
              <w:right w:val="single" w:color="auto" w:sz="4" w:space="0"/>
            </w:tcBorders>
            <w:vAlign w:val="center"/>
          </w:tcPr>
          <w:p w14:paraId="53764967">
            <w:pPr>
              <w:pStyle w:val="8"/>
              <w:spacing w:line="360" w:lineRule="auto"/>
              <w:ind w:firstLine="0" w:firstLineChars="0"/>
              <w:contextualSpacing/>
              <w:jc w:val="center"/>
              <w:rPr>
                <w:rFonts w:hint="eastAsia" w:ascii="宋体" w:hAnsi="宋体" w:eastAsia="宋体" w:cs="宋体"/>
                <w:color w:val="auto"/>
                <w:kern w:val="2"/>
                <w:sz w:val="21"/>
                <w:szCs w:val="21"/>
              </w:rPr>
            </w:pPr>
          </w:p>
        </w:tc>
      </w:tr>
    </w:tbl>
    <w:p w14:paraId="1E71740D">
      <w:pPr>
        <w:adjustRightInd w:val="0"/>
        <w:spacing w:line="360" w:lineRule="auto"/>
        <w:contextualSpacing/>
        <w:rPr>
          <w:rFonts w:hint="eastAsia" w:ascii="宋体" w:hAnsi="宋体" w:eastAsia="宋体" w:cs="宋体"/>
          <w:color w:val="auto"/>
          <w:sz w:val="21"/>
          <w:szCs w:val="21"/>
        </w:rPr>
      </w:pPr>
    </w:p>
    <w:p w14:paraId="50C8906F">
      <w:pPr>
        <w:pStyle w:val="8"/>
        <w:spacing w:line="360" w:lineRule="auto"/>
        <w:ind w:firstLine="0" w:firstLineChars="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54BAA089">
      <w:pPr>
        <w:pStyle w:val="8"/>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1. 说明：应对照磋商文件“第三章”中的</w:t>
      </w:r>
      <w:r>
        <w:rPr>
          <w:rFonts w:hint="eastAsia" w:ascii="宋体" w:hAnsi="宋体" w:eastAsia="宋体" w:cs="宋体"/>
          <w:color w:val="auto"/>
          <w:sz w:val="21"/>
          <w:szCs w:val="21"/>
          <w:lang w:val="en-US" w:eastAsia="zh-CN"/>
        </w:rPr>
        <w:t>商务</w:t>
      </w:r>
      <w:r>
        <w:rPr>
          <w:rFonts w:hint="eastAsia" w:ascii="宋体" w:hAnsi="宋体" w:eastAsia="宋体" w:cs="宋体"/>
          <w:color w:val="auto"/>
          <w:sz w:val="21"/>
          <w:szCs w:val="21"/>
        </w:rPr>
        <w:t>要求逐条作出明确响应，并作出偏离说明。</w:t>
      </w:r>
    </w:p>
    <w:p w14:paraId="4AADBABE">
      <w:pPr>
        <w:pStyle w:val="8"/>
        <w:spacing w:line="360" w:lineRule="auto"/>
        <w:ind w:firstLine="420" w:firstLineChars="200"/>
        <w:contextualSpacing/>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2.供应商应根据自身的承诺，对照磋商文件要求，在“偏离说明”中注明“正偏离”、“负偏离”或者“无偏离”。既不属于“正偏离”也不属于“负偏离”即为“无偏离”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p>
    <w:p w14:paraId="600998B8">
      <w:pPr>
        <w:pStyle w:val="25"/>
        <w:spacing w:line="360" w:lineRule="auto"/>
        <w:rPr>
          <w:rFonts w:hint="eastAsia" w:ascii="宋体" w:hAnsi="宋体" w:eastAsia="宋体" w:cs="宋体"/>
          <w:sz w:val="21"/>
          <w:szCs w:val="21"/>
          <w:lang w:val="en-US" w:eastAsia="zh-CN"/>
        </w:rPr>
      </w:pPr>
    </w:p>
    <w:p w14:paraId="1CAFD481">
      <w:pPr>
        <w:pStyle w:val="25"/>
        <w:spacing w:line="360" w:lineRule="auto"/>
        <w:rPr>
          <w:rFonts w:hint="eastAsia" w:ascii="宋体" w:hAnsi="宋体" w:eastAsia="宋体" w:cs="宋体"/>
          <w:sz w:val="21"/>
          <w:szCs w:val="21"/>
          <w:lang w:val="en-US" w:eastAsia="zh-CN"/>
        </w:rPr>
      </w:pPr>
    </w:p>
    <w:p w14:paraId="48775B4C">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供应商（盖单位</w:t>
      </w:r>
      <w:r>
        <w:rPr>
          <w:rFonts w:hint="eastAsia" w:ascii="宋体" w:hAnsi="宋体" w:eastAsia="宋体" w:cs="宋体"/>
          <w:sz w:val="21"/>
          <w:szCs w:val="21"/>
          <w:lang w:val="en-US" w:eastAsia="zh-CN"/>
        </w:rPr>
        <w:t>CA</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p>
    <w:p w14:paraId="57D4E77D">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日期：     年     月     日</w:t>
      </w:r>
    </w:p>
    <w:p w14:paraId="26B4833F">
      <w:pPr>
        <w:pStyle w:val="25"/>
        <w:spacing w:line="360" w:lineRule="auto"/>
        <w:rPr>
          <w:rFonts w:hint="eastAsia" w:ascii="宋体" w:hAnsi="宋体" w:eastAsia="宋体" w:cs="宋体"/>
          <w:sz w:val="21"/>
          <w:szCs w:val="21"/>
          <w:lang w:val="en-US" w:eastAsia="zh-CN"/>
        </w:rPr>
        <w:sectPr>
          <w:pgSz w:w="11906" w:h="16838"/>
          <w:pgMar w:top="1247" w:right="1247" w:bottom="1247" w:left="1247" w:header="851" w:footer="992" w:gutter="0"/>
          <w:pgNumType w:fmt="decimal"/>
          <w:cols w:space="425" w:num="1"/>
          <w:docGrid w:type="lines" w:linePitch="312" w:charSpace="0"/>
        </w:sectPr>
      </w:pPr>
    </w:p>
    <w:p w14:paraId="21B0BB21">
      <w:pPr>
        <w:snapToGrid w:val="0"/>
        <w:spacing w:before="156" w:beforeLines="50" w:after="50"/>
        <w:jc w:val="center"/>
        <w:rPr>
          <w:rFonts w:ascii="宋体" w:hAnsi="宋体" w:cs="方正小标宋简体"/>
          <w:b/>
          <w:color w:val="auto"/>
          <w:sz w:val="32"/>
          <w:szCs w:val="32"/>
        </w:rPr>
      </w:pPr>
      <w:r>
        <w:rPr>
          <w:rFonts w:hint="eastAsia" w:ascii="宋体" w:hAnsi="宋体" w:cs="方正小标宋简体"/>
          <w:b/>
          <w:color w:val="auto"/>
          <w:sz w:val="32"/>
          <w:szCs w:val="32"/>
          <w:lang w:val="en-US" w:eastAsia="zh-CN"/>
        </w:rPr>
        <w:t>技术</w:t>
      </w:r>
      <w:r>
        <w:rPr>
          <w:rFonts w:hint="eastAsia" w:ascii="宋体" w:hAnsi="宋体" w:cs="方正小标宋简体"/>
          <w:b/>
          <w:color w:val="auto"/>
          <w:sz w:val="32"/>
          <w:szCs w:val="32"/>
        </w:rPr>
        <w:t>要求响应表</w:t>
      </w:r>
    </w:p>
    <w:p w14:paraId="73D6B93D">
      <w:pPr>
        <w:spacing w:line="360" w:lineRule="auto"/>
        <w:contextualSpacing/>
        <w:rPr>
          <w:rFonts w:hint="eastAsia" w:ascii="宋体" w:hAnsi="宋体" w:cs="仿宋_GB2312"/>
          <w:color w:val="auto"/>
          <w:sz w:val="24"/>
        </w:rPr>
      </w:pPr>
    </w:p>
    <w:p w14:paraId="0555F367">
      <w:pPr>
        <w:spacing w:line="360" w:lineRule="auto"/>
        <w:contextualSpacing/>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采购项目编号：</w:t>
      </w:r>
      <w:r>
        <w:rPr>
          <w:rFonts w:hint="eastAsia" w:ascii="宋体" w:hAnsi="宋体" w:eastAsia="宋体" w:cs="宋体"/>
          <w:color w:val="auto"/>
          <w:sz w:val="21"/>
          <w:szCs w:val="21"/>
          <w:u w:val="single"/>
        </w:rPr>
        <w:t xml:space="preserve">                 </w:t>
      </w:r>
    </w:p>
    <w:p w14:paraId="07031A02">
      <w:pPr>
        <w:spacing w:line="360" w:lineRule="auto"/>
        <w:contextualSpacing/>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采购项目名称：</w:t>
      </w:r>
      <w:r>
        <w:rPr>
          <w:rFonts w:hint="eastAsia" w:ascii="宋体" w:hAnsi="宋体" w:eastAsia="宋体" w:cs="宋体"/>
          <w:color w:val="auto"/>
          <w:sz w:val="21"/>
          <w:szCs w:val="21"/>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69"/>
        <w:gridCol w:w="1847"/>
        <w:gridCol w:w="2337"/>
        <w:gridCol w:w="2895"/>
        <w:gridCol w:w="1580"/>
      </w:tblGrid>
      <w:tr w14:paraId="5BF76B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3EA9373">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序号</w:t>
            </w:r>
          </w:p>
        </w:tc>
        <w:tc>
          <w:tcPr>
            <w:tcW w:w="959" w:type="pct"/>
            <w:tcBorders>
              <w:right w:val="single" w:color="auto" w:sz="4" w:space="0"/>
            </w:tcBorders>
            <w:vAlign w:val="center"/>
          </w:tcPr>
          <w:p w14:paraId="5413E3EF">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名称</w:t>
            </w:r>
          </w:p>
        </w:tc>
        <w:tc>
          <w:tcPr>
            <w:tcW w:w="1213" w:type="pct"/>
            <w:tcBorders>
              <w:left w:val="single" w:color="auto" w:sz="4" w:space="0"/>
            </w:tcBorders>
            <w:vAlign w:val="center"/>
          </w:tcPr>
          <w:p w14:paraId="37A515EE">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磋商文件要求</w:t>
            </w:r>
          </w:p>
        </w:tc>
        <w:tc>
          <w:tcPr>
            <w:tcW w:w="1503" w:type="pct"/>
            <w:vAlign w:val="center"/>
          </w:tcPr>
          <w:p w14:paraId="1263E602">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竞标响应</w:t>
            </w:r>
          </w:p>
        </w:tc>
        <w:tc>
          <w:tcPr>
            <w:tcW w:w="820" w:type="pct"/>
            <w:vAlign w:val="center"/>
          </w:tcPr>
          <w:p w14:paraId="24D6B325">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偏离说明</w:t>
            </w:r>
          </w:p>
        </w:tc>
      </w:tr>
      <w:tr w14:paraId="3BE76B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5354D86">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959" w:type="pct"/>
            <w:tcBorders>
              <w:right w:val="single" w:color="auto" w:sz="4" w:space="0"/>
            </w:tcBorders>
            <w:vAlign w:val="center"/>
          </w:tcPr>
          <w:p w14:paraId="0D43E46E">
            <w:pPr>
              <w:spacing w:line="360" w:lineRule="auto"/>
              <w:rPr>
                <w:rFonts w:hint="eastAsia" w:ascii="宋体" w:hAnsi="宋体" w:eastAsia="宋体" w:cs="宋体"/>
                <w:color w:val="auto"/>
                <w:kern w:val="2"/>
                <w:sz w:val="21"/>
                <w:szCs w:val="21"/>
              </w:rPr>
            </w:pPr>
          </w:p>
        </w:tc>
        <w:tc>
          <w:tcPr>
            <w:tcW w:w="1213" w:type="pct"/>
            <w:tcBorders>
              <w:left w:val="single" w:color="auto" w:sz="4" w:space="0"/>
            </w:tcBorders>
            <w:vAlign w:val="center"/>
          </w:tcPr>
          <w:p w14:paraId="143D9268">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766B1C1E">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0" w:type="pct"/>
            <w:vAlign w:val="center"/>
          </w:tcPr>
          <w:p w14:paraId="75D92679">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540FF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6C8E83C">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959" w:type="pct"/>
            <w:tcBorders>
              <w:right w:val="single" w:color="auto" w:sz="4" w:space="0"/>
            </w:tcBorders>
            <w:vAlign w:val="center"/>
          </w:tcPr>
          <w:p w14:paraId="3CE0E15D">
            <w:pPr>
              <w:spacing w:line="360" w:lineRule="auto"/>
              <w:rPr>
                <w:rFonts w:hint="eastAsia" w:ascii="宋体" w:hAnsi="宋体" w:eastAsia="宋体" w:cs="宋体"/>
                <w:color w:val="auto"/>
                <w:kern w:val="2"/>
                <w:sz w:val="21"/>
                <w:szCs w:val="21"/>
              </w:rPr>
            </w:pPr>
          </w:p>
        </w:tc>
        <w:tc>
          <w:tcPr>
            <w:tcW w:w="1213" w:type="pct"/>
            <w:tcBorders>
              <w:left w:val="single" w:color="auto" w:sz="4" w:space="0"/>
            </w:tcBorders>
            <w:vAlign w:val="center"/>
          </w:tcPr>
          <w:p w14:paraId="60FD3791">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552AC034">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0" w:type="pct"/>
            <w:vAlign w:val="center"/>
          </w:tcPr>
          <w:p w14:paraId="116E4765">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2C704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3805599">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959" w:type="pct"/>
            <w:tcBorders>
              <w:right w:val="single" w:color="auto" w:sz="4" w:space="0"/>
            </w:tcBorders>
            <w:vAlign w:val="center"/>
          </w:tcPr>
          <w:p w14:paraId="598DAE1B">
            <w:pPr>
              <w:spacing w:line="360" w:lineRule="auto"/>
              <w:rPr>
                <w:rFonts w:hint="eastAsia" w:ascii="宋体" w:hAnsi="宋体" w:eastAsia="宋体" w:cs="宋体"/>
                <w:color w:val="auto"/>
                <w:kern w:val="2"/>
                <w:sz w:val="21"/>
                <w:szCs w:val="21"/>
              </w:rPr>
            </w:pPr>
          </w:p>
        </w:tc>
        <w:tc>
          <w:tcPr>
            <w:tcW w:w="1213" w:type="pct"/>
            <w:tcBorders>
              <w:left w:val="single" w:color="auto" w:sz="4" w:space="0"/>
            </w:tcBorders>
            <w:vAlign w:val="center"/>
          </w:tcPr>
          <w:p w14:paraId="24F70C7B">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47F7DE85">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0" w:type="pct"/>
            <w:vAlign w:val="center"/>
          </w:tcPr>
          <w:p w14:paraId="1E29EED1">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32513E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91D0FEB">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959" w:type="pct"/>
            <w:tcBorders>
              <w:right w:val="single" w:color="auto" w:sz="4" w:space="0"/>
            </w:tcBorders>
            <w:vAlign w:val="center"/>
          </w:tcPr>
          <w:p w14:paraId="5716723E">
            <w:pPr>
              <w:spacing w:line="360" w:lineRule="auto"/>
              <w:rPr>
                <w:rFonts w:hint="eastAsia" w:ascii="宋体" w:hAnsi="宋体" w:eastAsia="宋体" w:cs="宋体"/>
                <w:color w:val="auto"/>
                <w:kern w:val="2"/>
                <w:sz w:val="21"/>
                <w:szCs w:val="21"/>
              </w:rPr>
            </w:pPr>
          </w:p>
        </w:tc>
        <w:tc>
          <w:tcPr>
            <w:tcW w:w="1213" w:type="pct"/>
            <w:tcBorders>
              <w:left w:val="single" w:color="auto" w:sz="4" w:space="0"/>
            </w:tcBorders>
            <w:vAlign w:val="center"/>
          </w:tcPr>
          <w:p w14:paraId="05E719C7">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1EDF31CF">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0" w:type="pct"/>
            <w:vAlign w:val="center"/>
          </w:tcPr>
          <w:p w14:paraId="3B550607">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70883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A7D8624">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959" w:type="pct"/>
            <w:tcBorders>
              <w:right w:val="single" w:color="auto" w:sz="4" w:space="0"/>
            </w:tcBorders>
            <w:vAlign w:val="center"/>
          </w:tcPr>
          <w:p w14:paraId="4D55D5D1">
            <w:pPr>
              <w:spacing w:line="360" w:lineRule="auto"/>
              <w:rPr>
                <w:rFonts w:hint="eastAsia" w:ascii="宋体" w:hAnsi="宋体" w:eastAsia="宋体" w:cs="宋体"/>
                <w:color w:val="auto"/>
                <w:kern w:val="2"/>
                <w:sz w:val="21"/>
                <w:szCs w:val="21"/>
              </w:rPr>
            </w:pPr>
          </w:p>
        </w:tc>
        <w:tc>
          <w:tcPr>
            <w:tcW w:w="1213" w:type="pct"/>
            <w:tcBorders>
              <w:left w:val="single" w:color="auto" w:sz="4" w:space="0"/>
            </w:tcBorders>
            <w:vAlign w:val="center"/>
          </w:tcPr>
          <w:p w14:paraId="77C20D55">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437EC495">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0" w:type="pct"/>
            <w:vAlign w:val="center"/>
          </w:tcPr>
          <w:p w14:paraId="58991A2D">
            <w:pPr>
              <w:pStyle w:val="8"/>
              <w:spacing w:line="360" w:lineRule="auto"/>
              <w:ind w:firstLine="0" w:firstLineChars="0"/>
              <w:contextualSpacing/>
              <w:jc w:val="center"/>
              <w:rPr>
                <w:rFonts w:hint="eastAsia" w:ascii="宋体" w:hAnsi="宋体" w:eastAsia="宋体" w:cs="宋体"/>
                <w:color w:val="auto"/>
                <w:kern w:val="2"/>
                <w:sz w:val="21"/>
                <w:szCs w:val="21"/>
              </w:rPr>
            </w:pPr>
          </w:p>
        </w:tc>
      </w:tr>
      <w:tr w14:paraId="56B8A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794D29E5">
            <w:pPr>
              <w:pStyle w:val="8"/>
              <w:spacing w:line="360" w:lineRule="auto"/>
              <w:ind w:firstLine="0" w:firstLineChars="0"/>
              <w:contextualSpacing/>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p>
        </w:tc>
        <w:tc>
          <w:tcPr>
            <w:tcW w:w="959" w:type="pct"/>
            <w:tcBorders>
              <w:right w:val="single" w:color="auto" w:sz="4" w:space="0"/>
            </w:tcBorders>
            <w:vAlign w:val="center"/>
          </w:tcPr>
          <w:p w14:paraId="0B3C354B">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213" w:type="pct"/>
            <w:tcBorders>
              <w:left w:val="single" w:color="auto" w:sz="4" w:space="0"/>
            </w:tcBorders>
            <w:vAlign w:val="center"/>
          </w:tcPr>
          <w:p w14:paraId="670FA976">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1503" w:type="pct"/>
            <w:vAlign w:val="center"/>
          </w:tcPr>
          <w:p w14:paraId="7389CE8A">
            <w:pPr>
              <w:pStyle w:val="8"/>
              <w:spacing w:line="360" w:lineRule="auto"/>
              <w:ind w:firstLine="0" w:firstLineChars="0"/>
              <w:contextualSpacing/>
              <w:jc w:val="center"/>
              <w:rPr>
                <w:rFonts w:hint="eastAsia" w:ascii="宋体" w:hAnsi="宋体" w:eastAsia="宋体" w:cs="宋体"/>
                <w:color w:val="auto"/>
                <w:kern w:val="2"/>
                <w:sz w:val="21"/>
                <w:szCs w:val="21"/>
              </w:rPr>
            </w:pPr>
          </w:p>
        </w:tc>
        <w:tc>
          <w:tcPr>
            <w:tcW w:w="820" w:type="pct"/>
            <w:tcBorders>
              <w:right w:val="single" w:color="auto" w:sz="4" w:space="0"/>
            </w:tcBorders>
            <w:vAlign w:val="center"/>
          </w:tcPr>
          <w:p w14:paraId="19B9EB94">
            <w:pPr>
              <w:pStyle w:val="8"/>
              <w:spacing w:line="360" w:lineRule="auto"/>
              <w:ind w:firstLine="0" w:firstLineChars="0"/>
              <w:contextualSpacing/>
              <w:jc w:val="center"/>
              <w:rPr>
                <w:rFonts w:hint="eastAsia" w:ascii="宋体" w:hAnsi="宋体" w:eastAsia="宋体" w:cs="宋体"/>
                <w:color w:val="auto"/>
                <w:kern w:val="2"/>
                <w:sz w:val="21"/>
                <w:szCs w:val="21"/>
              </w:rPr>
            </w:pPr>
          </w:p>
        </w:tc>
      </w:tr>
    </w:tbl>
    <w:p w14:paraId="78177544">
      <w:pPr>
        <w:adjustRightInd w:val="0"/>
        <w:spacing w:line="360" w:lineRule="auto"/>
        <w:contextualSpacing/>
        <w:rPr>
          <w:rFonts w:hint="eastAsia" w:ascii="宋体" w:hAnsi="宋体" w:eastAsia="宋体" w:cs="宋体"/>
          <w:color w:val="auto"/>
          <w:sz w:val="21"/>
          <w:szCs w:val="21"/>
        </w:rPr>
      </w:pPr>
    </w:p>
    <w:p w14:paraId="1D982132">
      <w:pPr>
        <w:pStyle w:val="8"/>
        <w:spacing w:line="360" w:lineRule="auto"/>
        <w:ind w:firstLine="0" w:firstLineChars="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50BF0BB2">
      <w:pPr>
        <w:pStyle w:val="8"/>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1. 说明：应对照磋商文件“第三章”中的</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要求逐条作出明确响应，并作出偏离说明。</w:t>
      </w:r>
    </w:p>
    <w:p w14:paraId="0E842FAA">
      <w:pPr>
        <w:pStyle w:val="8"/>
        <w:spacing w:line="360" w:lineRule="auto"/>
        <w:ind w:firstLine="420" w:firstLineChars="200"/>
        <w:contextualSpacing/>
        <w:rPr>
          <w:rFonts w:hint="eastAsia" w:ascii="宋体" w:hAnsi="宋体" w:eastAsia="宋体" w:cs="宋体"/>
          <w:strike/>
          <w:dstrike w:val="0"/>
          <w:sz w:val="21"/>
          <w:szCs w:val="21"/>
          <w:highlight w:val="green"/>
          <w:lang w:val="en-US" w:eastAsia="zh-CN"/>
        </w:rPr>
      </w:pPr>
      <w:r>
        <w:rPr>
          <w:rFonts w:hint="eastAsia" w:ascii="宋体" w:hAnsi="宋体" w:eastAsia="宋体" w:cs="宋体"/>
          <w:color w:val="auto"/>
          <w:sz w:val="21"/>
          <w:szCs w:val="21"/>
        </w:rPr>
        <w:t>2.供应商应根据自身的承诺，对照磋商文件要求，在“偏离说明”中注明“正偏离”、“负偏离”或者“无偏离”。既不属于“正偏离”也不属于“负偏离”即为“无偏离”。</w:t>
      </w:r>
    </w:p>
    <w:p w14:paraId="5FD174C0">
      <w:pPr>
        <w:pStyle w:val="25"/>
        <w:spacing w:line="360" w:lineRule="auto"/>
        <w:rPr>
          <w:rFonts w:hint="eastAsia" w:ascii="宋体" w:hAnsi="宋体" w:eastAsia="宋体" w:cs="宋体"/>
          <w:sz w:val="21"/>
          <w:szCs w:val="21"/>
          <w:lang w:val="en-US" w:eastAsia="zh-CN"/>
        </w:rPr>
      </w:pPr>
    </w:p>
    <w:p w14:paraId="6FBD9C1E">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供应商（盖单位</w:t>
      </w:r>
      <w:r>
        <w:rPr>
          <w:rFonts w:hint="eastAsia" w:ascii="宋体" w:hAnsi="宋体" w:eastAsia="宋体" w:cs="宋体"/>
          <w:sz w:val="21"/>
          <w:szCs w:val="21"/>
          <w:lang w:val="en-US" w:eastAsia="zh-CN"/>
        </w:rPr>
        <w:t>CA</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p>
    <w:p w14:paraId="313610C9">
      <w:pPr>
        <w:spacing w:line="360" w:lineRule="auto"/>
        <w:ind w:right="-44" w:rightChars="-21"/>
        <w:rPr>
          <w:rFonts w:hint="eastAsia" w:ascii="宋体" w:hAnsi="宋体" w:eastAsia="宋体" w:cs="宋体"/>
          <w:sz w:val="21"/>
          <w:szCs w:val="21"/>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cs="宋体"/>
          <w:sz w:val="21"/>
          <w:szCs w:val="21"/>
        </w:rPr>
        <w:t>日期：     年     月     日</w:t>
      </w:r>
    </w:p>
    <w:p w14:paraId="52745246">
      <w:pPr>
        <w:pStyle w:val="25"/>
        <w:rPr>
          <w:rFonts w:hint="eastAsia"/>
        </w:rPr>
      </w:pPr>
    </w:p>
    <w:p w14:paraId="26551800">
      <w:pPr>
        <w:jc w:val="center"/>
        <w:outlineLvl w:val="0"/>
        <w:rPr>
          <w:rFonts w:cs="宋体"/>
          <w:b/>
          <w:bCs/>
          <w:color w:val="auto"/>
          <w:sz w:val="28"/>
          <w:szCs w:val="28"/>
        </w:rPr>
      </w:pPr>
      <w:bookmarkStart w:id="164" w:name="_Toc1878"/>
      <w:r>
        <w:rPr>
          <w:rFonts w:hint="eastAsia" w:cs="宋体"/>
          <w:b/>
          <w:bCs/>
          <w:color w:val="auto"/>
          <w:sz w:val="28"/>
          <w:szCs w:val="28"/>
        </w:rPr>
        <w:t>建设工程项目管理承诺书</w:t>
      </w:r>
      <w:bookmarkEnd w:id="164"/>
    </w:p>
    <w:p w14:paraId="5AAD65F6">
      <w:pPr>
        <w:spacing w:line="480" w:lineRule="auto"/>
        <w:jc w:val="left"/>
        <w:rPr>
          <w:color w:val="auto"/>
        </w:rPr>
      </w:pPr>
    </w:p>
    <w:p w14:paraId="18E3DAAC">
      <w:pPr>
        <w:spacing w:line="480" w:lineRule="auto"/>
        <w:jc w:val="left"/>
        <w:rPr>
          <w:color w:val="auto"/>
        </w:rPr>
      </w:pPr>
      <w:r>
        <w:rPr>
          <w:rFonts w:hint="eastAsia" w:cs="宋体"/>
          <w:color w:val="auto"/>
        </w:rPr>
        <w:t>致</w:t>
      </w:r>
      <w:r>
        <w:rPr>
          <w:color w:val="auto"/>
          <w:u w:val="single"/>
        </w:rPr>
        <w:t xml:space="preserve">                        </w:t>
      </w:r>
      <w:r>
        <w:rPr>
          <w:rFonts w:hint="eastAsia" w:cs="宋体"/>
          <w:color w:val="auto"/>
        </w:rPr>
        <w:t>（采购人名称）：</w:t>
      </w:r>
    </w:p>
    <w:p w14:paraId="0F1A629C">
      <w:pPr>
        <w:spacing w:line="520" w:lineRule="exact"/>
        <w:ind w:left="-10" w:firstLine="455" w:firstLineChars="217"/>
        <w:jc w:val="left"/>
        <w:rPr>
          <w:rFonts w:hint="eastAsia" w:ascii="宋体" w:hAnsi="宋体" w:eastAsia="宋体" w:cs="宋体"/>
          <w:color w:val="auto"/>
        </w:rPr>
      </w:pPr>
      <w:r>
        <w:rPr>
          <w:rFonts w:hint="eastAsia" w:ascii="宋体" w:hAnsi="宋体" w:eastAsia="宋体" w:cs="宋体"/>
          <w:color w:val="auto"/>
        </w:rPr>
        <w:t>作为参与</w:t>
      </w:r>
      <w:r>
        <w:rPr>
          <w:rFonts w:hint="eastAsia" w:ascii="宋体" w:hAnsi="宋体" w:eastAsia="宋体" w:cs="宋体"/>
          <w:color w:val="auto"/>
          <w:u w:val="single"/>
        </w:rPr>
        <w:t xml:space="preserve">                  </w:t>
      </w:r>
      <w:r>
        <w:rPr>
          <w:rFonts w:hint="eastAsia" w:ascii="宋体" w:hAnsi="宋体" w:eastAsia="宋体" w:cs="宋体"/>
          <w:color w:val="auto"/>
        </w:rPr>
        <w:t>（工程名称）项目的供应商，根据国家、自治区相关文件规定，我方在此向采购人承诺：</w:t>
      </w:r>
    </w:p>
    <w:p w14:paraId="2986A13B">
      <w:pPr>
        <w:spacing w:line="520" w:lineRule="exact"/>
        <w:ind w:left="-10" w:firstLine="455" w:firstLineChars="217"/>
        <w:jc w:val="left"/>
        <w:rPr>
          <w:rFonts w:hint="eastAsia" w:ascii="宋体" w:hAnsi="宋体" w:eastAsia="宋体" w:cs="宋体"/>
          <w:color w:val="auto"/>
        </w:rPr>
      </w:pPr>
      <w:r>
        <w:rPr>
          <w:rFonts w:hint="eastAsia" w:ascii="宋体" w:hAnsi="宋体" w:eastAsia="宋体" w:cs="宋体"/>
          <w:color w:val="auto"/>
        </w:rPr>
        <w:t>1、一旦成交，我方保证按照政府相关部门的规定，在成交后7个工作日内，按照《保障农民工工资支付条例》规定及广西壮族自治区有关规定开设农民工工资专用账户，并按要求比例将农民工工资保证金存入账户，专项用于支付本工程提供劳动的农民工被拖欠的工资。按照与农民工依法约定的工资支付周期和具体支付日期支付工资，保证每月至少向农民工足额支付一次工资。</w:t>
      </w:r>
    </w:p>
    <w:p w14:paraId="6323ABCA">
      <w:pPr>
        <w:spacing w:line="520" w:lineRule="exact"/>
        <w:ind w:left="-10" w:firstLine="455" w:firstLineChars="217"/>
        <w:jc w:val="left"/>
        <w:rPr>
          <w:rFonts w:hint="eastAsia" w:ascii="宋体" w:hAnsi="宋体" w:eastAsia="宋体" w:cs="宋体"/>
          <w:color w:val="auto"/>
        </w:rPr>
      </w:pPr>
      <w:r>
        <w:rPr>
          <w:rFonts w:hint="eastAsia" w:ascii="宋体" w:hAnsi="宋体" w:eastAsia="宋体" w:cs="宋体"/>
          <w:color w:val="auto"/>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EE241EE">
      <w:pPr>
        <w:spacing w:line="520" w:lineRule="exact"/>
        <w:ind w:left="-2" w:leftChars="-1" w:firstLine="449" w:firstLineChars="214"/>
        <w:jc w:val="left"/>
        <w:rPr>
          <w:rFonts w:hint="eastAsia" w:ascii="宋体" w:hAnsi="宋体" w:eastAsia="宋体" w:cs="宋体"/>
          <w:color w:val="auto"/>
        </w:rPr>
      </w:pPr>
      <w:r>
        <w:rPr>
          <w:rFonts w:hint="eastAsia" w:ascii="宋体" w:hAnsi="宋体" w:eastAsia="宋体" w:cs="宋体"/>
          <w:color w:val="auto"/>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4A98944">
      <w:pPr>
        <w:spacing w:line="520" w:lineRule="exact"/>
        <w:ind w:left="-10" w:firstLine="455" w:firstLineChars="217"/>
        <w:jc w:val="left"/>
        <w:rPr>
          <w:rFonts w:hint="eastAsia" w:ascii="宋体" w:hAnsi="宋体" w:eastAsia="宋体" w:cs="宋体"/>
          <w:color w:val="auto"/>
        </w:rPr>
      </w:pPr>
      <w:r>
        <w:rPr>
          <w:rFonts w:hint="eastAsia" w:ascii="宋体" w:hAnsi="宋体" w:eastAsia="宋体" w:cs="宋体"/>
          <w:color w:val="auto"/>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204DED99">
      <w:pPr>
        <w:spacing w:line="520" w:lineRule="exact"/>
        <w:ind w:left="-10" w:firstLine="455" w:firstLineChars="217"/>
        <w:jc w:val="left"/>
        <w:rPr>
          <w:rFonts w:hint="eastAsia" w:ascii="宋体" w:hAnsi="宋体" w:eastAsia="宋体" w:cs="宋体"/>
          <w:color w:val="auto"/>
        </w:rPr>
      </w:pPr>
      <w:r>
        <w:rPr>
          <w:rFonts w:hint="eastAsia" w:ascii="宋体" w:hAnsi="宋体" w:eastAsia="宋体" w:cs="宋体"/>
          <w:color w:val="auto"/>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DA3185E">
      <w:pPr>
        <w:pStyle w:val="25"/>
      </w:pPr>
    </w:p>
    <w:p w14:paraId="37DAA7FD">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供应商（盖单位</w:t>
      </w:r>
      <w:r>
        <w:rPr>
          <w:rFonts w:hint="eastAsia" w:ascii="宋体" w:hAnsi="宋体" w:eastAsia="宋体" w:cs="宋体"/>
          <w:sz w:val="21"/>
          <w:szCs w:val="21"/>
          <w:lang w:val="en-US" w:eastAsia="zh-CN"/>
        </w:rPr>
        <w:t>CA</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p>
    <w:p w14:paraId="030E531E">
      <w:pPr>
        <w:spacing w:line="360" w:lineRule="auto"/>
        <w:ind w:right="-44" w:rightChars="-21"/>
        <w:rPr>
          <w:rFonts w:hint="eastAsia" w:ascii="宋体" w:hAnsi="宋体" w:eastAsia="宋体" w:cs="宋体"/>
          <w:sz w:val="21"/>
          <w:szCs w:val="21"/>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cs="宋体"/>
          <w:sz w:val="21"/>
          <w:szCs w:val="21"/>
        </w:rPr>
        <w:t>日期：     年     月     日</w:t>
      </w:r>
    </w:p>
    <w:p w14:paraId="116C2527">
      <w:pPr>
        <w:rPr>
          <w:rFonts w:cs="宋体"/>
          <w:color w:val="auto"/>
        </w:rPr>
      </w:pPr>
    </w:p>
    <w:p w14:paraId="1013A768">
      <w:pPr>
        <w:spacing w:line="360" w:lineRule="auto"/>
        <w:jc w:val="center"/>
        <w:rPr>
          <w:color w:val="auto"/>
        </w:rPr>
      </w:pPr>
      <w:r>
        <w:rPr>
          <w:rFonts w:hint="eastAsia" w:cs="宋体"/>
          <w:b/>
          <w:bCs/>
          <w:color w:val="auto"/>
          <w:sz w:val="28"/>
          <w:szCs w:val="28"/>
        </w:rPr>
        <w:t>广西壮族自治区建筑工程安全文明施工措施项目清单内容</w:t>
      </w:r>
    </w:p>
    <w:p w14:paraId="114643EE">
      <w:pPr>
        <w:spacing w:line="360" w:lineRule="auto"/>
        <w:ind w:firstLine="600" w:firstLineChars="250"/>
        <w:jc w:val="center"/>
        <w:rPr>
          <w:color w:val="auto"/>
          <w:sz w:val="24"/>
        </w:rPr>
      </w:pPr>
      <w:r>
        <w:rPr>
          <w:rFonts w:hint="eastAsia" w:cs="宋体"/>
          <w:color w:val="auto"/>
          <w:sz w:val="24"/>
        </w:rPr>
        <w:t>（桂建质〔</w:t>
      </w:r>
      <w:r>
        <w:rPr>
          <w:color w:val="auto"/>
          <w:sz w:val="24"/>
        </w:rPr>
        <w:t>2015</w:t>
      </w:r>
      <w:r>
        <w:rPr>
          <w:rFonts w:hint="eastAsia" w:cs="宋体"/>
          <w:color w:val="auto"/>
          <w:sz w:val="24"/>
        </w:rPr>
        <w:t>〕</w:t>
      </w:r>
      <w:r>
        <w:rPr>
          <w:color w:val="auto"/>
          <w:sz w:val="24"/>
        </w:rPr>
        <w:t>16</w:t>
      </w:r>
      <w:r>
        <w:rPr>
          <w:rFonts w:hint="eastAsia" w:cs="宋体"/>
          <w:color w:val="auto"/>
          <w:sz w:val="24"/>
        </w:rPr>
        <w:t>号文附件一）</w:t>
      </w:r>
    </w:p>
    <w:p w14:paraId="001A9352">
      <w:pPr>
        <w:pStyle w:val="26"/>
        <w:spacing w:line="240" w:lineRule="atLeast"/>
        <w:jc w:val="center"/>
        <w:rPr>
          <w:rFonts w:ascii="宋体"/>
          <w:b/>
          <w:bCs/>
          <w:color w:val="auto"/>
          <w:sz w:val="24"/>
          <w:szCs w:val="24"/>
        </w:rPr>
      </w:pPr>
      <w:r>
        <w:rPr>
          <w:rFonts w:hint="eastAsia" w:ascii="宋体" w:hAnsi="宋体" w:cs="宋体"/>
          <w:b/>
          <w:bCs/>
          <w:color w:val="auto"/>
          <w:sz w:val="24"/>
          <w:szCs w:val="24"/>
        </w:rPr>
        <w:t>广西壮族自治区</w:t>
      </w:r>
    </w:p>
    <w:p w14:paraId="402E3F99">
      <w:pPr>
        <w:pStyle w:val="26"/>
        <w:spacing w:line="240" w:lineRule="atLeast"/>
        <w:ind w:firstLine="546"/>
        <w:jc w:val="center"/>
        <w:rPr>
          <w:b/>
          <w:bCs/>
          <w:color w:val="auto"/>
          <w:w w:val="90"/>
          <w:sz w:val="24"/>
          <w:szCs w:val="24"/>
        </w:rPr>
      </w:pPr>
      <w:r>
        <w:rPr>
          <w:rFonts w:hint="eastAsia" w:cs="宋体"/>
          <w:b/>
          <w:bCs/>
          <w:color w:val="auto"/>
          <w:w w:val="90"/>
          <w:sz w:val="24"/>
          <w:szCs w:val="24"/>
        </w:rPr>
        <w:t>建设工程安全文明施工措施项目清单内容</w:t>
      </w:r>
    </w:p>
    <w:p w14:paraId="6050AA55">
      <w:pPr>
        <w:pStyle w:val="26"/>
        <w:spacing w:line="240" w:lineRule="atLeast"/>
        <w:ind w:firstLine="546"/>
        <w:jc w:val="center"/>
        <w:rPr>
          <w:b/>
          <w:bCs/>
          <w:color w:val="auto"/>
          <w:w w:val="90"/>
          <w:sz w:val="24"/>
          <w:szCs w:val="24"/>
        </w:rPr>
      </w:pP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74D3D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vAlign w:val="center"/>
          </w:tcPr>
          <w:p w14:paraId="6C9DDFE5">
            <w:pPr>
              <w:pStyle w:val="26"/>
              <w:spacing w:line="300" w:lineRule="exact"/>
              <w:jc w:val="center"/>
              <w:rPr>
                <w:rFonts w:ascii="方正仿宋_GBK" w:eastAsia="方正仿宋_GBK"/>
                <w:b/>
                <w:bCs/>
                <w:color w:val="auto"/>
              </w:rPr>
            </w:pPr>
            <w:r>
              <w:rPr>
                <w:rFonts w:hint="eastAsia" w:ascii="方正仿宋_GBK" w:eastAsia="方正仿宋_GBK" w:cs="方正仿宋_GBK"/>
                <w:b/>
                <w:bCs/>
                <w:color w:val="auto"/>
              </w:rPr>
              <w:t>类别</w:t>
            </w:r>
          </w:p>
        </w:tc>
        <w:tc>
          <w:tcPr>
            <w:tcW w:w="2070" w:type="dxa"/>
            <w:gridSpan w:val="2"/>
            <w:tcBorders>
              <w:top w:val="single" w:color="auto" w:sz="12" w:space="0"/>
            </w:tcBorders>
            <w:vAlign w:val="center"/>
          </w:tcPr>
          <w:p w14:paraId="75EC36B6">
            <w:pPr>
              <w:pStyle w:val="26"/>
              <w:spacing w:line="300" w:lineRule="exact"/>
              <w:jc w:val="center"/>
              <w:rPr>
                <w:rFonts w:ascii="方正仿宋_GBK" w:eastAsia="方正仿宋_GBK"/>
                <w:b/>
                <w:bCs/>
                <w:color w:val="auto"/>
              </w:rPr>
            </w:pPr>
            <w:r>
              <w:rPr>
                <w:rFonts w:hint="eastAsia" w:ascii="方正仿宋_GBK" w:eastAsia="方正仿宋_GBK" w:cs="方正仿宋_GBK"/>
                <w:b/>
                <w:bCs/>
                <w:color w:val="auto"/>
              </w:rPr>
              <w:t>项目名称</w:t>
            </w:r>
          </w:p>
        </w:tc>
        <w:tc>
          <w:tcPr>
            <w:tcW w:w="6645" w:type="dxa"/>
            <w:tcBorders>
              <w:top w:val="single" w:color="auto" w:sz="12" w:space="0"/>
            </w:tcBorders>
            <w:vAlign w:val="center"/>
          </w:tcPr>
          <w:p w14:paraId="6F5FAF62">
            <w:pPr>
              <w:pStyle w:val="26"/>
              <w:spacing w:line="300" w:lineRule="exact"/>
              <w:jc w:val="center"/>
              <w:rPr>
                <w:rFonts w:ascii="方正仿宋_GBK" w:eastAsia="方正仿宋_GBK"/>
                <w:b/>
                <w:bCs/>
                <w:color w:val="auto"/>
              </w:rPr>
            </w:pPr>
            <w:r>
              <w:rPr>
                <w:rFonts w:hint="eastAsia" w:ascii="方正仿宋_GBK" w:eastAsia="方正仿宋_GBK" w:cs="方正仿宋_GBK"/>
                <w:b/>
                <w:bCs/>
                <w:color w:val="auto"/>
              </w:rPr>
              <w:t>主要内容和要求</w:t>
            </w:r>
          </w:p>
        </w:tc>
      </w:tr>
      <w:tr w14:paraId="20D3C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1FDE9E7B">
            <w:pPr>
              <w:pStyle w:val="26"/>
              <w:spacing w:line="300" w:lineRule="exact"/>
              <w:jc w:val="center"/>
              <w:rPr>
                <w:rFonts w:ascii="方正仿宋_GBK" w:eastAsia="方正仿宋_GBK"/>
                <w:color w:val="auto"/>
              </w:rPr>
            </w:pPr>
            <w:r>
              <w:rPr>
                <w:rFonts w:hint="eastAsia" w:ascii="方正仿宋_GBK" w:eastAsia="方正仿宋_GBK" w:cs="方正仿宋_GBK"/>
                <w:color w:val="auto"/>
              </w:rPr>
              <w:t>文明</w:t>
            </w:r>
          </w:p>
          <w:p w14:paraId="7313011B">
            <w:pPr>
              <w:pStyle w:val="26"/>
              <w:spacing w:line="300" w:lineRule="exact"/>
              <w:jc w:val="center"/>
              <w:rPr>
                <w:rFonts w:ascii="方正仿宋_GBK" w:eastAsia="方正仿宋_GBK"/>
                <w:color w:val="auto"/>
              </w:rPr>
            </w:pPr>
            <w:r>
              <w:rPr>
                <w:rFonts w:hint="eastAsia" w:ascii="方正仿宋_GBK" w:eastAsia="方正仿宋_GBK" w:cs="方正仿宋_GBK"/>
                <w:color w:val="auto"/>
              </w:rPr>
              <w:t>施工</w:t>
            </w:r>
          </w:p>
          <w:p w14:paraId="5753F25E">
            <w:pPr>
              <w:pStyle w:val="26"/>
              <w:spacing w:line="300" w:lineRule="exact"/>
              <w:jc w:val="center"/>
              <w:rPr>
                <w:rFonts w:ascii="方正仿宋_GBK" w:eastAsia="方正仿宋_GBK"/>
                <w:color w:val="auto"/>
              </w:rPr>
            </w:pPr>
            <w:r>
              <w:rPr>
                <w:rFonts w:hint="eastAsia" w:ascii="方正仿宋_GBK" w:eastAsia="方正仿宋_GBK" w:cs="方正仿宋_GBK"/>
                <w:color w:val="auto"/>
              </w:rPr>
              <w:t>与</w:t>
            </w:r>
          </w:p>
          <w:p w14:paraId="46B1D210">
            <w:pPr>
              <w:pStyle w:val="26"/>
              <w:spacing w:line="300" w:lineRule="exact"/>
              <w:jc w:val="center"/>
              <w:rPr>
                <w:rFonts w:ascii="方正仿宋_GBK" w:eastAsia="方正仿宋_GBK"/>
                <w:color w:val="auto"/>
              </w:rPr>
            </w:pPr>
            <w:r>
              <w:rPr>
                <w:rFonts w:hint="eastAsia" w:ascii="方正仿宋_GBK" w:eastAsia="方正仿宋_GBK" w:cs="方正仿宋_GBK"/>
                <w:color w:val="auto"/>
              </w:rPr>
              <w:t>环境</w:t>
            </w:r>
          </w:p>
          <w:p w14:paraId="650AF03E">
            <w:pPr>
              <w:pStyle w:val="26"/>
              <w:spacing w:line="300" w:lineRule="exact"/>
              <w:jc w:val="center"/>
              <w:rPr>
                <w:rFonts w:ascii="方正仿宋_GBK" w:eastAsia="方正仿宋_GBK"/>
                <w:color w:val="auto"/>
              </w:rPr>
            </w:pPr>
            <w:r>
              <w:rPr>
                <w:rFonts w:hint="eastAsia" w:ascii="方正仿宋_GBK" w:eastAsia="方正仿宋_GBK" w:cs="方正仿宋_GBK"/>
                <w:color w:val="auto"/>
              </w:rPr>
              <w:t>保护</w:t>
            </w:r>
          </w:p>
        </w:tc>
        <w:tc>
          <w:tcPr>
            <w:tcW w:w="2070" w:type="dxa"/>
            <w:gridSpan w:val="2"/>
            <w:vAlign w:val="center"/>
          </w:tcPr>
          <w:p w14:paraId="39305E65">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安全警示</w:t>
            </w:r>
          </w:p>
          <w:p w14:paraId="75358E17">
            <w:pPr>
              <w:pStyle w:val="26"/>
              <w:spacing w:line="300" w:lineRule="exact"/>
              <w:jc w:val="center"/>
              <w:rPr>
                <w:rFonts w:ascii="方正仿宋_GBK" w:eastAsia="方正仿宋_GBK"/>
                <w:color w:val="auto"/>
              </w:rPr>
            </w:pPr>
            <w:r>
              <w:rPr>
                <w:rFonts w:hint="eastAsia" w:ascii="方正仿宋_GBK" w:eastAsia="方正仿宋_GBK" w:cs="方正仿宋_GBK"/>
                <w:color w:val="auto"/>
              </w:rPr>
              <w:t>标志牌</w:t>
            </w:r>
          </w:p>
        </w:tc>
        <w:tc>
          <w:tcPr>
            <w:tcW w:w="6645" w:type="dxa"/>
            <w:vAlign w:val="center"/>
          </w:tcPr>
          <w:p w14:paraId="5D6CCA0B">
            <w:pPr>
              <w:pStyle w:val="26"/>
              <w:spacing w:line="300" w:lineRule="exact"/>
              <w:rPr>
                <w:rFonts w:ascii="方正仿宋_GBK" w:eastAsia="方正仿宋_GBK"/>
                <w:color w:val="auto"/>
              </w:rPr>
            </w:pPr>
            <w:r>
              <w:rPr>
                <w:rFonts w:hint="eastAsia" w:ascii="方正仿宋_GBK" w:eastAsia="方正仿宋_GBK" w:cs="方正仿宋_GBK"/>
                <w:color w:val="auto"/>
              </w:rPr>
              <w:t>在易发伤亡事故（或危险）处设置明显的、符合国家标准要求的安全警示标志牌。</w:t>
            </w:r>
          </w:p>
        </w:tc>
      </w:tr>
      <w:tr w14:paraId="72FAF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D94459F">
            <w:pPr>
              <w:pStyle w:val="26"/>
              <w:spacing w:line="300" w:lineRule="exact"/>
              <w:jc w:val="center"/>
              <w:rPr>
                <w:rFonts w:ascii="方正仿宋_GBK" w:eastAsia="方正仿宋_GBK"/>
                <w:color w:val="auto"/>
              </w:rPr>
            </w:pPr>
          </w:p>
        </w:tc>
        <w:tc>
          <w:tcPr>
            <w:tcW w:w="2070" w:type="dxa"/>
            <w:gridSpan w:val="2"/>
            <w:vAlign w:val="center"/>
          </w:tcPr>
          <w:p w14:paraId="25677344">
            <w:pPr>
              <w:pStyle w:val="26"/>
              <w:spacing w:line="300" w:lineRule="exact"/>
              <w:jc w:val="center"/>
              <w:rPr>
                <w:rFonts w:ascii="方正仿宋_GBK" w:eastAsia="方正仿宋_GBK"/>
                <w:color w:val="auto"/>
              </w:rPr>
            </w:pPr>
            <w:r>
              <w:rPr>
                <w:rFonts w:hint="eastAsia" w:ascii="方正仿宋_GBK" w:eastAsia="方正仿宋_GBK" w:cs="方正仿宋_GBK"/>
                <w:color w:val="auto"/>
              </w:rPr>
              <w:t>现场围挡</w:t>
            </w:r>
          </w:p>
        </w:tc>
        <w:tc>
          <w:tcPr>
            <w:tcW w:w="6645" w:type="dxa"/>
            <w:vAlign w:val="center"/>
          </w:tcPr>
          <w:p w14:paraId="791C63A8">
            <w:pPr>
              <w:pStyle w:val="26"/>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现场采用封闭围挡，高度不小于</w:t>
            </w:r>
            <w:r>
              <w:rPr>
                <w:rFonts w:ascii="方正仿宋_GBK" w:eastAsia="方正仿宋_GBK" w:cs="方正仿宋_GBK"/>
                <w:color w:val="auto"/>
              </w:rPr>
              <w:t>1.8m</w:t>
            </w:r>
            <w:r>
              <w:rPr>
                <w:rFonts w:hint="eastAsia" w:ascii="方正仿宋_GBK" w:eastAsia="方正仿宋_GBK" w:cs="方正仿宋_GBK"/>
                <w:color w:val="auto"/>
              </w:rPr>
              <w:t>。</w:t>
            </w:r>
          </w:p>
          <w:p w14:paraId="302F2F07">
            <w:pPr>
              <w:pStyle w:val="26"/>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围挡材料可用彩色、定型钢板，砌块等墙体。</w:t>
            </w:r>
          </w:p>
        </w:tc>
      </w:tr>
      <w:tr w14:paraId="4170E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AACD265">
            <w:pPr>
              <w:pStyle w:val="26"/>
              <w:spacing w:line="300" w:lineRule="exact"/>
              <w:jc w:val="center"/>
              <w:rPr>
                <w:rFonts w:ascii="方正仿宋_GBK" w:eastAsia="方正仿宋_GBK"/>
                <w:color w:val="auto"/>
              </w:rPr>
            </w:pPr>
          </w:p>
        </w:tc>
        <w:tc>
          <w:tcPr>
            <w:tcW w:w="2070" w:type="dxa"/>
            <w:gridSpan w:val="2"/>
            <w:vAlign w:val="center"/>
          </w:tcPr>
          <w:p w14:paraId="1CA86690">
            <w:pPr>
              <w:pStyle w:val="26"/>
              <w:spacing w:line="300" w:lineRule="exact"/>
              <w:jc w:val="center"/>
              <w:rPr>
                <w:rFonts w:ascii="方正仿宋_GBK" w:eastAsia="方正仿宋_GBK"/>
                <w:color w:val="auto"/>
              </w:rPr>
            </w:pPr>
            <w:r>
              <w:rPr>
                <w:rFonts w:hint="eastAsia" w:ascii="方正仿宋_GBK" w:eastAsia="方正仿宋_GBK" w:cs="方正仿宋_GBK"/>
                <w:color w:val="auto"/>
              </w:rPr>
              <w:t>七牌二图</w:t>
            </w:r>
          </w:p>
        </w:tc>
        <w:tc>
          <w:tcPr>
            <w:tcW w:w="6645" w:type="dxa"/>
            <w:vAlign w:val="center"/>
          </w:tcPr>
          <w:p w14:paraId="4FAA9B01">
            <w:pPr>
              <w:pStyle w:val="26"/>
              <w:spacing w:line="300" w:lineRule="exact"/>
              <w:rPr>
                <w:rFonts w:ascii="方正仿宋_GBK" w:eastAsia="方正仿宋_GBK"/>
                <w:color w:val="auto"/>
              </w:rPr>
            </w:pPr>
            <w:r>
              <w:rPr>
                <w:rFonts w:hint="eastAsia" w:ascii="方正仿宋_GBK" w:eastAsia="方正仿宋_GBK" w:cs="方正仿宋_GBK"/>
                <w:color w:val="auto"/>
              </w:rPr>
              <w:t>在进门处悬挂工程概况、现场出入制度、管理人员名单及监督电话、安全生产规定、文明施工、消防保卫、节能公示等七牌以及施工现场总平面图、工程效果图。</w:t>
            </w:r>
          </w:p>
        </w:tc>
      </w:tr>
      <w:tr w14:paraId="4480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2C14912F">
            <w:pPr>
              <w:pStyle w:val="26"/>
              <w:spacing w:line="300" w:lineRule="exact"/>
              <w:jc w:val="center"/>
              <w:rPr>
                <w:rFonts w:ascii="方正仿宋_GBK" w:eastAsia="方正仿宋_GBK"/>
                <w:color w:val="auto"/>
              </w:rPr>
            </w:pPr>
          </w:p>
        </w:tc>
        <w:tc>
          <w:tcPr>
            <w:tcW w:w="2070" w:type="dxa"/>
            <w:gridSpan w:val="2"/>
            <w:vAlign w:val="center"/>
          </w:tcPr>
          <w:p w14:paraId="2462186F">
            <w:pPr>
              <w:pStyle w:val="26"/>
              <w:spacing w:line="300" w:lineRule="exact"/>
              <w:jc w:val="center"/>
              <w:rPr>
                <w:rFonts w:ascii="方正仿宋_GBK" w:eastAsia="方正仿宋_GBK"/>
                <w:color w:val="auto"/>
              </w:rPr>
            </w:pPr>
            <w:r>
              <w:rPr>
                <w:rFonts w:hint="eastAsia" w:ascii="方正仿宋_GBK" w:eastAsia="方正仿宋_GBK" w:cs="方正仿宋_GBK"/>
                <w:color w:val="auto"/>
              </w:rPr>
              <w:t>企业标志</w:t>
            </w:r>
          </w:p>
        </w:tc>
        <w:tc>
          <w:tcPr>
            <w:tcW w:w="6645" w:type="dxa"/>
            <w:vAlign w:val="center"/>
          </w:tcPr>
          <w:p w14:paraId="670AB4CD">
            <w:pPr>
              <w:pStyle w:val="26"/>
              <w:spacing w:line="300" w:lineRule="exact"/>
              <w:rPr>
                <w:rFonts w:ascii="方正仿宋_GBK" w:eastAsia="方正仿宋_GBK"/>
                <w:color w:val="auto"/>
              </w:rPr>
            </w:pPr>
            <w:r>
              <w:rPr>
                <w:rFonts w:hint="eastAsia" w:ascii="方正仿宋_GBK" w:eastAsia="方正仿宋_GBK" w:cs="方正仿宋_GBK"/>
                <w:color w:val="auto"/>
              </w:rPr>
              <w:t>现场出入的大门应设有本企业标志或企业标识。</w:t>
            </w:r>
          </w:p>
        </w:tc>
      </w:tr>
      <w:tr w14:paraId="5FD36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C5F14D3">
            <w:pPr>
              <w:pStyle w:val="26"/>
              <w:spacing w:line="300" w:lineRule="exact"/>
              <w:jc w:val="center"/>
              <w:rPr>
                <w:rFonts w:ascii="方正仿宋_GBK" w:eastAsia="方正仿宋_GBK"/>
                <w:color w:val="auto"/>
              </w:rPr>
            </w:pPr>
          </w:p>
        </w:tc>
        <w:tc>
          <w:tcPr>
            <w:tcW w:w="2070" w:type="dxa"/>
            <w:gridSpan w:val="2"/>
            <w:vAlign w:val="center"/>
          </w:tcPr>
          <w:p w14:paraId="0E61190D">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场容场貌</w:t>
            </w:r>
          </w:p>
        </w:tc>
        <w:tc>
          <w:tcPr>
            <w:tcW w:w="6645" w:type="dxa"/>
            <w:vAlign w:val="center"/>
          </w:tcPr>
          <w:p w14:paraId="0E8F7A46">
            <w:pPr>
              <w:pStyle w:val="26"/>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道路畅通。</w:t>
            </w:r>
          </w:p>
          <w:p w14:paraId="2D42C33B">
            <w:pPr>
              <w:pStyle w:val="26"/>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排水设施齐全畅通。</w:t>
            </w:r>
          </w:p>
          <w:p w14:paraId="79F06929">
            <w:pPr>
              <w:pStyle w:val="26"/>
              <w:spacing w:line="300" w:lineRule="exact"/>
              <w:rPr>
                <w:rFonts w:ascii="方正仿宋_GBK" w:eastAsia="方正仿宋_GBK"/>
                <w:color w:val="auto"/>
              </w:rPr>
            </w:pPr>
            <w:r>
              <w:rPr>
                <w:rFonts w:ascii="方正仿宋_GBK" w:eastAsia="方正仿宋_GBK" w:cs="方正仿宋_GBK"/>
                <w:color w:val="auto"/>
              </w:rPr>
              <w:t xml:space="preserve">3. </w:t>
            </w:r>
            <w:r>
              <w:rPr>
                <w:rFonts w:hint="eastAsia" w:ascii="方正仿宋_GBK" w:eastAsia="方正仿宋_GBK" w:cs="方正仿宋_GBK"/>
                <w:color w:val="auto"/>
              </w:rPr>
              <w:t>工地地面硬化处理（办公区、生活区、现场道路、材料堆放、混凝土搅拌、砂浆搅拌、钢筋加工等场地和外脚手架基础等）。</w:t>
            </w:r>
          </w:p>
        </w:tc>
      </w:tr>
      <w:tr w14:paraId="2E150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792AF35">
            <w:pPr>
              <w:pStyle w:val="26"/>
              <w:spacing w:line="300" w:lineRule="exact"/>
              <w:jc w:val="center"/>
              <w:rPr>
                <w:rFonts w:ascii="方正仿宋_GBK" w:eastAsia="方正仿宋_GBK"/>
                <w:color w:val="auto"/>
              </w:rPr>
            </w:pPr>
          </w:p>
        </w:tc>
        <w:tc>
          <w:tcPr>
            <w:tcW w:w="2070" w:type="dxa"/>
            <w:gridSpan w:val="2"/>
            <w:vAlign w:val="center"/>
          </w:tcPr>
          <w:p w14:paraId="180E51ED">
            <w:pPr>
              <w:pStyle w:val="26"/>
              <w:spacing w:line="300" w:lineRule="exact"/>
              <w:jc w:val="center"/>
              <w:rPr>
                <w:rFonts w:ascii="方正仿宋_GBK" w:eastAsia="方正仿宋_GBK"/>
                <w:color w:val="auto"/>
              </w:rPr>
            </w:pPr>
            <w:r>
              <w:rPr>
                <w:rFonts w:hint="eastAsia" w:ascii="方正仿宋_GBK" w:eastAsia="方正仿宋_GBK" w:cs="方正仿宋_GBK"/>
                <w:color w:val="auto"/>
              </w:rPr>
              <w:t>材料堆放</w:t>
            </w:r>
          </w:p>
        </w:tc>
        <w:tc>
          <w:tcPr>
            <w:tcW w:w="6645" w:type="dxa"/>
            <w:vAlign w:val="center"/>
          </w:tcPr>
          <w:p w14:paraId="0A86CB2F">
            <w:pPr>
              <w:pStyle w:val="26"/>
              <w:numPr>
                <w:ilvl w:val="0"/>
                <w:numId w:val="21"/>
              </w:numPr>
              <w:spacing w:line="300" w:lineRule="exact"/>
              <w:rPr>
                <w:rFonts w:ascii="方正仿宋_GBK" w:eastAsia="方正仿宋_GBK"/>
                <w:color w:val="auto"/>
              </w:rPr>
            </w:pPr>
            <w:r>
              <w:rPr>
                <w:rFonts w:hint="eastAsia" w:ascii="方正仿宋_GBK" w:eastAsia="方正仿宋_GBK" w:cs="方正仿宋_GBK"/>
                <w:color w:val="auto"/>
              </w:rPr>
              <w:t>材料、构件、料具等堆放时，应有名称、品种、规格等标牌。</w:t>
            </w:r>
          </w:p>
          <w:p w14:paraId="2FBD7679">
            <w:pPr>
              <w:pStyle w:val="26"/>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水泥和其它易飞扬细颗粒建筑材料应封闭存放或采取覆盖等措施。</w:t>
            </w:r>
          </w:p>
          <w:p w14:paraId="52DDAF54">
            <w:pPr>
              <w:pStyle w:val="26"/>
              <w:spacing w:line="300" w:lineRule="exact"/>
              <w:rPr>
                <w:rFonts w:ascii="方正仿宋_GBK" w:eastAsia="方正仿宋_GBK"/>
                <w:color w:val="auto"/>
              </w:rPr>
            </w:pPr>
            <w:r>
              <w:rPr>
                <w:rFonts w:ascii="方正仿宋_GBK" w:eastAsia="方正仿宋_GBK" w:cs="方正仿宋_GBK"/>
                <w:color w:val="auto"/>
              </w:rPr>
              <w:t xml:space="preserve">3. </w:t>
            </w:r>
            <w:r>
              <w:rPr>
                <w:rFonts w:hint="eastAsia" w:ascii="方正仿宋_GBK" w:eastAsia="方正仿宋_GBK" w:cs="方正仿宋_GBK"/>
                <w:color w:val="auto"/>
              </w:rPr>
              <w:t>易燃、易爆和有毒有害物品分类存放。</w:t>
            </w:r>
          </w:p>
        </w:tc>
      </w:tr>
      <w:tr w14:paraId="33C74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3BFD2210">
            <w:pPr>
              <w:pStyle w:val="26"/>
              <w:spacing w:line="300" w:lineRule="exact"/>
              <w:jc w:val="center"/>
              <w:rPr>
                <w:rFonts w:ascii="方正仿宋_GBK" w:eastAsia="方正仿宋_GBK"/>
                <w:color w:val="auto"/>
              </w:rPr>
            </w:pPr>
          </w:p>
        </w:tc>
        <w:tc>
          <w:tcPr>
            <w:tcW w:w="2070" w:type="dxa"/>
            <w:gridSpan w:val="2"/>
            <w:vAlign w:val="center"/>
          </w:tcPr>
          <w:p w14:paraId="6D2E0594">
            <w:pPr>
              <w:pStyle w:val="26"/>
              <w:spacing w:line="300" w:lineRule="exact"/>
              <w:jc w:val="center"/>
              <w:rPr>
                <w:rFonts w:ascii="方正仿宋_GBK" w:eastAsia="方正仿宋_GBK"/>
                <w:color w:val="auto"/>
              </w:rPr>
            </w:pPr>
            <w:r>
              <w:rPr>
                <w:rFonts w:hint="eastAsia" w:ascii="方正仿宋_GBK" w:eastAsia="方正仿宋_GBK" w:cs="方正仿宋_GBK"/>
                <w:color w:val="auto"/>
              </w:rPr>
              <w:t>现场防火</w:t>
            </w:r>
          </w:p>
        </w:tc>
        <w:tc>
          <w:tcPr>
            <w:tcW w:w="6645" w:type="dxa"/>
            <w:vAlign w:val="center"/>
          </w:tcPr>
          <w:p w14:paraId="7BD58AD7">
            <w:pPr>
              <w:pStyle w:val="26"/>
              <w:spacing w:line="300" w:lineRule="exact"/>
              <w:rPr>
                <w:rFonts w:ascii="方正仿宋_GBK" w:eastAsia="方正仿宋_GBK"/>
                <w:color w:val="auto"/>
              </w:rPr>
            </w:pPr>
            <w:r>
              <w:rPr>
                <w:rFonts w:hint="eastAsia" w:ascii="方正仿宋_GBK" w:eastAsia="方正仿宋_GBK" w:cs="方正仿宋_GBK"/>
                <w:color w:val="auto"/>
              </w:rPr>
              <w:t>消防器材配置合理，符合消防要求。</w:t>
            </w:r>
          </w:p>
        </w:tc>
      </w:tr>
      <w:tr w14:paraId="0B5FC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50202ED">
            <w:pPr>
              <w:pStyle w:val="26"/>
              <w:spacing w:line="300" w:lineRule="exact"/>
              <w:jc w:val="center"/>
              <w:rPr>
                <w:rFonts w:ascii="方正仿宋_GBK" w:eastAsia="方正仿宋_GBK"/>
                <w:color w:val="auto"/>
              </w:rPr>
            </w:pPr>
          </w:p>
        </w:tc>
        <w:tc>
          <w:tcPr>
            <w:tcW w:w="2070" w:type="dxa"/>
            <w:gridSpan w:val="2"/>
            <w:vAlign w:val="center"/>
          </w:tcPr>
          <w:p w14:paraId="7CFC69EA">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垃圾清运</w:t>
            </w:r>
          </w:p>
        </w:tc>
        <w:tc>
          <w:tcPr>
            <w:tcW w:w="6645" w:type="dxa"/>
            <w:vAlign w:val="center"/>
          </w:tcPr>
          <w:p w14:paraId="338E0ABC">
            <w:pPr>
              <w:pStyle w:val="26"/>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施工现场应设置密闭式垃圾站，施工垃圾、生活垃圾应分类存放。</w:t>
            </w:r>
          </w:p>
          <w:p w14:paraId="5CBB7D2C">
            <w:pPr>
              <w:pStyle w:val="26"/>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施工垃圾必须采用相应容器或管道运输。</w:t>
            </w:r>
          </w:p>
        </w:tc>
      </w:tr>
      <w:tr w14:paraId="63F86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F5F3321">
            <w:pPr>
              <w:pStyle w:val="26"/>
              <w:spacing w:line="300" w:lineRule="exact"/>
              <w:jc w:val="center"/>
              <w:rPr>
                <w:rFonts w:ascii="方正仿宋_GBK" w:eastAsia="方正仿宋_GBK"/>
                <w:color w:val="auto"/>
              </w:rPr>
            </w:pPr>
          </w:p>
        </w:tc>
        <w:tc>
          <w:tcPr>
            <w:tcW w:w="2070" w:type="dxa"/>
            <w:gridSpan w:val="2"/>
            <w:vAlign w:val="center"/>
          </w:tcPr>
          <w:p w14:paraId="28E0C9ED">
            <w:pPr>
              <w:pStyle w:val="26"/>
              <w:spacing w:line="300" w:lineRule="exact"/>
              <w:rPr>
                <w:rFonts w:ascii="方正仿宋_GBK" w:eastAsia="方正仿宋_GBK"/>
                <w:color w:val="auto"/>
              </w:rPr>
            </w:pPr>
            <w:r>
              <w:rPr>
                <w:rFonts w:hint="eastAsia" w:ascii="方正仿宋_GBK" w:eastAsia="方正仿宋_GBK" w:cs="方正仿宋_GBK"/>
                <w:color w:val="auto"/>
              </w:rPr>
              <w:t>宣传栏、环保及不扰民措施</w:t>
            </w:r>
          </w:p>
        </w:tc>
        <w:tc>
          <w:tcPr>
            <w:tcW w:w="6645" w:type="dxa"/>
            <w:vAlign w:val="center"/>
          </w:tcPr>
          <w:p w14:paraId="7FFEF0AE">
            <w:pPr>
              <w:pStyle w:val="26"/>
              <w:spacing w:line="300" w:lineRule="exact"/>
              <w:rPr>
                <w:rFonts w:ascii="方正仿宋_GBK" w:eastAsia="方正仿宋_GBK"/>
                <w:color w:val="auto"/>
              </w:rPr>
            </w:pPr>
            <w:r>
              <w:rPr>
                <w:rFonts w:hint="eastAsia" w:ascii="方正仿宋_GBK" w:eastAsia="方正仿宋_GBK" w:cs="方正仿宋_GBK"/>
                <w:color w:val="auto"/>
              </w:rPr>
              <w:t>宣传栏、安全宣传标语等，洗车（防止污染市区道路）、粉尘、噪声控制和排污（污水、废气）措施等。</w:t>
            </w:r>
          </w:p>
        </w:tc>
      </w:tr>
      <w:tr w14:paraId="2C743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0BAE4657">
            <w:pPr>
              <w:pStyle w:val="26"/>
              <w:spacing w:line="300" w:lineRule="exact"/>
              <w:jc w:val="center"/>
              <w:rPr>
                <w:rFonts w:ascii="方正仿宋_GBK" w:eastAsia="方正仿宋_GBK"/>
                <w:color w:val="auto"/>
              </w:rPr>
            </w:pPr>
            <w:r>
              <w:rPr>
                <w:rFonts w:hint="eastAsia" w:ascii="方正仿宋_GBK" w:eastAsia="方正仿宋_GBK" w:cs="方正仿宋_GBK"/>
                <w:color w:val="auto"/>
              </w:rPr>
              <w:t>临时设施</w:t>
            </w:r>
          </w:p>
        </w:tc>
        <w:tc>
          <w:tcPr>
            <w:tcW w:w="2070" w:type="dxa"/>
            <w:gridSpan w:val="2"/>
            <w:vAlign w:val="center"/>
          </w:tcPr>
          <w:p w14:paraId="1755F400">
            <w:pPr>
              <w:pStyle w:val="26"/>
              <w:spacing w:line="300" w:lineRule="exact"/>
              <w:jc w:val="center"/>
              <w:rPr>
                <w:rFonts w:ascii="方正仿宋_GBK" w:eastAsia="方正仿宋_GBK"/>
                <w:color w:val="auto"/>
              </w:rPr>
            </w:pPr>
            <w:r>
              <w:rPr>
                <w:rFonts w:hint="eastAsia" w:ascii="方正仿宋_GBK" w:eastAsia="方正仿宋_GBK" w:cs="方正仿宋_GBK"/>
                <w:color w:val="auto"/>
              </w:rPr>
              <w:t>现场办公</w:t>
            </w:r>
          </w:p>
          <w:p w14:paraId="6BFA95A9">
            <w:pPr>
              <w:pStyle w:val="26"/>
              <w:spacing w:line="300" w:lineRule="exact"/>
              <w:jc w:val="center"/>
              <w:rPr>
                <w:rFonts w:ascii="方正仿宋_GBK" w:eastAsia="方正仿宋_GBK"/>
                <w:color w:val="auto"/>
              </w:rPr>
            </w:pPr>
            <w:r>
              <w:rPr>
                <w:rFonts w:hint="eastAsia" w:ascii="方正仿宋_GBK" w:eastAsia="方正仿宋_GBK" w:cs="方正仿宋_GBK"/>
                <w:color w:val="auto"/>
              </w:rPr>
              <w:t>生活设施</w:t>
            </w:r>
          </w:p>
        </w:tc>
        <w:tc>
          <w:tcPr>
            <w:tcW w:w="6645" w:type="dxa"/>
            <w:vAlign w:val="center"/>
          </w:tcPr>
          <w:p w14:paraId="453B5045">
            <w:pPr>
              <w:pStyle w:val="26"/>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施工现场办公、生活区与作业区分开设置，保持安全距离。</w:t>
            </w:r>
          </w:p>
          <w:p w14:paraId="26DA3EA5">
            <w:pPr>
              <w:pStyle w:val="26"/>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工地办公室、现场宿舍、食堂、厕所、饮水、沐浴、休息场所等符合卫生、消防安全要求。</w:t>
            </w:r>
          </w:p>
        </w:tc>
      </w:tr>
      <w:tr w14:paraId="20A3D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4032139">
            <w:pPr>
              <w:pStyle w:val="26"/>
              <w:spacing w:line="300" w:lineRule="exact"/>
              <w:jc w:val="center"/>
              <w:rPr>
                <w:rFonts w:ascii="方正仿宋_GBK" w:eastAsia="方正仿宋_GBK"/>
                <w:color w:val="auto"/>
              </w:rPr>
            </w:pPr>
          </w:p>
        </w:tc>
        <w:tc>
          <w:tcPr>
            <w:tcW w:w="525" w:type="dxa"/>
            <w:vMerge w:val="restart"/>
            <w:vAlign w:val="center"/>
          </w:tcPr>
          <w:p w14:paraId="3E7DCB38">
            <w:pPr>
              <w:pStyle w:val="26"/>
              <w:spacing w:line="300" w:lineRule="exact"/>
              <w:jc w:val="center"/>
              <w:rPr>
                <w:rFonts w:ascii="方正仿宋_GBK" w:eastAsia="方正仿宋_GBK"/>
                <w:color w:val="auto"/>
              </w:rPr>
            </w:pPr>
            <w:r>
              <w:rPr>
                <w:rFonts w:hint="eastAsia" w:ascii="方正仿宋_GBK" w:eastAsia="方正仿宋_GBK" w:cs="方正仿宋_GBK"/>
                <w:color w:val="auto"/>
              </w:rPr>
              <w:t>施工现场</w:t>
            </w:r>
          </w:p>
          <w:p w14:paraId="40D7680B">
            <w:pPr>
              <w:pStyle w:val="26"/>
              <w:spacing w:line="300" w:lineRule="exact"/>
              <w:jc w:val="center"/>
              <w:rPr>
                <w:rFonts w:ascii="方正仿宋_GBK" w:eastAsia="方正仿宋_GBK"/>
                <w:color w:val="auto"/>
              </w:rPr>
            </w:pPr>
            <w:r>
              <w:rPr>
                <w:rFonts w:hint="eastAsia" w:ascii="方正仿宋_GBK" w:eastAsia="方正仿宋_GBK" w:cs="方正仿宋_GBK"/>
                <w:color w:val="auto"/>
              </w:rPr>
              <w:t>临时用电</w:t>
            </w:r>
          </w:p>
        </w:tc>
        <w:tc>
          <w:tcPr>
            <w:tcW w:w="1545" w:type="dxa"/>
            <w:vAlign w:val="center"/>
          </w:tcPr>
          <w:p w14:paraId="622C4744">
            <w:pPr>
              <w:pStyle w:val="26"/>
              <w:spacing w:line="300" w:lineRule="exact"/>
              <w:jc w:val="center"/>
              <w:rPr>
                <w:rFonts w:ascii="方正仿宋_GBK" w:eastAsia="方正仿宋_GBK"/>
                <w:color w:val="auto"/>
              </w:rPr>
            </w:pPr>
            <w:r>
              <w:rPr>
                <w:rFonts w:hint="eastAsia" w:ascii="方正仿宋_GBK" w:eastAsia="方正仿宋_GBK" w:cs="方正仿宋_GBK"/>
                <w:color w:val="auto"/>
              </w:rPr>
              <w:t>配电线路</w:t>
            </w:r>
          </w:p>
        </w:tc>
        <w:tc>
          <w:tcPr>
            <w:tcW w:w="6645" w:type="dxa"/>
            <w:vAlign w:val="center"/>
          </w:tcPr>
          <w:p w14:paraId="381F77C8">
            <w:pPr>
              <w:pStyle w:val="26"/>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按照</w:t>
            </w:r>
            <w:r>
              <w:rPr>
                <w:rFonts w:ascii="方正仿宋_GBK" w:eastAsia="方正仿宋_GBK" w:cs="方正仿宋_GBK"/>
                <w:color w:val="auto"/>
              </w:rPr>
              <w:t>TN-S</w:t>
            </w:r>
            <w:r>
              <w:rPr>
                <w:rFonts w:hint="eastAsia" w:ascii="方正仿宋_GBK" w:eastAsia="方正仿宋_GBK" w:cs="方正仿宋_GBK"/>
                <w:color w:val="auto"/>
              </w:rPr>
              <w:t>系统要求配备五芯电缆、四芯电缆和三芯电缆。</w:t>
            </w:r>
          </w:p>
          <w:p w14:paraId="54653B6C">
            <w:pPr>
              <w:pStyle w:val="26"/>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按要求架设临时用电线路的电杆、横担、瓷夹、瓷瓶等，或电缆埋地的地沟。</w:t>
            </w:r>
          </w:p>
          <w:p w14:paraId="222E34B2">
            <w:pPr>
              <w:pStyle w:val="26"/>
              <w:spacing w:line="300" w:lineRule="exact"/>
              <w:rPr>
                <w:rFonts w:ascii="方正仿宋_GBK" w:eastAsia="方正仿宋_GBK"/>
                <w:color w:val="auto"/>
              </w:rPr>
            </w:pPr>
            <w:r>
              <w:rPr>
                <w:rFonts w:ascii="方正仿宋_GBK" w:eastAsia="方正仿宋_GBK" w:cs="方正仿宋_GBK"/>
                <w:color w:val="auto"/>
              </w:rPr>
              <w:t xml:space="preserve">3. </w:t>
            </w:r>
            <w:r>
              <w:rPr>
                <w:rFonts w:hint="eastAsia" w:ascii="方正仿宋_GBK" w:eastAsia="方正仿宋_GBK" w:cs="方正仿宋_GBK"/>
                <w:color w:val="auto"/>
              </w:rPr>
              <w:t>对靠近施工现场的外电线路，设置木质、塑料等绝缘体的防护设施。</w:t>
            </w:r>
          </w:p>
        </w:tc>
      </w:tr>
      <w:tr w14:paraId="04506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398A627">
            <w:pPr>
              <w:pStyle w:val="26"/>
              <w:spacing w:line="300" w:lineRule="exact"/>
              <w:jc w:val="center"/>
              <w:rPr>
                <w:rFonts w:ascii="方正仿宋_GBK" w:eastAsia="方正仿宋_GBK"/>
                <w:color w:val="auto"/>
              </w:rPr>
            </w:pPr>
          </w:p>
        </w:tc>
        <w:tc>
          <w:tcPr>
            <w:tcW w:w="525" w:type="dxa"/>
            <w:vMerge w:val="continue"/>
            <w:vAlign w:val="center"/>
          </w:tcPr>
          <w:p w14:paraId="1A68AF3E">
            <w:pPr>
              <w:pStyle w:val="26"/>
              <w:spacing w:line="300" w:lineRule="exact"/>
              <w:jc w:val="center"/>
              <w:rPr>
                <w:rFonts w:ascii="方正仿宋_GBK" w:eastAsia="方正仿宋_GBK"/>
                <w:color w:val="auto"/>
              </w:rPr>
            </w:pPr>
          </w:p>
        </w:tc>
        <w:tc>
          <w:tcPr>
            <w:tcW w:w="1545" w:type="dxa"/>
            <w:vAlign w:val="center"/>
          </w:tcPr>
          <w:p w14:paraId="22CD5B1C">
            <w:pPr>
              <w:pStyle w:val="26"/>
              <w:spacing w:line="300" w:lineRule="exact"/>
              <w:jc w:val="center"/>
              <w:rPr>
                <w:rFonts w:ascii="方正仿宋_GBK" w:eastAsia="方正仿宋_GBK"/>
                <w:color w:val="auto"/>
              </w:rPr>
            </w:pPr>
            <w:r>
              <w:rPr>
                <w:rFonts w:hint="eastAsia" w:ascii="方正仿宋_GBK" w:eastAsia="方正仿宋_GBK" w:cs="方正仿宋_GBK"/>
                <w:color w:val="auto"/>
              </w:rPr>
              <w:t>配电箱</w:t>
            </w:r>
          </w:p>
          <w:p w14:paraId="4080B5D2">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开关箱</w:t>
            </w:r>
          </w:p>
        </w:tc>
        <w:tc>
          <w:tcPr>
            <w:tcW w:w="6645" w:type="dxa"/>
            <w:vAlign w:val="center"/>
          </w:tcPr>
          <w:p w14:paraId="710A63CF">
            <w:pPr>
              <w:pStyle w:val="26"/>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按三级配电要求，配备总配电箱、分配电箱、开关箱三类（铁质）标准电箱，开关箱应符合“一机、一箱、一闸、一漏”，三类电箱中的各类电器应是合格品。</w:t>
            </w:r>
          </w:p>
          <w:p w14:paraId="2C359CCE">
            <w:pPr>
              <w:pStyle w:val="26"/>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按两级保护的要求，选取符合容量要求和质量合格的总配电箱和开关箱中的漏电保护器。</w:t>
            </w:r>
          </w:p>
          <w:p w14:paraId="57D5564D">
            <w:pPr>
              <w:pStyle w:val="26"/>
              <w:spacing w:line="300" w:lineRule="exact"/>
              <w:rPr>
                <w:rFonts w:ascii="方正仿宋_GBK" w:eastAsia="方正仿宋_GBK"/>
                <w:color w:val="auto"/>
              </w:rPr>
            </w:pPr>
            <w:r>
              <w:rPr>
                <w:rFonts w:ascii="方正仿宋_GBK" w:eastAsia="方正仿宋_GBK" w:cs="方正仿宋_GBK"/>
                <w:color w:val="auto"/>
              </w:rPr>
              <w:t xml:space="preserve">3. </w:t>
            </w:r>
            <w:r>
              <w:rPr>
                <w:rFonts w:hint="eastAsia" w:ascii="方正仿宋_GBK" w:eastAsia="方正仿宋_GBK" w:cs="方正仿宋_GBK"/>
                <w:color w:val="auto"/>
              </w:rPr>
              <w:t>对大型、落地式分配电箱、开关箱设置防护棚和通透式围挡。</w:t>
            </w:r>
          </w:p>
        </w:tc>
      </w:tr>
      <w:tr w14:paraId="11C0D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5B251BF5">
            <w:pPr>
              <w:pStyle w:val="26"/>
              <w:spacing w:line="300" w:lineRule="exact"/>
              <w:jc w:val="center"/>
              <w:rPr>
                <w:rFonts w:ascii="方正仿宋_GBK" w:eastAsia="方正仿宋_GBK"/>
                <w:color w:val="auto"/>
              </w:rPr>
            </w:pPr>
          </w:p>
        </w:tc>
        <w:tc>
          <w:tcPr>
            <w:tcW w:w="525" w:type="dxa"/>
            <w:vMerge w:val="continue"/>
            <w:vAlign w:val="center"/>
          </w:tcPr>
          <w:p w14:paraId="73D026F4">
            <w:pPr>
              <w:pStyle w:val="26"/>
              <w:spacing w:line="300" w:lineRule="exact"/>
              <w:jc w:val="center"/>
              <w:rPr>
                <w:rFonts w:ascii="方正仿宋_GBK" w:eastAsia="方正仿宋_GBK"/>
                <w:color w:val="auto"/>
              </w:rPr>
            </w:pPr>
          </w:p>
        </w:tc>
        <w:tc>
          <w:tcPr>
            <w:tcW w:w="1545" w:type="dxa"/>
            <w:vAlign w:val="center"/>
          </w:tcPr>
          <w:p w14:paraId="48F5989D">
            <w:pPr>
              <w:pStyle w:val="26"/>
              <w:spacing w:line="300" w:lineRule="exact"/>
              <w:jc w:val="center"/>
              <w:rPr>
                <w:rFonts w:ascii="方正仿宋_GBK" w:eastAsia="方正仿宋_GBK"/>
                <w:color w:val="auto"/>
              </w:rPr>
            </w:pPr>
            <w:r>
              <w:rPr>
                <w:rFonts w:hint="eastAsia" w:ascii="方正仿宋_GBK" w:eastAsia="方正仿宋_GBK" w:cs="方正仿宋_GBK"/>
                <w:color w:val="auto"/>
              </w:rPr>
              <w:t>接地装置</w:t>
            </w:r>
          </w:p>
        </w:tc>
        <w:tc>
          <w:tcPr>
            <w:tcW w:w="6645" w:type="dxa"/>
            <w:vAlign w:val="center"/>
          </w:tcPr>
          <w:p w14:paraId="75D31D6E">
            <w:pPr>
              <w:pStyle w:val="26"/>
              <w:spacing w:line="300" w:lineRule="exact"/>
              <w:rPr>
                <w:rFonts w:ascii="方正仿宋_GBK" w:eastAsia="方正仿宋_GBK"/>
                <w:color w:val="auto"/>
              </w:rPr>
            </w:pPr>
            <w:r>
              <w:rPr>
                <w:rFonts w:hint="eastAsia" w:ascii="方正仿宋_GBK" w:eastAsia="方正仿宋_GBK" w:cs="方正仿宋_GBK"/>
                <w:color w:val="auto"/>
              </w:rPr>
              <w:t>施工现场应设置不少于三处的重复接地装置。</w:t>
            </w:r>
          </w:p>
        </w:tc>
      </w:tr>
      <w:tr w14:paraId="5181C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6B3CFFA0">
            <w:pPr>
              <w:pStyle w:val="26"/>
              <w:spacing w:line="300" w:lineRule="exact"/>
              <w:jc w:val="center"/>
              <w:rPr>
                <w:rFonts w:ascii="方正仿宋_GBK" w:eastAsia="方正仿宋_GBK"/>
                <w:color w:val="auto"/>
              </w:rPr>
            </w:pPr>
          </w:p>
        </w:tc>
        <w:tc>
          <w:tcPr>
            <w:tcW w:w="525" w:type="dxa"/>
            <w:vMerge w:val="continue"/>
            <w:vAlign w:val="center"/>
          </w:tcPr>
          <w:p w14:paraId="25210091">
            <w:pPr>
              <w:pStyle w:val="26"/>
              <w:spacing w:line="300" w:lineRule="exact"/>
              <w:jc w:val="center"/>
              <w:rPr>
                <w:rFonts w:ascii="方正仿宋_GBK" w:eastAsia="方正仿宋_GBK"/>
                <w:color w:val="auto"/>
              </w:rPr>
            </w:pPr>
          </w:p>
        </w:tc>
        <w:tc>
          <w:tcPr>
            <w:tcW w:w="1545" w:type="dxa"/>
            <w:vAlign w:val="center"/>
          </w:tcPr>
          <w:p w14:paraId="0F574424">
            <w:pPr>
              <w:pStyle w:val="26"/>
              <w:spacing w:line="300" w:lineRule="exact"/>
              <w:jc w:val="center"/>
              <w:rPr>
                <w:rFonts w:ascii="方正仿宋_GBK" w:eastAsia="方正仿宋_GBK"/>
                <w:color w:val="auto"/>
              </w:rPr>
            </w:pPr>
            <w:r>
              <w:rPr>
                <w:rFonts w:hint="eastAsia" w:ascii="方正仿宋_GBK" w:eastAsia="方正仿宋_GBK" w:cs="方正仿宋_GBK"/>
                <w:color w:val="auto"/>
              </w:rPr>
              <w:t>现场变配电装置</w:t>
            </w:r>
          </w:p>
        </w:tc>
        <w:tc>
          <w:tcPr>
            <w:tcW w:w="6645" w:type="dxa"/>
            <w:vAlign w:val="center"/>
          </w:tcPr>
          <w:p w14:paraId="264595E5">
            <w:pPr>
              <w:pStyle w:val="26"/>
              <w:spacing w:line="300" w:lineRule="exact"/>
              <w:rPr>
                <w:rFonts w:ascii="方正仿宋_GBK" w:eastAsia="方正仿宋_GBK"/>
                <w:color w:val="auto"/>
              </w:rPr>
            </w:pPr>
            <w:r>
              <w:rPr>
                <w:rFonts w:hint="eastAsia" w:ascii="方正仿宋_GBK" w:eastAsia="方正仿宋_GBK" w:cs="方正仿宋_GBK"/>
                <w:color w:val="auto"/>
              </w:rPr>
              <w:t>总配电房建筑材料必须达到消防防火要求，室内做硬地坪、电缆沟。</w:t>
            </w:r>
          </w:p>
        </w:tc>
      </w:tr>
      <w:tr w14:paraId="430DB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vAlign w:val="center"/>
          </w:tcPr>
          <w:p w14:paraId="06E3274D">
            <w:pPr>
              <w:pStyle w:val="26"/>
              <w:spacing w:line="300" w:lineRule="exact"/>
              <w:jc w:val="center"/>
              <w:rPr>
                <w:rFonts w:ascii="方正仿宋_GBK" w:eastAsia="方正仿宋_GBK"/>
                <w:b/>
                <w:bCs/>
                <w:color w:val="auto"/>
              </w:rPr>
            </w:pPr>
            <w:r>
              <w:rPr>
                <w:rFonts w:hint="eastAsia" w:ascii="方正仿宋_GBK" w:eastAsia="方正仿宋_GBK" w:cs="方正仿宋_GBK"/>
                <w:b/>
                <w:bCs/>
                <w:color w:val="auto"/>
              </w:rPr>
              <w:t>类别</w:t>
            </w:r>
          </w:p>
        </w:tc>
        <w:tc>
          <w:tcPr>
            <w:tcW w:w="2070" w:type="dxa"/>
            <w:gridSpan w:val="2"/>
            <w:vAlign w:val="center"/>
          </w:tcPr>
          <w:p w14:paraId="456242E7">
            <w:pPr>
              <w:pStyle w:val="26"/>
              <w:spacing w:line="300" w:lineRule="exact"/>
              <w:jc w:val="center"/>
              <w:rPr>
                <w:rFonts w:ascii="方正仿宋_GBK" w:eastAsia="方正仿宋_GBK"/>
                <w:b/>
                <w:bCs/>
                <w:color w:val="auto"/>
              </w:rPr>
            </w:pPr>
            <w:r>
              <w:rPr>
                <w:rFonts w:hint="eastAsia" w:ascii="方正仿宋_GBK" w:eastAsia="方正仿宋_GBK" w:cs="方正仿宋_GBK"/>
                <w:b/>
                <w:bCs/>
                <w:color w:val="auto"/>
              </w:rPr>
              <w:t>项目名称</w:t>
            </w:r>
          </w:p>
        </w:tc>
        <w:tc>
          <w:tcPr>
            <w:tcW w:w="6645" w:type="dxa"/>
            <w:vAlign w:val="center"/>
          </w:tcPr>
          <w:p w14:paraId="05B24FE2">
            <w:pPr>
              <w:pStyle w:val="26"/>
              <w:spacing w:line="300" w:lineRule="exact"/>
              <w:jc w:val="center"/>
              <w:rPr>
                <w:rFonts w:ascii="方正仿宋_GBK" w:eastAsia="方正仿宋_GBK"/>
                <w:b/>
                <w:bCs/>
                <w:color w:val="auto"/>
              </w:rPr>
            </w:pPr>
            <w:r>
              <w:rPr>
                <w:rFonts w:hint="eastAsia" w:ascii="方正仿宋_GBK" w:eastAsia="方正仿宋_GBK" w:cs="方正仿宋_GBK"/>
                <w:b/>
                <w:bCs/>
                <w:color w:val="auto"/>
              </w:rPr>
              <w:t>主要内容和要求</w:t>
            </w:r>
          </w:p>
        </w:tc>
      </w:tr>
      <w:tr w14:paraId="418FF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47317CE9">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安全施工</w:t>
            </w:r>
          </w:p>
        </w:tc>
        <w:tc>
          <w:tcPr>
            <w:tcW w:w="525" w:type="dxa"/>
            <w:vMerge w:val="restart"/>
            <w:vAlign w:val="center"/>
          </w:tcPr>
          <w:p w14:paraId="55182219">
            <w:pPr>
              <w:pStyle w:val="26"/>
              <w:spacing w:line="300" w:lineRule="exact"/>
              <w:jc w:val="center"/>
              <w:rPr>
                <w:rFonts w:ascii="方正仿宋_GBK" w:eastAsia="方正仿宋_GBK"/>
                <w:color w:val="auto"/>
              </w:rPr>
            </w:pPr>
            <w:r>
              <w:rPr>
                <w:rFonts w:hint="eastAsia" w:ascii="方正仿宋_GBK" w:eastAsia="方正仿宋_GBK" w:cs="方正仿宋_GBK"/>
                <w:color w:val="auto"/>
              </w:rPr>
              <w:t>高处作业防护</w:t>
            </w:r>
          </w:p>
        </w:tc>
        <w:tc>
          <w:tcPr>
            <w:tcW w:w="1545" w:type="dxa"/>
            <w:vAlign w:val="center"/>
          </w:tcPr>
          <w:p w14:paraId="296372BB">
            <w:pPr>
              <w:pStyle w:val="26"/>
              <w:spacing w:line="300" w:lineRule="exact"/>
              <w:rPr>
                <w:rFonts w:ascii="方正仿宋_GBK" w:eastAsia="方正仿宋_GBK"/>
                <w:color w:val="auto"/>
              </w:rPr>
            </w:pPr>
            <w:r>
              <w:rPr>
                <w:rFonts w:hint="eastAsia" w:ascii="方正仿宋_GBK" w:eastAsia="方正仿宋_GBK" w:cs="方正仿宋_GBK"/>
                <w:color w:val="auto"/>
              </w:rPr>
              <w:t>楼层、屋面、阳台等临边</w:t>
            </w:r>
          </w:p>
        </w:tc>
        <w:tc>
          <w:tcPr>
            <w:tcW w:w="6645" w:type="dxa"/>
            <w:vAlign w:val="center"/>
          </w:tcPr>
          <w:p w14:paraId="50368F7F">
            <w:pPr>
              <w:pStyle w:val="26"/>
              <w:spacing w:line="300" w:lineRule="exact"/>
              <w:rPr>
                <w:rFonts w:ascii="方正仿宋_GBK" w:eastAsia="方正仿宋_GBK"/>
                <w:color w:val="auto"/>
              </w:rPr>
            </w:pPr>
            <w:r>
              <w:rPr>
                <w:rFonts w:hint="eastAsia" w:ascii="方正仿宋_GBK" w:eastAsia="方正仿宋_GBK" w:cs="方正仿宋_GBK"/>
                <w:color w:val="auto"/>
              </w:rPr>
              <w:t>设两道防护栏杆和</w:t>
            </w:r>
            <w:r>
              <w:rPr>
                <w:rFonts w:ascii="方正仿宋_GBK" w:eastAsia="方正仿宋_GBK" w:cs="方正仿宋_GBK"/>
                <w:color w:val="auto"/>
              </w:rPr>
              <w:t>18cm</w:t>
            </w:r>
            <w:r>
              <w:rPr>
                <w:rFonts w:hint="eastAsia" w:ascii="方正仿宋_GBK" w:eastAsia="方正仿宋_GBK" w:cs="方正仿宋_GBK"/>
                <w:color w:val="auto"/>
              </w:rPr>
              <w:t>高的踢脚板，用密目式安全立网全封闭。</w:t>
            </w:r>
          </w:p>
        </w:tc>
      </w:tr>
      <w:tr w14:paraId="48FB6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D956D8A">
            <w:pPr>
              <w:pStyle w:val="26"/>
              <w:spacing w:line="300" w:lineRule="exact"/>
              <w:jc w:val="center"/>
              <w:rPr>
                <w:rFonts w:ascii="方正仿宋_GBK" w:eastAsia="方正仿宋_GBK"/>
                <w:color w:val="auto"/>
              </w:rPr>
            </w:pPr>
          </w:p>
        </w:tc>
        <w:tc>
          <w:tcPr>
            <w:tcW w:w="525" w:type="dxa"/>
            <w:vMerge w:val="continue"/>
            <w:vAlign w:val="center"/>
          </w:tcPr>
          <w:p w14:paraId="64A6D4F0">
            <w:pPr>
              <w:pStyle w:val="26"/>
              <w:spacing w:line="300" w:lineRule="exact"/>
              <w:jc w:val="center"/>
              <w:rPr>
                <w:rFonts w:ascii="方正仿宋_GBK" w:eastAsia="方正仿宋_GBK"/>
                <w:color w:val="auto"/>
              </w:rPr>
            </w:pPr>
          </w:p>
        </w:tc>
        <w:tc>
          <w:tcPr>
            <w:tcW w:w="1545" w:type="dxa"/>
            <w:vAlign w:val="center"/>
          </w:tcPr>
          <w:p w14:paraId="1F4D35DC">
            <w:pPr>
              <w:pStyle w:val="26"/>
              <w:spacing w:line="300" w:lineRule="exact"/>
              <w:rPr>
                <w:rFonts w:ascii="方正仿宋_GBK" w:eastAsia="方正仿宋_GBK"/>
                <w:color w:val="auto"/>
              </w:rPr>
            </w:pPr>
            <w:r>
              <w:rPr>
                <w:rFonts w:hint="eastAsia" w:ascii="方正仿宋_GBK" w:eastAsia="方正仿宋_GBK" w:cs="方正仿宋_GBK"/>
                <w:color w:val="auto"/>
              </w:rPr>
              <w:t>通道口</w:t>
            </w:r>
          </w:p>
        </w:tc>
        <w:tc>
          <w:tcPr>
            <w:tcW w:w="6645" w:type="dxa"/>
            <w:vAlign w:val="center"/>
          </w:tcPr>
          <w:p w14:paraId="062693A0">
            <w:pPr>
              <w:pStyle w:val="26"/>
              <w:spacing w:line="300" w:lineRule="exact"/>
              <w:rPr>
                <w:rFonts w:ascii="方正仿宋_GBK" w:eastAsia="方正仿宋_GBK"/>
                <w:color w:val="auto"/>
              </w:rPr>
            </w:pPr>
            <w:r>
              <w:rPr>
                <w:rFonts w:hint="eastAsia" w:ascii="方正仿宋_GBK" w:eastAsia="方正仿宋_GBK" w:cs="方正仿宋_GBK"/>
                <w:color w:val="auto"/>
              </w:rPr>
              <w:t>设防护棚，防护棚应为不小于</w:t>
            </w:r>
            <w:r>
              <w:rPr>
                <w:rFonts w:ascii="方正仿宋_GBK" w:eastAsia="方正仿宋_GBK" w:cs="方正仿宋_GBK"/>
                <w:color w:val="auto"/>
              </w:rPr>
              <w:t>5cm</w:t>
            </w:r>
            <w:r>
              <w:rPr>
                <w:rFonts w:hint="eastAsia" w:ascii="方正仿宋_GBK" w:eastAsia="方正仿宋_GBK" w:cs="方正仿宋_GBK"/>
                <w:color w:val="auto"/>
              </w:rPr>
              <w:t>厚的木板或两道相距</w:t>
            </w:r>
            <w:r>
              <w:rPr>
                <w:rFonts w:ascii="方正仿宋_GBK" w:eastAsia="方正仿宋_GBK" w:cs="方正仿宋_GBK"/>
                <w:color w:val="auto"/>
              </w:rPr>
              <w:t>50cm</w:t>
            </w:r>
            <w:r>
              <w:rPr>
                <w:rFonts w:hint="eastAsia" w:ascii="方正仿宋_GBK" w:eastAsia="方正仿宋_GBK" w:cs="方正仿宋_GBK"/>
                <w:color w:val="auto"/>
              </w:rPr>
              <w:t>的竹笆。两侧应沿栏杆架用密目式安全网封闭。</w:t>
            </w:r>
          </w:p>
        </w:tc>
      </w:tr>
      <w:tr w14:paraId="6F871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486D4F7">
            <w:pPr>
              <w:pStyle w:val="26"/>
              <w:spacing w:line="300" w:lineRule="exact"/>
              <w:jc w:val="center"/>
              <w:rPr>
                <w:rFonts w:ascii="方正仿宋_GBK" w:eastAsia="方正仿宋_GBK"/>
                <w:color w:val="auto"/>
              </w:rPr>
            </w:pPr>
          </w:p>
        </w:tc>
        <w:tc>
          <w:tcPr>
            <w:tcW w:w="525" w:type="dxa"/>
            <w:vMerge w:val="continue"/>
            <w:vAlign w:val="center"/>
          </w:tcPr>
          <w:p w14:paraId="30AD516E">
            <w:pPr>
              <w:pStyle w:val="26"/>
              <w:spacing w:line="300" w:lineRule="exact"/>
              <w:jc w:val="center"/>
              <w:rPr>
                <w:rFonts w:ascii="方正仿宋_GBK" w:eastAsia="方正仿宋_GBK"/>
                <w:color w:val="auto"/>
              </w:rPr>
            </w:pPr>
          </w:p>
        </w:tc>
        <w:tc>
          <w:tcPr>
            <w:tcW w:w="1545" w:type="dxa"/>
            <w:vAlign w:val="center"/>
          </w:tcPr>
          <w:p w14:paraId="07B33C8A">
            <w:pPr>
              <w:pStyle w:val="26"/>
              <w:spacing w:line="300" w:lineRule="exact"/>
              <w:rPr>
                <w:rFonts w:ascii="方正仿宋_GBK" w:eastAsia="方正仿宋_GBK"/>
                <w:color w:val="auto"/>
              </w:rPr>
            </w:pPr>
            <w:r>
              <w:rPr>
                <w:rFonts w:hint="eastAsia" w:ascii="方正仿宋_GBK" w:eastAsia="方正仿宋_GBK" w:cs="方正仿宋_GBK"/>
                <w:color w:val="auto"/>
              </w:rPr>
              <w:t>预留洞口</w:t>
            </w:r>
          </w:p>
        </w:tc>
        <w:tc>
          <w:tcPr>
            <w:tcW w:w="6645" w:type="dxa"/>
            <w:vAlign w:val="center"/>
          </w:tcPr>
          <w:p w14:paraId="0DCD8F49">
            <w:pPr>
              <w:pStyle w:val="26"/>
              <w:spacing w:line="300" w:lineRule="exact"/>
              <w:rPr>
                <w:rFonts w:ascii="方正仿宋_GBK" w:eastAsia="方正仿宋_GBK"/>
                <w:color w:val="auto"/>
              </w:rPr>
            </w:pPr>
            <w:r>
              <w:rPr>
                <w:rFonts w:hint="eastAsia" w:ascii="方正仿宋_GBK" w:eastAsia="方正仿宋_GBK" w:cs="方正仿宋_GBK"/>
                <w:color w:val="auto"/>
              </w:rPr>
              <w:t>用硬质材料全封闭，短边超过</w:t>
            </w:r>
            <w:r>
              <w:rPr>
                <w:rFonts w:ascii="方正仿宋_GBK" w:eastAsia="方正仿宋_GBK" w:cs="方正仿宋_GBK"/>
                <w:color w:val="auto"/>
              </w:rPr>
              <w:t>1.5m</w:t>
            </w:r>
            <w:r>
              <w:rPr>
                <w:rFonts w:hint="eastAsia" w:ascii="方正仿宋_GBK" w:eastAsia="方正仿宋_GBK" w:cs="方正仿宋_GBK"/>
                <w:color w:val="auto"/>
              </w:rPr>
              <w:t>长的洞口，除封闭外四周还应设有防护栏杆。</w:t>
            </w:r>
          </w:p>
        </w:tc>
      </w:tr>
      <w:tr w14:paraId="62CA3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4E1F3317">
            <w:pPr>
              <w:pStyle w:val="26"/>
              <w:spacing w:line="300" w:lineRule="exact"/>
              <w:jc w:val="center"/>
              <w:rPr>
                <w:rFonts w:ascii="方正仿宋_GBK" w:eastAsia="方正仿宋_GBK"/>
                <w:color w:val="auto"/>
              </w:rPr>
            </w:pPr>
          </w:p>
        </w:tc>
        <w:tc>
          <w:tcPr>
            <w:tcW w:w="525" w:type="dxa"/>
            <w:vMerge w:val="continue"/>
            <w:vAlign w:val="center"/>
          </w:tcPr>
          <w:p w14:paraId="020A4F12">
            <w:pPr>
              <w:pStyle w:val="26"/>
              <w:spacing w:line="300" w:lineRule="exact"/>
              <w:jc w:val="center"/>
              <w:rPr>
                <w:rFonts w:ascii="方正仿宋_GBK" w:eastAsia="方正仿宋_GBK"/>
                <w:color w:val="auto"/>
              </w:rPr>
            </w:pPr>
          </w:p>
        </w:tc>
        <w:tc>
          <w:tcPr>
            <w:tcW w:w="1545" w:type="dxa"/>
            <w:vAlign w:val="center"/>
          </w:tcPr>
          <w:p w14:paraId="6B667515">
            <w:pPr>
              <w:pStyle w:val="26"/>
              <w:spacing w:line="300" w:lineRule="exact"/>
              <w:rPr>
                <w:rFonts w:ascii="方正仿宋_GBK" w:eastAsia="方正仿宋_GBK"/>
                <w:color w:val="auto"/>
              </w:rPr>
            </w:pPr>
            <w:r>
              <w:rPr>
                <w:rFonts w:hint="eastAsia" w:ascii="方正仿宋_GBK" w:eastAsia="方正仿宋_GBK" w:cs="方正仿宋_GBK"/>
                <w:color w:val="auto"/>
              </w:rPr>
              <w:t>电梯井口</w:t>
            </w:r>
          </w:p>
        </w:tc>
        <w:tc>
          <w:tcPr>
            <w:tcW w:w="6645" w:type="dxa"/>
            <w:vAlign w:val="center"/>
          </w:tcPr>
          <w:p w14:paraId="5D07EB95">
            <w:pPr>
              <w:pStyle w:val="26"/>
              <w:spacing w:line="300" w:lineRule="exact"/>
              <w:rPr>
                <w:rFonts w:ascii="方正仿宋_GBK" w:eastAsia="方正仿宋_GBK"/>
                <w:color w:val="auto"/>
              </w:rPr>
            </w:pPr>
            <w:r>
              <w:rPr>
                <w:rFonts w:hint="eastAsia" w:ascii="方正仿宋_GBK" w:eastAsia="方正仿宋_GBK" w:cs="方正仿宋_GBK"/>
                <w:color w:val="auto"/>
              </w:rPr>
              <w:t>设置定型化、工具化的防护门，在电梯井内每隔</w:t>
            </w:r>
            <w:r>
              <w:rPr>
                <w:rFonts w:ascii="方正仿宋_GBK" w:eastAsia="方正仿宋_GBK" w:cs="方正仿宋_GBK"/>
                <w:color w:val="auto"/>
              </w:rPr>
              <w:t>2</w:t>
            </w:r>
            <w:r>
              <w:rPr>
                <w:rFonts w:hint="eastAsia" w:ascii="方正仿宋_GBK" w:eastAsia="方正仿宋_GBK" w:cs="方正仿宋_GBK"/>
                <w:color w:val="auto"/>
              </w:rPr>
              <w:t>层（不大于</w:t>
            </w:r>
            <w:r>
              <w:rPr>
                <w:rFonts w:ascii="方正仿宋_GBK" w:eastAsia="方正仿宋_GBK" w:cs="方正仿宋_GBK"/>
                <w:color w:val="auto"/>
              </w:rPr>
              <w:t>10m</w:t>
            </w:r>
            <w:r>
              <w:rPr>
                <w:rFonts w:hint="eastAsia" w:ascii="方正仿宋_GBK" w:eastAsia="方正仿宋_GBK" w:cs="方正仿宋_GBK"/>
                <w:color w:val="auto"/>
              </w:rPr>
              <w:t>）设置一道水平防护。</w:t>
            </w:r>
          </w:p>
        </w:tc>
      </w:tr>
      <w:tr w14:paraId="39799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2C38720">
            <w:pPr>
              <w:pStyle w:val="26"/>
              <w:spacing w:line="300" w:lineRule="exact"/>
              <w:jc w:val="center"/>
              <w:rPr>
                <w:rFonts w:ascii="方正仿宋_GBK" w:eastAsia="方正仿宋_GBK"/>
                <w:color w:val="auto"/>
              </w:rPr>
            </w:pPr>
          </w:p>
        </w:tc>
        <w:tc>
          <w:tcPr>
            <w:tcW w:w="525" w:type="dxa"/>
            <w:vMerge w:val="continue"/>
            <w:vAlign w:val="center"/>
          </w:tcPr>
          <w:p w14:paraId="4A599573">
            <w:pPr>
              <w:pStyle w:val="26"/>
              <w:spacing w:line="300" w:lineRule="exact"/>
              <w:jc w:val="center"/>
              <w:rPr>
                <w:rFonts w:ascii="方正仿宋_GBK" w:eastAsia="方正仿宋_GBK"/>
                <w:color w:val="auto"/>
              </w:rPr>
            </w:pPr>
          </w:p>
        </w:tc>
        <w:tc>
          <w:tcPr>
            <w:tcW w:w="1545" w:type="dxa"/>
            <w:vAlign w:val="center"/>
          </w:tcPr>
          <w:p w14:paraId="4200C746">
            <w:pPr>
              <w:pStyle w:val="26"/>
              <w:spacing w:line="300" w:lineRule="exact"/>
              <w:rPr>
                <w:rFonts w:ascii="方正仿宋_GBK" w:eastAsia="方正仿宋_GBK"/>
                <w:color w:val="auto"/>
              </w:rPr>
            </w:pPr>
            <w:r>
              <w:rPr>
                <w:rFonts w:hint="eastAsia" w:ascii="方正仿宋_GBK" w:eastAsia="方正仿宋_GBK" w:cs="方正仿宋_GBK"/>
                <w:color w:val="auto"/>
              </w:rPr>
              <w:t>楼梯边</w:t>
            </w:r>
          </w:p>
        </w:tc>
        <w:tc>
          <w:tcPr>
            <w:tcW w:w="6645" w:type="dxa"/>
            <w:vAlign w:val="center"/>
          </w:tcPr>
          <w:p w14:paraId="31224963">
            <w:pPr>
              <w:pStyle w:val="26"/>
              <w:spacing w:line="300" w:lineRule="exact"/>
              <w:rPr>
                <w:rFonts w:ascii="方正仿宋_GBK" w:eastAsia="方正仿宋_GBK"/>
                <w:color w:val="auto"/>
              </w:rPr>
            </w:pPr>
            <w:r>
              <w:rPr>
                <w:rFonts w:hint="eastAsia" w:ascii="方正仿宋_GBK" w:eastAsia="方正仿宋_GBK" w:cs="方正仿宋_GBK"/>
                <w:color w:val="auto"/>
              </w:rPr>
              <w:t>设</w:t>
            </w:r>
            <w:r>
              <w:rPr>
                <w:rFonts w:ascii="方正仿宋_GBK" w:eastAsia="方正仿宋_GBK" w:cs="方正仿宋_GBK"/>
                <w:color w:val="auto"/>
              </w:rPr>
              <w:t>1.2m</w:t>
            </w:r>
            <w:r>
              <w:rPr>
                <w:rFonts w:hint="eastAsia" w:ascii="方正仿宋_GBK" w:eastAsia="方正仿宋_GBK" w:cs="方正仿宋_GBK"/>
                <w:color w:val="auto"/>
              </w:rPr>
              <w:t>高的定型化、工具化的防护栏，</w:t>
            </w:r>
            <w:r>
              <w:rPr>
                <w:rFonts w:ascii="方正仿宋_GBK" w:eastAsia="方正仿宋_GBK" w:cs="方正仿宋_GBK"/>
                <w:color w:val="auto"/>
              </w:rPr>
              <w:t>18cm</w:t>
            </w:r>
            <w:r>
              <w:rPr>
                <w:rFonts w:hint="eastAsia" w:ascii="方正仿宋_GBK" w:eastAsia="方正仿宋_GBK" w:cs="方正仿宋_GBK"/>
                <w:color w:val="auto"/>
              </w:rPr>
              <w:t>高的踢脚板。</w:t>
            </w:r>
          </w:p>
        </w:tc>
      </w:tr>
      <w:tr w14:paraId="3D9DB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A2337C3">
            <w:pPr>
              <w:pStyle w:val="26"/>
              <w:spacing w:line="300" w:lineRule="exact"/>
              <w:jc w:val="center"/>
              <w:rPr>
                <w:rFonts w:ascii="方正仿宋_GBK" w:eastAsia="方正仿宋_GBK"/>
                <w:color w:val="auto"/>
              </w:rPr>
            </w:pPr>
          </w:p>
        </w:tc>
        <w:tc>
          <w:tcPr>
            <w:tcW w:w="525" w:type="dxa"/>
            <w:vMerge w:val="continue"/>
            <w:vAlign w:val="center"/>
          </w:tcPr>
          <w:p w14:paraId="0A3411D7">
            <w:pPr>
              <w:pStyle w:val="26"/>
              <w:spacing w:line="300" w:lineRule="exact"/>
              <w:jc w:val="center"/>
              <w:rPr>
                <w:rFonts w:ascii="方正仿宋_GBK" w:eastAsia="方正仿宋_GBK"/>
                <w:color w:val="auto"/>
              </w:rPr>
            </w:pPr>
          </w:p>
        </w:tc>
        <w:tc>
          <w:tcPr>
            <w:tcW w:w="1545" w:type="dxa"/>
            <w:vAlign w:val="center"/>
          </w:tcPr>
          <w:p w14:paraId="1F4640B1">
            <w:pPr>
              <w:pStyle w:val="26"/>
              <w:spacing w:line="300" w:lineRule="exact"/>
              <w:rPr>
                <w:rFonts w:ascii="方正仿宋_GBK" w:eastAsia="方正仿宋_GBK"/>
                <w:color w:val="auto"/>
              </w:rPr>
            </w:pPr>
            <w:r>
              <w:rPr>
                <w:rFonts w:hint="eastAsia" w:ascii="方正仿宋_GBK" w:eastAsia="方正仿宋_GBK" w:cs="方正仿宋_GBK"/>
                <w:color w:val="auto"/>
              </w:rPr>
              <w:t>垂直方向交叉作业</w:t>
            </w:r>
          </w:p>
        </w:tc>
        <w:tc>
          <w:tcPr>
            <w:tcW w:w="6645" w:type="dxa"/>
            <w:vAlign w:val="center"/>
          </w:tcPr>
          <w:p w14:paraId="741E3C5A">
            <w:pPr>
              <w:pStyle w:val="26"/>
              <w:spacing w:line="300" w:lineRule="exact"/>
              <w:rPr>
                <w:rFonts w:ascii="方正仿宋_GBK" w:eastAsia="方正仿宋_GBK"/>
                <w:color w:val="auto"/>
              </w:rPr>
            </w:pPr>
            <w:r>
              <w:rPr>
                <w:rFonts w:hint="eastAsia" w:ascii="方正仿宋_GBK" w:eastAsia="方正仿宋_GBK" w:cs="方正仿宋_GBK"/>
                <w:color w:val="auto"/>
              </w:rPr>
              <w:t>设置防护隔离棚或其它设施。</w:t>
            </w:r>
          </w:p>
        </w:tc>
      </w:tr>
      <w:tr w14:paraId="0A348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17AA9DF">
            <w:pPr>
              <w:pStyle w:val="26"/>
              <w:spacing w:line="300" w:lineRule="exact"/>
              <w:jc w:val="center"/>
              <w:rPr>
                <w:rFonts w:ascii="方正仿宋_GBK" w:eastAsia="方正仿宋_GBK"/>
                <w:color w:val="auto"/>
              </w:rPr>
            </w:pPr>
          </w:p>
        </w:tc>
        <w:tc>
          <w:tcPr>
            <w:tcW w:w="525" w:type="dxa"/>
            <w:vMerge w:val="continue"/>
            <w:vAlign w:val="center"/>
          </w:tcPr>
          <w:p w14:paraId="76F70ABB">
            <w:pPr>
              <w:pStyle w:val="26"/>
              <w:spacing w:line="300" w:lineRule="exact"/>
              <w:jc w:val="center"/>
              <w:rPr>
                <w:rFonts w:ascii="方正仿宋_GBK" w:eastAsia="方正仿宋_GBK"/>
                <w:color w:val="auto"/>
              </w:rPr>
            </w:pPr>
          </w:p>
        </w:tc>
        <w:tc>
          <w:tcPr>
            <w:tcW w:w="1545" w:type="dxa"/>
            <w:vAlign w:val="center"/>
          </w:tcPr>
          <w:p w14:paraId="48443EFD">
            <w:pPr>
              <w:pStyle w:val="26"/>
              <w:spacing w:line="300" w:lineRule="exact"/>
              <w:rPr>
                <w:rFonts w:ascii="方正仿宋_GBK" w:eastAsia="方正仿宋_GBK"/>
                <w:color w:val="auto"/>
              </w:rPr>
            </w:pPr>
            <w:r>
              <w:rPr>
                <w:rFonts w:hint="eastAsia" w:ascii="方正仿宋_GBK" w:eastAsia="方正仿宋_GBK" w:cs="方正仿宋_GBK"/>
                <w:color w:val="auto"/>
              </w:rPr>
              <w:t>高处作业</w:t>
            </w:r>
          </w:p>
        </w:tc>
        <w:tc>
          <w:tcPr>
            <w:tcW w:w="6645" w:type="dxa"/>
            <w:vAlign w:val="center"/>
          </w:tcPr>
          <w:p w14:paraId="143E5E94">
            <w:pPr>
              <w:pStyle w:val="26"/>
              <w:spacing w:line="300" w:lineRule="exact"/>
              <w:rPr>
                <w:rFonts w:ascii="方正仿宋_GBK" w:eastAsia="方正仿宋_GBK"/>
                <w:color w:val="auto"/>
              </w:rPr>
            </w:pPr>
            <w:r>
              <w:rPr>
                <w:rFonts w:hint="eastAsia" w:ascii="方正仿宋_GBK" w:eastAsia="方正仿宋_GBK" w:cs="方正仿宋_GBK"/>
                <w:color w:val="auto"/>
              </w:rPr>
              <w:t>有悬挂安全带的悬索或其它设施，有操作平台，有上下的梯子或其它形式的通道。</w:t>
            </w:r>
          </w:p>
        </w:tc>
      </w:tr>
      <w:tr w14:paraId="64B36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7C5ABFF">
            <w:pPr>
              <w:pStyle w:val="26"/>
              <w:spacing w:line="300" w:lineRule="exact"/>
              <w:jc w:val="center"/>
              <w:rPr>
                <w:rFonts w:ascii="方正仿宋_GBK" w:eastAsia="方正仿宋_GBK"/>
                <w:color w:val="auto"/>
              </w:rPr>
            </w:pPr>
          </w:p>
        </w:tc>
        <w:tc>
          <w:tcPr>
            <w:tcW w:w="525" w:type="dxa"/>
            <w:vMerge w:val="continue"/>
            <w:vAlign w:val="center"/>
          </w:tcPr>
          <w:p w14:paraId="01AE5DA2">
            <w:pPr>
              <w:pStyle w:val="26"/>
              <w:spacing w:line="300" w:lineRule="exact"/>
              <w:jc w:val="center"/>
              <w:rPr>
                <w:rFonts w:ascii="方正仿宋_GBK" w:eastAsia="方正仿宋_GBK"/>
                <w:color w:val="auto"/>
              </w:rPr>
            </w:pPr>
          </w:p>
        </w:tc>
        <w:tc>
          <w:tcPr>
            <w:tcW w:w="1545" w:type="dxa"/>
            <w:vAlign w:val="center"/>
          </w:tcPr>
          <w:p w14:paraId="66101D93">
            <w:pPr>
              <w:pStyle w:val="26"/>
              <w:spacing w:line="300" w:lineRule="exact"/>
              <w:rPr>
                <w:rFonts w:ascii="方正仿宋_GBK" w:eastAsia="方正仿宋_GBK"/>
                <w:color w:val="auto"/>
              </w:rPr>
            </w:pPr>
            <w:r>
              <w:rPr>
                <w:rFonts w:hint="eastAsia" w:ascii="方正仿宋_GBK" w:eastAsia="方正仿宋_GBK" w:cs="方正仿宋_GBK"/>
                <w:color w:val="auto"/>
              </w:rPr>
              <w:t>基坑、物料平台</w:t>
            </w:r>
          </w:p>
        </w:tc>
        <w:tc>
          <w:tcPr>
            <w:tcW w:w="6645" w:type="dxa"/>
            <w:vAlign w:val="center"/>
          </w:tcPr>
          <w:p w14:paraId="304325B9">
            <w:pPr>
              <w:pStyle w:val="26"/>
              <w:spacing w:line="300" w:lineRule="exact"/>
              <w:rPr>
                <w:rFonts w:ascii="方正仿宋_GBK" w:eastAsia="方正仿宋_GBK"/>
                <w:color w:val="auto"/>
              </w:rPr>
            </w:pPr>
            <w:r>
              <w:rPr>
                <w:rFonts w:hint="eastAsia" w:ascii="方正仿宋_GBK" w:eastAsia="方正仿宋_GBK" w:cs="方正仿宋_GBK"/>
                <w:color w:val="auto"/>
              </w:rPr>
              <w:t>设</w:t>
            </w:r>
            <w:r>
              <w:rPr>
                <w:rFonts w:ascii="方正仿宋_GBK" w:eastAsia="方正仿宋_GBK" w:cs="方正仿宋_GBK"/>
                <w:color w:val="auto"/>
              </w:rPr>
              <w:t>1.2m</w:t>
            </w:r>
            <w:r>
              <w:rPr>
                <w:rFonts w:hint="eastAsia" w:ascii="方正仿宋_GBK" w:eastAsia="方正仿宋_GBK" w:cs="方正仿宋_GBK"/>
                <w:color w:val="auto"/>
              </w:rPr>
              <w:t>高标准化的防护栏，用密目式安全立网封闭，悬挂标识。</w:t>
            </w:r>
          </w:p>
        </w:tc>
      </w:tr>
      <w:tr w14:paraId="5A3B0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1F03DBF">
            <w:pPr>
              <w:pStyle w:val="26"/>
              <w:spacing w:line="300" w:lineRule="exact"/>
              <w:jc w:val="center"/>
              <w:rPr>
                <w:rFonts w:ascii="方正仿宋_GBK" w:eastAsia="方正仿宋_GBK"/>
                <w:color w:val="auto"/>
              </w:rPr>
            </w:pPr>
          </w:p>
        </w:tc>
        <w:tc>
          <w:tcPr>
            <w:tcW w:w="2070" w:type="dxa"/>
            <w:gridSpan w:val="2"/>
            <w:vAlign w:val="center"/>
          </w:tcPr>
          <w:p w14:paraId="630B1924">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安全防护用品</w:t>
            </w:r>
          </w:p>
        </w:tc>
        <w:tc>
          <w:tcPr>
            <w:tcW w:w="6645" w:type="dxa"/>
            <w:vAlign w:val="center"/>
          </w:tcPr>
          <w:p w14:paraId="081A4DAC">
            <w:pPr>
              <w:pStyle w:val="26"/>
              <w:spacing w:line="300" w:lineRule="exact"/>
              <w:rPr>
                <w:rFonts w:ascii="方正仿宋_GBK" w:eastAsia="方正仿宋_GBK"/>
                <w:color w:val="auto"/>
              </w:rPr>
            </w:pPr>
            <w:r>
              <w:rPr>
                <w:rFonts w:hint="eastAsia" w:ascii="方正仿宋_GBK" w:eastAsia="方正仿宋_GBK" w:cs="方正仿宋_GBK"/>
                <w:color w:val="auto"/>
              </w:rPr>
              <w:t>安全帽、安全带、特种作业人员（电工、焊工、架子工等）防护服装、用品等。</w:t>
            </w:r>
          </w:p>
        </w:tc>
      </w:tr>
      <w:tr w14:paraId="4B2E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5EF0F0DE">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其它</w:t>
            </w:r>
          </w:p>
        </w:tc>
        <w:tc>
          <w:tcPr>
            <w:tcW w:w="525" w:type="dxa"/>
            <w:vMerge w:val="restart"/>
            <w:vAlign w:val="center"/>
          </w:tcPr>
          <w:p w14:paraId="0B8EBB96">
            <w:pPr>
              <w:pStyle w:val="26"/>
              <w:spacing w:line="300" w:lineRule="exact"/>
              <w:jc w:val="center"/>
              <w:rPr>
                <w:rFonts w:ascii="方正仿宋_GBK" w:eastAsia="方正仿宋_GBK"/>
                <w:color w:val="auto"/>
              </w:rPr>
            </w:pPr>
            <w:r>
              <w:rPr>
                <w:rFonts w:hint="eastAsia" w:ascii="方正仿宋_GBK" w:eastAsia="方正仿宋_GBK" w:cs="方正仿宋_GBK"/>
                <w:color w:val="auto"/>
              </w:rPr>
              <w:t>机械设备防护</w:t>
            </w:r>
          </w:p>
        </w:tc>
        <w:tc>
          <w:tcPr>
            <w:tcW w:w="1545" w:type="dxa"/>
            <w:vAlign w:val="center"/>
          </w:tcPr>
          <w:p w14:paraId="7D4B70DD">
            <w:pPr>
              <w:pStyle w:val="26"/>
              <w:spacing w:line="300" w:lineRule="exact"/>
              <w:jc w:val="center"/>
              <w:rPr>
                <w:rFonts w:ascii="方正仿宋_GBK" w:eastAsia="方正仿宋_GBK"/>
                <w:color w:val="auto"/>
              </w:rPr>
            </w:pPr>
            <w:r>
              <w:rPr>
                <w:rFonts w:hint="eastAsia" w:ascii="方正仿宋_GBK" w:eastAsia="方正仿宋_GBK" w:cs="方正仿宋_GBK"/>
                <w:color w:val="auto"/>
              </w:rPr>
              <w:t>中小型机械</w:t>
            </w:r>
          </w:p>
        </w:tc>
        <w:tc>
          <w:tcPr>
            <w:tcW w:w="6645" w:type="dxa"/>
            <w:vAlign w:val="center"/>
          </w:tcPr>
          <w:p w14:paraId="6960F6B0">
            <w:pPr>
              <w:pStyle w:val="26"/>
              <w:spacing w:line="300" w:lineRule="exact"/>
              <w:rPr>
                <w:rFonts w:ascii="方正仿宋_GBK" w:eastAsia="方正仿宋_GBK"/>
                <w:color w:val="auto"/>
              </w:rPr>
            </w:pPr>
            <w:r>
              <w:rPr>
                <w:rFonts w:hint="eastAsia" w:ascii="方正仿宋_GBK" w:eastAsia="方正仿宋_GBK" w:cs="方正仿宋_GBK"/>
                <w:color w:val="auto"/>
              </w:rPr>
              <w:t>设防护棚（同通道口防护并有防雨措施）。</w:t>
            </w:r>
          </w:p>
        </w:tc>
      </w:tr>
      <w:tr w14:paraId="78CCB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5B3E57B">
            <w:pPr>
              <w:pStyle w:val="26"/>
              <w:spacing w:line="300" w:lineRule="exact"/>
              <w:jc w:val="center"/>
              <w:rPr>
                <w:rFonts w:ascii="方正仿宋_GBK" w:eastAsia="方正仿宋_GBK"/>
                <w:color w:val="auto"/>
              </w:rPr>
            </w:pPr>
          </w:p>
        </w:tc>
        <w:tc>
          <w:tcPr>
            <w:tcW w:w="525" w:type="dxa"/>
            <w:vMerge w:val="continue"/>
            <w:vAlign w:val="center"/>
          </w:tcPr>
          <w:p w14:paraId="1EC9A9A5">
            <w:pPr>
              <w:pStyle w:val="26"/>
              <w:spacing w:line="300" w:lineRule="exact"/>
              <w:jc w:val="center"/>
              <w:rPr>
                <w:rFonts w:ascii="方正仿宋_GBK" w:eastAsia="方正仿宋_GBK"/>
                <w:color w:val="auto"/>
              </w:rPr>
            </w:pPr>
          </w:p>
        </w:tc>
        <w:tc>
          <w:tcPr>
            <w:tcW w:w="1545" w:type="dxa"/>
            <w:vAlign w:val="center"/>
          </w:tcPr>
          <w:p w14:paraId="70C9E78B">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垂直运输设备</w:t>
            </w:r>
          </w:p>
        </w:tc>
        <w:tc>
          <w:tcPr>
            <w:tcW w:w="6645" w:type="dxa"/>
            <w:vAlign w:val="center"/>
          </w:tcPr>
          <w:p w14:paraId="5DF24E77">
            <w:pPr>
              <w:pStyle w:val="26"/>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垂直运输设备检测、检验、日常维护、保养等。</w:t>
            </w:r>
          </w:p>
          <w:p w14:paraId="1DAFE870">
            <w:pPr>
              <w:pStyle w:val="26"/>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物料提升机、施工电梯等物料平台搭设、外侧用密目式安全立网全封闭，有安全通道、安全防护门、防护棚等。</w:t>
            </w:r>
          </w:p>
        </w:tc>
      </w:tr>
      <w:tr w14:paraId="3B908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1A1AA684">
            <w:pPr>
              <w:pStyle w:val="26"/>
              <w:spacing w:line="300" w:lineRule="exact"/>
              <w:jc w:val="center"/>
              <w:rPr>
                <w:rFonts w:ascii="方正仿宋_GBK" w:eastAsia="方正仿宋_GBK"/>
                <w:color w:val="auto"/>
              </w:rPr>
            </w:pPr>
          </w:p>
        </w:tc>
        <w:tc>
          <w:tcPr>
            <w:tcW w:w="2070" w:type="dxa"/>
            <w:gridSpan w:val="2"/>
            <w:vAlign w:val="center"/>
          </w:tcPr>
          <w:p w14:paraId="64076422">
            <w:pPr>
              <w:pStyle w:val="26"/>
              <w:spacing w:line="300" w:lineRule="exact"/>
              <w:jc w:val="center"/>
              <w:rPr>
                <w:rFonts w:ascii="方正仿宋_GBK" w:eastAsia="方正仿宋_GBK"/>
                <w:color w:val="auto"/>
              </w:rPr>
            </w:pPr>
            <w:r>
              <w:rPr>
                <w:rFonts w:hint="eastAsia" w:ascii="方正仿宋_GBK" w:eastAsia="方正仿宋_GBK" w:cs="方正仿宋_GBK"/>
                <w:color w:val="auto"/>
              </w:rPr>
              <w:t>专家论证审查</w:t>
            </w:r>
          </w:p>
        </w:tc>
        <w:tc>
          <w:tcPr>
            <w:tcW w:w="6645" w:type="dxa"/>
            <w:vAlign w:val="center"/>
          </w:tcPr>
          <w:p w14:paraId="635A1095">
            <w:pPr>
              <w:pStyle w:val="26"/>
              <w:spacing w:line="300" w:lineRule="exact"/>
              <w:rPr>
                <w:rFonts w:ascii="方正仿宋_GBK" w:eastAsia="方正仿宋_GBK"/>
                <w:color w:val="auto"/>
              </w:rPr>
            </w:pPr>
            <w:r>
              <w:rPr>
                <w:rFonts w:hint="eastAsia" w:ascii="方正仿宋_GBK" w:eastAsia="方正仿宋_GBK" w:cs="方正仿宋_GBK"/>
                <w:color w:val="auto"/>
              </w:rPr>
              <w:t>超过一定规模的危险性较大分部分项工程专家论证审查。</w:t>
            </w:r>
          </w:p>
        </w:tc>
      </w:tr>
      <w:tr w14:paraId="31F6B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7F33B1F6">
            <w:pPr>
              <w:pStyle w:val="26"/>
              <w:spacing w:line="300" w:lineRule="exact"/>
              <w:jc w:val="center"/>
              <w:rPr>
                <w:rFonts w:ascii="方正仿宋_GBK" w:eastAsia="方正仿宋_GBK"/>
                <w:color w:val="auto"/>
              </w:rPr>
            </w:pPr>
          </w:p>
        </w:tc>
        <w:tc>
          <w:tcPr>
            <w:tcW w:w="2070" w:type="dxa"/>
            <w:gridSpan w:val="2"/>
            <w:vAlign w:val="center"/>
          </w:tcPr>
          <w:p w14:paraId="4E257764">
            <w:pPr>
              <w:pStyle w:val="26"/>
              <w:spacing w:line="300" w:lineRule="exact"/>
              <w:jc w:val="center"/>
              <w:rPr>
                <w:rFonts w:ascii="方正仿宋_GBK" w:eastAsia="方正仿宋_GBK"/>
                <w:color w:val="auto"/>
              </w:rPr>
            </w:pPr>
            <w:r>
              <w:rPr>
                <w:rFonts w:hint="eastAsia" w:ascii="方正仿宋_GBK" w:eastAsia="方正仿宋_GBK" w:cs="方正仿宋_GBK"/>
                <w:color w:val="auto"/>
              </w:rPr>
              <w:t>应急救援预案</w:t>
            </w:r>
          </w:p>
        </w:tc>
        <w:tc>
          <w:tcPr>
            <w:tcW w:w="6645" w:type="dxa"/>
            <w:vAlign w:val="center"/>
          </w:tcPr>
          <w:p w14:paraId="3F4A665B">
            <w:pPr>
              <w:pStyle w:val="26"/>
              <w:spacing w:line="300" w:lineRule="exact"/>
              <w:rPr>
                <w:rFonts w:ascii="方正仿宋_GBK" w:eastAsia="方正仿宋_GBK"/>
                <w:color w:val="auto"/>
              </w:rPr>
            </w:pPr>
            <w:r>
              <w:rPr>
                <w:rFonts w:hint="eastAsia" w:ascii="方正仿宋_GBK" w:eastAsia="方正仿宋_GBK" w:cs="方正仿宋_GBK"/>
                <w:color w:val="auto"/>
              </w:rPr>
              <w:t>救援器材准备及演练等。</w:t>
            </w:r>
          </w:p>
        </w:tc>
      </w:tr>
      <w:tr w14:paraId="61AD0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vAlign w:val="center"/>
          </w:tcPr>
          <w:p w14:paraId="191BF3D4">
            <w:pPr>
              <w:pStyle w:val="26"/>
              <w:spacing w:line="300" w:lineRule="exact"/>
              <w:jc w:val="center"/>
              <w:rPr>
                <w:rFonts w:ascii="方正仿宋_GBK" w:eastAsia="方正仿宋_GBK"/>
                <w:color w:val="auto"/>
              </w:rPr>
            </w:pPr>
          </w:p>
        </w:tc>
        <w:tc>
          <w:tcPr>
            <w:tcW w:w="2070" w:type="dxa"/>
            <w:gridSpan w:val="2"/>
            <w:tcBorders>
              <w:bottom w:val="single" w:color="auto" w:sz="12" w:space="0"/>
            </w:tcBorders>
            <w:vAlign w:val="center"/>
          </w:tcPr>
          <w:p w14:paraId="46347B18">
            <w:pPr>
              <w:pStyle w:val="26"/>
              <w:spacing w:line="300" w:lineRule="exact"/>
              <w:jc w:val="center"/>
              <w:rPr>
                <w:rFonts w:ascii="方正仿宋_GBK" w:eastAsia="方正仿宋_GBK"/>
                <w:color w:val="auto"/>
              </w:rPr>
            </w:pPr>
            <w:r>
              <w:rPr>
                <w:rFonts w:hint="eastAsia" w:ascii="方正仿宋_GBK" w:eastAsia="方正仿宋_GBK" w:cs="方正仿宋_GBK"/>
                <w:color w:val="auto"/>
              </w:rPr>
              <w:t>非正常情况施工</w:t>
            </w:r>
          </w:p>
        </w:tc>
        <w:tc>
          <w:tcPr>
            <w:tcW w:w="6645" w:type="dxa"/>
            <w:tcBorders>
              <w:bottom w:val="single" w:color="auto" w:sz="12" w:space="0"/>
            </w:tcBorders>
            <w:vAlign w:val="center"/>
          </w:tcPr>
          <w:p w14:paraId="34B9225D">
            <w:pPr>
              <w:pStyle w:val="26"/>
              <w:spacing w:line="300" w:lineRule="exact"/>
              <w:rPr>
                <w:rFonts w:ascii="方正仿宋_GBK" w:eastAsia="方正仿宋_GBK"/>
                <w:color w:val="auto"/>
              </w:rPr>
            </w:pPr>
            <w:r>
              <w:rPr>
                <w:rFonts w:hint="eastAsia" w:ascii="方正仿宋_GBK" w:eastAsia="方正仿宋_GBK" w:cs="方正仿宋_GBK"/>
                <w:color w:val="auto"/>
              </w:rPr>
              <w:t>其它特殊情况下的防护费用，如：城市主干道、人流密集、河边等处施工及文物、古建筑、古树保护等。</w:t>
            </w:r>
          </w:p>
        </w:tc>
      </w:tr>
    </w:tbl>
    <w:p w14:paraId="282B5E3F">
      <w:pPr>
        <w:pStyle w:val="26"/>
        <w:spacing w:line="240" w:lineRule="atLeast"/>
        <w:ind w:firstLine="546"/>
        <w:jc w:val="center"/>
        <w:rPr>
          <w:b/>
          <w:bCs/>
          <w:color w:val="auto"/>
          <w:w w:val="90"/>
          <w:sz w:val="24"/>
          <w:szCs w:val="24"/>
        </w:rPr>
      </w:pPr>
    </w:p>
    <w:p w14:paraId="6CDB7194">
      <w:pPr>
        <w:spacing w:before="156" w:beforeLines="50"/>
        <w:ind w:firstLine="420" w:firstLineChars="200"/>
        <w:rPr>
          <w:rFonts w:hint="eastAsia" w:cs="宋体"/>
          <w:color w:val="auto"/>
        </w:rPr>
        <w:sectPr>
          <w:pgSz w:w="11906" w:h="16838"/>
          <w:pgMar w:top="1247" w:right="1247" w:bottom="1247" w:left="1247" w:header="851" w:footer="992" w:gutter="0"/>
          <w:pgNumType w:fmt="decimal"/>
          <w:cols w:space="425" w:num="1"/>
          <w:docGrid w:type="lines" w:linePitch="312" w:charSpace="0"/>
        </w:sectPr>
      </w:pPr>
      <w:r>
        <w:rPr>
          <w:rFonts w:hint="eastAsia" w:cs="宋体"/>
          <w:color w:val="auto"/>
        </w:rPr>
        <w:t>注：本表所列建筑工程安全文明施工费，是依据现行法律法规及标准规范确定的。如法律法规和标准规范修订，本表所列项目应按照修订后的法律法规和标准规范进行调整。</w:t>
      </w:r>
    </w:p>
    <w:p w14:paraId="58E39154">
      <w:pPr>
        <w:spacing w:line="360" w:lineRule="auto"/>
        <w:ind w:firstLine="643" w:firstLineChars="200"/>
        <w:jc w:val="center"/>
        <w:rPr>
          <w:rFonts w:ascii="宋体" w:hAnsi="宋体" w:cs="方正小标宋简体"/>
          <w:b/>
          <w:bCs/>
          <w:color w:val="auto"/>
          <w:sz w:val="32"/>
          <w:szCs w:val="32"/>
        </w:rPr>
      </w:pPr>
      <w:r>
        <w:rPr>
          <w:rFonts w:hint="eastAsia" w:ascii="宋体" w:hAnsi="宋体" w:cs="方正小标宋简体"/>
          <w:b/>
          <w:bCs/>
          <w:color w:val="auto"/>
          <w:sz w:val="32"/>
          <w:szCs w:val="32"/>
        </w:rPr>
        <w:t>施工组织设计</w:t>
      </w:r>
    </w:p>
    <w:p w14:paraId="2232B6DE">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说明：供应商可根据采购文件、图纸及对现场的勘察情况，编制施工组织设计，可参考以下提纲，也可自行编制。 </w:t>
      </w:r>
    </w:p>
    <w:p w14:paraId="0B886F0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1、施工组织设计编制大纲：</w:t>
      </w:r>
    </w:p>
    <w:p w14:paraId="5049104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sz w:val="24"/>
          <w:szCs w:val="24"/>
          <w:highlight w:val="none"/>
          <w:vertAlign w:val="baseline"/>
          <w:lang w:val="en-US" w:eastAsia="zh-CN"/>
        </w:rPr>
        <w:t>主要施工方法</w:t>
      </w:r>
      <w:r>
        <w:rPr>
          <w:rFonts w:hint="eastAsia" w:ascii="宋体" w:hAnsi="宋体" w:cs="宋体"/>
          <w:color w:val="auto"/>
          <w:sz w:val="24"/>
          <w:szCs w:val="24"/>
          <w:highlight w:val="none"/>
          <w:vertAlign w:val="baseline"/>
          <w:lang w:val="en-US" w:eastAsia="zh-CN"/>
        </w:rPr>
        <w:t>；</w:t>
      </w:r>
    </w:p>
    <w:p w14:paraId="5DE4E17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z w:val="24"/>
          <w:szCs w:val="24"/>
          <w:highlight w:val="none"/>
          <w:vertAlign w:val="baseline"/>
          <w:lang w:val="en-US" w:eastAsia="zh-CN"/>
        </w:rPr>
        <w:t>拟投入的主要物资计划</w:t>
      </w:r>
      <w:r>
        <w:rPr>
          <w:rFonts w:hint="eastAsia" w:ascii="宋体" w:hAnsi="宋体" w:cs="宋体"/>
          <w:color w:val="auto"/>
          <w:kern w:val="0"/>
          <w:sz w:val="24"/>
          <w:szCs w:val="24"/>
          <w:highlight w:val="none"/>
          <w:lang w:val="en-US" w:eastAsia="zh-CN" w:bidi="ar"/>
        </w:rPr>
        <w:t>；</w:t>
      </w:r>
    </w:p>
    <w:p w14:paraId="0063C17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z w:val="24"/>
          <w:szCs w:val="24"/>
          <w:highlight w:val="none"/>
          <w:vertAlign w:val="baseline"/>
          <w:lang w:val="en-US" w:eastAsia="zh-CN"/>
        </w:rPr>
        <w:t>劳动力安排计划</w:t>
      </w:r>
      <w:r>
        <w:rPr>
          <w:rFonts w:hint="eastAsia" w:ascii="宋体" w:hAnsi="宋体" w:cs="宋体"/>
          <w:color w:val="auto"/>
          <w:sz w:val="24"/>
          <w:szCs w:val="24"/>
          <w:highlight w:val="none"/>
          <w:vertAlign w:val="baseline"/>
          <w:lang w:val="en-US" w:eastAsia="zh-CN"/>
        </w:rPr>
        <w:t>；</w:t>
      </w:r>
    </w:p>
    <w:p w14:paraId="0DAF81F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sz w:val="24"/>
          <w:szCs w:val="24"/>
          <w:highlight w:val="none"/>
          <w:vertAlign w:val="baseline"/>
          <w:lang w:val="en-US" w:eastAsia="zh-CN"/>
        </w:rPr>
        <w:t>确保工程质量的技术组织措施</w:t>
      </w:r>
      <w:r>
        <w:rPr>
          <w:rFonts w:hint="eastAsia" w:ascii="宋体" w:hAnsi="宋体" w:cs="宋体"/>
          <w:color w:val="auto"/>
          <w:sz w:val="24"/>
          <w:szCs w:val="24"/>
          <w:highlight w:val="none"/>
          <w:vertAlign w:val="baseline"/>
          <w:lang w:val="en-US" w:eastAsia="zh-CN"/>
        </w:rPr>
        <w:t>；</w:t>
      </w:r>
    </w:p>
    <w:p w14:paraId="6F29CAF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sz w:val="24"/>
          <w:szCs w:val="24"/>
          <w:highlight w:val="none"/>
          <w:vertAlign w:val="baseline"/>
          <w:lang w:val="en-US" w:eastAsia="zh-CN"/>
        </w:rPr>
        <w:t>确保安全生产的技术组织措施</w:t>
      </w:r>
      <w:r>
        <w:rPr>
          <w:rFonts w:hint="eastAsia" w:ascii="宋体" w:hAnsi="宋体" w:cs="宋体"/>
          <w:color w:val="auto"/>
          <w:kern w:val="0"/>
          <w:sz w:val="24"/>
          <w:szCs w:val="24"/>
          <w:highlight w:val="none"/>
          <w:lang w:val="en-US" w:eastAsia="zh-CN" w:bidi="ar"/>
        </w:rPr>
        <w:t>；</w:t>
      </w:r>
    </w:p>
    <w:p w14:paraId="7C2923D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sz w:val="24"/>
          <w:szCs w:val="24"/>
          <w:highlight w:val="none"/>
          <w:vertAlign w:val="baseline"/>
          <w:lang w:val="en-US" w:eastAsia="zh-CN"/>
        </w:rPr>
        <w:t>确保工期的技术组织措施</w:t>
      </w:r>
      <w:r>
        <w:rPr>
          <w:rFonts w:hint="eastAsia" w:ascii="宋体" w:hAnsi="宋体" w:cs="宋体"/>
          <w:color w:val="auto"/>
          <w:kern w:val="0"/>
          <w:sz w:val="24"/>
          <w:szCs w:val="24"/>
          <w:highlight w:val="none"/>
          <w:lang w:val="en-US" w:eastAsia="zh-CN" w:bidi="ar"/>
        </w:rPr>
        <w:t>；</w:t>
      </w:r>
    </w:p>
    <w:p w14:paraId="146C1C0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sz w:val="24"/>
          <w:szCs w:val="24"/>
          <w:highlight w:val="none"/>
          <w:vertAlign w:val="baseline"/>
          <w:lang w:val="en-US" w:eastAsia="zh-CN"/>
        </w:rPr>
        <w:t>确保文明施工的技术组织措施</w:t>
      </w:r>
      <w:r>
        <w:rPr>
          <w:rFonts w:hint="eastAsia" w:ascii="宋体" w:hAnsi="宋体" w:cs="宋体"/>
          <w:color w:val="auto"/>
          <w:sz w:val="24"/>
          <w:szCs w:val="24"/>
          <w:highlight w:val="none"/>
          <w:vertAlign w:val="baseline"/>
          <w:lang w:val="en-US" w:eastAsia="zh-CN"/>
        </w:rPr>
        <w:t>；</w:t>
      </w:r>
    </w:p>
    <w:p w14:paraId="546AF995">
      <w:pPr>
        <w:keepNext w:val="0"/>
        <w:keepLines w:val="0"/>
        <w:widowControl/>
        <w:suppressLineNumbers w:val="0"/>
        <w:spacing w:line="360" w:lineRule="auto"/>
        <w:ind w:firstLine="480" w:firstLineChars="200"/>
        <w:jc w:val="left"/>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sz w:val="24"/>
          <w:szCs w:val="24"/>
          <w:highlight w:val="none"/>
          <w:vertAlign w:val="baseline"/>
          <w:lang w:val="en-US" w:eastAsia="zh-CN"/>
        </w:rPr>
        <w:t>工程施工的重点和难点及保证措施</w:t>
      </w:r>
      <w:r>
        <w:rPr>
          <w:rFonts w:hint="eastAsia" w:ascii="宋体" w:hAnsi="宋体" w:cs="宋体"/>
          <w:color w:val="auto"/>
          <w:kern w:val="0"/>
          <w:sz w:val="24"/>
          <w:szCs w:val="24"/>
          <w:highlight w:val="none"/>
          <w:lang w:val="en-US" w:eastAsia="zh-CN" w:bidi="ar"/>
        </w:rPr>
        <w:t>；</w:t>
      </w:r>
    </w:p>
    <w:p w14:paraId="0028CCC4">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sz w:val="24"/>
          <w:szCs w:val="24"/>
          <w:highlight w:val="none"/>
          <w:vertAlign w:val="baseline"/>
          <w:lang w:val="en-US" w:eastAsia="zh-CN"/>
        </w:rPr>
        <w:t>施工总平面布置图</w:t>
      </w:r>
      <w:r>
        <w:rPr>
          <w:rFonts w:hint="eastAsia" w:ascii="宋体" w:hAnsi="宋体" w:cs="宋体"/>
          <w:color w:val="auto"/>
          <w:sz w:val="24"/>
          <w:szCs w:val="24"/>
          <w:highlight w:val="none"/>
          <w:vertAlign w:val="baseline"/>
          <w:lang w:val="en-US" w:eastAsia="zh-CN"/>
        </w:rPr>
        <w:t>。</w:t>
      </w:r>
    </w:p>
    <w:p w14:paraId="3A60C6D7">
      <w:pPr>
        <w:adjustRightInd w:val="0"/>
        <w:snapToGrid w:val="0"/>
        <w:spacing w:line="360" w:lineRule="auto"/>
        <w:jc w:val="center"/>
        <w:rPr>
          <w:rFonts w:ascii="宋体" w:hAnsi="宋体"/>
          <w:b/>
          <w:color w:val="auto"/>
          <w:sz w:val="32"/>
          <w:szCs w:val="32"/>
        </w:rPr>
      </w:pPr>
      <w:bookmarkStart w:id="165" w:name="OLE_LINK27"/>
      <w:bookmarkStart w:id="166" w:name="OLE_LINK28"/>
      <w:r>
        <w:rPr>
          <w:rFonts w:hint="eastAsia" w:ascii="宋体" w:hAnsi="宋体" w:cs="方正小标宋简体"/>
          <w:b/>
          <w:bCs/>
          <w:color w:val="auto"/>
          <w:sz w:val="32"/>
          <w:szCs w:val="32"/>
        </w:rPr>
        <w:t>项目管理机构配备情况表及主要人员简历表</w:t>
      </w:r>
      <w:bookmarkEnd w:id="165"/>
      <w:bookmarkEnd w:id="166"/>
    </w:p>
    <w:p w14:paraId="3EAD52E6">
      <w:pPr>
        <w:snapToGrid w:val="0"/>
        <w:spacing w:before="156" w:beforeLines="50" w:after="50" w:line="360" w:lineRule="auto"/>
        <w:jc w:val="center"/>
        <w:rPr>
          <w:rFonts w:ascii="宋体" w:hAnsi="宋体"/>
          <w:b/>
          <w:color w:val="auto"/>
          <w:sz w:val="28"/>
          <w:szCs w:val="28"/>
        </w:rPr>
      </w:pPr>
      <w:r>
        <w:rPr>
          <w:rFonts w:hint="eastAsia" w:ascii="宋体" w:hAnsi="宋体"/>
          <w:b/>
          <w:color w:val="auto"/>
          <w:sz w:val="28"/>
          <w:szCs w:val="28"/>
        </w:rPr>
        <w:t>（一）项目管理机构配备情况表</w:t>
      </w:r>
    </w:p>
    <w:tbl>
      <w:tblPr>
        <w:tblStyle w:val="1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34"/>
        <w:gridCol w:w="850"/>
        <w:gridCol w:w="833"/>
        <w:gridCol w:w="1183"/>
        <w:gridCol w:w="950"/>
        <w:gridCol w:w="916"/>
        <w:gridCol w:w="744"/>
        <w:gridCol w:w="1167"/>
        <w:gridCol w:w="1276"/>
      </w:tblGrid>
      <w:tr w14:paraId="501C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vMerge w:val="restart"/>
            <w:tcMar>
              <w:top w:w="85" w:type="dxa"/>
              <w:left w:w="85" w:type="dxa"/>
              <w:bottom w:w="85" w:type="dxa"/>
              <w:right w:w="85" w:type="dxa"/>
            </w:tcMar>
            <w:vAlign w:val="center"/>
          </w:tcPr>
          <w:p w14:paraId="08CC98A1">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岗位</w:t>
            </w:r>
          </w:p>
        </w:tc>
        <w:tc>
          <w:tcPr>
            <w:tcW w:w="634" w:type="dxa"/>
            <w:vMerge w:val="restart"/>
            <w:tcMar>
              <w:top w:w="85" w:type="dxa"/>
              <w:left w:w="85" w:type="dxa"/>
              <w:bottom w:w="85" w:type="dxa"/>
              <w:right w:w="85" w:type="dxa"/>
            </w:tcMar>
            <w:vAlign w:val="center"/>
          </w:tcPr>
          <w:p w14:paraId="205FFAD1">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850" w:type="dxa"/>
            <w:vMerge w:val="restart"/>
            <w:tcMar>
              <w:top w:w="85" w:type="dxa"/>
              <w:left w:w="85" w:type="dxa"/>
              <w:bottom w:w="85" w:type="dxa"/>
              <w:right w:w="85" w:type="dxa"/>
            </w:tcMar>
            <w:vAlign w:val="center"/>
          </w:tcPr>
          <w:p w14:paraId="5FCB82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身份证号</w:t>
            </w:r>
          </w:p>
        </w:tc>
        <w:tc>
          <w:tcPr>
            <w:tcW w:w="833" w:type="dxa"/>
            <w:vMerge w:val="restart"/>
            <w:tcMar>
              <w:top w:w="85" w:type="dxa"/>
              <w:left w:w="85" w:type="dxa"/>
              <w:bottom w:w="85" w:type="dxa"/>
              <w:right w:w="85" w:type="dxa"/>
            </w:tcMar>
            <w:vAlign w:val="center"/>
          </w:tcPr>
          <w:p w14:paraId="69B4EC99">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3793" w:type="dxa"/>
            <w:gridSpan w:val="4"/>
            <w:tcMar>
              <w:top w:w="85" w:type="dxa"/>
              <w:left w:w="85" w:type="dxa"/>
              <w:bottom w:w="85" w:type="dxa"/>
              <w:right w:w="85" w:type="dxa"/>
            </w:tcMar>
            <w:vAlign w:val="center"/>
          </w:tcPr>
          <w:p w14:paraId="3E6E26FB">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执业或职业资格</w:t>
            </w:r>
          </w:p>
        </w:tc>
        <w:tc>
          <w:tcPr>
            <w:tcW w:w="2443" w:type="dxa"/>
            <w:gridSpan w:val="2"/>
            <w:tcMar>
              <w:top w:w="85" w:type="dxa"/>
              <w:left w:w="85" w:type="dxa"/>
              <w:bottom w:w="85" w:type="dxa"/>
              <w:right w:w="85" w:type="dxa"/>
            </w:tcMar>
            <w:vAlign w:val="center"/>
          </w:tcPr>
          <w:p w14:paraId="33D1BD89">
            <w:pPr>
              <w:jc w:val="left"/>
              <w:rPr>
                <w:rFonts w:hint="eastAsia" w:ascii="宋体" w:hAnsi="宋体" w:eastAsia="宋体" w:cs="宋体"/>
                <w:color w:val="auto"/>
                <w:sz w:val="21"/>
                <w:szCs w:val="21"/>
              </w:rPr>
            </w:pPr>
            <w:r>
              <w:rPr>
                <w:rFonts w:hint="eastAsia" w:ascii="宋体" w:hAnsi="宋体" w:eastAsia="宋体" w:cs="宋体"/>
                <w:color w:val="auto"/>
                <w:sz w:val="21"/>
                <w:szCs w:val="21"/>
              </w:rPr>
              <w:t>承担完工、在建工程情况</w:t>
            </w:r>
          </w:p>
        </w:tc>
      </w:tr>
      <w:tr w14:paraId="781D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vMerge w:val="continue"/>
            <w:tcMar>
              <w:top w:w="85" w:type="dxa"/>
              <w:left w:w="85" w:type="dxa"/>
              <w:bottom w:w="85" w:type="dxa"/>
              <w:right w:w="85" w:type="dxa"/>
            </w:tcMar>
            <w:vAlign w:val="center"/>
          </w:tcPr>
          <w:p w14:paraId="41E694B6">
            <w:pPr>
              <w:ind w:left="223" w:hanging="222" w:hangingChars="106"/>
              <w:jc w:val="center"/>
              <w:rPr>
                <w:rFonts w:hint="eastAsia" w:ascii="宋体" w:hAnsi="宋体" w:eastAsia="宋体" w:cs="宋体"/>
                <w:color w:val="auto"/>
                <w:sz w:val="21"/>
                <w:szCs w:val="21"/>
              </w:rPr>
            </w:pPr>
          </w:p>
        </w:tc>
        <w:tc>
          <w:tcPr>
            <w:tcW w:w="634" w:type="dxa"/>
            <w:vMerge w:val="continue"/>
            <w:tcMar>
              <w:top w:w="85" w:type="dxa"/>
              <w:left w:w="85" w:type="dxa"/>
              <w:bottom w:w="85" w:type="dxa"/>
              <w:right w:w="85" w:type="dxa"/>
            </w:tcMar>
            <w:vAlign w:val="center"/>
          </w:tcPr>
          <w:p w14:paraId="1B7ED9B9">
            <w:pPr>
              <w:ind w:left="223" w:hanging="222" w:hangingChars="106"/>
              <w:jc w:val="center"/>
              <w:rPr>
                <w:rFonts w:hint="eastAsia" w:ascii="宋体" w:hAnsi="宋体" w:eastAsia="宋体" w:cs="宋体"/>
                <w:color w:val="auto"/>
                <w:sz w:val="21"/>
                <w:szCs w:val="21"/>
              </w:rPr>
            </w:pPr>
          </w:p>
        </w:tc>
        <w:tc>
          <w:tcPr>
            <w:tcW w:w="850" w:type="dxa"/>
            <w:vMerge w:val="continue"/>
            <w:tcMar>
              <w:top w:w="85" w:type="dxa"/>
              <w:left w:w="85" w:type="dxa"/>
              <w:bottom w:w="85" w:type="dxa"/>
              <w:right w:w="85" w:type="dxa"/>
            </w:tcMar>
            <w:vAlign w:val="center"/>
          </w:tcPr>
          <w:p w14:paraId="64026FF8">
            <w:pPr>
              <w:ind w:left="223" w:hanging="222" w:hangingChars="106"/>
              <w:jc w:val="center"/>
              <w:rPr>
                <w:rFonts w:hint="eastAsia" w:ascii="宋体" w:hAnsi="宋体" w:eastAsia="宋体" w:cs="宋体"/>
                <w:color w:val="auto"/>
                <w:sz w:val="21"/>
                <w:szCs w:val="21"/>
              </w:rPr>
            </w:pPr>
          </w:p>
        </w:tc>
        <w:tc>
          <w:tcPr>
            <w:tcW w:w="833" w:type="dxa"/>
            <w:vMerge w:val="continue"/>
            <w:tcMar>
              <w:top w:w="85" w:type="dxa"/>
              <w:left w:w="85" w:type="dxa"/>
              <w:bottom w:w="85" w:type="dxa"/>
              <w:right w:w="85" w:type="dxa"/>
            </w:tcMar>
            <w:vAlign w:val="center"/>
          </w:tcPr>
          <w:p w14:paraId="5DF4B6A8">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5618A023">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证书名称</w:t>
            </w:r>
          </w:p>
        </w:tc>
        <w:tc>
          <w:tcPr>
            <w:tcW w:w="950" w:type="dxa"/>
            <w:tcMar>
              <w:top w:w="85" w:type="dxa"/>
              <w:left w:w="85" w:type="dxa"/>
              <w:bottom w:w="85" w:type="dxa"/>
              <w:right w:w="85" w:type="dxa"/>
            </w:tcMar>
            <w:vAlign w:val="center"/>
          </w:tcPr>
          <w:p w14:paraId="7CA94A5F">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级别</w:t>
            </w:r>
          </w:p>
        </w:tc>
        <w:tc>
          <w:tcPr>
            <w:tcW w:w="916" w:type="dxa"/>
            <w:tcMar>
              <w:top w:w="85" w:type="dxa"/>
              <w:left w:w="85" w:type="dxa"/>
              <w:bottom w:w="85" w:type="dxa"/>
              <w:right w:w="85" w:type="dxa"/>
            </w:tcMar>
            <w:vAlign w:val="center"/>
          </w:tcPr>
          <w:p w14:paraId="68E67D65">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证号</w:t>
            </w:r>
          </w:p>
        </w:tc>
        <w:tc>
          <w:tcPr>
            <w:tcW w:w="744" w:type="dxa"/>
            <w:tcMar>
              <w:top w:w="85" w:type="dxa"/>
              <w:left w:w="85" w:type="dxa"/>
              <w:bottom w:w="85" w:type="dxa"/>
              <w:right w:w="85" w:type="dxa"/>
            </w:tcMar>
            <w:vAlign w:val="center"/>
          </w:tcPr>
          <w:p w14:paraId="714FCAA9">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w:t>
            </w:r>
          </w:p>
        </w:tc>
        <w:tc>
          <w:tcPr>
            <w:tcW w:w="1167" w:type="dxa"/>
            <w:tcMar>
              <w:top w:w="85" w:type="dxa"/>
              <w:left w:w="85" w:type="dxa"/>
              <w:bottom w:w="85" w:type="dxa"/>
              <w:right w:w="85" w:type="dxa"/>
            </w:tcMar>
            <w:vAlign w:val="center"/>
          </w:tcPr>
          <w:p w14:paraId="127221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完工/在建</w:t>
            </w:r>
          </w:p>
        </w:tc>
        <w:tc>
          <w:tcPr>
            <w:tcW w:w="1276" w:type="dxa"/>
            <w:tcMar>
              <w:top w:w="85" w:type="dxa"/>
              <w:left w:w="85" w:type="dxa"/>
              <w:bottom w:w="85" w:type="dxa"/>
              <w:right w:w="85" w:type="dxa"/>
            </w:tcMar>
            <w:vAlign w:val="center"/>
          </w:tcPr>
          <w:p w14:paraId="164650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主要项目</w:t>
            </w:r>
          </w:p>
          <w:p w14:paraId="4B4FB7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r>
      <w:tr w14:paraId="2AB7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60691B4A">
            <w:pPr>
              <w:pStyle w:val="27"/>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w:t>
            </w:r>
            <w:r>
              <w:rPr>
                <w:rFonts w:hint="eastAsia" w:ascii="宋体" w:hAnsi="宋体" w:eastAsia="宋体" w:cs="宋体"/>
                <w:color w:val="auto"/>
                <w:sz w:val="21"/>
                <w:szCs w:val="21"/>
                <w:highlight w:val="none"/>
              </w:rPr>
              <w:t>项目经理</w:t>
            </w:r>
          </w:p>
        </w:tc>
        <w:tc>
          <w:tcPr>
            <w:tcW w:w="634" w:type="dxa"/>
            <w:tcMar>
              <w:top w:w="85" w:type="dxa"/>
              <w:left w:w="85" w:type="dxa"/>
              <w:bottom w:w="85" w:type="dxa"/>
              <w:right w:w="85" w:type="dxa"/>
            </w:tcMar>
            <w:vAlign w:val="center"/>
          </w:tcPr>
          <w:p w14:paraId="754C35A7">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16D812AF">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1D873382">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393C8E70">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41AFA506">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04D3DC42">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10F58BFD">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1F95E374">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0BD13BCC">
            <w:pPr>
              <w:ind w:left="223" w:hanging="222" w:hangingChars="106"/>
              <w:jc w:val="center"/>
              <w:rPr>
                <w:rFonts w:hint="eastAsia" w:ascii="宋体" w:hAnsi="宋体" w:eastAsia="宋体" w:cs="宋体"/>
                <w:color w:val="auto"/>
                <w:sz w:val="21"/>
                <w:szCs w:val="21"/>
              </w:rPr>
            </w:pPr>
          </w:p>
        </w:tc>
      </w:tr>
      <w:tr w14:paraId="41F5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6110E77D">
            <w:pPr>
              <w:pStyle w:val="27"/>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w:t>
            </w:r>
            <w:r>
              <w:rPr>
                <w:rFonts w:hint="eastAsia" w:ascii="宋体" w:hAnsi="宋体" w:eastAsia="宋体" w:cs="宋体"/>
                <w:color w:val="auto"/>
                <w:sz w:val="21"/>
                <w:szCs w:val="21"/>
                <w:highlight w:val="none"/>
              </w:rPr>
              <w:t>技术负责人</w:t>
            </w:r>
          </w:p>
        </w:tc>
        <w:tc>
          <w:tcPr>
            <w:tcW w:w="634" w:type="dxa"/>
            <w:tcMar>
              <w:top w:w="85" w:type="dxa"/>
              <w:left w:w="85" w:type="dxa"/>
              <w:bottom w:w="85" w:type="dxa"/>
              <w:right w:w="85" w:type="dxa"/>
            </w:tcMar>
            <w:vAlign w:val="center"/>
          </w:tcPr>
          <w:p w14:paraId="24D34924">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60A060B2">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797632DE">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4C3155FF">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5474E54C">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391098DC">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0BD48048">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66E5AA11">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50EB2D05">
            <w:pPr>
              <w:ind w:left="223" w:hanging="222" w:hangingChars="106"/>
              <w:jc w:val="center"/>
              <w:rPr>
                <w:rFonts w:hint="eastAsia" w:ascii="宋体" w:hAnsi="宋体" w:eastAsia="宋体" w:cs="宋体"/>
                <w:color w:val="auto"/>
                <w:sz w:val="21"/>
                <w:szCs w:val="21"/>
              </w:rPr>
            </w:pPr>
          </w:p>
        </w:tc>
      </w:tr>
      <w:tr w14:paraId="7D94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01FA63F5">
            <w:pPr>
              <w:pStyle w:val="27"/>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3.</w:t>
            </w:r>
            <w:r>
              <w:rPr>
                <w:rFonts w:hint="eastAsia" w:ascii="宋体" w:hAnsi="宋体" w:eastAsia="宋体" w:cs="宋体"/>
                <w:color w:val="auto"/>
                <w:sz w:val="21"/>
                <w:szCs w:val="21"/>
                <w:highlight w:val="none"/>
              </w:rPr>
              <w:t>施工员</w:t>
            </w:r>
          </w:p>
        </w:tc>
        <w:tc>
          <w:tcPr>
            <w:tcW w:w="634" w:type="dxa"/>
            <w:tcMar>
              <w:top w:w="85" w:type="dxa"/>
              <w:left w:w="85" w:type="dxa"/>
              <w:bottom w:w="85" w:type="dxa"/>
              <w:right w:w="85" w:type="dxa"/>
            </w:tcMar>
            <w:vAlign w:val="center"/>
          </w:tcPr>
          <w:p w14:paraId="63A2ACFA">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63F166F8">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77C62074">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4C349FD2">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65B1842E">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3660BD6B">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637E2831">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02AD7B8E">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7EE55728">
            <w:pPr>
              <w:ind w:left="223" w:hanging="222" w:hangingChars="106"/>
              <w:jc w:val="center"/>
              <w:rPr>
                <w:rFonts w:hint="eastAsia" w:ascii="宋体" w:hAnsi="宋体" w:eastAsia="宋体" w:cs="宋体"/>
                <w:color w:val="auto"/>
                <w:sz w:val="21"/>
                <w:szCs w:val="21"/>
              </w:rPr>
            </w:pPr>
          </w:p>
        </w:tc>
      </w:tr>
      <w:tr w14:paraId="6ECE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05EBF65B">
            <w:pPr>
              <w:pStyle w:val="27"/>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4.</w:t>
            </w:r>
            <w:r>
              <w:rPr>
                <w:rFonts w:hint="eastAsia" w:ascii="宋体" w:hAnsi="宋体" w:eastAsia="宋体" w:cs="宋体"/>
                <w:color w:val="auto"/>
                <w:sz w:val="21"/>
                <w:szCs w:val="21"/>
                <w:highlight w:val="none"/>
              </w:rPr>
              <w:t>专职安全生产管理人员</w:t>
            </w:r>
          </w:p>
        </w:tc>
        <w:tc>
          <w:tcPr>
            <w:tcW w:w="634" w:type="dxa"/>
            <w:tcMar>
              <w:top w:w="85" w:type="dxa"/>
              <w:left w:w="85" w:type="dxa"/>
              <w:bottom w:w="85" w:type="dxa"/>
              <w:right w:w="85" w:type="dxa"/>
            </w:tcMar>
            <w:vAlign w:val="center"/>
          </w:tcPr>
          <w:p w14:paraId="7FD5CDB5">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7CFB60B2">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6E9396D2">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60EFFF44">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0A15DFD9">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359133DA">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39A35F04">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04948B56">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75497B92">
            <w:pPr>
              <w:ind w:left="223" w:hanging="222" w:hangingChars="106"/>
              <w:jc w:val="center"/>
              <w:rPr>
                <w:rFonts w:hint="eastAsia" w:ascii="宋体" w:hAnsi="宋体" w:eastAsia="宋体" w:cs="宋体"/>
                <w:color w:val="auto"/>
                <w:sz w:val="21"/>
                <w:szCs w:val="21"/>
              </w:rPr>
            </w:pPr>
          </w:p>
        </w:tc>
      </w:tr>
      <w:tr w14:paraId="284A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69074F4E">
            <w:pPr>
              <w:jc w:val="center"/>
              <w:rPr>
                <w:rFonts w:hint="eastAsia" w:ascii="宋体" w:hAnsi="宋体" w:eastAsia="宋体" w:cs="宋体"/>
                <w:color w:val="auto"/>
                <w:sz w:val="21"/>
                <w:szCs w:val="21"/>
                <w:highlight w:val="green"/>
              </w:rPr>
            </w:pPr>
          </w:p>
        </w:tc>
        <w:tc>
          <w:tcPr>
            <w:tcW w:w="634" w:type="dxa"/>
            <w:tcMar>
              <w:top w:w="85" w:type="dxa"/>
              <w:left w:w="85" w:type="dxa"/>
              <w:bottom w:w="85" w:type="dxa"/>
              <w:right w:w="85" w:type="dxa"/>
            </w:tcMar>
            <w:vAlign w:val="center"/>
          </w:tcPr>
          <w:p w14:paraId="6F048CCF">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09A51709">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4DACD9FE">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370A64EA">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3219A447">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50A8A1DE">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11456BA2">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1B79AED2">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215B4ED2">
            <w:pPr>
              <w:ind w:left="223" w:hanging="222" w:hangingChars="106"/>
              <w:jc w:val="center"/>
              <w:rPr>
                <w:rFonts w:hint="eastAsia" w:ascii="宋体" w:hAnsi="宋体" w:eastAsia="宋体" w:cs="宋体"/>
                <w:color w:val="auto"/>
                <w:sz w:val="21"/>
                <w:szCs w:val="21"/>
              </w:rPr>
            </w:pPr>
          </w:p>
        </w:tc>
      </w:tr>
      <w:tr w14:paraId="6CB9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082AC4BD">
            <w:pPr>
              <w:jc w:val="center"/>
              <w:rPr>
                <w:rFonts w:hint="eastAsia" w:ascii="宋体" w:hAnsi="宋体" w:eastAsia="宋体" w:cs="宋体"/>
                <w:color w:val="auto"/>
                <w:sz w:val="21"/>
                <w:szCs w:val="21"/>
                <w:highlight w:val="green"/>
              </w:rPr>
            </w:pPr>
          </w:p>
        </w:tc>
        <w:tc>
          <w:tcPr>
            <w:tcW w:w="634" w:type="dxa"/>
            <w:tcMar>
              <w:top w:w="85" w:type="dxa"/>
              <w:left w:w="85" w:type="dxa"/>
              <w:bottom w:w="85" w:type="dxa"/>
              <w:right w:w="85" w:type="dxa"/>
            </w:tcMar>
            <w:vAlign w:val="center"/>
          </w:tcPr>
          <w:p w14:paraId="533BF773">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6C5B59DC">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03AA2387">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08EE7220">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08270D46">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4B217B61">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6C1C0283">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10245456">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421C97B9">
            <w:pPr>
              <w:ind w:left="223" w:hanging="222" w:hangingChars="106"/>
              <w:jc w:val="center"/>
              <w:rPr>
                <w:rFonts w:hint="eastAsia" w:ascii="宋体" w:hAnsi="宋体" w:eastAsia="宋体" w:cs="宋体"/>
                <w:color w:val="auto"/>
                <w:sz w:val="21"/>
                <w:szCs w:val="21"/>
              </w:rPr>
            </w:pPr>
          </w:p>
        </w:tc>
      </w:tr>
      <w:tr w14:paraId="2C0A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727882A9">
            <w:pPr>
              <w:ind w:left="223" w:hanging="222" w:hangingChars="106"/>
              <w:jc w:val="center"/>
              <w:rPr>
                <w:rFonts w:hint="default" w:ascii="宋体" w:hAnsi="宋体" w:eastAsia="宋体" w:cs="宋体"/>
                <w:color w:val="FF0000"/>
                <w:sz w:val="21"/>
                <w:szCs w:val="21"/>
                <w:lang w:val="en-US" w:eastAsia="zh-CN"/>
              </w:rPr>
            </w:pPr>
          </w:p>
        </w:tc>
        <w:tc>
          <w:tcPr>
            <w:tcW w:w="634" w:type="dxa"/>
            <w:tcMar>
              <w:top w:w="85" w:type="dxa"/>
              <w:left w:w="85" w:type="dxa"/>
              <w:bottom w:w="85" w:type="dxa"/>
              <w:right w:w="85" w:type="dxa"/>
            </w:tcMar>
            <w:vAlign w:val="center"/>
          </w:tcPr>
          <w:p w14:paraId="4A4F5827">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5D935576">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3ECC5B4B">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4ACCD422">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3F4CE65D">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6B80611A">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354F9722">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2238559D">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4B000F43">
            <w:pPr>
              <w:ind w:left="223" w:hanging="222" w:hangingChars="106"/>
              <w:jc w:val="center"/>
              <w:rPr>
                <w:rFonts w:hint="eastAsia" w:ascii="宋体" w:hAnsi="宋体" w:eastAsia="宋体" w:cs="宋体"/>
                <w:color w:val="auto"/>
                <w:sz w:val="21"/>
                <w:szCs w:val="21"/>
              </w:rPr>
            </w:pPr>
          </w:p>
        </w:tc>
      </w:tr>
      <w:tr w14:paraId="12E9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0203B613">
            <w:pPr>
              <w:ind w:left="223" w:hanging="222" w:hangingChars="106"/>
              <w:jc w:val="center"/>
              <w:rPr>
                <w:rFonts w:hint="default" w:ascii="宋体" w:hAnsi="宋体" w:eastAsia="宋体" w:cs="宋体"/>
                <w:color w:val="FF0000"/>
                <w:sz w:val="21"/>
                <w:szCs w:val="21"/>
                <w:lang w:val="en-US" w:eastAsia="zh-CN"/>
              </w:rPr>
            </w:pPr>
          </w:p>
        </w:tc>
        <w:tc>
          <w:tcPr>
            <w:tcW w:w="634" w:type="dxa"/>
            <w:tcMar>
              <w:top w:w="85" w:type="dxa"/>
              <w:left w:w="85" w:type="dxa"/>
              <w:bottom w:w="85" w:type="dxa"/>
              <w:right w:w="85" w:type="dxa"/>
            </w:tcMar>
            <w:vAlign w:val="center"/>
          </w:tcPr>
          <w:p w14:paraId="59BA6E26">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761BE131">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629B78A4">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59796419">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74F9EE5D">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7E5EE57F">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5DC5DDD5">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2C0BE125">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57CF061B">
            <w:pPr>
              <w:ind w:left="223" w:hanging="222" w:hangingChars="106"/>
              <w:jc w:val="center"/>
              <w:rPr>
                <w:rFonts w:hint="eastAsia" w:ascii="宋体" w:hAnsi="宋体" w:eastAsia="宋体" w:cs="宋体"/>
                <w:color w:val="auto"/>
                <w:sz w:val="21"/>
                <w:szCs w:val="21"/>
              </w:rPr>
            </w:pPr>
          </w:p>
        </w:tc>
      </w:tr>
      <w:tr w14:paraId="5E3B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3" w:type="dxa"/>
            <w:tcMar>
              <w:top w:w="85" w:type="dxa"/>
              <w:left w:w="85" w:type="dxa"/>
              <w:bottom w:w="85" w:type="dxa"/>
              <w:right w:w="85" w:type="dxa"/>
            </w:tcMar>
            <w:vAlign w:val="center"/>
          </w:tcPr>
          <w:p w14:paraId="250F221C">
            <w:pPr>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34" w:type="dxa"/>
            <w:tcMar>
              <w:top w:w="85" w:type="dxa"/>
              <w:left w:w="85" w:type="dxa"/>
              <w:bottom w:w="85" w:type="dxa"/>
              <w:right w:w="85" w:type="dxa"/>
            </w:tcMar>
            <w:vAlign w:val="center"/>
          </w:tcPr>
          <w:p w14:paraId="026720CB">
            <w:pPr>
              <w:ind w:left="223" w:hanging="222" w:hangingChars="106"/>
              <w:jc w:val="center"/>
              <w:rPr>
                <w:rFonts w:hint="eastAsia" w:ascii="宋体" w:hAnsi="宋体" w:eastAsia="宋体" w:cs="宋体"/>
                <w:color w:val="auto"/>
                <w:sz w:val="21"/>
                <w:szCs w:val="21"/>
              </w:rPr>
            </w:pPr>
          </w:p>
        </w:tc>
        <w:tc>
          <w:tcPr>
            <w:tcW w:w="850" w:type="dxa"/>
            <w:tcMar>
              <w:top w:w="85" w:type="dxa"/>
              <w:left w:w="85" w:type="dxa"/>
              <w:bottom w:w="85" w:type="dxa"/>
              <w:right w:w="85" w:type="dxa"/>
            </w:tcMar>
            <w:vAlign w:val="center"/>
          </w:tcPr>
          <w:p w14:paraId="4FDEF8DA">
            <w:pPr>
              <w:ind w:left="223" w:hanging="222" w:hangingChars="106"/>
              <w:jc w:val="center"/>
              <w:rPr>
                <w:rFonts w:hint="eastAsia" w:ascii="宋体" w:hAnsi="宋体" w:eastAsia="宋体" w:cs="宋体"/>
                <w:color w:val="auto"/>
                <w:sz w:val="21"/>
                <w:szCs w:val="21"/>
              </w:rPr>
            </w:pPr>
          </w:p>
        </w:tc>
        <w:tc>
          <w:tcPr>
            <w:tcW w:w="833" w:type="dxa"/>
            <w:tcMar>
              <w:top w:w="85" w:type="dxa"/>
              <w:left w:w="85" w:type="dxa"/>
              <w:bottom w:w="85" w:type="dxa"/>
              <w:right w:w="85" w:type="dxa"/>
            </w:tcMar>
            <w:vAlign w:val="center"/>
          </w:tcPr>
          <w:p w14:paraId="5DE0BBC1">
            <w:pPr>
              <w:ind w:left="223" w:hanging="222" w:hangingChars="106"/>
              <w:jc w:val="center"/>
              <w:rPr>
                <w:rFonts w:hint="eastAsia" w:ascii="宋体" w:hAnsi="宋体" w:eastAsia="宋体" w:cs="宋体"/>
                <w:color w:val="auto"/>
                <w:sz w:val="21"/>
                <w:szCs w:val="21"/>
              </w:rPr>
            </w:pPr>
          </w:p>
        </w:tc>
        <w:tc>
          <w:tcPr>
            <w:tcW w:w="1183" w:type="dxa"/>
            <w:tcMar>
              <w:top w:w="85" w:type="dxa"/>
              <w:left w:w="85" w:type="dxa"/>
              <w:bottom w:w="85" w:type="dxa"/>
              <w:right w:w="85" w:type="dxa"/>
            </w:tcMar>
            <w:vAlign w:val="center"/>
          </w:tcPr>
          <w:p w14:paraId="661E6257">
            <w:pPr>
              <w:ind w:left="223" w:hanging="222" w:hangingChars="106"/>
              <w:jc w:val="center"/>
              <w:rPr>
                <w:rFonts w:hint="eastAsia" w:ascii="宋体" w:hAnsi="宋体" w:eastAsia="宋体" w:cs="宋体"/>
                <w:color w:val="auto"/>
                <w:sz w:val="21"/>
                <w:szCs w:val="21"/>
              </w:rPr>
            </w:pPr>
          </w:p>
        </w:tc>
        <w:tc>
          <w:tcPr>
            <w:tcW w:w="950" w:type="dxa"/>
            <w:tcMar>
              <w:top w:w="85" w:type="dxa"/>
              <w:left w:w="85" w:type="dxa"/>
              <w:bottom w:w="85" w:type="dxa"/>
              <w:right w:w="85" w:type="dxa"/>
            </w:tcMar>
            <w:vAlign w:val="center"/>
          </w:tcPr>
          <w:p w14:paraId="2AE2BB19">
            <w:pPr>
              <w:ind w:left="223" w:hanging="222" w:hangingChars="106"/>
              <w:jc w:val="center"/>
              <w:rPr>
                <w:rFonts w:hint="eastAsia" w:ascii="宋体" w:hAnsi="宋体" w:eastAsia="宋体" w:cs="宋体"/>
                <w:color w:val="auto"/>
                <w:sz w:val="21"/>
                <w:szCs w:val="21"/>
              </w:rPr>
            </w:pPr>
          </w:p>
        </w:tc>
        <w:tc>
          <w:tcPr>
            <w:tcW w:w="916" w:type="dxa"/>
            <w:tcMar>
              <w:top w:w="85" w:type="dxa"/>
              <w:left w:w="85" w:type="dxa"/>
              <w:bottom w:w="85" w:type="dxa"/>
              <w:right w:w="85" w:type="dxa"/>
            </w:tcMar>
            <w:vAlign w:val="center"/>
          </w:tcPr>
          <w:p w14:paraId="1CDD939E">
            <w:pPr>
              <w:ind w:left="223" w:hanging="222" w:hangingChars="106"/>
              <w:jc w:val="center"/>
              <w:rPr>
                <w:rFonts w:hint="eastAsia" w:ascii="宋体" w:hAnsi="宋体" w:eastAsia="宋体" w:cs="宋体"/>
                <w:color w:val="auto"/>
                <w:sz w:val="21"/>
                <w:szCs w:val="21"/>
              </w:rPr>
            </w:pPr>
          </w:p>
        </w:tc>
        <w:tc>
          <w:tcPr>
            <w:tcW w:w="744" w:type="dxa"/>
            <w:tcMar>
              <w:top w:w="85" w:type="dxa"/>
              <w:left w:w="85" w:type="dxa"/>
              <w:bottom w:w="85" w:type="dxa"/>
              <w:right w:w="85" w:type="dxa"/>
            </w:tcMar>
            <w:vAlign w:val="center"/>
          </w:tcPr>
          <w:p w14:paraId="74E07AE5">
            <w:pPr>
              <w:ind w:left="223" w:hanging="222" w:hangingChars="106"/>
              <w:jc w:val="center"/>
              <w:rPr>
                <w:rFonts w:hint="eastAsia" w:ascii="宋体" w:hAnsi="宋体" w:eastAsia="宋体" w:cs="宋体"/>
                <w:color w:val="auto"/>
                <w:sz w:val="21"/>
                <w:szCs w:val="21"/>
              </w:rPr>
            </w:pPr>
          </w:p>
        </w:tc>
        <w:tc>
          <w:tcPr>
            <w:tcW w:w="1167" w:type="dxa"/>
            <w:tcMar>
              <w:top w:w="85" w:type="dxa"/>
              <w:left w:w="85" w:type="dxa"/>
              <w:bottom w:w="85" w:type="dxa"/>
              <w:right w:w="85" w:type="dxa"/>
            </w:tcMar>
            <w:vAlign w:val="center"/>
          </w:tcPr>
          <w:p w14:paraId="7BFC64B0">
            <w:pPr>
              <w:ind w:left="223" w:hanging="222" w:hangingChars="106"/>
              <w:jc w:val="center"/>
              <w:rPr>
                <w:rFonts w:hint="eastAsia" w:ascii="宋体" w:hAnsi="宋体" w:eastAsia="宋体" w:cs="宋体"/>
                <w:color w:val="auto"/>
                <w:sz w:val="21"/>
                <w:szCs w:val="21"/>
              </w:rPr>
            </w:pPr>
          </w:p>
        </w:tc>
        <w:tc>
          <w:tcPr>
            <w:tcW w:w="1276" w:type="dxa"/>
            <w:tcMar>
              <w:top w:w="85" w:type="dxa"/>
              <w:left w:w="85" w:type="dxa"/>
              <w:bottom w:w="85" w:type="dxa"/>
              <w:right w:w="85" w:type="dxa"/>
            </w:tcMar>
            <w:vAlign w:val="center"/>
          </w:tcPr>
          <w:p w14:paraId="7075B3A0">
            <w:pPr>
              <w:ind w:left="223" w:hanging="222" w:hangingChars="106"/>
              <w:jc w:val="center"/>
              <w:rPr>
                <w:rFonts w:hint="eastAsia" w:ascii="宋体" w:hAnsi="宋体" w:eastAsia="宋体" w:cs="宋体"/>
                <w:color w:val="auto"/>
                <w:sz w:val="21"/>
                <w:szCs w:val="21"/>
              </w:rPr>
            </w:pPr>
          </w:p>
        </w:tc>
      </w:tr>
      <w:tr w14:paraId="5049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1A65F3A8">
            <w:pPr>
              <w:spacing w:line="360" w:lineRule="auto"/>
              <w:ind w:left="223" w:hanging="222" w:hangingChars="106"/>
              <w:jc w:val="center"/>
              <w:rPr>
                <w:rFonts w:hint="eastAsia" w:ascii="宋体" w:hAnsi="宋体" w:eastAsia="宋体" w:cs="宋体"/>
                <w:color w:val="auto"/>
                <w:sz w:val="21"/>
                <w:szCs w:val="21"/>
              </w:rPr>
            </w:pPr>
            <w:r>
              <w:rPr>
                <w:rFonts w:hint="eastAsia" w:ascii="宋体" w:hAnsi="宋体" w:eastAsia="宋体" w:cs="宋体"/>
                <w:color w:val="auto"/>
                <w:sz w:val="21"/>
                <w:szCs w:val="21"/>
              </w:rPr>
              <w:t>一旦我单位成交，将实行项目经理负责制，我方保证并配备上述项目管理机构。上述填报内容真实，若不真实，愿按有关规定接受处理。项目管理班子机构设置、职责分工等情况另附资料说明。</w:t>
            </w:r>
          </w:p>
        </w:tc>
      </w:tr>
    </w:tbl>
    <w:p w14:paraId="10C598F8">
      <w:pPr>
        <w:spacing w:line="360" w:lineRule="auto"/>
        <w:contextualSpacing/>
        <w:jc w:val="left"/>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41868924">
      <w:pPr>
        <w:spacing w:line="360" w:lineRule="auto"/>
        <w:ind w:firstLine="420" w:firstLineChars="200"/>
        <w:contextualSpacing/>
        <w:jc w:val="left"/>
        <w:rPr>
          <w:rFonts w:hint="eastAsia" w:ascii="宋体" w:hAnsi="宋体" w:eastAsia="宋体" w:cs="宋体"/>
          <w:color w:val="auto"/>
          <w:sz w:val="21"/>
          <w:szCs w:val="21"/>
        </w:rPr>
      </w:pPr>
      <w:r>
        <w:rPr>
          <w:rFonts w:hint="eastAsia" w:ascii="宋体" w:hAnsi="宋体" w:eastAsia="宋体" w:cs="宋体"/>
          <w:color w:val="auto"/>
          <w:sz w:val="21"/>
          <w:szCs w:val="21"/>
        </w:rPr>
        <w:t>1.本表所列岗位的所有管理人员的情况均应如实填写。可按以上格式扩展为多页填写。</w:t>
      </w:r>
    </w:p>
    <w:p w14:paraId="0C0EF890">
      <w:pPr>
        <w:spacing w:line="360" w:lineRule="auto"/>
        <w:ind w:firstLine="420" w:firstLineChars="200"/>
        <w:contextualSpacing/>
        <w:jc w:val="left"/>
        <w:rPr>
          <w:rFonts w:hint="eastAsia" w:ascii="宋体" w:hAnsi="宋体" w:eastAsia="宋体" w:cs="宋体"/>
          <w:color w:val="auto"/>
          <w:sz w:val="21"/>
          <w:szCs w:val="21"/>
        </w:rPr>
      </w:pPr>
      <w:r>
        <w:rPr>
          <w:rFonts w:hint="eastAsia" w:ascii="宋体" w:hAnsi="宋体" w:eastAsia="宋体" w:cs="宋体"/>
          <w:color w:val="auto"/>
          <w:sz w:val="21"/>
          <w:szCs w:val="21"/>
        </w:rPr>
        <w:t>2.人员班子应</w:t>
      </w:r>
      <w:r>
        <w:rPr>
          <w:rFonts w:hint="eastAsia" w:ascii="宋体" w:hAnsi="宋体" w:eastAsia="宋体" w:cs="宋体"/>
          <w:color w:val="auto"/>
          <w:sz w:val="21"/>
          <w:szCs w:val="21"/>
          <w:lang w:val="en-US" w:eastAsia="zh-CN"/>
        </w:rPr>
        <w:t>按磋商文件要求</w:t>
      </w:r>
      <w:r>
        <w:rPr>
          <w:rFonts w:hint="eastAsia" w:ascii="宋体" w:hAnsi="宋体" w:eastAsia="宋体" w:cs="宋体"/>
          <w:color w:val="auto"/>
          <w:sz w:val="21"/>
          <w:szCs w:val="21"/>
        </w:rPr>
        <w:t>附</w:t>
      </w:r>
      <w:r>
        <w:rPr>
          <w:rFonts w:hint="eastAsia" w:ascii="宋体" w:hAnsi="宋体" w:eastAsia="宋体" w:cs="宋体"/>
          <w:color w:val="auto"/>
          <w:sz w:val="21"/>
          <w:szCs w:val="21"/>
          <w:lang w:val="en-US" w:eastAsia="zh-CN"/>
        </w:rPr>
        <w:t>身份证、</w:t>
      </w:r>
      <w:r>
        <w:rPr>
          <w:rFonts w:hint="eastAsia" w:ascii="宋体" w:hAnsi="宋体" w:eastAsia="宋体" w:cs="宋体"/>
          <w:color w:val="auto"/>
          <w:sz w:val="21"/>
          <w:szCs w:val="21"/>
        </w:rPr>
        <w:t>职称证书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资格证书</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如有</w:t>
      </w:r>
      <w:r>
        <w:rPr>
          <w:rFonts w:hint="eastAsia" w:ascii="宋体" w:hAnsi="宋体" w:cs="宋体"/>
          <w:color w:val="auto"/>
          <w:sz w:val="21"/>
          <w:szCs w:val="21"/>
          <w:lang w:eastAsia="zh-CN"/>
        </w:rPr>
        <w:t>）</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符合广西政府采购云平台上传条件的电子文件并</w:t>
      </w:r>
      <w:r>
        <w:rPr>
          <w:rFonts w:hint="eastAsia" w:ascii="宋体" w:hAnsi="宋体" w:eastAsia="宋体" w:cs="宋体"/>
          <w:color w:val="auto"/>
          <w:sz w:val="21"/>
          <w:szCs w:val="21"/>
          <w:lang w:eastAsia="zh-CN"/>
        </w:rPr>
        <w:t>加盖单位</w:t>
      </w:r>
      <w:r>
        <w:rPr>
          <w:rFonts w:hint="eastAsia" w:ascii="宋体" w:hAnsi="宋体" w:eastAsia="宋体" w:cs="宋体"/>
          <w:color w:val="auto"/>
          <w:sz w:val="21"/>
          <w:szCs w:val="21"/>
          <w:lang w:val="en-US" w:eastAsia="zh-CN"/>
        </w:rPr>
        <w:t>CA</w:t>
      </w:r>
      <w:r>
        <w:rPr>
          <w:rFonts w:hint="eastAsia" w:ascii="宋体" w:hAnsi="宋体" w:eastAsia="宋体" w:cs="宋体"/>
          <w:color w:val="auto"/>
          <w:sz w:val="21"/>
          <w:szCs w:val="21"/>
          <w:lang w:eastAsia="zh-CN"/>
        </w:rPr>
        <w:t>公章</w:t>
      </w:r>
      <w:r>
        <w:rPr>
          <w:rFonts w:hint="eastAsia" w:ascii="宋体" w:hAnsi="宋体" w:eastAsia="宋体" w:cs="宋体"/>
          <w:color w:val="auto"/>
          <w:sz w:val="21"/>
          <w:szCs w:val="21"/>
        </w:rPr>
        <w:t>。</w:t>
      </w:r>
    </w:p>
    <w:p w14:paraId="1E750177">
      <w:pPr>
        <w:spacing w:line="360" w:lineRule="auto"/>
        <w:jc w:val="both"/>
        <w:rPr>
          <w:rFonts w:hint="eastAsia" w:ascii="宋体" w:hAnsi="宋体" w:eastAsia="宋体" w:cs="宋体"/>
          <w:b/>
          <w:color w:val="auto"/>
          <w:sz w:val="21"/>
          <w:szCs w:val="21"/>
        </w:rPr>
      </w:pPr>
    </w:p>
    <w:p w14:paraId="2CA0440E">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供应商（盖单位</w:t>
      </w:r>
      <w:r>
        <w:rPr>
          <w:rFonts w:hint="eastAsia" w:ascii="宋体" w:hAnsi="宋体" w:eastAsia="宋体" w:cs="宋体"/>
          <w:sz w:val="21"/>
          <w:szCs w:val="21"/>
          <w:lang w:val="en-US" w:eastAsia="zh-CN"/>
        </w:rPr>
        <w:t>CA</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p>
    <w:p w14:paraId="226163EC">
      <w:pPr>
        <w:spacing w:line="360" w:lineRule="auto"/>
        <w:ind w:right="-44" w:rightChars="-21"/>
        <w:jc w:val="left"/>
        <w:rPr>
          <w:rFonts w:hint="eastAsia" w:ascii="宋体" w:hAnsi="宋体" w:eastAsia="宋体" w:cs="宋体"/>
          <w:sz w:val="28"/>
          <w:szCs w:val="28"/>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cs="宋体"/>
          <w:sz w:val="21"/>
          <w:szCs w:val="21"/>
        </w:rPr>
        <w:t>日期：     年     月     日</w:t>
      </w:r>
    </w:p>
    <w:p w14:paraId="1C55263E">
      <w:pPr>
        <w:spacing w:line="360" w:lineRule="auto"/>
        <w:ind w:right="-44" w:rightChars="-21"/>
        <w:jc w:val="center"/>
        <w:rPr>
          <w:rFonts w:ascii="宋体" w:hAnsi="宋体"/>
          <w:b/>
          <w:color w:val="auto"/>
          <w:sz w:val="28"/>
          <w:szCs w:val="28"/>
        </w:rPr>
      </w:pPr>
      <w:r>
        <w:rPr>
          <w:rFonts w:hint="eastAsia" w:ascii="宋体" w:hAnsi="宋体"/>
          <w:b/>
          <w:color w:val="auto"/>
          <w:sz w:val="28"/>
          <w:szCs w:val="28"/>
        </w:rPr>
        <w:t>（二）拟投入的主要人员简历表</w:t>
      </w:r>
    </w:p>
    <w:p w14:paraId="766C0A79">
      <w:pPr>
        <w:spacing w:line="360" w:lineRule="auto"/>
        <w:ind w:firstLine="562" w:firstLineChars="200"/>
        <w:jc w:val="center"/>
        <w:rPr>
          <w:color w:val="auto"/>
          <w:sz w:val="28"/>
          <w:szCs w:val="28"/>
          <w:u w:val="single"/>
        </w:rPr>
      </w:pPr>
      <w:r>
        <w:rPr>
          <w:rFonts w:hint="eastAsia" w:cs="宋体"/>
          <w:b/>
          <w:color w:val="auto"/>
          <w:sz w:val="28"/>
          <w:szCs w:val="28"/>
        </w:rPr>
        <w:t>项目经理简历表</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988"/>
        <w:gridCol w:w="1893"/>
        <w:gridCol w:w="1585"/>
        <w:gridCol w:w="1108"/>
        <w:gridCol w:w="36"/>
        <w:gridCol w:w="79"/>
        <w:gridCol w:w="1405"/>
        <w:gridCol w:w="11"/>
      </w:tblGrid>
      <w:tr w14:paraId="77E8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0" w:hRule="atLeast"/>
          <w:jc w:val="center"/>
        </w:trPr>
        <w:tc>
          <w:tcPr>
            <w:tcW w:w="1231" w:type="dxa"/>
            <w:tcMar>
              <w:top w:w="85" w:type="dxa"/>
              <w:left w:w="85" w:type="dxa"/>
              <w:bottom w:w="85" w:type="dxa"/>
              <w:right w:w="85" w:type="dxa"/>
            </w:tcMar>
            <w:vAlign w:val="center"/>
          </w:tcPr>
          <w:p w14:paraId="1BC5AD1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263" w:type="dxa"/>
            <w:gridSpan w:val="3"/>
            <w:tcMar>
              <w:top w:w="85" w:type="dxa"/>
              <w:left w:w="85" w:type="dxa"/>
              <w:bottom w:w="85" w:type="dxa"/>
              <w:right w:w="85" w:type="dxa"/>
            </w:tcMar>
            <w:vAlign w:val="center"/>
          </w:tcPr>
          <w:p w14:paraId="6FE969D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5805695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1585" w:type="dxa"/>
            <w:tcMar>
              <w:top w:w="85" w:type="dxa"/>
              <w:left w:w="85" w:type="dxa"/>
              <w:bottom w:w="85" w:type="dxa"/>
              <w:right w:w="85" w:type="dxa"/>
            </w:tcMar>
            <w:vAlign w:val="center"/>
          </w:tcPr>
          <w:p w14:paraId="14C1069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08" w:type="dxa"/>
            <w:tcMar>
              <w:top w:w="85" w:type="dxa"/>
              <w:left w:w="85" w:type="dxa"/>
              <w:bottom w:w="85" w:type="dxa"/>
              <w:right w:w="85" w:type="dxa"/>
            </w:tcMar>
            <w:vAlign w:val="center"/>
          </w:tcPr>
          <w:p w14:paraId="2B9D0EF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531" w:type="dxa"/>
            <w:gridSpan w:val="4"/>
            <w:tcMar>
              <w:top w:w="85" w:type="dxa"/>
              <w:left w:w="85" w:type="dxa"/>
              <w:bottom w:w="85" w:type="dxa"/>
              <w:right w:w="85" w:type="dxa"/>
            </w:tcMar>
            <w:vAlign w:val="center"/>
          </w:tcPr>
          <w:p w14:paraId="2DF142E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7987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0" w:hRule="atLeast"/>
          <w:jc w:val="center"/>
        </w:trPr>
        <w:tc>
          <w:tcPr>
            <w:tcW w:w="1231" w:type="dxa"/>
            <w:tcMar>
              <w:top w:w="85" w:type="dxa"/>
              <w:left w:w="85" w:type="dxa"/>
              <w:bottom w:w="85" w:type="dxa"/>
              <w:right w:w="85" w:type="dxa"/>
            </w:tcMar>
            <w:vAlign w:val="center"/>
          </w:tcPr>
          <w:p w14:paraId="20F9F1D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岗位</w:t>
            </w:r>
          </w:p>
        </w:tc>
        <w:tc>
          <w:tcPr>
            <w:tcW w:w="2263" w:type="dxa"/>
            <w:gridSpan w:val="3"/>
            <w:tcMar>
              <w:top w:w="85" w:type="dxa"/>
              <w:left w:w="85" w:type="dxa"/>
              <w:bottom w:w="85" w:type="dxa"/>
              <w:right w:w="85" w:type="dxa"/>
            </w:tcMar>
            <w:vAlign w:val="center"/>
          </w:tcPr>
          <w:p w14:paraId="016BE8F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1893" w:type="dxa"/>
            <w:tcMar>
              <w:top w:w="85" w:type="dxa"/>
              <w:left w:w="85" w:type="dxa"/>
              <w:bottom w:w="85" w:type="dxa"/>
              <w:right w:w="85" w:type="dxa"/>
            </w:tcMar>
            <w:vAlign w:val="center"/>
          </w:tcPr>
          <w:p w14:paraId="4F69F1B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585" w:type="dxa"/>
            <w:tcMar>
              <w:top w:w="85" w:type="dxa"/>
              <w:left w:w="85" w:type="dxa"/>
              <w:bottom w:w="85" w:type="dxa"/>
              <w:right w:w="85" w:type="dxa"/>
            </w:tcMar>
            <w:vAlign w:val="center"/>
          </w:tcPr>
          <w:p w14:paraId="29DAE8E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08" w:type="dxa"/>
            <w:tcMar>
              <w:top w:w="85" w:type="dxa"/>
              <w:left w:w="85" w:type="dxa"/>
              <w:bottom w:w="85" w:type="dxa"/>
              <w:right w:w="85" w:type="dxa"/>
            </w:tcMar>
            <w:vAlign w:val="center"/>
          </w:tcPr>
          <w:p w14:paraId="5C3407A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531" w:type="dxa"/>
            <w:gridSpan w:val="4"/>
            <w:tcMar>
              <w:top w:w="85" w:type="dxa"/>
              <w:left w:w="85" w:type="dxa"/>
              <w:bottom w:w="85" w:type="dxa"/>
              <w:right w:w="85" w:type="dxa"/>
            </w:tcMar>
            <w:vAlign w:val="center"/>
          </w:tcPr>
          <w:p w14:paraId="3F2B8AF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34E0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0" w:hRule="atLeast"/>
          <w:jc w:val="center"/>
        </w:trPr>
        <w:tc>
          <w:tcPr>
            <w:tcW w:w="1231" w:type="dxa"/>
            <w:tcMar>
              <w:top w:w="85" w:type="dxa"/>
              <w:left w:w="85" w:type="dxa"/>
              <w:bottom w:w="85" w:type="dxa"/>
              <w:right w:w="85" w:type="dxa"/>
            </w:tcMar>
            <w:vAlign w:val="center"/>
          </w:tcPr>
          <w:p w14:paraId="0FED0B2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从业开始时间</w:t>
            </w:r>
          </w:p>
        </w:tc>
        <w:tc>
          <w:tcPr>
            <w:tcW w:w="2263" w:type="dxa"/>
            <w:gridSpan w:val="3"/>
            <w:tcMar>
              <w:top w:w="85" w:type="dxa"/>
              <w:left w:w="85" w:type="dxa"/>
              <w:bottom w:w="85" w:type="dxa"/>
              <w:right w:w="85" w:type="dxa"/>
            </w:tcMar>
            <w:vAlign w:val="center"/>
          </w:tcPr>
          <w:p w14:paraId="340AA5B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66F07F1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职称获得时间</w:t>
            </w:r>
          </w:p>
        </w:tc>
        <w:tc>
          <w:tcPr>
            <w:tcW w:w="1585" w:type="dxa"/>
            <w:tcMar>
              <w:top w:w="85" w:type="dxa"/>
              <w:left w:w="85" w:type="dxa"/>
              <w:bottom w:w="85" w:type="dxa"/>
              <w:right w:w="85" w:type="dxa"/>
            </w:tcMar>
            <w:vAlign w:val="center"/>
          </w:tcPr>
          <w:p w14:paraId="4593DB6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08" w:type="dxa"/>
            <w:tcMar>
              <w:top w:w="85" w:type="dxa"/>
              <w:left w:w="85" w:type="dxa"/>
              <w:bottom w:w="85" w:type="dxa"/>
              <w:right w:w="85" w:type="dxa"/>
            </w:tcMar>
            <w:vAlign w:val="center"/>
          </w:tcPr>
          <w:p w14:paraId="69AA43D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531" w:type="dxa"/>
            <w:gridSpan w:val="4"/>
            <w:tcMar>
              <w:top w:w="85" w:type="dxa"/>
              <w:left w:w="85" w:type="dxa"/>
              <w:bottom w:w="85" w:type="dxa"/>
              <w:right w:w="85" w:type="dxa"/>
            </w:tcMar>
            <w:vAlign w:val="center"/>
          </w:tcPr>
          <w:p w14:paraId="47C7691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226B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0" w:hRule="atLeast"/>
          <w:jc w:val="center"/>
        </w:trPr>
        <w:tc>
          <w:tcPr>
            <w:tcW w:w="1231" w:type="dxa"/>
            <w:tcMar>
              <w:top w:w="85" w:type="dxa"/>
              <w:left w:w="85" w:type="dxa"/>
              <w:bottom w:w="85" w:type="dxa"/>
              <w:right w:w="85" w:type="dxa"/>
            </w:tcMar>
            <w:vAlign w:val="center"/>
          </w:tcPr>
          <w:p w14:paraId="147EA64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担任项目经理年限</w:t>
            </w:r>
          </w:p>
        </w:tc>
        <w:tc>
          <w:tcPr>
            <w:tcW w:w="2263" w:type="dxa"/>
            <w:gridSpan w:val="3"/>
            <w:tcMar>
              <w:top w:w="85" w:type="dxa"/>
              <w:left w:w="85" w:type="dxa"/>
              <w:bottom w:w="85" w:type="dxa"/>
              <w:right w:w="85" w:type="dxa"/>
            </w:tcMar>
            <w:vAlign w:val="center"/>
          </w:tcPr>
          <w:p w14:paraId="006C72C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0B30A80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p>
        </w:tc>
        <w:tc>
          <w:tcPr>
            <w:tcW w:w="4224" w:type="dxa"/>
            <w:gridSpan w:val="6"/>
            <w:tcMar>
              <w:top w:w="85" w:type="dxa"/>
              <w:left w:w="85" w:type="dxa"/>
              <w:bottom w:w="85" w:type="dxa"/>
              <w:right w:w="85" w:type="dxa"/>
            </w:tcMar>
            <w:vAlign w:val="center"/>
          </w:tcPr>
          <w:p w14:paraId="0D3529D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737B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0" w:hRule="atLeast"/>
          <w:jc w:val="center"/>
        </w:trPr>
        <w:tc>
          <w:tcPr>
            <w:tcW w:w="1231" w:type="dxa"/>
            <w:tcMar>
              <w:top w:w="85" w:type="dxa"/>
              <w:left w:w="85" w:type="dxa"/>
              <w:bottom w:w="85" w:type="dxa"/>
              <w:right w:w="85" w:type="dxa"/>
            </w:tcMar>
            <w:vAlign w:val="center"/>
          </w:tcPr>
          <w:p w14:paraId="62E2348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证书名称</w:t>
            </w:r>
          </w:p>
        </w:tc>
        <w:tc>
          <w:tcPr>
            <w:tcW w:w="1275" w:type="dxa"/>
            <w:gridSpan w:val="2"/>
            <w:tcMar>
              <w:top w:w="85" w:type="dxa"/>
              <w:left w:w="85" w:type="dxa"/>
              <w:bottom w:w="85" w:type="dxa"/>
              <w:right w:w="85" w:type="dxa"/>
            </w:tcMar>
            <w:vAlign w:val="center"/>
          </w:tcPr>
          <w:p w14:paraId="2044743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注册专业</w:t>
            </w:r>
          </w:p>
        </w:tc>
        <w:tc>
          <w:tcPr>
            <w:tcW w:w="988" w:type="dxa"/>
            <w:tcMar>
              <w:top w:w="85" w:type="dxa"/>
              <w:left w:w="85" w:type="dxa"/>
              <w:bottom w:w="85" w:type="dxa"/>
              <w:right w:w="85" w:type="dxa"/>
            </w:tcMar>
            <w:vAlign w:val="center"/>
          </w:tcPr>
          <w:p w14:paraId="3F7D087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级别</w:t>
            </w:r>
          </w:p>
        </w:tc>
        <w:tc>
          <w:tcPr>
            <w:tcW w:w="1893" w:type="dxa"/>
            <w:tcMar>
              <w:top w:w="85" w:type="dxa"/>
              <w:left w:w="85" w:type="dxa"/>
              <w:bottom w:w="85" w:type="dxa"/>
              <w:right w:w="85" w:type="dxa"/>
            </w:tcMar>
            <w:vAlign w:val="center"/>
          </w:tcPr>
          <w:p w14:paraId="7515C6D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证书编号</w:t>
            </w:r>
          </w:p>
        </w:tc>
        <w:tc>
          <w:tcPr>
            <w:tcW w:w="1585" w:type="dxa"/>
            <w:tcMar>
              <w:top w:w="85" w:type="dxa"/>
              <w:left w:w="85" w:type="dxa"/>
              <w:bottom w:w="85" w:type="dxa"/>
              <w:right w:w="85" w:type="dxa"/>
            </w:tcMar>
            <w:vAlign w:val="center"/>
          </w:tcPr>
          <w:p w14:paraId="486AAFA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注册时间</w:t>
            </w:r>
          </w:p>
        </w:tc>
        <w:tc>
          <w:tcPr>
            <w:tcW w:w="1223" w:type="dxa"/>
            <w:gridSpan w:val="3"/>
            <w:tcMar>
              <w:top w:w="85" w:type="dxa"/>
              <w:left w:w="85" w:type="dxa"/>
              <w:bottom w:w="85" w:type="dxa"/>
              <w:right w:w="85" w:type="dxa"/>
            </w:tcMar>
            <w:vAlign w:val="center"/>
          </w:tcPr>
          <w:p w14:paraId="1806B3C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注册单位</w:t>
            </w:r>
          </w:p>
        </w:tc>
        <w:tc>
          <w:tcPr>
            <w:tcW w:w="1416" w:type="dxa"/>
            <w:gridSpan w:val="2"/>
            <w:tcMar>
              <w:top w:w="85" w:type="dxa"/>
              <w:left w:w="85" w:type="dxa"/>
              <w:bottom w:w="85" w:type="dxa"/>
              <w:right w:w="85" w:type="dxa"/>
            </w:tcMar>
            <w:vAlign w:val="center"/>
          </w:tcPr>
          <w:p w14:paraId="79DE375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注册有效期</w:t>
            </w:r>
          </w:p>
        </w:tc>
      </w:tr>
      <w:tr w14:paraId="3D91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0" w:hRule="atLeast"/>
          <w:jc w:val="center"/>
        </w:trPr>
        <w:tc>
          <w:tcPr>
            <w:tcW w:w="1231" w:type="dxa"/>
            <w:tcMar>
              <w:top w:w="85" w:type="dxa"/>
              <w:left w:w="85" w:type="dxa"/>
              <w:bottom w:w="85" w:type="dxa"/>
              <w:right w:w="85" w:type="dxa"/>
            </w:tcMar>
            <w:vAlign w:val="center"/>
          </w:tcPr>
          <w:p w14:paraId="34B2A0A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275" w:type="dxa"/>
            <w:gridSpan w:val="2"/>
            <w:tcMar>
              <w:top w:w="85" w:type="dxa"/>
              <w:left w:w="85" w:type="dxa"/>
              <w:bottom w:w="85" w:type="dxa"/>
              <w:right w:w="85" w:type="dxa"/>
            </w:tcMar>
            <w:vAlign w:val="center"/>
          </w:tcPr>
          <w:p w14:paraId="0922A92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988" w:type="dxa"/>
            <w:tcMar>
              <w:top w:w="85" w:type="dxa"/>
              <w:left w:w="85" w:type="dxa"/>
              <w:bottom w:w="85" w:type="dxa"/>
              <w:right w:w="85" w:type="dxa"/>
            </w:tcMar>
            <w:vAlign w:val="center"/>
          </w:tcPr>
          <w:p w14:paraId="3DA7697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749618E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0B166E5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223" w:type="dxa"/>
            <w:gridSpan w:val="3"/>
            <w:tcMar>
              <w:top w:w="85" w:type="dxa"/>
              <w:left w:w="85" w:type="dxa"/>
              <w:bottom w:w="85" w:type="dxa"/>
              <w:right w:w="85" w:type="dxa"/>
            </w:tcMar>
            <w:vAlign w:val="center"/>
          </w:tcPr>
          <w:p w14:paraId="237FDCE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16" w:type="dxa"/>
            <w:gridSpan w:val="2"/>
            <w:tcMar>
              <w:top w:w="85" w:type="dxa"/>
              <w:left w:w="85" w:type="dxa"/>
              <w:bottom w:w="85" w:type="dxa"/>
              <w:right w:w="85" w:type="dxa"/>
            </w:tcMar>
            <w:vAlign w:val="center"/>
          </w:tcPr>
          <w:p w14:paraId="119CB40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1AF2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0" w:hRule="atLeast"/>
          <w:jc w:val="center"/>
        </w:trPr>
        <w:tc>
          <w:tcPr>
            <w:tcW w:w="1231" w:type="dxa"/>
            <w:tcMar>
              <w:top w:w="85" w:type="dxa"/>
              <w:left w:w="85" w:type="dxa"/>
              <w:bottom w:w="85" w:type="dxa"/>
              <w:right w:w="85" w:type="dxa"/>
            </w:tcMar>
            <w:vAlign w:val="center"/>
          </w:tcPr>
          <w:p w14:paraId="23B6AD7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w:t>
            </w:r>
          </w:p>
        </w:tc>
        <w:tc>
          <w:tcPr>
            <w:tcW w:w="1275" w:type="dxa"/>
            <w:gridSpan w:val="2"/>
            <w:tcMar>
              <w:top w:w="85" w:type="dxa"/>
              <w:left w:w="85" w:type="dxa"/>
              <w:bottom w:w="85" w:type="dxa"/>
              <w:right w:w="85" w:type="dxa"/>
            </w:tcMar>
            <w:vAlign w:val="center"/>
          </w:tcPr>
          <w:p w14:paraId="0468AF7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988" w:type="dxa"/>
            <w:tcMar>
              <w:top w:w="85" w:type="dxa"/>
              <w:left w:w="85" w:type="dxa"/>
              <w:bottom w:w="85" w:type="dxa"/>
              <w:right w:w="85" w:type="dxa"/>
            </w:tcMar>
            <w:vAlign w:val="center"/>
          </w:tcPr>
          <w:p w14:paraId="49DF8D6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B类</w:t>
            </w:r>
          </w:p>
        </w:tc>
        <w:tc>
          <w:tcPr>
            <w:tcW w:w="1893" w:type="dxa"/>
            <w:tcMar>
              <w:top w:w="85" w:type="dxa"/>
              <w:left w:w="85" w:type="dxa"/>
              <w:bottom w:w="85" w:type="dxa"/>
              <w:right w:w="85" w:type="dxa"/>
            </w:tcMar>
            <w:vAlign w:val="center"/>
          </w:tcPr>
          <w:p w14:paraId="5AA5278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68D1AF6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223" w:type="dxa"/>
            <w:gridSpan w:val="3"/>
            <w:tcMar>
              <w:top w:w="85" w:type="dxa"/>
              <w:left w:w="85" w:type="dxa"/>
              <w:bottom w:w="85" w:type="dxa"/>
              <w:right w:w="85" w:type="dxa"/>
            </w:tcMar>
            <w:vAlign w:val="center"/>
          </w:tcPr>
          <w:p w14:paraId="7C26372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16" w:type="dxa"/>
            <w:gridSpan w:val="2"/>
            <w:tcMar>
              <w:top w:w="85" w:type="dxa"/>
              <w:left w:w="85" w:type="dxa"/>
              <w:bottom w:w="85" w:type="dxa"/>
              <w:right w:w="85" w:type="dxa"/>
            </w:tcMar>
            <w:vAlign w:val="center"/>
          </w:tcPr>
          <w:p w14:paraId="5B5F66F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5CF8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0" w:hRule="atLeast"/>
          <w:jc w:val="center"/>
        </w:trPr>
        <w:tc>
          <w:tcPr>
            <w:tcW w:w="9611" w:type="dxa"/>
            <w:gridSpan w:val="11"/>
            <w:tcMar>
              <w:top w:w="85" w:type="dxa"/>
              <w:left w:w="85" w:type="dxa"/>
              <w:bottom w:w="85" w:type="dxa"/>
              <w:right w:w="85" w:type="dxa"/>
            </w:tcMar>
            <w:vAlign w:val="center"/>
          </w:tcPr>
          <w:p w14:paraId="5823238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在建和已完工程项目情况</w:t>
            </w:r>
          </w:p>
        </w:tc>
      </w:tr>
      <w:tr w14:paraId="036F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3C3CBB7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76" w:type="dxa"/>
            <w:gridSpan w:val="2"/>
            <w:tcMar>
              <w:top w:w="85" w:type="dxa"/>
              <w:left w:w="85" w:type="dxa"/>
              <w:bottom w:w="85" w:type="dxa"/>
              <w:right w:w="85" w:type="dxa"/>
            </w:tcMar>
            <w:vAlign w:val="center"/>
          </w:tcPr>
          <w:p w14:paraId="19EE711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项目1</w:t>
            </w:r>
          </w:p>
        </w:tc>
        <w:tc>
          <w:tcPr>
            <w:tcW w:w="1893" w:type="dxa"/>
            <w:tcMar>
              <w:top w:w="85" w:type="dxa"/>
              <w:left w:w="85" w:type="dxa"/>
              <w:bottom w:w="85" w:type="dxa"/>
              <w:right w:w="85" w:type="dxa"/>
            </w:tcMar>
            <w:vAlign w:val="center"/>
          </w:tcPr>
          <w:p w14:paraId="633CA30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项目2</w:t>
            </w:r>
          </w:p>
        </w:tc>
        <w:tc>
          <w:tcPr>
            <w:tcW w:w="1585" w:type="dxa"/>
            <w:tcMar>
              <w:top w:w="85" w:type="dxa"/>
              <w:left w:w="85" w:type="dxa"/>
              <w:bottom w:w="85" w:type="dxa"/>
              <w:right w:w="85" w:type="dxa"/>
            </w:tcMar>
            <w:vAlign w:val="center"/>
          </w:tcPr>
          <w:p w14:paraId="77F076C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项目3</w:t>
            </w:r>
          </w:p>
        </w:tc>
        <w:tc>
          <w:tcPr>
            <w:tcW w:w="1144" w:type="dxa"/>
            <w:gridSpan w:val="2"/>
            <w:tcMar>
              <w:top w:w="85" w:type="dxa"/>
              <w:left w:w="85" w:type="dxa"/>
              <w:bottom w:w="85" w:type="dxa"/>
              <w:right w:w="85" w:type="dxa"/>
            </w:tcMar>
            <w:vAlign w:val="center"/>
          </w:tcPr>
          <w:p w14:paraId="7D2FFE3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项目4</w:t>
            </w:r>
          </w:p>
        </w:tc>
        <w:tc>
          <w:tcPr>
            <w:tcW w:w="1484" w:type="dxa"/>
            <w:gridSpan w:val="2"/>
            <w:tcMar>
              <w:top w:w="85" w:type="dxa"/>
              <w:left w:w="85" w:type="dxa"/>
              <w:bottom w:w="85" w:type="dxa"/>
              <w:right w:w="85" w:type="dxa"/>
            </w:tcMar>
            <w:vAlign w:val="center"/>
          </w:tcPr>
          <w:p w14:paraId="09EAC88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4241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4327C91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1876" w:type="dxa"/>
            <w:gridSpan w:val="2"/>
            <w:tcMar>
              <w:top w:w="85" w:type="dxa"/>
              <w:left w:w="85" w:type="dxa"/>
              <w:bottom w:w="85" w:type="dxa"/>
              <w:right w:w="85" w:type="dxa"/>
            </w:tcMar>
            <w:vAlign w:val="center"/>
          </w:tcPr>
          <w:p w14:paraId="47AC6A7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1C52931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04057B9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27F5ACD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74D26E3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594A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077E7D3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建设单位</w:t>
            </w:r>
          </w:p>
        </w:tc>
        <w:tc>
          <w:tcPr>
            <w:tcW w:w="1876" w:type="dxa"/>
            <w:gridSpan w:val="2"/>
            <w:tcMar>
              <w:top w:w="85" w:type="dxa"/>
              <w:left w:w="85" w:type="dxa"/>
              <w:bottom w:w="85" w:type="dxa"/>
              <w:right w:w="85" w:type="dxa"/>
            </w:tcMar>
            <w:vAlign w:val="center"/>
          </w:tcPr>
          <w:p w14:paraId="15CEFE3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203322B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36705D8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176BAE0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1679257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5EA1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5CD0715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建设规模</w:t>
            </w:r>
          </w:p>
        </w:tc>
        <w:tc>
          <w:tcPr>
            <w:tcW w:w="1876" w:type="dxa"/>
            <w:gridSpan w:val="2"/>
            <w:tcMar>
              <w:top w:w="85" w:type="dxa"/>
              <w:left w:w="85" w:type="dxa"/>
              <w:bottom w:w="85" w:type="dxa"/>
              <w:right w:w="85" w:type="dxa"/>
            </w:tcMar>
            <w:vAlign w:val="center"/>
          </w:tcPr>
          <w:p w14:paraId="2C52008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5E8BD49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308E321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515E6CD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64D76A2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12FD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4D33F08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1876" w:type="dxa"/>
            <w:gridSpan w:val="2"/>
            <w:tcMar>
              <w:top w:w="85" w:type="dxa"/>
              <w:left w:w="85" w:type="dxa"/>
              <w:bottom w:w="85" w:type="dxa"/>
              <w:right w:w="85" w:type="dxa"/>
            </w:tcMar>
            <w:vAlign w:val="center"/>
          </w:tcPr>
          <w:p w14:paraId="7780D1D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01B04AC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45052FE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5CBD869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010180C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7EE4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1BFD6DF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竣工日期</w:t>
            </w:r>
          </w:p>
        </w:tc>
        <w:tc>
          <w:tcPr>
            <w:tcW w:w="1876" w:type="dxa"/>
            <w:gridSpan w:val="2"/>
            <w:tcMar>
              <w:top w:w="85" w:type="dxa"/>
              <w:left w:w="85" w:type="dxa"/>
              <w:bottom w:w="85" w:type="dxa"/>
              <w:right w:w="85" w:type="dxa"/>
            </w:tcMar>
            <w:vAlign w:val="center"/>
          </w:tcPr>
          <w:p w14:paraId="1EDCD06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5792E5B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4AEC2E3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0F37A9E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5C3D0CD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764C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198BB45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人员角色</w:t>
            </w:r>
          </w:p>
        </w:tc>
        <w:tc>
          <w:tcPr>
            <w:tcW w:w="1876" w:type="dxa"/>
            <w:gridSpan w:val="2"/>
            <w:tcMar>
              <w:top w:w="85" w:type="dxa"/>
              <w:left w:w="85" w:type="dxa"/>
              <w:bottom w:w="85" w:type="dxa"/>
              <w:right w:w="85" w:type="dxa"/>
            </w:tcMar>
            <w:vAlign w:val="center"/>
          </w:tcPr>
          <w:p w14:paraId="785EE75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757C5E1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3E95860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1004F75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5877BAE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3832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32CA4BA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在建或已完</w:t>
            </w:r>
          </w:p>
        </w:tc>
        <w:tc>
          <w:tcPr>
            <w:tcW w:w="1876" w:type="dxa"/>
            <w:gridSpan w:val="2"/>
            <w:tcMar>
              <w:top w:w="85" w:type="dxa"/>
              <w:left w:w="85" w:type="dxa"/>
              <w:bottom w:w="85" w:type="dxa"/>
              <w:right w:w="85" w:type="dxa"/>
            </w:tcMar>
            <w:vAlign w:val="center"/>
          </w:tcPr>
          <w:p w14:paraId="79AEE2D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132DD4B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6989F94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0E5D151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3066D14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502F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0EC8A61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1876" w:type="dxa"/>
            <w:gridSpan w:val="2"/>
            <w:tcMar>
              <w:top w:w="85" w:type="dxa"/>
              <w:left w:w="85" w:type="dxa"/>
              <w:bottom w:w="85" w:type="dxa"/>
              <w:right w:w="85" w:type="dxa"/>
            </w:tcMar>
            <w:vAlign w:val="center"/>
          </w:tcPr>
          <w:p w14:paraId="1A29BCD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7C7DCA2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769F474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0994792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5FF5CFC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r w14:paraId="39E2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0" w:hRule="atLeast"/>
          <w:jc w:val="center"/>
        </w:trPr>
        <w:tc>
          <w:tcPr>
            <w:tcW w:w="1626" w:type="dxa"/>
            <w:gridSpan w:val="3"/>
            <w:tcMar>
              <w:top w:w="85" w:type="dxa"/>
              <w:left w:w="85" w:type="dxa"/>
              <w:bottom w:w="85" w:type="dxa"/>
              <w:right w:w="85" w:type="dxa"/>
            </w:tcMar>
            <w:vAlign w:val="center"/>
          </w:tcPr>
          <w:p w14:paraId="5390326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受奖情况</w:t>
            </w:r>
          </w:p>
        </w:tc>
        <w:tc>
          <w:tcPr>
            <w:tcW w:w="1876" w:type="dxa"/>
            <w:gridSpan w:val="2"/>
            <w:tcMar>
              <w:top w:w="85" w:type="dxa"/>
              <w:left w:w="85" w:type="dxa"/>
              <w:bottom w:w="85" w:type="dxa"/>
              <w:right w:w="85" w:type="dxa"/>
            </w:tcMar>
            <w:vAlign w:val="center"/>
          </w:tcPr>
          <w:p w14:paraId="45DB46C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893" w:type="dxa"/>
            <w:tcMar>
              <w:top w:w="85" w:type="dxa"/>
              <w:left w:w="85" w:type="dxa"/>
              <w:bottom w:w="85" w:type="dxa"/>
              <w:right w:w="85" w:type="dxa"/>
            </w:tcMar>
            <w:vAlign w:val="center"/>
          </w:tcPr>
          <w:p w14:paraId="2D78414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585" w:type="dxa"/>
            <w:tcMar>
              <w:top w:w="85" w:type="dxa"/>
              <w:left w:w="85" w:type="dxa"/>
              <w:bottom w:w="85" w:type="dxa"/>
              <w:right w:w="85" w:type="dxa"/>
            </w:tcMar>
            <w:vAlign w:val="center"/>
          </w:tcPr>
          <w:p w14:paraId="10E7B16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144" w:type="dxa"/>
            <w:gridSpan w:val="2"/>
            <w:tcMar>
              <w:top w:w="85" w:type="dxa"/>
              <w:left w:w="85" w:type="dxa"/>
              <w:bottom w:w="85" w:type="dxa"/>
              <w:right w:w="85" w:type="dxa"/>
            </w:tcMar>
            <w:vAlign w:val="center"/>
          </w:tcPr>
          <w:p w14:paraId="0B539A8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c>
          <w:tcPr>
            <w:tcW w:w="1484" w:type="dxa"/>
            <w:gridSpan w:val="2"/>
            <w:tcMar>
              <w:top w:w="85" w:type="dxa"/>
              <w:left w:w="85" w:type="dxa"/>
              <w:bottom w:w="85" w:type="dxa"/>
              <w:right w:w="85" w:type="dxa"/>
            </w:tcMar>
            <w:vAlign w:val="center"/>
          </w:tcPr>
          <w:p w14:paraId="526C3AA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color w:val="auto"/>
                <w:sz w:val="21"/>
                <w:szCs w:val="21"/>
              </w:rPr>
            </w:pPr>
          </w:p>
        </w:tc>
      </w:tr>
    </w:tbl>
    <w:p w14:paraId="292C699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备注：</w:t>
      </w:r>
    </w:p>
    <w:p w14:paraId="1BF6E9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1.项目数可以根据需要增加。</w:t>
      </w:r>
    </w:p>
    <w:p w14:paraId="16101C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2.本表后应</w:t>
      </w:r>
      <w:r>
        <w:rPr>
          <w:rFonts w:hint="eastAsia" w:ascii="宋体" w:hAnsi="宋体" w:eastAsia="宋体" w:cs="宋体"/>
          <w:color w:val="auto"/>
          <w:szCs w:val="21"/>
          <w:lang w:val="en-US" w:eastAsia="zh-CN"/>
        </w:rPr>
        <w:t>按磋商文件要求</w:t>
      </w:r>
      <w:r>
        <w:rPr>
          <w:rFonts w:hint="eastAsia" w:ascii="宋体" w:hAnsi="宋体" w:eastAsia="宋体" w:cs="宋体"/>
          <w:color w:val="auto"/>
          <w:szCs w:val="21"/>
        </w:rPr>
        <w:t>附</w:t>
      </w:r>
      <w:r>
        <w:rPr>
          <w:rFonts w:hint="eastAsia" w:ascii="宋体" w:hAnsi="宋体" w:eastAsia="宋体" w:cs="宋体"/>
          <w:color w:val="auto"/>
          <w:szCs w:val="21"/>
          <w:lang w:val="en-US" w:eastAsia="zh-CN"/>
        </w:rPr>
        <w:t>项目经理的身份证、</w:t>
      </w:r>
      <w:r>
        <w:rPr>
          <w:rFonts w:hint="eastAsia" w:ascii="宋体" w:hAnsi="宋体" w:eastAsia="宋体" w:cs="宋体"/>
          <w:color w:val="auto"/>
          <w:szCs w:val="21"/>
        </w:rPr>
        <w:t>职称证书</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r>
        <w:rPr>
          <w:rFonts w:hint="eastAsia" w:ascii="宋体" w:hAnsi="宋体" w:eastAsia="宋体" w:cs="宋体"/>
          <w:color w:val="auto"/>
          <w:szCs w:val="21"/>
        </w:rPr>
        <w:t>资格证书等</w:t>
      </w:r>
      <w:r>
        <w:rPr>
          <w:rFonts w:hint="eastAsia" w:ascii="宋体" w:hAnsi="宋体" w:eastAsia="宋体" w:cs="宋体"/>
          <w:color w:val="auto"/>
          <w:szCs w:val="21"/>
          <w:lang w:val="en-US" w:eastAsia="zh-CN"/>
        </w:rPr>
        <w:t>符合广西政府采购云平台上传条件的电子文件并</w:t>
      </w:r>
      <w:r>
        <w:rPr>
          <w:rFonts w:hint="eastAsia" w:ascii="宋体" w:hAnsi="宋体" w:eastAsia="宋体" w:cs="宋体"/>
          <w:color w:val="auto"/>
          <w:szCs w:val="21"/>
          <w:lang w:eastAsia="zh-CN"/>
        </w:rPr>
        <w:t>加盖单位</w:t>
      </w:r>
      <w:r>
        <w:rPr>
          <w:rFonts w:hint="eastAsia" w:ascii="宋体" w:hAnsi="宋体" w:eastAsia="宋体" w:cs="宋体"/>
          <w:color w:val="auto"/>
          <w:szCs w:val="21"/>
          <w:lang w:val="en-US" w:eastAsia="zh-CN"/>
        </w:rPr>
        <w:t>CA</w:t>
      </w:r>
      <w:r>
        <w:rPr>
          <w:rFonts w:hint="eastAsia" w:ascii="宋体" w:hAnsi="宋体" w:eastAsia="宋体" w:cs="宋体"/>
          <w:color w:val="auto"/>
          <w:szCs w:val="21"/>
          <w:lang w:eastAsia="zh-CN"/>
        </w:rPr>
        <w:t>公章</w:t>
      </w:r>
      <w:r>
        <w:rPr>
          <w:rFonts w:hint="eastAsia" w:ascii="宋体" w:hAnsi="宋体" w:eastAsia="宋体" w:cs="宋体"/>
          <w:color w:val="auto"/>
          <w:szCs w:val="21"/>
        </w:rPr>
        <w:t>。</w:t>
      </w:r>
    </w:p>
    <w:p w14:paraId="11E8A316">
      <w:pPr>
        <w:spacing w:line="360" w:lineRule="auto"/>
        <w:ind w:right="-44" w:rightChars="-21"/>
        <w:rPr>
          <w:rFonts w:hint="eastAsia" w:ascii="宋体" w:hAnsi="宋体" w:eastAsia="宋体" w:cs="宋体"/>
          <w:sz w:val="21"/>
          <w:szCs w:val="21"/>
        </w:rPr>
      </w:pPr>
    </w:p>
    <w:p w14:paraId="18E94E8D">
      <w:pPr>
        <w:spacing w:line="360" w:lineRule="auto"/>
        <w:ind w:right="-44" w:rightChars="-21"/>
        <w:rPr>
          <w:rFonts w:hint="eastAsia" w:ascii="宋体" w:hAnsi="宋体" w:eastAsia="宋体" w:cs="宋体"/>
          <w:sz w:val="21"/>
          <w:szCs w:val="21"/>
        </w:rPr>
      </w:pPr>
    </w:p>
    <w:p w14:paraId="2577EF49">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供应商（盖单位</w:t>
      </w:r>
      <w:r>
        <w:rPr>
          <w:rFonts w:hint="eastAsia" w:ascii="宋体" w:hAnsi="宋体" w:eastAsia="宋体" w:cs="宋体"/>
          <w:sz w:val="21"/>
          <w:szCs w:val="21"/>
          <w:lang w:val="en-US" w:eastAsia="zh-CN"/>
        </w:rPr>
        <w:t>CA</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p>
    <w:p w14:paraId="6D9C0BFE">
      <w:pPr>
        <w:spacing w:line="360" w:lineRule="auto"/>
        <w:ind w:right="-44" w:rightChars="-21"/>
        <w:jc w:val="left"/>
        <w:rPr>
          <w:rFonts w:hint="eastAsia" w:ascii="宋体" w:hAnsi="宋体" w:eastAsia="宋体" w:cs="宋体"/>
          <w:sz w:val="21"/>
          <w:szCs w:val="21"/>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cs="宋体"/>
          <w:sz w:val="21"/>
          <w:szCs w:val="21"/>
        </w:rPr>
        <w:t>日期：     年     月     日</w:t>
      </w:r>
    </w:p>
    <w:p w14:paraId="20B6D78F">
      <w:pPr>
        <w:spacing w:line="360" w:lineRule="auto"/>
        <w:ind w:right="-44" w:rightChars="-21"/>
        <w:jc w:val="center"/>
        <w:rPr>
          <w:color w:val="auto"/>
          <w:sz w:val="28"/>
          <w:szCs w:val="28"/>
          <w:highlight w:val="none"/>
          <w:u w:val="single"/>
        </w:rPr>
      </w:pPr>
      <w:r>
        <w:rPr>
          <w:rFonts w:hint="eastAsia" w:cs="宋体"/>
          <w:b/>
          <w:color w:val="auto"/>
          <w:sz w:val="28"/>
          <w:szCs w:val="28"/>
          <w:highlight w:val="none"/>
        </w:rPr>
        <w:t>项目技术负责人简历表</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618"/>
        <w:gridCol w:w="1090"/>
        <w:gridCol w:w="786"/>
        <w:gridCol w:w="1893"/>
        <w:gridCol w:w="1528"/>
        <w:gridCol w:w="57"/>
        <w:gridCol w:w="1108"/>
        <w:gridCol w:w="36"/>
        <w:gridCol w:w="79"/>
        <w:gridCol w:w="1405"/>
        <w:gridCol w:w="11"/>
      </w:tblGrid>
      <w:tr w14:paraId="2B9C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618" w:type="dxa"/>
            <w:vAlign w:val="center"/>
          </w:tcPr>
          <w:p w14:paraId="7B4CAD59">
            <w:pPr>
              <w:jc w:val="center"/>
              <w:rPr>
                <w:rFonts w:hint="eastAsia" w:ascii="宋体" w:hAnsi="宋体" w:eastAsia="宋体" w:cs="宋体"/>
                <w:color w:val="auto"/>
              </w:rPr>
            </w:pPr>
            <w:r>
              <w:rPr>
                <w:rFonts w:hint="eastAsia" w:ascii="宋体" w:hAnsi="宋体" w:eastAsia="宋体" w:cs="宋体"/>
                <w:color w:val="auto"/>
              </w:rPr>
              <w:t>姓名</w:t>
            </w:r>
          </w:p>
        </w:tc>
        <w:tc>
          <w:tcPr>
            <w:tcW w:w="1876" w:type="dxa"/>
            <w:gridSpan w:val="2"/>
            <w:vAlign w:val="center"/>
          </w:tcPr>
          <w:p w14:paraId="241931AF">
            <w:pPr>
              <w:jc w:val="center"/>
              <w:rPr>
                <w:rFonts w:hint="eastAsia" w:ascii="宋体" w:hAnsi="宋体" w:eastAsia="宋体" w:cs="宋体"/>
                <w:color w:val="auto"/>
              </w:rPr>
            </w:pPr>
          </w:p>
        </w:tc>
        <w:tc>
          <w:tcPr>
            <w:tcW w:w="1893" w:type="dxa"/>
            <w:vAlign w:val="center"/>
          </w:tcPr>
          <w:p w14:paraId="0C00EE8D">
            <w:pPr>
              <w:jc w:val="center"/>
              <w:rPr>
                <w:rFonts w:hint="eastAsia" w:ascii="宋体" w:hAnsi="宋体" w:eastAsia="宋体" w:cs="宋体"/>
                <w:color w:val="auto"/>
              </w:rPr>
            </w:pPr>
            <w:r>
              <w:rPr>
                <w:rFonts w:hint="eastAsia" w:ascii="宋体" w:hAnsi="宋体" w:eastAsia="宋体" w:cs="宋体"/>
                <w:color w:val="auto"/>
              </w:rPr>
              <w:t>性别</w:t>
            </w:r>
          </w:p>
        </w:tc>
        <w:tc>
          <w:tcPr>
            <w:tcW w:w="1585" w:type="dxa"/>
            <w:gridSpan w:val="2"/>
            <w:vAlign w:val="center"/>
          </w:tcPr>
          <w:p w14:paraId="7AD4792E">
            <w:pPr>
              <w:jc w:val="center"/>
              <w:rPr>
                <w:rFonts w:hint="eastAsia" w:ascii="宋体" w:hAnsi="宋体" w:eastAsia="宋体" w:cs="宋体"/>
                <w:color w:val="auto"/>
              </w:rPr>
            </w:pPr>
          </w:p>
        </w:tc>
        <w:tc>
          <w:tcPr>
            <w:tcW w:w="1108" w:type="dxa"/>
            <w:vAlign w:val="center"/>
          </w:tcPr>
          <w:p w14:paraId="5A5218AF">
            <w:pPr>
              <w:jc w:val="center"/>
              <w:rPr>
                <w:rFonts w:hint="eastAsia" w:ascii="宋体" w:hAnsi="宋体" w:eastAsia="宋体" w:cs="宋体"/>
                <w:color w:val="auto"/>
              </w:rPr>
            </w:pPr>
            <w:r>
              <w:rPr>
                <w:rFonts w:hint="eastAsia" w:ascii="宋体" w:hAnsi="宋体" w:eastAsia="宋体" w:cs="宋体"/>
                <w:color w:val="auto"/>
              </w:rPr>
              <w:t>年龄</w:t>
            </w:r>
          </w:p>
        </w:tc>
        <w:tc>
          <w:tcPr>
            <w:tcW w:w="1531" w:type="dxa"/>
            <w:gridSpan w:val="4"/>
            <w:vAlign w:val="center"/>
          </w:tcPr>
          <w:p w14:paraId="12E7767A">
            <w:pPr>
              <w:jc w:val="center"/>
              <w:rPr>
                <w:rFonts w:hint="eastAsia" w:ascii="宋体" w:hAnsi="宋体" w:eastAsia="宋体" w:cs="宋体"/>
                <w:color w:val="auto"/>
              </w:rPr>
            </w:pPr>
          </w:p>
        </w:tc>
      </w:tr>
      <w:tr w14:paraId="53B1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618" w:type="dxa"/>
            <w:vAlign w:val="center"/>
          </w:tcPr>
          <w:p w14:paraId="69F2B95E">
            <w:pPr>
              <w:jc w:val="center"/>
              <w:rPr>
                <w:rFonts w:hint="eastAsia" w:ascii="宋体" w:hAnsi="宋体" w:eastAsia="宋体" w:cs="宋体"/>
                <w:color w:val="auto"/>
              </w:rPr>
            </w:pPr>
            <w:r>
              <w:rPr>
                <w:rFonts w:hint="eastAsia" w:ascii="宋体" w:hAnsi="宋体" w:eastAsia="宋体" w:cs="宋体"/>
                <w:color w:val="auto"/>
              </w:rPr>
              <w:t>岗位</w:t>
            </w:r>
          </w:p>
        </w:tc>
        <w:tc>
          <w:tcPr>
            <w:tcW w:w="1876" w:type="dxa"/>
            <w:gridSpan w:val="2"/>
            <w:vAlign w:val="center"/>
          </w:tcPr>
          <w:p w14:paraId="515AABDC">
            <w:pPr>
              <w:jc w:val="center"/>
              <w:rPr>
                <w:rFonts w:hint="eastAsia" w:ascii="宋体" w:hAnsi="宋体" w:eastAsia="宋体" w:cs="宋体"/>
                <w:color w:val="auto"/>
              </w:rPr>
            </w:pPr>
            <w:r>
              <w:rPr>
                <w:rFonts w:hint="eastAsia" w:ascii="宋体" w:hAnsi="宋体" w:eastAsia="宋体" w:cs="宋体"/>
                <w:color w:val="auto"/>
              </w:rPr>
              <w:t>项目技术负责人（项目总工）</w:t>
            </w:r>
          </w:p>
        </w:tc>
        <w:tc>
          <w:tcPr>
            <w:tcW w:w="1893" w:type="dxa"/>
            <w:vAlign w:val="center"/>
          </w:tcPr>
          <w:p w14:paraId="084515C8">
            <w:pPr>
              <w:jc w:val="center"/>
              <w:rPr>
                <w:rFonts w:hint="eastAsia" w:ascii="宋体" w:hAnsi="宋体" w:eastAsia="宋体" w:cs="宋体"/>
                <w:color w:val="auto"/>
              </w:rPr>
            </w:pPr>
            <w:r>
              <w:rPr>
                <w:rFonts w:hint="eastAsia" w:ascii="宋体" w:hAnsi="宋体" w:eastAsia="宋体" w:cs="宋体"/>
                <w:color w:val="auto"/>
              </w:rPr>
              <w:t>职称</w:t>
            </w:r>
          </w:p>
        </w:tc>
        <w:tc>
          <w:tcPr>
            <w:tcW w:w="1585" w:type="dxa"/>
            <w:gridSpan w:val="2"/>
            <w:vAlign w:val="center"/>
          </w:tcPr>
          <w:p w14:paraId="44C173AD">
            <w:pPr>
              <w:jc w:val="center"/>
              <w:rPr>
                <w:rFonts w:hint="eastAsia" w:ascii="宋体" w:hAnsi="宋体" w:eastAsia="宋体" w:cs="宋体"/>
                <w:color w:val="auto"/>
              </w:rPr>
            </w:pPr>
          </w:p>
        </w:tc>
        <w:tc>
          <w:tcPr>
            <w:tcW w:w="1108" w:type="dxa"/>
            <w:vAlign w:val="center"/>
          </w:tcPr>
          <w:p w14:paraId="3AD6410F">
            <w:pPr>
              <w:jc w:val="center"/>
              <w:rPr>
                <w:rFonts w:hint="eastAsia" w:ascii="宋体" w:hAnsi="宋体" w:eastAsia="宋体" w:cs="宋体"/>
                <w:color w:val="auto"/>
              </w:rPr>
            </w:pPr>
            <w:r>
              <w:rPr>
                <w:rFonts w:hint="eastAsia" w:ascii="宋体" w:hAnsi="宋体" w:eastAsia="宋体" w:cs="宋体"/>
                <w:color w:val="auto"/>
              </w:rPr>
              <w:t>学历</w:t>
            </w:r>
          </w:p>
        </w:tc>
        <w:tc>
          <w:tcPr>
            <w:tcW w:w="1531" w:type="dxa"/>
            <w:gridSpan w:val="4"/>
            <w:vAlign w:val="center"/>
          </w:tcPr>
          <w:p w14:paraId="57326671">
            <w:pPr>
              <w:jc w:val="center"/>
              <w:rPr>
                <w:rFonts w:hint="eastAsia" w:ascii="宋体" w:hAnsi="宋体" w:eastAsia="宋体" w:cs="宋体"/>
                <w:color w:val="auto"/>
              </w:rPr>
            </w:pPr>
          </w:p>
        </w:tc>
      </w:tr>
      <w:tr w14:paraId="38C0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393" w:hRule="atLeast"/>
          <w:jc w:val="center"/>
        </w:trPr>
        <w:tc>
          <w:tcPr>
            <w:tcW w:w="1618" w:type="dxa"/>
            <w:vAlign w:val="center"/>
          </w:tcPr>
          <w:p w14:paraId="76DC0C63">
            <w:pPr>
              <w:jc w:val="center"/>
              <w:rPr>
                <w:rFonts w:hint="eastAsia" w:ascii="宋体" w:hAnsi="宋体" w:eastAsia="宋体" w:cs="宋体"/>
                <w:color w:val="auto"/>
              </w:rPr>
            </w:pPr>
            <w:r>
              <w:rPr>
                <w:rFonts w:hint="eastAsia" w:ascii="宋体" w:hAnsi="宋体" w:eastAsia="宋体" w:cs="宋体"/>
                <w:color w:val="auto"/>
              </w:rPr>
              <w:t>从业开始时间</w:t>
            </w:r>
          </w:p>
        </w:tc>
        <w:tc>
          <w:tcPr>
            <w:tcW w:w="1876" w:type="dxa"/>
            <w:gridSpan w:val="2"/>
            <w:vAlign w:val="center"/>
          </w:tcPr>
          <w:p w14:paraId="7CA73450">
            <w:pPr>
              <w:jc w:val="center"/>
              <w:rPr>
                <w:rFonts w:hint="eastAsia" w:ascii="宋体" w:hAnsi="宋体" w:eastAsia="宋体" w:cs="宋体"/>
                <w:color w:val="auto"/>
              </w:rPr>
            </w:pPr>
          </w:p>
        </w:tc>
        <w:tc>
          <w:tcPr>
            <w:tcW w:w="1893" w:type="dxa"/>
            <w:vAlign w:val="center"/>
          </w:tcPr>
          <w:p w14:paraId="2B5B1584">
            <w:pPr>
              <w:jc w:val="center"/>
              <w:rPr>
                <w:rFonts w:hint="eastAsia" w:ascii="宋体" w:hAnsi="宋体" w:eastAsia="宋体" w:cs="宋体"/>
                <w:color w:val="auto"/>
              </w:rPr>
            </w:pPr>
            <w:r>
              <w:rPr>
                <w:rFonts w:hint="eastAsia" w:ascii="宋体" w:hAnsi="宋体" w:eastAsia="宋体" w:cs="宋体"/>
                <w:color w:val="auto"/>
              </w:rPr>
              <w:t>职称获得时间</w:t>
            </w:r>
          </w:p>
        </w:tc>
        <w:tc>
          <w:tcPr>
            <w:tcW w:w="1585" w:type="dxa"/>
            <w:gridSpan w:val="2"/>
            <w:vAlign w:val="center"/>
          </w:tcPr>
          <w:p w14:paraId="2A6F7950">
            <w:pPr>
              <w:jc w:val="center"/>
              <w:rPr>
                <w:rFonts w:hint="eastAsia" w:ascii="宋体" w:hAnsi="宋体" w:eastAsia="宋体" w:cs="宋体"/>
                <w:color w:val="auto"/>
              </w:rPr>
            </w:pPr>
          </w:p>
        </w:tc>
        <w:tc>
          <w:tcPr>
            <w:tcW w:w="1108" w:type="dxa"/>
            <w:vAlign w:val="center"/>
          </w:tcPr>
          <w:p w14:paraId="44EF968C">
            <w:pPr>
              <w:jc w:val="center"/>
              <w:rPr>
                <w:rFonts w:hint="eastAsia" w:ascii="宋体" w:hAnsi="宋体" w:eastAsia="宋体" w:cs="宋体"/>
                <w:color w:val="auto"/>
              </w:rPr>
            </w:pPr>
            <w:r>
              <w:rPr>
                <w:rFonts w:hint="eastAsia" w:ascii="宋体" w:hAnsi="宋体" w:eastAsia="宋体" w:cs="宋体"/>
                <w:color w:val="auto"/>
              </w:rPr>
              <w:t>毕业时间</w:t>
            </w:r>
          </w:p>
        </w:tc>
        <w:tc>
          <w:tcPr>
            <w:tcW w:w="1531" w:type="dxa"/>
            <w:gridSpan w:val="4"/>
            <w:vAlign w:val="center"/>
          </w:tcPr>
          <w:p w14:paraId="2F04D1B7">
            <w:pPr>
              <w:jc w:val="center"/>
              <w:rPr>
                <w:rFonts w:hint="eastAsia" w:ascii="宋体" w:hAnsi="宋体" w:eastAsia="宋体" w:cs="宋体"/>
                <w:color w:val="auto"/>
              </w:rPr>
            </w:pPr>
          </w:p>
        </w:tc>
      </w:tr>
      <w:tr w14:paraId="2A2E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473" w:hRule="atLeast"/>
          <w:jc w:val="center"/>
        </w:trPr>
        <w:tc>
          <w:tcPr>
            <w:tcW w:w="1618" w:type="dxa"/>
            <w:vAlign w:val="center"/>
          </w:tcPr>
          <w:p w14:paraId="5CFB222D">
            <w:pPr>
              <w:jc w:val="center"/>
              <w:rPr>
                <w:rFonts w:hint="eastAsia" w:ascii="宋体" w:hAnsi="宋体" w:eastAsia="宋体" w:cs="宋体"/>
                <w:color w:val="auto"/>
              </w:rPr>
            </w:pPr>
            <w:r>
              <w:rPr>
                <w:rFonts w:hint="eastAsia" w:ascii="宋体" w:hAnsi="宋体" w:eastAsia="宋体" w:cs="宋体"/>
                <w:color w:val="auto"/>
              </w:rPr>
              <w:t>担任年限</w:t>
            </w:r>
          </w:p>
        </w:tc>
        <w:tc>
          <w:tcPr>
            <w:tcW w:w="1876" w:type="dxa"/>
            <w:gridSpan w:val="2"/>
            <w:vAlign w:val="center"/>
          </w:tcPr>
          <w:p w14:paraId="196E7491">
            <w:pPr>
              <w:jc w:val="center"/>
              <w:rPr>
                <w:rFonts w:hint="eastAsia" w:ascii="宋体" w:hAnsi="宋体" w:eastAsia="宋体" w:cs="宋体"/>
                <w:color w:val="auto"/>
              </w:rPr>
            </w:pPr>
          </w:p>
        </w:tc>
        <w:tc>
          <w:tcPr>
            <w:tcW w:w="1893" w:type="dxa"/>
            <w:vAlign w:val="center"/>
          </w:tcPr>
          <w:p w14:paraId="58BD772F">
            <w:pPr>
              <w:jc w:val="center"/>
              <w:rPr>
                <w:rFonts w:hint="eastAsia" w:ascii="宋体" w:hAnsi="宋体" w:eastAsia="宋体" w:cs="宋体"/>
                <w:color w:val="auto"/>
              </w:rPr>
            </w:pPr>
            <w:r>
              <w:rPr>
                <w:rFonts w:hint="eastAsia" w:ascii="宋体" w:hAnsi="宋体" w:eastAsia="宋体" w:cs="宋体"/>
                <w:color w:val="auto"/>
              </w:rPr>
              <w:t>身份证号码</w:t>
            </w:r>
          </w:p>
        </w:tc>
        <w:tc>
          <w:tcPr>
            <w:tcW w:w="4224" w:type="dxa"/>
            <w:gridSpan w:val="7"/>
            <w:vAlign w:val="center"/>
          </w:tcPr>
          <w:p w14:paraId="64B24514">
            <w:pPr>
              <w:jc w:val="center"/>
              <w:rPr>
                <w:rFonts w:hint="eastAsia" w:ascii="宋体" w:hAnsi="宋体" w:eastAsia="宋体" w:cs="宋体"/>
                <w:color w:val="auto"/>
              </w:rPr>
            </w:pPr>
          </w:p>
        </w:tc>
      </w:tr>
      <w:tr w14:paraId="5196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618" w:type="dxa"/>
            <w:vAlign w:val="center"/>
          </w:tcPr>
          <w:p w14:paraId="4B516AFB">
            <w:pPr>
              <w:jc w:val="center"/>
              <w:rPr>
                <w:rFonts w:hint="eastAsia" w:ascii="宋体" w:hAnsi="宋体" w:eastAsia="宋体" w:cs="宋体"/>
                <w:color w:val="auto"/>
              </w:rPr>
            </w:pPr>
            <w:r>
              <w:rPr>
                <w:rFonts w:hint="eastAsia" w:ascii="宋体" w:hAnsi="宋体" w:eastAsia="宋体" w:cs="宋体"/>
                <w:color w:val="auto"/>
              </w:rPr>
              <w:t>证书名称</w:t>
            </w:r>
          </w:p>
        </w:tc>
        <w:tc>
          <w:tcPr>
            <w:tcW w:w="1090" w:type="dxa"/>
            <w:vAlign w:val="center"/>
          </w:tcPr>
          <w:p w14:paraId="44D496BE">
            <w:pPr>
              <w:jc w:val="center"/>
              <w:rPr>
                <w:rFonts w:hint="eastAsia" w:ascii="宋体" w:hAnsi="宋体" w:eastAsia="宋体" w:cs="宋体"/>
                <w:color w:val="auto"/>
              </w:rPr>
            </w:pPr>
            <w:r>
              <w:rPr>
                <w:rFonts w:hint="eastAsia" w:ascii="宋体" w:hAnsi="宋体" w:eastAsia="宋体" w:cs="宋体"/>
                <w:color w:val="auto"/>
              </w:rPr>
              <w:t>注册专业</w:t>
            </w:r>
          </w:p>
        </w:tc>
        <w:tc>
          <w:tcPr>
            <w:tcW w:w="786" w:type="dxa"/>
            <w:vAlign w:val="center"/>
          </w:tcPr>
          <w:p w14:paraId="64CCEF74">
            <w:pPr>
              <w:jc w:val="center"/>
              <w:rPr>
                <w:rFonts w:hint="eastAsia" w:ascii="宋体" w:hAnsi="宋体" w:eastAsia="宋体" w:cs="宋体"/>
                <w:color w:val="auto"/>
              </w:rPr>
            </w:pPr>
            <w:r>
              <w:rPr>
                <w:rFonts w:hint="eastAsia" w:ascii="宋体" w:hAnsi="宋体" w:eastAsia="宋体" w:cs="宋体"/>
                <w:color w:val="auto"/>
              </w:rPr>
              <w:t>级别</w:t>
            </w:r>
          </w:p>
        </w:tc>
        <w:tc>
          <w:tcPr>
            <w:tcW w:w="1893" w:type="dxa"/>
            <w:vAlign w:val="center"/>
          </w:tcPr>
          <w:p w14:paraId="55041E13">
            <w:pPr>
              <w:jc w:val="center"/>
              <w:rPr>
                <w:rFonts w:hint="eastAsia" w:ascii="宋体" w:hAnsi="宋体" w:eastAsia="宋体" w:cs="宋体"/>
                <w:color w:val="auto"/>
              </w:rPr>
            </w:pPr>
            <w:r>
              <w:rPr>
                <w:rFonts w:hint="eastAsia" w:ascii="宋体" w:hAnsi="宋体" w:eastAsia="宋体" w:cs="宋体"/>
                <w:color w:val="auto"/>
              </w:rPr>
              <w:t>证书编号</w:t>
            </w:r>
          </w:p>
        </w:tc>
        <w:tc>
          <w:tcPr>
            <w:tcW w:w="1528" w:type="dxa"/>
            <w:vAlign w:val="center"/>
          </w:tcPr>
          <w:p w14:paraId="363C97C8">
            <w:pPr>
              <w:jc w:val="center"/>
              <w:rPr>
                <w:rFonts w:hint="eastAsia" w:ascii="宋体" w:hAnsi="宋体" w:eastAsia="宋体" w:cs="宋体"/>
                <w:color w:val="auto"/>
              </w:rPr>
            </w:pPr>
            <w:r>
              <w:rPr>
                <w:rFonts w:hint="eastAsia" w:ascii="宋体" w:hAnsi="宋体" w:eastAsia="宋体" w:cs="宋体"/>
                <w:color w:val="auto"/>
              </w:rPr>
              <w:t>注册时间</w:t>
            </w:r>
          </w:p>
        </w:tc>
        <w:tc>
          <w:tcPr>
            <w:tcW w:w="1280" w:type="dxa"/>
            <w:gridSpan w:val="4"/>
            <w:vAlign w:val="center"/>
          </w:tcPr>
          <w:p w14:paraId="5BA212FD">
            <w:pPr>
              <w:jc w:val="center"/>
              <w:rPr>
                <w:rFonts w:hint="eastAsia" w:ascii="宋体" w:hAnsi="宋体" w:eastAsia="宋体" w:cs="宋体"/>
                <w:color w:val="auto"/>
              </w:rPr>
            </w:pPr>
            <w:r>
              <w:rPr>
                <w:rFonts w:hint="eastAsia" w:ascii="宋体" w:hAnsi="宋体" w:eastAsia="宋体" w:cs="宋体"/>
                <w:color w:val="auto"/>
              </w:rPr>
              <w:t>注册单位</w:t>
            </w:r>
          </w:p>
        </w:tc>
        <w:tc>
          <w:tcPr>
            <w:tcW w:w="1416" w:type="dxa"/>
            <w:gridSpan w:val="2"/>
            <w:vAlign w:val="center"/>
          </w:tcPr>
          <w:p w14:paraId="6F606411">
            <w:pPr>
              <w:jc w:val="center"/>
              <w:rPr>
                <w:rFonts w:hint="eastAsia" w:ascii="宋体" w:hAnsi="宋体" w:eastAsia="宋体" w:cs="宋体"/>
                <w:color w:val="auto"/>
              </w:rPr>
            </w:pPr>
            <w:r>
              <w:rPr>
                <w:rFonts w:hint="eastAsia" w:ascii="宋体" w:hAnsi="宋体" w:eastAsia="宋体" w:cs="宋体"/>
                <w:color w:val="auto"/>
              </w:rPr>
              <w:t>注册有效期</w:t>
            </w:r>
          </w:p>
        </w:tc>
      </w:tr>
      <w:tr w14:paraId="67CC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429" w:hRule="atLeast"/>
          <w:jc w:val="center"/>
        </w:trPr>
        <w:tc>
          <w:tcPr>
            <w:tcW w:w="1618" w:type="dxa"/>
            <w:vAlign w:val="center"/>
          </w:tcPr>
          <w:p w14:paraId="1BDAC7C3">
            <w:pPr>
              <w:jc w:val="center"/>
              <w:rPr>
                <w:rFonts w:hint="eastAsia" w:ascii="宋体" w:hAnsi="宋体" w:eastAsia="宋体" w:cs="宋体"/>
                <w:color w:val="auto"/>
              </w:rPr>
            </w:pPr>
          </w:p>
        </w:tc>
        <w:tc>
          <w:tcPr>
            <w:tcW w:w="1090" w:type="dxa"/>
            <w:vAlign w:val="center"/>
          </w:tcPr>
          <w:p w14:paraId="6F739B6B">
            <w:pPr>
              <w:jc w:val="center"/>
              <w:rPr>
                <w:rFonts w:hint="eastAsia" w:ascii="宋体" w:hAnsi="宋体" w:eastAsia="宋体" w:cs="宋体"/>
                <w:color w:val="auto"/>
              </w:rPr>
            </w:pPr>
          </w:p>
        </w:tc>
        <w:tc>
          <w:tcPr>
            <w:tcW w:w="786" w:type="dxa"/>
            <w:vAlign w:val="center"/>
          </w:tcPr>
          <w:p w14:paraId="08C408CA">
            <w:pPr>
              <w:jc w:val="center"/>
              <w:rPr>
                <w:rFonts w:hint="eastAsia" w:ascii="宋体" w:hAnsi="宋体" w:eastAsia="宋体" w:cs="宋体"/>
                <w:color w:val="auto"/>
              </w:rPr>
            </w:pPr>
          </w:p>
        </w:tc>
        <w:tc>
          <w:tcPr>
            <w:tcW w:w="1893" w:type="dxa"/>
            <w:vAlign w:val="center"/>
          </w:tcPr>
          <w:p w14:paraId="4B912B84">
            <w:pPr>
              <w:jc w:val="center"/>
              <w:rPr>
                <w:rFonts w:hint="eastAsia" w:ascii="宋体" w:hAnsi="宋体" w:eastAsia="宋体" w:cs="宋体"/>
                <w:color w:val="auto"/>
              </w:rPr>
            </w:pPr>
          </w:p>
        </w:tc>
        <w:tc>
          <w:tcPr>
            <w:tcW w:w="1528" w:type="dxa"/>
            <w:vAlign w:val="center"/>
          </w:tcPr>
          <w:p w14:paraId="2F308296">
            <w:pPr>
              <w:jc w:val="center"/>
              <w:rPr>
                <w:rFonts w:hint="eastAsia" w:ascii="宋体" w:hAnsi="宋体" w:eastAsia="宋体" w:cs="宋体"/>
                <w:color w:val="auto"/>
              </w:rPr>
            </w:pPr>
          </w:p>
        </w:tc>
        <w:tc>
          <w:tcPr>
            <w:tcW w:w="1280" w:type="dxa"/>
            <w:gridSpan w:val="4"/>
            <w:vAlign w:val="center"/>
          </w:tcPr>
          <w:p w14:paraId="7B6AE6E4">
            <w:pPr>
              <w:jc w:val="center"/>
              <w:rPr>
                <w:rFonts w:hint="eastAsia" w:ascii="宋体" w:hAnsi="宋体" w:eastAsia="宋体" w:cs="宋体"/>
                <w:color w:val="auto"/>
              </w:rPr>
            </w:pPr>
          </w:p>
        </w:tc>
        <w:tc>
          <w:tcPr>
            <w:tcW w:w="1416" w:type="dxa"/>
            <w:gridSpan w:val="2"/>
            <w:vAlign w:val="center"/>
          </w:tcPr>
          <w:p w14:paraId="2C30CF6A">
            <w:pPr>
              <w:jc w:val="center"/>
              <w:rPr>
                <w:rFonts w:hint="eastAsia" w:ascii="宋体" w:hAnsi="宋体" w:eastAsia="宋体" w:cs="宋体"/>
                <w:color w:val="auto"/>
              </w:rPr>
            </w:pPr>
          </w:p>
        </w:tc>
      </w:tr>
      <w:tr w14:paraId="3AD1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400" w:hRule="atLeast"/>
          <w:jc w:val="center"/>
        </w:trPr>
        <w:tc>
          <w:tcPr>
            <w:tcW w:w="1618" w:type="dxa"/>
            <w:vAlign w:val="center"/>
          </w:tcPr>
          <w:p w14:paraId="7FEA5CCA">
            <w:pPr>
              <w:jc w:val="center"/>
              <w:rPr>
                <w:rFonts w:hint="eastAsia" w:ascii="宋体" w:hAnsi="宋体" w:eastAsia="宋体" w:cs="宋体"/>
                <w:color w:val="auto"/>
              </w:rPr>
            </w:pPr>
          </w:p>
        </w:tc>
        <w:tc>
          <w:tcPr>
            <w:tcW w:w="1090" w:type="dxa"/>
            <w:vAlign w:val="center"/>
          </w:tcPr>
          <w:p w14:paraId="24200D66">
            <w:pPr>
              <w:jc w:val="center"/>
              <w:rPr>
                <w:rFonts w:hint="eastAsia" w:ascii="宋体" w:hAnsi="宋体" w:eastAsia="宋体" w:cs="宋体"/>
                <w:color w:val="auto"/>
              </w:rPr>
            </w:pPr>
          </w:p>
        </w:tc>
        <w:tc>
          <w:tcPr>
            <w:tcW w:w="786" w:type="dxa"/>
            <w:vAlign w:val="center"/>
          </w:tcPr>
          <w:p w14:paraId="40D97BC0">
            <w:pPr>
              <w:jc w:val="center"/>
              <w:rPr>
                <w:rFonts w:hint="eastAsia" w:ascii="宋体" w:hAnsi="宋体" w:eastAsia="宋体" w:cs="宋体"/>
                <w:color w:val="auto"/>
              </w:rPr>
            </w:pPr>
          </w:p>
        </w:tc>
        <w:tc>
          <w:tcPr>
            <w:tcW w:w="1893" w:type="dxa"/>
            <w:vAlign w:val="center"/>
          </w:tcPr>
          <w:p w14:paraId="6FB6952A">
            <w:pPr>
              <w:jc w:val="center"/>
              <w:rPr>
                <w:rFonts w:hint="eastAsia" w:ascii="宋体" w:hAnsi="宋体" w:eastAsia="宋体" w:cs="宋体"/>
                <w:color w:val="auto"/>
              </w:rPr>
            </w:pPr>
          </w:p>
        </w:tc>
        <w:tc>
          <w:tcPr>
            <w:tcW w:w="1528" w:type="dxa"/>
            <w:vAlign w:val="center"/>
          </w:tcPr>
          <w:p w14:paraId="16244953">
            <w:pPr>
              <w:jc w:val="center"/>
              <w:rPr>
                <w:rFonts w:hint="eastAsia" w:ascii="宋体" w:hAnsi="宋体" w:eastAsia="宋体" w:cs="宋体"/>
                <w:color w:val="auto"/>
              </w:rPr>
            </w:pPr>
          </w:p>
        </w:tc>
        <w:tc>
          <w:tcPr>
            <w:tcW w:w="1280" w:type="dxa"/>
            <w:gridSpan w:val="4"/>
            <w:vAlign w:val="center"/>
          </w:tcPr>
          <w:p w14:paraId="43068910">
            <w:pPr>
              <w:jc w:val="center"/>
              <w:rPr>
                <w:rFonts w:hint="eastAsia" w:ascii="宋体" w:hAnsi="宋体" w:eastAsia="宋体" w:cs="宋体"/>
                <w:color w:val="auto"/>
              </w:rPr>
            </w:pPr>
          </w:p>
        </w:tc>
        <w:tc>
          <w:tcPr>
            <w:tcW w:w="1416" w:type="dxa"/>
            <w:gridSpan w:val="2"/>
            <w:vAlign w:val="center"/>
          </w:tcPr>
          <w:p w14:paraId="6B5C8881">
            <w:pPr>
              <w:jc w:val="center"/>
              <w:rPr>
                <w:rFonts w:hint="eastAsia" w:ascii="宋体" w:hAnsi="宋体" w:eastAsia="宋体" w:cs="宋体"/>
                <w:color w:val="auto"/>
              </w:rPr>
            </w:pPr>
          </w:p>
        </w:tc>
      </w:tr>
      <w:tr w14:paraId="5B94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1"/>
            <w:vAlign w:val="center"/>
          </w:tcPr>
          <w:p w14:paraId="02AFB9B9">
            <w:pPr>
              <w:jc w:val="center"/>
              <w:rPr>
                <w:rFonts w:hint="eastAsia" w:ascii="宋体" w:hAnsi="宋体" w:eastAsia="宋体" w:cs="宋体"/>
                <w:color w:val="auto"/>
              </w:rPr>
            </w:pPr>
            <w:r>
              <w:rPr>
                <w:rFonts w:hint="eastAsia" w:ascii="宋体" w:hAnsi="宋体" w:eastAsia="宋体" w:cs="宋体"/>
                <w:color w:val="auto"/>
              </w:rPr>
              <w:t>在建和已完工程项目情况</w:t>
            </w:r>
          </w:p>
        </w:tc>
      </w:tr>
      <w:tr w14:paraId="6C45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vAlign w:val="center"/>
          </w:tcPr>
          <w:p w14:paraId="101D77F1">
            <w:pPr>
              <w:jc w:val="center"/>
              <w:rPr>
                <w:rFonts w:hint="eastAsia" w:ascii="宋体" w:hAnsi="宋体" w:eastAsia="宋体" w:cs="宋体"/>
                <w:color w:val="auto"/>
              </w:rPr>
            </w:pPr>
          </w:p>
        </w:tc>
        <w:tc>
          <w:tcPr>
            <w:tcW w:w="1876" w:type="dxa"/>
            <w:gridSpan w:val="2"/>
            <w:vAlign w:val="center"/>
          </w:tcPr>
          <w:p w14:paraId="7211E4F6">
            <w:pPr>
              <w:jc w:val="center"/>
              <w:rPr>
                <w:rFonts w:hint="eastAsia" w:ascii="宋体" w:hAnsi="宋体" w:eastAsia="宋体" w:cs="宋体"/>
                <w:color w:val="auto"/>
              </w:rPr>
            </w:pPr>
            <w:r>
              <w:rPr>
                <w:rFonts w:hint="eastAsia" w:ascii="宋体" w:hAnsi="宋体" w:eastAsia="宋体" w:cs="宋体"/>
                <w:color w:val="auto"/>
              </w:rPr>
              <w:t>项目1</w:t>
            </w:r>
          </w:p>
        </w:tc>
        <w:tc>
          <w:tcPr>
            <w:tcW w:w="1893" w:type="dxa"/>
            <w:vAlign w:val="center"/>
          </w:tcPr>
          <w:p w14:paraId="2B2C02FF">
            <w:pPr>
              <w:jc w:val="center"/>
              <w:rPr>
                <w:rFonts w:hint="eastAsia" w:ascii="宋体" w:hAnsi="宋体" w:eastAsia="宋体" w:cs="宋体"/>
                <w:color w:val="auto"/>
              </w:rPr>
            </w:pPr>
            <w:r>
              <w:rPr>
                <w:rFonts w:hint="eastAsia" w:ascii="宋体" w:hAnsi="宋体" w:eastAsia="宋体" w:cs="宋体"/>
                <w:color w:val="auto"/>
              </w:rPr>
              <w:t>项目2</w:t>
            </w:r>
          </w:p>
        </w:tc>
        <w:tc>
          <w:tcPr>
            <w:tcW w:w="1585" w:type="dxa"/>
            <w:gridSpan w:val="2"/>
            <w:vAlign w:val="center"/>
          </w:tcPr>
          <w:p w14:paraId="756BBD82">
            <w:pPr>
              <w:jc w:val="center"/>
              <w:rPr>
                <w:rFonts w:hint="eastAsia" w:ascii="宋体" w:hAnsi="宋体" w:eastAsia="宋体" w:cs="宋体"/>
                <w:color w:val="auto"/>
              </w:rPr>
            </w:pPr>
            <w:r>
              <w:rPr>
                <w:rFonts w:hint="eastAsia" w:ascii="宋体" w:hAnsi="宋体" w:eastAsia="宋体" w:cs="宋体"/>
                <w:color w:val="auto"/>
              </w:rPr>
              <w:t>项目3</w:t>
            </w:r>
          </w:p>
        </w:tc>
        <w:tc>
          <w:tcPr>
            <w:tcW w:w="1144" w:type="dxa"/>
            <w:gridSpan w:val="2"/>
            <w:vAlign w:val="center"/>
          </w:tcPr>
          <w:p w14:paraId="68588138">
            <w:pPr>
              <w:jc w:val="center"/>
              <w:rPr>
                <w:rFonts w:hint="eastAsia" w:ascii="宋体" w:hAnsi="宋体" w:eastAsia="宋体" w:cs="宋体"/>
                <w:color w:val="auto"/>
              </w:rPr>
            </w:pPr>
            <w:r>
              <w:rPr>
                <w:rFonts w:hint="eastAsia" w:ascii="宋体" w:hAnsi="宋体" w:eastAsia="宋体" w:cs="宋体"/>
                <w:color w:val="auto"/>
              </w:rPr>
              <w:t>项目4</w:t>
            </w:r>
          </w:p>
        </w:tc>
        <w:tc>
          <w:tcPr>
            <w:tcW w:w="1484" w:type="dxa"/>
            <w:gridSpan w:val="2"/>
            <w:vAlign w:val="center"/>
          </w:tcPr>
          <w:p w14:paraId="14688220">
            <w:pPr>
              <w:jc w:val="center"/>
              <w:rPr>
                <w:rFonts w:hint="eastAsia" w:ascii="宋体" w:hAnsi="宋体" w:eastAsia="宋体" w:cs="宋体"/>
                <w:color w:val="auto"/>
              </w:rPr>
            </w:pPr>
            <w:r>
              <w:rPr>
                <w:rFonts w:hint="eastAsia" w:ascii="宋体" w:hAnsi="宋体" w:eastAsia="宋体" w:cs="宋体"/>
                <w:color w:val="auto"/>
              </w:rPr>
              <w:t>……</w:t>
            </w:r>
          </w:p>
        </w:tc>
      </w:tr>
      <w:tr w14:paraId="591C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vAlign w:val="center"/>
          </w:tcPr>
          <w:p w14:paraId="65FEC3CE">
            <w:pPr>
              <w:jc w:val="center"/>
              <w:rPr>
                <w:rFonts w:hint="eastAsia" w:ascii="宋体" w:hAnsi="宋体" w:eastAsia="宋体" w:cs="宋体"/>
                <w:color w:val="auto"/>
              </w:rPr>
            </w:pPr>
            <w:r>
              <w:rPr>
                <w:rFonts w:hint="eastAsia" w:ascii="宋体" w:hAnsi="宋体" w:eastAsia="宋体" w:cs="宋体"/>
                <w:color w:val="auto"/>
              </w:rPr>
              <w:t>项目名称</w:t>
            </w:r>
          </w:p>
        </w:tc>
        <w:tc>
          <w:tcPr>
            <w:tcW w:w="1876" w:type="dxa"/>
            <w:gridSpan w:val="2"/>
            <w:vAlign w:val="center"/>
          </w:tcPr>
          <w:p w14:paraId="364F37D3">
            <w:pPr>
              <w:jc w:val="center"/>
              <w:rPr>
                <w:rFonts w:hint="eastAsia" w:ascii="宋体" w:hAnsi="宋体" w:eastAsia="宋体" w:cs="宋体"/>
                <w:color w:val="auto"/>
              </w:rPr>
            </w:pPr>
          </w:p>
        </w:tc>
        <w:tc>
          <w:tcPr>
            <w:tcW w:w="1893" w:type="dxa"/>
            <w:vAlign w:val="center"/>
          </w:tcPr>
          <w:p w14:paraId="7510DC68">
            <w:pPr>
              <w:jc w:val="center"/>
              <w:rPr>
                <w:rFonts w:hint="eastAsia" w:ascii="宋体" w:hAnsi="宋体" w:eastAsia="宋体" w:cs="宋体"/>
                <w:color w:val="auto"/>
              </w:rPr>
            </w:pPr>
          </w:p>
        </w:tc>
        <w:tc>
          <w:tcPr>
            <w:tcW w:w="1585" w:type="dxa"/>
            <w:gridSpan w:val="2"/>
            <w:vAlign w:val="center"/>
          </w:tcPr>
          <w:p w14:paraId="04DD2CE7">
            <w:pPr>
              <w:jc w:val="center"/>
              <w:rPr>
                <w:rFonts w:hint="eastAsia" w:ascii="宋体" w:hAnsi="宋体" w:eastAsia="宋体" w:cs="宋体"/>
                <w:color w:val="auto"/>
              </w:rPr>
            </w:pPr>
          </w:p>
        </w:tc>
        <w:tc>
          <w:tcPr>
            <w:tcW w:w="1144" w:type="dxa"/>
            <w:gridSpan w:val="2"/>
            <w:vAlign w:val="center"/>
          </w:tcPr>
          <w:p w14:paraId="48295AD3">
            <w:pPr>
              <w:jc w:val="center"/>
              <w:rPr>
                <w:rFonts w:hint="eastAsia" w:ascii="宋体" w:hAnsi="宋体" w:eastAsia="宋体" w:cs="宋体"/>
                <w:color w:val="auto"/>
              </w:rPr>
            </w:pPr>
          </w:p>
        </w:tc>
        <w:tc>
          <w:tcPr>
            <w:tcW w:w="1484" w:type="dxa"/>
            <w:gridSpan w:val="2"/>
            <w:vAlign w:val="center"/>
          </w:tcPr>
          <w:p w14:paraId="2E3BA6F2">
            <w:pPr>
              <w:jc w:val="center"/>
              <w:rPr>
                <w:rFonts w:hint="eastAsia" w:ascii="宋体" w:hAnsi="宋体" w:eastAsia="宋体" w:cs="宋体"/>
                <w:color w:val="auto"/>
              </w:rPr>
            </w:pPr>
          </w:p>
        </w:tc>
      </w:tr>
      <w:tr w14:paraId="790D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vAlign w:val="center"/>
          </w:tcPr>
          <w:p w14:paraId="176AFD79">
            <w:pPr>
              <w:jc w:val="center"/>
              <w:rPr>
                <w:rFonts w:hint="eastAsia" w:ascii="宋体" w:hAnsi="宋体" w:eastAsia="宋体" w:cs="宋体"/>
                <w:color w:val="auto"/>
              </w:rPr>
            </w:pPr>
            <w:r>
              <w:rPr>
                <w:rFonts w:hint="eastAsia" w:ascii="宋体" w:hAnsi="宋体" w:eastAsia="宋体" w:cs="宋体"/>
                <w:color w:val="auto"/>
              </w:rPr>
              <w:t>建设单位</w:t>
            </w:r>
          </w:p>
        </w:tc>
        <w:tc>
          <w:tcPr>
            <w:tcW w:w="1876" w:type="dxa"/>
            <w:gridSpan w:val="2"/>
            <w:vAlign w:val="center"/>
          </w:tcPr>
          <w:p w14:paraId="45B910C1">
            <w:pPr>
              <w:jc w:val="center"/>
              <w:rPr>
                <w:rFonts w:hint="eastAsia" w:ascii="宋体" w:hAnsi="宋体" w:eastAsia="宋体" w:cs="宋体"/>
                <w:color w:val="auto"/>
              </w:rPr>
            </w:pPr>
          </w:p>
        </w:tc>
        <w:tc>
          <w:tcPr>
            <w:tcW w:w="1893" w:type="dxa"/>
            <w:vAlign w:val="center"/>
          </w:tcPr>
          <w:p w14:paraId="0C401A9E">
            <w:pPr>
              <w:jc w:val="center"/>
              <w:rPr>
                <w:rFonts w:hint="eastAsia" w:ascii="宋体" w:hAnsi="宋体" w:eastAsia="宋体" w:cs="宋体"/>
                <w:color w:val="auto"/>
              </w:rPr>
            </w:pPr>
          </w:p>
        </w:tc>
        <w:tc>
          <w:tcPr>
            <w:tcW w:w="1585" w:type="dxa"/>
            <w:gridSpan w:val="2"/>
            <w:vAlign w:val="center"/>
          </w:tcPr>
          <w:p w14:paraId="5CB1E380">
            <w:pPr>
              <w:jc w:val="center"/>
              <w:rPr>
                <w:rFonts w:hint="eastAsia" w:ascii="宋体" w:hAnsi="宋体" w:eastAsia="宋体" w:cs="宋体"/>
                <w:color w:val="auto"/>
              </w:rPr>
            </w:pPr>
          </w:p>
        </w:tc>
        <w:tc>
          <w:tcPr>
            <w:tcW w:w="1144" w:type="dxa"/>
            <w:gridSpan w:val="2"/>
            <w:vAlign w:val="center"/>
          </w:tcPr>
          <w:p w14:paraId="137035AE">
            <w:pPr>
              <w:jc w:val="center"/>
              <w:rPr>
                <w:rFonts w:hint="eastAsia" w:ascii="宋体" w:hAnsi="宋体" w:eastAsia="宋体" w:cs="宋体"/>
                <w:color w:val="auto"/>
              </w:rPr>
            </w:pPr>
          </w:p>
        </w:tc>
        <w:tc>
          <w:tcPr>
            <w:tcW w:w="1484" w:type="dxa"/>
            <w:gridSpan w:val="2"/>
            <w:vAlign w:val="center"/>
          </w:tcPr>
          <w:p w14:paraId="226E4890">
            <w:pPr>
              <w:jc w:val="center"/>
              <w:rPr>
                <w:rFonts w:hint="eastAsia" w:ascii="宋体" w:hAnsi="宋体" w:eastAsia="宋体" w:cs="宋体"/>
                <w:color w:val="auto"/>
              </w:rPr>
            </w:pPr>
          </w:p>
        </w:tc>
      </w:tr>
      <w:tr w14:paraId="3F5D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vAlign w:val="center"/>
          </w:tcPr>
          <w:p w14:paraId="3A153A88">
            <w:pPr>
              <w:jc w:val="center"/>
              <w:rPr>
                <w:rFonts w:hint="eastAsia" w:ascii="宋体" w:hAnsi="宋体" w:eastAsia="宋体" w:cs="宋体"/>
                <w:color w:val="auto"/>
              </w:rPr>
            </w:pPr>
            <w:r>
              <w:rPr>
                <w:rFonts w:hint="eastAsia" w:ascii="宋体" w:hAnsi="宋体" w:eastAsia="宋体" w:cs="宋体"/>
                <w:color w:val="auto"/>
              </w:rPr>
              <w:t>建设规模</w:t>
            </w:r>
          </w:p>
        </w:tc>
        <w:tc>
          <w:tcPr>
            <w:tcW w:w="1876" w:type="dxa"/>
            <w:gridSpan w:val="2"/>
            <w:vAlign w:val="center"/>
          </w:tcPr>
          <w:p w14:paraId="46AC0BD7">
            <w:pPr>
              <w:jc w:val="center"/>
              <w:rPr>
                <w:rFonts w:hint="eastAsia" w:ascii="宋体" w:hAnsi="宋体" w:eastAsia="宋体" w:cs="宋体"/>
                <w:color w:val="auto"/>
              </w:rPr>
            </w:pPr>
          </w:p>
        </w:tc>
        <w:tc>
          <w:tcPr>
            <w:tcW w:w="1893" w:type="dxa"/>
            <w:vAlign w:val="center"/>
          </w:tcPr>
          <w:p w14:paraId="10068E7C">
            <w:pPr>
              <w:jc w:val="center"/>
              <w:rPr>
                <w:rFonts w:hint="eastAsia" w:ascii="宋体" w:hAnsi="宋体" w:eastAsia="宋体" w:cs="宋体"/>
                <w:color w:val="auto"/>
              </w:rPr>
            </w:pPr>
          </w:p>
        </w:tc>
        <w:tc>
          <w:tcPr>
            <w:tcW w:w="1585" w:type="dxa"/>
            <w:gridSpan w:val="2"/>
            <w:vAlign w:val="center"/>
          </w:tcPr>
          <w:p w14:paraId="20E1D9C3">
            <w:pPr>
              <w:jc w:val="center"/>
              <w:rPr>
                <w:rFonts w:hint="eastAsia" w:ascii="宋体" w:hAnsi="宋体" w:eastAsia="宋体" w:cs="宋体"/>
                <w:color w:val="auto"/>
              </w:rPr>
            </w:pPr>
          </w:p>
        </w:tc>
        <w:tc>
          <w:tcPr>
            <w:tcW w:w="1144" w:type="dxa"/>
            <w:gridSpan w:val="2"/>
            <w:vAlign w:val="center"/>
          </w:tcPr>
          <w:p w14:paraId="6FDF7A8F">
            <w:pPr>
              <w:jc w:val="center"/>
              <w:rPr>
                <w:rFonts w:hint="eastAsia" w:ascii="宋体" w:hAnsi="宋体" w:eastAsia="宋体" w:cs="宋体"/>
                <w:color w:val="auto"/>
              </w:rPr>
            </w:pPr>
          </w:p>
        </w:tc>
        <w:tc>
          <w:tcPr>
            <w:tcW w:w="1484" w:type="dxa"/>
            <w:gridSpan w:val="2"/>
            <w:vAlign w:val="center"/>
          </w:tcPr>
          <w:p w14:paraId="340EB24F">
            <w:pPr>
              <w:jc w:val="center"/>
              <w:rPr>
                <w:rFonts w:hint="eastAsia" w:ascii="宋体" w:hAnsi="宋体" w:eastAsia="宋体" w:cs="宋体"/>
                <w:color w:val="auto"/>
              </w:rPr>
            </w:pPr>
          </w:p>
        </w:tc>
      </w:tr>
      <w:tr w14:paraId="0AD9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vAlign w:val="center"/>
          </w:tcPr>
          <w:p w14:paraId="32737604">
            <w:pPr>
              <w:jc w:val="center"/>
              <w:rPr>
                <w:rFonts w:hint="eastAsia" w:ascii="宋体" w:hAnsi="宋体" w:eastAsia="宋体" w:cs="宋体"/>
                <w:color w:val="auto"/>
                <w:sz w:val="27"/>
                <w:szCs w:val="27"/>
              </w:rPr>
            </w:pPr>
            <w:r>
              <w:rPr>
                <w:rFonts w:hint="eastAsia" w:ascii="宋体" w:hAnsi="宋体" w:eastAsia="宋体" w:cs="宋体"/>
                <w:color w:val="auto"/>
              </w:rPr>
              <w:t>开工日期</w:t>
            </w:r>
          </w:p>
        </w:tc>
        <w:tc>
          <w:tcPr>
            <w:tcW w:w="1876" w:type="dxa"/>
            <w:gridSpan w:val="2"/>
            <w:vAlign w:val="center"/>
          </w:tcPr>
          <w:p w14:paraId="55FFAB64">
            <w:pPr>
              <w:jc w:val="center"/>
              <w:rPr>
                <w:rFonts w:hint="eastAsia" w:ascii="宋体" w:hAnsi="宋体" w:eastAsia="宋体" w:cs="宋体"/>
                <w:color w:val="auto"/>
              </w:rPr>
            </w:pPr>
          </w:p>
        </w:tc>
        <w:tc>
          <w:tcPr>
            <w:tcW w:w="1893" w:type="dxa"/>
            <w:vAlign w:val="center"/>
          </w:tcPr>
          <w:p w14:paraId="2F1317D1">
            <w:pPr>
              <w:jc w:val="center"/>
              <w:rPr>
                <w:rFonts w:hint="eastAsia" w:ascii="宋体" w:hAnsi="宋体" w:eastAsia="宋体" w:cs="宋体"/>
                <w:color w:val="auto"/>
              </w:rPr>
            </w:pPr>
          </w:p>
        </w:tc>
        <w:tc>
          <w:tcPr>
            <w:tcW w:w="1585" w:type="dxa"/>
            <w:gridSpan w:val="2"/>
            <w:vAlign w:val="center"/>
          </w:tcPr>
          <w:p w14:paraId="5075CAA9">
            <w:pPr>
              <w:jc w:val="center"/>
              <w:rPr>
                <w:rFonts w:hint="eastAsia" w:ascii="宋体" w:hAnsi="宋体" w:eastAsia="宋体" w:cs="宋体"/>
                <w:color w:val="auto"/>
              </w:rPr>
            </w:pPr>
          </w:p>
        </w:tc>
        <w:tc>
          <w:tcPr>
            <w:tcW w:w="1144" w:type="dxa"/>
            <w:gridSpan w:val="2"/>
            <w:vAlign w:val="center"/>
          </w:tcPr>
          <w:p w14:paraId="67534498">
            <w:pPr>
              <w:jc w:val="center"/>
              <w:rPr>
                <w:rFonts w:hint="eastAsia" w:ascii="宋体" w:hAnsi="宋体" w:eastAsia="宋体" w:cs="宋体"/>
                <w:color w:val="auto"/>
              </w:rPr>
            </w:pPr>
          </w:p>
        </w:tc>
        <w:tc>
          <w:tcPr>
            <w:tcW w:w="1484" w:type="dxa"/>
            <w:gridSpan w:val="2"/>
            <w:vAlign w:val="center"/>
          </w:tcPr>
          <w:p w14:paraId="4E74D014">
            <w:pPr>
              <w:jc w:val="center"/>
              <w:rPr>
                <w:rFonts w:hint="eastAsia" w:ascii="宋体" w:hAnsi="宋体" w:eastAsia="宋体" w:cs="宋体"/>
                <w:color w:val="auto"/>
              </w:rPr>
            </w:pPr>
          </w:p>
        </w:tc>
      </w:tr>
      <w:tr w14:paraId="74E4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vAlign w:val="center"/>
          </w:tcPr>
          <w:p w14:paraId="406D35CE">
            <w:pPr>
              <w:jc w:val="center"/>
              <w:rPr>
                <w:rFonts w:hint="eastAsia" w:ascii="宋体" w:hAnsi="宋体" w:eastAsia="宋体" w:cs="宋体"/>
                <w:color w:val="auto"/>
              </w:rPr>
            </w:pPr>
            <w:r>
              <w:rPr>
                <w:rFonts w:hint="eastAsia" w:ascii="宋体" w:hAnsi="宋体" w:eastAsia="宋体" w:cs="宋体"/>
                <w:color w:val="auto"/>
              </w:rPr>
              <w:t>竣工日期</w:t>
            </w:r>
          </w:p>
        </w:tc>
        <w:tc>
          <w:tcPr>
            <w:tcW w:w="1876" w:type="dxa"/>
            <w:gridSpan w:val="2"/>
            <w:vAlign w:val="center"/>
          </w:tcPr>
          <w:p w14:paraId="3DA36231">
            <w:pPr>
              <w:jc w:val="center"/>
              <w:rPr>
                <w:rFonts w:hint="eastAsia" w:ascii="宋体" w:hAnsi="宋体" w:eastAsia="宋体" w:cs="宋体"/>
                <w:color w:val="auto"/>
              </w:rPr>
            </w:pPr>
          </w:p>
        </w:tc>
        <w:tc>
          <w:tcPr>
            <w:tcW w:w="1893" w:type="dxa"/>
            <w:vAlign w:val="center"/>
          </w:tcPr>
          <w:p w14:paraId="748466C0">
            <w:pPr>
              <w:jc w:val="center"/>
              <w:rPr>
                <w:rFonts w:hint="eastAsia" w:ascii="宋体" w:hAnsi="宋体" w:eastAsia="宋体" w:cs="宋体"/>
                <w:color w:val="auto"/>
              </w:rPr>
            </w:pPr>
          </w:p>
        </w:tc>
        <w:tc>
          <w:tcPr>
            <w:tcW w:w="1585" w:type="dxa"/>
            <w:gridSpan w:val="2"/>
            <w:vAlign w:val="center"/>
          </w:tcPr>
          <w:p w14:paraId="50C45081">
            <w:pPr>
              <w:jc w:val="center"/>
              <w:rPr>
                <w:rFonts w:hint="eastAsia" w:ascii="宋体" w:hAnsi="宋体" w:eastAsia="宋体" w:cs="宋体"/>
                <w:color w:val="auto"/>
              </w:rPr>
            </w:pPr>
          </w:p>
        </w:tc>
        <w:tc>
          <w:tcPr>
            <w:tcW w:w="1144" w:type="dxa"/>
            <w:gridSpan w:val="2"/>
            <w:vAlign w:val="center"/>
          </w:tcPr>
          <w:p w14:paraId="09868DAF">
            <w:pPr>
              <w:jc w:val="center"/>
              <w:rPr>
                <w:rFonts w:hint="eastAsia" w:ascii="宋体" w:hAnsi="宋体" w:eastAsia="宋体" w:cs="宋体"/>
                <w:color w:val="auto"/>
              </w:rPr>
            </w:pPr>
          </w:p>
        </w:tc>
        <w:tc>
          <w:tcPr>
            <w:tcW w:w="1484" w:type="dxa"/>
            <w:gridSpan w:val="2"/>
            <w:vAlign w:val="center"/>
          </w:tcPr>
          <w:p w14:paraId="2CB05325">
            <w:pPr>
              <w:jc w:val="center"/>
              <w:rPr>
                <w:rFonts w:hint="eastAsia" w:ascii="宋体" w:hAnsi="宋体" w:eastAsia="宋体" w:cs="宋体"/>
                <w:color w:val="auto"/>
              </w:rPr>
            </w:pPr>
          </w:p>
        </w:tc>
      </w:tr>
      <w:tr w14:paraId="30CA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4157977B">
            <w:pPr>
              <w:jc w:val="center"/>
              <w:rPr>
                <w:rFonts w:hint="eastAsia" w:ascii="宋体" w:hAnsi="宋体" w:eastAsia="宋体" w:cs="宋体"/>
                <w:color w:val="auto"/>
              </w:rPr>
            </w:pPr>
            <w:r>
              <w:rPr>
                <w:rFonts w:hint="eastAsia" w:ascii="宋体" w:hAnsi="宋体" w:eastAsia="宋体" w:cs="宋体"/>
                <w:color w:val="auto"/>
              </w:rPr>
              <w:t>人员角色</w:t>
            </w:r>
          </w:p>
        </w:tc>
        <w:tc>
          <w:tcPr>
            <w:tcW w:w="1876" w:type="dxa"/>
            <w:gridSpan w:val="2"/>
            <w:vAlign w:val="center"/>
          </w:tcPr>
          <w:p w14:paraId="76CABA60">
            <w:pPr>
              <w:jc w:val="center"/>
              <w:rPr>
                <w:rFonts w:hint="eastAsia" w:ascii="宋体" w:hAnsi="宋体" w:eastAsia="宋体" w:cs="宋体"/>
                <w:color w:val="auto"/>
              </w:rPr>
            </w:pPr>
          </w:p>
        </w:tc>
        <w:tc>
          <w:tcPr>
            <w:tcW w:w="1893" w:type="dxa"/>
            <w:vAlign w:val="center"/>
          </w:tcPr>
          <w:p w14:paraId="4A69BBC9">
            <w:pPr>
              <w:jc w:val="center"/>
              <w:rPr>
                <w:rFonts w:hint="eastAsia" w:ascii="宋体" w:hAnsi="宋体" w:eastAsia="宋体" w:cs="宋体"/>
                <w:color w:val="auto"/>
              </w:rPr>
            </w:pPr>
          </w:p>
        </w:tc>
        <w:tc>
          <w:tcPr>
            <w:tcW w:w="1585" w:type="dxa"/>
            <w:gridSpan w:val="2"/>
            <w:vAlign w:val="center"/>
          </w:tcPr>
          <w:p w14:paraId="50108417">
            <w:pPr>
              <w:jc w:val="center"/>
              <w:rPr>
                <w:rFonts w:hint="eastAsia" w:ascii="宋体" w:hAnsi="宋体" w:eastAsia="宋体" w:cs="宋体"/>
                <w:color w:val="auto"/>
              </w:rPr>
            </w:pPr>
          </w:p>
        </w:tc>
        <w:tc>
          <w:tcPr>
            <w:tcW w:w="1144" w:type="dxa"/>
            <w:gridSpan w:val="2"/>
            <w:vAlign w:val="center"/>
          </w:tcPr>
          <w:p w14:paraId="53B1C25C">
            <w:pPr>
              <w:jc w:val="center"/>
              <w:rPr>
                <w:rFonts w:hint="eastAsia" w:ascii="宋体" w:hAnsi="宋体" w:eastAsia="宋体" w:cs="宋体"/>
                <w:color w:val="auto"/>
              </w:rPr>
            </w:pPr>
          </w:p>
        </w:tc>
        <w:tc>
          <w:tcPr>
            <w:tcW w:w="1484" w:type="dxa"/>
            <w:gridSpan w:val="2"/>
            <w:vAlign w:val="center"/>
          </w:tcPr>
          <w:p w14:paraId="77C21FFF">
            <w:pPr>
              <w:jc w:val="center"/>
              <w:rPr>
                <w:rFonts w:hint="eastAsia" w:ascii="宋体" w:hAnsi="宋体" w:eastAsia="宋体" w:cs="宋体"/>
                <w:color w:val="auto"/>
              </w:rPr>
            </w:pPr>
          </w:p>
        </w:tc>
      </w:tr>
      <w:tr w14:paraId="2B1C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2167B86E">
            <w:pPr>
              <w:jc w:val="center"/>
              <w:rPr>
                <w:rFonts w:hint="eastAsia" w:ascii="宋体" w:hAnsi="宋体" w:eastAsia="宋体" w:cs="宋体"/>
                <w:color w:val="auto"/>
              </w:rPr>
            </w:pPr>
            <w:r>
              <w:rPr>
                <w:rFonts w:hint="eastAsia" w:ascii="宋体" w:hAnsi="宋体" w:eastAsia="宋体" w:cs="宋体"/>
                <w:color w:val="auto"/>
              </w:rPr>
              <w:t>在建或已完</w:t>
            </w:r>
          </w:p>
        </w:tc>
        <w:tc>
          <w:tcPr>
            <w:tcW w:w="1876" w:type="dxa"/>
            <w:gridSpan w:val="2"/>
            <w:vAlign w:val="center"/>
          </w:tcPr>
          <w:p w14:paraId="1D9A8FD5">
            <w:pPr>
              <w:jc w:val="center"/>
              <w:rPr>
                <w:rFonts w:hint="eastAsia" w:ascii="宋体" w:hAnsi="宋体" w:eastAsia="宋体" w:cs="宋体"/>
                <w:color w:val="auto"/>
              </w:rPr>
            </w:pPr>
          </w:p>
        </w:tc>
        <w:tc>
          <w:tcPr>
            <w:tcW w:w="1893" w:type="dxa"/>
            <w:vAlign w:val="center"/>
          </w:tcPr>
          <w:p w14:paraId="7EE105D6">
            <w:pPr>
              <w:jc w:val="center"/>
              <w:rPr>
                <w:rFonts w:hint="eastAsia" w:ascii="宋体" w:hAnsi="宋体" w:eastAsia="宋体" w:cs="宋体"/>
                <w:color w:val="auto"/>
              </w:rPr>
            </w:pPr>
          </w:p>
        </w:tc>
        <w:tc>
          <w:tcPr>
            <w:tcW w:w="1585" w:type="dxa"/>
            <w:gridSpan w:val="2"/>
            <w:vAlign w:val="center"/>
          </w:tcPr>
          <w:p w14:paraId="12936CE9">
            <w:pPr>
              <w:jc w:val="center"/>
              <w:rPr>
                <w:rFonts w:hint="eastAsia" w:ascii="宋体" w:hAnsi="宋体" w:eastAsia="宋体" w:cs="宋体"/>
                <w:color w:val="auto"/>
              </w:rPr>
            </w:pPr>
          </w:p>
        </w:tc>
        <w:tc>
          <w:tcPr>
            <w:tcW w:w="1144" w:type="dxa"/>
            <w:gridSpan w:val="2"/>
            <w:vAlign w:val="center"/>
          </w:tcPr>
          <w:p w14:paraId="2720D9F1">
            <w:pPr>
              <w:jc w:val="center"/>
              <w:rPr>
                <w:rFonts w:hint="eastAsia" w:ascii="宋体" w:hAnsi="宋体" w:eastAsia="宋体" w:cs="宋体"/>
                <w:color w:val="auto"/>
              </w:rPr>
            </w:pPr>
          </w:p>
        </w:tc>
        <w:tc>
          <w:tcPr>
            <w:tcW w:w="1484" w:type="dxa"/>
            <w:gridSpan w:val="2"/>
            <w:vAlign w:val="center"/>
          </w:tcPr>
          <w:p w14:paraId="6F0F9513">
            <w:pPr>
              <w:jc w:val="center"/>
              <w:rPr>
                <w:rFonts w:hint="eastAsia" w:ascii="宋体" w:hAnsi="宋体" w:eastAsia="宋体" w:cs="宋体"/>
                <w:color w:val="auto"/>
              </w:rPr>
            </w:pPr>
          </w:p>
        </w:tc>
      </w:tr>
      <w:tr w14:paraId="0027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06A35975">
            <w:pPr>
              <w:jc w:val="center"/>
              <w:rPr>
                <w:rFonts w:hint="eastAsia" w:ascii="宋体" w:hAnsi="宋体" w:eastAsia="宋体" w:cs="宋体"/>
                <w:color w:val="auto"/>
              </w:rPr>
            </w:pPr>
            <w:r>
              <w:rPr>
                <w:rFonts w:hint="eastAsia" w:ascii="宋体" w:hAnsi="宋体" w:eastAsia="宋体" w:cs="宋体"/>
                <w:color w:val="auto"/>
              </w:rPr>
              <w:t>工程质量</w:t>
            </w:r>
          </w:p>
        </w:tc>
        <w:tc>
          <w:tcPr>
            <w:tcW w:w="1876" w:type="dxa"/>
            <w:gridSpan w:val="2"/>
            <w:vAlign w:val="center"/>
          </w:tcPr>
          <w:p w14:paraId="701BF11A">
            <w:pPr>
              <w:jc w:val="center"/>
              <w:rPr>
                <w:rFonts w:hint="eastAsia" w:ascii="宋体" w:hAnsi="宋体" w:eastAsia="宋体" w:cs="宋体"/>
                <w:color w:val="auto"/>
              </w:rPr>
            </w:pPr>
          </w:p>
        </w:tc>
        <w:tc>
          <w:tcPr>
            <w:tcW w:w="1893" w:type="dxa"/>
            <w:vAlign w:val="center"/>
          </w:tcPr>
          <w:p w14:paraId="742B58E4">
            <w:pPr>
              <w:jc w:val="center"/>
              <w:rPr>
                <w:rFonts w:hint="eastAsia" w:ascii="宋体" w:hAnsi="宋体" w:eastAsia="宋体" w:cs="宋体"/>
                <w:color w:val="auto"/>
              </w:rPr>
            </w:pPr>
          </w:p>
        </w:tc>
        <w:tc>
          <w:tcPr>
            <w:tcW w:w="1585" w:type="dxa"/>
            <w:gridSpan w:val="2"/>
            <w:vAlign w:val="center"/>
          </w:tcPr>
          <w:p w14:paraId="1D965A64">
            <w:pPr>
              <w:jc w:val="center"/>
              <w:rPr>
                <w:rFonts w:hint="eastAsia" w:ascii="宋体" w:hAnsi="宋体" w:eastAsia="宋体" w:cs="宋体"/>
                <w:color w:val="auto"/>
              </w:rPr>
            </w:pPr>
          </w:p>
        </w:tc>
        <w:tc>
          <w:tcPr>
            <w:tcW w:w="1144" w:type="dxa"/>
            <w:gridSpan w:val="2"/>
            <w:vAlign w:val="center"/>
          </w:tcPr>
          <w:p w14:paraId="7A326433">
            <w:pPr>
              <w:jc w:val="center"/>
              <w:rPr>
                <w:rFonts w:hint="eastAsia" w:ascii="宋体" w:hAnsi="宋体" w:eastAsia="宋体" w:cs="宋体"/>
                <w:color w:val="auto"/>
              </w:rPr>
            </w:pPr>
          </w:p>
        </w:tc>
        <w:tc>
          <w:tcPr>
            <w:tcW w:w="1484" w:type="dxa"/>
            <w:gridSpan w:val="2"/>
            <w:vAlign w:val="center"/>
          </w:tcPr>
          <w:p w14:paraId="59D03695">
            <w:pPr>
              <w:jc w:val="center"/>
              <w:rPr>
                <w:rFonts w:hint="eastAsia" w:ascii="宋体" w:hAnsi="宋体" w:eastAsia="宋体" w:cs="宋体"/>
                <w:color w:val="auto"/>
              </w:rPr>
            </w:pPr>
          </w:p>
        </w:tc>
      </w:tr>
      <w:tr w14:paraId="3CF3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5E9E663D">
            <w:pPr>
              <w:jc w:val="center"/>
              <w:rPr>
                <w:rFonts w:hint="eastAsia" w:ascii="宋体" w:hAnsi="宋体" w:eastAsia="宋体" w:cs="宋体"/>
                <w:color w:val="auto"/>
              </w:rPr>
            </w:pPr>
            <w:r>
              <w:rPr>
                <w:rFonts w:hint="eastAsia" w:ascii="宋体" w:hAnsi="宋体" w:eastAsia="宋体" w:cs="宋体"/>
                <w:color w:val="auto"/>
              </w:rPr>
              <w:t>受奖情况</w:t>
            </w:r>
          </w:p>
        </w:tc>
        <w:tc>
          <w:tcPr>
            <w:tcW w:w="1876" w:type="dxa"/>
            <w:gridSpan w:val="2"/>
            <w:vAlign w:val="center"/>
          </w:tcPr>
          <w:p w14:paraId="275D909C">
            <w:pPr>
              <w:jc w:val="center"/>
              <w:rPr>
                <w:rFonts w:hint="eastAsia" w:ascii="宋体" w:hAnsi="宋体" w:eastAsia="宋体" w:cs="宋体"/>
                <w:color w:val="auto"/>
              </w:rPr>
            </w:pPr>
          </w:p>
        </w:tc>
        <w:tc>
          <w:tcPr>
            <w:tcW w:w="1893" w:type="dxa"/>
            <w:vAlign w:val="center"/>
          </w:tcPr>
          <w:p w14:paraId="56443C9B">
            <w:pPr>
              <w:jc w:val="center"/>
              <w:rPr>
                <w:rFonts w:hint="eastAsia" w:ascii="宋体" w:hAnsi="宋体" w:eastAsia="宋体" w:cs="宋体"/>
                <w:color w:val="auto"/>
              </w:rPr>
            </w:pPr>
          </w:p>
        </w:tc>
        <w:tc>
          <w:tcPr>
            <w:tcW w:w="1585" w:type="dxa"/>
            <w:gridSpan w:val="2"/>
            <w:vAlign w:val="center"/>
          </w:tcPr>
          <w:p w14:paraId="3FF3A9DE">
            <w:pPr>
              <w:jc w:val="center"/>
              <w:rPr>
                <w:rFonts w:hint="eastAsia" w:ascii="宋体" w:hAnsi="宋体" w:eastAsia="宋体" w:cs="宋体"/>
                <w:color w:val="auto"/>
              </w:rPr>
            </w:pPr>
          </w:p>
        </w:tc>
        <w:tc>
          <w:tcPr>
            <w:tcW w:w="1144" w:type="dxa"/>
            <w:gridSpan w:val="2"/>
            <w:vAlign w:val="center"/>
          </w:tcPr>
          <w:p w14:paraId="7BA8E16D">
            <w:pPr>
              <w:jc w:val="center"/>
              <w:rPr>
                <w:rFonts w:hint="eastAsia" w:ascii="宋体" w:hAnsi="宋体" w:eastAsia="宋体" w:cs="宋体"/>
                <w:color w:val="auto"/>
              </w:rPr>
            </w:pPr>
          </w:p>
        </w:tc>
        <w:tc>
          <w:tcPr>
            <w:tcW w:w="1484" w:type="dxa"/>
            <w:gridSpan w:val="2"/>
            <w:vAlign w:val="center"/>
          </w:tcPr>
          <w:p w14:paraId="42C98AC1">
            <w:pPr>
              <w:jc w:val="center"/>
              <w:rPr>
                <w:rFonts w:hint="eastAsia" w:ascii="宋体" w:hAnsi="宋体" w:eastAsia="宋体" w:cs="宋体"/>
                <w:color w:val="auto"/>
              </w:rPr>
            </w:pPr>
          </w:p>
        </w:tc>
      </w:tr>
    </w:tbl>
    <w:p w14:paraId="1F009090">
      <w:pPr>
        <w:spacing w:line="360" w:lineRule="auto"/>
        <w:rPr>
          <w:rFonts w:ascii="宋体" w:hAnsi="宋体"/>
          <w:color w:val="auto"/>
          <w:szCs w:val="21"/>
        </w:rPr>
      </w:pPr>
      <w:r>
        <w:rPr>
          <w:rFonts w:hint="eastAsia" w:ascii="宋体" w:hAnsi="宋体" w:cs="楷体_GB2312"/>
          <w:color w:val="auto"/>
          <w:szCs w:val="21"/>
        </w:rPr>
        <w:t>备注：</w:t>
      </w:r>
    </w:p>
    <w:p w14:paraId="2F9A0E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1.项目数可以根据需要增加。</w:t>
      </w:r>
    </w:p>
    <w:p w14:paraId="2F2E952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2.本表后应</w:t>
      </w:r>
      <w:r>
        <w:rPr>
          <w:rFonts w:hint="eastAsia" w:ascii="宋体" w:hAnsi="宋体" w:eastAsia="宋体" w:cs="宋体"/>
          <w:color w:val="auto"/>
          <w:szCs w:val="21"/>
          <w:lang w:val="en-US" w:eastAsia="zh-CN"/>
        </w:rPr>
        <w:t>按磋商文件要求</w:t>
      </w:r>
      <w:r>
        <w:rPr>
          <w:rFonts w:hint="eastAsia" w:ascii="宋体" w:hAnsi="宋体" w:eastAsia="宋体" w:cs="宋体"/>
          <w:color w:val="auto"/>
          <w:szCs w:val="21"/>
        </w:rPr>
        <w:t>附</w:t>
      </w:r>
      <w:r>
        <w:rPr>
          <w:rFonts w:hint="eastAsia" w:ascii="宋体" w:hAnsi="宋体" w:eastAsia="宋体" w:cs="宋体"/>
          <w:color w:val="auto"/>
        </w:rPr>
        <w:t>项目</w:t>
      </w:r>
      <w:r>
        <w:rPr>
          <w:rFonts w:hint="eastAsia" w:ascii="宋体" w:hAnsi="宋体" w:eastAsia="宋体" w:cs="宋体"/>
          <w:color w:val="auto"/>
          <w:highlight w:val="none"/>
        </w:rPr>
        <w:t>技术负责人</w:t>
      </w:r>
      <w:r>
        <w:rPr>
          <w:rFonts w:hint="eastAsia" w:ascii="宋体" w:hAnsi="宋体" w:eastAsia="宋体" w:cs="宋体"/>
          <w:color w:val="auto"/>
          <w:highlight w:val="none"/>
          <w:lang w:val="en-US" w:eastAsia="zh-CN"/>
        </w:rPr>
        <w:t>的</w:t>
      </w:r>
      <w:r>
        <w:rPr>
          <w:rFonts w:hint="eastAsia" w:ascii="宋体" w:hAnsi="宋体" w:eastAsia="宋体" w:cs="宋体"/>
          <w:color w:val="auto"/>
          <w:szCs w:val="21"/>
          <w:highlight w:val="none"/>
          <w:lang w:val="en-US" w:eastAsia="zh-CN"/>
        </w:rPr>
        <w:t>身份证</w:t>
      </w:r>
      <w:r>
        <w:rPr>
          <w:rFonts w:hint="eastAsia" w:ascii="宋体" w:hAnsi="宋体" w:eastAsia="宋体" w:cs="宋体"/>
          <w:color w:val="auto"/>
          <w:szCs w:val="21"/>
          <w:lang w:val="en-US" w:eastAsia="zh-CN"/>
        </w:rPr>
        <w:t>、</w:t>
      </w:r>
      <w:r>
        <w:rPr>
          <w:rFonts w:hint="eastAsia" w:ascii="宋体" w:hAnsi="宋体" w:eastAsia="宋体" w:cs="宋体"/>
          <w:color w:val="auto"/>
          <w:szCs w:val="21"/>
        </w:rPr>
        <w:t>职称证书</w:t>
      </w:r>
      <w:r>
        <w:rPr>
          <w:rFonts w:hint="eastAsia" w:ascii="宋体" w:hAnsi="宋体" w:cs="宋体"/>
          <w:color w:val="auto"/>
          <w:szCs w:val="21"/>
          <w:lang w:eastAsia="zh-CN"/>
        </w:rPr>
        <w:t>（</w:t>
      </w:r>
      <w:r>
        <w:rPr>
          <w:rFonts w:hint="eastAsia" w:ascii="宋体" w:hAnsi="宋体" w:cs="宋体"/>
          <w:color w:val="auto"/>
          <w:szCs w:val="21"/>
          <w:lang w:val="en-US" w:eastAsia="zh-CN"/>
        </w:rPr>
        <w:t>如有</w:t>
      </w:r>
      <w:r>
        <w:rPr>
          <w:rFonts w:hint="eastAsia" w:ascii="宋体" w:hAnsi="宋体" w:cs="宋体"/>
          <w:color w:val="auto"/>
          <w:szCs w:val="21"/>
          <w:lang w:eastAsia="zh-CN"/>
        </w:rPr>
        <w:t>）</w:t>
      </w:r>
      <w:r>
        <w:rPr>
          <w:rFonts w:hint="eastAsia" w:ascii="宋体" w:hAnsi="宋体" w:eastAsia="宋体" w:cs="宋体"/>
          <w:color w:val="auto"/>
          <w:szCs w:val="21"/>
          <w:lang w:eastAsia="zh-CN"/>
        </w:rPr>
        <w:t>、</w:t>
      </w:r>
      <w:r>
        <w:rPr>
          <w:rFonts w:hint="eastAsia" w:ascii="宋体" w:hAnsi="宋体" w:eastAsia="宋体" w:cs="宋体"/>
          <w:color w:val="auto"/>
          <w:szCs w:val="21"/>
        </w:rPr>
        <w:t>资格证书</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r>
        <w:rPr>
          <w:rFonts w:hint="eastAsia" w:ascii="宋体" w:hAnsi="宋体" w:eastAsia="宋体" w:cs="宋体"/>
          <w:color w:val="auto"/>
          <w:szCs w:val="21"/>
        </w:rPr>
        <w:t>等</w:t>
      </w:r>
      <w:r>
        <w:rPr>
          <w:rFonts w:hint="eastAsia" w:ascii="宋体" w:hAnsi="宋体" w:eastAsia="宋体" w:cs="宋体"/>
          <w:color w:val="auto"/>
          <w:szCs w:val="21"/>
          <w:lang w:val="en-US" w:eastAsia="zh-CN"/>
        </w:rPr>
        <w:t>符合广西政府采购云平台上传条件的电子文件并</w:t>
      </w:r>
      <w:r>
        <w:rPr>
          <w:rFonts w:hint="eastAsia" w:ascii="宋体" w:hAnsi="宋体" w:eastAsia="宋体" w:cs="宋体"/>
          <w:color w:val="auto"/>
          <w:szCs w:val="21"/>
          <w:lang w:eastAsia="zh-CN"/>
        </w:rPr>
        <w:t>加盖单位</w:t>
      </w:r>
      <w:r>
        <w:rPr>
          <w:rFonts w:hint="eastAsia" w:ascii="宋体" w:hAnsi="宋体" w:eastAsia="宋体" w:cs="宋体"/>
          <w:color w:val="auto"/>
          <w:szCs w:val="21"/>
          <w:lang w:val="en-US" w:eastAsia="zh-CN"/>
        </w:rPr>
        <w:t>CA</w:t>
      </w:r>
      <w:r>
        <w:rPr>
          <w:rFonts w:hint="eastAsia" w:ascii="宋体" w:hAnsi="宋体" w:eastAsia="宋体" w:cs="宋体"/>
          <w:color w:val="auto"/>
          <w:szCs w:val="21"/>
          <w:lang w:eastAsia="zh-CN"/>
        </w:rPr>
        <w:t>公章</w:t>
      </w:r>
      <w:r>
        <w:rPr>
          <w:rFonts w:hint="eastAsia" w:ascii="宋体" w:hAnsi="宋体" w:eastAsia="宋体" w:cs="宋体"/>
          <w:color w:val="auto"/>
          <w:szCs w:val="21"/>
        </w:rPr>
        <w:t>。</w:t>
      </w:r>
    </w:p>
    <w:p w14:paraId="796D06E2">
      <w:pPr>
        <w:spacing w:line="360" w:lineRule="auto"/>
        <w:ind w:right="-44" w:rightChars="-21"/>
        <w:rPr>
          <w:rFonts w:hint="eastAsia" w:ascii="宋体" w:hAnsi="宋体" w:eastAsia="宋体" w:cs="宋体"/>
          <w:sz w:val="21"/>
          <w:szCs w:val="21"/>
        </w:rPr>
      </w:pPr>
    </w:p>
    <w:p w14:paraId="4B9A7547">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供应商（盖单位</w:t>
      </w:r>
      <w:r>
        <w:rPr>
          <w:rFonts w:hint="eastAsia" w:ascii="宋体" w:hAnsi="宋体" w:eastAsia="宋体" w:cs="宋体"/>
          <w:sz w:val="21"/>
          <w:szCs w:val="21"/>
          <w:lang w:val="en-US" w:eastAsia="zh-CN"/>
        </w:rPr>
        <w:t>CA</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p>
    <w:p w14:paraId="4D78F55A">
      <w:pPr>
        <w:spacing w:line="360" w:lineRule="auto"/>
        <w:ind w:right="-44" w:rightChars="-21"/>
        <w:jc w:val="left"/>
        <w:rPr>
          <w:rFonts w:hint="eastAsia" w:ascii="宋体" w:hAnsi="宋体" w:eastAsia="宋体" w:cs="宋体"/>
          <w:sz w:val="21"/>
          <w:szCs w:val="21"/>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cs="宋体"/>
          <w:sz w:val="21"/>
          <w:szCs w:val="21"/>
        </w:rPr>
        <w:t>日期：     年     月     日</w:t>
      </w:r>
    </w:p>
    <w:p w14:paraId="04256FF8">
      <w:pPr>
        <w:pStyle w:val="28"/>
        <w:spacing w:line="360" w:lineRule="auto"/>
        <w:jc w:val="center"/>
        <w:outlineLvl w:val="0"/>
        <w:rPr>
          <w:color w:val="auto"/>
          <w:sz w:val="28"/>
          <w:szCs w:val="28"/>
          <w:u w:val="single"/>
        </w:rPr>
      </w:pPr>
      <w:bookmarkStart w:id="167" w:name="_Toc122424017"/>
      <w:bookmarkStart w:id="168" w:name="_Toc6466"/>
      <w:bookmarkStart w:id="169" w:name="_Toc122424266"/>
      <w:r>
        <w:rPr>
          <w:rFonts w:hint="eastAsia" w:cs="宋体"/>
          <w:b/>
          <w:color w:val="auto"/>
          <w:sz w:val="28"/>
          <w:szCs w:val="28"/>
        </w:rPr>
        <w:t>专职安全生产管理人员</w:t>
      </w:r>
      <w:bookmarkEnd w:id="167"/>
      <w:bookmarkEnd w:id="168"/>
      <w:bookmarkEnd w:id="169"/>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87"/>
        <w:gridCol w:w="888"/>
        <w:gridCol w:w="1114"/>
        <w:gridCol w:w="1767"/>
        <w:gridCol w:w="1585"/>
        <w:gridCol w:w="1108"/>
        <w:gridCol w:w="36"/>
        <w:gridCol w:w="79"/>
        <w:gridCol w:w="1405"/>
        <w:gridCol w:w="11"/>
      </w:tblGrid>
      <w:tr w14:paraId="1D09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9" w:type="dxa"/>
            <w:vAlign w:val="center"/>
          </w:tcPr>
          <w:p w14:paraId="69E418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389" w:type="dxa"/>
            <w:gridSpan w:val="3"/>
            <w:vAlign w:val="center"/>
          </w:tcPr>
          <w:p w14:paraId="7E3783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6B7FB3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1585" w:type="dxa"/>
            <w:vAlign w:val="center"/>
          </w:tcPr>
          <w:p w14:paraId="7A0047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08" w:type="dxa"/>
            <w:vAlign w:val="center"/>
          </w:tcPr>
          <w:p w14:paraId="1A55F0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531" w:type="dxa"/>
            <w:gridSpan w:val="4"/>
            <w:vAlign w:val="center"/>
          </w:tcPr>
          <w:p w14:paraId="7B5C90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1396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39" w:type="dxa"/>
            <w:vAlign w:val="center"/>
          </w:tcPr>
          <w:p w14:paraId="1D6725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岗位</w:t>
            </w:r>
          </w:p>
        </w:tc>
        <w:tc>
          <w:tcPr>
            <w:tcW w:w="2389" w:type="dxa"/>
            <w:gridSpan w:val="3"/>
            <w:vAlign w:val="center"/>
          </w:tcPr>
          <w:p w14:paraId="48DEFF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专职安全生产管理人员</w:t>
            </w:r>
          </w:p>
        </w:tc>
        <w:tc>
          <w:tcPr>
            <w:tcW w:w="1767" w:type="dxa"/>
            <w:vAlign w:val="center"/>
          </w:tcPr>
          <w:p w14:paraId="274996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585" w:type="dxa"/>
            <w:vAlign w:val="center"/>
          </w:tcPr>
          <w:p w14:paraId="6C2C61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08" w:type="dxa"/>
            <w:vAlign w:val="center"/>
          </w:tcPr>
          <w:p w14:paraId="4FD1EA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531" w:type="dxa"/>
            <w:gridSpan w:val="4"/>
            <w:vAlign w:val="center"/>
          </w:tcPr>
          <w:p w14:paraId="1D363D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1840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9" w:type="dxa"/>
            <w:vAlign w:val="center"/>
          </w:tcPr>
          <w:p w14:paraId="212217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从业开始时间</w:t>
            </w:r>
          </w:p>
        </w:tc>
        <w:tc>
          <w:tcPr>
            <w:tcW w:w="2389" w:type="dxa"/>
            <w:gridSpan w:val="3"/>
            <w:vAlign w:val="center"/>
          </w:tcPr>
          <w:p w14:paraId="6E6570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2E0D99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职称获得时间</w:t>
            </w:r>
          </w:p>
        </w:tc>
        <w:tc>
          <w:tcPr>
            <w:tcW w:w="1585" w:type="dxa"/>
            <w:vAlign w:val="center"/>
          </w:tcPr>
          <w:p w14:paraId="241EFD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08" w:type="dxa"/>
            <w:vAlign w:val="center"/>
          </w:tcPr>
          <w:p w14:paraId="76D786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531" w:type="dxa"/>
            <w:gridSpan w:val="4"/>
            <w:vAlign w:val="center"/>
          </w:tcPr>
          <w:p w14:paraId="5FB10C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5C80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39" w:type="dxa"/>
            <w:vAlign w:val="center"/>
          </w:tcPr>
          <w:p w14:paraId="389D66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担任年限</w:t>
            </w:r>
          </w:p>
        </w:tc>
        <w:tc>
          <w:tcPr>
            <w:tcW w:w="2389" w:type="dxa"/>
            <w:gridSpan w:val="3"/>
            <w:vAlign w:val="center"/>
          </w:tcPr>
          <w:p w14:paraId="73B391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4B6413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p>
        </w:tc>
        <w:tc>
          <w:tcPr>
            <w:tcW w:w="4224" w:type="dxa"/>
            <w:gridSpan w:val="6"/>
            <w:vAlign w:val="center"/>
          </w:tcPr>
          <w:p w14:paraId="0DC3D1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149A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9" w:type="dxa"/>
            <w:vAlign w:val="center"/>
          </w:tcPr>
          <w:p w14:paraId="1F50F4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证书名称</w:t>
            </w:r>
          </w:p>
        </w:tc>
        <w:tc>
          <w:tcPr>
            <w:tcW w:w="1275" w:type="dxa"/>
            <w:gridSpan w:val="2"/>
            <w:vAlign w:val="center"/>
          </w:tcPr>
          <w:p w14:paraId="2CD537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注册专业</w:t>
            </w:r>
          </w:p>
        </w:tc>
        <w:tc>
          <w:tcPr>
            <w:tcW w:w="1114" w:type="dxa"/>
            <w:vAlign w:val="center"/>
          </w:tcPr>
          <w:p w14:paraId="6731C1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级别</w:t>
            </w:r>
          </w:p>
        </w:tc>
        <w:tc>
          <w:tcPr>
            <w:tcW w:w="1767" w:type="dxa"/>
            <w:vAlign w:val="center"/>
          </w:tcPr>
          <w:p w14:paraId="2BA6DF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证书编号</w:t>
            </w:r>
          </w:p>
        </w:tc>
        <w:tc>
          <w:tcPr>
            <w:tcW w:w="1585" w:type="dxa"/>
            <w:vAlign w:val="center"/>
          </w:tcPr>
          <w:p w14:paraId="69E1AE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注册时间</w:t>
            </w:r>
          </w:p>
        </w:tc>
        <w:tc>
          <w:tcPr>
            <w:tcW w:w="1223" w:type="dxa"/>
            <w:gridSpan w:val="3"/>
            <w:vAlign w:val="center"/>
          </w:tcPr>
          <w:p w14:paraId="04B104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注册单位</w:t>
            </w:r>
          </w:p>
        </w:tc>
        <w:tc>
          <w:tcPr>
            <w:tcW w:w="1416" w:type="dxa"/>
            <w:gridSpan w:val="2"/>
            <w:vAlign w:val="center"/>
          </w:tcPr>
          <w:p w14:paraId="426EB3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注册有效期</w:t>
            </w:r>
          </w:p>
        </w:tc>
      </w:tr>
      <w:tr w14:paraId="5029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9" w:type="dxa"/>
            <w:vAlign w:val="center"/>
          </w:tcPr>
          <w:p w14:paraId="7D8E0B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w:t>
            </w:r>
          </w:p>
        </w:tc>
        <w:tc>
          <w:tcPr>
            <w:tcW w:w="1275" w:type="dxa"/>
            <w:gridSpan w:val="2"/>
            <w:vAlign w:val="center"/>
          </w:tcPr>
          <w:p w14:paraId="2C449A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14" w:type="dxa"/>
            <w:vAlign w:val="center"/>
          </w:tcPr>
          <w:p w14:paraId="465998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C类</w:t>
            </w:r>
          </w:p>
        </w:tc>
        <w:tc>
          <w:tcPr>
            <w:tcW w:w="1767" w:type="dxa"/>
            <w:vAlign w:val="center"/>
          </w:tcPr>
          <w:p w14:paraId="357F78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3991EB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223" w:type="dxa"/>
            <w:gridSpan w:val="3"/>
            <w:vAlign w:val="center"/>
          </w:tcPr>
          <w:p w14:paraId="289B219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16" w:type="dxa"/>
            <w:gridSpan w:val="2"/>
            <w:vAlign w:val="center"/>
          </w:tcPr>
          <w:p w14:paraId="2813A3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4D7E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Align w:val="center"/>
          </w:tcPr>
          <w:p w14:paraId="692066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275" w:type="dxa"/>
            <w:gridSpan w:val="2"/>
            <w:vAlign w:val="center"/>
          </w:tcPr>
          <w:p w14:paraId="0AF9C9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14" w:type="dxa"/>
            <w:vAlign w:val="center"/>
          </w:tcPr>
          <w:p w14:paraId="0FBAF3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7B2DCC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0B1F80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223" w:type="dxa"/>
            <w:gridSpan w:val="3"/>
            <w:vAlign w:val="center"/>
          </w:tcPr>
          <w:p w14:paraId="24F9C7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16" w:type="dxa"/>
            <w:gridSpan w:val="2"/>
            <w:vAlign w:val="center"/>
          </w:tcPr>
          <w:p w14:paraId="1C1CE4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0B2B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9" w:type="dxa"/>
            <w:gridSpan w:val="11"/>
            <w:vAlign w:val="center"/>
          </w:tcPr>
          <w:p w14:paraId="3C048A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在建和已完工程项目情况</w:t>
            </w:r>
          </w:p>
        </w:tc>
      </w:tr>
      <w:tr w14:paraId="781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vAlign w:val="center"/>
          </w:tcPr>
          <w:p w14:paraId="1EB2D4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2002" w:type="dxa"/>
            <w:gridSpan w:val="2"/>
            <w:vAlign w:val="center"/>
          </w:tcPr>
          <w:p w14:paraId="236D0E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项目1</w:t>
            </w:r>
          </w:p>
        </w:tc>
        <w:tc>
          <w:tcPr>
            <w:tcW w:w="1767" w:type="dxa"/>
            <w:vAlign w:val="center"/>
          </w:tcPr>
          <w:p w14:paraId="76F837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项目2</w:t>
            </w:r>
          </w:p>
        </w:tc>
        <w:tc>
          <w:tcPr>
            <w:tcW w:w="1585" w:type="dxa"/>
            <w:vAlign w:val="center"/>
          </w:tcPr>
          <w:p w14:paraId="25626C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项目3</w:t>
            </w:r>
          </w:p>
        </w:tc>
        <w:tc>
          <w:tcPr>
            <w:tcW w:w="1144" w:type="dxa"/>
            <w:gridSpan w:val="2"/>
            <w:vAlign w:val="center"/>
          </w:tcPr>
          <w:p w14:paraId="01D4A4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项目4</w:t>
            </w:r>
          </w:p>
        </w:tc>
        <w:tc>
          <w:tcPr>
            <w:tcW w:w="1484" w:type="dxa"/>
            <w:gridSpan w:val="2"/>
            <w:vAlign w:val="center"/>
          </w:tcPr>
          <w:p w14:paraId="0AAC81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2323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vAlign w:val="center"/>
          </w:tcPr>
          <w:p w14:paraId="0D4625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2002" w:type="dxa"/>
            <w:gridSpan w:val="2"/>
            <w:vAlign w:val="center"/>
          </w:tcPr>
          <w:p w14:paraId="266701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531F5D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6F51F2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7476D3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399D8A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20B5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vAlign w:val="center"/>
          </w:tcPr>
          <w:p w14:paraId="6B3FEF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建设单位</w:t>
            </w:r>
          </w:p>
        </w:tc>
        <w:tc>
          <w:tcPr>
            <w:tcW w:w="2002" w:type="dxa"/>
            <w:gridSpan w:val="2"/>
            <w:vAlign w:val="center"/>
          </w:tcPr>
          <w:p w14:paraId="77F789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72E8DD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41364C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763421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0C5DB3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43C2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vAlign w:val="center"/>
          </w:tcPr>
          <w:p w14:paraId="69B4D7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建设规模</w:t>
            </w:r>
          </w:p>
        </w:tc>
        <w:tc>
          <w:tcPr>
            <w:tcW w:w="2002" w:type="dxa"/>
            <w:gridSpan w:val="2"/>
            <w:vAlign w:val="center"/>
          </w:tcPr>
          <w:p w14:paraId="46405D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18C10E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417639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654A4C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11036E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29B9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vAlign w:val="center"/>
          </w:tcPr>
          <w:p w14:paraId="5DEA82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2002" w:type="dxa"/>
            <w:gridSpan w:val="2"/>
            <w:vAlign w:val="center"/>
          </w:tcPr>
          <w:p w14:paraId="36991F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338664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566637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7F3608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11AEB7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37A9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4C1F56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竣工日期</w:t>
            </w:r>
          </w:p>
        </w:tc>
        <w:tc>
          <w:tcPr>
            <w:tcW w:w="2002" w:type="dxa"/>
            <w:gridSpan w:val="2"/>
            <w:vAlign w:val="center"/>
          </w:tcPr>
          <w:p w14:paraId="7878DE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5F5639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2DB67A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70639E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4D5058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2CD3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5864F8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人员角色</w:t>
            </w:r>
          </w:p>
        </w:tc>
        <w:tc>
          <w:tcPr>
            <w:tcW w:w="2002" w:type="dxa"/>
            <w:gridSpan w:val="2"/>
            <w:vAlign w:val="center"/>
          </w:tcPr>
          <w:p w14:paraId="14F6B2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5E2E09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40FC9F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6D764A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0D4EE4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0FDF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2E07B7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在建或已完</w:t>
            </w:r>
          </w:p>
        </w:tc>
        <w:tc>
          <w:tcPr>
            <w:tcW w:w="2002" w:type="dxa"/>
            <w:gridSpan w:val="2"/>
            <w:vAlign w:val="center"/>
          </w:tcPr>
          <w:p w14:paraId="199740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05BCC8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7877F8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667A7E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72492B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4E62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2C6626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2002" w:type="dxa"/>
            <w:gridSpan w:val="2"/>
            <w:vAlign w:val="center"/>
          </w:tcPr>
          <w:p w14:paraId="207002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4CAE83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23B1A1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212EFB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5B1467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r w14:paraId="4AEE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484F33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受奖情况</w:t>
            </w:r>
          </w:p>
        </w:tc>
        <w:tc>
          <w:tcPr>
            <w:tcW w:w="2002" w:type="dxa"/>
            <w:gridSpan w:val="2"/>
            <w:vAlign w:val="center"/>
          </w:tcPr>
          <w:p w14:paraId="4AB50D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767" w:type="dxa"/>
            <w:vAlign w:val="center"/>
          </w:tcPr>
          <w:p w14:paraId="6F70D4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585" w:type="dxa"/>
            <w:vAlign w:val="center"/>
          </w:tcPr>
          <w:p w14:paraId="4E1971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144" w:type="dxa"/>
            <w:gridSpan w:val="2"/>
            <w:vAlign w:val="center"/>
          </w:tcPr>
          <w:p w14:paraId="7667DE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c>
          <w:tcPr>
            <w:tcW w:w="1484" w:type="dxa"/>
            <w:gridSpan w:val="2"/>
            <w:vAlign w:val="center"/>
          </w:tcPr>
          <w:p w14:paraId="24E622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1"/>
                <w:szCs w:val="21"/>
              </w:rPr>
            </w:pPr>
          </w:p>
        </w:tc>
      </w:tr>
    </w:tbl>
    <w:p w14:paraId="33EF1E44">
      <w:pPr>
        <w:spacing w:line="360" w:lineRule="auto"/>
        <w:rPr>
          <w:rFonts w:ascii="宋体" w:hAnsi="宋体"/>
          <w:color w:val="auto"/>
        </w:rPr>
      </w:pPr>
      <w:r>
        <w:rPr>
          <w:rFonts w:hint="eastAsia" w:ascii="宋体" w:hAnsi="宋体" w:cs="楷体_GB2312"/>
          <w:color w:val="auto"/>
        </w:rPr>
        <w:t>备注：</w:t>
      </w:r>
    </w:p>
    <w:p w14:paraId="738CA59F">
      <w:pPr>
        <w:spacing w:line="360" w:lineRule="auto"/>
        <w:ind w:firstLine="420" w:firstLineChars="200"/>
        <w:rPr>
          <w:rFonts w:ascii="宋体" w:hAnsi="宋体"/>
          <w:color w:val="auto"/>
        </w:rPr>
      </w:pPr>
      <w:r>
        <w:rPr>
          <w:rFonts w:hint="eastAsia" w:ascii="宋体" w:hAnsi="宋体"/>
          <w:color w:val="auto"/>
        </w:rPr>
        <w:t>1.供应商可以根据项目情况增减表格内容，项目数可以根据需要增加。</w:t>
      </w:r>
    </w:p>
    <w:p w14:paraId="3F5E3B43">
      <w:pPr>
        <w:spacing w:line="360" w:lineRule="auto"/>
        <w:ind w:firstLine="420" w:firstLineChars="200"/>
        <w:rPr>
          <w:rFonts w:hint="eastAsia" w:ascii="宋体" w:hAnsi="宋体" w:eastAsia="宋体" w:cs="宋体"/>
          <w:color w:val="auto"/>
          <w:szCs w:val="21"/>
        </w:rPr>
      </w:pPr>
      <w:r>
        <w:rPr>
          <w:rFonts w:hint="eastAsia" w:ascii="宋体" w:hAnsi="宋体"/>
          <w:color w:val="auto"/>
        </w:rPr>
        <w:t>2.</w:t>
      </w:r>
      <w:r>
        <w:rPr>
          <w:rFonts w:hint="eastAsia" w:ascii="宋体" w:hAnsi="宋体" w:eastAsia="宋体" w:cs="宋体"/>
          <w:color w:val="auto"/>
          <w:szCs w:val="21"/>
        </w:rPr>
        <w:t>本表后应</w:t>
      </w:r>
      <w:r>
        <w:rPr>
          <w:rFonts w:hint="eastAsia" w:ascii="宋体" w:hAnsi="宋体" w:eastAsia="宋体" w:cs="宋体"/>
          <w:color w:val="auto"/>
          <w:szCs w:val="21"/>
          <w:lang w:val="en-US" w:eastAsia="zh-CN"/>
        </w:rPr>
        <w:t>按磋商文件要求</w:t>
      </w:r>
      <w:r>
        <w:rPr>
          <w:rFonts w:hint="eastAsia" w:ascii="宋体" w:hAnsi="宋体" w:eastAsia="宋体" w:cs="宋体"/>
          <w:color w:val="auto"/>
          <w:szCs w:val="21"/>
        </w:rPr>
        <w:t>附</w:t>
      </w:r>
      <w:r>
        <w:rPr>
          <w:rFonts w:hint="eastAsia"/>
          <w:color w:val="auto"/>
        </w:rPr>
        <w:t>专职安全生产管理人员</w:t>
      </w:r>
      <w:r>
        <w:rPr>
          <w:rFonts w:hint="eastAsia" w:ascii="宋体" w:hAnsi="宋体" w:eastAsia="宋体" w:cs="宋体"/>
          <w:color w:val="auto"/>
          <w:lang w:val="en-US" w:eastAsia="zh-CN"/>
        </w:rPr>
        <w:t>的</w:t>
      </w:r>
      <w:r>
        <w:rPr>
          <w:rFonts w:hint="eastAsia" w:ascii="宋体" w:hAnsi="宋体" w:eastAsia="宋体" w:cs="宋体"/>
          <w:color w:val="auto"/>
          <w:szCs w:val="21"/>
          <w:lang w:val="en-US" w:eastAsia="zh-CN"/>
        </w:rPr>
        <w:t>身份证、</w:t>
      </w:r>
      <w:r>
        <w:rPr>
          <w:rFonts w:hint="eastAsia" w:ascii="宋体" w:hAnsi="宋体" w:eastAsia="宋体" w:cs="宋体"/>
          <w:color w:val="auto"/>
          <w:szCs w:val="21"/>
        </w:rPr>
        <w:t>职称证书</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r>
        <w:rPr>
          <w:rFonts w:hint="eastAsia" w:ascii="宋体" w:hAnsi="宋体" w:eastAsia="宋体" w:cs="宋体"/>
          <w:color w:val="auto"/>
          <w:szCs w:val="21"/>
        </w:rPr>
        <w:t>资格证书等</w:t>
      </w:r>
      <w:r>
        <w:rPr>
          <w:rFonts w:hint="eastAsia" w:ascii="宋体" w:hAnsi="宋体" w:eastAsia="宋体" w:cs="宋体"/>
          <w:color w:val="auto"/>
          <w:szCs w:val="21"/>
          <w:lang w:val="en-US" w:eastAsia="zh-CN"/>
        </w:rPr>
        <w:t>符合广西政府采购云平台上传条件的电子文件并</w:t>
      </w:r>
      <w:r>
        <w:rPr>
          <w:rFonts w:hint="eastAsia" w:ascii="宋体" w:hAnsi="宋体" w:eastAsia="宋体" w:cs="宋体"/>
          <w:color w:val="auto"/>
          <w:szCs w:val="21"/>
          <w:lang w:eastAsia="zh-CN"/>
        </w:rPr>
        <w:t>加盖单位</w:t>
      </w:r>
      <w:r>
        <w:rPr>
          <w:rFonts w:hint="eastAsia" w:ascii="宋体" w:hAnsi="宋体" w:eastAsia="宋体" w:cs="宋体"/>
          <w:color w:val="auto"/>
          <w:szCs w:val="21"/>
          <w:lang w:val="en-US" w:eastAsia="zh-CN"/>
        </w:rPr>
        <w:t>CA</w:t>
      </w:r>
      <w:r>
        <w:rPr>
          <w:rFonts w:hint="eastAsia" w:ascii="宋体" w:hAnsi="宋体" w:eastAsia="宋体" w:cs="宋体"/>
          <w:color w:val="auto"/>
          <w:szCs w:val="21"/>
          <w:lang w:eastAsia="zh-CN"/>
        </w:rPr>
        <w:t>公章</w:t>
      </w:r>
      <w:r>
        <w:rPr>
          <w:rFonts w:hint="eastAsia" w:ascii="宋体" w:hAnsi="宋体" w:eastAsia="宋体" w:cs="宋体"/>
          <w:color w:val="auto"/>
          <w:szCs w:val="21"/>
        </w:rPr>
        <w:t>。</w:t>
      </w:r>
    </w:p>
    <w:p w14:paraId="2804329D">
      <w:pPr>
        <w:spacing w:line="360" w:lineRule="auto"/>
        <w:ind w:firstLine="420" w:firstLineChars="200"/>
        <w:rPr>
          <w:rFonts w:ascii="宋体" w:hAnsi="宋体"/>
          <w:color w:val="auto"/>
          <w:szCs w:val="21"/>
        </w:rPr>
      </w:pPr>
    </w:p>
    <w:p w14:paraId="2828632C">
      <w:pPr>
        <w:spacing w:line="360" w:lineRule="auto"/>
        <w:ind w:right="-44" w:rightChars="-21"/>
        <w:rPr>
          <w:rFonts w:hint="eastAsia" w:ascii="宋体" w:hAnsi="宋体" w:eastAsia="宋体" w:cs="宋体"/>
          <w:sz w:val="21"/>
          <w:szCs w:val="21"/>
        </w:rPr>
      </w:pPr>
      <w:r>
        <w:rPr>
          <w:rFonts w:hint="eastAsia" w:ascii="宋体" w:hAnsi="宋体" w:eastAsia="宋体" w:cs="宋体"/>
          <w:sz w:val="21"/>
          <w:szCs w:val="21"/>
        </w:rPr>
        <w:t>供应商（盖单位</w:t>
      </w:r>
      <w:r>
        <w:rPr>
          <w:rFonts w:hint="eastAsia" w:ascii="宋体" w:hAnsi="宋体" w:eastAsia="宋体" w:cs="宋体"/>
          <w:sz w:val="21"/>
          <w:szCs w:val="21"/>
          <w:lang w:val="en-US" w:eastAsia="zh-CN"/>
        </w:rPr>
        <w:t>CA</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p>
    <w:p w14:paraId="00D40F79">
      <w:pPr>
        <w:spacing w:line="360" w:lineRule="auto"/>
        <w:ind w:right="-44" w:rightChars="-21"/>
        <w:jc w:val="left"/>
        <w:rPr>
          <w:rFonts w:hint="eastAsia" w:ascii="宋体" w:hAnsi="宋体" w:eastAsia="宋体" w:cs="宋体"/>
          <w:sz w:val="21"/>
          <w:szCs w:val="21"/>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cs="宋体"/>
          <w:sz w:val="21"/>
          <w:szCs w:val="21"/>
        </w:rPr>
        <w:t>日期：     年     月     日</w:t>
      </w:r>
    </w:p>
    <w:p w14:paraId="30067604">
      <w:pPr>
        <w:pStyle w:val="25"/>
        <w:rPr>
          <w:rFonts w:hint="eastAsia"/>
        </w:rPr>
      </w:pPr>
    </w:p>
    <w:p w14:paraId="78132C12">
      <w:pPr>
        <w:pStyle w:val="2"/>
        <w:jc w:val="center"/>
        <w:rPr>
          <w:color w:val="auto"/>
        </w:rPr>
      </w:pPr>
      <w:bookmarkStart w:id="170" w:name="_Toc122424267"/>
      <w:bookmarkStart w:id="171" w:name="_Toc19096"/>
      <w:r>
        <w:rPr>
          <w:rFonts w:hint="eastAsia"/>
          <w:color w:val="auto"/>
        </w:rPr>
        <w:t xml:space="preserve">第七章 </w:t>
      </w:r>
      <w:bookmarkEnd w:id="170"/>
      <w:r>
        <w:rPr>
          <w:rFonts w:hint="eastAsia"/>
          <w:color w:val="auto"/>
        </w:rPr>
        <w:t>合同主要条款及格式</w:t>
      </w:r>
      <w:bookmarkEnd w:id="171"/>
    </w:p>
    <w:p w14:paraId="067765DA">
      <w:pPr>
        <w:jc w:val="center"/>
        <w:rPr>
          <w:rFonts w:hint="eastAsia" w:ascii="Cambria" w:hAnsi="Cambria" w:eastAsia="宋体"/>
          <w:b/>
          <w:bCs/>
          <w:color w:val="auto"/>
          <w:sz w:val="24"/>
          <w:szCs w:val="24"/>
          <w:highlight w:val="none"/>
          <w:lang w:eastAsia="zh-CN"/>
        </w:rPr>
      </w:pPr>
      <w:r>
        <w:rPr>
          <w:rFonts w:hint="eastAsia" w:ascii="Cambria" w:hAnsi="Cambria"/>
          <w:b/>
          <w:bCs/>
          <w:color w:val="auto"/>
          <w:sz w:val="24"/>
          <w:szCs w:val="24"/>
          <w:highlight w:val="none"/>
          <w:lang w:eastAsia="zh-CN"/>
        </w:rPr>
        <w:t>（</w:t>
      </w:r>
      <w:r>
        <w:rPr>
          <w:rFonts w:hint="eastAsia" w:ascii="Cambria" w:hAnsi="Cambria"/>
          <w:b/>
          <w:bCs/>
          <w:color w:val="auto"/>
          <w:sz w:val="24"/>
          <w:szCs w:val="24"/>
          <w:highlight w:val="none"/>
          <w:lang w:val="en-US" w:eastAsia="zh-CN"/>
        </w:rPr>
        <w:t>注：本合同样本仅供参考，具体内容由采购人和成交供应商协商确定，但补充和修改不得造成与本章格式内容有实质性的违背。</w:t>
      </w:r>
      <w:r>
        <w:rPr>
          <w:rFonts w:hint="eastAsia" w:ascii="Cambria" w:hAnsi="Cambria"/>
          <w:b/>
          <w:bCs/>
          <w:color w:val="auto"/>
          <w:sz w:val="24"/>
          <w:szCs w:val="24"/>
          <w:highlight w:val="none"/>
          <w:lang w:eastAsia="zh-CN"/>
        </w:rPr>
        <w:t>）</w:t>
      </w:r>
    </w:p>
    <w:p w14:paraId="073B4016">
      <w:pPr>
        <w:pStyle w:val="25"/>
        <w:spacing w:line="360" w:lineRule="auto"/>
        <w:rPr>
          <w:rFonts w:hint="eastAsia" w:ascii="宋体" w:hAnsi="宋体" w:eastAsia="宋体" w:cs="宋体"/>
          <w:color w:val="auto"/>
          <w:sz w:val="24"/>
          <w:szCs w:val="24"/>
          <w:lang w:val="en-US" w:eastAsia="zh-CN"/>
        </w:rPr>
        <w:sectPr>
          <w:pgSz w:w="11906" w:h="16838"/>
          <w:pgMar w:top="1247" w:right="1247" w:bottom="1247" w:left="1247" w:header="851" w:footer="992" w:gutter="0"/>
          <w:pgNumType w:fmt="decimal"/>
          <w:cols w:space="425" w:num="1"/>
          <w:docGrid w:type="lines" w:linePitch="312" w:charSpace="0"/>
        </w:sectPr>
      </w:pPr>
    </w:p>
    <w:p w14:paraId="1B1F9D6E">
      <w:pPr>
        <w:spacing w:line="400" w:lineRule="atLeast"/>
        <w:ind w:left="0" w:leftChars="0" w:firstLine="0" w:firstLineChars="0"/>
        <w:jc w:val="center"/>
        <w:rPr>
          <w:rFonts w:ascii="宋体" w:hAnsi="宋体" w:cs="Arial"/>
          <w:b/>
          <w:color w:val="auto"/>
          <w:sz w:val="28"/>
          <w:szCs w:val="28"/>
        </w:rPr>
      </w:pPr>
      <w:r>
        <w:rPr>
          <w:rFonts w:ascii="宋体" w:hAnsi="宋体" w:cs="Arial"/>
          <w:b/>
          <w:color w:val="auto"/>
          <w:sz w:val="28"/>
          <w:szCs w:val="28"/>
        </w:rPr>
        <w:t>第一部分</w:t>
      </w:r>
      <w:r>
        <w:rPr>
          <w:rFonts w:hint="eastAsia" w:ascii="宋体" w:hAnsi="宋体" w:cs="Arial"/>
          <w:b/>
          <w:color w:val="auto"/>
          <w:sz w:val="28"/>
          <w:szCs w:val="28"/>
          <w:lang w:val="en-US" w:eastAsia="zh-CN"/>
        </w:rPr>
        <w:t xml:space="preserve"> </w:t>
      </w:r>
      <w:r>
        <w:rPr>
          <w:rFonts w:ascii="宋体" w:hAnsi="宋体" w:cs="Arial"/>
          <w:b/>
          <w:color w:val="auto"/>
          <w:sz w:val="28"/>
          <w:szCs w:val="28"/>
        </w:rPr>
        <w:t xml:space="preserve"> 合同协议书</w:t>
      </w:r>
    </w:p>
    <w:p w14:paraId="3110211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发包人（全称）：</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梧州市博物馆</w:t>
      </w:r>
      <w:r>
        <w:rPr>
          <w:rFonts w:hint="eastAsia" w:ascii="宋体" w:hAnsi="宋体" w:eastAsia="宋体" w:cs="宋体"/>
          <w:color w:val="auto"/>
          <w:szCs w:val="21"/>
          <w:u w:val="single"/>
        </w:rPr>
        <w:t></w:t>
      </w:r>
    </w:p>
    <w:p w14:paraId="466A5CC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承包人（全称）：</w:t>
      </w:r>
      <w:r>
        <w:rPr>
          <w:rFonts w:hint="eastAsia" w:ascii="宋体" w:hAnsi="宋体" w:eastAsia="宋体" w:cs="宋体"/>
          <w:color w:val="auto"/>
          <w:szCs w:val="21"/>
          <w:u w:val="single"/>
        </w:rPr>
        <w:t xml:space="preserve">        </w:t>
      </w:r>
    </w:p>
    <w:p w14:paraId="64D2BF0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根据《中华人民共和国</w:t>
      </w:r>
      <w:r>
        <w:rPr>
          <w:rFonts w:hint="eastAsia" w:ascii="宋体" w:hAnsi="宋体" w:eastAsia="宋体" w:cs="宋体"/>
          <w:color w:val="auto"/>
          <w:szCs w:val="21"/>
          <w:lang w:val="en-US" w:eastAsia="zh-CN"/>
        </w:rPr>
        <w:t>民法典</w:t>
      </w:r>
      <w:r>
        <w:rPr>
          <w:rFonts w:hint="eastAsia" w:ascii="宋体" w:hAnsi="宋体" w:eastAsia="宋体" w:cs="宋体"/>
          <w:color w:val="auto"/>
          <w:szCs w:val="21"/>
        </w:rPr>
        <w:t>》、《中华人民共和国建筑法》及有关法律规定，遵循平等、自愿、公平和诚实信用的原则，双方就</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梧州中山纪念堂修缮工程（项目名称）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工程施工及有关事项协商一致，共同达成如下协议：</w:t>
      </w:r>
    </w:p>
    <w:p w14:paraId="0196420C">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b/>
          <w:bCs/>
          <w:color w:val="auto"/>
          <w:szCs w:val="21"/>
        </w:rPr>
      </w:pPr>
      <w:bookmarkStart w:id="172" w:name="_Toc351203481"/>
      <w:r>
        <w:rPr>
          <w:rFonts w:hint="eastAsia" w:ascii="宋体" w:hAnsi="宋体" w:eastAsia="宋体" w:cs="宋体"/>
          <w:b/>
          <w:bCs/>
          <w:color w:val="auto"/>
          <w:szCs w:val="21"/>
        </w:rPr>
        <w:t>一、工程概况</w:t>
      </w:r>
      <w:bookmarkEnd w:id="172"/>
    </w:p>
    <w:p w14:paraId="4E15CAC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1.工程名称：</w:t>
      </w:r>
      <w:r>
        <w:rPr>
          <w:rFonts w:hint="eastAsia" w:ascii="宋体" w:hAnsi="宋体" w:eastAsia="宋体" w:cs="宋体"/>
          <w:color w:val="auto"/>
          <w:szCs w:val="21"/>
          <w:u w:val="single"/>
          <w:lang w:val="en-US" w:eastAsia="zh-CN"/>
        </w:rPr>
        <w:t xml:space="preserve">  梧州中山纪念堂修缮工程  </w:t>
      </w:r>
    </w:p>
    <w:p w14:paraId="2E8B2FA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2.工程地点：</w:t>
      </w:r>
      <w:r>
        <w:rPr>
          <w:rFonts w:hint="eastAsia" w:ascii="宋体" w:hAnsi="宋体" w:eastAsia="宋体" w:cs="宋体"/>
          <w:color w:val="auto"/>
          <w:szCs w:val="21"/>
          <w:u w:val="single"/>
          <w:lang w:val="en-US" w:eastAsia="zh-CN"/>
        </w:rPr>
        <w:t xml:space="preserve"> 广西壮族自治区梧州市万秀区中山公园内。  </w:t>
      </w:r>
      <w:r>
        <w:rPr>
          <w:rFonts w:hint="eastAsia" w:ascii="宋体" w:hAnsi="宋体" w:eastAsia="宋体" w:cs="宋体"/>
          <w:color w:val="auto"/>
          <w:szCs w:val="21"/>
          <w:lang w:val="en-US" w:eastAsia="zh-CN"/>
        </w:rPr>
        <w:t xml:space="preserve">   </w:t>
      </w:r>
    </w:p>
    <w:p w14:paraId="6287434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3.工程立项批准文号：</w:t>
      </w:r>
      <w:r>
        <w:rPr>
          <w:rFonts w:hint="eastAsia" w:ascii="宋体" w:hAnsi="宋体" w:eastAsia="宋体" w:cs="宋体"/>
          <w:color w:val="auto"/>
          <w:szCs w:val="21"/>
          <w:u w:val="single"/>
          <w:lang w:val="en-US" w:eastAsia="zh-CN"/>
        </w:rPr>
        <w:t xml:space="preserve"> 国家文物局关于广西壮族自治区2024年度不可移动革命文物保护项目计划的批复（文物革函[2023]1432号） </w:t>
      </w:r>
    </w:p>
    <w:p w14:paraId="21BC329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4.资金来源：</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财政资金 </w:t>
      </w:r>
      <w:r>
        <w:rPr>
          <w:rFonts w:hint="eastAsia" w:ascii="宋体" w:hAnsi="宋体" w:eastAsia="宋体" w:cs="宋体"/>
          <w:color w:val="auto"/>
          <w:szCs w:val="21"/>
          <w:u w:val="single"/>
        </w:rPr>
        <w:t xml:space="preserve">  </w:t>
      </w:r>
    </w:p>
    <w:p w14:paraId="227D7D9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b w:val="0"/>
          <w:bCs w:val="0"/>
          <w:color w:val="auto"/>
          <w:szCs w:val="21"/>
          <w:u w:val="single"/>
        </w:rPr>
      </w:pPr>
      <w:r>
        <w:rPr>
          <w:rFonts w:hint="eastAsia" w:ascii="宋体" w:hAnsi="宋体" w:eastAsia="宋体" w:cs="宋体"/>
          <w:color w:val="auto"/>
          <w:szCs w:val="21"/>
        </w:rPr>
        <w:t>5.工程内容：</w:t>
      </w:r>
      <w:r>
        <w:rPr>
          <w:rFonts w:hint="eastAsia" w:ascii="宋体" w:hAnsi="宋体" w:eastAsia="宋体" w:cs="宋体"/>
          <w:b w:val="0"/>
          <w:bCs w:val="0"/>
          <w:color w:val="auto"/>
          <w:szCs w:val="21"/>
          <w:u w:val="single"/>
        </w:rPr>
        <w:t>纪念堂屋面、瓦面，屋架，木楼板木楼楞，墙体及内外饰面，地面，门窗、构件残损缺失，整体建筑电气改造，白蚁防治进行修缮保护。</w:t>
      </w:r>
      <w:r>
        <w:rPr>
          <w:rFonts w:hint="eastAsia" w:ascii="宋体" w:hAnsi="宋体" w:eastAsia="宋体" w:cs="宋体"/>
          <w:b w:val="0"/>
          <w:bCs w:val="0"/>
          <w:color w:val="auto"/>
          <w:szCs w:val="21"/>
          <w:u w:val="single"/>
          <w:lang w:val="en-US" w:eastAsia="zh-CN"/>
        </w:rPr>
        <w:t>具体详见竞争性磋商文件、工程量清单及图纸要求范围内所有内容</w:t>
      </w:r>
      <w:r>
        <w:rPr>
          <w:rFonts w:hint="eastAsia" w:ascii="宋体" w:hAnsi="宋体" w:eastAsia="宋体" w:cs="宋体"/>
          <w:b w:val="0"/>
          <w:bCs w:val="0"/>
          <w:color w:val="auto"/>
          <w:szCs w:val="21"/>
          <w:u w:val="single"/>
        </w:rPr>
        <w:t>。</w:t>
      </w:r>
    </w:p>
    <w:p w14:paraId="7559D1A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b w:val="0"/>
          <w:bCs w:val="0"/>
          <w:color w:val="auto"/>
          <w:szCs w:val="21"/>
        </w:rPr>
        <w:t>工程承包范围：</w:t>
      </w:r>
      <w:r>
        <w:rPr>
          <w:rFonts w:hint="eastAsia" w:ascii="宋体" w:hAnsi="宋体" w:eastAsia="宋体" w:cs="宋体"/>
          <w:b w:val="0"/>
          <w:bCs w:val="0"/>
          <w:color w:val="auto"/>
          <w:szCs w:val="21"/>
          <w:u w:val="single"/>
        </w:rPr>
        <w:t>纪念堂屋面、瓦面，屋架，木楼板木楼楞，墙体及内外饰面，地面，门窗、构件残损缺失，整体建筑电气改造，白蚁防治进行修缮保护。</w:t>
      </w:r>
      <w:r>
        <w:rPr>
          <w:rFonts w:hint="eastAsia" w:ascii="宋体" w:hAnsi="宋体" w:eastAsia="宋体" w:cs="宋体"/>
          <w:b w:val="0"/>
          <w:bCs w:val="0"/>
          <w:color w:val="auto"/>
          <w:szCs w:val="21"/>
          <w:u w:val="single"/>
          <w:lang w:val="en-US" w:eastAsia="zh-CN"/>
        </w:rPr>
        <w:t>具体详见竞争性磋商文件、工程量清单及图纸要求范围内所有内容</w:t>
      </w:r>
      <w:r>
        <w:rPr>
          <w:rFonts w:hint="eastAsia" w:ascii="宋体" w:hAnsi="宋体" w:eastAsia="宋体" w:cs="宋体"/>
          <w:b w:val="0"/>
          <w:bCs w:val="0"/>
          <w:color w:val="auto"/>
          <w:szCs w:val="21"/>
          <w:u w:val="single"/>
        </w:rPr>
        <w:t>。</w:t>
      </w:r>
    </w:p>
    <w:p w14:paraId="0EA710B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bookmarkStart w:id="173" w:name="_Toc351203482"/>
      <w:r>
        <w:rPr>
          <w:rFonts w:hint="eastAsia" w:ascii="宋体" w:hAnsi="宋体" w:eastAsia="宋体" w:cs="宋体"/>
          <w:color w:val="auto"/>
          <w:szCs w:val="21"/>
          <w:lang w:val="en-US" w:eastAsia="zh-CN"/>
        </w:rPr>
        <w:t xml:space="preserve">  </w:t>
      </w:r>
      <w:r>
        <w:rPr>
          <w:rFonts w:hint="eastAsia" w:ascii="宋体" w:hAnsi="宋体" w:eastAsia="宋体" w:cs="宋体"/>
          <w:b/>
          <w:bCs/>
          <w:color w:val="auto"/>
          <w:szCs w:val="21"/>
        </w:rPr>
        <w:t>二、合同工期</w:t>
      </w:r>
      <w:bookmarkEnd w:id="173"/>
    </w:p>
    <w:p w14:paraId="03A4159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计划开工日期：</w:t>
      </w:r>
      <w:r>
        <w:rPr>
          <w:rFonts w:hint="eastAsia" w:ascii="宋体" w:hAnsi="宋体" w:eastAsia="宋体" w:cs="宋体"/>
          <w:color w:val="auto"/>
          <w:szCs w:val="21"/>
          <w:u w:val="single"/>
        </w:rPr>
        <w:t>年月日。</w:t>
      </w:r>
    </w:p>
    <w:p w14:paraId="2A5FA83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计划竣工日期：</w:t>
      </w:r>
      <w:r>
        <w:rPr>
          <w:rFonts w:hint="eastAsia" w:ascii="宋体" w:hAnsi="宋体" w:eastAsia="宋体" w:cs="宋体"/>
          <w:color w:val="auto"/>
          <w:szCs w:val="21"/>
          <w:u w:val="single"/>
        </w:rPr>
        <w:t>年月日。</w:t>
      </w:r>
    </w:p>
    <w:p w14:paraId="4FA0A4C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工期总日历天数：</w:t>
      </w:r>
      <w:r>
        <w:rPr>
          <w:rFonts w:hint="eastAsia" w:ascii="宋体" w:hAnsi="宋体" w:eastAsia="宋体" w:cs="宋体"/>
          <w:color w:val="auto"/>
          <w:szCs w:val="21"/>
          <w:u w:val="single"/>
        </w:rPr>
        <w:t></w:t>
      </w:r>
      <w:r>
        <w:rPr>
          <w:rFonts w:hint="eastAsia" w:ascii="宋体" w:hAnsi="宋体" w:eastAsia="宋体" w:cs="宋体"/>
          <w:color w:val="auto"/>
          <w:szCs w:val="21"/>
        </w:rPr>
        <w:t>。工期总日历天数与根据前述计划开竣工日期计算的工期天数不一致的，以工期总日历天数为准。</w:t>
      </w:r>
    </w:p>
    <w:p w14:paraId="75A030ED">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color w:val="auto"/>
          <w:szCs w:val="21"/>
        </w:rPr>
      </w:pPr>
      <w:bookmarkStart w:id="174" w:name="_Toc351203483"/>
      <w:r>
        <w:rPr>
          <w:rFonts w:hint="eastAsia" w:ascii="宋体" w:hAnsi="宋体" w:eastAsia="宋体" w:cs="宋体"/>
          <w:b/>
          <w:bCs/>
          <w:color w:val="auto"/>
          <w:szCs w:val="21"/>
        </w:rPr>
        <w:t>三、质量标准</w:t>
      </w:r>
      <w:bookmarkEnd w:id="174"/>
    </w:p>
    <w:p w14:paraId="1549B4B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工程质量：</w:t>
      </w:r>
      <w:r>
        <w:rPr>
          <w:rFonts w:hint="eastAsia" w:ascii="宋体" w:hAnsi="宋体" w:eastAsia="宋体" w:cs="宋体"/>
          <w:color w:val="auto"/>
          <w:szCs w:val="21"/>
          <w:u w:val="single"/>
          <w:lang w:val="en-US" w:eastAsia="zh-CN"/>
        </w:rPr>
        <w:t>达到国家施工验收规范合格标准要求。其中白蚁防治工程质量要求：确保梧州中山纪念堂在规定时效内无白蚁危害，达到行业现行白蚁危害治理质量标准要求。</w:t>
      </w:r>
      <w:bookmarkStart w:id="175" w:name="_Toc351203484"/>
    </w:p>
    <w:p w14:paraId="2A906BDC">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b/>
          <w:bCs/>
          <w:color w:val="auto"/>
          <w:szCs w:val="21"/>
          <w:u w:val="single"/>
        </w:rPr>
      </w:pPr>
      <w:r>
        <w:rPr>
          <w:rFonts w:hint="eastAsia" w:ascii="宋体" w:hAnsi="宋体" w:eastAsia="宋体" w:cs="宋体"/>
          <w:b/>
          <w:bCs/>
          <w:color w:val="auto"/>
          <w:szCs w:val="21"/>
        </w:rPr>
        <w:t>四、签约合同价与合同价格形式</w:t>
      </w:r>
      <w:bookmarkEnd w:id="175"/>
      <w:r>
        <w:rPr>
          <w:rFonts w:hint="eastAsia" w:ascii="宋体" w:hAnsi="宋体" w:eastAsia="宋体" w:cs="宋体"/>
          <w:b/>
          <w:bCs/>
          <w:color w:val="auto"/>
          <w:szCs w:val="21"/>
        </w:rPr>
        <w:tab/>
      </w:r>
    </w:p>
    <w:p w14:paraId="2D28A30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1.签约合同价为：</w:t>
      </w:r>
    </w:p>
    <w:p w14:paraId="2CAAB63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人民币（大写）</w:t>
      </w:r>
      <w:r>
        <w:rPr>
          <w:rFonts w:hint="eastAsia" w:ascii="宋体" w:hAnsi="宋体" w:eastAsia="宋体" w:cs="宋体"/>
          <w:color w:val="auto"/>
          <w:szCs w:val="21"/>
          <w:u w:val="single"/>
        </w:rPr>
        <w:t xml:space="preserve">                 (¥            元)；</w:t>
      </w:r>
    </w:p>
    <w:p w14:paraId="389A840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其中：</w:t>
      </w:r>
    </w:p>
    <w:p w14:paraId="7F5D202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（1）安全文明施工费：</w:t>
      </w:r>
    </w:p>
    <w:p w14:paraId="18E8E12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人民币（大写）</w:t>
      </w:r>
      <w:r>
        <w:rPr>
          <w:rFonts w:hint="eastAsia" w:ascii="宋体" w:hAnsi="宋体" w:eastAsia="宋体" w:cs="宋体"/>
          <w:color w:val="auto"/>
          <w:szCs w:val="21"/>
          <w:u w:val="single"/>
        </w:rPr>
        <w:t xml:space="preserve">               (¥          元)；</w:t>
      </w:r>
    </w:p>
    <w:p w14:paraId="5EB90AA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（2）材料和工程设备暂估价金额：</w:t>
      </w:r>
    </w:p>
    <w:p w14:paraId="143B3DB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人民币（大写）</w:t>
      </w:r>
      <w:r>
        <w:rPr>
          <w:rFonts w:hint="eastAsia" w:ascii="宋体" w:hAnsi="宋体" w:eastAsia="宋体" w:cs="宋体"/>
          <w:color w:val="auto"/>
          <w:szCs w:val="21"/>
          <w:u w:val="single"/>
        </w:rPr>
        <w:t xml:space="preserve">               (¥          元)；</w:t>
      </w:r>
    </w:p>
    <w:p w14:paraId="400F1D6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（3）专业工程暂估价金额：</w:t>
      </w:r>
    </w:p>
    <w:p w14:paraId="443B77D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人民币（大写）</w:t>
      </w:r>
      <w:r>
        <w:rPr>
          <w:rFonts w:hint="eastAsia" w:ascii="宋体" w:hAnsi="宋体" w:eastAsia="宋体" w:cs="宋体"/>
          <w:color w:val="auto"/>
          <w:szCs w:val="21"/>
          <w:u w:val="single"/>
        </w:rPr>
        <w:t xml:space="preserve">               (¥          元)；</w:t>
      </w:r>
    </w:p>
    <w:p w14:paraId="7858916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（4）暂列金额：</w:t>
      </w:r>
    </w:p>
    <w:p w14:paraId="43D3941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人民币（大写）</w:t>
      </w:r>
      <w:r>
        <w:rPr>
          <w:rFonts w:hint="eastAsia" w:ascii="宋体" w:hAnsi="宋体" w:eastAsia="宋体" w:cs="宋体"/>
          <w:color w:val="auto"/>
          <w:szCs w:val="21"/>
          <w:u w:val="single"/>
        </w:rPr>
        <w:t xml:space="preserve">               (¥          元)。</w:t>
      </w:r>
    </w:p>
    <w:p w14:paraId="6F6E053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2.合同价格形式：</w:t>
      </w:r>
      <w:r>
        <w:rPr>
          <w:rFonts w:hint="eastAsia" w:ascii="宋体" w:hAnsi="宋体" w:eastAsia="宋体" w:cs="宋体"/>
          <w:color w:val="auto"/>
          <w:szCs w:val="21"/>
          <w:u w:val="single"/>
        </w:rPr>
        <w:t xml:space="preserve">综合单价固定，工程量按实际结算 </w:t>
      </w:r>
      <w:r>
        <w:rPr>
          <w:rFonts w:hint="eastAsia" w:ascii="宋体" w:hAnsi="宋体" w:eastAsia="宋体" w:cs="宋体"/>
          <w:color w:val="auto"/>
          <w:szCs w:val="21"/>
        </w:rPr>
        <w:t>。</w:t>
      </w:r>
    </w:p>
    <w:p w14:paraId="7DA18BF2">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b/>
          <w:bCs/>
          <w:color w:val="auto"/>
          <w:szCs w:val="21"/>
        </w:rPr>
      </w:pPr>
      <w:bookmarkStart w:id="176" w:name="_Toc351203485"/>
      <w:r>
        <w:rPr>
          <w:rFonts w:hint="eastAsia" w:ascii="宋体" w:hAnsi="宋体" w:eastAsia="宋体" w:cs="宋体"/>
          <w:b/>
          <w:bCs/>
          <w:color w:val="auto"/>
          <w:szCs w:val="21"/>
        </w:rPr>
        <w:t>五、</w:t>
      </w:r>
      <w:bookmarkEnd w:id="176"/>
      <w:r>
        <w:rPr>
          <w:rFonts w:hint="eastAsia" w:ascii="宋体" w:hAnsi="宋体" w:eastAsia="宋体" w:cs="宋体"/>
          <w:b/>
          <w:bCs/>
          <w:color w:val="auto"/>
          <w:szCs w:val="21"/>
        </w:rPr>
        <w:t>项目经理</w:t>
      </w:r>
    </w:p>
    <w:p w14:paraId="35C9262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承包人项目经理：</w:t>
      </w:r>
      <w:r>
        <w:rPr>
          <w:rFonts w:hint="eastAsia" w:ascii="宋体" w:hAnsi="宋体" w:eastAsia="宋体" w:cs="宋体"/>
          <w:color w:val="auto"/>
          <w:szCs w:val="21"/>
          <w:u w:val="single"/>
        </w:rPr>
        <w:t>                     。</w:t>
      </w:r>
    </w:p>
    <w:p w14:paraId="661FF33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bookmarkStart w:id="177" w:name="_Toc351203486"/>
      <w:r>
        <w:rPr>
          <w:rFonts w:hint="eastAsia" w:ascii="宋体" w:hAnsi="宋体" w:eastAsia="宋体" w:cs="宋体"/>
          <w:b/>
          <w:bCs/>
          <w:color w:val="auto"/>
          <w:szCs w:val="21"/>
        </w:rPr>
        <w:t>六、合同文件构成</w:t>
      </w:r>
      <w:bookmarkEnd w:id="177"/>
    </w:p>
    <w:p w14:paraId="40D1BD3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本协议书与下列文件一起构成合同文件：</w:t>
      </w:r>
    </w:p>
    <w:p w14:paraId="60DEA9A9">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rPr>
        <w:t>中标（成交）通知书（如有）</w:t>
      </w:r>
      <w:r>
        <w:rPr>
          <w:rFonts w:hint="eastAsia" w:ascii="宋体" w:hAnsi="宋体" w:eastAsia="宋体" w:cs="宋体"/>
          <w:color w:val="auto"/>
          <w:szCs w:val="21"/>
          <w:lang w:eastAsia="zh-CN"/>
        </w:rPr>
        <w:t>；</w:t>
      </w:r>
    </w:p>
    <w:p w14:paraId="46EFBF3F">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磋商函及其附录（如有）</w:t>
      </w:r>
      <w:r>
        <w:rPr>
          <w:rFonts w:hint="eastAsia" w:ascii="宋体" w:hAnsi="宋体" w:eastAsia="宋体" w:cs="宋体"/>
          <w:color w:val="auto"/>
          <w:szCs w:val="21"/>
          <w:lang w:eastAsia="zh-CN"/>
        </w:rPr>
        <w:t>；</w:t>
      </w:r>
    </w:p>
    <w:p w14:paraId="25BF7BED">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专用合同条款及其附件（如有）</w:t>
      </w:r>
      <w:r>
        <w:rPr>
          <w:rFonts w:hint="eastAsia" w:ascii="宋体" w:hAnsi="宋体" w:eastAsia="宋体" w:cs="宋体"/>
          <w:color w:val="auto"/>
          <w:szCs w:val="21"/>
          <w:lang w:eastAsia="zh-CN"/>
        </w:rPr>
        <w:t>；</w:t>
      </w:r>
    </w:p>
    <w:p w14:paraId="7BDD4082">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通用合同条款</w:t>
      </w:r>
      <w:r>
        <w:rPr>
          <w:rFonts w:hint="eastAsia" w:ascii="宋体" w:hAnsi="宋体" w:eastAsia="宋体" w:cs="宋体"/>
          <w:color w:val="auto"/>
          <w:szCs w:val="21"/>
          <w:lang w:eastAsia="zh-CN"/>
        </w:rPr>
        <w:t>；</w:t>
      </w:r>
    </w:p>
    <w:p w14:paraId="079D4530">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图纸</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p>
    <w:p w14:paraId="0778F639">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技术标准和要求</w:t>
      </w:r>
      <w:r>
        <w:rPr>
          <w:rFonts w:hint="eastAsia" w:ascii="宋体" w:hAnsi="宋体" w:eastAsia="宋体" w:cs="宋体"/>
          <w:color w:val="auto"/>
          <w:szCs w:val="21"/>
          <w:lang w:eastAsia="zh-CN"/>
        </w:rPr>
        <w:t>；</w:t>
      </w:r>
    </w:p>
    <w:p w14:paraId="37FE6B0C">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已标价工程量清单</w:t>
      </w:r>
      <w:r>
        <w:rPr>
          <w:rFonts w:hint="eastAsia" w:ascii="宋体" w:hAnsi="宋体" w:eastAsia="宋体" w:cs="宋体"/>
          <w:color w:val="auto"/>
          <w:szCs w:val="21"/>
          <w:lang w:eastAsia="zh-CN"/>
        </w:rPr>
        <w:t>；</w:t>
      </w:r>
    </w:p>
    <w:p w14:paraId="1AA81CC0">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其他合同文件。</w:t>
      </w:r>
    </w:p>
    <w:p w14:paraId="6D0E76A0">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在合同订立及履行过程中形成的与合同有关的文件均构成合同文件组成部分。</w:t>
      </w:r>
    </w:p>
    <w:p w14:paraId="37CC0DC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1E213848">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color w:val="auto"/>
          <w:szCs w:val="21"/>
        </w:rPr>
      </w:pPr>
      <w:bookmarkStart w:id="178" w:name="_Toc351203487"/>
      <w:r>
        <w:rPr>
          <w:rFonts w:hint="eastAsia" w:ascii="宋体" w:hAnsi="宋体" w:eastAsia="宋体" w:cs="宋体"/>
          <w:b/>
          <w:bCs/>
          <w:color w:val="auto"/>
          <w:szCs w:val="21"/>
        </w:rPr>
        <w:t>七、承诺</w:t>
      </w:r>
      <w:bookmarkEnd w:id="178"/>
    </w:p>
    <w:p w14:paraId="32D083A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1.发包人承诺按照法律规定履行项目审批手续、筹集工程建设资金并按照合同约定的期限和方式支付合同价款。</w:t>
      </w:r>
    </w:p>
    <w:p w14:paraId="5CE4C05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2.承包人承诺按照法律规定及合同约定组织完成工程施工，确保工程质量和安全，不进行转包及违法分包，并在缺陷责任期及保修期内承担相应的工程维修责任。</w:t>
      </w:r>
    </w:p>
    <w:p w14:paraId="7D8A5AC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3.发包人和承包人通过招投标形式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或政府采购形式</w:t>
      </w:r>
      <w:r>
        <w:rPr>
          <w:rFonts w:hint="eastAsia" w:ascii="宋体" w:hAnsi="宋体" w:eastAsia="宋体" w:cs="宋体"/>
          <w:color w:val="auto"/>
          <w:szCs w:val="21"/>
          <w:lang w:eastAsia="zh-CN"/>
        </w:rPr>
        <w:t>）</w:t>
      </w:r>
      <w:r>
        <w:rPr>
          <w:rFonts w:hint="eastAsia" w:ascii="宋体" w:hAnsi="宋体" w:eastAsia="宋体" w:cs="宋体"/>
          <w:color w:val="auto"/>
          <w:szCs w:val="21"/>
        </w:rPr>
        <w:t>签订合同的，双方理解并承诺不再就同一工程另行签订与合同实质性内容相背离的协议。</w:t>
      </w:r>
    </w:p>
    <w:p w14:paraId="2AD2C97C">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b/>
          <w:bCs/>
          <w:color w:val="auto"/>
          <w:szCs w:val="21"/>
        </w:rPr>
      </w:pPr>
      <w:bookmarkStart w:id="179" w:name="_Toc351203488"/>
      <w:r>
        <w:rPr>
          <w:rFonts w:hint="eastAsia" w:ascii="宋体" w:hAnsi="宋体" w:eastAsia="宋体" w:cs="宋体"/>
          <w:b/>
          <w:bCs/>
          <w:color w:val="auto"/>
          <w:szCs w:val="21"/>
        </w:rPr>
        <w:t>八、词语含义</w:t>
      </w:r>
      <w:bookmarkEnd w:id="179"/>
    </w:p>
    <w:p w14:paraId="411952C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本协议书中词语含义与第二部分通用合同条款中赋予的含义相同。</w:t>
      </w:r>
    </w:p>
    <w:p w14:paraId="227EDA00">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 xml:space="preserve"> </w:t>
      </w:r>
      <w:bookmarkStart w:id="180" w:name="_Toc351203489"/>
      <w:r>
        <w:rPr>
          <w:rFonts w:hint="eastAsia" w:ascii="宋体" w:hAnsi="宋体" w:eastAsia="宋体" w:cs="宋体"/>
          <w:b/>
          <w:bCs/>
          <w:color w:val="auto"/>
          <w:szCs w:val="21"/>
        </w:rPr>
        <w:t>九、签订时间</w:t>
      </w:r>
      <w:bookmarkEnd w:id="180"/>
    </w:p>
    <w:p w14:paraId="685FEC7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本合同于</w:t>
      </w:r>
      <w:r>
        <w:rPr>
          <w:rFonts w:hint="eastAsia" w:ascii="宋体" w:hAnsi="宋体" w:eastAsia="宋体" w:cs="宋体"/>
          <w:color w:val="auto"/>
          <w:szCs w:val="21"/>
          <w:u w:val="single"/>
        </w:rPr>
        <w:t xml:space="preserve">         年    月    日签订。</w:t>
      </w:r>
    </w:p>
    <w:p w14:paraId="464E5A90">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 xml:space="preserve"> </w:t>
      </w:r>
      <w:bookmarkStart w:id="181" w:name="_Toc351203490"/>
      <w:r>
        <w:rPr>
          <w:rFonts w:hint="eastAsia" w:ascii="宋体" w:hAnsi="宋体" w:eastAsia="宋体" w:cs="宋体"/>
          <w:b/>
          <w:bCs/>
          <w:color w:val="auto"/>
          <w:szCs w:val="21"/>
        </w:rPr>
        <w:t>十、签订地点</w:t>
      </w:r>
      <w:bookmarkEnd w:id="181"/>
    </w:p>
    <w:p w14:paraId="4E1F2BA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本合同在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签订。</w:t>
      </w:r>
    </w:p>
    <w:p w14:paraId="439B1F5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bookmarkStart w:id="182" w:name="_Toc351203491"/>
      <w:r>
        <w:rPr>
          <w:rFonts w:hint="eastAsia" w:ascii="宋体" w:hAnsi="宋体" w:eastAsia="宋体" w:cs="宋体"/>
          <w:b/>
          <w:bCs/>
          <w:color w:val="auto"/>
          <w:szCs w:val="21"/>
        </w:rPr>
        <w:t>十一、补充协议</w:t>
      </w:r>
      <w:bookmarkEnd w:id="182"/>
    </w:p>
    <w:p w14:paraId="573B834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合同未尽事宜，合同当事人另行签订补充协议，补充协议是合同的组成部分。</w:t>
      </w:r>
    </w:p>
    <w:p w14:paraId="07ECE741">
      <w:pPr>
        <w:keepNext w:val="0"/>
        <w:keepLines w:val="0"/>
        <w:pageBreakBefore w:val="0"/>
        <w:widowControl w:val="0"/>
        <w:kinsoku/>
        <w:wordWrap/>
        <w:overflowPunct/>
        <w:topLinePunct w:val="0"/>
        <w:autoSpaceDE/>
        <w:autoSpaceDN/>
        <w:bidi w:val="0"/>
        <w:adjustRightInd w:val="0"/>
        <w:snapToGrid w:val="0"/>
        <w:spacing w:line="440" w:lineRule="atLeast"/>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 xml:space="preserve"> </w:t>
      </w:r>
      <w:bookmarkStart w:id="183" w:name="_Toc351203492"/>
      <w:r>
        <w:rPr>
          <w:rFonts w:hint="eastAsia" w:ascii="宋体" w:hAnsi="宋体" w:eastAsia="宋体" w:cs="宋体"/>
          <w:b/>
          <w:bCs/>
          <w:color w:val="auto"/>
          <w:szCs w:val="21"/>
        </w:rPr>
        <w:t>十二、合同生效</w:t>
      </w:r>
      <w:bookmarkEnd w:id="183"/>
    </w:p>
    <w:p w14:paraId="63EBBC8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本合同自</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生效。</w:t>
      </w:r>
    </w:p>
    <w:p w14:paraId="7C9DD69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bookmarkStart w:id="184" w:name="_Toc351203493"/>
      <w:r>
        <w:rPr>
          <w:rFonts w:hint="eastAsia" w:ascii="宋体" w:hAnsi="宋体" w:eastAsia="宋体" w:cs="宋体"/>
          <w:b/>
          <w:bCs/>
          <w:color w:val="auto"/>
          <w:szCs w:val="21"/>
        </w:rPr>
        <w:t>十三、合同份数</w:t>
      </w:r>
      <w:bookmarkEnd w:id="184"/>
    </w:p>
    <w:p w14:paraId="5114702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本合同一式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份，均具有同等法律效力，发包人执</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份，承包人执</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w:t>
      </w:r>
    </w:p>
    <w:p w14:paraId="23481FE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p>
    <w:p w14:paraId="5BCAD55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  (公章)                                  承包人：  (公章)</w:t>
      </w:r>
    </w:p>
    <w:p w14:paraId="06FA7B6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法定代表人或其委托代理人：                        法定代表人或其委托代理人：</w:t>
      </w:r>
    </w:p>
    <w:p w14:paraId="5B6175E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（签字）                                                （签字）</w:t>
      </w:r>
    </w:p>
    <w:p w14:paraId="6A276BE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p>
    <w:p w14:paraId="77ADE8B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组织机构代码：                             组织机构代码：           </w:t>
      </w:r>
    </w:p>
    <w:p w14:paraId="5E3F600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地  址：                           地  址：        </w:t>
      </w:r>
    </w:p>
    <w:p w14:paraId="0A4171B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邮政编码：                           邮政编码：   </w:t>
      </w:r>
    </w:p>
    <w:p w14:paraId="02B9483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法定代表人：                                 法定代表人：             </w:t>
      </w:r>
    </w:p>
    <w:p w14:paraId="575EBB3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委托代理人：                                 委托代理人：             </w:t>
      </w:r>
    </w:p>
    <w:p w14:paraId="69B940E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电  话：                         电  话：     </w:t>
      </w:r>
    </w:p>
    <w:p w14:paraId="3C9988F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传  真：                         传  真：     </w:t>
      </w:r>
    </w:p>
    <w:p w14:paraId="1E93A5B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电子信箱：                                       电子信箱：   </w:t>
      </w:r>
    </w:p>
    <w:p w14:paraId="08D9216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开户银行：                         开户银行：   </w:t>
      </w:r>
    </w:p>
    <w:p w14:paraId="573E41E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cs="宋体"/>
          <w:color w:val="auto"/>
          <w:szCs w:val="21"/>
        </w:rPr>
        <w:t xml:space="preserve">账  号：                             账  号：  </w:t>
      </w:r>
    </w:p>
    <w:p w14:paraId="49688E2A">
      <w:pPr>
        <w:spacing w:line="400" w:lineRule="atLeast"/>
        <w:ind w:left="0" w:leftChars="0" w:firstLine="0" w:firstLineChars="0"/>
        <w:jc w:val="center"/>
        <w:rPr>
          <w:rFonts w:ascii="宋体" w:hAnsi="宋体" w:eastAsia="宋体" w:cs="Arial"/>
          <w:b/>
          <w:color w:val="auto"/>
          <w:sz w:val="28"/>
          <w:szCs w:val="28"/>
        </w:rPr>
      </w:pPr>
      <w:bookmarkStart w:id="185" w:name="_Toc86847323"/>
      <w:bookmarkStart w:id="186" w:name="_Toc122424033"/>
      <w:bookmarkStart w:id="187" w:name="_Toc389065256"/>
      <w:bookmarkStart w:id="188" w:name="_Toc407135192"/>
      <w:bookmarkStart w:id="189" w:name="_Toc1714491818"/>
      <w:bookmarkStart w:id="190" w:name="_Toc78449778"/>
      <w:bookmarkStart w:id="191" w:name="_Toc122424282"/>
      <w:r>
        <w:rPr>
          <w:rFonts w:hint="eastAsia" w:ascii="宋体" w:hAnsi="宋体" w:eastAsia="宋体" w:cs="Arial"/>
          <w:b/>
          <w:color w:val="auto"/>
          <w:sz w:val="28"/>
          <w:szCs w:val="28"/>
        </w:rPr>
        <w:t>第二部分</w:t>
      </w:r>
      <w:r>
        <w:rPr>
          <w:rFonts w:ascii="宋体" w:hAnsi="宋体" w:eastAsia="宋体" w:cs="Arial"/>
          <w:b/>
          <w:color w:val="auto"/>
          <w:sz w:val="28"/>
          <w:szCs w:val="28"/>
        </w:rPr>
        <w:t xml:space="preserve"> </w:t>
      </w:r>
      <w:r>
        <w:rPr>
          <w:rFonts w:hint="eastAsia" w:ascii="宋体" w:hAnsi="宋体" w:cs="Arial"/>
          <w:b/>
          <w:color w:val="auto"/>
          <w:sz w:val="28"/>
          <w:szCs w:val="28"/>
          <w:lang w:val="en-US" w:eastAsia="zh-CN"/>
        </w:rPr>
        <w:t xml:space="preserve"> </w:t>
      </w:r>
      <w:r>
        <w:rPr>
          <w:rFonts w:hint="eastAsia" w:ascii="宋体" w:hAnsi="宋体" w:eastAsia="宋体" w:cs="Arial"/>
          <w:b/>
          <w:color w:val="auto"/>
          <w:sz w:val="28"/>
          <w:szCs w:val="28"/>
        </w:rPr>
        <w:t>通用合同条款</w:t>
      </w:r>
      <w:bookmarkEnd w:id="185"/>
      <w:bookmarkEnd w:id="186"/>
      <w:bookmarkEnd w:id="187"/>
      <w:bookmarkEnd w:id="188"/>
      <w:bookmarkEnd w:id="189"/>
      <w:bookmarkEnd w:id="190"/>
      <w:bookmarkEnd w:id="191"/>
    </w:p>
    <w:p w14:paraId="4BEDEC8F">
      <w:pPr>
        <w:spacing w:line="360" w:lineRule="auto"/>
        <w:ind w:firstLine="420" w:firstLineChars="200"/>
        <w:rPr>
          <w:rFonts w:hint="eastAsia" w:ascii="宋体" w:hAnsi="宋体" w:eastAsia="宋体" w:cs="宋体"/>
          <w:color w:val="auto"/>
          <w:kern w:val="0"/>
        </w:rPr>
      </w:pPr>
    </w:p>
    <w:p w14:paraId="340271B1">
      <w:pPr>
        <w:spacing w:line="360" w:lineRule="auto"/>
        <w:jc w:val="center"/>
        <w:rPr>
          <w:rFonts w:hint="eastAsia" w:ascii="宋体" w:hAnsi="宋体" w:eastAsia="宋体" w:cs="宋体"/>
          <w:b/>
          <w:bCs/>
          <w:color w:val="auto"/>
          <w:kern w:val="0"/>
        </w:rPr>
      </w:pPr>
      <w:r>
        <w:rPr>
          <w:rFonts w:hint="eastAsia" w:ascii="宋体" w:hAnsi="宋体" w:eastAsia="宋体" w:cs="宋体"/>
          <w:b/>
          <w:bCs/>
          <w:color w:val="auto"/>
          <w:kern w:val="0"/>
        </w:rPr>
        <w:t>采用《建设工程施工合同（示范文本）》（GF—2017—0201）。</w:t>
      </w:r>
    </w:p>
    <w:p w14:paraId="35C413D5">
      <w:pPr>
        <w:keepNext w:val="0"/>
        <w:keepLines w:val="0"/>
        <w:pageBreakBefore w:val="0"/>
        <w:widowControl w:val="0"/>
        <w:kinsoku/>
        <w:wordWrap/>
        <w:overflowPunct/>
        <w:topLinePunct w:val="0"/>
        <w:autoSpaceDE/>
        <w:autoSpaceDN/>
        <w:bidi w:val="0"/>
        <w:adjustRightInd w:val="0"/>
        <w:snapToGrid w:val="0"/>
        <w:spacing w:line="440" w:lineRule="atLeast"/>
        <w:textAlignment w:val="auto"/>
        <w:outlineLvl w:val="9"/>
        <w:rPr>
          <w:rFonts w:hint="eastAsia" w:ascii="宋体" w:hAnsi="宋体" w:eastAsia="宋体" w:cs="宋体"/>
          <w:color w:val="auto"/>
          <w:szCs w:val="21"/>
          <w:lang w:val="en-US" w:eastAsia="zh-CN"/>
        </w:rPr>
      </w:pPr>
      <w:bookmarkStart w:id="192" w:name="_Toc122424283"/>
      <w:bookmarkStart w:id="193" w:name="_Toc704444909"/>
      <w:bookmarkStart w:id="194" w:name="_Toc78449779"/>
      <w:bookmarkStart w:id="195" w:name="_Toc1204138598"/>
      <w:bookmarkStart w:id="196" w:name="_Toc407135193"/>
      <w:bookmarkStart w:id="197" w:name="_Toc122424034"/>
      <w:bookmarkStart w:id="198" w:name="_Toc389065257"/>
    </w:p>
    <w:p w14:paraId="18864797">
      <w:pPr>
        <w:keepNext w:val="0"/>
        <w:keepLines w:val="0"/>
        <w:pageBreakBefore w:val="0"/>
        <w:widowControl w:val="0"/>
        <w:kinsoku/>
        <w:wordWrap/>
        <w:overflowPunct/>
        <w:topLinePunct w:val="0"/>
        <w:autoSpaceDE/>
        <w:autoSpaceDN/>
        <w:bidi w:val="0"/>
        <w:adjustRightInd w:val="0"/>
        <w:snapToGrid w:val="0"/>
        <w:spacing w:line="440" w:lineRule="atLeast"/>
        <w:textAlignment w:val="auto"/>
        <w:outlineLvl w:val="9"/>
        <w:rPr>
          <w:rFonts w:hint="eastAsia" w:ascii="宋体" w:hAnsi="宋体" w:eastAsia="宋体" w:cs="宋体"/>
          <w:color w:val="auto"/>
          <w:szCs w:val="21"/>
          <w:lang w:val="en-US" w:eastAsia="zh-CN"/>
        </w:rPr>
      </w:pPr>
    </w:p>
    <w:p w14:paraId="0DC3B935">
      <w:pPr>
        <w:spacing w:line="400" w:lineRule="atLeast"/>
        <w:ind w:left="0" w:leftChars="0" w:firstLine="0" w:firstLineChars="0"/>
        <w:jc w:val="center"/>
        <w:rPr>
          <w:rFonts w:hint="eastAsia" w:ascii="宋体" w:hAnsi="宋体" w:eastAsia="宋体" w:cs="Arial"/>
          <w:b/>
          <w:color w:val="auto"/>
          <w:sz w:val="28"/>
          <w:szCs w:val="28"/>
          <w:lang w:val="en-US" w:eastAsia="zh-CN"/>
        </w:rPr>
      </w:pPr>
      <w:r>
        <w:rPr>
          <w:rFonts w:hint="eastAsia" w:ascii="宋体" w:hAnsi="宋体" w:eastAsia="宋体" w:cs="Arial"/>
          <w:b/>
          <w:color w:val="auto"/>
          <w:sz w:val="28"/>
          <w:szCs w:val="28"/>
          <w:lang w:val="en-US" w:eastAsia="zh-CN"/>
        </w:rPr>
        <w:t>第三部分  专用合同条款</w:t>
      </w:r>
      <w:bookmarkEnd w:id="192"/>
      <w:bookmarkEnd w:id="193"/>
      <w:bookmarkEnd w:id="194"/>
      <w:bookmarkEnd w:id="195"/>
      <w:bookmarkEnd w:id="196"/>
      <w:bookmarkEnd w:id="197"/>
      <w:bookmarkEnd w:id="198"/>
    </w:p>
    <w:p w14:paraId="05A2FC4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bookmarkStart w:id="199" w:name="_Toc389065258"/>
      <w:bookmarkStart w:id="200" w:name="_Toc373478339"/>
      <w:bookmarkStart w:id="201" w:name="_Toc373227692"/>
      <w:bookmarkStart w:id="202" w:name="_Toc455732901"/>
      <w:bookmarkStart w:id="203" w:name="_Toc351203633"/>
      <w:r>
        <w:rPr>
          <w:rFonts w:hint="eastAsia" w:ascii="宋体" w:hAnsi="宋体" w:eastAsia="宋体" w:cs="宋体"/>
          <w:color w:val="auto"/>
          <w:szCs w:val="21"/>
        </w:rPr>
        <w:t>1</w:t>
      </w:r>
      <w:bookmarkStart w:id="204" w:name="_Toc296503156"/>
      <w:bookmarkStart w:id="205" w:name="_Toc296347155"/>
      <w:bookmarkStart w:id="206" w:name="_Toc296891196"/>
      <w:bookmarkStart w:id="207" w:name="_Toc296890984"/>
      <w:bookmarkStart w:id="208" w:name="_Toc292559361"/>
      <w:bookmarkStart w:id="209" w:name="_Toc297120456"/>
      <w:bookmarkStart w:id="210" w:name="_Toc296944495"/>
      <w:bookmarkStart w:id="211" w:name="_Toc297048342"/>
      <w:bookmarkStart w:id="212" w:name="_Toc292559866"/>
      <w:bookmarkStart w:id="213" w:name="_Toc296346657"/>
      <w:r>
        <w:rPr>
          <w:rFonts w:hint="eastAsia" w:ascii="宋体" w:hAnsi="宋体" w:eastAsia="宋体" w:cs="宋体"/>
          <w:color w:val="auto"/>
          <w:szCs w:val="21"/>
        </w:rPr>
        <w:t>. 一般约定</w:t>
      </w:r>
      <w:bookmarkEnd w:id="199"/>
      <w:bookmarkEnd w:id="200"/>
      <w:bookmarkEnd w:id="201"/>
      <w:bookmarkEnd w:id="202"/>
      <w:bookmarkEnd w:id="203"/>
    </w:p>
    <w:bookmarkEnd w:id="204"/>
    <w:bookmarkEnd w:id="205"/>
    <w:bookmarkEnd w:id="206"/>
    <w:bookmarkEnd w:id="207"/>
    <w:bookmarkEnd w:id="208"/>
    <w:bookmarkEnd w:id="209"/>
    <w:bookmarkEnd w:id="210"/>
    <w:bookmarkEnd w:id="211"/>
    <w:bookmarkEnd w:id="212"/>
    <w:bookmarkEnd w:id="213"/>
    <w:p w14:paraId="428E2C3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bookmarkStart w:id="214" w:name="_Toc373227693"/>
      <w:bookmarkStart w:id="215" w:name="_Toc389065259"/>
      <w:bookmarkStart w:id="216" w:name="_Toc373478340"/>
      <w:bookmarkStart w:id="217" w:name="_Toc455732902"/>
      <w:r>
        <w:rPr>
          <w:rFonts w:hint="eastAsia" w:ascii="宋体" w:hAnsi="宋体" w:eastAsia="宋体" w:cs="宋体"/>
          <w:color w:val="auto"/>
          <w:szCs w:val="21"/>
        </w:rPr>
        <w:t>1.1 词语定义</w:t>
      </w:r>
      <w:bookmarkEnd w:id="214"/>
      <w:bookmarkEnd w:id="215"/>
      <w:bookmarkEnd w:id="216"/>
      <w:bookmarkEnd w:id="217"/>
    </w:p>
    <w:p w14:paraId="4D08A809">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1.1.1 合同</w:t>
      </w:r>
    </w:p>
    <w:p w14:paraId="2B8DEF11">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1.1.1.10 其他合同文件包括：</w:t>
      </w:r>
      <w:r>
        <w:rPr>
          <w:rFonts w:hint="eastAsia" w:ascii="宋体" w:hAnsi="宋体" w:eastAsia="宋体" w:cs="宋体"/>
          <w:color w:val="auto"/>
          <w:szCs w:val="21"/>
          <w:u w:val="single"/>
        </w:rPr>
        <w:t>双方在履行合同过程中形成的双方授权代表签署的会议纪要、备忘录、补充文件、变更和洽商等书面形式的文件构成本合同的组成部分</w:t>
      </w:r>
      <w:r>
        <w:rPr>
          <w:rFonts w:hint="eastAsia" w:ascii="宋体" w:hAnsi="宋体" w:eastAsia="宋体" w:cs="宋体"/>
          <w:color w:val="auto"/>
          <w:szCs w:val="21"/>
        </w:rPr>
        <w:t>。</w:t>
      </w:r>
    </w:p>
    <w:p w14:paraId="4F3DE4DC">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1.1.2 合同当事人及其他相关方</w:t>
      </w:r>
    </w:p>
    <w:p w14:paraId="514DDCB1">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1.1.2.4 监理人：</w:t>
      </w:r>
    </w:p>
    <w:p w14:paraId="4CFB3D68">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名    称：</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w:t>
      </w:r>
    </w:p>
    <w:p w14:paraId="4B03FAE0">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资质类别和等级：</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263BF33C">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0EA18F32">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w:t>
      </w:r>
      <w:r>
        <w:rPr>
          <w:rFonts w:hint="eastAsia" w:ascii="宋体" w:hAnsi="宋体" w:eastAsia="宋体" w:cs="宋体"/>
          <w:color w:val="auto"/>
          <w:szCs w:val="21"/>
        </w:rPr>
        <w:t>；</w:t>
      </w:r>
    </w:p>
    <w:p w14:paraId="3D73355E">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通信地址：</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57B96A67">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1.1.2.5 设计人：</w:t>
      </w:r>
    </w:p>
    <w:p w14:paraId="76A243AD">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名    称：</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w:t>
      </w:r>
    </w:p>
    <w:p w14:paraId="33775DAE">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资质类别和等级：</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5B2DEE16">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2F00EF0D">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w:t>
      </w:r>
    </w:p>
    <w:p w14:paraId="4A06662C">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通信地址：</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65B933C7">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1.1.3 工程和设备</w:t>
      </w:r>
    </w:p>
    <w:p w14:paraId="000944CD">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1.1.3.7 作为施工现场组成部分的其他场所包括：</w:t>
      </w:r>
      <w:r>
        <w:rPr>
          <w:rFonts w:hint="eastAsia" w:ascii="宋体" w:hAnsi="宋体" w:eastAsia="宋体" w:cs="宋体"/>
          <w:color w:val="auto"/>
          <w:szCs w:val="21"/>
          <w:u w:val="single"/>
        </w:rPr>
        <w:t>包括永久占地、临时占地</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w:t>
      </w:r>
    </w:p>
    <w:p w14:paraId="6F8E4DD6">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1.1.3.9 永久占地包括：</w:t>
      </w:r>
      <w:r>
        <w:rPr>
          <w:rFonts w:hint="eastAsia" w:ascii="宋体" w:hAnsi="宋体" w:eastAsia="宋体" w:cs="宋体"/>
          <w:color w:val="auto"/>
          <w:kern w:val="0"/>
          <w:szCs w:val="21"/>
          <w:u w:val="single"/>
        </w:rPr>
        <w:t>为实施合同工程需永久占用的土地</w:t>
      </w:r>
      <w:r>
        <w:rPr>
          <w:rFonts w:hint="eastAsia" w:ascii="宋体" w:hAnsi="宋体" w:eastAsia="宋体" w:cs="宋体"/>
          <w:color w:val="auto"/>
          <w:szCs w:val="21"/>
          <w:u w:val="single"/>
        </w:rPr>
        <w:t></w:t>
      </w:r>
      <w:r>
        <w:rPr>
          <w:rFonts w:hint="eastAsia" w:ascii="宋体" w:hAnsi="宋体" w:eastAsia="宋体" w:cs="宋体"/>
          <w:color w:val="auto"/>
          <w:kern w:val="0"/>
          <w:szCs w:val="21"/>
        </w:rPr>
        <w:t>。</w:t>
      </w:r>
    </w:p>
    <w:p w14:paraId="56D52909">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kern w:val="0"/>
          <w:szCs w:val="21"/>
        </w:rPr>
        <w:t>1.1.3.10 临时占地包括：</w:t>
      </w:r>
      <w:r>
        <w:rPr>
          <w:rFonts w:hint="eastAsia" w:ascii="宋体" w:hAnsi="宋体" w:eastAsia="宋体" w:cs="宋体"/>
          <w:color w:val="auto"/>
          <w:szCs w:val="21"/>
          <w:u w:val="single"/>
        </w:rPr>
        <w:t>为实施合同工程需临时占用的土地</w:t>
      </w:r>
      <w:r>
        <w:rPr>
          <w:rFonts w:hint="eastAsia" w:ascii="宋体" w:hAnsi="宋体" w:eastAsia="宋体" w:cs="宋体"/>
          <w:color w:val="auto"/>
          <w:kern w:val="0"/>
          <w:szCs w:val="21"/>
        </w:rPr>
        <w:t>。</w:t>
      </w:r>
    </w:p>
    <w:p w14:paraId="00313006">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18" w:name="_Toc389065260"/>
      <w:bookmarkStart w:id="219" w:name="_Toc373478341"/>
      <w:bookmarkStart w:id="220" w:name="_Toc455732903"/>
      <w:bookmarkStart w:id="221" w:name="_Toc373227694"/>
      <w:r>
        <w:rPr>
          <w:rFonts w:hint="eastAsia" w:ascii="宋体" w:hAnsi="宋体" w:eastAsia="宋体" w:cs="宋体"/>
          <w:color w:val="auto"/>
        </w:rPr>
        <w:t>1.3 法律</w:t>
      </w:r>
      <w:bookmarkEnd w:id="218"/>
      <w:bookmarkEnd w:id="219"/>
      <w:bookmarkEnd w:id="220"/>
      <w:bookmarkEnd w:id="221"/>
    </w:p>
    <w:p w14:paraId="2C61A22C">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适用于合同的其他规范性文件：</w:t>
      </w:r>
      <w:r>
        <w:rPr>
          <w:rFonts w:hint="eastAsia" w:ascii="宋体" w:hAnsi="宋体" w:eastAsia="宋体" w:cs="宋体"/>
          <w:color w:val="auto"/>
          <w:u w:val="single"/>
        </w:rPr>
        <w:t>《中华人民共和国</w:t>
      </w:r>
      <w:r>
        <w:rPr>
          <w:rFonts w:hint="eastAsia" w:ascii="宋体" w:hAnsi="宋体" w:eastAsia="宋体" w:cs="宋体"/>
          <w:color w:val="auto"/>
          <w:u w:val="single"/>
          <w:lang w:val="en-US" w:eastAsia="zh-CN"/>
        </w:rPr>
        <w:t>民法典</w:t>
      </w:r>
      <w:r>
        <w:rPr>
          <w:rFonts w:hint="eastAsia" w:ascii="宋体" w:hAnsi="宋体" w:eastAsia="宋体" w:cs="宋体"/>
          <w:color w:val="auto"/>
          <w:u w:val="single"/>
        </w:rPr>
        <w:t>》、《中华人民共和国建筑法》、《中华人民共和国安全生产法》、《建筑工程质量管理条例》、《广西壮族自治区建设工程安全文明施工费及使用管理细则》（桂建质【2015】6号）、《广西壮族自治区人民政府关于印发广西壮族自治区建筑安装工程劳动保险费管理办法的通知》（桂政发【2012】42号）、《梧州市人民政府办公室转发市住建委关于我市建设工程安全防护文明施工措施费管理规定的通知》（梧政办发[2014]2号）《广西壮族自治区建筑工程文明施工导则》（桂建管[2012]108号）</w:t>
      </w:r>
      <w:r>
        <w:rPr>
          <w:rFonts w:hint="eastAsia" w:ascii="宋体" w:hAnsi="宋体" w:eastAsia="宋体" w:cs="宋体"/>
          <w:color w:val="auto"/>
          <w:u w:val="single"/>
          <w:lang w:eastAsia="zh-CN"/>
        </w:rPr>
        <w:t>、《中华人民共和国文物保护法》、《国家文物局关于印发&lt;文物安全防护工程实施工作指南（试行）&gt;的通知》</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（文物督发【2021】4号）、《</w:t>
      </w:r>
      <w:r>
        <w:rPr>
          <w:rFonts w:hint="eastAsia" w:ascii="宋体" w:hAnsi="宋体" w:eastAsia="宋体" w:cs="宋体"/>
          <w:color w:val="auto"/>
          <w:szCs w:val="21"/>
          <w:u w:val="single"/>
          <w:lang w:val="en-US" w:eastAsia="zh-CN"/>
        </w:rPr>
        <w:t>国家文物局关于广西壮族自治区2024年度不可移动革命文物保护项目计划的批复</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（文物革函[2023]1432号）</w:t>
      </w:r>
      <w:r>
        <w:rPr>
          <w:rFonts w:hint="eastAsia" w:ascii="宋体" w:hAnsi="宋体" w:eastAsia="宋体" w:cs="宋体"/>
          <w:color w:val="auto"/>
          <w:szCs w:val="21"/>
          <w:u w:val="single"/>
        </w:rPr>
        <w:t>以及其他有关法律、法规和工程所在地的政府及相关主管部门制定的规范性文件</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p>
    <w:p w14:paraId="36F3C669">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22" w:name="_Toc373478342"/>
      <w:bookmarkStart w:id="223" w:name="_Toc373227695"/>
      <w:bookmarkStart w:id="224" w:name="_Toc455732904"/>
      <w:bookmarkStart w:id="225" w:name="_Toc389065261"/>
      <w:r>
        <w:rPr>
          <w:rFonts w:hint="eastAsia" w:ascii="宋体" w:hAnsi="宋体" w:eastAsia="宋体" w:cs="宋体"/>
          <w:color w:val="auto"/>
        </w:rPr>
        <w:t>1.4 标准和规范</w:t>
      </w:r>
      <w:bookmarkEnd w:id="222"/>
      <w:bookmarkEnd w:id="223"/>
      <w:bookmarkEnd w:id="224"/>
      <w:bookmarkEnd w:id="225"/>
    </w:p>
    <w:p w14:paraId="0BEB8392">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1.4.1 适用于工程的标准规范包括：</w:t>
      </w:r>
      <w:r>
        <w:rPr>
          <w:rFonts w:hint="eastAsia" w:ascii="宋体" w:hAnsi="宋体" w:eastAsia="宋体" w:cs="宋体"/>
          <w:color w:val="auto"/>
          <w:szCs w:val="21"/>
          <w:u w:val="single"/>
          <w:lang w:val="en-US" w:eastAsia="zh-CN"/>
        </w:rPr>
        <w:t>《近现代历史建筑结构安全性评估导则》（WW/T 0048-2014）、《古建筑木结构维护与加固技术标准》（GB/T50165-2020）、《房屋白蚁防治技术规程》（JGJ/T245-2024）、《古建筑木结构维护与加固技术规范》（GB 50165-92）、《建设工程白蚁危害评定标准》（GB/T51253-2017）、《传统村落白蚁防治技术导则》（全蚁[2022]29 号）、《建筑电气工程施工质量验收规范》（GB 50303 - 2015）、《用电安全导则》（GB/T 13869 - 2017）、《火灾自动报警系统设计规范》（GB 50116 - 2013）等</w:t>
      </w:r>
      <w:r>
        <w:rPr>
          <w:rFonts w:hint="eastAsia" w:ascii="宋体" w:hAnsi="宋体" w:eastAsia="宋体" w:cs="宋体"/>
          <w:color w:val="auto"/>
          <w:szCs w:val="21"/>
          <w:u w:val="single"/>
        </w:rPr>
        <w:t>国家现行有效的有关建设项目管理、施工、验收及保修等规范和标准，以及项目主管部门批准的文件</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。发包人根据本工程具体情况，依照国家有关标准制订的施工技术规定及验收办法</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p>
    <w:p w14:paraId="46F01074">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kern w:val="0"/>
          <w:szCs w:val="21"/>
        </w:rPr>
        <w:t>1.4.2 发包人提供国外标准、规范的名称：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F841E07">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发包人提供国外标准、规范的份数：</w:t>
      </w:r>
      <w:r>
        <w:rPr>
          <w:rFonts w:hint="eastAsia" w:ascii="宋体" w:hAnsi="宋体" w:eastAsia="宋体" w:cs="宋体"/>
          <w:color w:val="auto"/>
          <w:kern w:val="0"/>
          <w:szCs w:val="21"/>
          <w:u w:val="single"/>
        </w:rPr>
        <w:t xml:space="preserve">          /            </w:t>
      </w:r>
      <w:r>
        <w:rPr>
          <w:rFonts w:hint="eastAsia" w:ascii="宋体" w:hAnsi="宋体" w:eastAsia="宋体" w:cs="宋体"/>
          <w:color w:val="auto"/>
          <w:kern w:val="0"/>
          <w:szCs w:val="21"/>
        </w:rPr>
        <w:t>；</w:t>
      </w:r>
    </w:p>
    <w:p w14:paraId="0455A82A">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kern w:val="0"/>
          <w:szCs w:val="21"/>
        </w:rPr>
        <w:t>发包人提供国外标准、规范的名称：</w:t>
      </w:r>
      <w:r>
        <w:rPr>
          <w:rFonts w:hint="eastAsia" w:ascii="宋体" w:hAnsi="宋体" w:eastAsia="宋体" w:cs="宋体"/>
          <w:color w:val="auto"/>
          <w:kern w:val="0"/>
          <w:szCs w:val="21"/>
          <w:u w:val="single"/>
        </w:rPr>
        <w:t xml:space="preserve">        /              </w:t>
      </w:r>
      <w:r>
        <w:rPr>
          <w:rFonts w:hint="eastAsia" w:ascii="宋体" w:hAnsi="宋体" w:eastAsia="宋体" w:cs="宋体"/>
          <w:color w:val="auto"/>
          <w:kern w:val="0"/>
          <w:szCs w:val="21"/>
        </w:rPr>
        <w:t>。</w:t>
      </w:r>
    </w:p>
    <w:p w14:paraId="7BFD7145">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1.4.3 发包人对工程的技术标准和功能要求的特殊要求：</w:t>
      </w:r>
      <w:r>
        <w:rPr>
          <w:rFonts w:hint="eastAsia" w:ascii="宋体" w:hAnsi="宋体" w:eastAsia="宋体" w:cs="宋体"/>
          <w:color w:val="auto"/>
          <w:u w:val="single"/>
        </w:rPr>
        <w:t>根据实际施工情况</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736D3F4">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26" w:name="_Toc373478343"/>
      <w:bookmarkStart w:id="227" w:name="_Toc373227696"/>
      <w:bookmarkStart w:id="228" w:name="_Toc455732905"/>
      <w:bookmarkStart w:id="229" w:name="_Toc389065262"/>
      <w:r>
        <w:rPr>
          <w:rFonts w:hint="eastAsia" w:ascii="宋体" w:hAnsi="宋体" w:eastAsia="宋体" w:cs="宋体"/>
          <w:color w:val="auto"/>
        </w:rPr>
        <w:t>1.5 合同文件的优先顺序</w:t>
      </w:r>
      <w:bookmarkEnd w:id="226"/>
      <w:bookmarkEnd w:id="227"/>
      <w:bookmarkEnd w:id="228"/>
      <w:bookmarkEnd w:id="229"/>
    </w:p>
    <w:p w14:paraId="22A7CBDA">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合同文件组成及优先顺序为：</w:t>
      </w:r>
      <w:r>
        <w:rPr>
          <w:rFonts w:hint="eastAsia" w:ascii="宋体" w:hAnsi="宋体" w:eastAsia="宋体" w:cs="宋体"/>
          <w:color w:val="auto"/>
          <w:szCs w:val="21"/>
          <w:u w:val="single"/>
        </w:rPr>
        <w:t>（1）合同协议书；（2）中标（成交）通知书（如有）；（3）</w:t>
      </w:r>
      <w:r>
        <w:rPr>
          <w:rFonts w:hint="eastAsia" w:ascii="宋体" w:hAnsi="宋体" w:eastAsia="宋体" w:cs="宋体"/>
          <w:color w:val="auto"/>
          <w:szCs w:val="21"/>
          <w:u w:val="single"/>
          <w:lang w:val="en-US" w:eastAsia="zh-CN"/>
        </w:rPr>
        <w:t>竞标</w:t>
      </w:r>
      <w:r>
        <w:rPr>
          <w:rFonts w:hint="eastAsia" w:ascii="宋体" w:hAnsi="宋体" w:eastAsia="宋体" w:cs="宋体"/>
          <w:color w:val="auto"/>
          <w:szCs w:val="21"/>
          <w:u w:val="single"/>
        </w:rPr>
        <w:t>函及其附录（如有）；（4）专用合同条款及其附件（如有）；（5）通用合同条款；（6）图纸</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如有</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 xml:space="preserve"> ；（7）技术标准和要求</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如有</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；（8）已标价工程量清单。（</w:t>
      </w:r>
      <w:r>
        <w:rPr>
          <w:rFonts w:hint="eastAsia" w:ascii="宋体" w:hAnsi="宋体" w:eastAsia="宋体" w:cs="宋体"/>
          <w:color w:val="auto"/>
          <w:szCs w:val="21"/>
          <w:u w:val="single"/>
          <w:lang w:val="en-US" w:eastAsia="zh-CN"/>
        </w:rPr>
        <w:t>9</w:t>
      </w:r>
      <w:r>
        <w:rPr>
          <w:rFonts w:hint="eastAsia" w:ascii="宋体" w:hAnsi="宋体" w:eastAsia="宋体" w:cs="宋体"/>
          <w:color w:val="auto"/>
          <w:szCs w:val="21"/>
          <w:u w:val="single"/>
        </w:rPr>
        <w:t>）其他合同文件。在合同订立及履行过程中形成的与合同有关的文件均构成合同文件组成部分</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p w14:paraId="3DA91C65">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30" w:name="_Toc455732906"/>
      <w:bookmarkStart w:id="231" w:name="_Toc373478344"/>
      <w:bookmarkStart w:id="232" w:name="_Toc373227697"/>
      <w:bookmarkStart w:id="233" w:name="_Toc389065263"/>
      <w:r>
        <w:rPr>
          <w:rFonts w:hint="eastAsia" w:ascii="宋体" w:hAnsi="宋体" w:eastAsia="宋体" w:cs="宋体"/>
          <w:color w:val="auto"/>
        </w:rPr>
        <w:t>1.6 图纸</w:t>
      </w:r>
      <w:r>
        <w:rPr>
          <w:rFonts w:hint="eastAsia" w:ascii="宋体" w:hAnsi="宋体" w:eastAsia="宋体" w:cs="宋体"/>
          <w:color w:val="auto"/>
          <w:lang w:eastAsia="zh-CN"/>
        </w:rPr>
        <w:t>（</w:t>
      </w:r>
      <w:r>
        <w:rPr>
          <w:rFonts w:hint="eastAsia" w:ascii="宋体" w:hAnsi="宋体" w:eastAsia="宋体" w:cs="宋体"/>
          <w:color w:val="auto"/>
          <w:lang w:val="en-US" w:eastAsia="zh-CN"/>
        </w:rPr>
        <w:t>如有</w:t>
      </w:r>
      <w:r>
        <w:rPr>
          <w:rFonts w:hint="eastAsia" w:ascii="宋体" w:hAnsi="宋体" w:eastAsia="宋体" w:cs="宋体"/>
          <w:color w:val="auto"/>
          <w:lang w:eastAsia="zh-CN"/>
        </w:rPr>
        <w:t>）</w:t>
      </w:r>
      <w:r>
        <w:rPr>
          <w:rFonts w:hint="eastAsia" w:ascii="宋体" w:hAnsi="宋体" w:eastAsia="宋体" w:cs="宋体"/>
          <w:color w:val="auto"/>
        </w:rPr>
        <w:t>和承包人文件</w:t>
      </w:r>
      <w:bookmarkEnd w:id="230"/>
      <w:bookmarkEnd w:id="231"/>
      <w:bookmarkEnd w:id="232"/>
      <w:bookmarkEnd w:id="233"/>
      <w:r>
        <w:rPr>
          <w:rFonts w:hint="eastAsia" w:ascii="宋体" w:hAnsi="宋体" w:eastAsia="宋体" w:cs="宋体"/>
          <w:color w:val="auto"/>
        </w:rPr>
        <w:tab/>
      </w:r>
    </w:p>
    <w:p w14:paraId="569940EF">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1.6.1 图纸的提供</w:t>
      </w:r>
    </w:p>
    <w:p w14:paraId="3DD88787">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发包人向承包人提供图纸的期限：</w:t>
      </w:r>
      <w:r>
        <w:rPr>
          <w:rFonts w:hint="eastAsia" w:ascii="宋体" w:hAnsi="宋体" w:eastAsia="宋体" w:cs="宋体"/>
          <w:color w:val="auto"/>
          <w:szCs w:val="21"/>
          <w:u w:val="single"/>
        </w:rPr>
        <w:t>开工日期前 3 天内</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p>
    <w:p w14:paraId="0DE7234A">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发包人向承包人提供图纸的数量：</w:t>
      </w:r>
      <w:r>
        <w:rPr>
          <w:rFonts w:hint="eastAsia" w:ascii="宋体" w:hAnsi="宋体" w:eastAsia="宋体" w:cs="宋体"/>
          <w:color w:val="auto"/>
          <w:szCs w:val="21"/>
          <w:u w:val="single"/>
        </w:rPr>
        <w:t>壹套，承包人需要增加图纸套数的，发包人应代为复制，复制费用由承包人承担</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p>
    <w:p w14:paraId="05B14575">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发包人向承包人提供图纸的内容：</w:t>
      </w:r>
      <w:r>
        <w:rPr>
          <w:rFonts w:hint="eastAsia" w:ascii="宋体" w:hAnsi="宋体" w:eastAsia="宋体" w:cs="宋体"/>
          <w:color w:val="auto"/>
          <w:szCs w:val="21"/>
          <w:u w:val="single"/>
        </w:rPr>
        <w:t>见图纸目录</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p>
    <w:p w14:paraId="5D57104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1.6.4 承包人文件</w:t>
      </w:r>
    </w:p>
    <w:p w14:paraId="7FA47B4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需要由承包人提供的文件，包括：</w:t>
      </w:r>
      <w:r>
        <w:rPr>
          <w:rFonts w:hint="eastAsia" w:ascii="宋体" w:hAnsi="宋体" w:eastAsia="宋体" w:cs="宋体"/>
          <w:color w:val="auto"/>
          <w:szCs w:val="21"/>
          <w:u w:val="single"/>
        </w:rPr>
        <w:t>双方协商</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p>
    <w:p w14:paraId="1D58013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承包人提供的文件的数量为：</w:t>
      </w:r>
      <w:r>
        <w:rPr>
          <w:rFonts w:hint="eastAsia" w:ascii="宋体" w:hAnsi="宋体" w:eastAsia="宋体" w:cs="宋体"/>
          <w:color w:val="auto"/>
          <w:u w:val="single"/>
        </w:rPr>
        <w:t>一式叁份</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14:paraId="7AC0563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single"/>
        </w:rPr>
      </w:pPr>
      <w:r>
        <w:rPr>
          <w:rFonts w:hint="eastAsia" w:ascii="宋体" w:hAnsi="宋体" w:eastAsia="宋体" w:cs="宋体"/>
          <w:color w:val="auto"/>
        </w:rPr>
        <w:t>承包人提供的文件的形式为：</w:t>
      </w:r>
      <w:r>
        <w:rPr>
          <w:rFonts w:hint="eastAsia" w:ascii="宋体" w:hAnsi="宋体" w:eastAsia="宋体" w:cs="宋体"/>
          <w:color w:val="auto"/>
          <w:u w:val="single"/>
        </w:rPr>
        <w:t xml:space="preserve">纸质文件 </w:t>
      </w:r>
      <w:r>
        <w:rPr>
          <w:rFonts w:hint="eastAsia" w:ascii="宋体" w:hAnsi="宋体" w:eastAsia="宋体" w:cs="宋体"/>
          <w:color w:val="auto"/>
          <w:u w:val="none"/>
        </w:rPr>
        <w:t>；</w:t>
      </w:r>
    </w:p>
    <w:p w14:paraId="69B0D3C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发包人审批承包人文件的期限：</w:t>
      </w:r>
      <w:r>
        <w:rPr>
          <w:rFonts w:hint="eastAsia" w:ascii="宋体" w:hAnsi="宋体" w:eastAsia="宋体" w:cs="宋体"/>
          <w:color w:val="auto"/>
          <w:u w:val="single"/>
        </w:rPr>
        <w:t xml:space="preserve">收到文件后 7 天内 </w:t>
      </w:r>
      <w:r>
        <w:rPr>
          <w:rFonts w:hint="eastAsia" w:ascii="宋体" w:hAnsi="宋体" w:eastAsia="宋体" w:cs="宋体"/>
          <w:color w:val="auto"/>
        </w:rPr>
        <w:t>。</w:t>
      </w:r>
    </w:p>
    <w:p w14:paraId="7E5FFFA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1.6.5 现场图纸准备</w:t>
      </w:r>
    </w:p>
    <w:p w14:paraId="1695B57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关于现场图纸准备的约定：</w:t>
      </w:r>
      <w:r>
        <w:rPr>
          <w:rFonts w:hint="eastAsia" w:ascii="宋体" w:hAnsi="宋体" w:eastAsia="宋体" w:cs="宋体"/>
          <w:color w:val="auto"/>
          <w:szCs w:val="21"/>
          <w:u w:val="single"/>
        </w:rPr>
        <w:t>图纸会审或发包人审查后 7 天内</w:t>
      </w:r>
      <w:r>
        <w:rPr>
          <w:rFonts w:hint="eastAsia" w:ascii="宋体" w:hAnsi="宋体" w:eastAsia="宋体" w:cs="宋体"/>
          <w:color w:val="auto"/>
          <w:szCs w:val="21"/>
        </w:rPr>
        <w:t>。</w:t>
      </w:r>
    </w:p>
    <w:p w14:paraId="66874B8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34" w:name="_Toc455732907"/>
      <w:bookmarkStart w:id="235" w:name="_Toc389065264"/>
      <w:bookmarkStart w:id="236" w:name="_Toc373227698"/>
      <w:bookmarkStart w:id="237" w:name="_Toc373478345"/>
      <w:r>
        <w:rPr>
          <w:rFonts w:hint="eastAsia" w:ascii="宋体" w:hAnsi="宋体" w:eastAsia="宋体" w:cs="宋体"/>
          <w:color w:val="auto"/>
        </w:rPr>
        <w:t>1.7 联络</w:t>
      </w:r>
      <w:bookmarkEnd w:id="234"/>
      <w:bookmarkEnd w:id="235"/>
      <w:bookmarkEnd w:id="236"/>
      <w:bookmarkEnd w:id="237"/>
    </w:p>
    <w:p w14:paraId="473BA73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1.7.1发包人和承包人应当在</w:t>
      </w:r>
      <w:r>
        <w:rPr>
          <w:rFonts w:hint="eastAsia" w:ascii="宋体" w:hAnsi="宋体" w:eastAsia="宋体" w:cs="宋体"/>
          <w:color w:val="auto"/>
          <w:szCs w:val="21"/>
          <w:u w:val="single"/>
        </w:rPr>
        <w:t xml:space="preserve">7 </w:t>
      </w:r>
      <w:r>
        <w:rPr>
          <w:rFonts w:hint="eastAsia" w:ascii="宋体" w:hAnsi="宋体" w:eastAsia="宋体" w:cs="宋体"/>
          <w:color w:val="auto"/>
          <w:kern w:val="0"/>
          <w:szCs w:val="21"/>
        </w:rPr>
        <w:t>天内将与合同有关的通知、批准、证明、证书、指示、指令、要求、请求、同意、意见、确定和决定等书面函件送达对方当事人。</w:t>
      </w:r>
    </w:p>
    <w:p w14:paraId="101B9F7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1.7.2 发包人接收文件的地点：</w:t>
      </w:r>
      <w:r>
        <w:rPr>
          <w:rFonts w:hint="eastAsia" w:ascii="宋体" w:hAnsi="宋体" w:eastAsia="宋体" w:cs="宋体"/>
          <w:color w:val="auto"/>
          <w:szCs w:val="21"/>
          <w:u w:val="single"/>
        </w:rPr>
        <w:t>梧州市</w:t>
      </w:r>
      <w:r>
        <w:rPr>
          <w:rFonts w:hint="eastAsia" w:ascii="宋体" w:hAnsi="宋体" w:eastAsia="宋体" w:cs="宋体"/>
          <w:color w:val="auto"/>
          <w:kern w:val="0"/>
          <w:szCs w:val="21"/>
        </w:rPr>
        <w:t>；</w:t>
      </w:r>
    </w:p>
    <w:p w14:paraId="16C27B8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发包人指定的接收人为：</w:t>
      </w:r>
      <w:r>
        <w:rPr>
          <w:rFonts w:hint="eastAsia" w:ascii="宋体" w:hAnsi="宋体" w:eastAsia="宋体" w:cs="宋体"/>
          <w:color w:val="auto"/>
          <w:szCs w:val="21"/>
          <w:u w:val="single"/>
        </w:rPr>
        <w:t>工地代表（可委托）</w:t>
      </w:r>
      <w:r>
        <w:rPr>
          <w:rFonts w:hint="eastAsia" w:ascii="宋体" w:hAnsi="宋体" w:eastAsia="宋体" w:cs="宋体"/>
          <w:color w:val="auto"/>
          <w:kern w:val="0"/>
          <w:szCs w:val="21"/>
        </w:rPr>
        <w:t>。</w:t>
      </w:r>
    </w:p>
    <w:p w14:paraId="58895BB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承包人接收文件的地点：</w:t>
      </w:r>
      <w:r>
        <w:rPr>
          <w:rFonts w:hint="eastAsia" w:ascii="宋体" w:hAnsi="宋体" w:eastAsia="宋体" w:cs="宋体"/>
          <w:color w:val="auto"/>
          <w:szCs w:val="21"/>
          <w:u w:val="single"/>
        </w:rPr>
        <w:t>承包人项目部办公室</w:t>
      </w:r>
      <w:r>
        <w:rPr>
          <w:rFonts w:hint="eastAsia" w:ascii="宋体" w:hAnsi="宋体" w:eastAsia="宋体" w:cs="宋体"/>
          <w:color w:val="auto"/>
          <w:kern w:val="0"/>
          <w:szCs w:val="21"/>
        </w:rPr>
        <w:t>；</w:t>
      </w:r>
    </w:p>
    <w:p w14:paraId="2EC1E94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承包人指定的接收人为：</w:t>
      </w:r>
      <w:r>
        <w:rPr>
          <w:rFonts w:hint="eastAsia" w:ascii="宋体" w:hAnsi="宋体" w:eastAsia="宋体" w:cs="宋体"/>
          <w:color w:val="auto"/>
          <w:szCs w:val="21"/>
          <w:u w:val="single"/>
        </w:rPr>
        <w:t>项目经理（可委托）</w:t>
      </w:r>
      <w:r>
        <w:rPr>
          <w:rFonts w:hint="eastAsia" w:ascii="宋体" w:hAnsi="宋体" w:eastAsia="宋体" w:cs="宋体"/>
          <w:color w:val="auto"/>
          <w:kern w:val="0"/>
          <w:szCs w:val="21"/>
        </w:rPr>
        <w:t>。</w:t>
      </w:r>
    </w:p>
    <w:p w14:paraId="06888B2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监理人接收文件的地点：</w:t>
      </w:r>
      <w:r>
        <w:rPr>
          <w:rFonts w:hint="eastAsia" w:ascii="宋体" w:hAnsi="宋体" w:eastAsia="宋体" w:cs="宋体"/>
          <w:color w:val="auto"/>
          <w:szCs w:val="21"/>
          <w:u w:val="single"/>
        </w:rPr>
        <w:t>项目监理部</w:t>
      </w:r>
      <w:r>
        <w:rPr>
          <w:rFonts w:hint="eastAsia" w:ascii="宋体" w:hAnsi="宋体" w:eastAsia="宋体" w:cs="宋体"/>
          <w:color w:val="auto"/>
          <w:kern w:val="0"/>
          <w:szCs w:val="21"/>
        </w:rPr>
        <w:t>；</w:t>
      </w:r>
    </w:p>
    <w:p w14:paraId="56A1B10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监理人指定的接收人为：</w:t>
      </w:r>
      <w:r>
        <w:rPr>
          <w:rFonts w:hint="eastAsia" w:ascii="宋体" w:hAnsi="宋体" w:eastAsia="宋体" w:cs="宋体"/>
          <w:color w:val="auto"/>
          <w:szCs w:val="21"/>
          <w:u w:val="single"/>
        </w:rPr>
        <w:t>总监理工程（可委托）</w:t>
      </w:r>
      <w:r>
        <w:rPr>
          <w:rFonts w:hint="eastAsia" w:ascii="宋体" w:hAnsi="宋体" w:eastAsia="宋体" w:cs="宋体"/>
          <w:color w:val="auto"/>
          <w:kern w:val="0"/>
          <w:szCs w:val="21"/>
        </w:rPr>
        <w:t>。</w:t>
      </w:r>
    </w:p>
    <w:p w14:paraId="39C7914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38" w:name="_Toc373478346"/>
      <w:bookmarkStart w:id="239" w:name="_Toc455732908"/>
      <w:bookmarkStart w:id="240" w:name="_Toc389065265"/>
      <w:bookmarkStart w:id="241" w:name="_Toc373227699"/>
      <w:r>
        <w:rPr>
          <w:rFonts w:hint="eastAsia" w:ascii="宋体" w:hAnsi="宋体" w:eastAsia="宋体" w:cs="宋体"/>
          <w:color w:val="auto"/>
        </w:rPr>
        <w:t>1.10 交通运输</w:t>
      </w:r>
      <w:bookmarkEnd w:id="238"/>
      <w:bookmarkEnd w:id="239"/>
      <w:bookmarkEnd w:id="240"/>
      <w:bookmarkEnd w:id="241"/>
    </w:p>
    <w:p w14:paraId="3995376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w:t>
      </w:r>
      <w:bookmarkStart w:id="242" w:name="_Toc303539100"/>
      <w:bookmarkStart w:id="243" w:name="_Toc312677986"/>
      <w:bookmarkStart w:id="244" w:name="_Toc304295521"/>
      <w:bookmarkStart w:id="245" w:name="_Toc318581155"/>
      <w:bookmarkStart w:id="246" w:name="_Toc300934943"/>
      <w:r>
        <w:rPr>
          <w:rFonts w:hint="eastAsia" w:ascii="宋体" w:hAnsi="宋体" w:eastAsia="宋体" w:cs="宋体"/>
          <w:color w:val="auto"/>
          <w:szCs w:val="21"/>
        </w:rPr>
        <w:t>.10.1 出入现场的权利</w:t>
      </w:r>
    </w:p>
    <w:p w14:paraId="63BAF98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关于出入现场的权利的约定：</w:t>
      </w:r>
      <w:r>
        <w:rPr>
          <w:rFonts w:hint="eastAsia" w:ascii="宋体" w:hAnsi="宋体" w:eastAsia="宋体" w:cs="宋体"/>
          <w:color w:val="auto"/>
          <w:szCs w:val="21"/>
          <w:u w:val="single"/>
        </w:rPr>
        <w:t>发包方管理人员、监理方管理人员可自由出入，但不得影响承包方的正常施工</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bookmarkEnd w:id="242"/>
    <w:bookmarkEnd w:id="243"/>
    <w:bookmarkEnd w:id="244"/>
    <w:bookmarkEnd w:id="245"/>
    <w:bookmarkEnd w:id="246"/>
    <w:p w14:paraId="00A868B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w:t>
      </w:r>
      <w:bookmarkStart w:id="247" w:name="_Toc300934944"/>
      <w:bookmarkStart w:id="248" w:name="_Toc303539101"/>
      <w:bookmarkStart w:id="249" w:name="_Toc312677987"/>
      <w:bookmarkStart w:id="250" w:name="_Toc318581156"/>
      <w:bookmarkStart w:id="251" w:name="_Toc304295522"/>
      <w:r>
        <w:rPr>
          <w:rFonts w:hint="eastAsia" w:ascii="宋体" w:hAnsi="宋体" w:eastAsia="宋体" w:cs="宋体"/>
          <w:color w:val="auto"/>
          <w:szCs w:val="21"/>
        </w:rPr>
        <w:t>.10.3 场内交通</w:t>
      </w:r>
    </w:p>
    <w:p w14:paraId="3C255D4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关于场外交通和场内交通的边界的约定：</w:t>
      </w:r>
      <w:r>
        <w:rPr>
          <w:rFonts w:hint="eastAsia" w:ascii="宋体" w:hAnsi="宋体" w:eastAsia="宋体" w:cs="宋体"/>
          <w:color w:val="auto"/>
          <w:szCs w:val="21"/>
          <w:u w:val="single"/>
        </w:rPr>
        <w:t xml:space="preserve">发包方、承包方和监理方现场确定 </w:t>
      </w:r>
      <w:r>
        <w:rPr>
          <w:rFonts w:hint="eastAsia" w:ascii="宋体" w:hAnsi="宋体" w:eastAsia="宋体" w:cs="宋体"/>
          <w:color w:val="auto"/>
          <w:szCs w:val="21"/>
        </w:rPr>
        <w:t>。</w:t>
      </w:r>
    </w:p>
    <w:p w14:paraId="1C8AA36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关于发包人向承包人免费提供满足工程施工需要的场内道路和交通设施的约定：</w:t>
      </w:r>
      <w:r>
        <w:rPr>
          <w:rFonts w:hint="eastAsia" w:ascii="宋体" w:hAnsi="宋体" w:eastAsia="宋体" w:cs="宋体"/>
          <w:color w:val="auto"/>
          <w:szCs w:val="21"/>
          <w:u w:val="single"/>
        </w:rPr>
        <w:t xml:space="preserve">发包方、承包方和监理方现场确定 </w:t>
      </w:r>
      <w:r>
        <w:rPr>
          <w:rFonts w:hint="eastAsia" w:ascii="宋体" w:hAnsi="宋体" w:eastAsia="宋体" w:cs="宋体"/>
          <w:color w:val="auto"/>
          <w:szCs w:val="21"/>
        </w:rPr>
        <w:t>。</w:t>
      </w:r>
      <w:bookmarkEnd w:id="247"/>
      <w:bookmarkEnd w:id="248"/>
      <w:bookmarkEnd w:id="249"/>
      <w:bookmarkEnd w:id="250"/>
      <w:bookmarkEnd w:id="251"/>
      <w:bookmarkStart w:id="252" w:name="_Toc318581157"/>
    </w:p>
    <w:p w14:paraId="76D5063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1.10.4 超大件和超重件的运输</w:t>
      </w:r>
    </w:p>
    <w:p w14:paraId="6188445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运输超大件或超重件所需的道路和桥梁临时加固改造费用和其他有关费用由</w:t>
      </w:r>
      <w:r>
        <w:rPr>
          <w:rFonts w:hint="eastAsia" w:ascii="宋体" w:hAnsi="宋体" w:eastAsia="宋体" w:cs="宋体"/>
          <w:color w:val="auto"/>
          <w:szCs w:val="21"/>
          <w:u w:val="single"/>
        </w:rPr>
        <w:t xml:space="preserve"> 承包人 </w:t>
      </w:r>
      <w:r>
        <w:rPr>
          <w:rFonts w:hint="eastAsia" w:ascii="宋体" w:hAnsi="宋体" w:eastAsia="宋体" w:cs="宋体"/>
          <w:color w:val="auto"/>
          <w:szCs w:val="21"/>
        </w:rPr>
        <w:t>承担。</w:t>
      </w:r>
    </w:p>
    <w:bookmarkEnd w:id="252"/>
    <w:p w14:paraId="7D8F862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53" w:name="_Toc373478347"/>
      <w:bookmarkStart w:id="254" w:name="_Toc389065266"/>
      <w:bookmarkStart w:id="255" w:name="_Toc373227700"/>
      <w:bookmarkStart w:id="256" w:name="_Toc455732909"/>
      <w:r>
        <w:rPr>
          <w:rFonts w:hint="eastAsia" w:ascii="宋体" w:hAnsi="宋体" w:eastAsia="宋体" w:cs="宋体"/>
          <w:color w:val="auto"/>
        </w:rPr>
        <w:t>1.11 知识产权</w:t>
      </w:r>
      <w:bookmarkEnd w:id="253"/>
      <w:bookmarkEnd w:id="254"/>
      <w:bookmarkEnd w:id="255"/>
      <w:bookmarkEnd w:id="256"/>
    </w:p>
    <w:p w14:paraId="27121A5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1.11.1 关于发包人提供给承包人的图纸</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r>
        <w:rPr>
          <w:rFonts w:hint="eastAsia" w:ascii="宋体" w:hAnsi="宋体" w:eastAsia="宋体" w:cs="宋体"/>
          <w:color w:val="auto"/>
          <w:szCs w:val="21"/>
        </w:rPr>
        <w:t>、发包人为实施工程自行编制或委托编制的技术规范以及反映发包人关于合同要求或其他类似性质的文件的著作权的归属：</w:t>
      </w:r>
      <w:r>
        <w:rPr>
          <w:rFonts w:hint="eastAsia" w:ascii="宋体" w:hAnsi="宋体" w:eastAsia="宋体" w:cs="宋体"/>
          <w:color w:val="auto"/>
          <w:szCs w:val="21"/>
          <w:u w:val="single"/>
        </w:rPr>
        <w:t xml:space="preserve">双方可就本合同涉及的合同一方、或合同双方（含一方或双方相关的专利商、第三方设计单位或设计人)的技术专利、建筑设计方案、专有技术、设计文件著作权等知识产权，签订知识产权及保密协议，作为本合同的组成部分 </w:t>
      </w:r>
      <w:r>
        <w:rPr>
          <w:rFonts w:hint="eastAsia" w:ascii="宋体" w:hAnsi="宋体" w:eastAsia="宋体" w:cs="宋体"/>
          <w:color w:val="auto"/>
          <w:szCs w:val="21"/>
        </w:rPr>
        <w:t>。</w:t>
      </w:r>
    </w:p>
    <w:p w14:paraId="615A6EA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关于发包人提供的上述文件的使用限制的要求：</w:t>
      </w:r>
      <w:r>
        <w:rPr>
          <w:rFonts w:hint="eastAsia" w:ascii="宋体" w:hAnsi="宋体" w:eastAsia="宋体" w:cs="宋体"/>
          <w:color w:val="auto"/>
          <w:szCs w:val="21"/>
          <w:u w:val="single"/>
        </w:rPr>
        <w:t xml:space="preserve"> 双方另行约定 </w:t>
      </w:r>
      <w:r>
        <w:rPr>
          <w:rFonts w:hint="eastAsia" w:ascii="宋体" w:hAnsi="宋体" w:eastAsia="宋体" w:cs="宋体"/>
          <w:color w:val="auto"/>
          <w:szCs w:val="21"/>
        </w:rPr>
        <w:t>。</w:t>
      </w:r>
    </w:p>
    <w:p w14:paraId="33B5703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1.11.2 关于承包人为实施工程所编制文件的著作权的归属：</w:t>
      </w:r>
      <w:r>
        <w:rPr>
          <w:rFonts w:hint="eastAsia" w:ascii="宋体" w:hAnsi="宋体" w:eastAsia="宋体" w:cs="宋体"/>
          <w:color w:val="auto"/>
          <w:szCs w:val="21"/>
          <w:u w:val="single"/>
        </w:rPr>
        <w:t xml:space="preserve">双方可就本合同涉及的合同一方、或合同双方（含一方或双方相关的专利商、第三方设计单位或设计人)的技术专利、建筑设计方案、专有技术、设计文件著作权等知识产权，签订知识产权及保密协议，作为本合同的组成部分 </w:t>
      </w:r>
      <w:r>
        <w:rPr>
          <w:rFonts w:hint="eastAsia" w:ascii="宋体" w:hAnsi="宋体" w:eastAsia="宋体" w:cs="宋体"/>
          <w:color w:val="auto"/>
          <w:szCs w:val="21"/>
        </w:rPr>
        <w:t>。</w:t>
      </w:r>
    </w:p>
    <w:p w14:paraId="52A6650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关于承包人提供的上述文件的使用限制的要求：</w:t>
      </w:r>
      <w:r>
        <w:rPr>
          <w:rFonts w:hint="eastAsia" w:ascii="宋体" w:hAnsi="宋体" w:eastAsia="宋体" w:cs="宋体"/>
          <w:color w:val="auto"/>
          <w:szCs w:val="21"/>
          <w:u w:val="single"/>
        </w:rPr>
        <w:t>双方另行约定</w:t>
      </w:r>
      <w:r>
        <w:rPr>
          <w:rFonts w:hint="eastAsia" w:ascii="宋体" w:hAnsi="宋体" w:eastAsia="宋体" w:cs="宋体"/>
          <w:color w:val="auto"/>
          <w:szCs w:val="21"/>
        </w:rPr>
        <w:t>。</w:t>
      </w:r>
    </w:p>
    <w:p w14:paraId="68CB840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szCs w:val="21"/>
        </w:rPr>
        <w:t>1.11.4 承包人在施工过程中所采用的专利、专有技术、技术秘密的使用费的承担方式：</w:t>
      </w:r>
      <w:r>
        <w:rPr>
          <w:rFonts w:hint="eastAsia" w:ascii="宋体" w:hAnsi="宋体" w:eastAsia="宋体" w:cs="宋体"/>
          <w:color w:val="auto"/>
          <w:szCs w:val="21"/>
          <w:u w:val="single"/>
        </w:rPr>
        <w:t xml:space="preserve">承包人承担 </w:t>
      </w:r>
      <w:r>
        <w:rPr>
          <w:rFonts w:hint="eastAsia" w:ascii="宋体" w:hAnsi="宋体" w:eastAsia="宋体" w:cs="宋体"/>
          <w:color w:val="auto"/>
          <w:kern w:val="0"/>
          <w:szCs w:val="21"/>
        </w:rPr>
        <w:t>。</w:t>
      </w:r>
    </w:p>
    <w:p w14:paraId="3257F5F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57" w:name="_Toc373227701"/>
      <w:bookmarkStart w:id="258" w:name="_Toc373478348"/>
      <w:bookmarkStart w:id="259" w:name="_Toc389065267"/>
      <w:bookmarkStart w:id="260" w:name="_Toc455732910"/>
      <w:r>
        <w:rPr>
          <w:rFonts w:hint="eastAsia" w:ascii="宋体" w:hAnsi="宋体" w:eastAsia="宋体" w:cs="宋体"/>
          <w:color w:val="auto"/>
        </w:rPr>
        <w:t>1.13工程量清单错误的修正</w:t>
      </w:r>
      <w:bookmarkEnd w:id="257"/>
      <w:bookmarkEnd w:id="258"/>
      <w:bookmarkEnd w:id="259"/>
      <w:bookmarkEnd w:id="260"/>
    </w:p>
    <w:p w14:paraId="06F7DD4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出现工程量清单工程量偏差时，是否调整合同价格：</w:t>
      </w:r>
      <w:r>
        <w:rPr>
          <w:rFonts w:hint="eastAsia" w:ascii="宋体" w:hAnsi="宋体" w:eastAsia="宋体" w:cs="宋体"/>
          <w:bCs/>
          <w:color w:val="auto"/>
          <w:szCs w:val="21"/>
          <w:u w:val="single"/>
        </w:rPr>
        <w:t>因涉及变更引起工程项目、工程量变化的，经发包人同意后可变更合同价款</w:t>
      </w:r>
      <w:r>
        <w:rPr>
          <w:rFonts w:hint="eastAsia" w:ascii="宋体" w:hAnsi="宋体" w:eastAsia="宋体" w:cs="宋体"/>
          <w:bCs/>
          <w:color w:val="auto"/>
          <w:szCs w:val="21"/>
          <w:u w:val="single"/>
          <w:lang w:val="en-US" w:eastAsia="zh-CN"/>
        </w:rPr>
        <w:t xml:space="preserve"> </w:t>
      </w:r>
      <w:r>
        <w:rPr>
          <w:rFonts w:hint="eastAsia" w:ascii="宋体" w:hAnsi="宋体" w:eastAsia="宋体" w:cs="宋体"/>
          <w:color w:val="auto"/>
          <w:kern w:val="0"/>
          <w:szCs w:val="21"/>
        </w:rPr>
        <w:t>。</w:t>
      </w:r>
    </w:p>
    <w:p w14:paraId="10263C46">
      <w:pPr>
        <w:pStyle w:val="10"/>
        <w:keepNext w:val="0"/>
        <w:keepLines w:val="0"/>
        <w:pageBreakBefore w:val="0"/>
        <w:widowControl w:val="0"/>
        <w:kinsoku/>
        <w:wordWrap/>
        <w:overflowPunct/>
        <w:topLinePunct w:val="0"/>
        <w:autoSpaceDE/>
        <w:autoSpaceDN/>
        <w:bidi w:val="0"/>
        <w:adjustRightInd w:val="0"/>
        <w:snapToGrid w:val="0"/>
        <w:spacing w:line="440" w:lineRule="atLeast"/>
        <w:ind w:left="0" w:leftChars="0"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允许调整合同价格的工程量偏差范围及其调整办法：</w:t>
      </w:r>
      <w:r>
        <w:rPr>
          <w:rFonts w:hint="eastAsia" w:ascii="宋体" w:hAnsi="宋体" w:eastAsia="宋体" w:cs="宋体"/>
          <w:bCs/>
          <w:color w:val="auto"/>
          <w:sz w:val="21"/>
          <w:szCs w:val="21"/>
          <w:u w:val="single"/>
          <w:lang w:val="en-US" w:eastAsia="zh-CN"/>
        </w:rPr>
        <w:t>（1）经评审的综合单价固定，按实际工程量结算。（2）</w:t>
      </w:r>
      <w:r>
        <w:rPr>
          <w:rFonts w:hint="eastAsia" w:ascii="宋体" w:hAnsi="宋体" w:eastAsia="宋体" w:cs="宋体"/>
          <w:color w:val="auto"/>
          <w:sz w:val="21"/>
          <w:szCs w:val="21"/>
          <w:u w:val="single"/>
        </w:rPr>
        <w:t>增减工程量时，经评审招标的工程量清单，已标价工程量清单中有适用于变更工作的子目的，采用该子目的单价</w:t>
      </w:r>
      <w:r>
        <w:rPr>
          <w:rFonts w:hint="eastAsia" w:ascii="宋体" w:hAnsi="宋体" w:eastAsia="宋体" w:cs="宋体"/>
          <w:bCs/>
          <w:color w:val="auto"/>
          <w:sz w:val="21"/>
          <w:szCs w:val="21"/>
          <w:u w:val="single"/>
          <w:lang w:val="en-US" w:eastAsia="zh-CN"/>
        </w:rPr>
        <w:t>。（3）</w:t>
      </w:r>
      <w:r>
        <w:rPr>
          <w:rFonts w:hint="eastAsia" w:ascii="宋体" w:hAnsi="宋体" w:eastAsia="宋体" w:cs="宋体"/>
          <w:color w:val="auto"/>
          <w:sz w:val="21"/>
          <w:szCs w:val="21"/>
          <w:u w:val="single"/>
        </w:rPr>
        <w:t>增减工程量时，经评审招标的工程量清单，已标价工程量清单中无适用于变更工作的子目，但有类似子目的，可在合理范围内参照类似子目的单价，由发包人确定变更工作的单价</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4</w:t>
      </w:r>
      <w:r>
        <w:rPr>
          <w:rFonts w:hint="eastAsia" w:ascii="宋体" w:hAnsi="宋体" w:eastAsia="宋体" w:cs="宋体"/>
          <w:color w:val="auto"/>
          <w:sz w:val="21"/>
          <w:szCs w:val="21"/>
          <w:u w:val="single"/>
          <w:lang w:eastAsia="zh-CN"/>
        </w:rPr>
        <w:t>）经评审招标的工程量清单，中标报价无适用或类似子目的单价，按预算定额计算出预算价，材料价格参照《梧州市建设工程造价信息》和采购人提供的材料价；《梧州市建设工程造价信息》缺项，由</w:t>
      </w:r>
      <w:r>
        <w:rPr>
          <w:rFonts w:hint="eastAsia" w:hAnsi="宋体" w:cs="宋体"/>
          <w:color w:val="auto"/>
          <w:sz w:val="21"/>
          <w:szCs w:val="21"/>
          <w:u w:val="single"/>
          <w:lang w:val="en-US" w:eastAsia="zh-CN"/>
        </w:rPr>
        <w:t>供应商</w:t>
      </w:r>
      <w:r>
        <w:rPr>
          <w:rFonts w:hint="eastAsia" w:ascii="宋体" w:hAnsi="宋体" w:eastAsia="宋体" w:cs="宋体"/>
          <w:color w:val="auto"/>
          <w:sz w:val="21"/>
          <w:szCs w:val="21"/>
          <w:u w:val="single"/>
          <w:lang w:eastAsia="zh-CN"/>
        </w:rPr>
        <w:t>自行调查询价，最终以市财政评审审核确定。并下浮15%得出增减造价。（</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变更的增加工程审核和审批要求：按梧州市人民政府《关于进一步规范市本级政府投资项目资金管理有关事项的通知》 （梧政发【2018】28号）及有关文件办理。如实施过程中，设计变更增加工程不按规定未经有关部门审批就实施，造成日后结算梧州市财政局不予以确认的一切责任，由承包人承担</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kern w:val="0"/>
          <w:szCs w:val="21"/>
        </w:rPr>
        <w:t>。</w:t>
      </w:r>
    </w:p>
    <w:p w14:paraId="7ADD7B4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61" w:name="_Toc455732911"/>
      <w:bookmarkStart w:id="262" w:name="_Toc351203634"/>
      <w:bookmarkStart w:id="263" w:name="_Toc373227702"/>
      <w:bookmarkStart w:id="264" w:name="_Toc373478349"/>
      <w:bookmarkStart w:id="265" w:name="_Toc389065268"/>
      <w:r>
        <w:rPr>
          <w:rFonts w:hint="eastAsia" w:ascii="宋体" w:hAnsi="宋体" w:eastAsia="宋体" w:cs="宋体"/>
          <w:color w:val="auto"/>
        </w:rPr>
        <w:t>2</w:t>
      </w:r>
      <w:bookmarkStart w:id="266" w:name="_Toc297048343"/>
      <w:bookmarkStart w:id="267" w:name="_Toc296890985"/>
      <w:bookmarkStart w:id="268" w:name="_Toc292559867"/>
      <w:bookmarkStart w:id="269" w:name="_Toc296347156"/>
      <w:bookmarkStart w:id="270" w:name="_Toc296346658"/>
      <w:bookmarkStart w:id="271" w:name="_Toc296891197"/>
      <w:bookmarkStart w:id="272" w:name="_Toc297120457"/>
      <w:bookmarkStart w:id="273" w:name="_Toc292559362"/>
      <w:bookmarkStart w:id="274" w:name="_Toc296503157"/>
      <w:bookmarkStart w:id="275" w:name="_Toc296944496"/>
      <w:r>
        <w:rPr>
          <w:rFonts w:hint="eastAsia" w:ascii="宋体" w:hAnsi="宋体" w:eastAsia="宋体" w:cs="宋体"/>
          <w:color w:val="auto"/>
        </w:rPr>
        <w:t>. 发包人</w:t>
      </w:r>
      <w:bookmarkEnd w:id="261"/>
      <w:bookmarkEnd w:id="262"/>
      <w:bookmarkEnd w:id="263"/>
      <w:bookmarkEnd w:id="264"/>
      <w:bookmarkEnd w:id="265"/>
    </w:p>
    <w:bookmarkEnd w:id="266"/>
    <w:bookmarkEnd w:id="267"/>
    <w:bookmarkEnd w:id="268"/>
    <w:bookmarkEnd w:id="269"/>
    <w:bookmarkEnd w:id="270"/>
    <w:bookmarkEnd w:id="271"/>
    <w:bookmarkEnd w:id="272"/>
    <w:bookmarkEnd w:id="273"/>
    <w:bookmarkEnd w:id="274"/>
    <w:bookmarkEnd w:id="275"/>
    <w:p w14:paraId="6C51F19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76" w:name="_Toc455732912"/>
      <w:bookmarkStart w:id="277" w:name="_Toc373227703"/>
      <w:bookmarkStart w:id="278" w:name="_Toc389065269"/>
      <w:bookmarkStart w:id="279" w:name="_Toc373478350"/>
      <w:r>
        <w:rPr>
          <w:rFonts w:hint="eastAsia" w:ascii="宋体" w:hAnsi="宋体" w:eastAsia="宋体" w:cs="宋体"/>
          <w:color w:val="auto"/>
        </w:rPr>
        <w:t>2.2 发包人代表</w:t>
      </w:r>
      <w:bookmarkEnd w:id="276"/>
      <w:bookmarkEnd w:id="277"/>
      <w:bookmarkEnd w:id="278"/>
      <w:bookmarkEnd w:id="279"/>
    </w:p>
    <w:p w14:paraId="5338C41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发包人代表：</w:t>
      </w:r>
    </w:p>
    <w:p w14:paraId="52E6528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51931A9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身份证号：</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2932F52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职    务：</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4D4F64B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   </w:t>
      </w:r>
      <w:r>
        <w:rPr>
          <w:rFonts w:hint="eastAsia" w:ascii="宋体" w:hAnsi="宋体" w:eastAsia="宋体" w:cs="宋体"/>
          <w:color w:val="auto"/>
          <w:szCs w:val="21"/>
        </w:rPr>
        <w:t>；</w:t>
      </w:r>
    </w:p>
    <w:p w14:paraId="1B80775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   </w:t>
      </w:r>
      <w:r>
        <w:rPr>
          <w:rFonts w:hint="eastAsia" w:ascii="宋体" w:hAnsi="宋体" w:eastAsia="宋体" w:cs="宋体"/>
          <w:color w:val="auto"/>
          <w:szCs w:val="21"/>
        </w:rPr>
        <w:t>；</w:t>
      </w:r>
    </w:p>
    <w:p w14:paraId="38EB211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通信地址：</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4F74ED1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发包人对发包人代表的授权范围如下：</w:t>
      </w:r>
      <w:r>
        <w:rPr>
          <w:rFonts w:hint="eastAsia" w:ascii="宋体" w:hAnsi="宋体" w:eastAsia="宋体" w:cs="宋体"/>
          <w:color w:val="auto"/>
          <w:szCs w:val="21"/>
          <w:u w:val="single"/>
        </w:rPr>
        <w:t>（1）负责工程施工现场的管理；（2）负责协调与工程项目有关的事项；（3）工程量确认；（4）同意监理工程师发布开工令、停工令及复工令；（5）确认或修改承包人的施工组织设计和工程进度计划；（6）对进度的检查、监督和提出改进措施；（7）对承包人延期开工要求进行答复；（8）以通知方式推迟开工日期；（9）暂停施工并提出处理意见，对承包人复工要求进行答复；（10）确认工期顺延；（11）对承包人工程质量检查检验；（12）工程质量达不到约定标准的部分，要求承包人拆除和重新施工</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13）隐蔽工程验收；（14）隐蔽工程重新检验；（15）根据本款（17）项确认或修改承包人提出的调整金额；（16）核实承包人已完工程量；（17）要求更换承包人采购的不符合要求的材料设备；（18）要求承包人对采购的材料设备在使用前进行检验或试验；（19）批准承包人使用替代材料；（20）同意承包人提出的合理化建议；（21）确认变更价款；（22）答复索赔</w:t>
      </w:r>
      <w:r>
        <w:rPr>
          <w:rFonts w:hint="eastAsia" w:ascii="宋体" w:hAnsi="宋体" w:eastAsia="宋体" w:cs="宋体"/>
          <w:color w:val="auto"/>
          <w:szCs w:val="21"/>
          <w:u w:val="none"/>
        </w:rPr>
        <w:t>。</w:t>
      </w:r>
    </w:p>
    <w:p w14:paraId="032CD68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80" w:name="_Toc373478351"/>
      <w:bookmarkStart w:id="281" w:name="_Toc455732913"/>
      <w:bookmarkStart w:id="282" w:name="_Toc389065270"/>
      <w:bookmarkStart w:id="283" w:name="_Toc373227704"/>
      <w:r>
        <w:rPr>
          <w:rFonts w:hint="eastAsia" w:ascii="宋体" w:hAnsi="宋体" w:eastAsia="宋体" w:cs="宋体"/>
          <w:color w:val="auto"/>
        </w:rPr>
        <w:t>2.4 施工现场、施工条件和基础资料的提供</w:t>
      </w:r>
      <w:bookmarkEnd w:id="280"/>
      <w:bookmarkEnd w:id="281"/>
      <w:bookmarkEnd w:id="282"/>
      <w:bookmarkEnd w:id="283"/>
    </w:p>
    <w:p w14:paraId="3C59E1B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2.4.1 提供施工现场</w:t>
      </w:r>
    </w:p>
    <w:p w14:paraId="12338DA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关于发包人移交施工现场的期限要求：</w:t>
      </w:r>
      <w:r>
        <w:rPr>
          <w:rFonts w:hint="eastAsia" w:ascii="宋体" w:hAnsi="宋体" w:eastAsia="宋体" w:cs="宋体"/>
          <w:color w:val="auto"/>
          <w:szCs w:val="21"/>
          <w:u w:val="single"/>
        </w:rPr>
        <w:t xml:space="preserve">开工前七天  </w:t>
      </w:r>
      <w:r>
        <w:rPr>
          <w:rFonts w:hint="eastAsia" w:ascii="宋体" w:hAnsi="宋体" w:eastAsia="宋体" w:cs="宋体"/>
          <w:color w:val="auto"/>
          <w:szCs w:val="21"/>
        </w:rPr>
        <w:t>。</w:t>
      </w:r>
    </w:p>
    <w:p w14:paraId="108F51D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2.4.2 提供施工条件</w:t>
      </w:r>
    </w:p>
    <w:p w14:paraId="3F05163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关于发包人应负责提供施工所需要的条件，包括：</w:t>
      </w:r>
      <w:r>
        <w:rPr>
          <w:rFonts w:hint="eastAsia" w:ascii="宋体" w:hAnsi="宋体" w:eastAsia="宋体" w:cs="宋体"/>
          <w:color w:val="auto"/>
          <w:szCs w:val="21"/>
          <w:u w:val="single"/>
        </w:rPr>
        <w:t xml:space="preserve">水通、电通、道路通，但费用由承包人承担，施工用水、用电开户由承包方自行解决，发包人可协助办理相关手续 </w:t>
      </w:r>
      <w:r>
        <w:rPr>
          <w:rFonts w:hint="eastAsia" w:ascii="宋体" w:hAnsi="宋体" w:eastAsia="宋体" w:cs="宋体"/>
          <w:color w:val="auto"/>
          <w:szCs w:val="21"/>
        </w:rPr>
        <w:t>。</w:t>
      </w:r>
    </w:p>
    <w:p w14:paraId="4890830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84" w:name="_Toc389065271"/>
      <w:bookmarkStart w:id="285" w:name="_Toc455732914"/>
      <w:bookmarkStart w:id="286" w:name="_Toc373478352"/>
      <w:bookmarkStart w:id="287" w:name="_Toc373227705"/>
      <w:r>
        <w:rPr>
          <w:rFonts w:hint="eastAsia" w:ascii="宋体" w:hAnsi="宋体" w:eastAsia="宋体" w:cs="宋体"/>
          <w:color w:val="auto"/>
        </w:rPr>
        <w:t>2.5 资金来源证明及支付担保</w:t>
      </w:r>
      <w:bookmarkEnd w:id="284"/>
      <w:bookmarkEnd w:id="285"/>
      <w:bookmarkEnd w:id="286"/>
      <w:bookmarkEnd w:id="287"/>
    </w:p>
    <w:p w14:paraId="7DFC120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发包人提供资金来源证明的期限要求：</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16906E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发包人是否提供支付担保：</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66A61CA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发包人提供支付担保的形式：</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7B01423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288" w:name="_Toc351203635"/>
      <w:bookmarkStart w:id="289" w:name="_Toc389065272"/>
      <w:bookmarkStart w:id="290" w:name="_Toc373478353"/>
      <w:bookmarkStart w:id="291" w:name="_Toc455732915"/>
      <w:bookmarkStart w:id="292" w:name="_Toc373227706"/>
      <w:r>
        <w:rPr>
          <w:rFonts w:hint="eastAsia" w:ascii="宋体" w:hAnsi="宋体" w:eastAsia="宋体" w:cs="宋体"/>
          <w:color w:val="auto"/>
        </w:rPr>
        <w:t>3</w:t>
      </w:r>
      <w:bookmarkStart w:id="293" w:name="_Toc296346659"/>
      <w:bookmarkStart w:id="294" w:name="_Toc296503158"/>
      <w:bookmarkStart w:id="295" w:name="_Toc296891198"/>
      <w:bookmarkStart w:id="296" w:name="_Toc292559868"/>
      <w:bookmarkStart w:id="297" w:name="_Toc296890986"/>
      <w:bookmarkStart w:id="298" w:name="_Toc296347157"/>
      <w:bookmarkStart w:id="299" w:name="_Toc297048344"/>
      <w:bookmarkStart w:id="300" w:name="_Toc292559363"/>
      <w:bookmarkStart w:id="301" w:name="_Toc296944497"/>
      <w:bookmarkStart w:id="302" w:name="_Toc297120458"/>
      <w:r>
        <w:rPr>
          <w:rFonts w:hint="eastAsia" w:ascii="宋体" w:hAnsi="宋体" w:eastAsia="宋体" w:cs="宋体"/>
          <w:color w:val="auto"/>
        </w:rPr>
        <w:t>. 承包人</w:t>
      </w:r>
      <w:bookmarkEnd w:id="288"/>
      <w:bookmarkEnd w:id="289"/>
      <w:bookmarkEnd w:id="290"/>
      <w:bookmarkEnd w:id="291"/>
      <w:bookmarkEnd w:id="292"/>
    </w:p>
    <w:bookmarkEnd w:id="293"/>
    <w:bookmarkEnd w:id="294"/>
    <w:bookmarkEnd w:id="295"/>
    <w:bookmarkEnd w:id="296"/>
    <w:bookmarkEnd w:id="297"/>
    <w:bookmarkEnd w:id="298"/>
    <w:bookmarkEnd w:id="299"/>
    <w:bookmarkEnd w:id="300"/>
    <w:bookmarkEnd w:id="301"/>
    <w:bookmarkEnd w:id="302"/>
    <w:p w14:paraId="5119463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03" w:name="_Toc455732916"/>
      <w:bookmarkStart w:id="304" w:name="_Toc389065273"/>
      <w:bookmarkStart w:id="305" w:name="_Toc373227707"/>
      <w:bookmarkStart w:id="306" w:name="_Toc373478354"/>
      <w:r>
        <w:rPr>
          <w:rFonts w:hint="eastAsia" w:ascii="宋体" w:hAnsi="宋体" w:eastAsia="宋体" w:cs="宋体"/>
          <w:color w:val="auto"/>
        </w:rPr>
        <w:t>3.1 承包人的一般义务</w:t>
      </w:r>
      <w:bookmarkEnd w:id="303"/>
      <w:bookmarkEnd w:id="304"/>
      <w:bookmarkEnd w:id="305"/>
      <w:bookmarkEnd w:id="306"/>
    </w:p>
    <w:p w14:paraId="03D3DDC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承包人提交的竣工资料的内容：</w:t>
      </w:r>
      <w:r>
        <w:rPr>
          <w:rFonts w:hint="eastAsia" w:ascii="宋体" w:hAnsi="宋体" w:eastAsia="宋体" w:cs="宋体"/>
          <w:color w:val="auto"/>
          <w:szCs w:val="21"/>
          <w:u w:val="single"/>
          <w:lang w:val="en-US" w:eastAsia="zh-CN"/>
        </w:rPr>
        <w:t xml:space="preserve">双方协商 </w:t>
      </w:r>
      <w:r>
        <w:rPr>
          <w:rFonts w:hint="eastAsia" w:ascii="宋体" w:hAnsi="宋体" w:eastAsia="宋体" w:cs="宋体"/>
          <w:color w:val="auto"/>
          <w:u w:val="none"/>
        </w:rPr>
        <w:t>。</w:t>
      </w:r>
    </w:p>
    <w:p w14:paraId="604A2E8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承包人需要提交的竣工资料套数：</w:t>
      </w:r>
      <w:r>
        <w:rPr>
          <w:rFonts w:hint="eastAsia" w:ascii="宋体" w:hAnsi="宋体" w:eastAsia="宋体" w:cs="宋体"/>
          <w:color w:val="auto"/>
          <w:u w:val="single"/>
          <w:lang w:val="en-US" w:eastAsia="zh-CN"/>
        </w:rPr>
        <w:t>双方协商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775DEB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承包人提交的竣工资料的费用承担</w:t>
      </w:r>
      <w:r>
        <w:rPr>
          <w:rFonts w:hint="eastAsia" w:ascii="宋体" w:hAnsi="宋体" w:eastAsia="宋体" w:cs="宋体"/>
          <w:color w:val="auto"/>
          <w:szCs w:val="21"/>
          <w:lang w:eastAsia="zh-CN"/>
        </w:rPr>
        <w:t>：</w:t>
      </w:r>
      <w:r>
        <w:rPr>
          <w:rFonts w:hint="eastAsia" w:ascii="宋体" w:hAnsi="宋体" w:eastAsia="宋体" w:cs="宋体"/>
          <w:color w:val="auto"/>
          <w:szCs w:val="21"/>
          <w:u w:val="single"/>
        </w:rPr>
        <w:t xml:space="preserve"> 承包人承担  </w:t>
      </w:r>
      <w:r>
        <w:rPr>
          <w:rFonts w:hint="eastAsia" w:ascii="宋体" w:hAnsi="宋体" w:eastAsia="宋体" w:cs="宋体"/>
          <w:color w:val="auto"/>
          <w:szCs w:val="21"/>
        </w:rPr>
        <w:t>。</w:t>
      </w:r>
    </w:p>
    <w:p w14:paraId="56CC8F9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承包人提交的竣工资料移交时间：</w:t>
      </w:r>
      <w:r>
        <w:rPr>
          <w:rFonts w:hint="eastAsia" w:ascii="宋体" w:hAnsi="宋体" w:eastAsia="宋体" w:cs="宋体"/>
          <w:color w:val="auto"/>
          <w:szCs w:val="21"/>
          <w:u w:val="single"/>
        </w:rPr>
        <w:t xml:space="preserve"> </w:t>
      </w:r>
      <w:r>
        <w:rPr>
          <w:rFonts w:hint="eastAsia" w:ascii="宋体" w:hAnsi="宋体" w:eastAsia="宋体" w:cs="宋体"/>
          <w:color w:val="auto"/>
          <w:u w:val="single"/>
        </w:rPr>
        <w:t>承包人提交的竣工资料移交时间为竣工验收通过后 15 日内</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5F37EC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承包人提交的竣工资料形式要求：</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993C37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承包人应履行的其他义务：</w:t>
      </w:r>
    </w:p>
    <w:p w14:paraId="68C6619F">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按规定做好进出口洗车平台硬化和流水排放措施，接受交警、城管、运输等管理部门的监督管理，进出车辆不得污染市政道路并按《广西壮族自治区建筑工程文明施工导则》(桂建管[2012]108号)有关规定执行。由于施工车造成的道路环境等污染，其责任和费用均由承包人承担，并包含在</w:t>
      </w:r>
      <w:r>
        <w:rPr>
          <w:rFonts w:hint="eastAsia" w:ascii="宋体" w:hAnsi="宋体" w:eastAsia="宋体" w:cs="宋体"/>
          <w:color w:val="auto"/>
          <w:u w:val="single"/>
          <w:lang w:val="en-US" w:eastAsia="zh-CN"/>
        </w:rPr>
        <w:t>竞标</w:t>
      </w:r>
      <w:r>
        <w:rPr>
          <w:rFonts w:hint="eastAsia" w:ascii="宋体" w:hAnsi="宋体" w:eastAsia="宋体" w:cs="宋体"/>
          <w:color w:val="auto"/>
          <w:u w:val="single"/>
        </w:rPr>
        <w:t>报价中</w:t>
      </w:r>
      <w:r>
        <w:rPr>
          <w:rFonts w:hint="eastAsia" w:ascii="宋体" w:hAnsi="宋体" w:eastAsia="宋体" w:cs="宋体"/>
          <w:color w:val="auto"/>
          <w:u w:val="none"/>
        </w:rPr>
        <w:t>；</w:t>
      </w:r>
    </w:p>
    <w:p w14:paraId="2E66C4B4">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为确保工程施工进度、质量和安全，履行承包人</w:t>
      </w:r>
      <w:r>
        <w:rPr>
          <w:rFonts w:hint="eastAsia" w:ascii="宋体" w:hAnsi="宋体" w:eastAsia="宋体" w:cs="宋体"/>
          <w:color w:val="auto"/>
          <w:u w:val="single"/>
          <w:lang w:val="en-US" w:eastAsia="zh-CN"/>
        </w:rPr>
        <w:t>磋商</w:t>
      </w:r>
      <w:r>
        <w:rPr>
          <w:rFonts w:hint="eastAsia" w:ascii="宋体" w:hAnsi="宋体" w:eastAsia="宋体" w:cs="宋体"/>
          <w:color w:val="auto"/>
          <w:u w:val="single"/>
        </w:rPr>
        <w:t>时的承诺，承包人保证按照经甲方监理工程师批准的工程施工进度计划，及时派出</w:t>
      </w:r>
      <w:r>
        <w:rPr>
          <w:rFonts w:hint="eastAsia" w:ascii="宋体" w:hAnsi="宋体" w:eastAsia="宋体" w:cs="宋体"/>
          <w:color w:val="auto"/>
          <w:u w:val="single"/>
          <w:lang w:val="en-US" w:eastAsia="zh-CN"/>
        </w:rPr>
        <w:t>磋商</w:t>
      </w:r>
      <w:r>
        <w:rPr>
          <w:rFonts w:hint="eastAsia" w:ascii="宋体" w:hAnsi="宋体" w:eastAsia="宋体" w:cs="宋体"/>
          <w:color w:val="auto"/>
          <w:u w:val="single"/>
        </w:rPr>
        <w:t>时承诺拟派出的现场施工主要管理人员，做好工程各项施工工作</w:t>
      </w:r>
      <w:r>
        <w:rPr>
          <w:rFonts w:hint="eastAsia" w:ascii="宋体" w:hAnsi="宋体" w:eastAsia="宋体" w:cs="宋体"/>
          <w:color w:val="auto"/>
          <w:u w:val="none"/>
        </w:rPr>
        <w:t>；</w:t>
      </w:r>
    </w:p>
    <w:p w14:paraId="4B2A206C">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承包人生活设施及施工场地应做好防雷电、防火等的安全防护工作，并自费配备消防设备；承担施工现场和施工人员的治安、环境卫生、计生、外来人员暂住手续等管理工作和相关费用；若发生任何事故，均由承包人全部负责</w:t>
      </w:r>
      <w:r>
        <w:rPr>
          <w:rFonts w:hint="eastAsia" w:ascii="宋体" w:hAnsi="宋体" w:eastAsia="宋体" w:cs="宋体"/>
          <w:color w:val="auto"/>
          <w:u w:val="none"/>
        </w:rPr>
        <w:t>；</w:t>
      </w:r>
    </w:p>
    <w:p w14:paraId="6A987096">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配合发包人做好安全文明宣传、领导检查宣传等工作，相关费用由承包人承担</w:t>
      </w:r>
      <w:r>
        <w:rPr>
          <w:rFonts w:hint="eastAsia" w:ascii="宋体" w:hAnsi="宋体" w:eastAsia="宋体" w:cs="宋体"/>
          <w:color w:val="auto"/>
          <w:u w:val="none"/>
        </w:rPr>
        <w:t>；</w:t>
      </w:r>
    </w:p>
    <w:p w14:paraId="7C165806">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取土场及弃土场、土方处置由承包人自行解决，并承担相关费用，但不得违反相关管理规定</w:t>
      </w:r>
      <w:r>
        <w:rPr>
          <w:rFonts w:hint="eastAsia" w:ascii="宋体" w:hAnsi="宋体" w:eastAsia="宋体" w:cs="宋体"/>
          <w:color w:val="auto"/>
          <w:u w:val="none"/>
        </w:rPr>
        <w:t>；</w:t>
      </w:r>
    </w:p>
    <w:p w14:paraId="3E36FE0F">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承包人承担因自身原因违反相关规定（包括但不限于安全生产、环卫、噪音等行政管理规定）造成的损失和罚款</w:t>
      </w:r>
      <w:r>
        <w:rPr>
          <w:rFonts w:hint="eastAsia" w:ascii="宋体" w:hAnsi="宋体" w:eastAsia="宋体" w:cs="宋体"/>
          <w:color w:val="auto"/>
          <w:u w:val="none"/>
        </w:rPr>
        <w:t>；</w:t>
      </w:r>
    </w:p>
    <w:p w14:paraId="4AD29289">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承包人负责合同实施期间其合同段内临时交通道路（含场内外连接公共交通道路）和交通设施的修建、维修、养护和交通管理工作，并承担一切费用</w:t>
      </w:r>
      <w:r>
        <w:rPr>
          <w:rFonts w:hint="eastAsia" w:ascii="宋体" w:hAnsi="宋体" w:eastAsia="宋体" w:cs="宋体"/>
          <w:color w:val="auto"/>
          <w:u w:val="none"/>
        </w:rPr>
        <w:t>；</w:t>
      </w:r>
    </w:p>
    <w:p w14:paraId="394FDE57">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0"/>
          <w:szCs w:val="21"/>
          <w:u w:val="none"/>
        </w:rPr>
      </w:pPr>
      <w:r>
        <w:rPr>
          <w:rFonts w:hint="eastAsia" w:ascii="宋体" w:hAnsi="宋体" w:eastAsia="宋体" w:cs="宋体"/>
          <w:color w:val="auto"/>
          <w:u w:val="single"/>
        </w:rPr>
        <w:t>承包人修建的临时道路等所有的临时设施和交通设施，应免费提供给发包人、监理工程师使用，使用时有损坏的，由承包人负责修复，费用包含在措施费中</w:t>
      </w:r>
      <w:r>
        <w:rPr>
          <w:rFonts w:hint="eastAsia" w:ascii="宋体" w:hAnsi="宋体" w:eastAsia="宋体" w:cs="宋体"/>
          <w:color w:val="auto"/>
          <w:u w:val="none"/>
        </w:rPr>
        <w:t>；</w:t>
      </w:r>
    </w:p>
    <w:p w14:paraId="0E911909">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合同履行期间，乙方不按核批的进度计划组织施工，经监理书面通知整改而未满足要求，经甲方书面通知3日内仍未能有效整改的，甲方有权对无进度履约能力的部位或部分进行强制分割，组织其他满足行政法规规定的其它单位或组织负责赶工作业，但不免除乙方的合同责任</w:t>
      </w:r>
      <w:r>
        <w:rPr>
          <w:rFonts w:hint="eastAsia" w:ascii="宋体" w:hAnsi="宋体" w:eastAsia="宋体" w:cs="宋体"/>
          <w:color w:val="auto"/>
          <w:u w:val="none"/>
        </w:rPr>
        <w:t>；</w:t>
      </w:r>
    </w:p>
    <w:p w14:paraId="15B0D340">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甲方对乙方无进度履约能力的部位和部分进行强制分割而形成的相关费用，须及时完善手续，列入乙方成本。甲方需及时组织监理，实施分割作业的队组负责人、乙方代表等对现场形成的费用等共同确认，但乙方人为或故意对此现场费用的缺席确认，并不能免除乙方责任</w:t>
      </w:r>
      <w:r>
        <w:rPr>
          <w:rFonts w:hint="eastAsia" w:ascii="宋体" w:hAnsi="宋体" w:eastAsia="宋体" w:cs="宋体"/>
          <w:color w:val="auto"/>
          <w:kern w:val="0"/>
          <w:szCs w:val="21"/>
          <w:u w:val="none"/>
        </w:rPr>
        <w:t>；</w:t>
      </w:r>
    </w:p>
    <w:p w14:paraId="3A1AE95B">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none"/>
        </w:rPr>
      </w:pPr>
      <w:r>
        <w:rPr>
          <w:rFonts w:hint="eastAsia" w:ascii="宋体" w:hAnsi="宋体" w:eastAsia="宋体" w:cs="宋体"/>
          <w:color w:val="auto"/>
          <w:u w:val="single"/>
        </w:rPr>
        <w:t>施工场地周围地下管线和邻近建筑物、构筑物（含文物保护建筑）、古树名木的保护要求及费用承担：承包人施工时因承包人原因损坏地下管线、邻近建筑物、构筑物，所发生费用由承包人承担。若因发包人提供的资料有误等非承包人原因造成的地下管线、邻近建筑物、构筑物损坏的，所发生的费用由发包人承担</w:t>
      </w:r>
      <w:r>
        <w:rPr>
          <w:rFonts w:hint="eastAsia" w:ascii="宋体" w:hAnsi="宋体" w:eastAsia="宋体" w:cs="宋体"/>
          <w:color w:val="auto"/>
          <w:u w:val="none"/>
        </w:rPr>
        <w:t>；</w:t>
      </w:r>
    </w:p>
    <w:p w14:paraId="5A7620BA">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single"/>
        </w:rPr>
      </w:pPr>
      <w:r>
        <w:rPr>
          <w:rFonts w:hint="eastAsia" w:ascii="宋体" w:hAnsi="宋体" w:eastAsia="宋体" w:cs="宋体"/>
          <w:color w:val="auto"/>
          <w:u w:val="single"/>
        </w:rPr>
        <w:t>承包人遇到不可预见物质条件时，应采取适应不利物质条件的合理措施继续设计及/或施工，并及时通知发包人和监理人，通知应载明不利物质条件的内容以及承包人认为不可预见的理由。发包人和监理人认为构成不可预见物质条件的，应当及时发出指示，指示构成变更的，按第13条约定执行。发包人和监理人认为不构成不可预见物质条件的，承包人因采取合理措施而增加的费用及/或工期延误，由承包人承担</w:t>
      </w:r>
      <w:r>
        <w:rPr>
          <w:rFonts w:hint="eastAsia" w:ascii="宋体" w:hAnsi="宋体" w:eastAsia="宋体" w:cs="宋体"/>
          <w:color w:val="auto"/>
          <w:u w:val="none"/>
          <w:lang w:eastAsia="zh-CN"/>
        </w:rPr>
        <w:t>；</w:t>
      </w:r>
    </w:p>
    <w:p w14:paraId="5D25EDE2">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single"/>
        </w:rPr>
      </w:pPr>
      <w:r>
        <w:rPr>
          <w:rFonts w:hint="eastAsia" w:ascii="宋体" w:hAnsi="宋体" w:eastAsia="宋体" w:cs="宋体"/>
          <w:color w:val="auto"/>
          <w:u w:val="single"/>
        </w:rPr>
        <w:t>因承包人设计失误，使用不合格材料、工程设备，或采用不适当的施工工艺，或施工不当，造成工程不合格的，监理人可以随时发出指示，要求承包人立即采取措施进行补救，直至达到合同要求的质量标准，由此增加的费用及/或工期延误由承包人承担</w:t>
      </w:r>
      <w:r>
        <w:rPr>
          <w:rFonts w:hint="eastAsia" w:ascii="宋体" w:hAnsi="宋体" w:eastAsia="宋体" w:cs="宋体"/>
          <w:color w:val="auto"/>
          <w:u w:val="none"/>
        </w:rPr>
        <w:t>；</w:t>
      </w:r>
    </w:p>
    <w:p w14:paraId="5F9D8C4A">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single"/>
        </w:rPr>
      </w:pPr>
      <w:r>
        <w:rPr>
          <w:rFonts w:hint="eastAsia" w:ascii="宋体" w:hAnsi="宋体" w:eastAsia="宋体" w:cs="宋体"/>
          <w:color w:val="auto"/>
          <w:u w:val="single"/>
        </w:rPr>
        <w:t>公共道路范围内不能堆放施工材料，承包人应保证附近道路畅通，承包人不得以任何借口阻碍交通</w:t>
      </w:r>
      <w:r>
        <w:rPr>
          <w:rFonts w:hint="eastAsia" w:ascii="宋体" w:hAnsi="宋体" w:eastAsia="宋体" w:cs="宋体"/>
          <w:color w:val="auto"/>
          <w:u w:val="none"/>
        </w:rPr>
        <w:t>；</w:t>
      </w:r>
    </w:p>
    <w:p w14:paraId="0EB322B2">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single"/>
        </w:rPr>
      </w:pPr>
      <w:r>
        <w:rPr>
          <w:rFonts w:hint="eastAsia" w:ascii="宋体" w:hAnsi="宋体" w:eastAsia="宋体" w:cs="宋体"/>
          <w:color w:val="auto"/>
          <w:u w:val="single"/>
        </w:rPr>
        <w:t>现场材料堆放，由承包人提前将用地计划报发包人，相关费用由承包人负责。承包人在工程施工中，要严格控制临时用地数量，施工便道、各种料场、预制场要根据工程进度统筹考虑，尽可能利用荒地、废弃地解决，尽量少占或不占用农田。用地前承包人应与原土地使用人（所有人）签订相关临时用地协议，并在施工过程中要采取有效措施防止污染农田，项目完工后临时用地应认真恢复。若承包人拒绝执行时，监理工程师有权指定其他单位采取措施，并上报发包人，所发生的费用由承包人承担。临时用地退还时，由于未能按临时协议恢复等原因而导致纠纷，导致发包人发生额外支出时，发包人将从承包人工程款中或保留金中扣除相应的金额</w:t>
      </w:r>
      <w:r>
        <w:rPr>
          <w:rFonts w:hint="eastAsia" w:ascii="宋体" w:hAnsi="宋体" w:eastAsia="宋体" w:cs="宋体"/>
          <w:color w:val="auto"/>
          <w:u w:val="none"/>
        </w:rPr>
        <w:t>；</w:t>
      </w:r>
    </w:p>
    <w:p w14:paraId="44E46FF7">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single"/>
        </w:rPr>
      </w:pPr>
      <w:r>
        <w:rPr>
          <w:rFonts w:hint="eastAsia" w:ascii="宋体" w:hAnsi="宋体" w:eastAsia="宋体" w:cs="宋体"/>
          <w:color w:val="auto"/>
          <w:u w:val="single"/>
        </w:rPr>
        <w:t>本工程施工时执行梧州市人民政府《关于印发我市城市建筑垃圾运输处置及建筑式地管理实施办法的通知》（梧政发[2012]68号），相关费用考虑在</w:t>
      </w:r>
      <w:r>
        <w:rPr>
          <w:rFonts w:hint="eastAsia" w:ascii="宋体" w:hAnsi="宋体" w:eastAsia="宋体" w:cs="宋体"/>
          <w:color w:val="auto"/>
          <w:u w:val="single"/>
          <w:lang w:val="en-US" w:eastAsia="zh-CN"/>
        </w:rPr>
        <w:t>竞标</w:t>
      </w:r>
      <w:r>
        <w:rPr>
          <w:rFonts w:hint="eastAsia" w:ascii="宋体" w:hAnsi="宋体" w:eastAsia="宋体" w:cs="宋体"/>
          <w:color w:val="auto"/>
          <w:u w:val="single"/>
        </w:rPr>
        <w:t>报价中，中标人并与监管单位梧州市住建委和梧州市市政局签订《环境卫生责任书》，并提交一份给发包人备案</w:t>
      </w:r>
      <w:r>
        <w:rPr>
          <w:rFonts w:hint="eastAsia" w:ascii="宋体" w:hAnsi="宋体" w:eastAsia="宋体" w:cs="宋体"/>
          <w:color w:val="auto"/>
          <w:u w:val="none"/>
        </w:rPr>
        <w:t>；</w:t>
      </w:r>
    </w:p>
    <w:p w14:paraId="16EBDCBF">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single"/>
        </w:rPr>
      </w:pPr>
      <w:r>
        <w:rPr>
          <w:rFonts w:hint="eastAsia" w:ascii="宋体" w:hAnsi="宋体" w:eastAsia="宋体" w:cs="宋体"/>
          <w:color w:val="auto"/>
          <w:szCs w:val="21"/>
          <w:u w:val="single"/>
        </w:rPr>
        <w:t>工程验收合格后，至移交给接管单位期间所造成的损失风险由承包人承担</w:t>
      </w:r>
      <w:r>
        <w:rPr>
          <w:rFonts w:hint="eastAsia" w:ascii="宋体" w:hAnsi="宋体" w:eastAsia="宋体" w:cs="宋体"/>
          <w:color w:val="auto"/>
          <w:szCs w:val="21"/>
          <w:u w:val="none"/>
        </w:rPr>
        <w:t>；</w:t>
      </w:r>
    </w:p>
    <w:p w14:paraId="40B57EC8">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u w:val="single"/>
        </w:rPr>
      </w:pPr>
      <w:r>
        <w:rPr>
          <w:rFonts w:hint="eastAsia" w:ascii="宋体" w:hAnsi="宋体" w:eastAsia="宋体" w:cs="宋体"/>
          <w:color w:val="auto"/>
          <w:szCs w:val="21"/>
          <w:u w:val="single"/>
        </w:rPr>
        <w:t>施工中所需的大型装吊设备必须经相关部门验收并取得许可证后方可投入使用，在发生或估计会发生工期迟延的情况时，加强人员和设备等施工力量的投入，以便延误的工期能够赶上，在保证质量的情况下通过竣工验收</w:t>
      </w:r>
      <w:r>
        <w:rPr>
          <w:rFonts w:hint="eastAsia" w:ascii="宋体" w:hAnsi="宋体" w:eastAsia="宋体" w:cs="宋体"/>
          <w:color w:val="auto"/>
          <w:szCs w:val="21"/>
          <w:u w:val="none"/>
        </w:rPr>
        <w:t>。</w:t>
      </w:r>
    </w:p>
    <w:p w14:paraId="030489B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07" w:name="_Toc389065274"/>
      <w:bookmarkStart w:id="308" w:name="_Toc373478355"/>
      <w:bookmarkStart w:id="309" w:name="_Toc373227708"/>
      <w:bookmarkStart w:id="310" w:name="_Toc455732917"/>
      <w:r>
        <w:rPr>
          <w:rFonts w:hint="eastAsia" w:ascii="宋体" w:hAnsi="宋体" w:eastAsia="宋体" w:cs="宋体"/>
          <w:color w:val="auto"/>
        </w:rPr>
        <w:t>3.2 项目经理</w:t>
      </w:r>
      <w:bookmarkEnd w:id="307"/>
      <w:bookmarkEnd w:id="308"/>
      <w:bookmarkEnd w:id="309"/>
      <w:bookmarkEnd w:id="310"/>
    </w:p>
    <w:p w14:paraId="765E903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kern w:val="0"/>
          <w:szCs w:val="21"/>
        </w:rPr>
        <w:t xml:space="preserve">3.2.1 </w:t>
      </w:r>
      <w:r>
        <w:rPr>
          <w:rFonts w:hint="eastAsia" w:ascii="宋体" w:hAnsi="宋体" w:eastAsia="宋体" w:cs="宋体"/>
          <w:color w:val="auto"/>
          <w:szCs w:val="21"/>
        </w:rPr>
        <w:t>项目经理：</w:t>
      </w:r>
    </w:p>
    <w:p w14:paraId="1BC7E65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6F431E5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身份证号：</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2A5A4F2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建造师执业资格等级：</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4346168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建造师注册证书号：</w:t>
      </w:r>
      <w:r>
        <w:rPr>
          <w:rFonts w:hint="eastAsia" w:ascii="宋体" w:hAnsi="宋体" w:eastAsia="宋体" w:cs="宋体"/>
          <w:color w:val="auto"/>
          <w:szCs w:val="21"/>
          <w:u w:val="single"/>
        </w:rPr>
        <w:t> </w:t>
      </w:r>
      <w:r>
        <w:rPr>
          <w:rFonts w:hint="eastAsia" w:ascii="宋体" w:hAnsi="宋体" w:eastAsia="宋体" w:cs="宋体"/>
          <w:color w:val="auto"/>
          <w:szCs w:val="21"/>
        </w:rPr>
        <w:t>；</w:t>
      </w:r>
    </w:p>
    <w:p w14:paraId="71FBDD9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建造师执业印章号：</w:t>
      </w:r>
      <w:r>
        <w:rPr>
          <w:rFonts w:hint="eastAsia" w:ascii="宋体" w:hAnsi="宋体" w:eastAsia="宋体" w:cs="宋体"/>
          <w:color w:val="auto"/>
          <w:szCs w:val="21"/>
          <w:u w:val="single"/>
        </w:rPr>
        <w:t> </w:t>
      </w:r>
      <w:r>
        <w:rPr>
          <w:rFonts w:hint="eastAsia" w:ascii="宋体" w:hAnsi="宋体" w:eastAsia="宋体" w:cs="宋体"/>
          <w:color w:val="auto"/>
          <w:szCs w:val="21"/>
        </w:rPr>
        <w:t>；</w:t>
      </w:r>
    </w:p>
    <w:p w14:paraId="2D4ADF0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安全生产考核合格证书号：</w:t>
      </w:r>
      <w:r>
        <w:rPr>
          <w:rFonts w:hint="eastAsia" w:ascii="宋体" w:hAnsi="宋体" w:eastAsia="宋体" w:cs="宋体"/>
          <w:color w:val="auto"/>
          <w:szCs w:val="21"/>
          <w:u w:val="single"/>
        </w:rPr>
        <w:t> </w:t>
      </w:r>
      <w:r>
        <w:rPr>
          <w:rFonts w:hint="eastAsia" w:ascii="宋体" w:hAnsi="宋体" w:eastAsia="宋体" w:cs="宋体"/>
          <w:color w:val="auto"/>
          <w:szCs w:val="21"/>
        </w:rPr>
        <w:t>；</w:t>
      </w:r>
    </w:p>
    <w:p w14:paraId="6183B5F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470D938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2E0C1B4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通信地址：</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7102FD6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承包人对项目经理的授权范围如下：</w:t>
      </w:r>
      <w:r>
        <w:rPr>
          <w:rFonts w:hint="eastAsia" w:ascii="宋体" w:hAnsi="宋体" w:eastAsia="宋体" w:cs="宋体"/>
          <w:color w:val="auto"/>
          <w:u w:val="single"/>
        </w:rPr>
        <w:t>负责项目的施工管理，对施工进度，施工质量和施工费用以及施工安全进行全面监控。当具体施工任务由施工分包商进行时，负责对分包商的协调、监督和管理工作</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7469D2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项目经理权限：</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1</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经授权组建项目施工部，提出项目施工部的组织机构，选择、聘用施工部成员，确定施工部人员的职责；</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2</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在授权范围内，按以上项目施工经理职责规定的职责，行使相应的管理权；</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3</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在合同范围内，有权按规定程序使用工程总承包企业的相关资源，并取得有关部门的支持；</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主持项目施工部的工作，组织制定项目施工的各项管理规定；</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根据企业法定代表人授权，协调和处理与项目施工有关的内、外部事项</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6</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负责工地的文明施工，并对整个项目施工安全全面负责</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7</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项目施工经理仅限于工程的现场施工管理，但未经承包人盖章同意，不得以承包人名义向外采购材料设备、租用建筑周转材料、雇用劳动力、签订分包合同等从事一切为承包人设立义务或责任的行为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p w14:paraId="4E7C31A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关于项目经理每月在施工现场的时间要求：</w:t>
      </w:r>
      <w:r>
        <w:rPr>
          <w:rFonts w:hint="eastAsia" w:ascii="宋体" w:hAnsi="宋体" w:eastAsia="宋体" w:cs="宋体"/>
          <w:color w:val="auto"/>
          <w:szCs w:val="21"/>
          <w:u w:val="single"/>
        </w:rPr>
        <w:t xml:space="preserve"> 施工项目经理应常驻施工现场，且每月在施工现场时间无故不得少于专用合同条款约定的天数：24天，少一天扣5000元/天。项目经理不得同时担任其他项目的项目经理。项目经理确需离开施工现场时，应事先通知监理人，并取得发包人的书面同意。项目经理的通知中应当载明临时代行其职责的人员的执业资格、管理经验等资料，该人员应具备履行相应职责的能力。如在项目建设过程中，项目经理履职能力不足，业主可提出更换</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p w14:paraId="524E08A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承包人未提交劳动合同，以及没有为项目经理缴纳社会保险证明的违约责任：</w:t>
      </w:r>
      <w:r>
        <w:rPr>
          <w:rFonts w:hint="eastAsia" w:ascii="宋体" w:hAnsi="宋体" w:eastAsia="宋体" w:cs="宋体"/>
          <w:color w:val="auto"/>
          <w:kern w:val="0"/>
          <w:szCs w:val="21"/>
          <w:u w:val="single"/>
        </w:rPr>
        <w:t>承包人支付违约金10000元，并责令限期提交劳动合同并补缴社会保险。如承包人未在规定期限内提交项目经理劳动合同和缴交社会保险证明材料的，则发包人可致函承包人要求更换项目经理，且承包人按1000元/天标准向发包人支付违约金直至承包人更换新的项目经理。如在更换项目经理期间造成发包人损失的，承包人须另行赔偿发包人损失</w:t>
      </w:r>
      <w:r>
        <w:rPr>
          <w:rFonts w:hint="eastAsia" w:ascii="宋体" w:hAnsi="宋体" w:eastAsia="宋体" w:cs="宋体"/>
          <w:color w:val="auto"/>
          <w:kern w:val="0"/>
          <w:szCs w:val="21"/>
        </w:rPr>
        <w:t>。</w:t>
      </w:r>
    </w:p>
    <w:p w14:paraId="38D5008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kern w:val="0"/>
          <w:szCs w:val="21"/>
        </w:rPr>
        <w:t>项目经理未经批准，擅自离开施工现场的违约责任：</w:t>
      </w:r>
      <w:r>
        <w:rPr>
          <w:rFonts w:hint="eastAsia" w:ascii="宋体" w:hAnsi="宋体" w:eastAsia="宋体" w:cs="宋体"/>
          <w:color w:val="auto"/>
          <w:szCs w:val="21"/>
          <w:u w:val="single"/>
        </w:rPr>
        <w:t>处以6万元罚款。承包人承担上述违约给发包人造成的一切损失</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p>
    <w:p w14:paraId="1F25DCB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3.2.3 承包人擅自更换项目经理的违约责任：</w:t>
      </w:r>
      <w:r>
        <w:rPr>
          <w:rFonts w:hint="eastAsia" w:ascii="宋体" w:hAnsi="宋体" w:eastAsia="宋体" w:cs="宋体"/>
          <w:color w:val="auto"/>
          <w:szCs w:val="21"/>
          <w:u w:val="single"/>
        </w:rPr>
        <w:t>处以8万元罚款。承包人承担上述违约给发包人造成的一切损失。如有特殊情况必须更换项目经理，须经发包方同意并上报上级主管部门备案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p w14:paraId="135BB7F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3.2.4 承包人无正当理由拒绝更换项目经理的违约责任：</w:t>
      </w:r>
      <w:r>
        <w:rPr>
          <w:rFonts w:hint="eastAsia" w:ascii="宋体" w:hAnsi="宋体" w:eastAsia="宋体" w:cs="宋体"/>
          <w:color w:val="auto"/>
          <w:szCs w:val="21"/>
          <w:u w:val="single"/>
        </w:rPr>
        <w:t>因承包人项目经理不称职，发包人要求调换而未及时调换的处以8万元罚款。承包人承担上述违约给发包人造成的一切损失</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p w14:paraId="739126E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11" w:name="_Toc389065275"/>
      <w:bookmarkStart w:id="312" w:name="_Toc373227709"/>
      <w:bookmarkStart w:id="313" w:name="_Toc455732918"/>
      <w:bookmarkStart w:id="314" w:name="_Toc373478356"/>
      <w:r>
        <w:rPr>
          <w:rFonts w:hint="eastAsia" w:ascii="宋体" w:hAnsi="宋体" w:eastAsia="宋体" w:cs="宋体"/>
          <w:color w:val="auto"/>
        </w:rPr>
        <w:t>3.3 承包人人员</w:t>
      </w:r>
      <w:bookmarkEnd w:id="311"/>
      <w:bookmarkEnd w:id="312"/>
      <w:bookmarkEnd w:id="313"/>
      <w:bookmarkEnd w:id="314"/>
    </w:p>
    <w:p w14:paraId="4412506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3.3.1 承包人提交项目管理机构及施工现场管理人员安排报告的期限：</w:t>
      </w:r>
      <w:r>
        <w:rPr>
          <w:rFonts w:hint="eastAsia" w:ascii="宋体" w:hAnsi="宋体" w:eastAsia="宋体" w:cs="宋体"/>
          <w:color w:val="auto"/>
          <w:szCs w:val="21"/>
          <w:u w:val="single"/>
        </w:rPr>
        <w:t xml:space="preserve"> 开工前 7 天内</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p>
    <w:p w14:paraId="37CA218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3.3.3 承包人无正当理由拒绝撤换主要施工管理人员的违约责任：</w:t>
      </w:r>
      <w:r>
        <w:rPr>
          <w:rFonts w:hint="eastAsia" w:ascii="宋体" w:hAnsi="宋体" w:eastAsia="宋体" w:cs="宋体"/>
          <w:color w:val="auto"/>
          <w:szCs w:val="21"/>
          <w:u w:val="single"/>
        </w:rPr>
        <w:t>承包人主要施工管理人员因不称职，在收到发包人调换通知后7日内未调换的，视为承包人违约，必须向发包人承担违约责任并支付违约金，违约金按：技术负责人人民币10000元/人•次；专业工程师人民币5000元/人•次进行支付</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p w14:paraId="57F2036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3.3.4 承包人主要施工管理人员离开施工现场的批准要求：</w:t>
      </w:r>
      <w:r>
        <w:rPr>
          <w:rFonts w:hint="eastAsia" w:ascii="宋体" w:hAnsi="宋体" w:eastAsia="宋体" w:cs="宋体"/>
          <w:color w:val="auto"/>
          <w:szCs w:val="21"/>
          <w:u w:val="single"/>
        </w:rPr>
        <w:t xml:space="preserve"> 须经发包人或监理人书面同意 </w:t>
      </w:r>
      <w:r>
        <w:rPr>
          <w:rFonts w:hint="eastAsia" w:ascii="宋体" w:hAnsi="宋体" w:eastAsia="宋体" w:cs="宋体"/>
          <w:color w:val="auto"/>
          <w:szCs w:val="21"/>
        </w:rPr>
        <w:t>。</w:t>
      </w:r>
    </w:p>
    <w:p w14:paraId="6E065AB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3.3.5 承包人擅自更换主要施工管理人员的违约责任：</w:t>
      </w:r>
      <w:r>
        <w:rPr>
          <w:rFonts w:hint="eastAsia" w:ascii="宋体" w:hAnsi="宋体" w:eastAsia="宋体" w:cs="宋体"/>
          <w:color w:val="auto"/>
          <w:szCs w:val="21"/>
          <w:u w:val="single"/>
        </w:rPr>
        <w:t>处以4万元罚款。承包人承担上述违约给发包人造成的一切损失</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p w14:paraId="3DF38AB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none"/>
        </w:rPr>
      </w:pPr>
      <w:r>
        <w:rPr>
          <w:rFonts w:hint="eastAsia" w:ascii="宋体" w:hAnsi="宋体" w:eastAsia="宋体" w:cs="宋体"/>
          <w:color w:val="auto"/>
          <w:szCs w:val="21"/>
        </w:rPr>
        <w:t>承包人主要施工管理人员擅自离开施工现场的违约责任：</w:t>
      </w:r>
      <w:r>
        <w:rPr>
          <w:rFonts w:hint="eastAsia" w:ascii="宋体" w:hAnsi="宋体" w:eastAsia="宋体" w:cs="宋体"/>
          <w:color w:val="auto"/>
          <w:szCs w:val="21"/>
          <w:u w:val="single"/>
        </w:rPr>
        <w:t>处以2万元罚款。承包人承担上述违约给发包人造成的一切损失</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bookmarkStart w:id="315" w:name="_Toc455732919"/>
      <w:bookmarkStart w:id="316" w:name="_Toc389065276"/>
      <w:bookmarkStart w:id="317" w:name="_Toc373227710"/>
      <w:bookmarkStart w:id="318" w:name="_Toc373478357"/>
    </w:p>
    <w:p w14:paraId="60B449C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3</w:t>
      </w:r>
      <w:bookmarkStart w:id="319" w:name="_Toc300934945"/>
      <w:bookmarkStart w:id="320" w:name="_Toc304295523"/>
      <w:bookmarkStart w:id="321" w:name="_Toc297123492"/>
      <w:bookmarkStart w:id="322" w:name="_Toc296890987"/>
      <w:bookmarkStart w:id="323" w:name="_Toc296346660"/>
      <w:bookmarkStart w:id="324" w:name="_Toc297048345"/>
      <w:bookmarkStart w:id="325" w:name="_Toc296347158"/>
      <w:bookmarkStart w:id="326" w:name="_Toc292559364"/>
      <w:bookmarkStart w:id="327" w:name="_Toc297120459"/>
      <w:bookmarkStart w:id="328" w:name="_Toc297216151"/>
      <w:bookmarkStart w:id="329" w:name="_Toc303539102"/>
      <w:bookmarkStart w:id="330" w:name="_Toc296503159"/>
      <w:bookmarkStart w:id="331" w:name="_Toc296891199"/>
      <w:bookmarkStart w:id="332" w:name="_Toc296944498"/>
      <w:bookmarkStart w:id="333" w:name="_Toc292559869"/>
      <w:bookmarkStart w:id="334" w:name="_Toc312677988"/>
      <w:r>
        <w:rPr>
          <w:rFonts w:hint="eastAsia" w:ascii="宋体" w:hAnsi="宋体" w:eastAsia="宋体" w:cs="宋体"/>
          <w:color w:val="auto"/>
        </w:rPr>
        <w:t>.5 分包</w:t>
      </w:r>
      <w:bookmarkEnd w:id="315"/>
      <w:bookmarkEnd w:id="316"/>
      <w:bookmarkEnd w:id="317"/>
      <w:bookmarkEnd w:id="318"/>
    </w:p>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14:paraId="208F283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bookmarkStart w:id="335" w:name="_Toc318581158"/>
      <w:bookmarkStart w:id="336" w:name="_Toc296891200"/>
      <w:bookmarkStart w:id="337" w:name="_Toc300934946"/>
      <w:bookmarkStart w:id="338" w:name="_Toc303539103"/>
      <w:bookmarkStart w:id="339" w:name="_Toc296347159"/>
      <w:bookmarkStart w:id="340" w:name="_Toc296346661"/>
      <w:bookmarkStart w:id="341" w:name="_Toc304295524"/>
      <w:bookmarkStart w:id="342" w:name="_Toc312677989"/>
      <w:bookmarkStart w:id="343" w:name="_Toc297120460"/>
      <w:bookmarkStart w:id="344" w:name="_Toc297123493"/>
      <w:bookmarkStart w:id="345" w:name="_Toc292559870"/>
      <w:bookmarkStart w:id="346" w:name="_Toc297048346"/>
      <w:bookmarkStart w:id="347" w:name="_Toc296944499"/>
      <w:bookmarkStart w:id="348" w:name="_Toc296890988"/>
      <w:bookmarkStart w:id="349" w:name="_Toc296503160"/>
      <w:bookmarkStart w:id="350" w:name="_Toc292559365"/>
      <w:bookmarkStart w:id="351" w:name="_Toc297216152"/>
      <w:r>
        <w:rPr>
          <w:rFonts w:hint="eastAsia" w:ascii="宋体" w:hAnsi="宋体" w:eastAsia="宋体" w:cs="宋体"/>
          <w:color w:val="auto"/>
          <w:szCs w:val="21"/>
        </w:rPr>
        <w:t>.5.1 分包的一般约定</w:t>
      </w:r>
    </w:p>
    <w:p w14:paraId="5418E23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禁止分包的工程包括：</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按国家及地方相关法律法规要求 </w:t>
      </w:r>
      <w:r>
        <w:rPr>
          <w:rFonts w:hint="eastAsia" w:ascii="宋体" w:hAnsi="宋体" w:eastAsia="宋体" w:cs="宋体"/>
          <w:color w:val="auto"/>
          <w:szCs w:val="21"/>
        </w:rPr>
        <w:t>。</w:t>
      </w:r>
    </w:p>
    <w:p w14:paraId="622C0FA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主体结构、关键性工作的范围：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6A0CA3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3.5.2 分包的确定</w:t>
      </w:r>
    </w:p>
    <w:p w14:paraId="69E6ED9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允许分包的专业工程包括：</w:t>
      </w:r>
      <w:r>
        <w:rPr>
          <w:rFonts w:hint="eastAsia" w:ascii="宋体" w:hAnsi="宋体" w:eastAsia="宋体" w:cs="宋体"/>
          <w:color w:val="auto"/>
          <w:szCs w:val="21"/>
          <w:u w:val="single"/>
        </w:rPr>
        <w:t xml:space="preserve">非主体、非关键性工作 </w:t>
      </w:r>
      <w:r>
        <w:rPr>
          <w:rFonts w:hint="eastAsia" w:ascii="宋体" w:hAnsi="宋体" w:eastAsia="宋体" w:cs="宋体"/>
          <w:color w:val="auto"/>
          <w:szCs w:val="21"/>
        </w:rPr>
        <w:t>。</w:t>
      </w:r>
    </w:p>
    <w:p w14:paraId="5E2D29C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其他关于分包的约定：（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6705034">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除合同另有约定外，承包人应在分包合同签订后7天内向发包人和监理人提交分包合同副本，承包人应保障分包工作不得再次分包。</w:t>
      </w:r>
    </w:p>
    <w:p w14:paraId="46A1AC23">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未经承包人和监理人审批同意的分包工程和分包人，承包人有权拒绝验收分包工程和支付相应款项，由此引起的发包人费用增加和(或)延误的工期由发包人承担。</w:t>
      </w:r>
    </w:p>
    <w:p w14:paraId="6FAF3A80">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承包人有以下情况之一者，发包人有权解除合同，并视情况要求承包人承担相应责任：</w:t>
      </w:r>
    </w:p>
    <w:p w14:paraId="5B06EA8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①个人承包工程，包括本人单位及外单位人员承包，发包人不承认其个人拥有任何资质等级及营业许可资格。</w:t>
      </w:r>
    </w:p>
    <w:p w14:paraId="320F7CB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②几个人联合承包工程，就地组织暗分包队伍，不具备完成本工程的技术、机械能力，被发包人判定为没有能力履行的承包人。</w:t>
      </w:r>
    </w:p>
    <w:p w14:paraId="65272F7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③就地转包全部的工程，以谋取高额转让费、管理费的承包人。 </w:t>
      </w:r>
    </w:p>
    <w:p w14:paraId="1578269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④承包人有部分分包现象（其中包括冒充承包人下属单位的挂勾单位，凭口头协议参与施工的分包人及其他暗分包个体户），一经发现核实，发包人将采取驱逐该暗分包人措施。</w:t>
      </w:r>
    </w:p>
    <w:p w14:paraId="3A8265F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3.5.4 分包合同价款</w:t>
      </w:r>
    </w:p>
    <w:p w14:paraId="143D202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关于分包合同价款支付的约定：</w:t>
      </w:r>
      <w:r>
        <w:rPr>
          <w:rFonts w:hint="eastAsia" w:ascii="宋体" w:hAnsi="宋体" w:eastAsia="宋体" w:cs="宋体"/>
          <w:color w:val="auto"/>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color w:val="auto"/>
          <w:szCs w:val="21"/>
        </w:rPr>
        <w:t>。</w:t>
      </w:r>
    </w:p>
    <w:p w14:paraId="547F638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52" w:name="_Toc455732920"/>
      <w:r>
        <w:rPr>
          <w:rFonts w:hint="eastAsia" w:ascii="宋体" w:hAnsi="宋体" w:eastAsia="宋体" w:cs="宋体"/>
          <w:color w:val="auto"/>
        </w:rPr>
        <w:t>3.6 工程照管与成品、半成品保护</w:t>
      </w:r>
      <w:bookmarkEnd w:id="352"/>
    </w:p>
    <w:p w14:paraId="5B5309E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0"/>
          <w:szCs w:val="21"/>
          <w:u w:val="single"/>
        </w:rPr>
      </w:pPr>
      <w:r>
        <w:rPr>
          <w:rFonts w:hint="eastAsia" w:ascii="宋体" w:hAnsi="宋体" w:eastAsia="宋体" w:cs="宋体"/>
          <w:color w:val="auto"/>
          <w:kern w:val="0"/>
          <w:szCs w:val="21"/>
        </w:rPr>
        <w:t>承包人负责照管工程及工程相关的材料、工程设备的起始时间：</w:t>
      </w:r>
      <w:r>
        <w:rPr>
          <w:rFonts w:hint="eastAsia" w:ascii="宋体" w:hAnsi="宋体" w:eastAsia="宋体" w:cs="宋体"/>
          <w:color w:val="auto"/>
          <w:kern w:val="0"/>
          <w:szCs w:val="21"/>
          <w:u w:val="single"/>
        </w:rPr>
        <w:t xml:space="preserve"> 进场之日起至竣工验收  </w:t>
      </w:r>
      <w:r>
        <w:rPr>
          <w:rFonts w:hint="eastAsia" w:ascii="宋体" w:hAnsi="宋体" w:eastAsia="宋体" w:cs="宋体"/>
          <w:color w:val="auto"/>
          <w:kern w:val="0"/>
          <w:szCs w:val="21"/>
        </w:rPr>
        <w:t>。</w:t>
      </w:r>
    </w:p>
    <w:p w14:paraId="391BA94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53" w:name="_Toc373478359"/>
      <w:bookmarkStart w:id="354" w:name="_Toc389065278"/>
      <w:bookmarkStart w:id="355" w:name="_Toc373227712"/>
      <w:bookmarkStart w:id="356" w:name="_Toc455732921"/>
      <w:r>
        <w:rPr>
          <w:rFonts w:hint="eastAsia" w:ascii="宋体" w:hAnsi="宋体" w:eastAsia="宋体" w:cs="宋体"/>
          <w:color w:val="auto"/>
        </w:rPr>
        <w:t>3.7</w:t>
      </w:r>
      <w:bookmarkEnd w:id="353"/>
      <w:bookmarkEnd w:id="354"/>
      <w:bookmarkEnd w:id="355"/>
      <w:bookmarkEnd w:id="356"/>
      <w:r>
        <w:rPr>
          <w:rFonts w:hint="eastAsia" w:ascii="宋体" w:hAnsi="宋体" w:eastAsia="宋体" w:cs="宋体"/>
          <w:color w:val="auto"/>
        </w:rPr>
        <w:t>履约担保</w:t>
      </w:r>
    </w:p>
    <w:p w14:paraId="2ABBDB3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承包人是否提供履约担保：</w:t>
      </w:r>
      <w:r>
        <w:rPr>
          <w:rFonts w:hint="eastAsia" w:ascii="宋体" w:hAnsi="宋体" w:eastAsia="宋体" w:cs="宋体"/>
          <w:color w:val="auto"/>
          <w:u w:val="single"/>
        </w:rPr>
        <w:t xml:space="preserve">  /   </w:t>
      </w:r>
      <w:r>
        <w:rPr>
          <w:rFonts w:hint="eastAsia" w:ascii="宋体" w:hAnsi="宋体" w:eastAsia="宋体" w:cs="宋体"/>
          <w:color w:val="auto"/>
        </w:rPr>
        <w:t xml:space="preserve"> 。</w:t>
      </w:r>
    </w:p>
    <w:p w14:paraId="1329D44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0"/>
          <w:szCs w:val="21"/>
        </w:rPr>
      </w:pPr>
      <w:bookmarkStart w:id="357" w:name="_Toc373478360"/>
      <w:bookmarkStart w:id="358" w:name="_Toc351203636"/>
      <w:bookmarkStart w:id="359" w:name="_Toc373227713"/>
      <w:bookmarkStart w:id="360" w:name="_Toc389065279"/>
      <w:r>
        <w:rPr>
          <w:rFonts w:hint="eastAsia" w:ascii="宋体" w:hAnsi="宋体" w:eastAsia="宋体" w:cs="宋体"/>
          <w:color w:val="auto"/>
          <w:szCs w:val="21"/>
        </w:rPr>
        <w:t>承包人提供履约担保的形式、金额及期限的：</w:t>
      </w:r>
      <w:r>
        <w:rPr>
          <w:rFonts w:hint="eastAsia" w:ascii="宋体" w:hAnsi="宋体" w:eastAsia="宋体" w:cs="宋体"/>
          <w:color w:val="auto"/>
          <w:kern w:val="0"/>
          <w:szCs w:val="21"/>
          <w:u w:val="single"/>
        </w:rPr>
        <w:t>/。</w:t>
      </w:r>
    </w:p>
    <w:p w14:paraId="513297D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61" w:name="_Toc455732922"/>
      <w:r>
        <w:rPr>
          <w:rFonts w:hint="eastAsia" w:ascii="宋体" w:hAnsi="宋体" w:eastAsia="宋体" w:cs="宋体"/>
          <w:color w:val="auto"/>
        </w:rPr>
        <w:t>4</w:t>
      </w:r>
      <w:bookmarkStart w:id="362" w:name="_Toc292559366"/>
      <w:bookmarkStart w:id="363" w:name="_Toc297120462"/>
      <w:bookmarkStart w:id="364" w:name="_Toc296890990"/>
      <w:bookmarkStart w:id="365" w:name="_Toc292559871"/>
      <w:bookmarkStart w:id="366" w:name="_Toc267251413"/>
      <w:bookmarkStart w:id="367" w:name="_Toc296346663"/>
      <w:bookmarkStart w:id="368" w:name="_Toc296347161"/>
      <w:bookmarkStart w:id="369" w:name="_Toc297048348"/>
      <w:bookmarkStart w:id="370" w:name="_Toc296503162"/>
      <w:bookmarkStart w:id="371" w:name="_Toc296891202"/>
      <w:bookmarkStart w:id="372" w:name="_Toc296944501"/>
      <w:r>
        <w:rPr>
          <w:rFonts w:hint="eastAsia" w:ascii="宋体" w:hAnsi="宋体" w:eastAsia="宋体" w:cs="宋体"/>
          <w:color w:val="auto"/>
        </w:rPr>
        <w:t>. 监</w:t>
      </w:r>
      <w:bookmarkEnd w:id="362"/>
      <w:bookmarkEnd w:id="363"/>
      <w:bookmarkEnd w:id="364"/>
      <w:bookmarkEnd w:id="365"/>
      <w:bookmarkEnd w:id="366"/>
      <w:bookmarkEnd w:id="367"/>
      <w:bookmarkEnd w:id="368"/>
      <w:bookmarkEnd w:id="369"/>
      <w:bookmarkEnd w:id="370"/>
      <w:bookmarkEnd w:id="371"/>
      <w:bookmarkEnd w:id="372"/>
      <w:r>
        <w:rPr>
          <w:rFonts w:hint="eastAsia" w:ascii="宋体" w:hAnsi="宋体" w:eastAsia="宋体" w:cs="宋体"/>
          <w:color w:val="auto"/>
        </w:rPr>
        <w:t>理人</w:t>
      </w:r>
      <w:bookmarkEnd w:id="357"/>
      <w:bookmarkEnd w:id="358"/>
      <w:bookmarkEnd w:id="359"/>
      <w:bookmarkEnd w:id="360"/>
      <w:bookmarkEnd w:id="361"/>
    </w:p>
    <w:p w14:paraId="39ADEE7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73" w:name="_Toc373227714"/>
      <w:bookmarkStart w:id="374" w:name="_Toc373478361"/>
      <w:bookmarkStart w:id="375" w:name="_Toc389065280"/>
      <w:bookmarkStart w:id="376" w:name="_Toc455732923"/>
      <w:r>
        <w:rPr>
          <w:rFonts w:hint="eastAsia" w:ascii="宋体" w:hAnsi="宋体" w:eastAsia="宋体" w:cs="宋体"/>
          <w:color w:val="auto"/>
        </w:rPr>
        <w:t>4.1 监理人的一般规定</w:t>
      </w:r>
      <w:bookmarkEnd w:id="373"/>
      <w:bookmarkEnd w:id="374"/>
      <w:bookmarkEnd w:id="375"/>
      <w:bookmarkEnd w:id="376"/>
    </w:p>
    <w:p w14:paraId="632F5F1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关于监理人的监理内容：</w:t>
      </w:r>
      <w:r>
        <w:rPr>
          <w:rFonts w:hint="eastAsia" w:ascii="宋体" w:hAnsi="宋体" w:eastAsia="宋体" w:cs="宋体"/>
          <w:color w:val="auto"/>
          <w:szCs w:val="21"/>
          <w:u w:val="single"/>
        </w:rPr>
        <w:t xml:space="preserve"> 见监理合同   </w:t>
      </w:r>
      <w:r>
        <w:rPr>
          <w:rFonts w:hint="eastAsia" w:ascii="宋体" w:hAnsi="宋体" w:eastAsia="宋体" w:cs="宋体"/>
          <w:color w:val="auto"/>
          <w:szCs w:val="21"/>
        </w:rPr>
        <w:t>。</w:t>
      </w:r>
    </w:p>
    <w:p w14:paraId="1BA95EF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关于监理人的监理权限：</w:t>
      </w:r>
      <w:r>
        <w:rPr>
          <w:rFonts w:hint="eastAsia" w:ascii="宋体" w:hAnsi="宋体" w:eastAsia="宋体" w:cs="宋体"/>
          <w:color w:val="auto"/>
          <w:szCs w:val="21"/>
          <w:u w:val="single"/>
        </w:rPr>
        <w:t xml:space="preserve"> 见监理合同   </w:t>
      </w:r>
      <w:r>
        <w:rPr>
          <w:rFonts w:hint="eastAsia" w:ascii="宋体" w:hAnsi="宋体" w:eastAsia="宋体" w:cs="宋体"/>
          <w:color w:val="auto"/>
          <w:szCs w:val="21"/>
        </w:rPr>
        <w:t xml:space="preserve">。 </w:t>
      </w:r>
    </w:p>
    <w:p w14:paraId="7F35190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关于监理人在施工现场的办公场所、生活场所的提供和费用承担的约定：</w:t>
      </w:r>
      <w:r>
        <w:rPr>
          <w:rFonts w:hint="eastAsia" w:ascii="宋体" w:hAnsi="宋体" w:eastAsia="宋体" w:cs="宋体"/>
          <w:color w:val="auto"/>
          <w:szCs w:val="21"/>
          <w:u w:val="single"/>
        </w:rPr>
        <w:t xml:space="preserve"> 见监理合同 。</w:t>
      </w:r>
    </w:p>
    <w:p w14:paraId="6C490C5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77" w:name="_Toc455732924"/>
      <w:bookmarkStart w:id="378" w:name="_Toc373227715"/>
      <w:bookmarkStart w:id="379" w:name="_Toc389065281"/>
      <w:bookmarkStart w:id="380" w:name="_Toc373478362"/>
      <w:r>
        <w:rPr>
          <w:rFonts w:hint="eastAsia" w:ascii="宋体" w:hAnsi="宋体" w:eastAsia="宋体" w:cs="宋体"/>
          <w:color w:val="auto"/>
        </w:rPr>
        <w:t>4.2 监理人员</w:t>
      </w:r>
      <w:bookmarkEnd w:id="377"/>
      <w:bookmarkEnd w:id="378"/>
      <w:bookmarkEnd w:id="379"/>
      <w:bookmarkEnd w:id="380"/>
    </w:p>
    <w:p w14:paraId="7DFD539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总监理工程师：</w:t>
      </w:r>
    </w:p>
    <w:p w14:paraId="61971D6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7BE2DAA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职    务：</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5094119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监理工程师执业资格证书号：</w:t>
      </w:r>
      <w:r>
        <w:rPr>
          <w:rFonts w:hint="eastAsia" w:ascii="宋体" w:hAnsi="宋体" w:eastAsia="宋体" w:cs="宋体"/>
          <w:color w:val="auto"/>
          <w:szCs w:val="21"/>
          <w:u w:val="single"/>
        </w:rPr>
        <w:t> </w:t>
      </w:r>
      <w:r>
        <w:rPr>
          <w:rFonts w:hint="eastAsia" w:ascii="宋体" w:hAnsi="宋体" w:eastAsia="宋体" w:cs="宋体"/>
          <w:color w:val="auto"/>
          <w:szCs w:val="21"/>
        </w:rPr>
        <w:t>；</w:t>
      </w:r>
    </w:p>
    <w:p w14:paraId="0BBD7CE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4BC3C25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通信地址：</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62C27A3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关于监理人的其他约定：</w:t>
      </w:r>
      <w:r>
        <w:rPr>
          <w:rFonts w:hint="eastAsia" w:ascii="宋体" w:hAnsi="宋体" w:eastAsia="宋体" w:cs="宋体"/>
          <w:color w:val="auto"/>
          <w:szCs w:val="21"/>
          <w:u w:val="single"/>
        </w:rPr>
        <w:t>见监理合同</w:t>
      </w:r>
      <w:r>
        <w:rPr>
          <w:rFonts w:hint="eastAsia" w:ascii="宋体" w:hAnsi="宋体" w:eastAsia="宋体" w:cs="宋体"/>
          <w:color w:val="auto"/>
          <w:szCs w:val="21"/>
        </w:rPr>
        <w:t>。</w:t>
      </w:r>
    </w:p>
    <w:p w14:paraId="76CFCD7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4</w:t>
      </w:r>
      <w:r>
        <w:rPr>
          <w:rFonts w:hint="eastAsia" w:ascii="宋体" w:hAnsi="宋体" w:eastAsia="宋体" w:cs="宋体"/>
          <w:color w:val="auto"/>
          <w:szCs w:val="21"/>
        </w:rPr>
        <w:t xml:space="preserve"> 商定或确定</w:t>
      </w:r>
    </w:p>
    <w:p w14:paraId="09DEC9A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在发包人和承包人不能通过协商达成一致意见时，发包人授权监理人对以下事项进行确定：</w:t>
      </w:r>
    </w:p>
    <w:p w14:paraId="58052012">
      <w:pPr>
        <w:keepNext w:val="0"/>
        <w:keepLines w:val="0"/>
        <w:pageBreakBefore w:val="0"/>
        <w:widowControl w:val="0"/>
        <w:numPr>
          <w:ilvl w:val="0"/>
          <w:numId w:val="25"/>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u w:val="single"/>
        </w:rPr>
        <w:t>见监理合同</w:t>
      </w:r>
      <w:r>
        <w:rPr>
          <w:rFonts w:hint="eastAsia" w:ascii="宋体" w:hAnsi="宋体" w:eastAsia="宋体" w:cs="宋体"/>
          <w:color w:val="auto"/>
          <w:szCs w:val="21"/>
        </w:rPr>
        <w:t>；</w:t>
      </w:r>
    </w:p>
    <w:p w14:paraId="14F4624F">
      <w:pPr>
        <w:keepNext w:val="0"/>
        <w:keepLines w:val="0"/>
        <w:pageBreakBefore w:val="0"/>
        <w:widowControl w:val="0"/>
        <w:numPr>
          <w:ilvl w:val="0"/>
          <w:numId w:val="25"/>
        </w:numPr>
        <w:kinsoku/>
        <w:wordWrap/>
        <w:overflowPunct/>
        <w:topLinePunct w:val="0"/>
        <w:autoSpaceDE/>
        <w:autoSpaceDN/>
        <w:bidi w:val="0"/>
        <w:adjustRightInd w:val="0"/>
        <w:snapToGrid w:val="0"/>
        <w:spacing w:line="440" w:lineRule="atLeast"/>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u w:val="single"/>
        </w:rPr>
        <w:t>见监理合同</w:t>
      </w:r>
      <w:r>
        <w:rPr>
          <w:rFonts w:hint="eastAsia" w:ascii="宋体" w:hAnsi="宋体" w:eastAsia="宋体" w:cs="宋体"/>
          <w:color w:val="auto"/>
          <w:szCs w:val="21"/>
        </w:rPr>
        <w:t>；</w:t>
      </w:r>
    </w:p>
    <w:p w14:paraId="3321D046">
      <w:pPr>
        <w:keepNext w:val="0"/>
        <w:keepLines w:val="0"/>
        <w:pageBreakBefore w:val="0"/>
        <w:widowControl w:val="0"/>
        <w:numPr>
          <w:ilvl w:val="0"/>
          <w:numId w:val="25"/>
        </w:numPr>
        <w:kinsoku/>
        <w:wordWrap/>
        <w:overflowPunct/>
        <w:topLinePunct w:val="0"/>
        <w:autoSpaceDE/>
        <w:autoSpaceDN/>
        <w:bidi w:val="0"/>
        <w:adjustRightInd w:val="0"/>
        <w:snapToGrid w:val="0"/>
        <w:spacing w:line="440" w:lineRule="atLeast"/>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u w:val="single"/>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见监理合同</w:t>
      </w:r>
      <w:r>
        <w:rPr>
          <w:rFonts w:hint="eastAsia" w:ascii="宋体" w:hAnsi="宋体" w:eastAsia="宋体" w:cs="宋体"/>
          <w:color w:val="auto"/>
          <w:szCs w:val="21"/>
        </w:rPr>
        <w:t>。</w:t>
      </w:r>
    </w:p>
    <w:p w14:paraId="3A594F9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81" w:name="_Toc267251418"/>
      <w:bookmarkStart w:id="382" w:name="_Toc373227717"/>
      <w:bookmarkStart w:id="383" w:name="_Toc351203637"/>
      <w:bookmarkStart w:id="384" w:name="_Toc389065283"/>
      <w:bookmarkStart w:id="385" w:name="_Toc455732926"/>
      <w:bookmarkStart w:id="386" w:name="_Toc373478364"/>
      <w:r>
        <w:rPr>
          <w:rFonts w:hint="eastAsia" w:ascii="宋体" w:hAnsi="宋体" w:eastAsia="宋体" w:cs="宋体"/>
          <w:color w:val="auto"/>
        </w:rPr>
        <w:t>5</w:t>
      </w:r>
      <w:bookmarkEnd w:id="381"/>
      <w:r>
        <w:rPr>
          <w:rFonts w:hint="eastAsia" w:ascii="宋体" w:hAnsi="宋体" w:eastAsia="宋体" w:cs="宋体"/>
          <w:color w:val="auto"/>
        </w:rPr>
        <w:t>. 工程质量</w:t>
      </w:r>
      <w:bookmarkEnd w:id="382"/>
      <w:bookmarkEnd w:id="383"/>
      <w:bookmarkEnd w:id="384"/>
      <w:bookmarkEnd w:id="385"/>
      <w:bookmarkEnd w:id="386"/>
    </w:p>
    <w:p w14:paraId="20D6AB0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87" w:name="_Toc389065284"/>
      <w:bookmarkStart w:id="388" w:name="_Toc373227718"/>
      <w:bookmarkStart w:id="389" w:name="_Toc373478365"/>
      <w:bookmarkStart w:id="390" w:name="_Toc455732927"/>
      <w:r>
        <w:rPr>
          <w:rFonts w:hint="eastAsia" w:ascii="宋体" w:hAnsi="宋体" w:eastAsia="宋体" w:cs="宋体"/>
          <w:color w:val="auto"/>
        </w:rPr>
        <w:t>5.1 质量要求</w:t>
      </w:r>
      <w:bookmarkEnd w:id="387"/>
      <w:bookmarkEnd w:id="388"/>
      <w:bookmarkEnd w:id="389"/>
      <w:bookmarkEnd w:id="390"/>
    </w:p>
    <w:p w14:paraId="3F6B967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5.1.1 特殊质量标准和要求：</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6D1A9E9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关于工程奖项的约定：</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7B25EFA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5.3 隐蔽工程检查</w:t>
      </w:r>
    </w:p>
    <w:p w14:paraId="24D1889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5.3.2承包人提前通知监理人隐蔽工程检查的期限的约定：工程隐蔽或中间验收前</w:t>
      </w:r>
      <w:r>
        <w:rPr>
          <w:rFonts w:hint="eastAsia" w:ascii="宋体" w:hAnsi="宋体" w:eastAsia="宋体" w:cs="宋体"/>
          <w:color w:val="auto"/>
          <w:szCs w:val="21"/>
          <w:u w:val="single"/>
        </w:rPr>
        <w:t xml:space="preserve"> 12 </w:t>
      </w:r>
      <w:r>
        <w:rPr>
          <w:rFonts w:hint="eastAsia" w:ascii="宋体" w:hAnsi="宋体" w:eastAsia="宋体" w:cs="宋体"/>
          <w:color w:val="auto"/>
          <w:szCs w:val="21"/>
        </w:rPr>
        <w:t>小时以书面形式通知发包人和监理工程师验收的内容、时间、地点，承包人准备验收记录单（印制的表格）由双方签证。验收合格，承包人可进行隐蔽和继续施工；验收不合格，双方商订时限内修改后按上述循序重新验收</w:t>
      </w:r>
      <w:r>
        <w:rPr>
          <w:rFonts w:hint="eastAsia" w:ascii="宋体" w:hAnsi="宋体" w:eastAsia="宋体" w:cs="宋体"/>
          <w:bCs/>
          <w:color w:val="auto"/>
          <w:szCs w:val="21"/>
        </w:rPr>
        <w:t>。</w:t>
      </w:r>
    </w:p>
    <w:p w14:paraId="12DACD8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监理人不能按时进行检查时，应提前</w:t>
      </w:r>
      <w:r>
        <w:rPr>
          <w:rFonts w:hint="eastAsia" w:ascii="宋体" w:hAnsi="宋体" w:eastAsia="宋体" w:cs="宋体"/>
          <w:color w:val="auto"/>
          <w:szCs w:val="21"/>
          <w:u w:val="single"/>
        </w:rPr>
        <w:t xml:space="preserve"> 24 </w:t>
      </w:r>
      <w:r>
        <w:rPr>
          <w:rFonts w:hint="eastAsia" w:ascii="宋体" w:hAnsi="宋体" w:eastAsia="宋体" w:cs="宋体"/>
          <w:color w:val="auto"/>
          <w:szCs w:val="21"/>
        </w:rPr>
        <w:t>小时提交书面延期要求。</w:t>
      </w:r>
    </w:p>
    <w:p w14:paraId="001965B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关于延期最长不得超过：</w:t>
      </w:r>
      <w:r>
        <w:rPr>
          <w:rFonts w:hint="eastAsia" w:ascii="宋体" w:hAnsi="宋体" w:eastAsia="宋体" w:cs="宋体"/>
          <w:color w:val="auto"/>
          <w:szCs w:val="21"/>
          <w:u w:val="single"/>
        </w:rPr>
        <w:t xml:space="preserve"> 48  </w:t>
      </w:r>
      <w:r>
        <w:rPr>
          <w:rFonts w:hint="eastAsia" w:ascii="宋体" w:hAnsi="宋体" w:eastAsia="宋体" w:cs="宋体"/>
          <w:color w:val="auto"/>
          <w:szCs w:val="21"/>
        </w:rPr>
        <w:t>小时。</w:t>
      </w:r>
    </w:p>
    <w:p w14:paraId="6057A5B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91" w:name="_Toc373227719"/>
      <w:bookmarkStart w:id="392" w:name="_Toc455732928"/>
      <w:bookmarkStart w:id="393" w:name="_Toc389065285"/>
      <w:bookmarkStart w:id="394" w:name="_Toc373478366"/>
      <w:bookmarkStart w:id="395" w:name="_Toc351203638"/>
      <w:r>
        <w:rPr>
          <w:rFonts w:hint="eastAsia" w:ascii="宋体" w:hAnsi="宋体" w:eastAsia="宋体" w:cs="宋体"/>
          <w:color w:val="auto"/>
        </w:rPr>
        <w:t>6. 安全文明施工与环境保护</w:t>
      </w:r>
      <w:bookmarkEnd w:id="391"/>
      <w:bookmarkEnd w:id="392"/>
      <w:bookmarkEnd w:id="393"/>
      <w:bookmarkEnd w:id="394"/>
      <w:bookmarkEnd w:id="395"/>
    </w:p>
    <w:p w14:paraId="305BB36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396" w:name="_Toc373478367"/>
      <w:bookmarkStart w:id="397" w:name="_Toc389065286"/>
      <w:bookmarkStart w:id="398" w:name="_Toc455732929"/>
      <w:bookmarkStart w:id="399" w:name="_Toc373227720"/>
      <w:r>
        <w:rPr>
          <w:rFonts w:hint="eastAsia" w:ascii="宋体" w:hAnsi="宋体" w:eastAsia="宋体" w:cs="宋体"/>
          <w:color w:val="auto"/>
        </w:rPr>
        <w:t>6.1 安全文明施工</w:t>
      </w:r>
      <w:bookmarkEnd w:id="396"/>
      <w:bookmarkEnd w:id="397"/>
      <w:bookmarkEnd w:id="398"/>
      <w:bookmarkEnd w:id="399"/>
    </w:p>
    <w:p w14:paraId="73FAF84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6.1.1 项目安全生产的达标目标及相应事项的约定：</w:t>
      </w:r>
      <w:r>
        <w:rPr>
          <w:rFonts w:hint="eastAsia" w:ascii="宋体" w:hAnsi="宋体" w:eastAsia="宋体" w:cs="宋体"/>
          <w:color w:val="auto"/>
          <w:szCs w:val="21"/>
          <w:u w:val="single"/>
        </w:rPr>
        <w:t xml:space="preserve"> 按《广西壮族自治区建设工程安全文明施工费及使用管理细则》（桂建质〔2015〕16号）及《广西壮族自治区建筑工程文明施工导则》(桂建管[2012]108号)有关规定执行  </w:t>
      </w:r>
      <w:r>
        <w:rPr>
          <w:rFonts w:hint="eastAsia" w:ascii="宋体" w:hAnsi="宋体" w:eastAsia="宋体" w:cs="宋体"/>
          <w:color w:val="auto"/>
          <w:szCs w:val="21"/>
        </w:rPr>
        <w:t>。</w:t>
      </w:r>
    </w:p>
    <w:p w14:paraId="5F61A35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6.1.4 关于治安保卫的特别约定：</w:t>
      </w:r>
      <w:r>
        <w:rPr>
          <w:rFonts w:hint="eastAsia" w:ascii="宋体" w:hAnsi="宋体" w:eastAsia="宋体" w:cs="宋体"/>
          <w:b/>
          <w:color w:val="auto"/>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eastAsia="宋体" w:cs="宋体"/>
          <w:color w:val="auto"/>
          <w:szCs w:val="21"/>
          <w:u w:val="single"/>
        </w:rPr>
        <w:t>。</w:t>
      </w:r>
    </w:p>
    <w:p w14:paraId="18BB8E9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关于编制施工场地治安管理计划的约定：</w:t>
      </w:r>
      <w:r>
        <w:rPr>
          <w:rFonts w:hint="eastAsia" w:ascii="宋体" w:hAnsi="宋体" w:eastAsia="宋体" w:cs="宋体"/>
          <w:b/>
          <w:color w:val="auto"/>
          <w:u w:val="single"/>
        </w:rPr>
        <w:t>开工前提供</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181EAC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6.1.5 文明施工</w:t>
      </w:r>
    </w:p>
    <w:p w14:paraId="177EB83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合同当事人对文明施工的要求：</w:t>
      </w:r>
      <w:r>
        <w:rPr>
          <w:rFonts w:hint="eastAsia" w:ascii="宋体" w:hAnsi="宋体" w:eastAsia="宋体" w:cs="宋体"/>
          <w:color w:val="auto"/>
          <w:szCs w:val="21"/>
          <w:u w:val="single"/>
        </w:rPr>
        <w:t xml:space="preserve"> 遵守行业和项目所在地方政府的规定 </w:t>
      </w:r>
      <w:r>
        <w:rPr>
          <w:rFonts w:hint="eastAsia" w:ascii="宋体" w:hAnsi="宋体" w:eastAsia="宋体" w:cs="宋体"/>
          <w:color w:val="auto"/>
          <w:szCs w:val="21"/>
        </w:rPr>
        <w:t>。</w:t>
      </w:r>
    </w:p>
    <w:p w14:paraId="2DB1AF3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6.1.6 关于安全文明施工费支付比例和支付期限的约定：</w:t>
      </w:r>
    </w:p>
    <w:p w14:paraId="5C30555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（1）本合同价款已包含安全防护、文明施工措施费。 </w:t>
      </w:r>
    </w:p>
    <w:p w14:paraId="39684CE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（2）使用要求：专款专用。具体按《广西壮族自治区建设工程安全文明施工费使用管理细则》（桂建质〔2015〕16 号）和</w:t>
      </w:r>
      <w:r>
        <w:rPr>
          <w:rFonts w:hint="eastAsia" w:ascii="宋体" w:hAnsi="宋体" w:eastAsia="宋体" w:cs="宋体"/>
          <w:color w:val="auto"/>
          <w:szCs w:val="21"/>
          <w:u w:val="single"/>
        </w:rPr>
        <w:t xml:space="preserve"> 梧州 </w:t>
      </w:r>
      <w:r>
        <w:rPr>
          <w:rFonts w:hint="eastAsia" w:ascii="宋体" w:hAnsi="宋体" w:eastAsia="宋体" w:cs="宋体"/>
          <w:color w:val="auto"/>
          <w:szCs w:val="21"/>
        </w:rPr>
        <w:t>市相关规定执行。</w:t>
      </w:r>
    </w:p>
    <w:p w14:paraId="025A34A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支付约定：限额内专款专用，实报实销。</w:t>
      </w:r>
    </w:p>
    <w:p w14:paraId="21E6236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6.2</w:t>
      </w:r>
      <w:r>
        <w:rPr>
          <w:rFonts w:hint="eastAsia" w:ascii="宋体" w:hAnsi="宋体" w:eastAsia="宋体" w:cs="宋体"/>
          <w:color w:val="auto"/>
          <w:szCs w:val="21"/>
          <w:lang w:val="en-US" w:eastAsia="zh-CN"/>
        </w:rPr>
        <w:t xml:space="preserve"> 6.2  现场的环境保护管理：</w:t>
      </w:r>
      <w:r>
        <w:rPr>
          <w:rFonts w:hint="eastAsia" w:ascii="宋体" w:hAnsi="宋体" w:eastAsia="宋体" w:cs="宋体"/>
          <w:color w:val="auto"/>
          <w:szCs w:val="21"/>
          <w:u w:val="single"/>
          <w:lang w:val="en-US" w:eastAsia="zh-CN"/>
        </w:rPr>
        <w:t xml:space="preserve">根据《梧州市大气污染防治2015建筑工地文明施工管理及扬尘治理实施工作方案》（梧建[2015]129号）、《关于进一步做好我市建筑工地扬尘治理工作的紧急通知》（梧建[2015]239号）、《关于严格执行建筑垃圾运输车辆管理工作的通知》（梧建[2018]195号）及《关于进一步规范全市建筑垃圾运输秩序的通告》（梧建[2019]119号），经过城市道理的施工车辆，必须按交警、城管、运输等部门相关规定执行。由于施工车辆造成的道路、环境等污染，其责任和费用由承包人承担。承包人须按照梧州市建设行政管理部门的要求，编制工程扬尘治理方案及落实措施并严格执行，由于承包人没有指定扬尘治理方案和不严格执行而造成污染，其责任和费用均由承包人承担 </w:t>
      </w:r>
      <w:r>
        <w:rPr>
          <w:rFonts w:hint="eastAsia" w:ascii="宋体" w:hAnsi="宋体" w:eastAsia="宋体" w:cs="宋体"/>
          <w:color w:val="auto"/>
          <w:szCs w:val="21"/>
          <w:lang w:val="en-US" w:eastAsia="zh-CN"/>
        </w:rPr>
        <w:t>。</w:t>
      </w:r>
    </w:p>
    <w:p w14:paraId="032D9FE3">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400" w:name="_Toc373227722"/>
      <w:bookmarkStart w:id="401" w:name="_Toc373478369"/>
      <w:bookmarkStart w:id="402" w:name="_Toc455732931"/>
      <w:bookmarkStart w:id="403" w:name="_Toc389065288"/>
      <w:bookmarkStart w:id="404" w:name="_Toc351203639"/>
      <w:r>
        <w:rPr>
          <w:rFonts w:hint="eastAsia" w:ascii="宋体" w:hAnsi="宋体" w:eastAsia="宋体" w:cs="宋体"/>
          <w:color w:val="auto"/>
        </w:rPr>
        <w:t>7. 工期和进度</w:t>
      </w:r>
      <w:bookmarkEnd w:id="400"/>
      <w:bookmarkEnd w:id="401"/>
      <w:bookmarkEnd w:id="402"/>
      <w:bookmarkEnd w:id="403"/>
      <w:bookmarkEnd w:id="404"/>
    </w:p>
    <w:p w14:paraId="09C649E6">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405" w:name="_Toc389065289"/>
      <w:bookmarkStart w:id="406" w:name="_Toc455732932"/>
      <w:bookmarkStart w:id="407" w:name="_Toc373478370"/>
      <w:bookmarkStart w:id="408" w:name="_Toc373227723"/>
      <w:r>
        <w:rPr>
          <w:rFonts w:hint="eastAsia" w:ascii="宋体" w:hAnsi="宋体" w:eastAsia="宋体" w:cs="宋体"/>
          <w:color w:val="auto"/>
        </w:rPr>
        <w:t>7.1 施工组织设计</w:t>
      </w:r>
      <w:bookmarkEnd w:id="405"/>
      <w:bookmarkEnd w:id="406"/>
      <w:bookmarkEnd w:id="407"/>
      <w:bookmarkEnd w:id="408"/>
    </w:p>
    <w:p w14:paraId="19AF4F2C">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7.1.1 合</w:t>
      </w:r>
      <w:r>
        <w:rPr>
          <w:rFonts w:hint="eastAsia" w:ascii="宋体" w:hAnsi="宋体" w:eastAsia="宋体" w:cs="宋体"/>
          <w:color w:val="auto"/>
          <w:kern w:val="0"/>
          <w:szCs w:val="21"/>
        </w:rPr>
        <w:t>同当事人约定的施工组织设计应包括的其他内容：</w:t>
      </w:r>
      <w:r>
        <w:rPr>
          <w:rFonts w:hint="eastAsia" w:ascii="宋体" w:hAnsi="宋体" w:eastAsia="宋体" w:cs="宋体"/>
          <w:color w:val="auto"/>
          <w:szCs w:val="21"/>
          <w:u w:val="single"/>
        </w:rPr>
        <w:t xml:space="preserve"> 按照工程特点和行业有关规定编制 </w:t>
      </w:r>
      <w:r>
        <w:rPr>
          <w:rFonts w:hint="eastAsia" w:ascii="宋体" w:hAnsi="宋体" w:eastAsia="宋体" w:cs="宋体"/>
          <w:color w:val="auto"/>
          <w:szCs w:val="21"/>
        </w:rPr>
        <w:t>。</w:t>
      </w:r>
    </w:p>
    <w:p w14:paraId="57702501">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0"/>
          <w:szCs w:val="21"/>
        </w:rPr>
      </w:pPr>
      <w:r>
        <w:rPr>
          <w:rFonts w:hint="eastAsia" w:ascii="宋体" w:hAnsi="宋体" w:eastAsia="宋体" w:cs="宋体"/>
          <w:color w:val="auto"/>
          <w:szCs w:val="21"/>
        </w:rPr>
        <w:t xml:space="preserve">7.1.2 </w:t>
      </w:r>
      <w:r>
        <w:rPr>
          <w:rFonts w:hint="eastAsia" w:ascii="宋体" w:hAnsi="宋体" w:eastAsia="宋体" w:cs="宋体"/>
          <w:color w:val="auto"/>
          <w:kern w:val="0"/>
          <w:szCs w:val="21"/>
        </w:rPr>
        <w:t>施工组织设计的提交和修改</w:t>
      </w:r>
    </w:p>
    <w:p w14:paraId="6700F89C">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kern w:val="0"/>
          <w:szCs w:val="21"/>
        </w:rPr>
        <w:t>承包人提交详细施工组织设计的期限的约定：</w:t>
      </w:r>
      <w:r>
        <w:rPr>
          <w:rFonts w:hint="eastAsia" w:ascii="宋体" w:hAnsi="宋体" w:eastAsia="宋体" w:cs="宋体"/>
          <w:color w:val="auto"/>
          <w:szCs w:val="21"/>
          <w:u w:val="single"/>
        </w:rPr>
        <w:t xml:space="preserve"> 承包人应在开工前</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7</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日内，提交详细的施工组织设计，并报送监理人和发包人 </w:t>
      </w:r>
      <w:r>
        <w:rPr>
          <w:rFonts w:hint="eastAsia" w:ascii="宋体" w:hAnsi="宋体" w:eastAsia="宋体" w:cs="宋体"/>
          <w:color w:val="auto"/>
          <w:szCs w:val="21"/>
        </w:rPr>
        <w:t>。</w:t>
      </w:r>
    </w:p>
    <w:p w14:paraId="6B39A555">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发包人和监理人在收到详细的施工组织设计后确认或提出修改意见的期限：</w:t>
      </w:r>
      <w:r>
        <w:rPr>
          <w:rFonts w:hint="eastAsia" w:ascii="宋体" w:hAnsi="宋体" w:eastAsia="宋体" w:cs="宋体"/>
          <w:color w:val="auto"/>
          <w:szCs w:val="21"/>
          <w:u w:val="single"/>
        </w:rPr>
        <w:t xml:space="preserve"> 收到详细施工组织设计后14天内确定或提出修改意见。对监理人和发包人提出合理意见和要求，承包人应自行修改完善 </w:t>
      </w:r>
      <w:r>
        <w:rPr>
          <w:rFonts w:hint="eastAsia" w:ascii="宋体" w:hAnsi="宋体" w:eastAsia="宋体" w:cs="宋体"/>
          <w:color w:val="auto"/>
          <w:szCs w:val="21"/>
        </w:rPr>
        <w:t>。</w:t>
      </w:r>
    </w:p>
    <w:p w14:paraId="1FA91305">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409" w:name="_Toc389065290"/>
      <w:bookmarkStart w:id="410" w:name="_Toc455732933"/>
      <w:bookmarkStart w:id="411" w:name="_Toc373478371"/>
      <w:bookmarkStart w:id="412" w:name="_Toc373227724"/>
      <w:r>
        <w:rPr>
          <w:rFonts w:hint="eastAsia" w:ascii="宋体" w:hAnsi="宋体" w:eastAsia="宋体" w:cs="宋体"/>
          <w:color w:val="auto"/>
        </w:rPr>
        <w:t>7</w:t>
      </w:r>
      <w:bookmarkStart w:id="413" w:name="_Toc303539123"/>
      <w:bookmarkStart w:id="414" w:name="_Toc312678005"/>
      <w:bookmarkStart w:id="415" w:name="_Toc304295541"/>
      <w:bookmarkStart w:id="416" w:name="_Toc312677479"/>
      <w:bookmarkStart w:id="417" w:name="_Toc297216173"/>
      <w:bookmarkStart w:id="418" w:name="_Toc297123514"/>
      <w:bookmarkStart w:id="419" w:name="_Toc300934966"/>
      <w:r>
        <w:rPr>
          <w:rFonts w:hint="eastAsia" w:ascii="宋体" w:hAnsi="宋体" w:eastAsia="宋体" w:cs="宋体"/>
          <w:color w:val="auto"/>
        </w:rPr>
        <w:t>.2 施工进度计划</w:t>
      </w:r>
      <w:bookmarkEnd w:id="409"/>
      <w:bookmarkEnd w:id="410"/>
      <w:bookmarkEnd w:id="411"/>
      <w:bookmarkEnd w:id="412"/>
    </w:p>
    <w:p w14:paraId="0FD8D1CF">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7.2.2 施工进度计划的修订</w:t>
      </w:r>
    </w:p>
    <w:p w14:paraId="687F3829">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发包人和监理人在收到修订的施工进度计划后确认或提出修改意见的期限：</w:t>
      </w:r>
      <w:r>
        <w:rPr>
          <w:rFonts w:hint="eastAsia" w:ascii="宋体" w:hAnsi="宋体" w:eastAsia="宋体" w:cs="宋体"/>
          <w:color w:val="auto"/>
          <w:szCs w:val="21"/>
          <w:u w:val="single"/>
        </w:rPr>
        <w:t xml:space="preserve"> 收到后 </w:t>
      </w:r>
      <w:r>
        <w:rPr>
          <w:rFonts w:hint="eastAsia" w:ascii="宋体" w:hAnsi="宋体" w:eastAsia="宋体" w:cs="宋体"/>
          <w:color w:val="auto"/>
          <w:szCs w:val="21"/>
          <w:u w:val="single"/>
          <w:lang w:val="en-US" w:eastAsia="zh-CN"/>
        </w:rPr>
        <w:t>14</w:t>
      </w:r>
      <w:r>
        <w:rPr>
          <w:rFonts w:hint="eastAsia" w:ascii="宋体" w:hAnsi="宋体" w:eastAsia="宋体" w:cs="宋体"/>
          <w:color w:val="auto"/>
          <w:szCs w:val="21"/>
          <w:u w:val="single"/>
        </w:rPr>
        <w:t xml:space="preserve"> 天内 </w:t>
      </w:r>
      <w:r>
        <w:rPr>
          <w:rFonts w:hint="eastAsia" w:ascii="宋体" w:hAnsi="宋体" w:eastAsia="宋体" w:cs="宋体"/>
          <w:color w:val="auto"/>
          <w:szCs w:val="21"/>
        </w:rPr>
        <w:t>。</w:t>
      </w:r>
    </w:p>
    <w:p w14:paraId="085CFE75">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420" w:name="_Toc373478372"/>
      <w:bookmarkStart w:id="421" w:name="_Toc389065291"/>
      <w:bookmarkStart w:id="422" w:name="_Toc373227725"/>
      <w:bookmarkStart w:id="423" w:name="_Toc455732934"/>
      <w:r>
        <w:rPr>
          <w:rFonts w:hint="eastAsia" w:ascii="宋体" w:hAnsi="宋体" w:eastAsia="宋体" w:cs="宋体"/>
          <w:color w:val="auto"/>
        </w:rPr>
        <w:t>7.3 开工</w:t>
      </w:r>
      <w:bookmarkEnd w:id="420"/>
      <w:bookmarkEnd w:id="421"/>
      <w:bookmarkEnd w:id="422"/>
      <w:bookmarkEnd w:id="423"/>
    </w:p>
    <w:p w14:paraId="1AD9D3C5">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7.3.1 开工准备</w:t>
      </w:r>
    </w:p>
    <w:p w14:paraId="4BCA5F72">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关于承包人提交</w:t>
      </w:r>
      <w:r>
        <w:rPr>
          <w:rFonts w:hint="eastAsia" w:ascii="宋体" w:hAnsi="宋体" w:eastAsia="宋体" w:cs="宋体"/>
          <w:color w:val="auto"/>
          <w:kern w:val="0"/>
          <w:szCs w:val="21"/>
        </w:rPr>
        <w:t>工程开工报审表的期限：</w:t>
      </w:r>
      <w:r>
        <w:rPr>
          <w:rFonts w:hint="eastAsia" w:ascii="宋体" w:hAnsi="宋体" w:eastAsia="宋体" w:cs="宋体"/>
          <w:color w:val="auto"/>
          <w:szCs w:val="21"/>
          <w:u w:val="single"/>
        </w:rPr>
        <w:t xml:space="preserve"> 按审批的施工组织设计约定的期限 </w:t>
      </w:r>
      <w:r>
        <w:rPr>
          <w:rFonts w:hint="eastAsia" w:ascii="宋体" w:hAnsi="宋体" w:eastAsia="宋体" w:cs="宋体"/>
          <w:color w:val="auto"/>
          <w:szCs w:val="21"/>
        </w:rPr>
        <w:t>。</w:t>
      </w:r>
    </w:p>
    <w:p w14:paraId="79D55FA9">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关于发包人应完成的其他开工准备工作及期限：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1</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开工前14天完成施工现场 “三通一平 ”工作，并满足施工要求；</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2</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开工前7天内发包人确定施工用水、用电接入点；</w:t>
      </w:r>
      <w:r>
        <w:rPr>
          <w:rFonts w:hint="eastAsia" w:ascii="宋体" w:hAnsi="宋体" w:eastAsia="宋体" w:cs="宋体"/>
          <w:color w:val="auto"/>
          <w:szCs w:val="21"/>
          <w:u w:val="single"/>
          <w:lang w:val="en-US" w:eastAsia="zh-CN"/>
        </w:rPr>
        <w:t>（3）</w:t>
      </w:r>
      <w:r>
        <w:rPr>
          <w:rFonts w:hint="eastAsia" w:ascii="宋体" w:hAnsi="宋体" w:eastAsia="宋体" w:cs="宋体"/>
          <w:color w:val="auto"/>
          <w:szCs w:val="21"/>
          <w:u w:val="single"/>
        </w:rPr>
        <w:t>按监理核批的施工组织设计，开工前7天内由承包方完成施工临时道路的修建，并承担修建费用；</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开工前7天内将工程管线的资料提供给承包人并确保图纸的准确性、有效性及完整性，如因图纸有误造成的损失由发包人承担及由此产生的相关费用；</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开工前7天内由发包人办理的施工所需证件、批件，因发包人证件资料不齐全，无法办理导致工程无法顺利进行，工期相应顺延；</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6</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 xml:space="preserve">开工前组织承包人和设计单位进行图纸会审，并由设计单位向承包人进行设计交底 </w:t>
      </w:r>
      <w:r>
        <w:rPr>
          <w:rFonts w:hint="eastAsia" w:ascii="宋体" w:hAnsi="宋体" w:eastAsia="宋体" w:cs="宋体"/>
          <w:color w:val="auto"/>
          <w:szCs w:val="21"/>
        </w:rPr>
        <w:t>。</w:t>
      </w:r>
    </w:p>
    <w:p w14:paraId="39048063">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关于承包人应完成的其他开工准备工作及期限：</w:t>
      </w:r>
      <w:r>
        <w:rPr>
          <w:rFonts w:hint="eastAsia" w:ascii="宋体" w:hAnsi="宋体" w:eastAsia="宋体" w:cs="宋体"/>
          <w:color w:val="auto"/>
          <w:szCs w:val="21"/>
          <w:u w:val="single"/>
        </w:rPr>
        <w:t xml:space="preserve"> 开工前 3 天 </w:t>
      </w:r>
      <w:r>
        <w:rPr>
          <w:rFonts w:hint="eastAsia" w:ascii="宋体" w:hAnsi="宋体" w:eastAsia="宋体" w:cs="宋体"/>
          <w:color w:val="auto"/>
          <w:szCs w:val="21"/>
        </w:rPr>
        <w:t>。</w:t>
      </w:r>
    </w:p>
    <w:p w14:paraId="19086B1C">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7.3.2 开工通知</w:t>
      </w:r>
    </w:p>
    <w:p w14:paraId="5E6A5D5B">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因发包人原因造成监理人未能在计划开工日期之日起</w:t>
      </w:r>
      <w:r>
        <w:rPr>
          <w:rFonts w:hint="eastAsia" w:ascii="宋体" w:hAnsi="宋体" w:eastAsia="宋体" w:cs="宋体"/>
          <w:color w:val="auto"/>
          <w:szCs w:val="21"/>
          <w:u w:val="single"/>
        </w:rPr>
        <w:t xml:space="preserve"> 30 </w:t>
      </w:r>
      <w:r>
        <w:rPr>
          <w:rFonts w:hint="eastAsia" w:ascii="宋体" w:hAnsi="宋体" w:eastAsia="宋体" w:cs="宋体"/>
          <w:color w:val="auto"/>
          <w:szCs w:val="21"/>
        </w:rPr>
        <w:t>天内发出开工通知的，承包人有权提出价格调整要求，或者解除合同。</w:t>
      </w:r>
    </w:p>
    <w:bookmarkEnd w:id="413"/>
    <w:bookmarkEnd w:id="414"/>
    <w:bookmarkEnd w:id="415"/>
    <w:bookmarkEnd w:id="416"/>
    <w:bookmarkEnd w:id="417"/>
    <w:bookmarkEnd w:id="418"/>
    <w:bookmarkEnd w:id="419"/>
    <w:p w14:paraId="2568B79B">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424" w:name="_Toc389065292"/>
      <w:bookmarkStart w:id="425" w:name="_Toc373478373"/>
      <w:bookmarkStart w:id="426" w:name="_Toc373227726"/>
      <w:bookmarkStart w:id="427" w:name="_Toc455732935"/>
      <w:r>
        <w:rPr>
          <w:rFonts w:hint="eastAsia" w:ascii="宋体" w:hAnsi="宋体" w:eastAsia="宋体" w:cs="宋体"/>
          <w:color w:val="auto"/>
        </w:rPr>
        <w:t>7.4 测量放线</w:t>
      </w:r>
      <w:bookmarkEnd w:id="424"/>
      <w:bookmarkEnd w:id="425"/>
      <w:bookmarkEnd w:id="426"/>
      <w:bookmarkEnd w:id="427"/>
    </w:p>
    <w:p w14:paraId="6865D1AA">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7.4.1发包人通过监理人向承包人提供测量基准点、基准线和水准点及其书面资料的期限：</w:t>
      </w:r>
      <w:r>
        <w:rPr>
          <w:rFonts w:hint="eastAsia" w:ascii="宋体" w:hAnsi="宋体" w:eastAsia="宋体" w:cs="宋体"/>
          <w:color w:val="auto"/>
          <w:szCs w:val="21"/>
          <w:u w:val="single"/>
        </w:rPr>
        <w:t>开工前7天</w:t>
      </w:r>
      <w:r>
        <w:rPr>
          <w:rFonts w:hint="eastAsia" w:ascii="宋体" w:hAnsi="宋体" w:eastAsia="宋体" w:cs="宋体"/>
          <w:color w:val="auto"/>
          <w:szCs w:val="21"/>
        </w:rPr>
        <w:t>。</w:t>
      </w:r>
    </w:p>
    <w:p w14:paraId="25136591">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428" w:name="_Toc455732936"/>
      <w:bookmarkStart w:id="429" w:name="_Toc373478374"/>
      <w:bookmarkStart w:id="430" w:name="_Toc389065293"/>
      <w:bookmarkStart w:id="431" w:name="_Toc373227727"/>
      <w:r>
        <w:rPr>
          <w:rFonts w:hint="eastAsia" w:ascii="宋体" w:hAnsi="宋体" w:eastAsia="宋体" w:cs="宋体"/>
          <w:color w:val="auto"/>
        </w:rPr>
        <w:t>7</w:t>
      </w:r>
      <w:bookmarkStart w:id="432" w:name="_Toc300934968"/>
      <w:bookmarkStart w:id="433" w:name="_Toc312677484"/>
      <w:bookmarkStart w:id="434" w:name="_Toc304295546"/>
      <w:bookmarkStart w:id="435" w:name="_Toc312678010"/>
      <w:bookmarkStart w:id="436" w:name="_Toc297216175"/>
      <w:bookmarkStart w:id="437" w:name="_Toc303539125"/>
      <w:bookmarkStart w:id="438" w:name="_Toc297123516"/>
      <w:r>
        <w:rPr>
          <w:rFonts w:hint="eastAsia" w:ascii="宋体" w:hAnsi="宋体" w:eastAsia="宋体" w:cs="宋体"/>
          <w:color w:val="auto"/>
        </w:rPr>
        <w:t>.5 工期延误</w:t>
      </w:r>
      <w:bookmarkEnd w:id="428"/>
      <w:bookmarkEnd w:id="429"/>
      <w:bookmarkEnd w:id="430"/>
      <w:bookmarkEnd w:id="431"/>
    </w:p>
    <w:bookmarkEnd w:id="432"/>
    <w:bookmarkEnd w:id="433"/>
    <w:bookmarkEnd w:id="434"/>
    <w:bookmarkEnd w:id="435"/>
    <w:bookmarkEnd w:id="436"/>
    <w:bookmarkEnd w:id="437"/>
    <w:bookmarkEnd w:id="438"/>
    <w:p w14:paraId="476DFB2F">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bookmarkStart w:id="439" w:name="_Toc318581171"/>
      <w:bookmarkStart w:id="440" w:name="_Toc312678014"/>
      <w:r>
        <w:rPr>
          <w:rFonts w:hint="eastAsia" w:ascii="宋体" w:hAnsi="宋体" w:eastAsia="宋体" w:cs="宋体"/>
          <w:color w:val="auto"/>
          <w:szCs w:val="21"/>
        </w:rPr>
        <w:t>7.5.1 因发包人原因导致工期延误</w:t>
      </w:r>
    </w:p>
    <w:p w14:paraId="41D0CD60">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因发包人原因导致工期延误的其他情形：</w:t>
      </w:r>
      <w:r>
        <w:rPr>
          <w:rFonts w:hint="eastAsia" w:ascii="宋体" w:hAnsi="宋体" w:eastAsia="宋体" w:cs="宋体"/>
          <w:color w:val="auto"/>
          <w:szCs w:val="21"/>
          <w:u w:val="single"/>
        </w:rPr>
        <w:t>政策性调整</w:t>
      </w:r>
      <w:r>
        <w:rPr>
          <w:rFonts w:hint="eastAsia" w:ascii="宋体" w:hAnsi="宋体" w:eastAsia="宋体" w:cs="宋体"/>
          <w:color w:val="auto"/>
          <w:szCs w:val="21"/>
        </w:rPr>
        <w:t>。</w:t>
      </w:r>
    </w:p>
    <w:p w14:paraId="610D5DB5">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7.5.2 因承包人原因导致工期延误</w:t>
      </w:r>
    </w:p>
    <w:p w14:paraId="640BF5C2">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双方约定经监理工程师确认，工期相应顺延的情况：</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1</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设计变更影响施工进度；</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2</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政策性问题影响施工进度；</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3</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不可抗力；</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异常恶劣气候条件；</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其他经发包人确认可顺延的情况</w:t>
      </w:r>
      <w:r>
        <w:rPr>
          <w:rFonts w:hint="eastAsia" w:ascii="宋体" w:hAnsi="宋体" w:eastAsia="宋体" w:cs="宋体"/>
          <w:color w:val="auto"/>
          <w:szCs w:val="21"/>
        </w:rPr>
        <w:t>。</w:t>
      </w:r>
    </w:p>
    <w:p w14:paraId="103BE385">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因承包人原因造成工期延误，逾期竣工违约金的计算方法为：</w:t>
      </w:r>
      <w:r>
        <w:rPr>
          <w:rFonts w:hint="eastAsia" w:ascii="宋体" w:hAnsi="宋体" w:eastAsia="宋体" w:cs="宋体"/>
          <w:color w:val="auto"/>
          <w:szCs w:val="21"/>
          <w:u w:val="single"/>
        </w:rPr>
        <w:t>合同总价款的0.4‰/天。逾期竣工违约金在审计结算时自动扣减</w:t>
      </w:r>
      <w:r>
        <w:rPr>
          <w:rFonts w:hint="eastAsia" w:ascii="宋体" w:hAnsi="宋体" w:eastAsia="宋体" w:cs="宋体"/>
          <w:color w:val="auto"/>
          <w:szCs w:val="21"/>
        </w:rPr>
        <w:t>。</w:t>
      </w:r>
    </w:p>
    <w:p w14:paraId="67344B64">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因承包人原因造成工期延误，逾期竣工违约金的上限：</w:t>
      </w:r>
      <w:r>
        <w:rPr>
          <w:rFonts w:hint="eastAsia" w:ascii="宋体" w:hAnsi="宋体" w:eastAsia="宋体" w:cs="宋体"/>
          <w:color w:val="auto"/>
          <w:szCs w:val="21"/>
          <w:u w:val="single"/>
        </w:rPr>
        <w:t xml:space="preserve">签约合同价扣除发包人材料价款、暂估专业工程、暂列金额后的3% </w:t>
      </w:r>
      <w:r>
        <w:rPr>
          <w:rFonts w:hint="eastAsia" w:ascii="宋体" w:hAnsi="宋体" w:eastAsia="宋体" w:cs="宋体"/>
          <w:color w:val="auto"/>
          <w:szCs w:val="21"/>
        </w:rPr>
        <w:t>。</w:t>
      </w:r>
    </w:p>
    <w:bookmarkEnd w:id="439"/>
    <w:bookmarkEnd w:id="440"/>
    <w:p w14:paraId="789A7D4B">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441" w:name="_Toc373478375"/>
      <w:bookmarkStart w:id="442" w:name="_Toc389065294"/>
      <w:bookmarkStart w:id="443" w:name="_Toc373227728"/>
      <w:bookmarkStart w:id="444" w:name="_Toc455732937"/>
      <w:r>
        <w:rPr>
          <w:rFonts w:hint="eastAsia" w:ascii="宋体" w:hAnsi="宋体" w:eastAsia="宋体" w:cs="宋体"/>
          <w:color w:val="auto"/>
        </w:rPr>
        <w:t>7</w:t>
      </w:r>
      <w:bookmarkStart w:id="445" w:name="_Toc303539128"/>
      <w:bookmarkStart w:id="446" w:name="_Toc297123519"/>
      <w:bookmarkStart w:id="447" w:name="_Toc312678015"/>
      <w:bookmarkStart w:id="448" w:name="_Toc297216178"/>
      <w:bookmarkStart w:id="449" w:name="_Toc304295549"/>
      <w:bookmarkStart w:id="450" w:name="_Toc300934971"/>
      <w:r>
        <w:rPr>
          <w:rFonts w:hint="eastAsia" w:ascii="宋体" w:hAnsi="宋体" w:eastAsia="宋体" w:cs="宋体"/>
          <w:color w:val="auto"/>
        </w:rPr>
        <w:t>.6 不</w:t>
      </w:r>
      <w:bookmarkEnd w:id="445"/>
      <w:bookmarkEnd w:id="446"/>
      <w:bookmarkEnd w:id="447"/>
      <w:bookmarkEnd w:id="448"/>
      <w:bookmarkEnd w:id="449"/>
      <w:bookmarkEnd w:id="450"/>
      <w:r>
        <w:rPr>
          <w:rFonts w:hint="eastAsia" w:ascii="宋体" w:hAnsi="宋体" w:eastAsia="宋体" w:cs="宋体"/>
          <w:color w:val="auto"/>
        </w:rPr>
        <w:t>利物质条件</w:t>
      </w:r>
      <w:bookmarkEnd w:id="441"/>
      <w:bookmarkEnd w:id="442"/>
      <w:bookmarkEnd w:id="443"/>
      <w:bookmarkEnd w:id="444"/>
    </w:p>
    <w:p w14:paraId="005C44D5">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bookmarkStart w:id="451" w:name="_Toc318581172"/>
      <w:bookmarkStart w:id="452" w:name="_Toc300934972"/>
      <w:bookmarkStart w:id="453" w:name="_Toc303539129"/>
      <w:bookmarkStart w:id="454" w:name="_Toc297216179"/>
      <w:bookmarkStart w:id="455" w:name="_Toc312678016"/>
      <w:bookmarkStart w:id="456" w:name="_Toc297123520"/>
      <w:bookmarkStart w:id="457" w:name="_Toc304295550"/>
      <w:r>
        <w:rPr>
          <w:rFonts w:hint="eastAsia" w:ascii="宋体" w:hAnsi="宋体" w:eastAsia="宋体" w:cs="宋体"/>
          <w:color w:val="auto"/>
          <w:szCs w:val="21"/>
        </w:rPr>
        <w:t>不利物质条件的其他情形和有关约定：</w:t>
      </w:r>
      <w:r>
        <w:rPr>
          <w:rFonts w:hint="eastAsia" w:ascii="宋体" w:hAnsi="宋体" w:eastAsia="宋体" w:cs="宋体"/>
          <w:color w:val="auto"/>
          <w:szCs w:val="21"/>
          <w:u w:val="single"/>
        </w:rPr>
        <w:t xml:space="preserve"> 按照通用条款   </w:t>
      </w:r>
      <w:r>
        <w:rPr>
          <w:rFonts w:hint="eastAsia" w:ascii="宋体" w:hAnsi="宋体" w:eastAsia="宋体" w:cs="宋体"/>
          <w:color w:val="auto"/>
          <w:szCs w:val="21"/>
        </w:rPr>
        <w:t>。</w:t>
      </w:r>
    </w:p>
    <w:bookmarkEnd w:id="451"/>
    <w:bookmarkEnd w:id="452"/>
    <w:bookmarkEnd w:id="453"/>
    <w:bookmarkEnd w:id="454"/>
    <w:bookmarkEnd w:id="455"/>
    <w:bookmarkEnd w:id="456"/>
    <w:bookmarkEnd w:id="457"/>
    <w:p w14:paraId="535EBD9D">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458" w:name="_Toc389065295"/>
      <w:bookmarkStart w:id="459" w:name="_Toc455732938"/>
      <w:bookmarkStart w:id="460" w:name="_Toc373227729"/>
      <w:bookmarkStart w:id="461" w:name="_Toc373478376"/>
      <w:r>
        <w:rPr>
          <w:rFonts w:hint="eastAsia" w:ascii="宋体" w:hAnsi="宋体" w:eastAsia="宋体" w:cs="宋体"/>
          <w:color w:val="auto"/>
        </w:rPr>
        <w:t>7</w:t>
      </w:r>
      <w:bookmarkStart w:id="462" w:name="_Toc303539130"/>
      <w:bookmarkStart w:id="463" w:name="_Toc304295551"/>
      <w:bookmarkStart w:id="464" w:name="_Toc300934973"/>
      <w:bookmarkStart w:id="465" w:name="_Toc297123521"/>
      <w:bookmarkStart w:id="466" w:name="_Toc297216180"/>
      <w:bookmarkStart w:id="467" w:name="_Toc312678017"/>
      <w:r>
        <w:rPr>
          <w:rFonts w:hint="eastAsia" w:ascii="宋体" w:hAnsi="宋体" w:eastAsia="宋体" w:cs="宋体"/>
          <w:color w:val="auto"/>
        </w:rPr>
        <w:t>.7 异常恶劣的气候条件</w:t>
      </w:r>
      <w:bookmarkEnd w:id="458"/>
      <w:bookmarkEnd w:id="459"/>
      <w:bookmarkEnd w:id="460"/>
      <w:bookmarkEnd w:id="461"/>
      <w:bookmarkEnd w:id="462"/>
      <w:bookmarkEnd w:id="463"/>
      <w:bookmarkEnd w:id="464"/>
      <w:bookmarkEnd w:id="465"/>
      <w:bookmarkEnd w:id="466"/>
      <w:bookmarkEnd w:id="467"/>
    </w:p>
    <w:p w14:paraId="0148F590">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szCs w:val="21"/>
        </w:rPr>
        <w:t>发包人和承包人同意以下情形视为异常恶劣的气候条件：</w:t>
      </w:r>
      <w:r>
        <w:rPr>
          <w:rFonts w:hint="eastAsia" w:ascii="宋体" w:hAnsi="宋体" w:cs="宋体"/>
          <w:color w:val="auto"/>
          <w:szCs w:val="21"/>
          <w:u w:val="single"/>
          <w:lang w:val="en-US" w:eastAsia="zh-CN"/>
        </w:rPr>
        <w:t xml:space="preserve"> </w:t>
      </w:r>
      <w:r>
        <w:rPr>
          <w:rFonts w:hint="eastAsia" w:ascii="宋体" w:hAnsi="宋体" w:eastAsia="宋体" w:cs="宋体"/>
          <w:color w:val="auto"/>
          <w:u w:val="single"/>
        </w:rPr>
        <w:t>6级以上的地震；日降雨量大于200㎜的雨日；6级及以上的大风；20 年一遇及以上的洪水；日气温超过40</w:t>
      </w:r>
      <w:r>
        <w:rPr>
          <w:rFonts w:hint="eastAsia" w:ascii="宋体" w:hAnsi="宋体" w:eastAsia="宋体" w:cs="宋体"/>
          <w:color w:val="auto"/>
          <w:u w:val="single"/>
          <w:vertAlign w:val="superscript"/>
        </w:rPr>
        <w:t>0</w:t>
      </w:r>
      <w:r>
        <w:rPr>
          <w:rFonts w:hint="eastAsia" w:ascii="宋体" w:hAnsi="宋体" w:eastAsia="宋体" w:cs="宋体"/>
          <w:color w:val="auto"/>
          <w:u w:val="single"/>
        </w:rPr>
        <w:t>C高温或低于-10</w:t>
      </w:r>
      <w:r>
        <w:rPr>
          <w:rFonts w:hint="eastAsia" w:ascii="宋体" w:hAnsi="宋体" w:eastAsia="宋体" w:cs="宋体"/>
          <w:color w:val="auto"/>
          <w:u w:val="single"/>
          <w:vertAlign w:val="superscript"/>
        </w:rPr>
        <w:t>0</w:t>
      </w:r>
      <w:r>
        <w:rPr>
          <w:rFonts w:hint="eastAsia" w:ascii="宋体" w:hAnsi="宋体" w:eastAsia="宋体" w:cs="宋体"/>
          <w:color w:val="auto"/>
          <w:u w:val="single"/>
        </w:rPr>
        <w:t>C的严寒大于2天；持续 30 天高温天气；造成工程损坏的冰雹和大雪灾害；自然原因发生的火灾；政府有关部门的停工通知；其它不可抗力原因</w:t>
      </w:r>
      <w:r>
        <w:rPr>
          <w:rFonts w:hint="eastAsia" w:ascii="宋体" w:hAnsi="宋体" w:eastAsia="宋体" w:cs="宋体"/>
          <w:color w:val="auto"/>
        </w:rPr>
        <w:t>。</w:t>
      </w:r>
      <w:bookmarkStart w:id="468" w:name="_Toc389065296"/>
      <w:bookmarkStart w:id="469" w:name="_Toc373478377"/>
      <w:bookmarkStart w:id="470" w:name="_Toc455732939"/>
      <w:bookmarkStart w:id="471" w:name="_Toc373227730"/>
    </w:p>
    <w:p w14:paraId="29D89DC5">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7.9 提前竣工</w:t>
      </w:r>
      <w:bookmarkEnd w:id="468"/>
      <w:bookmarkEnd w:id="469"/>
      <w:bookmarkEnd w:id="470"/>
      <w:bookmarkEnd w:id="471"/>
    </w:p>
    <w:p w14:paraId="6237778A">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提前竣工的奖励：</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无</w:t>
      </w:r>
      <w:r>
        <w:rPr>
          <w:rFonts w:hint="eastAsia" w:ascii="宋体" w:hAnsi="宋体" w:eastAsia="宋体" w:cs="宋体"/>
          <w:color w:val="auto"/>
          <w:u w:val="single"/>
        </w:rPr>
        <w:t xml:space="preserve">  </w:t>
      </w:r>
      <w:r>
        <w:rPr>
          <w:rFonts w:hint="eastAsia" w:ascii="宋体" w:hAnsi="宋体" w:eastAsia="宋体" w:cs="宋体"/>
          <w:color w:val="auto"/>
        </w:rPr>
        <w:t>。</w:t>
      </w:r>
    </w:p>
    <w:p w14:paraId="7A8F6E0A">
      <w:pPr>
        <w:pStyle w:val="25"/>
        <w:keepNext w:val="0"/>
        <w:keepLines w:val="0"/>
        <w:pageBreakBefore w:val="0"/>
        <w:widowControl w:val="0"/>
        <w:kinsoku/>
        <w:wordWrap/>
        <w:overflowPunct/>
        <w:topLinePunct w:val="0"/>
        <w:bidi w:val="0"/>
        <w:adjustRightInd w:val="0"/>
        <w:snapToGrid w:val="0"/>
        <w:spacing w:after="0" w:line="440" w:lineRule="atLeast"/>
        <w:ind w:firstLine="420" w:firstLineChars="200"/>
        <w:textAlignment w:val="auto"/>
        <w:rPr>
          <w:rFonts w:hint="eastAsia"/>
          <w:color w:val="auto"/>
        </w:rPr>
      </w:pPr>
    </w:p>
    <w:p w14:paraId="095D9CC1">
      <w:pPr>
        <w:keepNext w:val="0"/>
        <w:keepLines w:val="0"/>
        <w:pageBreakBefore w:val="0"/>
        <w:widowControl w:val="0"/>
        <w:numPr>
          <w:ilvl w:val="0"/>
          <w:numId w:val="26"/>
        </w:numPr>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材料与设备</w:t>
      </w:r>
      <w:bookmarkStart w:id="472" w:name="_Toc455732942"/>
      <w:bookmarkStart w:id="473" w:name="_Toc373478380"/>
      <w:bookmarkStart w:id="474" w:name="_Toc373227733"/>
      <w:bookmarkStart w:id="475" w:name="_Toc389065299"/>
    </w:p>
    <w:p w14:paraId="438EEAD4">
      <w:pPr>
        <w:keepNext w:val="0"/>
        <w:keepLines w:val="0"/>
        <w:pageBreakBefore w:val="0"/>
        <w:widowControl w:val="0"/>
        <w:numPr>
          <w:ilvl w:val="0"/>
          <w:numId w:val="0"/>
        </w:numPr>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8</w:t>
      </w:r>
      <w:bookmarkStart w:id="476" w:name="_Toc300934979"/>
      <w:bookmarkStart w:id="477" w:name="_Toc292559372"/>
      <w:bookmarkStart w:id="478" w:name="_Toc297216186"/>
      <w:bookmarkStart w:id="479" w:name="_Toc296346668"/>
      <w:bookmarkStart w:id="480" w:name="_Toc312678019"/>
      <w:bookmarkStart w:id="481" w:name="_Toc292559877"/>
      <w:bookmarkStart w:id="482" w:name="_Toc296503167"/>
      <w:bookmarkStart w:id="483" w:name="_Toc296347166"/>
      <w:bookmarkStart w:id="484" w:name="_Toc297048353"/>
      <w:bookmarkStart w:id="485" w:name="_Toc280868654"/>
      <w:bookmarkStart w:id="486" w:name="_Toc303539136"/>
      <w:bookmarkStart w:id="487" w:name="_Toc297123527"/>
      <w:bookmarkStart w:id="488" w:name="_Toc312677493"/>
      <w:bookmarkStart w:id="489" w:name="_Toc304295556"/>
      <w:bookmarkStart w:id="490" w:name="_Toc297120467"/>
      <w:bookmarkStart w:id="491" w:name="_Toc296890995"/>
      <w:bookmarkStart w:id="492" w:name="_Toc296944506"/>
      <w:bookmarkStart w:id="493" w:name="_Toc296891207"/>
      <w:r>
        <w:rPr>
          <w:rFonts w:hint="eastAsia" w:ascii="宋体" w:hAnsi="宋体" w:eastAsia="宋体" w:cs="宋体"/>
          <w:color w:val="auto"/>
        </w:rPr>
        <w:t>.4 材料与工程设备的保管与使用</w:t>
      </w:r>
      <w:bookmarkEnd w:id="472"/>
      <w:bookmarkEnd w:id="473"/>
      <w:bookmarkEnd w:id="474"/>
      <w:bookmarkEnd w:id="475"/>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14:paraId="3D0CB9A9">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8</w:t>
      </w:r>
      <w:bookmarkStart w:id="494" w:name="_Toc292559878"/>
      <w:bookmarkStart w:id="495" w:name="_Toc292559373"/>
      <w:bookmarkStart w:id="496" w:name="_Toc296503168"/>
      <w:bookmarkStart w:id="497" w:name="_Toc297216187"/>
      <w:bookmarkStart w:id="498" w:name="_Toc296891208"/>
      <w:bookmarkStart w:id="499" w:name="_Toc300934980"/>
      <w:bookmarkStart w:id="500" w:name="_Toc312678020"/>
      <w:bookmarkStart w:id="501" w:name="_Toc296890996"/>
      <w:bookmarkStart w:id="502" w:name="_Toc318581173"/>
      <w:bookmarkStart w:id="503" w:name="_Toc296347167"/>
      <w:bookmarkStart w:id="504" w:name="_Toc303539137"/>
      <w:bookmarkStart w:id="505" w:name="_Toc297048354"/>
      <w:bookmarkStart w:id="506" w:name="_Toc296346669"/>
      <w:bookmarkStart w:id="507" w:name="_Toc297123528"/>
      <w:bookmarkStart w:id="508" w:name="_Toc312677494"/>
      <w:bookmarkStart w:id="509" w:name="_Toc296944507"/>
      <w:bookmarkStart w:id="510" w:name="_Toc304295557"/>
      <w:bookmarkStart w:id="511" w:name="_Toc297120468"/>
      <w:r>
        <w:rPr>
          <w:rFonts w:hint="eastAsia" w:ascii="宋体" w:hAnsi="宋体" w:eastAsia="宋体" w:cs="宋体"/>
          <w:color w:val="auto"/>
          <w:szCs w:val="21"/>
        </w:rPr>
        <w:t>.4.1发包人供应的材料设备的保管费用的承担：</w:t>
      </w:r>
      <w:r>
        <w:rPr>
          <w:rFonts w:hint="eastAsia" w:ascii="宋体" w:hAnsi="宋体" w:eastAsia="宋体" w:cs="宋体"/>
          <w:color w:val="auto"/>
          <w:szCs w:val="21"/>
          <w:u w:val="single"/>
        </w:rPr>
        <w:t xml:space="preserve"> 由承包人承担  </w:t>
      </w:r>
      <w:r>
        <w:rPr>
          <w:rFonts w:hint="eastAsia" w:ascii="宋体" w:hAnsi="宋体" w:eastAsia="宋体" w:cs="宋体"/>
          <w:color w:val="auto"/>
          <w:szCs w:val="21"/>
        </w:rPr>
        <w:t>。</w:t>
      </w:r>
    </w:p>
    <w:bookmarkEnd w:id="494"/>
    <w:bookmarkEnd w:id="495"/>
    <w:p w14:paraId="4AEB3891">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512" w:name="_Toc373478381"/>
      <w:bookmarkStart w:id="513" w:name="_Toc373227734"/>
      <w:bookmarkStart w:id="514" w:name="_Toc389065300"/>
      <w:bookmarkStart w:id="515" w:name="_Toc455732943"/>
      <w:r>
        <w:rPr>
          <w:rFonts w:hint="eastAsia" w:ascii="宋体" w:hAnsi="宋体" w:eastAsia="宋体" w:cs="宋体"/>
          <w:color w:val="auto"/>
        </w:rPr>
        <w:t>8.6 样品</w:t>
      </w:r>
      <w:bookmarkEnd w:id="512"/>
      <w:bookmarkEnd w:id="513"/>
      <w:bookmarkEnd w:id="514"/>
      <w:bookmarkEnd w:id="515"/>
    </w:p>
    <w:p w14:paraId="34B62F89">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8.6.1 样品的报送与封存</w:t>
      </w:r>
    </w:p>
    <w:p w14:paraId="69223E1C">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kern w:val="0"/>
          <w:szCs w:val="21"/>
        </w:rPr>
        <w:t>需要承包人报送样品的材料或工程设备，样品的种类、名称、规格、数量要求：</w:t>
      </w:r>
      <w:bookmarkStart w:id="516" w:name="_Toc373478382"/>
      <w:bookmarkStart w:id="517" w:name="_Toc389065301"/>
      <w:bookmarkStart w:id="518" w:name="_Toc373227735"/>
      <w:bookmarkStart w:id="519" w:name="_Toc455732944"/>
      <w:r>
        <w:rPr>
          <w:rFonts w:hint="eastAsia" w:ascii="宋体" w:hAnsi="宋体" w:eastAsia="宋体" w:cs="宋体"/>
          <w:color w:val="auto"/>
          <w:kern w:val="0"/>
          <w:szCs w:val="21"/>
          <w:u w:val="single"/>
        </w:rPr>
        <w:t>主要材料涉及品种、款式、颜色等方面内容的，承包人应提交准备合格的材料样品送发包人选定</w:t>
      </w:r>
      <w:r>
        <w:rPr>
          <w:rFonts w:hint="eastAsia" w:ascii="宋体" w:hAnsi="宋体" w:eastAsia="宋体" w:cs="宋体"/>
          <w:color w:val="auto"/>
        </w:rPr>
        <w:t xml:space="preserve">。 </w:t>
      </w:r>
    </w:p>
    <w:p w14:paraId="46FDC5B7">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8.8 施工设备和临时设施</w:t>
      </w:r>
      <w:bookmarkEnd w:id="516"/>
      <w:bookmarkEnd w:id="517"/>
      <w:bookmarkEnd w:id="518"/>
      <w:bookmarkEnd w:id="519"/>
    </w:p>
    <w:p w14:paraId="1BFBFD31">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8.8.1 承包人提供的施工设备和临时设施</w:t>
      </w:r>
    </w:p>
    <w:p w14:paraId="633B7E2C">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关于修建临时设施费用承担的约定：</w:t>
      </w:r>
    </w:p>
    <w:p w14:paraId="5C2B7B37">
      <w:pPr>
        <w:keepNext w:val="0"/>
        <w:keepLines w:val="0"/>
        <w:pageBreakBefore w:val="0"/>
        <w:widowControl w:val="0"/>
        <w:numPr>
          <w:ilvl w:val="0"/>
          <w:numId w:val="27"/>
        </w:numPr>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u w:val="single"/>
        </w:rPr>
        <w:t>承包人的临时用地（含项目部驻地等）租用费（含拆迁补偿）、临时用地的环保、恢复、临时用地的青苗补偿及地面附着物拆除等费用均由承包人负责，以上费用在</w:t>
      </w:r>
      <w:r>
        <w:rPr>
          <w:rFonts w:hint="eastAsia" w:ascii="宋体" w:hAnsi="宋体" w:cs="宋体"/>
          <w:color w:val="auto"/>
          <w:szCs w:val="21"/>
          <w:u w:val="single"/>
          <w:lang w:val="en-US" w:eastAsia="zh-CN"/>
        </w:rPr>
        <w:t>竞标</w:t>
      </w:r>
      <w:r>
        <w:rPr>
          <w:rFonts w:hint="eastAsia" w:ascii="宋体" w:hAnsi="宋体" w:eastAsia="宋体" w:cs="宋体"/>
          <w:color w:val="auto"/>
          <w:szCs w:val="21"/>
          <w:u w:val="single"/>
        </w:rPr>
        <w:t>报价中综合考虑</w:t>
      </w:r>
      <w:r>
        <w:rPr>
          <w:rFonts w:hint="eastAsia" w:ascii="宋体" w:hAnsi="宋体" w:eastAsia="宋体" w:cs="宋体"/>
          <w:color w:val="auto"/>
          <w:szCs w:val="21"/>
          <w:u w:val="none"/>
        </w:rPr>
        <w:t>。</w:t>
      </w:r>
    </w:p>
    <w:p w14:paraId="09535569">
      <w:pPr>
        <w:keepNext w:val="0"/>
        <w:keepLines w:val="0"/>
        <w:pageBreakBefore w:val="0"/>
        <w:widowControl w:val="0"/>
        <w:numPr>
          <w:ilvl w:val="0"/>
          <w:numId w:val="27"/>
        </w:numPr>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u w:val="single"/>
        </w:rPr>
        <w:t>承包人负责合同实施期间其合同段内临时交通道路（含场内外连接公共交通道路）和交通设施的修建、维修、养护和交通管理工作，并承担一切费用</w:t>
      </w:r>
      <w:r>
        <w:rPr>
          <w:rFonts w:hint="eastAsia" w:ascii="宋体" w:hAnsi="宋体" w:eastAsia="宋体" w:cs="宋体"/>
          <w:color w:val="auto"/>
          <w:szCs w:val="21"/>
          <w:u w:val="none"/>
        </w:rPr>
        <w:t xml:space="preserve">。 </w:t>
      </w:r>
    </w:p>
    <w:p w14:paraId="2FFDE099">
      <w:pPr>
        <w:keepNext w:val="0"/>
        <w:keepLines w:val="0"/>
        <w:pageBreakBefore w:val="0"/>
        <w:widowControl w:val="0"/>
        <w:numPr>
          <w:ilvl w:val="0"/>
          <w:numId w:val="27"/>
        </w:numPr>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u w:val="single"/>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宋体" w:hAnsi="宋体" w:eastAsia="宋体" w:cs="宋体"/>
          <w:color w:val="auto"/>
          <w:szCs w:val="21"/>
          <w:u w:val="none"/>
        </w:rPr>
        <w:t xml:space="preserve">。 </w:t>
      </w:r>
    </w:p>
    <w:p w14:paraId="3DFFDE7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520" w:name="_Toc373227736"/>
      <w:bookmarkStart w:id="521" w:name="_Toc455732945"/>
      <w:bookmarkStart w:id="522" w:name="_Toc389065302"/>
      <w:bookmarkStart w:id="523" w:name="_Toc351203641"/>
      <w:bookmarkStart w:id="524" w:name="_Toc373478383"/>
      <w:r>
        <w:rPr>
          <w:rFonts w:hint="eastAsia" w:ascii="宋体" w:hAnsi="宋体" w:eastAsia="宋体" w:cs="宋体"/>
          <w:color w:val="auto"/>
        </w:rPr>
        <w:t>9</w:t>
      </w:r>
      <w:bookmarkStart w:id="525" w:name="_Toc304295559"/>
      <w:bookmarkStart w:id="526" w:name="_Toc312678021"/>
      <w:bookmarkStart w:id="527" w:name="_Toc300934982"/>
      <w:bookmarkStart w:id="528" w:name="_Toc297123533"/>
      <w:bookmarkStart w:id="529" w:name="_Toc297216192"/>
      <w:bookmarkStart w:id="530" w:name="_Toc303539139"/>
      <w:bookmarkStart w:id="531" w:name="_Toc312677495"/>
      <w:r>
        <w:rPr>
          <w:rFonts w:hint="eastAsia" w:ascii="宋体" w:hAnsi="宋体" w:eastAsia="宋体" w:cs="宋体"/>
          <w:color w:val="auto"/>
        </w:rPr>
        <w:t>. 试验与检验</w:t>
      </w:r>
      <w:bookmarkEnd w:id="520"/>
      <w:bookmarkEnd w:id="521"/>
      <w:bookmarkEnd w:id="522"/>
      <w:bookmarkEnd w:id="523"/>
      <w:bookmarkEnd w:id="524"/>
    </w:p>
    <w:bookmarkEnd w:id="525"/>
    <w:bookmarkEnd w:id="526"/>
    <w:bookmarkEnd w:id="527"/>
    <w:bookmarkEnd w:id="528"/>
    <w:bookmarkEnd w:id="529"/>
    <w:bookmarkEnd w:id="530"/>
    <w:bookmarkEnd w:id="531"/>
    <w:p w14:paraId="5A62396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532" w:name="_Toc389065303"/>
      <w:bookmarkStart w:id="533" w:name="_Toc373478384"/>
      <w:bookmarkStart w:id="534" w:name="_Toc373227737"/>
      <w:bookmarkStart w:id="535" w:name="_Toc455732946"/>
      <w:r>
        <w:rPr>
          <w:rFonts w:hint="eastAsia" w:ascii="宋体" w:hAnsi="宋体" w:eastAsia="宋体" w:cs="宋体"/>
          <w:color w:val="auto"/>
        </w:rPr>
        <w:t>9</w:t>
      </w:r>
      <w:bookmarkStart w:id="536" w:name="_Toc312677496"/>
      <w:bookmarkStart w:id="537" w:name="_Toc297123534"/>
      <w:bookmarkStart w:id="538" w:name="_Toc312678022"/>
      <w:bookmarkStart w:id="539" w:name="_Toc304295560"/>
      <w:bookmarkStart w:id="540" w:name="_Toc297216193"/>
      <w:bookmarkStart w:id="541" w:name="_Toc303539140"/>
      <w:bookmarkStart w:id="542" w:name="_Toc300934983"/>
      <w:r>
        <w:rPr>
          <w:rFonts w:hint="eastAsia" w:ascii="宋体" w:hAnsi="宋体" w:eastAsia="宋体" w:cs="宋体"/>
          <w:color w:val="auto"/>
        </w:rPr>
        <w:t>.1 试验设备与试验人员</w:t>
      </w:r>
      <w:bookmarkEnd w:id="532"/>
      <w:bookmarkEnd w:id="533"/>
      <w:bookmarkEnd w:id="534"/>
      <w:bookmarkEnd w:id="535"/>
    </w:p>
    <w:bookmarkEnd w:id="536"/>
    <w:bookmarkEnd w:id="537"/>
    <w:bookmarkEnd w:id="538"/>
    <w:bookmarkEnd w:id="539"/>
    <w:bookmarkEnd w:id="540"/>
    <w:bookmarkEnd w:id="541"/>
    <w:bookmarkEnd w:id="542"/>
    <w:p w14:paraId="3CDB499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9</w:t>
      </w:r>
      <w:bookmarkStart w:id="543" w:name="_Toc312678023"/>
      <w:bookmarkStart w:id="544" w:name="_Toc304295561"/>
      <w:bookmarkStart w:id="545" w:name="_Toc303539141"/>
      <w:bookmarkStart w:id="546" w:name="_Toc312677497"/>
      <w:bookmarkStart w:id="547" w:name="_Toc297216194"/>
      <w:bookmarkStart w:id="548" w:name="_Toc297123535"/>
      <w:bookmarkStart w:id="549" w:name="_Toc300934984"/>
      <w:r>
        <w:rPr>
          <w:rFonts w:hint="eastAsia" w:ascii="宋体" w:hAnsi="宋体" w:eastAsia="宋体" w:cs="宋体"/>
          <w:color w:val="auto"/>
          <w:szCs w:val="21"/>
        </w:rPr>
        <w:t>.1.2 试验设备</w:t>
      </w:r>
    </w:p>
    <w:p w14:paraId="1A99D56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施工现场需要配置的试验场所：</w:t>
      </w:r>
      <w:bookmarkEnd w:id="543"/>
      <w:bookmarkEnd w:id="544"/>
      <w:bookmarkEnd w:id="545"/>
      <w:bookmarkEnd w:id="546"/>
      <w:bookmarkEnd w:id="547"/>
      <w:bookmarkEnd w:id="548"/>
      <w:bookmarkEnd w:id="549"/>
      <w:r>
        <w:rPr>
          <w:rFonts w:hint="eastAsia" w:ascii="宋体" w:hAnsi="宋体" w:eastAsia="宋体" w:cs="宋体"/>
          <w:color w:val="auto"/>
          <w:szCs w:val="21"/>
          <w:u w:val="single"/>
        </w:rPr>
        <w:t xml:space="preserve"> </w:t>
      </w:r>
      <w:r>
        <w:rPr>
          <w:rFonts w:hint="eastAsia" w:ascii="宋体" w:hAnsi="宋体"/>
          <w:color w:val="auto"/>
          <w:szCs w:val="21"/>
          <w:u w:val="single"/>
        </w:rPr>
        <w:t>满足自检需要</w:t>
      </w:r>
      <w:r>
        <w:rPr>
          <w:rFonts w:hint="eastAsia" w:ascii="宋体" w:hAnsi="宋体"/>
          <w:color w:val="auto"/>
          <w:szCs w:val="21"/>
          <w:u w:val="single"/>
          <w:lang w:eastAsia="zh-CN"/>
        </w:rPr>
        <w:t>，其余均按本合同《通用条款》</w:t>
      </w:r>
      <w:r>
        <w:rPr>
          <w:rFonts w:hint="eastAsia" w:ascii="宋体" w:hAnsi="宋体"/>
          <w:color w:val="auto"/>
          <w:szCs w:val="21"/>
          <w:u w:val="single"/>
          <w:lang w:val="en-US" w:eastAsia="zh-CN"/>
        </w:rPr>
        <w:t>相关</w:t>
      </w:r>
      <w:r>
        <w:rPr>
          <w:rFonts w:hint="eastAsia" w:ascii="宋体" w:hAnsi="宋体"/>
          <w:color w:val="auto"/>
          <w:szCs w:val="21"/>
          <w:u w:val="single"/>
          <w:lang w:eastAsia="zh-CN"/>
        </w:rPr>
        <w:t>规定执行</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0B0522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施工现场需要配备的试验设备：</w:t>
      </w:r>
      <w:r>
        <w:rPr>
          <w:rFonts w:hint="eastAsia" w:ascii="宋体" w:hAnsi="宋体" w:eastAsia="宋体" w:cs="宋体"/>
          <w:color w:val="auto"/>
          <w:szCs w:val="21"/>
          <w:u w:val="single"/>
        </w:rPr>
        <w:t xml:space="preserve"> </w:t>
      </w:r>
      <w:r>
        <w:rPr>
          <w:rFonts w:hint="eastAsia" w:ascii="宋体" w:hAnsi="宋体"/>
          <w:color w:val="auto"/>
          <w:szCs w:val="21"/>
          <w:u w:val="single"/>
        </w:rPr>
        <w:t>满足自检需要</w:t>
      </w:r>
      <w:r>
        <w:rPr>
          <w:rFonts w:hint="eastAsia" w:ascii="宋体" w:hAnsi="宋体"/>
          <w:color w:val="auto"/>
          <w:szCs w:val="21"/>
          <w:u w:val="single"/>
          <w:lang w:eastAsia="zh-CN"/>
        </w:rPr>
        <w:t>，其余均按本合同《通用条款》</w:t>
      </w:r>
      <w:r>
        <w:rPr>
          <w:rFonts w:hint="eastAsia" w:ascii="宋体" w:hAnsi="宋体"/>
          <w:color w:val="auto"/>
          <w:szCs w:val="21"/>
          <w:u w:val="single"/>
          <w:lang w:val="en-US" w:eastAsia="zh-CN"/>
        </w:rPr>
        <w:t>相关</w:t>
      </w:r>
      <w:r>
        <w:rPr>
          <w:rFonts w:hint="eastAsia" w:ascii="宋体" w:hAnsi="宋体"/>
          <w:color w:val="auto"/>
          <w:szCs w:val="21"/>
          <w:u w:val="single"/>
          <w:lang w:eastAsia="zh-CN"/>
        </w:rPr>
        <w:t>规定执行</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831F55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施工现场需要具备的其他试验条件：</w:t>
      </w:r>
      <w:r>
        <w:rPr>
          <w:rFonts w:hint="eastAsia" w:ascii="宋体" w:hAnsi="宋体" w:eastAsia="宋体" w:cs="宋体"/>
          <w:color w:val="auto"/>
          <w:szCs w:val="21"/>
          <w:u w:val="single"/>
        </w:rPr>
        <w:t xml:space="preserve"> </w:t>
      </w:r>
      <w:r>
        <w:rPr>
          <w:rFonts w:hint="eastAsia" w:ascii="宋体" w:hAnsi="宋体"/>
          <w:color w:val="auto"/>
          <w:szCs w:val="21"/>
          <w:u w:val="single"/>
        </w:rPr>
        <w:t>满足自检需要</w:t>
      </w:r>
      <w:r>
        <w:rPr>
          <w:rFonts w:hint="eastAsia" w:ascii="宋体" w:hAnsi="宋体"/>
          <w:color w:val="auto"/>
          <w:szCs w:val="21"/>
          <w:u w:val="single"/>
          <w:lang w:eastAsia="zh-CN"/>
        </w:rPr>
        <w:t>，其余均按本合同《通用条款》</w:t>
      </w:r>
      <w:r>
        <w:rPr>
          <w:rFonts w:hint="eastAsia" w:ascii="宋体" w:hAnsi="宋体"/>
          <w:color w:val="auto"/>
          <w:szCs w:val="21"/>
          <w:u w:val="single"/>
          <w:lang w:val="en-US" w:eastAsia="zh-CN"/>
        </w:rPr>
        <w:t>相关</w:t>
      </w:r>
      <w:r>
        <w:rPr>
          <w:rFonts w:hint="eastAsia" w:ascii="宋体" w:hAnsi="宋体"/>
          <w:color w:val="auto"/>
          <w:szCs w:val="21"/>
          <w:u w:val="single"/>
          <w:lang w:eastAsia="zh-CN"/>
        </w:rPr>
        <w:t>规定执行</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34B64B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bookmarkStart w:id="550" w:name="_Toc455732947"/>
      <w:bookmarkStart w:id="551" w:name="_Toc373227738"/>
      <w:bookmarkStart w:id="552" w:name="_Toc389065304"/>
      <w:bookmarkStart w:id="553" w:name="_Toc373478385"/>
      <w:r>
        <w:rPr>
          <w:rFonts w:hint="eastAsia" w:ascii="宋体" w:hAnsi="宋体" w:eastAsia="宋体" w:cs="宋体"/>
          <w:color w:val="auto"/>
          <w:szCs w:val="21"/>
        </w:rPr>
        <w:t>9.4 现场工艺试验</w:t>
      </w:r>
      <w:bookmarkEnd w:id="550"/>
      <w:bookmarkEnd w:id="551"/>
      <w:bookmarkEnd w:id="552"/>
      <w:bookmarkEnd w:id="553"/>
      <w:r>
        <w:rPr>
          <w:rFonts w:hint="eastAsia" w:ascii="宋体" w:hAnsi="宋体" w:eastAsia="宋体" w:cs="宋体"/>
          <w:color w:val="auto"/>
          <w:szCs w:val="21"/>
        </w:rPr>
        <w:t xml:space="preserve"> </w:t>
      </w:r>
    </w:p>
    <w:p w14:paraId="3A030DC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现场工艺试验的有关约定：</w:t>
      </w:r>
      <w:r>
        <w:rPr>
          <w:rFonts w:hint="eastAsia" w:ascii="宋体" w:hAnsi="宋体" w:eastAsia="宋体" w:cs="宋体"/>
          <w:color w:val="auto"/>
          <w:szCs w:val="21"/>
          <w:u w:val="single"/>
        </w:rPr>
        <w:t xml:space="preserve"> 按照通用条款执行 </w:t>
      </w:r>
      <w:r>
        <w:rPr>
          <w:rFonts w:hint="eastAsia" w:ascii="宋体" w:hAnsi="宋体" w:eastAsia="宋体" w:cs="宋体"/>
          <w:color w:val="auto"/>
          <w:szCs w:val="21"/>
        </w:rPr>
        <w:t>。</w:t>
      </w:r>
    </w:p>
    <w:p w14:paraId="6AAF798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9.5 检验费用</w:t>
      </w:r>
    </w:p>
    <w:p w14:paraId="341DA6A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根据《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69B0A173">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554" w:name="_Toc389065305"/>
      <w:bookmarkStart w:id="555" w:name="_Toc373227739"/>
      <w:bookmarkStart w:id="556" w:name="_Toc351203642"/>
      <w:bookmarkStart w:id="557" w:name="_Toc455732949"/>
      <w:bookmarkStart w:id="558" w:name="_Toc373478386"/>
      <w:r>
        <w:rPr>
          <w:rFonts w:hint="eastAsia" w:ascii="宋体" w:hAnsi="宋体" w:eastAsia="宋体" w:cs="宋体"/>
          <w:color w:val="auto"/>
        </w:rPr>
        <w:t>1</w:t>
      </w:r>
      <w:bookmarkStart w:id="559" w:name="_Toc292559903"/>
      <w:bookmarkStart w:id="560" w:name="_Toc296503193"/>
      <w:bookmarkStart w:id="561" w:name="_Toc297120493"/>
      <w:bookmarkStart w:id="562" w:name="_Toc296944532"/>
      <w:bookmarkStart w:id="563" w:name="_Toc297123540"/>
      <w:bookmarkStart w:id="564" w:name="_Toc297216199"/>
      <w:bookmarkStart w:id="565" w:name="_Toc296891021"/>
      <w:bookmarkStart w:id="566" w:name="_Toc292559398"/>
      <w:bookmarkStart w:id="567" w:name="_Toc297048379"/>
      <w:bookmarkStart w:id="568" w:name="_Toc296347192"/>
      <w:bookmarkStart w:id="569" w:name="_Toc300934989"/>
      <w:bookmarkStart w:id="570" w:name="_Toc296891233"/>
      <w:bookmarkStart w:id="571" w:name="_Toc304295566"/>
      <w:bookmarkStart w:id="572" w:name="_Toc296346694"/>
      <w:bookmarkStart w:id="573" w:name="_Toc303539146"/>
      <w:bookmarkStart w:id="574" w:name="_Toc312678025"/>
      <w:bookmarkStart w:id="575" w:name="_Toc312677499"/>
      <w:r>
        <w:rPr>
          <w:rFonts w:hint="eastAsia" w:ascii="宋体" w:hAnsi="宋体" w:eastAsia="宋体" w:cs="宋体"/>
          <w:color w:val="auto"/>
        </w:rPr>
        <w:t>0. 变更</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bookmarkEnd w:id="574"/>
    <w:bookmarkEnd w:id="575"/>
    <w:p w14:paraId="67FD126B">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576" w:name="_Toc373227740"/>
      <w:bookmarkStart w:id="577" w:name="_Toc455732950"/>
      <w:bookmarkStart w:id="578" w:name="_Toc373478387"/>
      <w:bookmarkStart w:id="579" w:name="_Toc389065306"/>
      <w:r>
        <w:rPr>
          <w:rFonts w:hint="eastAsia" w:ascii="宋体" w:hAnsi="宋体" w:eastAsia="宋体" w:cs="宋体"/>
          <w:color w:val="auto"/>
        </w:rPr>
        <w:t>1</w:t>
      </w:r>
      <w:bookmarkStart w:id="580" w:name="_Toc304295567"/>
      <w:bookmarkStart w:id="581" w:name="_Toc296891022"/>
      <w:bookmarkStart w:id="582" w:name="_Toc300934990"/>
      <w:bookmarkStart w:id="583" w:name="_Toc297120494"/>
      <w:bookmarkStart w:id="584" w:name="_Toc312678026"/>
      <w:bookmarkStart w:id="585" w:name="_Toc303539147"/>
      <w:bookmarkStart w:id="586" w:name="_Toc292559399"/>
      <w:bookmarkStart w:id="587" w:name="_Toc292559904"/>
      <w:bookmarkStart w:id="588" w:name="_Toc297216200"/>
      <w:bookmarkStart w:id="589" w:name="_Toc296347193"/>
      <w:bookmarkStart w:id="590" w:name="_Toc296503194"/>
      <w:bookmarkStart w:id="591" w:name="_Toc296346695"/>
      <w:bookmarkStart w:id="592" w:name="_Toc296891234"/>
      <w:bookmarkStart w:id="593" w:name="_Toc297048380"/>
      <w:bookmarkStart w:id="594" w:name="_Toc297123541"/>
      <w:bookmarkStart w:id="595" w:name="_Toc312677500"/>
      <w:bookmarkStart w:id="596" w:name="_Toc296944533"/>
      <w:r>
        <w:rPr>
          <w:rFonts w:hint="eastAsia" w:ascii="宋体" w:hAnsi="宋体" w:eastAsia="宋体" w:cs="宋体"/>
          <w:color w:val="auto"/>
        </w:rPr>
        <w:t>0.1 变更的范围</w:t>
      </w:r>
      <w:bookmarkEnd w:id="576"/>
      <w:bookmarkEnd w:id="577"/>
      <w:bookmarkEnd w:id="578"/>
      <w:bookmarkEnd w:id="579"/>
    </w:p>
    <w:p w14:paraId="7E4D04E2">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关于变更的范围的约定：</w:t>
      </w:r>
      <w:r>
        <w:rPr>
          <w:rFonts w:hint="eastAsia" w:ascii="宋体" w:hAnsi="宋体" w:eastAsia="宋体" w:cs="宋体"/>
          <w:color w:val="auto"/>
          <w:u w:val="single"/>
        </w:rPr>
        <w:t xml:space="preserve"> 超出招标图纸</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如有</w:t>
      </w:r>
      <w:r>
        <w:rPr>
          <w:rFonts w:hint="eastAsia" w:ascii="宋体" w:hAnsi="宋体" w:eastAsia="宋体" w:cs="宋体"/>
          <w:color w:val="auto"/>
          <w:u w:val="single"/>
          <w:lang w:eastAsia="zh-CN"/>
        </w:rPr>
        <w:t>）</w:t>
      </w:r>
      <w:r>
        <w:rPr>
          <w:rFonts w:hint="eastAsia" w:ascii="宋体" w:hAnsi="宋体" w:eastAsia="宋体" w:cs="宋体"/>
          <w:color w:val="auto"/>
          <w:u w:val="single"/>
        </w:rPr>
        <w:t>和工程量清单的子目</w:t>
      </w:r>
      <w:r>
        <w:rPr>
          <w:rFonts w:hint="eastAsia" w:ascii="宋体" w:hAnsi="宋体" w:eastAsia="宋体" w:cs="宋体"/>
          <w:color w:val="auto"/>
        </w:rPr>
        <w:t>。</w:t>
      </w:r>
    </w:p>
    <w:p w14:paraId="1E04A095">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597" w:name="_Toc389065308"/>
      <w:bookmarkStart w:id="598" w:name="_Toc455732952"/>
      <w:bookmarkStart w:id="599" w:name="_Toc373478389"/>
      <w:bookmarkStart w:id="600" w:name="_Toc373227742"/>
      <w:r>
        <w:rPr>
          <w:rFonts w:hint="eastAsia" w:ascii="宋体" w:hAnsi="宋体" w:eastAsia="宋体" w:cs="宋体"/>
          <w:color w:val="auto"/>
        </w:rPr>
        <w:t>10.4 变更估价</w:t>
      </w:r>
      <w:bookmarkEnd w:id="597"/>
      <w:bookmarkEnd w:id="598"/>
      <w:bookmarkEnd w:id="599"/>
      <w:bookmarkEnd w:id="600"/>
    </w:p>
    <w:p w14:paraId="5742E53D">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10.4.1 变更估价原则</w:t>
      </w:r>
    </w:p>
    <w:p w14:paraId="2921F9A2">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rPr>
        <w:t xml:space="preserve">关于变更估价的约定: </w:t>
      </w:r>
      <w:bookmarkStart w:id="601" w:name="_Toc251051742"/>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u w:val="single"/>
          <w:lang w:val="en-US" w:eastAsia="zh-CN"/>
        </w:rPr>
        <w:t>1</w:t>
      </w:r>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u w:val="single"/>
        </w:rPr>
        <w:t>合同中有相同或类似工程项目单价的，可以参照合同中相同的综合单价计算确定</w:t>
      </w:r>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u w:val="single"/>
          <w:lang w:val="en-US" w:eastAsia="zh-CN"/>
        </w:rPr>
        <w:t>2</w:t>
      </w:r>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u w:val="single"/>
        </w:rPr>
        <w:t>合同中没有类似工程项目综合单价的，由承包人根据合同中约定的组价原则或参考“计价依据”提出适当的单价，经发包人或其委托的工程造价咨询单位审定后，作出结算的依据</w:t>
      </w:r>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u w:val="single"/>
          <w:lang w:val="en-US" w:eastAsia="zh-CN"/>
        </w:rPr>
        <w:t>3</w:t>
      </w:r>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u w:val="single"/>
        </w:rPr>
        <w:t>由于清单项目中项目特征或工程内容发生部分变更的，应以原综合单价为基础，仅就变更部分相应定额子目调整综合单价</w:t>
      </w:r>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u w:val="single"/>
          <w:lang w:val="en-US" w:eastAsia="zh-CN"/>
        </w:rPr>
        <w:t>4</w:t>
      </w:r>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u w:val="single"/>
        </w:rPr>
        <w:t>以上重新组价的综合单价不能高于按现行工程造价计价和中标价间的下浮幅度下浮</w:t>
      </w:r>
      <w:r>
        <w:rPr>
          <w:rFonts w:hint="eastAsia" w:ascii="宋体" w:hAnsi="宋体" w:eastAsia="宋体" w:cs="宋体"/>
          <w:bCs/>
          <w:color w:val="auto"/>
          <w:szCs w:val="21"/>
          <w:u w:val="none"/>
        </w:rPr>
        <w:t>。</w:t>
      </w:r>
      <w:bookmarkEnd w:id="601"/>
    </w:p>
    <w:p w14:paraId="69C6BDB0">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602" w:name="_Toc455732953"/>
      <w:bookmarkStart w:id="603" w:name="_Toc373478390"/>
      <w:bookmarkStart w:id="604" w:name="_Toc373227743"/>
      <w:bookmarkStart w:id="605" w:name="_Toc389065309"/>
      <w:r>
        <w:rPr>
          <w:rFonts w:hint="eastAsia" w:ascii="宋体" w:hAnsi="宋体" w:eastAsia="宋体" w:cs="宋体"/>
          <w:color w:val="auto"/>
        </w:rPr>
        <w:t>1</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Start w:id="606" w:name="_Toc296346698"/>
      <w:bookmarkStart w:id="607" w:name="_Toc300934993"/>
      <w:bookmarkStart w:id="608" w:name="_Toc297120497"/>
      <w:bookmarkStart w:id="609" w:name="_Toc297216203"/>
      <w:bookmarkStart w:id="610" w:name="_Toc303539150"/>
      <w:bookmarkStart w:id="611" w:name="_Toc296891025"/>
      <w:bookmarkStart w:id="612" w:name="_Toc296891237"/>
      <w:bookmarkStart w:id="613" w:name="_Toc292559402"/>
      <w:bookmarkStart w:id="614" w:name="_Toc296503197"/>
      <w:bookmarkStart w:id="615" w:name="_Toc297048383"/>
      <w:bookmarkStart w:id="616" w:name="_Toc296944536"/>
      <w:bookmarkStart w:id="617" w:name="_Toc296347196"/>
      <w:bookmarkStart w:id="618" w:name="_Toc297123544"/>
      <w:bookmarkStart w:id="619" w:name="_Toc292559907"/>
      <w:bookmarkStart w:id="620" w:name="_Toc312677503"/>
      <w:bookmarkStart w:id="621" w:name="_Toc304295570"/>
      <w:bookmarkStart w:id="622" w:name="_Toc312678029"/>
      <w:r>
        <w:rPr>
          <w:rFonts w:hint="eastAsia" w:ascii="宋体" w:hAnsi="宋体" w:eastAsia="宋体" w:cs="宋体"/>
          <w:color w:val="auto"/>
        </w:rPr>
        <w:t>0.5 承</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3" w:name="_Toc300934994"/>
      <w:bookmarkStart w:id="624" w:name="_Toc297120503"/>
      <w:bookmarkStart w:id="625" w:name="_Toc303539151"/>
      <w:bookmarkStart w:id="626" w:name="_Toc296346704"/>
      <w:bookmarkStart w:id="627" w:name="_Toc296347202"/>
      <w:bookmarkStart w:id="628" w:name="_Toc292559408"/>
      <w:bookmarkStart w:id="629" w:name="_Toc296503203"/>
      <w:bookmarkStart w:id="630" w:name="_Toc296891243"/>
      <w:bookmarkStart w:id="631" w:name="_Toc292559913"/>
      <w:bookmarkStart w:id="632" w:name="_Toc296891031"/>
      <w:bookmarkStart w:id="633" w:name="_Toc297123545"/>
      <w:bookmarkStart w:id="634" w:name="_Toc296944542"/>
      <w:bookmarkStart w:id="635" w:name="_Toc297048389"/>
      <w:bookmarkStart w:id="636" w:name="_Toc297216204"/>
      <w:r>
        <w:rPr>
          <w:rFonts w:hint="eastAsia" w:ascii="宋体" w:hAnsi="宋体" w:eastAsia="宋体" w:cs="宋体"/>
          <w:color w:val="auto"/>
        </w:rPr>
        <w:t>包人的合理化建议</w:t>
      </w:r>
      <w:bookmarkEnd w:id="602"/>
      <w:bookmarkEnd w:id="603"/>
      <w:bookmarkEnd w:id="604"/>
      <w:bookmarkEnd w:id="605"/>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00178F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u w:val="none"/>
        </w:rPr>
        <w:t>监理人审查承包人合理化建议的期限：</w:t>
      </w:r>
      <w:r>
        <w:rPr>
          <w:rFonts w:hint="eastAsia" w:ascii="宋体" w:hAnsi="宋体" w:eastAsia="宋体" w:cs="宋体"/>
          <w:color w:val="auto"/>
          <w:szCs w:val="21"/>
          <w:u w:val="single"/>
        </w:rPr>
        <w:t xml:space="preserve">  按监理合同执行</w:t>
      </w:r>
      <w:r>
        <w:rPr>
          <w:rFonts w:hint="eastAsia" w:ascii="宋体" w:hAnsi="宋体" w:eastAsia="宋体" w:cs="宋体"/>
          <w:color w:val="auto"/>
          <w:szCs w:val="21"/>
          <w:u w:val="none"/>
        </w:rPr>
        <w:t>。</w:t>
      </w:r>
    </w:p>
    <w:p w14:paraId="4D5CD8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u w:val="none"/>
        </w:rPr>
        <w:t>发包人审批承包人合理化建议的期限：</w:t>
      </w:r>
      <w:r>
        <w:rPr>
          <w:rFonts w:hint="eastAsia" w:ascii="宋体" w:hAnsi="宋体" w:eastAsia="宋体" w:cs="宋体"/>
          <w:color w:val="auto"/>
          <w:szCs w:val="21"/>
          <w:u w:val="single"/>
        </w:rPr>
        <w:t xml:space="preserve"> 双方另行约定 </w:t>
      </w:r>
      <w:r>
        <w:rPr>
          <w:rFonts w:hint="eastAsia" w:ascii="宋体" w:hAnsi="宋体" w:eastAsia="宋体" w:cs="宋体"/>
          <w:color w:val="auto"/>
          <w:szCs w:val="21"/>
          <w:u w:val="none"/>
        </w:rPr>
        <w:t>。</w:t>
      </w:r>
    </w:p>
    <w:p w14:paraId="676DD08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single"/>
        </w:rPr>
      </w:pPr>
      <w:r>
        <w:rPr>
          <w:rFonts w:hint="eastAsia" w:ascii="宋体" w:hAnsi="宋体" w:eastAsia="宋体" w:cs="宋体"/>
          <w:color w:val="auto"/>
          <w:szCs w:val="21"/>
          <w:u w:val="none"/>
        </w:rPr>
        <w:t>承</w:t>
      </w:r>
      <w:bookmarkStart w:id="637" w:name="_Toc300934995"/>
      <w:bookmarkStart w:id="638" w:name="_Toc318581175"/>
      <w:bookmarkStart w:id="639" w:name="_Toc297123546"/>
      <w:bookmarkStart w:id="640" w:name="_Toc296346705"/>
      <w:bookmarkStart w:id="641" w:name="_Toc296503204"/>
      <w:bookmarkStart w:id="642" w:name="_Toc297120504"/>
      <w:bookmarkStart w:id="643" w:name="_Toc296347203"/>
      <w:bookmarkStart w:id="644" w:name="_Toc304295571"/>
      <w:bookmarkStart w:id="645" w:name="_Toc296891032"/>
      <w:bookmarkStart w:id="646" w:name="_Toc292559914"/>
      <w:bookmarkStart w:id="647" w:name="_Toc297216205"/>
      <w:bookmarkStart w:id="648" w:name="_Toc303539152"/>
      <w:bookmarkStart w:id="649" w:name="_Toc296891244"/>
      <w:bookmarkStart w:id="650" w:name="_Toc312677504"/>
      <w:bookmarkStart w:id="651" w:name="_Toc292559409"/>
      <w:bookmarkStart w:id="652" w:name="_Toc297048390"/>
      <w:bookmarkStart w:id="653" w:name="_Toc312678030"/>
      <w:bookmarkStart w:id="654" w:name="_Toc296944543"/>
      <w:r>
        <w:rPr>
          <w:rFonts w:hint="eastAsia" w:ascii="宋体" w:hAnsi="宋体" w:eastAsia="宋体" w:cs="宋体"/>
          <w:color w:val="auto"/>
          <w:szCs w:val="21"/>
          <w:u w:val="none"/>
        </w:rPr>
        <w:t>包人提出的合理化建议降低了合同价格或者提高了工程经济效益的奖励的方法和金额为：</w:t>
      </w:r>
      <w:r>
        <w:rPr>
          <w:rFonts w:hint="eastAsia" w:ascii="宋体" w:hAnsi="宋体" w:eastAsia="宋体" w:cs="宋体"/>
          <w:color w:val="auto"/>
          <w:szCs w:val="21"/>
          <w:u w:val="single"/>
        </w:rPr>
        <w:t xml:space="preserve"> 无</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Start w:id="655" w:name="_Toc373478391"/>
      <w:bookmarkStart w:id="656" w:name="_Toc389065310"/>
      <w:bookmarkStart w:id="657" w:name="_Toc455732954"/>
      <w:bookmarkStart w:id="658" w:name="_Toc373227744"/>
    </w:p>
    <w:p w14:paraId="274DF9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none"/>
        </w:rPr>
      </w:pPr>
      <w:r>
        <w:rPr>
          <w:rFonts w:hint="eastAsia" w:ascii="宋体" w:hAnsi="宋体" w:eastAsia="宋体" w:cs="宋体"/>
          <w:color w:val="auto"/>
          <w:szCs w:val="21"/>
          <w:u w:val="none"/>
        </w:rPr>
        <w:t>1</w:t>
      </w:r>
      <w:bookmarkStart w:id="659" w:name="_Toc296346700"/>
      <w:bookmarkStart w:id="660" w:name="_Toc297216207"/>
      <w:bookmarkStart w:id="661" w:name="_Toc296944538"/>
      <w:bookmarkStart w:id="662" w:name="_Toc304295574"/>
      <w:bookmarkStart w:id="663" w:name="_Toc297120499"/>
      <w:bookmarkStart w:id="664" w:name="_Toc300934997"/>
      <w:bookmarkStart w:id="665" w:name="_Toc297123548"/>
      <w:bookmarkStart w:id="666" w:name="_Toc303539154"/>
      <w:bookmarkStart w:id="667" w:name="_Toc296347198"/>
      <w:bookmarkStart w:id="668" w:name="_Toc292559404"/>
      <w:bookmarkStart w:id="669" w:name="_Toc296891027"/>
      <w:bookmarkStart w:id="670" w:name="_Toc292559909"/>
      <w:bookmarkStart w:id="671" w:name="_Toc312678033"/>
      <w:bookmarkStart w:id="672" w:name="_Toc296503199"/>
      <w:bookmarkStart w:id="673" w:name="_Toc296891239"/>
      <w:bookmarkStart w:id="674" w:name="_Toc297048385"/>
      <w:bookmarkStart w:id="675" w:name="_Toc312677507"/>
      <w:r>
        <w:rPr>
          <w:rFonts w:hint="eastAsia" w:ascii="宋体" w:hAnsi="宋体" w:eastAsia="宋体" w:cs="宋体"/>
          <w:color w:val="auto"/>
          <w:szCs w:val="21"/>
          <w:u w:val="none"/>
        </w:rPr>
        <w:t>0.7 暂估价</w:t>
      </w:r>
      <w:bookmarkEnd w:id="655"/>
      <w:bookmarkEnd w:id="656"/>
      <w:bookmarkEnd w:id="657"/>
      <w:bookmarkEnd w:id="658"/>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3D36867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u w:val="none"/>
        </w:rPr>
      </w:pPr>
      <w:r>
        <w:rPr>
          <w:rFonts w:hint="eastAsia" w:ascii="宋体" w:hAnsi="宋体" w:eastAsia="宋体" w:cs="宋体"/>
          <w:color w:val="auto"/>
          <w:szCs w:val="21"/>
          <w:u w:val="none"/>
        </w:rPr>
        <w:t>暂估价材料和工程设备的明细</w:t>
      </w:r>
      <w:r>
        <w:rPr>
          <w:rFonts w:hint="eastAsia" w:ascii="宋体" w:hAnsi="宋体" w:eastAsia="宋体" w:cs="宋体"/>
          <w:color w:val="auto"/>
          <w:szCs w:val="21"/>
          <w:u w:val="none"/>
          <w:lang w:val="en-US" w:eastAsia="zh-CN"/>
        </w:rPr>
        <w:t>详见已标价工程量清单《材料（工程设备）暂估价格及调整表》和《专业工程暂估价表》</w:t>
      </w:r>
      <w:r>
        <w:rPr>
          <w:rFonts w:hint="eastAsia" w:ascii="宋体" w:hAnsi="宋体" w:eastAsia="宋体" w:cs="宋体"/>
          <w:color w:val="auto"/>
          <w:szCs w:val="21"/>
          <w:u w:val="none"/>
        </w:rPr>
        <w:t>。</w:t>
      </w:r>
    </w:p>
    <w:p w14:paraId="26DC3CDA">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w:t>
      </w:r>
      <w:bookmarkStart w:id="676" w:name="_Toc312678035"/>
      <w:bookmarkStart w:id="677" w:name="_Toc318581177"/>
      <w:bookmarkStart w:id="678" w:name="_Toc312677509"/>
      <w:r>
        <w:rPr>
          <w:rFonts w:hint="eastAsia" w:ascii="宋体" w:hAnsi="宋体" w:eastAsia="宋体" w:cs="宋体"/>
          <w:color w:val="auto"/>
        </w:rPr>
        <w:t>0.7.1 依法必须招标的暂估价项目</w:t>
      </w:r>
    </w:p>
    <w:bookmarkEnd w:id="676"/>
    <w:bookmarkEnd w:id="677"/>
    <w:bookmarkEnd w:id="678"/>
    <w:p w14:paraId="355D12D9">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对于依法必须招标的暂估价项目的确认和批准采取第</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w:t>
      </w:r>
      <w:r>
        <w:rPr>
          <w:rFonts w:hint="eastAsia" w:ascii="宋体" w:hAnsi="宋体" w:eastAsia="宋体" w:cs="宋体"/>
          <w:color w:val="auto"/>
          <w:u w:val="single"/>
        </w:rPr>
        <w:t xml:space="preserve">  </w:t>
      </w:r>
      <w:r>
        <w:rPr>
          <w:rFonts w:hint="eastAsia" w:ascii="宋体" w:hAnsi="宋体" w:eastAsia="宋体" w:cs="宋体"/>
          <w:color w:val="auto"/>
        </w:rPr>
        <w:t>种方式确定。</w:t>
      </w:r>
    </w:p>
    <w:p w14:paraId="6F0F05BE">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10.7.2 不属于依法必须招标的暂估价项目</w:t>
      </w:r>
    </w:p>
    <w:p w14:paraId="1791E380">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对于不属于依法必须招标的暂估价项目的确认和批准采取第</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w:t>
      </w:r>
      <w:r>
        <w:rPr>
          <w:rFonts w:hint="eastAsia" w:ascii="宋体" w:hAnsi="宋体" w:eastAsia="宋体" w:cs="宋体"/>
          <w:color w:val="auto"/>
          <w:u w:val="single"/>
        </w:rPr>
        <w:t xml:space="preserve">  </w:t>
      </w:r>
      <w:r>
        <w:rPr>
          <w:rFonts w:hint="eastAsia" w:ascii="宋体" w:hAnsi="宋体" w:eastAsia="宋体" w:cs="宋体"/>
          <w:color w:val="auto"/>
        </w:rPr>
        <w:t>种方式确定。</w:t>
      </w:r>
    </w:p>
    <w:p w14:paraId="2BE1A14E">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第3种方式：承包人直接实施的暂估价项目</w:t>
      </w:r>
    </w:p>
    <w:p w14:paraId="5929F269">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承包人直接实施的暂估价项目的约定：</w:t>
      </w:r>
      <w:r>
        <w:rPr>
          <w:rFonts w:hint="eastAsia" w:ascii="宋体" w:hAnsi="宋体" w:eastAsia="宋体" w:cs="宋体"/>
          <w:color w:val="auto"/>
          <w:szCs w:val="21"/>
          <w:u w:val="single"/>
        </w:rPr>
        <w:t xml:space="preserve"> 无</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w:t>
      </w:r>
    </w:p>
    <w:p w14:paraId="6862460B">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679" w:name="_Toc373227745"/>
      <w:bookmarkStart w:id="680" w:name="_Toc373478392"/>
      <w:bookmarkStart w:id="681" w:name="_Toc455732955"/>
      <w:bookmarkStart w:id="682" w:name="_Toc389065311"/>
      <w:r>
        <w:rPr>
          <w:rFonts w:hint="eastAsia" w:ascii="宋体" w:hAnsi="宋体" w:eastAsia="宋体" w:cs="宋体"/>
          <w:color w:val="auto"/>
        </w:rPr>
        <w:t>10.8 暂列金额</w:t>
      </w:r>
      <w:bookmarkEnd w:id="679"/>
      <w:bookmarkEnd w:id="680"/>
      <w:bookmarkEnd w:id="681"/>
      <w:bookmarkEnd w:id="682"/>
    </w:p>
    <w:p w14:paraId="13D61D7D">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合同当事人关于暂列金额使用的约定：</w:t>
      </w:r>
      <w:r>
        <w:rPr>
          <w:rFonts w:hint="eastAsia" w:ascii="宋体" w:hAnsi="宋体" w:eastAsia="宋体" w:cs="宋体"/>
          <w:color w:val="auto"/>
          <w:u w:val="single"/>
        </w:rPr>
        <w:t xml:space="preserve"> 暂列金额应由监理人报发包人批准后指令全部或部分地使用，或者根本不予动用。承包人有权得到的暂列金额应限于监理人根据本条约定决定动用暂列金额的工程、供应或不可预见费用方面的金额。监理人应将根据本款做出的每项决定报发包人批准并通知承包人 </w:t>
      </w:r>
      <w:r>
        <w:rPr>
          <w:rFonts w:hint="eastAsia" w:ascii="宋体" w:hAnsi="宋体" w:eastAsia="宋体" w:cs="宋体"/>
          <w:color w:val="auto"/>
        </w:rPr>
        <w:t>。</w:t>
      </w:r>
    </w:p>
    <w:p w14:paraId="196568B3">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lang w:val="en-US" w:eastAsia="zh-CN"/>
        </w:rPr>
        <w:t>其他约定：安全生产责任保险费按分部分项工程费及措施项目费</w:t>
      </w:r>
      <w:r>
        <w:rPr>
          <w:rFonts w:hint="eastAsia" w:ascii="宋体" w:hAnsi="宋体" w:cs="宋体"/>
          <w:color w:val="auto"/>
          <w:lang w:val="en-US" w:eastAsia="zh-CN"/>
        </w:rPr>
        <w:t>（</w:t>
      </w:r>
      <w:r>
        <w:rPr>
          <w:rFonts w:hint="eastAsia" w:ascii="宋体" w:hAnsi="宋体" w:eastAsia="宋体" w:cs="宋体"/>
          <w:color w:val="auto"/>
          <w:lang w:val="en-US" w:eastAsia="zh-CN"/>
        </w:rPr>
        <w:t>含单价及总价措施项目费</w:t>
      </w:r>
      <w:r>
        <w:rPr>
          <w:rFonts w:hint="eastAsia" w:ascii="宋体" w:hAnsi="宋体" w:cs="宋体"/>
          <w:color w:val="auto"/>
          <w:lang w:val="en-US" w:eastAsia="zh-CN"/>
        </w:rPr>
        <w:t>）</w:t>
      </w:r>
      <w:r>
        <w:rPr>
          <w:rFonts w:hint="eastAsia" w:ascii="宋体" w:hAnsi="宋体" w:eastAsia="宋体" w:cs="宋体"/>
          <w:color w:val="auto"/>
          <w:lang w:val="en-US" w:eastAsia="zh-CN"/>
        </w:rPr>
        <w:t>为计算基数乘以0.2%计入暂估价，工程结算时，由发承包双方根据工程实际情况确认的安全生产责任保险费计入工程造价。</w:t>
      </w:r>
    </w:p>
    <w:p w14:paraId="47276C90">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bookmarkStart w:id="683" w:name="_Toc389065312"/>
      <w:bookmarkStart w:id="684" w:name="_Toc351203643"/>
      <w:bookmarkStart w:id="685" w:name="_Toc373478393"/>
      <w:bookmarkStart w:id="686" w:name="_Toc455732956"/>
      <w:bookmarkStart w:id="687" w:name="_Toc373227746"/>
      <w:r>
        <w:rPr>
          <w:rFonts w:hint="eastAsia" w:ascii="宋体" w:hAnsi="宋体" w:eastAsia="宋体" w:cs="宋体"/>
          <w:color w:val="auto"/>
          <w:szCs w:val="21"/>
        </w:rPr>
        <w:t>11. 价格调整</w:t>
      </w:r>
      <w:bookmarkEnd w:id="683"/>
      <w:bookmarkEnd w:id="684"/>
      <w:bookmarkEnd w:id="685"/>
      <w:bookmarkEnd w:id="686"/>
      <w:bookmarkEnd w:id="687"/>
    </w:p>
    <w:p w14:paraId="37A91D2D">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bookmarkStart w:id="688" w:name="_Toc373478394"/>
      <w:bookmarkStart w:id="689" w:name="_Toc373227747"/>
      <w:bookmarkStart w:id="690" w:name="_Toc455732957"/>
      <w:bookmarkStart w:id="691" w:name="_Toc389065313"/>
      <w:bookmarkStart w:id="692" w:name="_Toc297123550"/>
      <w:bookmarkStart w:id="693" w:name="_Toc303539157"/>
      <w:bookmarkStart w:id="694" w:name="_Toc296347200"/>
      <w:bookmarkStart w:id="695" w:name="_Toc300935000"/>
      <w:bookmarkStart w:id="696" w:name="_Toc292559406"/>
      <w:bookmarkStart w:id="697" w:name="_Toc297048387"/>
      <w:bookmarkStart w:id="698" w:name="_Toc297120501"/>
      <w:bookmarkStart w:id="699" w:name="_Toc312678039"/>
      <w:bookmarkStart w:id="700" w:name="_Toc296891029"/>
      <w:bookmarkStart w:id="701" w:name="_Toc296944540"/>
      <w:bookmarkStart w:id="702" w:name="_Toc296346702"/>
      <w:bookmarkStart w:id="703" w:name="_Toc292559911"/>
      <w:bookmarkStart w:id="704" w:name="_Toc296891241"/>
      <w:bookmarkStart w:id="705" w:name="_Toc296503201"/>
      <w:bookmarkStart w:id="706" w:name="_Toc297216209"/>
      <w:bookmarkStart w:id="707" w:name="_Toc304295577"/>
      <w:r>
        <w:rPr>
          <w:rFonts w:hint="eastAsia" w:ascii="宋体" w:hAnsi="宋体" w:eastAsia="宋体" w:cs="宋体"/>
          <w:color w:val="auto"/>
          <w:szCs w:val="21"/>
        </w:rPr>
        <w:t>11.1 市场价格波动引起的调整</w:t>
      </w:r>
      <w:bookmarkEnd w:id="688"/>
      <w:bookmarkEnd w:id="689"/>
      <w:bookmarkEnd w:id="690"/>
      <w:bookmarkEnd w:id="691"/>
    </w:p>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14:paraId="68999236">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市场价格波动是否调整合同价格的约定：</w:t>
      </w:r>
      <w:r>
        <w:rPr>
          <w:rFonts w:hint="eastAsia" w:ascii="宋体" w:hAnsi="宋体" w:eastAsia="宋体" w:cs="宋体"/>
          <w:color w:val="auto"/>
          <w:szCs w:val="21"/>
          <w:u w:val="single"/>
        </w:rPr>
        <w:t xml:space="preserve"> 正常的施工条件下不予调整。非承包人原因造成的工期延误超过 360 天的，受到影响部分进行调整 </w:t>
      </w:r>
      <w:r>
        <w:rPr>
          <w:rFonts w:hint="eastAsia" w:ascii="宋体" w:hAnsi="宋体" w:eastAsia="宋体" w:cs="宋体"/>
          <w:color w:val="auto"/>
          <w:szCs w:val="21"/>
        </w:rPr>
        <w:t>。</w:t>
      </w:r>
    </w:p>
    <w:p w14:paraId="64833EEC">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因市场价格波动调整合同价格，采用以下第</w:t>
      </w:r>
      <w:r>
        <w:rPr>
          <w:rFonts w:hint="eastAsia" w:ascii="宋体" w:hAnsi="宋体" w:eastAsia="宋体" w:cs="宋体"/>
          <w:color w:val="auto"/>
          <w:szCs w:val="21"/>
          <w:u w:val="single"/>
        </w:rPr>
        <w:t>2</w:t>
      </w:r>
      <w:r>
        <w:rPr>
          <w:rFonts w:hint="eastAsia" w:ascii="宋体" w:hAnsi="宋体" w:eastAsia="宋体" w:cs="宋体"/>
          <w:color w:val="auto"/>
          <w:szCs w:val="21"/>
        </w:rPr>
        <w:t>种方式对合同价格进行调整：</w:t>
      </w:r>
    </w:p>
    <w:p w14:paraId="53EF6B1C">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第1种方式：采用价格指数进行价格调整。</w:t>
      </w:r>
    </w:p>
    <w:p w14:paraId="4E84A4A3">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关于各可调因子、定值和变值权重，以及基本价格指数及其来源的约定：</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  </w:t>
      </w:r>
    </w:p>
    <w:p w14:paraId="3FB04DFC">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第2种方式：采用造价信息进行价格调整。</w:t>
      </w:r>
    </w:p>
    <w:p w14:paraId="68473D38">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 xml:space="preserve">（1）主要材料确认价： 按施工期间《梧州市建设工程造价信息》加权平均计算，信息价没有的按通用条款规定确定。 </w:t>
      </w:r>
    </w:p>
    <w:p w14:paraId="40FF6331">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（2）</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hint="eastAsia" w:ascii="宋体" w:hAnsi="宋体" w:eastAsia="宋体" w:cs="宋体"/>
          <w:color w:val="auto"/>
          <w:szCs w:val="21"/>
          <w:lang w:val="en-US" w:eastAsia="zh-CN"/>
        </w:rPr>
        <w:t>关于基准价格的约定：</w:t>
      </w:r>
      <w:r>
        <w:rPr>
          <w:rFonts w:hint="eastAsia" w:ascii="宋体" w:hAnsi="宋体" w:eastAsia="宋体" w:cs="宋体"/>
          <w:color w:val="auto"/>
          <w:szCs w:val="21"/>
          <w:u w:val="single"/>
          <w:lang w:val="en-US" w:eastAsia="zh-CN"/>
        </w:rPr>
        <w:t>允许调整的主要材料设备基准价格和承包人承担的风险系数详见工程量清单“允许调整价格的主要材料和设备一览表”</w:t>
      </w:r>
      <w:r>
        <w:rPr>
          <w:rFonts w:hint="eastAsia" w:ascii="宋体" w:hAnsi="宋体" w:eastAsia="宋体" w:cs="宋体"/>
          <w:color w:val="auto"/>
          <w:szCs w:val="21"/>
          <w:u w:val="none"/>
          <w:lang w:val="en-US" w:eastAsia="zh-CN"/>
        </w:rPr>
        <w:t>。</w:t>
      </w:r>
    </w:p>
    <w:p w14:paraId="732BD513">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①承包人在已标价工程量清单或预算书中载明材料单价低于基准价格的：专用合同条款合同履行期间材料单价涨幅以基准价格为基础超过</w:t>
      </w:r>
      <w:r>
        <w:rPr>
          <w:rFonts w:hint="eastAsia" w:ascii="宋体" w:hAnsi="宋体" w:eastAsia="宋体" w:cs="宋体"/>
          <w:color w:val="auto"/>
          <w:szCs w:val="21"/>
          <w:u w:val="single"/>
          <w:lang w:val="en-US" w:eastAsia="zh-CN"/>
        </w:rPr>
        <w:t xml:space="preserve"> 5% </w:t>
      </w:r>
      <w:r>
        <w:rPr>
          <w:rFonts w:hint="eastAsia" w:ascii="宋体" w:hAnsi="宋体" w:eastAsia="宋体" w:cs="宋体"/>
          <w:color w:val="auto"/>
          <w:szCs w:val="21"/>
          <w:lang w:val="en-US" w:eastAsia="zh-CN"/>
        </w:rPr>
        <w:t>时，或材料单价跌幅以已标价工程量清单或预算书中载明材料单位为基础超过</w:t>
      </w:r>
      <w:r>
        <w:rPr>
          <w:rFonts w:hint="eastAsia" w:ascii="宋体" w:hAnsi="宋体" w:eastAsia="宋体" w:cs="宋体"/>
          <w:color w:val="auto"/>
          <w:szCs w:val="21"/>
          <w:u w:val="single"/>
          <w:lang w:val="en-US" w:eastAsia="zh-CN"/>
        </w:rPr>
        <w:t xml:space="preserve"> 5% </w:t>
      </w:r>
      <w:r>
        <w:rPr>
          <w:rFonts w:hint="eastAsia" w:ascii="宋体" w:hAnsi="宋体" w:eastAsia="宋体" w:cs="宋体"/>
          <w:color w:val="auto"/>
          <w:szCs w:val="21"/>
          <w:lang w:val="en-US" w:eastAsia="zh-CN"/>
        </w:rPr>
        <w:t>时，其超过部分据实调整。</w:t>
      </w:r>
    </w:p>
    <w:p w14:paraId="56DB4A1A">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②承包人在已标价工程量清单或预算书中载明材料单价高于基准价格的：专用合同条款合同履行期间材料单价跌幅以基准价格为基础超过</w:t>
      </w:r>
      <w:r>
        <w:rPr>
          <w:rFonts w:hint="eastAsia" w:ascii="宋体" w:hAnsi="宋体" w:eastAsia="宋体" w:cs="宋体"/>
          <w:color w:val="auto"/>
          <w:szCs w:val="21"/>
          <w:u w:val="single"/>
          <w:lang w:val="en-US" w:eastAsia="zh-CN"/>
        </w:rPr>
        <w:t xml:space="preserve"> 5% </w:t>
      </w:r>
      <w:r>
        <w:rPr>
          <w:rFonts w:hint="eastAsia" w:ascii="宋体" w:hAnsi="宋体" w:eastAsia="宋体" w:cs="宋体"/>
          <w:color w:val="auto"/>
          <w:szCs w:val="21"/>
          <w:lang w:val="en-US" w:eastAsia="zh-CN"/>
        </w:rPr>
        <w:t>时，材料单价涨幅以已标价工程量清单或预算书中载明材料单价为基础超过5%时，其超过部分据实调整。</w:t>
      </w:r>
    </w:p>
    <w:p w14:paraId="6A7C527A">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③承包人在已标价工程量清单或预算书中载明材料单价等于基准价格的：专用合同条款合同履行期间材料单价跌幅以基准单价为基础</w:t>
      </w:r>
      <w:r>
        <w:rPr>
          <w:rFonts w:hint="eastAsia" w:ascii="宋体" w:hAnsi="宋体" w:eastAsia="宋体" w:cs="宋体"/>
          <w:color w:val="auto"/>
          <w:szCs w:val="21"/>
          <w:u w:val="single"/>
          <w:lang w:val="en-US" w:eastAsia="zh-CN"/>
        </w:rPr>
        <w:t xml:space="preserve"> ±5% </w:t>
      </w:r>
      <w:r>
        <w:rPr>
          <w:rFonts w:hint="eastAsia" w:ascii="宋体" w:hAnsi="宋体" w:eastAsia="宋体" w:cs="宋体"/>
          <w:color w:val="auto"/>
          <w:szCs w:val="21"/>
          <w:lang w:val="en-US" w:eastAsia="zh-CN"/>
        </w:rPr>
        <w:t>时，其超过部分据实调整。</w:t>
      </w:r>
    </w:p>
    <w:p w14:paraId="65323639">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rPr>
        <w:t>第3种方式：其他价格调整方式</w:t>
      </w:r>
      <w:r>
        <w:rPr>
          <w:rFonts w:hint="eastAsia" w:ascii="宋体" w:hAnsi="宋体" w:eastAsia="宋体" w:cs="宋体"/>
          <w:color w:val="auto"/>
          <w:lang w:eastAsia="zh-CN"/>
        </w:rPr>
        <w:t>：</w:t>
      </w:r>
      <w:r>
        <w:rPr>
          <w:rFonts w:hint="eastAsia" w:hAnsi="宋体"/>
          <w:color w:val="auto"/>
          <w:szCs w:val="21"/>
          <w:highlight w:val="none"/>
          <w:u w:val="single"/>
        </w:rPr>
        <w:t>除有政策性文件要求调整的材料外，其余材料设备一律不给调整</w:t>
      </w:r>
      <w:r>
        <w:rPr>
          <w:rFonts w:hint="eastAsia" w:hAnsi="宋体"/>
          <w:color w:val="auto"/>
          <w:szCs w:val="21"/>
          <w:highlight w:val="none"/>
          <w:u w:val="none"/>
          <w:lang w:eastAsia="zh-CN"/>
        </w:rPr>
        <w:t>。</w:t>
      </w:r>
    </w:p>
    <w:p w14:paraId="773F0EE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708" w:name="_Toc296346706"/>
      <w:bookmarkStart w:id="709" w:name="_Toc292559915"/>
      <w:bookmarkStart w:id="710" w:name="_Toc297048391"/>
      <w:bookmarkStart w:id="711" w:name="_Toc292559410"/>
      <w:bookmarkStart w:id="712" w:name="_Toc296347204"/>
      <w:bookmarkStart w:id="713" w:name="_Toc296891245"/>
      <w:bookmarkStart w:id="714" w:name="_Toc296944544"/>
      <w:bookmarkStart w:id="715" w:name="_Toc297120505"/>
      <w:bookmarkStart w:id="716" w:name="_Toc296503205"/>
      <w:bookmarkStart w:id="717" w:name="_Toc296891033"/>
      <w:bookmarkStart w:id="718" w:name="_Toc373227748"/>
      <w:bookmarkStart w:id="719" w:name="_Toc351203644"/>
      <w:bookmarkStart w:id="720" w:name="_Toc373478395"/>
      <w:bookmarkStart w:id="721" w:name="_Toc455732958"/>
      <w:bookmarkStart w:id="722" w:name="_Toc297123552"/>
      <w:bookmarkStart w:id="723" w:name="_Toc297216211"/>
      <w:bookmarkStart w:id="724" w:name="_Toc312678040"/>
      <w:bookmarkStart w:id="725" w:name="_Toc304295579"/>
      <w:bookmarkStart w:id="726" w:name="_Toc300935002"/>
      <w:bookmarkStart w:id="727" w:name="_Toc303539159"/>
      <w:r>
        <w:rPr>
          <w:rFonts w:hint="eastAsia" w:ascii="宋体" w:hAnsi="宋体" w:eastAsia="宋体" w:cs="宋体"/>
          <w:color w:val="auto"/>
        </w:rPr>
        <w:t xml:space="preserve">12. </w:t>
      </w:r>
      <w:bookmarkEnd w:id="708"/>
      <w:bookmarkEnd w:id="709"/>
      <w:bookmarkEnd w:id="710"/>
      <w:bookmarkEnd w:id="711"/>
      <w:bookmarkEnd w:id="712"/>
      <w:bookmarkEnd w:id="713"/>
      <w:bookmarkEnd w:id="714"/>
      <w:bookmarkEnd w:id="715"/>
      <w:bookmarkEnd w:id="716"/>
      <w:bookmarkEnd w:id="717"/>
      <w:r>
        <w:rPr>
          <w:rFonts w:hint="eastAsia" w:ascii="宋体" w:hAnsi="宋体" w:eastAsia="宋体" w:cs="宋体"/>
          <w:color w:val="auto"/>
        </w:rPr>
        <w:t>合同价格、计量与支付</w:t>
      </w:r>
      <w:bookmarkEnd w:id="718"/>
      <w:bookmarkEnd w:id="719"/>
      <w:bookmarkEnd w:id="720"/>
      <w:bookmarkEnd w:id="721"/>
    </w:p>
    <w:bookmarkEnd w:id="722"/>
    <w:bookmarkEnd w:id="723"/>
    <w:bookmarkEnd w:id="724"/>
    <w:bookmarkEnd w:id="725"/>
    <w:bookmarkEnd w:id="726"/>
    <w:bookmarkEnd w:id="727"/>
    <w:p w14:paraId="556F069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728" w:name="_Toc292559916"/>
      <w:bookmarkStart w:id="729" w:name="_Toc292559411"/>
      <w:bookmarkStart w:id="730" w:name="_Toc267251461"/>
      <w:bookmarkStart w:id="731" w:name="_Toc297048392"/>
      <w:bookmarkStart w:id="732" w:name="_Toc296891246"/>
      <w:bookmarkStart w:id="733" w:name="_Toc297120506"/>
      <w:bookmarkStart w:id="734" w:name="_Toc296891034"/>
      <w:bookmarkStart w:id="735" w:name="_Toc296346707"/>
      <w:bookmarkStart w:id="736" w:name="_Toc296503206"/>
      <w:bookmarkStart w:id="737" w:name="_Toc296944545"/>
      <w:bookmarkStart w:id="738" w:name="_Toc296347205"/>
      <w:bookmarkStart w:id="739" w:name="_Toc312678041"/>
      <w:bookmarkStart w:id="740" w:name="_Toc373478396"/>
      <w:bookmarkStart w:id="741" w:name="_Toc389065314"/>
      <w:bookmarkStart w:id="742" w:name="_Toc297123553"/>
      <w:bookmarkStart w:id="743" w:name="_Toc300935003"/>
      <w:bookmarkStart w:id="744" w:name="_Toc373227749"/>
      <w:bookmarkStart w:id="745" w:name="_Toc455732959"/>
      <w:bookmarkStart w:id="746" w:name="_Toc304295580"/>
      <w:bookmarkStart w:id="747" w:name="_Toc297216212"/>
      <w:bookmarkStart w:id="748" w:name="_Toc303539160"/>
      <w:r>
        <w:rPr>
          <w:rFonts w:hint="eastAsia" w:ascii="宋体" w:hAnsi="宋体" w:eastAsia="宋体" w:cs="宋体"/>
          <w:color w:val="auto"/>
        </w:rPr>
        <w:t>12.1 合</w:t>
      </w:r>
      <w:bookmarkEnd w:id="728"/>
      <w:bookmarkEnd w:id="729"/>
      <w:bookmarkEnd w:id="730"/>
      <w:r>
        <w:rPr>
          <w:rFonts w:hint="eastAsia" w:ascii="宋体" w:hAnsi="宋体" w:eastAsia="宋体" w:cs="宋体"/>
          <w:color w:val="auto"/>
        </w:rPr>
        <w:t>同价</w:t>
      </w:r>
      <w:bookmarkEnd w:id="731"/>
      <w:bookmarkEnd w:id="732"/>
      <w:bookmarkEnd w:id="733"/>
      <w:bookmarkEnd w:id="734"/>
      <w:bookmarkEnd w:id="735"/>
      <w:bookmarkEnd w:id="736"/>
      <w:bookmarkEnd w:id="737"/>
      <w:bookmarkEnd w:id="738"/>
      <w:r>
        <w:rPr>
          <w:rFonts w:hint="eastAsia" w:ascii="宋体" w:hAnsi="宋体" w:eastAsia="宋体" w:cs="宋体"/>
          <w:color w:val="auto"/>
        </w:rPr>
        <w:t>格形式</w:t>
      </w:r>
      <w:bookmarkEnd w:id="739"/>
      <w:bookmarkEnd w:id="740"/>
      <w:bookmarkEnd w:id="741"/>
      <w:bookmarkEnd w:id="742"/>
      <w:bookmarkEnd w:id="743"/>
      <w:bookmarkEnd w:id="744"/>
      <w:bookmarkEnd w:id="745"/>
      <w:bookmarkEnd w:id="746"/>
      <w:bookmarkEnd w:id="747"/>
      <w:bookmarkEnd w:id="748"/>
    </w:p>
    <w:p w14:paraId="062CB1E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本合同价款采用固定综合单价方式确定，工程量按实际结算。</w:t>
      </w:r>
    </w:p>
    <w:p w14:paraId="71DCF7F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1、单价合同。</w:t>
      </w:r>
    </w:p>
    <w:p w14:paraId="56A1A85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lang w:val="en-US" w:eastAsia="zh-CN" w:bidi="ar-SA"/>
        </w:rPr>
        <w:t>综合单价包含的风险范围：</w:t>
      </w:r>
      <w:r>
        <w:rPr>
          <w:rFonts w:hint="eastAsia" w:ascii="宋体" w:hAnsi="宋体" w:eastAsia="宋体" w:cs="宋体"/>
          <w:color w:val="auto"/>
          <w:kern w:val="2"/>
          <w:sz w:val="21"/>
          <w:szCs w:val="21"/>
          <w:u w:val="single"/>
          <w:lang w:val="en-US" w:eastAsia="zh-CN" w:bidi="ar-SA"/>
        </w:rPr>
        <w:t>除工程变更、项目特征不符、工程量清单缺项、工程量偏差、政策性调整、本工程《承包人提供主要材料和设备一览表》中约定的材料和设备价格变动风险以外的其他风险因素</w:t>
      </w:r>
      <w:r>
        <w:rPr>
          <w:rFonts w:hint="eastAsia" w:ascii="宋体" w:hAnsi="宋体" w:eastAsia="宋体" w:cs="宋体"/>
          <w:color w:val="auto"/>
          <w:kern w:val="2"/>
          <w:sz w:val="21"/>
          <w:szCs w:val="21"/>
          <w:u w:val="none"/>
          <w:lang w:val="en-US" w:eastAsia="zh-CN" w:bidi="ar-SA"/>
        </w:rPr>
        <w:t>。</w:t>
      </w:r>
    </w:p>
    <w:p w14:paraId="65F1B31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风险费用的计算方法：</w:t>
      </w:r>
      <w:r>
        <w:rPr>
          <w:rFonts w:hint="default" w:ascii="宋体" w:hAnsi="宋体" w:eastAsia="宋体" w:cs="宋体"/>
          <w:color w:val="auto"/>
          <w:kern w:val="2"/>
          <w:sz w:val="21"/>
          <w:szCs w:val="21"/>
          <w:u w:val="single"/>
          <w:lang w:val="en-US" w:eastAsia="zh-CN" w:bidi="ar-SA"/>
        </w:rPr>
        <w:t>单价采用固定综合单价，风险费用已综合考虑在单价中</w:t>
      </w:r>
      <w:r>
        <w:rPr>
          <w:rFonts w:hint="default" w:ascii="宋体" w:hAnsi="宋体" w:eastAsia="宋体" w:cs="宋体"/>
          <w:color w:val="auto"/>
          <w:kern w:val="2"/>
          <w:sz w:val="21"/>
          <w:szCs w:val="21"/>
          <w:lang w:val="en-US" w:eastAsia="zh-CN" w:bidi="ar-SA"/>
        </w:rPr>
        <w:t>。</w:t>
      </w:r>
    </w:p>
    <w:p w14:paraId="37EE183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default" w:ascii="宋体" w:hAnsi="宋体" w:eastAsia="宋体" w:cs="宋体"/>
          <w:color w:val="auto"/>
          <w:u w:val="single"/>
          <w:lang w:val="en-US" w:eastAsia="zh-CN"/>
        </w:rPr>
      </w:pPr>
      <w:r>
        <w:rPr>
          <w:rFonts w:hint="default" w:ascii="宋体" w:hAnsi="宋体" w:eastAsia="宋体" w:cs="宋体"/>
          <w:color w:val="auto"/>
          <w:lang w:val="en-US" w:eastAsia="zh-CN"/>
        </w:rPr>
        <w:t>风险范围以外合同价格的调整方法：</w:t>
      </w:r>
      <w:r>
        <w:rPr>
          <w:rFonts w:hint="eastAsia" w:ascii="宋体" w:hAnsi="宋体" w:eastAsia="宋体" w:cs="宋体"/>
          <w:color w:val="auto"/>
          <w:u w:val="single"/>
          <w:lang w:val="en-US" w:eastAsia="zh-CN"/>
        </w:rPr>
        <w:t>（1）</w:t>
      </w:r>
      <w:r>
        <w:rPr>
          <w:rFonts w:hint="default" w:ascii="宋体" w:hAnsi="宋体" w:eastAsia="宋体" w:cs="宋体"/>
          <w:color w:val="auto"/>
          <w:u w:val="single"/>
          <w:lang w:val="en-US" w:eastAsia="zh-CN"/>
        </w:rPr>
        <w:t>工程变更：按 10.4.1 变更估价原则的约定调整。</w:t>
      </w:r>
      <w:r>
        <w:rPr>
          <w:rFonts w:hint="eastAsia" w:ascii="宋体" w:hAnsi="宋体" w:eastAsia="宋体" w:cs="宋体"/>
          <w:color w:val="auto"/>
          <w:u w:val="single"/>
          <w:lang w:val="en-US" w:eastAsia="zh-CN"/>
        </w:rPr>
        <w:t>（2）</w:t>
      </w:r>
      <w:r>
        <w:rPr>
          <w:rFonts w:hint="default" w:ascii="宋体" w:hAnsi="宋体" w:eastAsia="宋体" w:cs="宋体"/>
          <w:color w:val="auto"/>
          <w:u w:val="single"/>
          <w:lang w:val="en-US" w:eastAsia="zh-CN"/>
        </w:rPr>
        <w:t>政策性调整：按自治区住房城乡建设行政主管部门颁布的文件执行。</w:t>
      </w:r>
      <w:r>
        <w:rPr>
          <w:rFonts w:hint="eastAsia" w:ascii="宋体" w:hAnsi="宋体" w:eastAsia="宋体" w:cs="宋体"/>
          <w:color w:val="auto"/>
          <w:u w:val="single"/>
          <w:lang w:val="en-US" w:eastAsia="zh-CN"/>
        </w:rPr>
        <w:t>（3）</w:t>
      </w:r>
      <w:r>
        <w:rPr>
          <w:rFonts w:hint="default" w:ascii="宋体" w:hAnsi="宋体" w:eastAsia="宋体" w:cs="宋体"/>
          <w:color w:val="auto"/>
          <w:u w:val="single"/>
          <w:lang w:val="en-US" w:eastAsia="zh-CN"/>
        </w:rPr>
        <w:t>材料价格风险：按 11.1 的约定调整。</w:t>
      </w:r>
    </w:p>
    <w:p w14:paraId="0144F1C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jc w:val="left"/>
        <w:textAlignment w:val="auto"/>
        <w:outlineLvl w:val="9"/>
        <w:rPr>
          <w:rFonts w:hint="default" w:ascii="宋体" w:hAnsi="宋体" w:eastAsia="宋体" w:cs="宋体"/>
          <w:color w:val="auto"/>
          <w:u w:val="none"/>
          <w:lang w:val="en-US" w:eastAsia="zh-CN"/>
        </w:rPr>
      </w:pPr>
      <w:r>
        <w:rPr>
          <w:rFonts w:hint="default" w:ascii="宋体" w:hAnsi="宋体" w:eastAsia="宋体" w:cs="宋体"/>
          <w:color w:val="auto"/>
          <w:u w:val="single"/>
          <w:lang w:val="en-US" w:eastAsia="zh-CN"/>
        </w:rPr>
        <w:t>本工程最终结算以业主有关部门审定为准</w:t>
      </w:r>
      <w:r>
        <w:rPr>
          <w:rFonts w:hint="default" w:ascii="宋体" w:hAnsi="宋体" w:eastAsia="宋体" w:cs="宋体"/>
          <w:color w:val="auto"/>
          <w:u w:val="none"/>
          <w:lang w:val="en-US" w:eastAsia="zh-CN"/>
        </w:rPr>
        <w:t>。</w:t>
      </w:r>
    </w:p>
    <w:p w14:paraId="34B0C48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leftChars="200"/>
        <w:jc w:val="left"/>
        <w:textAlignment w:val="auto"/>
        <w:outlineLvl w:val="9"/>
        <w:rPr>
          <w:rFonts w:hint="eastAsia" w:ascii="宋体" w:hAnsi="宋体" w:eastAsia="宋体" w:cs="宋体"/>
          <w:color w:val="auto"/>
          <w:u w:val="none"/>
          <w:lang w:val="en-US" w:eastAsia="zh-CN"/>
        </w:rPr>
      </w:pPr>
      <w:r>
        <w:rPr>
          <w:rFonts w:hint="eastAsia" w:ascii="宋体" w:hAnsi="宋体" w:cs="宋体"/>
          <w:color w:val="auto"/>
          <w:u w:val="none"/>
          <w:lang w:val="en-US" w:eastAsia="zh-CN"/>
        </w:rPr>
        <w:t>2、</w:t>
      </w:r>
      <w:r>
        <w:rPr>
          <w:rFonts w:hint="eastAsia" w:ascii="宋体" w:hAnsi="宋体" w:eastAsia="宋体" w:cs="宋体"/>
          <w:color w:val="auto"/>
          <w:u w:val="none"/>
          <w:lang w:val="en-US" w:eastAsia="zh-CN"/>
        </w:rPr>
        <w:t>总价合同。</w:t>
      </w:r>
    </w:p>
    <w:p w14:paraId="0744AF2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hAnsi="宋体" w:cs="宋体"/>
          <w:color w:val="auto"/>
          <w:szCs w:val="22"/>
          <w:highlight w:val="none"/>
          <w:u w:val="none"/>
          <w:lang w:eastAsia="zh-CN"/>
        </w:rPr>
      </w:pPr>
      <w:r>
        <w:rPr>
          <w:rFonts w:hint="eastAsia" w:ascii="宋体" w:hAnsi="宋体" w:eastAsia="宋体" w:cs="宋体"/>
          <w:color w:val="auto"/>
          <w:u w:val="none"/>
          <w:lang w:val="en-US" w:eastAsia="zh-CN"/>
        </w:rPr>
        <w:t>总价包含的风险范围：</w:t>
      </w:r>
      <w:r>
        <w:rPr>
          <w:rFonts w:hint="eastAsia" w:hAnsi="宋体" w:cs="宋体"/>
          <w:color w:val="auto"/>
          <w:szCs w:val="22"/>
          <w:highlight w:val="none"/>
          <w:u w:val="single"/>
        </w:rPr>
        <w:t>包含除工程变更、政策性调整、本工程《承包人提供主要材料和设备一览表》中约定的材料和设备价格变动风险以外的其他风险。除工程变更外，结算时不再对招标施工图对应的工程量重新计量</w:t>
      </w:r>
      <w:r>
        <w:rPr>
          <w:rFonts w:hint="eastAsia" w:hAnsi="宋体" w:cs="宋体"/>
          <w:color w:val="auto"/>
          <w:szCs w:val="22"/>
          <w:highlight w:val="none"/>
          <w:u w:val="none"/>
          <w:lang w:eastAsia="zh-CN"/>
        </w:rPr>
        <w:t>。</w:t>
      </w:r>
    </w:p>
    <w:p w14:paraId="0A883F9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2"/>
          <w:sz w:val="21"/>
          <w:szCs w:val="21"/>
          <w:u w:val="none"/>
          <w:lang w:val="en-US" w:eastAsia="zh-CN" w:bidi="ar-SA"/>
        </w:rPr>
      </w:pPr>
      <w:r>
        <w:rPr>
          <w:rFonts w:hint="default" w:ascii="宋体" w:hAnsi="宋体" w:eastAsia="宋体" w:cs="宋体"/>
          <w:color w:val="auto"/>
          <w:kern w:val="2"/>
          <w:sz w:val="21"/>
          <w:szCs w:val="21"/>
          <w:lang w:val="en-US" w:eastAsia="zh-CN" w:bidi="ar-SA"/>
        </w:rPr>
        <w:t>风险费用的计算方法：</w:t>
      </w:r>
      <w:r>
        <w:rPr>
          <w:rFonts w:hint="eastAsia" w:ascii="宋体" w:hAnsi="宋体" w:eastAsia="宋体" w:cs="宋体"/>
          <w:color w:val="auto"/>
          <w:kern w:val="2"/>
          <w:sz w:val="21"/>
          <w:szCs w:val="21"/>
          <w:u w:val="single"/>
          <w:lang w:val="en-US" w:eastAsia="zh-CN" w:bidi="ar-SA"/>
        </w:rPr>
        <w:t xml:space="preserve">   /   </w:t>
      </w:r>
      <w:r>
        <w:rPr>
          <w:rFonts w:hint="eastAsia" w:ascii="宋体" w:hAnsi="宋体" w:eastAsia="宋体" w:cs="宋体"/>
          <w:color w:val="auto"/>
          <w:kern w:val="2"/>
          <w:sz w:val="21"/>
          <w:szCs w:val="21"/>
          <w:u w:val="none"/>
          <w:lang w:val="en-US" w:eastAsia="zh-CN" w:bidi="ar-SA"/>
        </w:rPr>
        <w:t xml:space="preserve">。 </w:t>
      </w:r>
    </w:p>
    <w:p w14:paraId="2D0F3BD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kern w:val="2"/>
          <w:sz w:val="21"/>
          <w:szCs w:val="21"/>
          <w:u w:val="none"/>
          <w:lang w:val="en-US" w:eastAsia="zh-CN" w:bidi="ar-SA"/>
        </w:rPr>
      </w:pPr>
      <w:r>
        <w:rPr>
          <w:rFonts w:hint="default" w:ascii="宋体" w:hAnsi="宋体" w:eastAsia="宋体" w:cs="宋体"/>
          <w:color w:val="auto"/>
          <w:kern w:val="2"/>
          <w:sz w:val="21"/>
          <w:szCs w:val="21"/>
          <w:u w:val="none"/>
          <w:lang w:val="en-US" w:eastAsia="zh-CN" w:bidi="ar-SA"/>
        </w:rPr>
        <w:t>风险范围以外合同价格的调整方法：</w:t>
      </w:r>
      <w:r>
        <w:rPr>
          <w:rFonts w:hint="eastAsia" w:ascii="宋体" w:hAnsi="宋体" w:eastAsia="宋体" w:cs="宋体"/>
          <w:color w:val="auto"/>
          <w:kern w:val="2"/>
          <w:sz w:val="21"/>
          <w:szCs w:val="21"/>
          <w:u w:val="single"/>
          <w:lang w:val="en-US" w:eastAsia="zh-CN" w:bidi="ar-SA"/>
        </w:rPr>
        <w:t>因市场价格波动引起的调整按第11.1款〔市场价格波动引起的调整、因法律变化引起的调整按第11.2款〔法律变化引起的调整〕约定执行</w:t>
      </w:r>
      <w:r>
        <w:rPr>
          <w:rFonts w:hint="eastAsia" w:ascii="宋体" w:hAnsi="宋体" w:eastAsia="宋体" w:cs="宋体"/>
          <w:color w:val="auto"/>
          <w:kern w:val="2"/>
          <w:sz w:val="21"/>
          <w:szCs w:val="21"/>
          <w:u w:val="none"/>
          <w:lang w:val="en-US" w:eastAsia="zh-CN" w:bidi="ar-SA"/>
        </w:rPr>
        <w:t>。</w:t>
      </w:r>
    </w:p>
    <w:p w14:paraId="49CD253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leftChars="200"/>
        <w:jc w:val="left"/>
        <w:textAlignment w:val="auto"/>
        <w:outlineLvl w:val="9"/>
        <w:rPr>
          <w:rFonts w:hint="eastAsia" w:ascii="宋体" w:hAnsi="宋体" w:eastAsia="宋体" w:cs="宋体"/>
          <w:color w:val="auto"/>
          <w:kern w:val="2"/>
          <w:sz w:val="21"/>
          <w:szCs w:val="21"/>
          <w:u w:val="none"/>
          <w:lang w:val="en-US" w:eastAsia="zh-CN" w:bidi="ar-SA"/>
        </w:rPr>
      </w:pPr>
      <w:r>
        <w:rPr>
          <w:rFonts w:hint="eastAsia" w:ascii="宋体" w:hAnsi="宋体" w:cs="宋体"/>
          <w:color w:val="auto"/>
          <w:kern w:val="2"/>
          <w:sz w:val="21"/>
          <w:szCs w:val="21"/>
          <w:u w:val="none"/>
          <w:lang w:val="en-US" w:eastAsia="zh-CN" w:bidi="ar-SA"/>
        </w:rPr>
        <w:t>3、</w:t>
      </w:r>
      <w:r>
        <w:rPr>
          <w:rFonts w:hint="eastAsia" w:ascii="宋体" w:hAnsi="宋体" w:eastAsia="宋体" w:cs="宋体"/>
          <w:color w:val="auto"/>
          <w:kern w:val="2"/>
          <w:sz w:val="21"/>
          <w:szCs w:val="21"/>
          <w:u w:val="none"/>
          <w:lang w:val="en-US" w:eastAsia="zh-CN" w:bidi="ar-SA"/>
        </w:rPr>
        <w:t>其他价格方式：</w:t>
      </w:r>
      <w:r>
        <w:rPr>
          <w:rFonts w:hint="eastAsia" w:ascii="宋体" w:hAnsi="宋体" w:eastAsia="宋体" w:cs="宋体"/>
          <w:color w:val="auto"/>
          <w:kern w:val="2"/>
          <w:sz w:val="21"/>
          <w:szCs w:val="21"/>
          <w:u w:val="single"/>
          <w:lang w:val="en-US" w:eastAsia="zh-CN" w:bidi="ar-SA"/>
        </w:rPr>
        <w:t xml:space="preserve">   /   </w:t>
      </w:r>
      <w:r>
        <w:rPr>
          <w:rFonts w:hint="eastAsia" w:ascii="宋体" w:hAnsi="宋体" w:eastAsia="宋体" w:cs="宋体"/>
          <w:color w:val="auto"/>
          <w:kern w:val="2"/>
          <w:sz w:val="21"/>
          <w:szCs w:val="21"/>
          <w:u w:val="none"/>
          <w:lang w:val="en-US" w:eastAsia="zh-CN" w:bidi="ar-SA"/>
        </w:rPr>
        <w:t>。</w:t>
      </w:r>
    </w:p>
    <w:p w14:paraId="2E23938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749" w:name="_Toc455732960"/>
      <w:r>
        <w:rPr>
          <w:rFonts w:hint="eastAsia" w:ascii="宋体" w:hAnsi="宋体" w:eastAsia="宋体" w:cs="宋体"/>
          <w:color w:val="auto"/>
        </w:rPr>
        <w:t>12.2 预付款</w:t>
      </w:r>
      <w:bookmarkEnd w:id="749"/>
    </w:p>
    <w:p w14:paraId="1A48F80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12.2.1 预付款的支付</w:t>
      </w:r>
    </w:p>
    <w:p w14:paraId="6393216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预付款支付比例或金额：</w:t>
      </w:r>
      <w:r>
        <w:rPr>
          <w:rFonts w:hint="eastAsia" w:ascii="宋体" w:hAnsi="宋体" w:eastAsia="宋体" w:cs="宋体"/>
          <w:color w:val="auto"/>
          <w:u w:val="single"/>
        </w:rPr>
        <w:t xml:space="preserve"> </w:t>
      </w:r>
      <w:r>
        <w:rPr>
          <w:rFonts w:hint="eastAsia" w:ascii="宋体" w:hAnsi="宋体" w:eastAsia="宋体" w:cs="宋体"/>
          <w:color w:val="auto"/>
          <w:sz w:val="21"/>
          <w:szCs w:val="21"/>
          <w:u w:val="single"/>
          <w:vertAlign w:val="baseline"/>
          <w:lang w:val="en-US" w:eastAsia="zh-CN"/>
        </w:rPr>
        <w:t>按照签约合同价（扣除暂列金额、安全文明施工费）30%</w:t>
      </w:r>
      <w:r>
        <w:rPr>
          <w:rFonts w:hint="eastAsia" w:ascii="宋体" w:hAnsi="宋体" w:eastAsia="宋体" w:cs="宋体"/>
          <w:color w:val="auto"/>
          <w:u w:val="single"/>
        </w:rPr>
        <w:t xml:space="preserve"> </w:t>
      </w:r>
      <w:r>
        <w:rPr>
          <w:rFonts w:hint="eastAsia" w:ascii="宋体" w:hAnsi="宋体" w:eastAsia="宋体" w:cs="宋体"/>
          <w:color w:val="auto"/>
        </w:rPr>
        <w:t>。</w:t>
      </w:r>
    </w:p>
    <w:p w14:paraId="72DFFEE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rPr>
        <w:t>预付款支付期限：</w:t>
      </w:r>
      <w:r>
        <w:rPr>
          <w:rFonts w:hint="eastAsia" w:ascii="宋体" w:hAnsi="宋体" w:eastAsia="宋体" w:cs="宋体"/>
          <w:color w:val="auto"/>
          <w:u w:val="single"/>
        </w:rPr>
        <w:t xml:space="preserve"> </w:t>
      </w:r>
      <w:r>
        <w:rPr>
          <w:rFonts w:hint="eastAsia" w:ascii="宋体" w:hAnsi="宋体" w:eastAsia="宋体" w:cs="宋体"/>
          <w:color w:val="auto"/>
          <w:sz w:val="21"/>
          <w:szCs w:val="21"/>
          <w:u w:val="single"/>
          <w:vertAlign w:val="baseline"/>
          <w:lang w:val="en-US" w:eastAsia="zh-CN"/>
        </w:rPr>
        <w:t>签</w:t>
      </w:r>
      <w:r>
        <w:rPr>
          <w:rFonts w:hint="eastAsia" w:ascii="宋体" w:hAnsi="宋体" w:eastAsia="宋体" w:cs="宋体"/>
          <w:color w:val="auto"/>
          <w:sz w:val="21"/>
          <w:szCs w:val="21"/>
          <w:highlight w:val="none"/>
          <w:u w:val="single"/>
          <w:vertAlign w:val="baseline"/>
          <w:lang w:val="en-US" w:eastAsia="zh-CN"/>
        </w:rPr>
        <w:t>订合同后，承包人提交预付款保函后15个工作日内一次性支付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F3BC44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highlight w:val="none"/>
        </w:rPr>
        <w:t>预付款扣回的方式：</w:t>
      </w:r>
      <w:r>
        <w:rPr>
          <w:rFonts w:hint="eastAsia" w:ascii="宋体" w:hAnsi="宋体" w:eastAsia="宋体" w:cs="宋体"/>
          <w:color w:val="auto"/>
          <w:highlight w:val="none"/>
          <w:u w:val="single"/>
        </w:rPr>
        <w:t xml:space="preserve"> </w:t>
      </w:r>
      <w:r>
        <w:rPr>
          <w:rFonts w:hint="eastAsia" w:ascii="宋体" w:hAnsi="宋体" w:eastAsia="宋体" w:cs="宋体"/>
          <w:color w:val="auto"/>
          <w:sz w:val="21"/>
          <w:szCs w:val="21"/>
          <w:highlight w:val="none"/>
          <w:u w:val="single"/>
          <w:vertAlign w:val="baseline"/>
          <w:lang w:val="en-US" w:eastAsia="zh-CN"/>
        </w:rPr>
        <w:t>支付工程进度款时一次性抵扣</w:t>
      </w:r>
      <w:r>
        <w:rPr>
          <w:rFonts w:hint="eastAsia" w:ascii="宋体" w:hAnsi="宋体" w:eastAsia="宋体" w:cs="宋体"/>
          <w:color w:val="auto"/>
          <w:highlight w:val="none"/>
          <w:u w:val="single"/>
        </w:rPr>
        <w:t xml:space="preserve"> </w:t>
      </w:r>
      <w:r>
        <w:rPr>
          <w:rFonts w:hint="eastAsia" w:ascii="宋体" w:hAnsi="宋体" w:eastAsia="宋体" w:cs="宋体"/>
          <w:color w:val="auto"/>
        </w:rPr>
        <w:t>。</w:t>
      </w:r>
    </w:p>
    <w:p w14:paraId="011538A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12.2.2 预付款担保</w:t>
      </w:r>
    </w:p>
    <w:p w14:paraId="4ABB762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承包人提交预付款担保的期限：</w:t>
      </w:r>
      <w:r>
        <w:rPr>
          <w:rFonts w:hint="eastAsia" w:ascii="宋体" w:hAnsi="宋体" w:cs="宋体"/>
          <w:color w:val="auto"/>
          <w:u w:val="single"/>
          <w:lang w:val="en-US" w:eastAsia="zh-CN"/>
        </w:rPr>
        <w:t xml:space="preserve"> </w:t>
      </w:r>
      <w:r>
        <w:rPr>
          <w:rFonts w:hint="eastAsia" w:ascii="宋体" w:hAnsi="宋体" w:eastAsia="宋体" w:cs="宋体"/>
          <w:color w:val="auto"/>
          <w:sz w:val="21"/>
          <w:szCs w:val="21"/>
          <w:u w:val="single"/>
          <w:vertAlign w:val="baseline"/>
          <w:lang w:eastAsia="zh-CN"/>
        </w:rPr>
        <w:t>承包人</w:t>
      </w:r>
      <w:r>
        <w:rPr>
          <w:rFonts w:hint="eastAsia" w:ascii="宋体" w:hAnsi="宋体" w:eastAsia="宋体" w:cs="宋体"/>
          <w:color w:val="auto"/>
          <w:sz w:val="21"/>
          <w:szCs w:val="21"/>
          <w:u w:val="single"/>
          <w:vertAlign w:val="baseline"/>
          <w:lang w:val="en-US" w:eastAsia="zh-CN"/>
        </w:rPr>
        <w:t>在签订合同后7个工作日内</w:t>
      </w:r>
      <w:r>
        <w:rPr>
          <w:rFonts w:hint="eastAsia" w:ascii="宋体" w:hAnsi="宋体" w:eastAsia="宋体" w:cs="宋体"/>
          <w:color w:val="auto"/>
          <w:sz w:val="21"/>
          <w:szCs w:val="21"/>
          <w:u w:val="single"/>
          <w:vertAlign w:val="baseline"/>
          <w:lang w:eastAsia="zh-CN"/>
        </w:rPr>
        <w:t xml:space="preserve">提交预付款保函 </w:t>
      </w:r>
      <w:r>
        <w:rPr>
          <w:rFonts w:hint="eastAsia" w:ascii="宋体" w:hAnsi="宋体" w:eastAsia="宋体" w:cs="宋体"/>
          <w:color w:val="auto"/>
        </w:rPr>
        <w:t>。</w:t>
      </w:r>
    </w:p>
    <w:p w14:paraId="18B44B3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预付款担保的形式为：</w:t>
      </w:r>
      <w:r>
        <w:rPr>
          <w:rFonts w:hint="eastAsia" w:ascii="宋体" w:hAnsi="宋体" w:eastAsia="宋体" w:cs="宋体"/>
          <w:color w:val="auto"/>
          <w:sz w:val="21"/>
          <w:szCs w:val="21"/>
          <w:u w:val="single"/>
          <w:vertAlign w:val="baseline"/>
          <w:lang w:eastAsia="zh-CN"/>
        </w:rPr>
        <w:t xml:space="preserve">承包人提交预付款保函 </w:t>
      </w:r>
      <w:r>
        <w:rPr>
          <w:rFonts w:hint="eastAsia" w:ascii="宋体" w:hAnsi="宋体" w:eastAsia="宋体" w:cs="宋体"/>
          <w:color w:val="auto"/>
        </w:rPr>
        <w:t>。</w:t>
      </w:r>
    </w:p>
    <w:p w14:paraId="5B5B876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750" w:name="_Toc389065316"/>
      <w:bookmarkStart w:id="751" w:name="_Toc373478398"/>
      <w:bookmarkStart w:id="752" w:name="_Toc455732961"/>
      <w:bookmarkStart w:id="753" w:name="_Toc373227751"/>
      <w:r>
        <w:rPr>
          <w:rFonts w:hint="eastAsia" w:ascii="宋体" w:hAnsi="宋体" w:eastAsia="宋体" w:cs="宋体"/>
          <w:color w:val="auto"/>
        </w:rPr>
        <w:t>12.3 计量</w:t>
      </w:r>
      <w:bookmarkEnd w:id="750"/>
      <w:bookmarkEnd w:id="751"/>
      <w:bookmarkEnd w:id="752"/>
      <w:bookmarkEnd w:id="753"/>
    </w:p>
    <w:p w14:paraId="234FF17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12.3.1 计量原则</w:t>
      </w:r>
    </w:p>
    <w:p w14:paraId="58151FF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工程量计算规则：</w:t>
      </w:r>
      <w:r>
        <w:rPr>
          <w:rFonts w:hint="eastAsia" w:ascii="宋体" w:hAnsi="宋体" w:eastAsia="宋体" w:cs="宋体"/>
          <w:color w:val="auto"/>
          <w:u w:val="single"/>
        </w:rPr>
        <w:t>《建设工程工程量清单计价规范》（GB50500-2013）、《广西壮族自治区建筑装饰装修工程消耗量定额》（2013）、《广西壮族自治区安装工程消耗量定额》（2015）</w:t>
      </w:r>
      <w:r>
        <w:rPr>
          <w:rFonts w:hint="eastAsia" w:ascii="宋体" w:hAnsi="宋体" w:eastAsia="宋体" w:cs="宋体"/>
          <w:color w:val="auto"/>
        </w:rPr>
        <w:t>。</w:t>
      </w:r>
    </w:p>
    <w:p w14:paraId="4B6B060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12.3.2 计量周期</w:t>
      </w:r>
    </w:p>
    <w:p w14:paraId="3CC370E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关于计量周期的约定：按月计量。</w:t>
      </w:r>
    </w:p>
    <w:p w14:paraId="70A6257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12.3.3 单价合同的计量</w:t>
      </w:r>
    </w:p>
    <w:p w14:paraId="7CE03B0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关于单价合同计量的约定：</w:t>
      </w: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eastAsia="宋体" w:cs="宋体"/>
          <w:color w:val="auto"/>
        </w:rPr>
        <w:t xml:space="preserve">工程量清单所列的工程量，不能作为承包人按合同履行其责任依据，实际施工中发生的工程量增加或减少并不影响承包人履行合同的责任，工程结算以完成的实际工程量为准。 </w:t>
      </w:r>
    </w:p>
    <w:p w14:paraId="3F991AF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eastAsia="宋体" w:cs="宋体"/>
          <w:color w:val="auto"/>
        </w:rPr>
        <w:t xml:space="preserve">除另有规定外，工程师应按照合同通过计量来核实确定已完成的工程量和价款，承包人应得到该价款扣除保留金后的金额。当工程师要对已完工的工程量进行计量时，应适时地通知承包人参加。 </w:t>
      </w:r>
    </w:p>
    <w:p w14:paraId="27FA768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关于总价合同计量的约定：</w:t>
      </w:r>
      <w:r>
        <w:rPr>
          <w:rFonts w:hint="eastAsia" w:ascii="宋体" w:hAnsi="宋体" w:eastAsia="宋体" w:cs="宋体"/>
          <w:color w:val="auto"/>
          <w:u w:val="single"/>
        </w:rPr>
        <w:t>按完成分部分项和图纸</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如有</w:t>
      </w:r>
      <w:r>
        <w:rPr>
          <w:rFonts w:hint="eastAsia" w:ascii="宋体" w:hAnsi="宋体" w:eastAsia="宋体" w:cs="宋体"/>
          <w:color w:val="auto"/>
          <w:u w:val="single"/>
          <w:lang w:eastAsia="zh-CN"/>
        </w:rPr>
        <w:t>）</w:t>
      </w:r>
      <w:r>
        <w:rPr>
          <w:rFonts w:hint="eastAsia" w:ascii="宋体" w:hAnsi="宋体" w:eastAsia="宋体" w:cs="宋体"/>
          <w:color w:val="auto"/>
          <w:u w:val="single"/>
        </w:rPr>
        <w:t>内容计量</w:t>
      </w:r>
      <w:r>
        <w:rPr>
          <w:rFonts w:hint="eastAsia" w:ascii="宋体" w:hAnsi="宋体" w:eastAsia="宋体" w:cs="宋体"/>
          <w:color w:val="auto"/>
        </w:rPr>
        <w:t>。</w:t>
      </w:r>
    </w:p>
    <w:p w14:paraId="0272B40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default" w:ascii="宋体" w:hAnsi="宋体" w:eastAsia="宋体" w:cs="宋体"/>
          <w:color w:val="auto"/>
          <w:kern w:val="2"/>
          <w:sz w:val="21"/>
          <w:szCs w:val="21"/>
          <w:u w:val="none"/>
          <w:lang w:val="en-US" w:eastAsia="zh-CN" w:bidi="ar-SA"/>
        </w:rPr>
      </w:pPr>
      <w:r>
        <w:rPr>
          <w:rFonts w:hint="default" w:ascii="宋体" w:hAnsi="宋体" w:eastAsia="宋体" w:cs="宋体"/>
          <w:color w:val="auto"/>
          <w:kern w:val="2"/>
          <w:sz w:val="21"/>
          <w:szCs w:val="21"/>
          <w:u w:val="none"/>
          <w:lang w:val="en-US" w:eastAsia="zh-CN" w:bidi="ar-SA"/>
        </w:rPr>
        <w:t>12.3.4 总价合同的计量</w:t>
      </w:r>
    </w:p>
    <w:p w14:paraId="456DD1E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default" w:ascii="宋体" w:hAnsi="宋体" w:eastAsia="宋体" w:cs="宋体"/>
          <w:color w:val="auto"/>
          <w:kern w:val="2"/>
          <w:sz w:val="21"/>
          <w:szCs w:val="21"/>
          <w:u w:val="none"/>
          <w:lang w:val="en-US" w:eastAsia="zh-CN" w:bidi="ar-SA"/>
        </w:rPr>
      </w:pPr>
      <w:r>
        <w:rPr>
          <w:rFonts w:hint="default" w:ascii="宋体" w:hAnsi="宋体" w:eastAsia="宋体" w:cs="宋体"/>
          <w:color w:val="auto"/>
          <w:kern w:val="2"/>
          <w:sz w:val="21"/>
          <w:szCs w:val="21"/>
          <w:u w:val="none"/>
          <w:lang w:val="en-US" w:eastAsia="zh-CN" w:bidi="ar-SA"/>
        </w:rPr>
        <w:t>（1）总价合同计量约定：</w:t>
      </w:r>
      <w:r>
        <w:rPr>
          <w:rFonts w:hint="eastAsia" w:ascii="宋体" w:hAnsi="宋体" w:eastAsia="宋体" w:cs="宋体"/>
          <w:color w:val="auto"/>
          <w:kern w:val="2"/>
          <w:sz w:val="21"/>
          <w:szCs w:val="21"/>
          <w:u w:val="single"/>
          <w:lang w:val="en-US" w:eastAsia="zh-CN" w:bidi="ar-SA"/>
        </w:rPr>
        <w:t>按通用条款执行</w:t>
      </w:r>
      <w:r>
        <w:rPr>
          <w:rFonts w:hint="default" w:ascii="宋体" w:hAnsi="宋体" w:eastAsia="宋体" w:cs="宋体"/>
          <w:color w:val="auto"/>
          <w:kern w:val="2"/>
          <w:sz w:val="21"/>
          <w:szCs w:val="21"/>
          <w:u w:val="none"/>
          <w:lang w:val="en-US" w:eastAsia="zh-CN" w:bidi="ar-SA"/>
        </w:rPr>
        <w:t>。</w:t>
      </w:r>
    </w:p>
    <w:p w14:paraId="3ABF5F7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u w:val="single"/>
          <w:lang w:eastAsia="zh-CN"/>
        </w:rPr>
      </w:pPr>
      <w:r>
        <w:rPr>
          <w:rFonts w:hint="eastAsia" w:ascii="宋体" w:hAnsi="宋体" w:eastAsia="宋体" w:cs="宋体"/>
          <w:color w:val="auto"/>
        </w:rPr>
        <w:t>12.3.5综合单价合同采用支付分解表计量支付的，是否适用第12.3.4 项〔总价合同的计量〕约定进行计量：</w:t>
      </w:r>
      <w:r>
        <w:rPr>
          <w:rFonts w:hint="eastAsia" w:ascii="宋体" w:hAnsi="宋体" w:eastAsia="宋体" w:cs="宋体"/>
          <w:color w:val="auto"/>
          <w:u w:val="single"/>
        </w:rPr>
        <w:t>采用工程量清单方式招标形成的总价合同，即按工程进度支付</w:t>
      </w:r>
      <w:r>
        <w:rPr>
          <w:rFonts w:hint="eastAsia" w:ascii="宋体" w:hAnsi="宋体" w:eastAsia="宋体" w:cs="宋体"/>
          <w:color w:val="auto"/>
          <w:u w:val="none"/>
          <w:lang w:eastAsia="zh-CN"/>
        </w:rPr>
        <w:t>。</w:t>
      </w:r>
    </w:p>
    <w:p w14:paraId="3CD0420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12.3.6 其他价格形式合同的计量</w:t>
      </w:r>
    </w:p>
    <w:p w14:paraId="2279C5E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jc w:val="left"/>
        <w:textAlignment w:val="auto"/>
        <w:outlineLvl w:val="9"/>
        <w:rPr>
          <w:rFonts w:hint="eastAsia" w:ascii="宋体" w:hAnsi="宋体" w:eastAsia="宋体" w:cs="宋体"/>
          <w:color w:val="auto"/>
        </w:rPr>
      </w:pPr>
      <w:r>
        <w:rPr>
          <w:rFonts w:hint="eastAsia" w:ascii="宋体" w:hAnsi="宋体" w:eastAsia="宋体" w:cs="宋体"/>
          <w:color w:val="auto"/>
        </w:rPr>
        <w:t>其他价格形式的计量方式和程序：</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无</w:t>
      </w:r>
      <w:r>
        <w:rPr>
          <w:rFonts w:hint="eastAsia" w:ascii="宋体" w:hAnsi="宋体" w:eastAsia="宋体" w:cs="宋体"/>
          <w:color w:val="auto"/>
          <w:u w:val="single"/>
        </w:rPr>
        <w:t xml:space="preserve">  </w:t>
      </w:r>
      <w:r>
        <w:rPr>
          <w:rFonts w:hint="eastAsia" w:ascii="宋体" w:hAnsi="宋体" w:eastAsia="宋体" w:cs="宋体"/>
          <w:color w:val="auto"/>
        </w:rPr>
        <w:t>。</w:t>
      </w:r>
    </w:p>
    <w:p w14:paraId="762B4C4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754" w:name="_Toc455732962"/>
      <w:bookmarkStart w:id="755" w:name="_Toc373227752"/>
      <w:bookmarkStart w:id="756" w:name="_Toc373478399"/>
      <w:bookmarkStart w:id="757" w:name="_Toc389065317"/>
      <w:r>
        <w:rPr>
          <w:rFonts w:hint="eastAsia" w:ascii="宋体" w:hAnsi="宋体" w:eastAsia="宋体" w:cs="宋体"/>
          <w:color w:val="auto"/>
        </w:rPr>
        <w:t>12.4 工程进度款支付</w:t>
      </w:r>
      <w:bookmarkEnd w:id="754"/>
      <w:bookmarkEnd w:id="755"/>
      <w:bookmarkEnd w:id="756"/>
      <w:bookmarkEnd w:id="757"/>
    </w:p>
    <w:p w14:paraId="33E6DEF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12.4.1 付款周期</w:t>
      </w:r>
    </w:p>
    <w:p w14:paraId="4FEE175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关于付款周期的约定：</w:t>
      </w:r>
      <w:r>
        <w:rPr>
          <w:rFonts w:hint="eastAsia" w:ascii="宋体" w:hAnsi="宋体" w:eastAsia="宋体" w:cs="宋体"/>
          <w:color w:val="auto"/>
          <w:u w:val="single"/>
        </w:rPr>
        <w:t>支付周期应按工程进度计量周期保持一致</w:t>
      </w:r>
      <w:r>
        <w:rPr>
          <w:rFonts w:hint="eastAsia" w:ascii="宋体" w:hAnsi="宋体" w:eastAsia="宋体" w:cs="宋体"/>
          <w:color w:val="auto"/>
        </w:rPr>
        <w:t>。</w:t>
      </w:r>
    </w:p>
    <w:p w14:paraId="4D66CA6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rPr>
        <w:t xml:space="preserve">12.4.2 </w:t>
      </w:r>
      <w:r>
        <w:rPr>
          <w:rFonts w:hint="eastAsia" w:ascii="宋体" w:hAnsi="宋体" w:eastAsia="宋体" w:cs="宋体"/>
          <w:color w:val="auto"/>
          <w:lang w:val="en-US" w:eastAsia="zh-CN"/>
        </w:rPr>
        <w:t>进度付款申请单的编制</w:t>
      </w:r>
    </w:p>
    <w:p w14:paraId="108F9FC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关于进度付款申请单编制的约定：</w:t>
      </w:r>
      <w:r>
        <w:rPr>
          <w:rFonts w:hint="eastAsia" w:ascii="宋体" w:hAnsi="宋体" w:eastAsia="宋体" w:cs="宋体"/>
          <w:color w:val="auto"/>
          <w:u w:val="single"/>
          <w:lang w:val="en-US" w:eastAsia="zh-CN"/>
        </w:rPr>
        <w:t>每月25日前，按发包人提供的工程款进度付款申请材料格式和内容填报</w:t>
      </w:r>
      <w:r>
        <w:rPr>
          <w:rFonts w:hint="eastAsia" w:ascii="宋体" w:hAnsi="宋体" w:eastAsia="宋体" w:cs="宋体"/>
          <w:color w:val="auto"/>
          <w:lang w:val="en-US" w:eastAsia="zh-CN"/>
        </w:rPr>
        <w:t>。</w:t>
      </w:r>
    </w:p>
    <w:p w14:paraId="0C8764B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12.4.3 进度付款申请单的提交</w:t>
      </w:r>
    </w:p>
    <w:p w14:paraId="05DAB5A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（1）单价合同进度付款申请单提交的约定：</w:t>
      </w:r>
      <w:r>
        <w:rPr>
          <w:rFonts w:hint="eastAsia" w:ascii="宋体" w:hAnsi="宋体" w:eastAsia="宋体" w:cs="宋体"/>
          <w:color w:val="auto"/>
          <w:u w:val="single"/>
          <w:lang w:val="en-US" w:eastAsia="zh-CN"/>
        </w:rPr>
        <w:t>申请工程进度款时，承包人应配合发包人提供以下资料：①《工程用款支付证书》；②已完工程量计算书；③监理审核计算书；④其他需要补充说明的材料；⑤若乙方帐户变动，则须提交账户变更信息</w:t>
      </w:r>
      <w:r>
        <w:rPr>
          <w:rFonts w:hint="eastAsia" w:ascii="宋体" w:hAnsi="宋体" w:eastAsia="宋体" w:cs="宋体"/>
          <w:color w:val="auto"/>
          <w:lang w:val="en-US" w:eastAsia="zh-CN"/>
        </w:rPr>
        <w:t>。</w:t>
      </w:r>
    </w:p>
    <w:p w14:paraId="76D89C6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（2）总价合同进度付款申请单提交的约定：</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无</w:t>
      </w:r>
      <w:r>
        <w:rPr>
          <w:rFonts w:hint="eastAsia" w:ascii="宋体" w:hAnsi="宋体" w:eastAsia="宋体" w:cs="宋体"/>
          <w:color w:val="auto"/>
          <w:u w:val="single"/>
        </w:rPr>
        <w:t xml:space="preserve">  </w:t>
      </w:r>
      <w:r>
        <w:rPr>
          <w:rFonts w:hint="eastAsia" w:ascii="宋体" w:hAnsi="宋体" w:eastAsia="宋体" w:cs="宋体"/>
          <w:color w:val="auto"/>
          <w:lang w:val="en-US" w:eastAsia="zh-CN"/>
        </w:rPr>
        <w:t>。</w:t>
      </w:r>
    </w:p>
    <w:p w14:paraId="2C49BA8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（3）其他价格形式合同进度付款申请单提交的约定：</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无</w:t>
      </w:r>
      <w:r>
        <w:rPr>
          <w:rFonts w:hint="eastAsia" w:ascii="宋体" w:hAnsi="宋体" w:eastAsia="宋体" w:cs="宋体"/>
          <w:color w:val="auto"/>
          <w:u w:val="single"/>
        </w:rPr>
        <w:t xml:space="preserve">  </w:t>
      </w:r>
      <w:r>
        <w:rPr>
          <w:rFonts w:hint="eastAsia" w:ascii="宋体" w:hAnsi="宋体" w:eastAsia="宋体" w:cs="宋体"/>
          <w:color w:val="auto"/>
          <w:lang w:val="en-US" w:eastAsia="zh-CN"/>
        </w:rPr>
        <w:t>。</w:t>
      </w:r>
    </w:p>
    <w:p w14:paraId="0079E7E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u w:val="single"/>
        </w:rPr>
      </w:pPr>
      <w:r>
        <w:rPr>
          <w:rFonts w:hint="eastAsia" w:ascii="宋体" w:hAnsi="宋体" w:eastAsia="宋体" w:cs="宋体"/>
          <w:color w:val="auto"/>
        </w:rPr>
        <w:t>进度付款申请的约定：</w:t>
      </w:r>
      <w:r>
        <w:rPr>
          <w:rFonts w:hint="eastAsia" w:ascii="宋体" w:hAnsi="宋体" w:eastAsia="宋体" w:cs="宋体"/>
          <w:color w:val="auto"/>
          <w:u w:val="single"/>
          <w:lang w:val="en-US" w:eastAsia="zh-CN"/>
        </w:rPr>
        <w:t>进度款原则上按月支付，按工程进度造价的80%支付工程进度款，工程完工并通过各方验收合格后由建设单位按照相关要求委托第三方造价单位评审审定结算价后30天内支付至结算总价的97%，余下3%的工程款待缺陷责任期满项目不存在质量问题、承包人不存在任何违约情形之日起30日内不计息付清。缺陷责任期内，如工程出现质量问题，致使发包人权益受损的，发包人有权从余下工程款中扣除并要求承包人承担赔偿责任</w:t>
      </w:r>
      <w:r>
        <w:rPr>
          <w:rFonts w:hint="eastAsia" w:ascii="宋体" w:hAnsi="宋体" w:eastAsia="宋体" w:cs="宋体"/>
          <w:color w:val="auto"/>
          <w:u w:val="none"/>
        </w:rPr>
        <w:t>。</w:t>
      </w:r>
    </w:p>
    <w:p w14:paraId="6DA14BD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12.4.4 进度款审核和支付</w:t>
      </w:r>
    </w:p>
    <w:p w14:paraId="5A7DE18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（1）监理人审查并报送发包人的期限：</w:t>
      </w:r>
      <w:r>
        <w:rPr>
          <w:rFonts w:hint="eastAsia" w:ascii="宋体" w:hAnsi="宋体" w:eastAsia="宋体" w:cs="宋体"/>
          <w:color w:val="auto"/>
          <w:u w:val="single"/>
        </w:rPr>
        <w:t xml:space="preserve">  收到申请单后 7 天内  </w:t>
      </w:r>
      <w:r>
        <w:rPr>
          <w:rFonts w:hint="eastAsia" w:ascii="宋体" w:hAnsi="宋体" w:eastAsia="宋体" w:cs="宋体"/>
          <w:color w:val="auto"/>
        </w:rPr>
        <w:t>。</w:t>
      </w:r>
    </w:p>
    <w:p w14:paraId="191709D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发包人完成审批并签发进度款支付证书的期限：</w:t>
      </w:r>
      <w:r>
        <w:rPr>
          <w:rFonts w:hint="eastAsia" w:ascii="宋体" w:hAnsi="宋体" w:eastAsia="宋体" w:cs="宋体"/>
          <w:color w:val="auto"/>
          <w:u w:val="single"/>
        </w:rPr>
        <w:t>收到监理人的审核单后 10 天内审批完毕呈政府职能部门审定。收到政府部门的审定意见书后 10 天内签发进度款支付证书</w:t>
      </w:r>
      <w:r>
        <w:rPr>
          <w:rFonts w:hint="eastAsia" w:ascii="宋体" w:hAnsi="宋体" w:eastAsia="宋体" w:cs="宋体"/>
          <w:color w:val="auto"/>
        </w:rPr>
        <w:t xml:space="preserve"> 。</w:t>
      </w:r>
    </w:p>
    <w:p w14:paraId="352EEAE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（2）发包人支付进度款的期限：</w:t>
      </w:r>
      <w:r>
        <w:rPr>
          <w:rFonts w:hint="eastAsia" w:ascii="宋体" w:hAnsi="宋体" w:eastAsia="宋体" w:cs="宋体"/>
          <w:color w:val="auto"/>
          <w:u w:val="single"/>
        </w:rPr>
        <w:t>签发证书后14天内完成支付</w:t>
      </w:r>
      <w:r>
        <w:rPr>
          <w:rFonts w:hint="eastAsia" w:ascii="宋体" w:hAnsi="宋体" w:eastAsia="宋体" w:cs="宋体"/>
          <w:color w:val="auto"/>
        </w:rPr>
        <w:t>。</w:t>
      </w:r>
    </w:p>
    <w:p w14:paraId="7A6BD7C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u w:val="none"/>
        </w:rPr>
      </w:pPr>
      <w:r>
        <w:rPr>
          <w:rFonts w:hint="eastAsia" w:ascii="宋体" w:hAnsi="宋体" w:eastAsia="宋体" w:cs="宋体"/>
          <w:color w:val="auto"/>
        </w:rPr>
        <w:t>发包人逾期支付进度款的违约金的计算方式：</w:t>
      </w:r>
      <w:r>
        <w:rPr>
          <w:rFonts w:hint="eastAsia" w:ascii="宋体" w:hAnsi="宋体" w:eastAsia="宋体" w:cs="宋体"/>
          <w:color w:val="auto"/>
          <w:u w:val="single"/>
        </w:rPr>
        <w:t xml:space="preserve"> </w:t>
      </w:r>
      <w:r>
        <w:rPr>
          <w:rFonts w:hint="eastAsia"/>
          <w:color w:val="auto"/>
          <w:szCs w:val="21"/>
          <w:highlight w:val="none"/>
          <w:u w:val="single"/>
        </w:rPr>
        <w:t>无</w:t>
      </w:r>
      <w:r>
        <w:rPr>
          <w:rFonts w:hint="eastAsia"/>
          <w:color w:val="auto"/>
          <w:szCs w:val="21"/>
          <w:highlight w:val="none"/>
          <w:u w:val="single"/>
          <w:lang w:val="en-US" w:eastAsia="zh-CN"/>
        </w:rPr>
        <w:t xml:space="preserve"> </w:t>
      </w:r>
      <w:r>
        <w:rPr>
          <w:rFonts w:hint="eastAsia" w:ascii="宋体" w:hAnsi="宋体" w:eastAsia="宋体" w:cs="宋体"/>
          <w:color w:val="auto"/>
          <w:u w:val="none"/>
        </w:rPr>
        <w:t>。</w:t>
      </w:r>
    </w:p>
    <w:p w14:paraId="3E9C5EF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12.4.6 支付分解表的编制</w:t>
      </w:r>
    </w:p>
    <w:p w14:paraId="2DEA201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总价合同支付分解表的编制与审批：</w:t>
      </w:r>
      <w:r>
        <w:rPr>
          <w:rFonts w:hint="eastAsia" w:ascii="宋体" w:hAnsi="宋体" w:eastAsia="宋体" w:cs="宋体"/>
          <w:color w:val="auto"/>
          <w:u w:val="single"/>
        </w:rPr>
        <w:t xml:space="preserve"> 待定 </w:t>
      </w:r>
      <w:r>
        <w:rPr>
          <w:rFonts w:hint="eastAsia" w:ascii="宋体" w:hAnsi="宋体" w:eastAsia="宋体" w:cs="宋体"/>
          <w:color w:val="auto"/>
        </w:rPr>
        <w:t>。</w:t>
      </w:r>
    </w:p>
    <w:p w14:paraId="17532F1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lang w:eastAsia="zh-CN"/>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单价合同的总价项目支付分解表的编制与审批</w:t>
      </w:r>
      <w:r>
        <w:rPr>
          <w:rFonts w:hint="eastAsia" w:ascii="宋体" w:hAnsi="宋体" w:eastAsia="宋体" w:cs="宋体"/>
          <w:color w:val="auto"/>
          <w:lang w:eastAsia="zh-CN"/>
        </w:rPr>
        <w:t>：</w:t>
      </w:r>
      <w:r>
        <w:rPr>
          <w:rFonts w:hint="eastAsia" w:ascii="宋体" w:hAnsi="宋体" w:cs="宋体"/>
          <w:color w:val="auto"/>
          <w:u w:val="single"/>
          <w:lang w:val="en-US" w:eastAsia="zh-CN"/>
        </w:rPr>
        <w:t xml:space="preserve"> </w:t>
      </w:r>
      <w:r>
        <w:rPr>
          <w:rFonts w:hint="eastAsia" w:ascii="宋体" w:hAnsi="宋体" w:eastAsia="宋体" w:cs="宋体"/>
          <w:color w:val="auto"/>
          <w:u w:val="single"/>
          <w:lang w:eastAsia="zh-CN"/>
        </w:rPr>
        <w:t>总价项目不采用支付分解表的方式计算，而按《建设工程工程量清单计价规范（GB50500-2013）广西壮族自治区实施细则》的规定执行</w:t>
      </w:r>
      <w:r>
        <w:rPr>
          <w:rFonts w:hint="eastAsia" w:ascii="宋体" w:hAnsi="宋体" w:eastAsia="宋体" w:cs="宋体"/>
          <w:color w:val="auto"/>
          <w:lang w:eastAsia="zh-CN"/>
        </w:rPr>
        <w:t>。</w:t>
      </w:r>
    </w:p>
    <w:p w14:paraId="3F91A03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758" w:name="_Toc389065318"/>
      <w:bookmarkStart w:id="759" w:name="_Toc351203645"/>
      <w:bookmarkStart w:id="760" w:name="_Toc373227753"/>
      <w:bookmarkStart w:id="761" w:name="_Toc455732963"/>
      <w:bookmarkStart w:id="762" w:name="_Toc373478400"/>
      <w:bookmarkStart w:id="763" w:name="_Toc296346720"/>
      <w:bookmarkStart w:id="764" w:name="_Toc296347218"/>
      <w:bookmarkStart w:id="765" w:name="_Toc300935015"/>
      <w:bookmarkStart w:id="766" w:name="_Toc292559424"/>
      <w:bookmarkStart w:id="767" w:name="_Toc312678053"/>
      <w:bookmarkStart w:id="768" w:name="_Toc296891259"/>
      <w:bookmarkStart w:id="769" w:name="_Toc303539172"/>
      <w:bookmarkStart w:id="770" w:name="_Toc297120519"/>
      <w:bookmarkStart w:id="771" w:name="_Toc296503219"/>
      <w:bookmarkStart w:id="772" w:name="_Toc297048405"/>
      <w:bookmarkStart w:id="773" w:name="_Toc304295593"/>
      <w:bookmarkStart w:id="774" w:name="_Toc297123564"/>
      <w:bookmarkStart w:id="775" w:name="_Toc292559929"/>
      <w:bookmarkStart w:id="776" w:name="_Toc296944558"/>
      <w:bookmarkStart w:id="777" w:name="_Toc296891047"/>
      <w:bookmarkStart w:id="778" w:name="_Toc297216223"/>
      <w:r>
        <w:rPr>
          <w:rFonts w:hint="eastAsia" w:ascii="宋体" w:hAnsi="宋体" w:eastAsia="宋体" w:cs="宋体"/>
          <w:color w:val="auto"/>
        </w:rPr>
        <w:t>13. 验收和工程试车</w:t>
      </w:r>
      <w:bookmarkEnd w:id="758"/>
      <w:bookmarkEnd w:id="759"/>
      <w:bookmarkEnd w:id="760"/>
      <w:bookmarkEnd w:id="761"/>
      <w:bookmarkEnd w:id="762"/>
    </w:p>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7393733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779" w:name="_Toc373478401"/>
      <w:bookmarkStart w:id="780" w:name="_Toc455732964"/>
      <w:bookmarkStart w:id="781" w:name="_Toc389065319"/>
      <w:bookmarkStart w:id="782" w:name="_Toc373227754"/>
      <w:r>
        <w:rPr>
          <w:rFonts w:hint="eastAsia" w:ascii="宋体" w:hAnsi="宋体" w:eastAsia="宋体" w:cs="宋体"/>
          <w:color w:val="auto"/>
        </w:rPr>
        <w:t>13.1 分部分项工程验收</w:t>
      </w:r>
      <w:bookmarkEnd w:id="779"/>
      <w:bookmarkEnd w:id="780"/>
      <w:bookmarkEnd w:id="781"/>
      <w:bookmarkEnd w:id="782"/>
    </w:p>
    <w:p w14:paraId="0B9D3BF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13.1.2监理人不能按时进行验收时，应提前</w:t>
      </w:r>
      <w:r>
        <w:rPr>
          <w:rFonts w:hint="eastAsia" w:ascii="宋体" w:hAnsi="宋体" w:eastAsia="宋体" w:cs="宋体"/>
          <w:color w:val="auto"/>
          <w:u w:val="single"/>
        </w:rPr>
        <w:t xml:space="preserve"> 48 </w:t>
      </w:r>
      <w:r>
        <w:rPr>
          <w:rFonts w:hint="eastAsia" w:ascii="宋体" w:hAnsi="宋体" w:eastAsia="宋体" w:cs="宋体"/>
          <w:color w:val="auto"/>
        </w:rPr>
        <w:t>小时提交书面延期要求。</w:t>
      </w:r>
    </w:p>
    <w:p w14:paraId="2DB5CD4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关于延期最长不得超过：</w:t>
      </w:r>
      <w:r>
        <w:rPr>
          <w:rFonts w:hint="eastAsia" w:ascii="宋体" w:hAnsi="宋体" w:eastAsia="宋体" w:cs="宋体"/>
          <w:color w:val="auto"/>
          <w:u w:val="single"/>
        </w:rPr>
        <w:t xml:space="preserve"> 48 </w:t>
      </w:r>
      <w:r>
        <w:rPr>
          <w:rFonts w:hint="eastAsia" w:ascii="宋体" w:hAnsi="宋体" w:eastAsia="宋体" w:cs="宋体"/>
          <w:color w:val="auto"/>
        </w:rPr>
        <w:t>小时。</w:t>
      </w:r>
    </w:p>
    <w:p w14:paraId="05860B0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783" w:name="_Toc304295596"/>
      <w:bookmarkStart w:id="784" w:name="_Toc296347222"/>
      <w:bookmarkStart w:id="785" w:name="_Toc312678056"/>
      <w:bookmarkStart w:id="786" w:name="_Toc296944562"/>
      <w:bookmarkStart w:id="787" w:name="_Toc455732965"/>
      <w:bookmarkStart w:id="788" w:name="_Toc297216224"/>
      <w:bookmarkStart w:id="789" w:name="_Toc389065320"/>
      <w:bookmarkStart w:id="790" w:name="_Toc297120523"/>
      <w:bookmarkStart w:id="791" w:name="_Toc292559428"/>
      <w:bookmarkStart w:id="792" w:name="_Toc296346724"/>
      <w:bookmarkStart w:id="793" w:name="_Toc373227755"/>
      <w:bookmarkStart w:id="794" w:name="_Toc373478402"/>
      <w:bookmarkStart w:id="795" w:name="_Toc297048409"/>
      <w:bookmarkStart w:id="796" w:name="_Toc296891263"/>
      <w:bookmarkStart w:id="797" w:name="_Toc297123565"/>
      <w:bookmarkStart w:id="798" w:name="_Toc296503223"/>
      <w:bookmarkStart w:id="799" w:name="_Toc292559933"/>
      <w:bookmarkStart w:id="800" w:name="_Toc300935016"/>
      <w:bookmarkStart w:id="801" w:name="_Toc296891051"/>
      <w:bookmarkStart w:id="802" w:name="_Toc303539173"/>
      <w:r>
        <w:rPr>
          <w:rFonts w:hint="eastAsia" w:ascii="宋体" w:hAnsi="宋体" w:eastAsia="宋体" w:cs="宋体"/>
          <w:color w:val="auto"/>
        </w:rPr>
        <w:t>13.2 竣工验收</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Start w:id="803" w:name="_Toc280868704"/>
      <w:bookmarkStart w:id="804" w:name="_Toc280868705"/>
      <w:bookmarkStart w:id="805" w:name="_Toc280868706"/>
      <w:bookmarkStart w:id="806" w:name="_Toc280868707"/>
      <w:bookmarkStart w:id="807" w:name="_Toc280868708"/>
    </w:p>
    <w:p w14:paraId="4E3A3E0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13.2.2竣工验收程序</w:t>
      </w:r>
    </w:p>
    <w:bookmarkEnd w:id="803"/>
    <w:p w14:paraId="6115E63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 xml:space="preserve">关于竣工验收程序的约定： </w:t>
      </w:r>
      <w:r>
        <w:rPr>
          <w:rFonts w:hint="eastAsia" w:ascii="宋体" w:hAnsi="宋体" w:eastAsia="宋体" w:cs="宋体"/>
          <w:color w:val="auto"/>
          <w:u w:val="single"/>
        </w:rPr>
        <w:t>承包人准备的竣工验收资料齐全，并编制了竣工图（附电子文档） 后向监理人提出验收申请，预验收合格监理人签署同意验收后发包人在 30 天内组织有关部门竣工验收</w:t>
      </w:r>
      <w:r>
        <w:rPr>
          <w:rFonts w:hint="eastAsia" w:ascii="宋体" w:hAnsi="宋体" w:eastAsia="宋体" w:cs="宋体"/>
          <w:color w:val="auto"/>
        </w:rPr>
        <w:t>。</w:t>
      </w:r>
    </w:p>
    <w:p w14:paraId="36FACF5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发包人不按照本项约定组织竣工验收、颁发工程接收证书的违约金的计算方法：</w:t>
      </w:r>
      <w:r>
        <w:rPr>
          <w:rFonts w:hint="eastAsia" w:ascii="宋体" w:hAnsi="宋体" w:eastAsia="宋体" w:cs="宋体"/>
          <w:color w:val="auto"/>
          <w:u w:val="single"/>
        </w:rPr>
        <w:t>每天按剩余合同工程价款的万分之一支付违约金（剩余工程款×1‰），上限不超过所欠工程款的 5%</w:t>
      </w:r>
      <w:r>
        <w:rPr>
          <w:rFonts w:hint="eastAsia" w:ascii="宋体" w:hAnsi="宋体" w:cs="宋体"/>
          <w:color w:val="auto"/>
          <w:u w:val="single"/>
          <w:lang w:val="en-US" w:eastAsia="zh-CN"/>
        </w:rPr>
        <w:t xml:space="preserve"> </w:t>
      </w:r>
      <w:r>
        <w:rPr>
          <w:rFonts w:hint="eastAsia" w:ascii="宋体" w:hAnsi="宋体" w:eastAsia="宋体" w:cs="宋体"/>
          <w:color w:val="auto"/>
          <w:u w:val="none"/>
        </w:rPr>
        <w:t>。</w:t>
      </w:r>
    </w:p>
    <w:bookmarkEnd w:id="804"/>
    <w:p w14:paraId="3A1E4AD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13.2.5移交、接收全部与部分工程</w:t>
      </w:r>
    </w:p>
    <w:bookmarkEnd w:id="805"/>
    <w:p w14:paraId="7D3794E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承包人向发包人移交工程的期限：</w:t>
      </w:r>
      <w:r>
        <w:rPr>
          <w:rFonts w:hint="eastAsia" w:ascii="宋体" w:hAnsi="宋体" w:eastAsia="宋体" w:cs="宋体"/>
          <w:color w:val="auto"/>
          <w:u w:val="single"/>
        </w:rPr>
        <w:t xml:space="preserve"> 竣工验收合格后 10 天内 </w:t>
      </w:r>
      <w:r>
        <w:rPr>
          <w:rFonts w:hint="eastAsia" w:ascii="宋体" w:hAnsi="宋体" w:eastAsia="宋体" w:cs="宋体"/>
          <w:color w:val="auto"/>
        </w:rPr>
        <w:t>。</w:t>
      </w:r>
    </w:p>
    <w:p w14:paraId="3EF0056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发包人未按本合同约定接收全部或部分工程的，违约金的计算方法为：</w:t>
      </w:r>
      <w:r>
        <w:rPr>
          <w:rFonts w:hint="eastAsia" w:ascii="宋体" w:hAnsi="宋体" w:eastAsia="宋体" w:cs="宋体"/>
          <w:color w:val="auto"/>
          <w:u w:val="single"/>
        </w:rPr>
        <w:t xml:space="preserve">每日按 10000 元支付违约金，总额不超过合同价的 5% </w:t>
      </w:r>
      <w:r>
        <w:rPr>
          <w:rFonts w:hint="eastAsia" w:ascii="宋体" w:hAnsi="宋体" w:eastAsia="宋体" w:cs="宋体"/>
          <w:color w:val="auto"/>
        </w:rPr>
        <w:t>。</w:t>
      </w:r>
    </w:p>
    <w:bookmarkEnd w:id="806"/>
    <w:p w14:paraId="60E10A9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承包人未按时移交工程的，违约金的计算方法为：</w:t>
      </w:r>
      <w:r>
        <w:rPr>
          <w:rFonts w:hint="eastAsia" w:ascii="宋体" w:hAnsi="宋体" w:eastAsia="宋体" w:cs="宋体"/>
          <w:color w:val="auto"/>
          <w:u w:val="single"/>
        </w:rPr>
        <w:t xml:space="preserve"> 每日按 10000 元支付违约金，总额不超过合同价的 5% </w:t>
      </w:r>
      <w:r>
        <w:rPr>
          <w:rFonts w:hint="eastAsia" w:ascii="宋体" w:hAnsi="宋体" w:eastAsia="宋体" w:cs="宋体"/>
          <w:color w:val="auto"/>
        </w:rPr>
        <w:t>。</w:t>
      </w:r>
    </w:p>
    <w:p w14:paraId="7FCC39A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08" w:name="_Toc389065321"/>
      <w:bookmarkStart w:id="809" w:name="_Toc373227756"/>
      <w:bookmarkStart w:id="810" w:name="_Toc455732966"/>
      <w:bookmarkStart w:id="811" w:name="_Toc373478403"/>
      <w:r>
        <w:rPr>
          <w:rFonts w:hint="eastAsia" w:ascii="宋体" w:hAnsi="宋体" w:eastAsia="宋体" w:cs="宋体"/>
          <w:color w:val="auto"/>
        </w:rPr>
        <w:t>13.3 工程试车</w:t>
      </w:r>
      <w:bookmarkEnd w:id="808"/>
      <w:bookmarkEnd w:id="809"/>
      <w:bookmarkEnd w:id="810"/>
      <w:bookmarkEnd w:id="811"/>
    </w:p>
    <w:bookmarkEnd w:id="807"/>
    <w:p w14:paraId="3D0A657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13.3.1 试车程序</w:t>
      </w:r>
    </w:p>
    <w:p w14:paraId="69A2247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 xml:space="preserve">工程试车内容： </w:t>
      </w:r>
      <w:r>
        <w:rPr>
          <w:rFonts w:hint="eastAsia" w:ascii="宋体" w:hAnsi="宋体" w:eastAsia="宋体" w:cs="宋体"/>
          <w:color w:val="auto"/>
          <w:u w:val="single"/>
        </w:rPr>
        <w:t xml:space="preserve">  / </w:t>
      </w:r>
      <w:r>
        <w:rPr>
          <w:rFonts w:hint="eastAsia" w:ascii="宋体" w:hAnsi="宋体" w:eastAsia="宋体" w:cs="宋体"/>
          <w:color w:val="auto"/>
        </w:rPr>
        <w:t xml:space="preserve"> 。</w:t>
      </w:r>
    </w:p>
    <w:p w14:paraId="5082514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（1）单机无负荷试车费用由</w:t>
      </w:r>
      <w:r>
        <w:rPr>
          <w:rFonts w:hint="eastAsia" w:ascii="宋体" w:hAnsi="宋体" w:cs="宋体"/>
          <w:color w:val="auto"/>
          <w:u w:val="single"/>
          <w:lang w:val="en-US" w:eastAsia="zh-CN"/>
        </w:rPr>
        <w:t xml:space="preserve"> </w:t>
      </w:r>
      <w:r>
        <w:rPr>
          <w:rFonts w:hint="eastAsia" w:ascii="宋体" w:hAnsi="宋体" w:eastAsia="宋体" w:cs="宋体"/>
          <w:color w:val="auto"/>
          <w:u w:val="single"/>
        </w:rPr>
        <w:t xml:space="preserve"> /  </w:t>
      </w:r>
      <w:r>
        <w:rPr>
          <w:rFonts w:hint="eastAsia" w:ascii="宋体" w:hAnsi="宋体" w:eastAsia="宋体" w:cs="宋体"/>
          <w:color w:val="auto"/>
        </w:rPr>
        <w:t>承担；</w:t>
      </w:r>
    </w:p>
    <w:p w14:paraId="4C4D611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（2）无负荷联动试车费用由</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承担。</w:t>
      </w:r>
    </w:p>
    <w:p w14:paraId="041AA75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13.3.3 投料试车</w:t>
      </w:r>
    </w:p>
    <w:p w14:paraId="40D1E2B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关于投料试车相关事项的约定：</w:t>
      </w:r>
      <w:r>
        <w:rPr>
          <w:rFonts w:hint="eastAsia" w:ascii="宋体" w:hAnsi="宋体" w:eastAsia="宋体" w:cs="宋体"/>
          <w:color w:val="auto"/>
          <w:u w:val="single"/>
        </w:rPr>
        <w:t xml:space="preserve"> / </w:t>
      </w:r>
      <w:r>
        <w:rPr>
          <w:rFonts w:hint="eastAsia" w:ascii="宋体" w:hAnsi="宋体" w:eastAsia="宋体" w:cs="宋体"/>
          <w:color w:val="auto"/>
        </w:rPr>
        <w:t>。</w:t>
      </w:r>
    </w:p>
    <w:p w14:paraId="38D79CA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12" w:name="_Toc373227757"/>
      <w:bookmarkStart w:id="813" w:name="_Toc389065322"/>
      <w:bookmarkStart w:id="814" w:name="_Toc373478404"/>
      <w:bookmarkStart w:id="815" w:name="_Toc455732967"/>
      <w:r>
        <w:rPr>
          <w:rFonts w:hint="eastAsia" w:ascii="宋体" w:hAnsi="宋体" w:eastAsia="宋体" w:cs="宋体"/>
          <w:color w:val="auto"/>
        </w:rPr>
        <w:t>13.6 竣工退场</w:t>
      </w:r>
      <w:bookmarkEnd w:id="812"/>
      <w:bookmarkEnd w:id="813"/>
      <w:bookmarkEnd w:id="814"/>
      <w:bookmarkEnd w:id="815"/>
    </w:p>
    <w:p w14:paraId="2ED6592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13.6.1 竣工退场</w:t>
      </w:r>
    </w:p>
    <w:p w14:paraId="74C0EDF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承包人完成竣工退场的期限：</w:t>
      </w:r>
      <w:r>
        <w:rPr>
          <w:rFonts w:hint="eastAsia" w:ascii="宋体" w:hAnsi="宋体" w:eastAsia="宋体" w:cs="宋体"/>
          <w:color w:val="auto"/>
          <w:u w:val="single"/>
        </w:rPr>
        <w:t>竣工验收合格 30 天内</w:t>
      </w:r>
      <w:r>
        <w:rPr>
          <w:rFonts w:hint="eastAsia" w:ascii="宋体" w:hAnsi="宋体" w:eastAsia="宋体" w:cs="宋体"/>
          <w:color w:val="auto"/>
        </w:rPr>
        <w:t>。</w:t>
      </w:r>
    </w:p>
    <w:p w14:paraId="700C02D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16" w:name="_Toc351203646"/>
      <w:bookmarkStart w:id="817" w:name="_Toc389065323"/>
      <w:bookmarkStart w:id="818" w:name="_Toc455732968"/>
      <w:bookmarkStart w:id="819" w:name="_Toc373478405"/>
      <w:bookmarkStart w:id="820" w:name="_Toc373227758"/>
      <w:r>
        <w:rPr>
          <w:rFonts w:hint="eastAsia" w:ascii="宋体" w:hAnsi="宋体" w:eastAsia="宋体" w:cs="宋体"/>
          <w:color w:val="auto"/>
        </w:rPr>
        <w:t>14. 竣工结算</w:t>
      </w:r>
      <w:bookmarkEnd w:id="816"/>
      <w:bookmarkEnd w:id="817"/>
      <w:bookmarkEnd w:id="818"/>
      <w:bookmarkEnd w:id="819"/>
      <w:bookmarkEnd w:id="820"/>
    </w:p>
    <w:p w14:paraId="386BAA3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21" w:name="_Toc389065324"/>
      <w:bookmarkStart w:id="822" w:name="_Toc373227759"/>
      <w:bookmarkStart w:id="823" w:name="_Toc373478406"/>
      <w:bookmarkStart w:id="824" w:name="_Toc455732969"/>
      <w:r>
        <w:rPr>
          <w:rFonts w:hint="eastAsia" w:ascii="宋体" w:hAnsi="宋体" w:eastAsia="宋体" w:cs="宋体"/>
          <w:color w:val="auto"/>
        </w:rPr>
        <w:t>14.1 竣工付款申请</w:t>
      </w:r>
      <w:bookmarkEnd w:id="821"/>
      <w:bookmarkEnd w:id="822"/>
      <w:bookmarkEnd w:id="823"/>
      <w:bookmarkEnd w:id="824"/>
    </w:p>
    <w:p w14:paraId="71B8CC2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承包人提交竣工付款申请单的期限：</w:t>
      </w:r>
      <w:r>
        <w:rPr>
          <w:rFonts w:hint="eastAsia" w:ascii="宋体" w:hAnsi="宋体" w:eastAsia="宋体" w:cs="宋体"/>
          <w:color w:val="auto"/>
          <w:u w:val="single"/>
        </w:rPr>
        <w:t>竣工验收合格后 60 天内</w:t>
      </w:r>
      <w:r>
        <w:rPr>
          <w:rFonts w:hint="eastAsia" w:ascii="宋体" w:hAnsi="宋体" w:eastAsia="宋体" w:cs="宋体"/>
          <w:color w:val="auto"/>
        </w:rPr>
        <w:t>。</w:t>
      </w:r>
    </w:p>
    <w:p w14:paraId="21A32D1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竣工付款申请单应包括的内容：</w:t>
      </w:r>
      <w:r>
        <w:rPr>
          <w:rFonts w:hint="eastAsia" w:ascii="宋体" w:hAnsi="宋体" w:eastAsia="宋体" w:cs="宋体"/>
          <w:color w:val="auto"/>
          <w:u w:val="single"/>
        </w:rPr>
        <w:t>结算书、签证资料、竣工图、会议纪要、施工组织设计、多项施工方案、</w:t>
      </w:r>
      <w:r>
        <w:rPr>
          <w:rFonts w:hint="eastAsia" w:ascii="宋体" w:hAnsi="宋体" w:cs="宋体"/>
          <w:color w:val="auto"/>
          <w:u w:val="single"/>
          <w:lang w:val="en-US" w:eastAsia="zh-CN"/>
        </w:rPr>
        <w:t>采购</w:t>
      </w:r>
      <w:r>
        <w:rPr>
          <w:rFonts w:hint="eastAsia" w:ascii="宋体" w:hAnsi="宋体" w:eastAsia="宋体" w:cs="宋体"/>
          <w:color w:val="auto"/>
          <w:u w:val="single"/>
        </w:rPr>
        <w:t>文件、</w:t>
      </w:r>
      <w:r>
        <w:rPr>
          <w:rFonts w:hint="eastAsia" w:ascii="宋体" w:hAnsi="宋体" w:cs="宋体"/>
          <w:color w:val="auto"/>
          <w:u w:val="single"/>
          <w:lang w:val="en-US" w:eastAsia="zh-CN"/>
        </w:rPr>
        <w:t>响应</w:t>
      </w:r>
      <w:r>
        <w:rPr>
          <w:rFonts w:hint="eastAsia" w:ascii="宋体" w:hAnsi="宋体" w:eastAsia="宋体" w:cs="宋体"/>
          <w:color w:val="auto"/>
          <w:u w:val="single"/>
        </w:rPr>
        <w:t>文件、施工合同、施工日记等，并应符合审计部门的要求</w:t>
      </w:r>
      <w:r>
        <w:rPr>
          <w:rFonts w:hint="eastAsia" w:ascii="宋体" w:hAnsi="宋体" w:eastAsia="宋体" w:cs="宋体"/>
          <w:color w:val="auto"/>
        </w:rPr>
        <w:t>。</w:t>
      </w:r>
    </w:p>
    <w:p w14:paraId="2419ACE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25" w:name="_Toc389065325"/>
      <w:bookmarkStart w:id="826" w:name="_Toc373478407"/>
      <w:bookmarkStart w:id="827" w:name="_Toc455732970"/>
      <w:bookmarkStart w:id="828" w:name="_Toc373227760"/>
      <w:r>
        <w:rPr>
          <w:rFonts w:hint="eastAsia" w:ascii="宋体" w:hAnsi="宋体" w:eastAsia="宋体" w:cs="宋体"/>
          <w:color w:val="auto"/>
        </w:rPr>
        <w:t>14.2 竣工结算审核</w:t>
      </w:r>
      <w:bookmarkEnd w:id="825"/>
      <w:bookmarkEnd w:id="826"/>
      <w:bookmarkEnd w:id="827"/>
      <w:bookmarkEnd w:id="828"/>
    </w:p>
    <w:p w14:paraId="7287BD7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发包人审批竣工付款申请单的期限：</w:t>
      </w:r>
      <w:r>
        <w:rPr>
          <w:rFonts w:hint="eastAsia" w:ascii="宋体" w:hAnsi="宋体" w:eastAsia="宋体" w:cs="宋体"/>
          <w:color w:val="auto"/>
          <w:u w:val="single"/>
        </w:rPr>
        <w:t>收到竣工付款申请单28天内</w:t>
      </w:r>
      <w:r>
        <w:rPr>
          <w:rFonts w:hint="eastAsia" w:ascii="宋体" w:hAnsi="宋体" w:eastAsia="宋体" w:cs="宋体"/>
          <w:color w:val="auto"/>
        </w:rPr>
        <w:t>。</w:t>
      </w:r>
    </w:p>
    <w:p w14:paraId="24E794E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发包人完成竣工付款的期限：</w:t>
      </w:r>
      <w:r>
        <w:rPr>
          <w:rFonts w:hint="eastAsia" w:ascii="宋体" w:hAnsi="宋体" w:eastAsia="宋体" w:cs="宋体"/>
          <w:color w:val="auto"/>
          <w:u w:val="single"/>
        </w:rPr>
        <w:t>签发竣工付款申请单28天内</w:t>
      </w:r>
      <w:r>
        <w:rPr>
          <w:rFonts w:hint="eastAsia" w:ascii="宋体" w:hAnsi="宋体" w:eastAsia="宋体" w:cs="宋体"/>
          <w:color w:val="auto"/>
        </w:rPr>
        <w:t>。</w:t>
      </w:r>
    </w:p>
    <w:p w14:paraId="7547673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关于竣工付款证书异议部分复核的方式和程序：</w:t>
      </w:r>
      <w:r>
        <w:rPr>
          <w:rFonts w:hint="eastAsia" w:ascii="宋体" w:hAnsi="宋体" w:eastAsia="宋体" w:cs="宋体"/>
          <w:color w:val="auto"/>
          <w:u w:val="single"/>
        </w:rPr>
        <w:t>执行通用条款</w:t>
      </w:r>
      <w:r>
        <w:rPr>
          <w:rFonts w:hint="eastAsia" w:ascii="宋体" w:hAnsi="宋体" w:eastAsia="宋体" w:cs="宋体"/>
          <w:color w:val="auto"/>
        </w:rPr>
        <w:t>。</w:t>
      </w:r>
    </w:p>
    <w:p w14:paraId="05DBE4C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29" w:name="_Toc455732971"/>
      <w:bookmarkStart w:id="830" w:name="_Toc373227761"/>
      <w:bookmarkStart w:id="831" w:name="_Toc389065326"/>
      <w:bookmarkStart w:id="832" w:name="_Toc373478408"/>
      <w:r>
        <w:rPr>
          <w:rFonts w:hint="eastAsia" w:ascii="宋体" w:hAnsi="宋体" w:eastAsia="宋体" w:cs="宋体"/>
          <w:color w:val="auto"/>
        </w:rPr>
        <w:t>14.4 最终结清</w:t>
      </w:r>
      <w:bookmarkEnd w:id="829"/>
      <w:bookmarkEnd w:id="830"/>
      <w:bookmarkEnd w:id="831"/>
      <w:bookmarkEnd w:id="832"/>
    </w:p>
    <w:p w14:paraId="0A08F5D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14.4.1 最终结清申请单</w:t>
      </w:r>
    </w:p>
    <w:p w14:paraId="1F195A1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承包人提交最终结清申请单的份数：</w:t>
      </w:r>
      <w:r>
        <w:rPr>
          <w:rFonts w:hint="eastAsia" w:ascii="宋体" w:hAnsi="宋体" w:eastAsia="宋体" w:cs="宋体"/>
          <w:color w:val="auto"/>
          <w:u w:val="single"/>
        </w:rPr>
        <w:t>一式肆份</w:t>
      </w:r>
      <w:r>
        <w:rPr>
          <w:rFonts w:hint="eastAsia" w:ascii="宋体" w:hAnsi="宋体" w:eastAsia="宋体" w:cs="宋体"/>
          <w:color w:val="auto"/>
        </w:rPr>
        <w:t>。</w:t>
      </w:r>
    </w:p>
    <w:p w14:paraId="094F332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承包人提交最终结算申请单的期限：</w:t>
      </w:r>
      <w:r>
        <w:rPr>
          <w:rFonts w:hint="eastAsia" w:ascii="宋体" w:hAnsi="宋体" w:eastAsia="宋体" w:cs="宋体"/>
          <w:color w:val="auto"/>
          <w:u w:val="single"/>
        </w:rPr>
        <w:t>审计结论出后 30 天内</w:t>
      </w:r>
      <w:r>
        <w:rPr>
          <w:rFonts w:hint="eastAsia" w:ascii="宋体" w:hAnsi="宋体" w:eastAsia="宋体" w:cs="宋体"/>
          <w:color w:val="auto"/>
        </w:rPr>
        <w:t xml:space="preserve">。 </w:t>
      </w:r>
    </w:p>
    <w:p w14:paraId="12F6F0C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14.4.2 最终结清证书和支付</w:t>
      </w:r>
    </w:p>
    <w:p w14:paraId="1E3CCDA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（1）发包人完成最终结清申请单的审批并颁发最终结清证书的期限：</w:t>
      </w:r>
      <w:r>
        <w:rPr>
          <w:rFonts w:hint="eastAsia" w:ascii="宋体" w:hAnsi="宋体" w:eastAsia="宋体" w:cs="宋体"/>
          <w:color w:val="auto"/>
          <w:u w:val="single"/>
        </w:rPr>
        <w:t>经市政府职能部门审定后30天内</w:t>
      </w:r>
      <w:r>
        <w:rPr>
          <w:rFonts w:hint="eastAsia" w:ascii="宋体" w:hAnsi="宋体" w:eastAsia="宋体" w:cs="宋体"/>
          <w:color w:val="auto"/>
        </w:rPr>
        <w:t>。</w:t>
      </w:r>
    </w:p>
    <w:p w14:paraId="2B051C5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（2）发包人完成支付的期限：</w:t>
      </w:r>
      <w:r>
        <w:rPr>
          <w:rFonts w:hint="eastAsia" w:ascii="宋体" w:hAnsi="宋体" w:eastAsia="宋体" w:cs="宋体"/>
          <w:color w:val="auto"/>
          <w:u w:val="single"/>
        </w:rPr>
        <w:t>政府职能部门审定后 45 天内</w:t>
      </w:r>
      <w:r>
        <w:rPr>
          <w:rFonts w:hint="eastAsia" w:ascii="宋体" w:hAnsi="宋体" w:eastAsia="宋体" w:cs="宋体"/>
          <w:color w:val="auto"/>
        </w:rPr>
        <w:t>。</w:t>
      </w:r>
    </w:p>
    <w:p w14:paraId="7B0E613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33" w:name="_Toc455732972"/>
      <w:bookmarkStart w:id="834" w:name="_Toc373227762"/>
      <w:bookmarkStart w:id="835" w:name="_Toc351203647"/>
      <w:bookmarkStart w:id="836" w:name="_Toc389065327"/>
      <w:bookmarkStart w:id="837" w:name="_Toc373478409"/>
      <w:bookmarkStart w:id="838" w:name="_Toc267251483"/>
      <w:bookmarkStart w:id="839" w:name="_Toc267251482"/>
      <w:bookmarkStart w:id="840" w:name="_Toc267251484"/>
      <w:bookmarkStart w:id="841" w:name="_Toc267251485"/>
      <w:r>
        <w:rPr>
          <w:rFonts w:hint="eastAsia" w:ascii="宋体" w:hAnsi="宋体" w:eastAsia="宋体" w:cs="宋体"/>
          <w:color w:val="auto"/>
        </w:rPr>
        <w:t>15. 缺陷责任期与保修</w:t>
      </w:r>
      <w:bookmarkEnd w:id="833"/>
      <w:bookmarkEnd w:id="834"/>
      <w:bookmarkEnd w:id="835"/>
      <w:bookmarkEnd w:id="836"/>
      <w:bookmarkEnd w:id="837"/>
    </w:p>
    <w:p w14:paraId="1A4FC92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42" w:name="_Toc455732973"/>
      <w:bookmarkStart w:id="843" w:name="_Toc389065328"/>
      <w:bookmarkStart w:id="844" w:name="_Toc373227763"/>
      <w:bookmarkStart w:id="845" w:name="_Toc373478410"/>
      <w:r>
        <w:rPr>
          <w:rFonts w:hint="eastAsia" w:ascii="宋体" w:hAnsi="宋体" w:eastAsia="宋体" w:cs="宋体"/>
          <w:color w:val="auto"/>
        </w:rPr>
        <w:t>15.2 缺陷责任期</w:t>
      </w:r>
      <w:bookmarkEnd w:id="838"/>
      <w:bookmarkEnd w:id="842"/>
      <w:bookmarkEnd w:id="843"/>
      <w:bookmarkEnd w:id="844"/>
      <w:bookmarkEnd w:id="845"/>
    </w:p>
    <w:p w14:paraId="1F45662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u w:val="single"/>
          <w:lang w:val="en-US" w:eastAsia="zh-CN"/>
        </w:rPr>
      </w:pPr>
      <w:r>
        <w:rPr>
          <w:rFonts w:hint="eastAsia" w:ascii="宋体" w:hAnsi="宋体" w:eastAsia="宋体" w:cs="宋体"/>
          <w:color w:val="auto"/>
        </w:rPr>
        <w:t>缺陷责任期的具体期限：</w:t>
      </w:r>
      <w:r>
        <w:rPr>
          <w:rFonts w:hint="eastAsia" w:ascii="宋体" w:hAnsi="宋体" w:eastAsia="宋体" w:cs="宋体"/>
          <w:color w:val="auto"/>
          <w:u w:val="single"/>
          <w:lang w:val="en-US" w:eastAsia="zh-CN"/>
        </w:rPr>
        <w:t xml:space="preserve"> 24个月，缺陷责任期自工程竣工验收合格之日起计算。单位工程先于全部工程进行验收，单位工程缺陷责任期自单位工程验收合格之日起算。</w:t>
      </w:r>
    </w:p>
    <w:p w14:paraId="529D841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u w:val="single"/>
          <w:lang w:val="en-US" w:eastAsia="zh-CN"/>
        </w:rPr>
        <w:t>特别说明：白蚁防治工程包治期：5年（1年施工期，4年维护保养期）</w:t>
      </w:r>
      <w:r>
        <w:rPr>
          <w:rFonts w:hint="eastAsia" w:ascii="宋体" w:hAnsi="宋体" w:eastAsia="宋体" w:cs="宋体"/>
          <w:color w:val="auto"/>
          <w:u w:val="single"/>
        </w:rPr>
        <w:t xml:space="preserve"> </w:t>
      </w:r>
      <w:r>
        <w:rPr>
          <w:rFonts w:hint="eastAsia" w:ascii="宋体" w:hAnsi="宋体" w:eastAsia="宋体" w:cs="宋体"/>
          <w:color w:val="auto"/>
        </w:rPr>
        <w:t>。</w:t>
      </w:r>
    </w:p>
    <w:p w14:paraId="028DA1F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46" w:name="_Toc373478411"/>
      <w:bookmarkStart w:id="847" w:name="_Toc455732974"/>
      <w:bookmarkStart w:id="848" w:name="_Toc389065329"/>
      <w:bookmarkStart w:id="849" w:name="_Toc373227764"/>
      <w:r>
        <w:rPr>
          <w:rFonts w:hint="eastAsia" w:ascii="宋体" w:hAnsi="宋体" w:eastAsia="宋体" w:cs="宋体"/>
          <w:color w:val="auto"/>
        </w:rPr>
        <w:t>15.3 质量保证金</w:t>
      </w:r>
      <w:bookmarkEnd w:id="846"/>
      <w:bookmarkEnd w:id="847"/>
      <w:bookmarkEnd w:id="848"/>
      <w:bookmarkEnd w:id="849"/>
    </w:p>
    <w:p w14:paraId="1A3431D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关于是否扣留质量保证金的约定：</w:t>
      </w:r>
      <w:r>
        <w:rPr>
          <w:rFonts w:hint="eastAsia" w:ascii="宋体" w:hAnsi="宋体" w:eastAsia="宋体" w:cs="宋体"/>
          <w:color w:val="auto"/>
          <w:u w:val="single"/>
        </w:rPr>
        <w:t xml:space="preserve"> 按合同价3%扣留 </w:t>
      </w:r>
      <w:r>
        <w:rPr>
          <w:rFonts w:hint="eastAsia" w:ascii="宋体" w:hAnsi="宋体" w:eastAsia="宋体" w:cs="宋体"/>
          <w:color w:val="auto"/>
        </w:rPr>
        <w:t>。</w:t>
      </w:r>
    </w:p>
    <w:p w14:paraId="1127B9E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在工程项目竣工前，承包人按专用合同条款第3.7条提供履约担保的，发包人不得同时预留工程质量保证金。</w:t>
      </w:r>
    </w:p>
    <w:p w14:paraId="2CFEB42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15.3.1 承包人提供质量保证金的方式</w:t>
      </w:r>
    </w:p>
    <w:p w14:paraId="351D07D5">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质量保证金采用以下第2种方式：</w:t>
      </w:r>
    </w:p>
    <w:p w14:paraId="2BDD0A4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（1）质量保证金保函，保证金额为：</w:t>
      </w:r>
      <w:r>
        <w:rPr>
          <w:rFonts w:hint="eastAsia" w:ascii="宋体" w:hAnsi="宋体" w:eastAsia="宋体" w:cs="宋体"/>
          <w:color w:val="auto"/>
          <w:u w:val="single"/>
        </w:rPr>
        <w:t xml:space="preserve"> / </w:t>
      </w:r>
      <w:r>
        <w:rPr>
          <w:rFonts w:hint="eastAsia" w:ascii="宋体" w:hAnsi="宋体" w:eastAsia="宋体" w:cs="宋体"/>
          <w:color w:val="auto"/>
        </w:rPr>
        <w:t>；</w:t>
      </w:r>
    </w:p>
    <w:p w14:paraId="78E843E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3  </w:t>
      </w:r>
      <w:r>
        <w:rPr>
          <w:rFonts w:hint="eastAsia" w:ascii="宋体" w:hAnsi="宋体" w:eastAsia="宋体" w:cs="宋体"/>
          <w:color w:val="auto"/>
        </w:rPr>
        <w:t>%的工程款；</w:t>
      </w:r>
    </w:p>
    <w:p w14:paraId="7AD0CA3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（3）其他方式：</w:t>
      </w:r>
      <w:r>
        <w:rPr>
          <w:rFonts w:hint="eastAsia" w:ascii="宋体" w:hAnsi="宋体" w:eastAsia="宋体" w:cs="宋体"/>
          <w:color w:val="auto"/>
          <w:u w:val="single"/>
        </w:rPr>
        <w:t xml:space="preserve">  /   </w:t>
      </w:r>
      <w:r>
        <w:rPr>
          <w:rFonts w:hint="eastAsia" w:ascii="宋体" w:hAnsi="宋体" w:eastAsia="宋体" w:cs="宋体"/>
          <w:color w:val="auto"/>
        </w:rPr>
        <w:t>。</w:t>
      </w:r>
    </w:p>
    <w:p w14:paraId="2B94F40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15.3.2 质量保证金的扣留</w:t>
      </w:r>
    </w:p>
    <w:p w14:paraId="0F9B155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质量保证金的扣留采取以下第</w:t>
      </w:r>
      <w:r>
        <w:rPr>
          <w:rFonts w:hint="eastAsia" w:ascii="宋体" w:hAnsi="宋体" w:eastAsia="宋体" w:cs="宋体"/>
          <w:color w:val="auto"/>
          <w:u w:val="single"/>
        </w:rPr>
        <w:t xml:space="preserve">  2  </w:t>
      </w:r>
      <w:r>
        <w:rPr>
          <w:rFonts w:hint="eastAsia" w:ascii="宋体" w:hAnsi="宋体" w:eastAsia="宋体" w:cs="宋体"/>
          <w:color w:val="auto"/>
        </w:rPr>
        <w:t>种方式：</w:t>
      </w:r>
    </w:p>
    <w:p w14:paraId="400D0FE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（1）在支付工程进度款时逐次扣留，在此情形下，质量保证金的计算基数不包括预付款的支付、扣回以及价格调整的金额；</w:t>
      </w:r>
    </w:p>
    <w:p w14:paraId="5C69502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（2）工程竣工结算时一次性扣留质量保证金；</w:t>
      </w:r>
    </w:p>
    <w:p w14:paraId="123E14D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 xml:space="preserve">（3）其他扣留方式: </w:t>
      </w:r>
      <w:r>
        <w:rPr>
          <w:rFonts w:hint="eastAsia" w:ascii="宋体" w:hAnsi="宋体" w:eastAsia="宋体" w:cs="宋体"/>
          <w:color w:val="auto"/>
          <w:u w:val="single"/>
        </w:rPr>
        <w:t xml:space="preserve">  /  </w:t>
      </w:r>
      <w:r>
        <w:rPr>
          <w:rFonts w:hint="eastAsia" w:ascii="宋体" w:hAnsi="宋体" w:eastAsia="宋体" w:cs="宋体"/>
          <w:color w:val="auto"/>
        </w:rPr>
        <w:t>。</w:t>
      </w:r>
    </w:p>
    <w:p w14:paraId="026DC88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关于质量保证金的补充约定：</w:t>
      </w:r>
      <w:r>
        <w:rPr>
          <w:rFonts w:hint="eastAsia" w:ascii="宋体" w:hAnsi="宋体" w:eastAsia="宋体" w:cs="宋体"/>
          <w:color w:val="auto"/>
          <w:u w:val="single"/>
        </w:rPr>
        <w:t xml:space="preserve"> / </w:t>
      </w:r>
      <w:r>
        <w:rPr>
          <w:rFonts w:hint="eastAsia" w:ascii="宋体" w:hAnsi="宋体" w:eastAsia="宋体" w:cs="宋体"/>
          <w:color w:val="auto"/>
        </w:rPr>
        <w:t>。</w:t>
      </w:r>
    </w:p>
    <w:bookmarkEnd w:id="839"/>
    <w:bookmarkEnd w:id="840"/>
    <w:p w14:paraId="507BEE3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50" w:name="_Toc389065330"/>
      <w:bookmarkStart w:id="851" w:name="_Toc455732975"/>
      <w:bookmarkStart w:id="852" w:name="_Toc373227765"/>
      <w:bookmarkStart w:id="853" w:name="_Toc373478412"/>
      <w:r>
        <w:rPr>
          <w:rFonts w:hint="eastAsia" w:ascii="宋体" w:hAnsi="宋体" w:eastAsia="宋体" w:cs="宋体"/>
          <w:color w:val="auto"/>
        </w:rPr>
        <w:t>15.4 保修</w:t>
      </w:r>
      <w:bookmarkEnd w:id="850"/>
      <w:bookmarkEnd w:id="851"/>
      <w:bookmarkEnd w:id="852"/>
      <w:bookmarkEnd w:id="853"/>
    </w:p>
    <w:bookmarkEnd w:id="841"/>
    <w:p w14:paraId="64F8311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15.4.1 保修责任</w:t>
      </w:r>
    </w:p>
    <w:p w14:paraId="10D651A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工程保修期为：</w:t>
      </w:r>
      <w:r>
        <w:rPr>
          <w:rFonts w:hint="eastAsia" w:ascii="宋体" w:hAnsi="宋体" w:eastAsia="宋体" w:cs="宋体"/>
          <w:color w:val="auto"/>
          <w:u w:val="single"/>
        </w:rPr>
        <w:t xml:space="preserve"> 详见附件《工程质量保修书》 </w:t>
      </w:r>
      <w:r>
        <w:rPr>
          <w:rFonts w:hint="eastAsia" w:ascii="宋体" w:hAnsi="宋体" w:eastAsia="宋体" w:cs="宋体"/>
          <w:color w:val="auto"/>
        </w:rPr>
        <w:t>。</w:t>
      </w:r>
    </w:p>
    <w:p w14:paraId="3269FB4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15.4.3 修复通知</w:t>
      </w:r>
    </w:p>
    <w:p w14:paraId="16A1BAC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default" w:ascii="宋体" w:hAnsi="宋体" w:eastAsia="宋体" w:cs="宋体"/>
          <w:color w:val="auto"/>
          <w:u w:val="single"/>
          <w:lang w:val="en-US" w:eastAsia="zh-CN"/>
        </w:rPr>
      </w:pPr>
      <w:r>
        <w:rPr>
          <w:rFonts w:hint="eastAsia" w:ascii="宋体" w:hAnsi="宋体" w:eastAsia="宋体" w:cs="宋体"/>
          <w:color w:val="auto"/>
        </w:rPr>
        <w:t>承包人收到保修通知并到达工程现场的合理时间：</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1</w:t>
      </w:r>
      <w:r>
        <w:rPr>
          <w:rFonts w:hint="eastAsia" w:ascii="宋体" w:hAnsi="宋体" w:eastAsia="宋体" w:cs="宋体"/>
          <w:color w:val="auto"/>
          <w:u w:val="single"/>
        </w:rPr>
        <w:t xml:space="preserve">天内 </w:t>
      </w:r>
      <w:r>
        <w:rPr>
          <w:rFonts w:hint="eastAsia" w:ascii="宋体" w:hAnsi="宋体" w:eastAsia="宋体" w:cs="宋体"/>
          <w:color w:val="auto"/>
        </w:rPr>
        <w:t>。</w:t>
      </w:r>
    </w:p>
    <w:p w14:paraId="7C07982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54" w:name="_Toc373478413"/>
      <w:bookmarkStart w:id="855" w:name="_Toc373227766"/>
      <w:bookmarkStart w:id="856" w:name="_Toc389065331"/>
      <w:bookmarkStart w:id="857" w:name="_Toc455732976"/>
      <w:bookmarkStart w:id="858" w:name="_Toc351203648"/>
      <w:r>
        <w:rPr>
          <w:rFonts w:hint="eastAsia" w:ascii="宋体" w:hAnsi="宋体" w:eastAsia="宋体" w:cs="宋体"/>
          <w:color w:val="auto"/>
        </w:rPr>
        <w:t>16. 违约</w:t>
      </w:r>
      <w:bookmarkEnd w:id="854"/>
      <w:bookmarkEnd w:id="855"/>
      <w:bookmarkEnd w:id="856"/>
      <w:bookmarkEnd w:id="857"/>
      <w:bookmarkEnd w:id="858"/>
    </w:p>
    <w:p w14:paraId="09E1252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59" w:name="_Toc389065332"/>
      <w:bookmarkStart w:id="860" w:name="_Toc455732977"/>
      <w:bookmarkStart w:id="861" w:name="_Toc373478414"/>
      <w:bookmarkStart w:id="862" w:name="_Toc373227767"/>
      <w:r>
        <w:rPr>
          <w:rFonts w:hint="eastAsia" w:ascii="宋体" w:hAnsi="宋体" w:eastAsia="宋体" w:cs="宋体"/>
          <w:color w:val="auto"/>
        </w:rPr>
        <w:t>16.1 发包人违约</w:t>
      </w:r>
      <w:bookmarkEnd w:id="859"/>
      <w:bookmarkEnd w:id="860"/>
      <w:bookmarkEnd w:id="861"/>
      <w:bookmarkEnd w:id="862"/>
    </w:p>
    <w:p w14:paraId="5B0B7B3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16.1.1发包人违约的情形</w:t>
      </w:r>
    </w:p>
    <w:p w14:paraId="1B90DEA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发包人违约的其他情形：</w:t>
      </w:r>
      <w:r>
        <w:rPr>
          <w:rFonts w:hint="eastAsia" w:ascii="宋体" w:hAnsi="宋体" w:eastAsia="宋体" w:cs="宋体"/>
          <w:color w:val="auto"/>
          <w:u w:val="single"/>
        </w:rPr>
        <w:t xml:space="preserve">   /  </w:t>
      </w:r>
      <w:r>
        <w:rPr>
          <w:rFonts w:hint="eastAsia" w:ascii="宋体" w:hAnsi="宋体" w:eastAsia="宋体" w:cs="宋体"/>
          <w:color w:val="auto"/>
        </w:rPr>
        <w:t>。</w:t>
      </w:r>
    </w:p>
    <w:p w14:paraId="3F25336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16.1.2 发包人违约的责任</w:t>
      </w:r>
    </w:p>
    <w:p w14:paraId="23620DA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发包人违约责任的承担方式和计算方法：</w:t>
      </w:r>
    </w:p>
    <w:p w14:paraId="1658B80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（1）因发包人原因未能在计划开工日期前7天内下达开工通知的违约责任：</w:t>
      </w:r>
      <w:r>
        <w:rPr>
          <w:rFonts w:hint="eastAsia" w:ascii="宋体" w:hAnsi="宋体" w:eastAsia="宋体" w:cs="宋体"/>
          <w:color w:val="auto"/>
          <w:u w:val="single"/>
        </w:rPr>
        <w:t xml:space="preserve"> </w:t>
      </w:r>
      <w:r>
        <w:rPr>
          <w:rFonts w:hint="eastAsia" w:ascii="宋体" w:hAnsi="宋体" w:eastAsia="宋体" w:cs="宋体"/>
          <w:color w:val="auto"/>
          <w:kern w:val="0"/>
          <w:szCs w:val="21"/>
          <w:highlight w:val="none"/>
          <w:u w:val="single"/>
        </w:rPr>
        <w:t>工期顺延</w:t>
      </w:r>
      <w:r>
        <w:rPr>
          <w:rFonts w:hint="eastAsia" w:ascii="宋体" w:hAnsi="宋体" w:eastAsia="宋体" w:cs="宋体"/>
          <w:color w:val="auto"/>
          <w:u w:val="single"/>
        </w:rPr>
        <w:t xml:space="preserve"> </w:t>
      </w:r>
      <w:r>
        <w:rPr>
          <w:rFonts w:hint="eastAsia" w:ascii="宋体" w:hAnsi="宋体" w:eastAsia="宋体" w:cs="宋体"/>
          <w:color w:val="auto"/>
        </w:rPr>
        <w:t>。</w:t>
      </w:r>
    </w:p>
    <w:p w14:paraId="12995DB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（2）因发包人原因未能按合同约定支付合同价款的违约责任：</w:t>
      </w:r>
      <w:r>
        <w:rPr>
          <w:rFonts w:hint="eastAsia" w:ascii="宋体" w:hAnsi="宋体" w:eastAsia="宋体" w:cs="宋体"/>
          <w:color w:val="auto"/>
          <w:u w:val="single"/>
        </w:rPr>
        <w:t xml:space="preserve">  /  </w:t>
      </w:r>
      <w:r>
        <w:rPr>
          <w:rFonts w:hint="eastAsia" w:ascii="宋体" w:hAnsi="宋体" w:eastAsia="宋体" w:cs="宋体"/>
          <w:color w:val="auto"/>
        </w:rPr>
        <w:t>。</w:t>
      </w:r>
    </w:p>
    <w:p w14:paraId="311D915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（3）发包人违反第10.1款〔变更的范围〕第（2）项约定，自行实施被取消的工作或转由他人实施的违约责任：</w:t>
      </w:r>
      <w:r>
        <w:rPr>
          <w:rFonts w:hint="eastAsia" w:ascii="宋体" w:hAnsi="宋体" w:eastAsia="宋体" w:cs="宋体"/>
          <w:color w:val="auto"/>
          <w:u w:val="single"/>
        </w:rPr>
        <w:t xml:space="preserve">  /  </w:t>
      </w:r>
      <w:r>
        <w:rPr>
          <w:rFonts w:hint="eastAsia" w:ascii="宋体" w:hAnsi="宋体" w:eastAsia="宋体" w:cs="宋体"/>
          <w:color w:val="auto"/>
        </w:rPr>
        <w:t>。</w:t>
      </w:r>
    </w:p>
    <w:p w14:paraId="55E94FA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u w:val="single"/>
        </w:rPr>
        <w:t>发包人负责退货，工期顺延，但不承担工期延误的费用</w:t>
      </w:r>
      <w:r>
        <w:rPr>
          <w:rFonts w:hint="eastAsia" w:ascii="宋体" w:hAnsi="宋体" w:eastAsia="宋体" w:cs="宋体"/>
          <w:color w:val="auto"/>
          <w:u w:val="none"/>
        </w:rPr>
        <w:t>。</w:t>
      </w:r>
    </w:p>
    <w:p w14:paraId="2BF5496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（5）因发包人违反合同约定造成暂停施工的违约责任：</w:t>
      </w:r>
      <w:r>
        <w:rPr>
          <w:rFonts w:hint="eastAsia" w:ascii="宋体" w:hAnsi="宋体" w:eastAsia="宋体" w:cs="宋体"/>
          <w:color w:val="auto"/>
          <w:u w:val="single"/>
        </w:rPr>
        <w:t>工期顺延，不承担费用补偿</w:t>
      </w:r>
      <w:r>
        <w:rPr>
          <w:rFonts w:hint="eastAsia" w:ascii="宋体" w:hAnsi="宋体" w:eastAsia="宋体" w:cs="宋体"/>
          <w:color w:val="auto"/>
          <w:u w:val="none"/>
        </w:rPr>
        <w:t>。</w:t>
      </w:r>
    </w:p>
    <w:p w14:paraId="1D452DC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（6）发包人无正当理由没有在约定期限内发出复工指示，导致承包人无法复工的违约责任：</w:t>
      </w:r>
      <w:r>
        <w:rPr>
          <w:rFonts w:hint="eastAsia" w:ascii="宋体" w:hAnsi="宋体" w:eastAsia="宋体" w:cs="宋体"/>
          <w:color w:val="auto"/>
          <w:u w:val="single"/>
        </w:rPr>
        <w:t xml:space="preserve">  / </w:t>
      </w:r>
      <w:r>
        <w:rPr>
          <w:rFonts w:hint="eastAsia" w:ascii="宋体" w:hAnsi="宋体" w:eastAsia="宋体" w:cs="宋体"/>
          <w:color w:val="auto"/>
        </w:rPr>
        <w:t>。</w:t>
      </w:r>
    </w:p>
    <w:p w14:paraId="0733D18E">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（7）其他：</w:t>
      </w:r>
      <w:r>
        <w:rPr>
          <w:rFonts w:hint="eastAsia" w:ascii="宋体" w:hAnsi="宋体" w:eastAsia="宋体" w:cs="宋体"/>
          <w:color w:val="auto"/>
          <w:u w:val="single"/>
        </w:rPr>
        <w:t xml:space="preserve"> /  </w:t>
      </w:r>
      <w:r>
        <w:rPr>
          <w:rFonts w:hint="eastAsia" w:ascii="宋体" w:hAnsi="宋体" w:eastAsia="宋体" w:cs="宋体"/>
          <w:color w:val="auto"/>
        </w:rPr>
        <w:t>。</w:t>
      </w:r>
    </w:p>
    <w:p w14:paraId="6FC892C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16.1.3 因发包人违约解除合同</w:t>
      </w:r>
    </w:p>
    <w:p w14:paraId="1AF1987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承包人按16.1.1项〔发包人违约的情形〕约定暂停施工满30天后发包人仍不纠正其违约行为并致使合同目的不能实现的，承包人有权解除合同。</w:t>
      </w:r>
    </w:p>
    <w:p w14:paraId="54D80D5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63" w:name="_Toc389065333"/>
      <w:bookmarkStart w:id="864" w:name="_Toc373227768"/>
      <w:bookmarkStart w:id="865" w:name="_Toc455732978"/>
      <w:bookmarkStart w:id="866" w:name="_Toc373478415"/>
      <w:r>
        <w:rPr>
          <w:rFonts w:hint="eastAsia" w:ascii="宋体" w:hAnsi="宋体" w:eastAsia="宋体" w:cs="宋体"/>
          <w:color w:val="auto"/>
        </w:rPr>
        <w:t>16.2 承包人违约</w:t>
      </w:r>
      <w:bookmarkEnd w:id="863"/>
      <w:bookmarkEnd w:id="864"/>
      <w:bookmarkEnd w:id="865"/>
      <w:bookmarkEnd w:id="866"/>
    </w:p>
    <w:p w14:paraId="6B0F8D9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16.2.1 承包人违约的情形</w:t>
      </w:r>
    </w:p>
    <w:p w14:paraId="7A7E01E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承包人违约的其他情形：</w:t>
      </w:r>
      <w:r>
        <w:rPr>
          <w:rFonts w:hint="eastAsia" w:ascii="宋体" w:hAnsi="宋体" w:eastAsia="宋体" w:cs="宋体"/>
          <w:color w:val="auto"/>
          <w:szCs w:val="21"/>
          <w:u w:val="single"/>
        </w:rPr>
        <w:t>承包人有违反《梧州市建设工程造价管理办法》规定的，按规定给予处罚</w:t>
      </w:r>
      <w:r>
        <w:rPr>
          <w:rFonts w:hint="eastAsia" w:ascii="宋体" w:hAnsi="宋体" w:eastAsia="宋体" w:cs="宋体"/>
          <w:color w:val="auto"/>
        </w:rPr>
        <w:t>。</w:t>
      </w:r>
    </w:p>
    <w:p w14:paraId="2454E9D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16.2.2承包人违约的责任</w:t>
      </w:r>
    </w:p>
    <w:p w14:paraId="2C92750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承包人违约责任的承担方式和计算方法：</w:t>
      </w:r>
    </w:p>
    <w:p w14:paraId="1F0EE0F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 xml:space="preserve">（1）承包人未按本合同通用条款第 16.2.1 （2）、（3）条内容完成的，承包人无条件返工处理，修复至工程质量要求并承担相关费用，并在发包人规定的时间内完成返工，否则发包人有权扣罚该分项工程 10%的工程款作为处罚。 </w:t>
      </w:r>
    </w:p>
    <w:p w14:paraId="0FC29B7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 xml:space="preserve">（2）承包人有本合同通用条款第 16.2.1（6）条情形的，或经监理人检验认为修复质量不合格而承包人拒绝再进行修补的，发包人将扣除承包人全部质量保修金。 </w:t>
      </w:r>
    </w:p>
    <w:p w14:paraId="2716D8A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（3）承包人有本专用合同条款 3.2、3.3 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5A82E53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16.2.3 因承包人违约解除合同</w:t>
      </w:r>
    </w:p>
    <w:p w14:paraId="1637653C">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lang w:eastAsia="zh-CN"/>
        </w:rPr>
      </w:pPr>
      <w:r>
        <w:rPr>
          <w:rFonts w:hint="eastAsia" w:ascii="宋体" w:hAnsi="宋体" w:eastAsia="宋体" w:cs="宋体"/>
          <w:color w:val="auto"/>
        </w:rPr>
        <w:t>关于承包人违约解除合同的特别约定：承包人有违反以下情况之一的，发包人有权解除合同，并由承包人承担相应责任</w:t>
      </w:r>
      <w:r>
        <w:rPr>
          <w:rFonts w:hint="eastAsia" w:ascii="宋体" w:hAnsi="宋体" w:eastAsia="宋体" w:cs="宋体"/>
          <w:color w:val="auto"/>
          <w:lang w:eastAsia="zh-CN"/>
        </w:rPr>
        <w:t>：</w:t>
      </w:r>
    </w:p>
    <w:p w14:paraId="438C2312">
      <w:pPr>
        <w:keepNext w:val="0"/>
        <w:keepLines w:val="0"/>
        <w:pageBreakBefore w:val="0"/>
        <w:widowControl w:val="0"/>
        <w:numPr>
          <w:ilvl w:val="0"/>
          <w:numId w:val="28"/>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承包人无正当理由不按开工通知的要求及时进场组织施工和不按签订协议书时商订的进度计划有效地开展施工准备，造成停工或工期延误超过 30 天的；</w:t>
      </w:r>
    </w:p>
    <w:p w14:paraId="25F48379">
      <w:pPr>
        <w:keepNext w:val="0"/>
        <w:keepLines w:val="0"/>
        <w:pageBreakBefore w:val="0"/>
        <w:widowControl w:val="0"/>
        <w:numPr>
          <w:ilvl w:val="0"/>
          <w:numId w:val="28"/>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承包人违反本合同通用条款第3.5条规定私自将合同或合同的任何部分或任何权利转让给其他人，或私自将工程或工程的一部分分包出去的；</w:t>
      </w:r>
    </w:p>
    <w:p w14:paraId="00AF28FE">
      <w:pPr>
        <w:keepNext w:val="0"/>
        <w:keepLines w:val="0"/>
        <w:pageBreakBefore w:val="0"/>
        <w:widowControl w:val="0"/>
        <w:numPr>
          <w:ilvl w:val="0"/>
          <w:numId w:val="28"/>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未经监理人批准，承包人私自将已按</w:t>
      </w:r>
      <w:r>
        <w:rPr>
          <w:rFonts w:hint="eastAsia" w:ascii="宋体" w:hAnsi="宋体" w:eastAsia="宋体" w:cs="宋体"/>
          <w:color w:val="auto"/>
          <w:lang w:val="en-US" w:eastAsia="zh-CN"/>
        </w:rPr>
        <w:t>响应</w:t>
      </w:r>
      <w:r>
        <w:rPr>
          <w:rFonts w:hint="eastAsia" w:ascii="宋体" w:hAnsi="宋体" w:eastAsia="宋体" w:cs="宋体"/>
          <w:color w:val="auto"/>
        </w:rPr>
        <w:t>文件承诺进入工地的工程设备、施工设备、临时工程或材料撤离工地的；</w:t>
      </w:r>
    </w:p>
    <w:p w14:paraId="4E953A45">
      <w:pPr>
        <w:keepNext w:val="0"/>
        <w:keepLines w:val="0"/>
        <w:pageBreakBefore w:val="0"/>
        <w:widowControl w:val="0"/>
        <w:numPr>
          <w:ilvl w:val="0"/>
          <w:numId w:val="28"/>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由于承包人原因拒绝按合同进度计划及时完成合同规定的工程，而又未采取有效措施赶 上进度，造成工期延误超过 60 天的；</w:t>
      </w:r>
    </w:p>
    <w:p w14:paraId="4AF46301">
      <w:pPr>
        <w:keepNext w:val="0"/>
        <w:keepLines w:val="0"/>
        <w:pageBreakBefore w:val="0"/>
        <w:widowControl w:val="0"/>
        <w:numPr>
          <w:ilvl w:val="0"/>
          <w:numId w:val="28"/>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承包人否认合同有效或拒绝履行合同规定的承包人义务，或由于法律、财务等原因导致 承包人无法继续履行或实质上已停止履行合同的义务的；</w:t>
      </w:r>
    </w:p>
    <w:p w14:paraId="24A9F01E">
      <w:pPr>
        <w:keepNext w:val="0"/>
        <w:keepLines w:val="0"/>
        <w:pageBreakBefore w:val="0"/>
        <w:widowControl w:val="0"/>
        <w:numPr>
          <w:ilvl w:val="0"/>
          <w:numId w:val="28"/>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合同签订之日起十五日内，承包人无法按合同规定及</w:t>
      </w:r>
      <w:r>
        <w:rPr>
          <w:rFonts w:hint="eastAsia" w:ascii="宋体" w:hAnsi="宋体" w:eastAsia="宋体" w:cs="宋体"/>
          <w:color w:val="auto"/>
          <w:lang w:val="en-US" w:eastAsia="zh-CN"/>
        </w:rPr>
        <w:t>响应</w:t>
      </w:r>
      <w:r>
        <w:rPr>
          <w:rFonts w:hint="eastAsia" w:ascii="宋体" w:hAnsi="宋体" w:eastAsia="宋体" w:cs="宋体"/>
          <w:color w:val="auto"/>
        </w:rPr>
        <w:t>文件的承诺进场经监理工程师认可的全部人员和机械的</w:t>
      </w:r>
      <w:r>
        <w:rPr>
          <w:rFonts w:hint="eastAsia" w:ascii="宋体" w:hAnsi="宋体" w:eastAsia="宋体" w:cs="宋体"/>
          <w:color w:val="auto"/>
          <w:lang w:eastAsia="zh-CN"/>
        </w:rPr>
        <w:t>；</w:t>
      </w:r>
    </w:p>
    <w:p w14:paraId="101B0A5C">
      <w:pPr>
        <w:keepNext w:val="0"/>
        <w:keepLines w:val="0"/>
        <w:pageBreakBefore w:val="0"/>
        <w:widowControl w:val="0"/>
        <w:numPr>
          <w:ilvl w:val="0"/>
          <w:numId w:val="28"/>
        </w:numPr>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lang w:val="en-US" w:eastAsia="zh-CN"/>
        </w:rPr>
        <w:t>属于通用条款第16.2.1款项关于承包人违约的情形的。</w:t>
      </w:r>
    </w:p>
    <w:p w14:paraId="46C0B36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发包人继续使用承包人在施工现场的材料、设备、临时工程、承包人文件和由承包人或以其名义编制的其他文件的费用承担方式：</w:t>
      </w:r>
      <w:r>
        <w:rPr>
          <w:rFonts w:hint="eastAsia" w:ascii="宋体" w:hAnsi="宋体" w:eastAsia="宋体" w:cs="宋体"/>
          <w:color w:val="auto"/>
          <w:u w:val="single"/>
        </w:rPr>
        <w:t xml:space="preserve"> 由承包人承担  </w:t>
      </w:r>
      <w:r>
        <w:rPr>
          <w:rFonts w:hint="eastAsia" w:ascii="宋体" w:hAnsi="宋体" w:eastAsia="宋体" w:cs="宋体"/>
          <w:color w:val="auto"/>
        </w:rPr>
        <w:t>。</w:t>
      </w:r>
    </w:p>
    <w:p w14:paraId="425C333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67" w:name="_Toc455732979"/>
      <w:bookmarkStart w:id="868" w:name="_Toc373478416"/>
      <w:bookmarkStart w:id="869" w:name="_Toc389065334"/>
      <w:bookmarkStart w:id="870" w:name="_Toc351203649"/>
      <w:bookmarkStart w:id="871" w:name="_Toc373227769"/>
      <w:r>
        <w:rPr>
          <w:rFonts w:hint="eastAsia" w:ascii="宋体" w:hAnsi="宋体" w:eastAsia="宋体" w:cs="宋体"/>
          <w:color w:val="auto"/>
        </w:rPr>
        <w:t>17. 不可抗力</w:t>
      </w:r>
      <w:bookmarkEnd w:id="867"/>
      <w:bookmarkEnd w:id="868"/>
      <w:bookmarkEnd w:id="869"/>
      <w:bookmarkEnd w:id="870"/>
      <w:bookmarkEnd w:id="871"/>
      <w:r>
        <w:rPr>
          <w:rFonts w:hint="eastAsia" w:ascii="宋体" w:hAnsi="宋体" w:eastAsia="宋体" w:cs="宋体"/>
          <w:color w:val="auto"/>
        </w:rPr>
        <w:t xml:space="preserve"> </w:t>
      </w:r>
    </w:p>
    <w:p w14:paraId="19A352B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72" w:name="_Toc373227770"/>
      <w:bookmarkStart w:id="873" w:name="_Toc389065335"/>
      <w:bookmarkStart w:id="874" w:name="_Toc455732980"/>
      <w:bookmarkStart w:id="875" w:name="_Toc373478417"/>
      <w:r>
        <w:rPr>
          <w:rFonts w:hint="eastAsia" w:ascii="宋体" w:hAnsi="宋体" w:eastAsia="宋体" w:cs="宋体"/>
          <w:color w:val="auto"/>
        </w:rPr>
        <w:t>17.1 不可抗力的确认</w:t>
      </w:r>
      <w:bookmarkEnd w:id="872"/>
      <w:bookmarkEnd w:id="873"/>
      <w:bookmarkEnd w:id="874"/>
      <w:bookmarkEnd w:id="875"/>
    </w:p>
    <w:p w14:paraId="58D4FD9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除通用合同条款约定的不可抗力事件之外，视为不可抗力的其他情形：</w:t>
      </w:r>
      <w:r>
        <w:rPr>
          <w:rFonts w:hint="eastAsia" w:ascii="宋体" w:hAnsi="宋体" w:eastAsia="宋体" w:cs="宋体"/>
          <w:color w:val="auto"/>
          <w:u w:val="single"/>
        </w:rPr>
        <w:t xml:space="preserve"> 无   </w:t>
      </w:r>
      <w:r>
        <w:rPr>
          <w:rFonts w:hint="eastAsia" w:ascii="宋体" w:hAnsi="宋体" w:eastAsia="宋体" w:cs="宋体"/>
          <w:color w:val="auto"/>
        </w:rPr>
        <w:t>。</w:t>
      </w:r>
    </w:p>
    <w:p w14:paraId="14192A76">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76" w:name="_Toc455732981"/>
      <w:bookmarkStart w:id="877" w:name="_Toc373227771"/>
      <w:bookmarkStart w:id="878" w:name="_Toc389065336"/>
      <w:bookmarkStart w:id="879" w:name="_Toc373478418"/>
      <w:r>
        <w:rPr>
          <w:rFonts w:hint="eastAsia" w:ascii="宋体" w:hAnsi="宋体" w:eastAsia="宋体" w:cs="宋体"/>
          <w:color w:val="auto"/>
        </w:rPr>
        <w:t>17.4 因不可抗力解除合同</w:t>
      </w:r>
      <w:bookmarkEnd w:id="876"/>
      <w:bookmarkEnd w:id="877"/>
      <w:bookmarkEnd w:id="878"/>
      <w:bookmarkEnd w:id="879"/>
    </w:p>
    <w:p w14:paraId="731B13D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合同解除后，发包人应在商定或确定发包人应支付款项后</w:t>
      </w:r>
      <w:r>
        <w:rPr>
          <w:rFonts w:hint="eastAsia" w:ascii="宋体" w:hAnsi="宋体" w:eastAsia="宋体" w:cs="宋体"/>
          <w:color w:val="auto"/>
          <w:u w:val="single"/>
        </w:rPr>
        <w:t xml:space="preserve"> 60 </w:t>
      </w:r>
      <w:r>
        <w:rPr>
          <w:rFonts w:hint="eastAsia" w:ascii="宋体" w:hAnsi="宋体" w:eastAsia="宋体" w:cs="宋体"/>
          <w:color w:val="auto"/>
        </w:rPr>
        <w:t>天内完成款项的支付。</w:t>
      </w:r>
    </w:p>
    <w:p w14:paraId="2BD2F4F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80" w:name="_Toc373227772"/>
      <w:bookmarkStart w:id="881" w:name="_Toc373478419"/>
      <w:bookmarkStart w:id="882" w:name="_Toc351203650"/>
      <w:bookmarkStart w:id="883" w:name="_Toc389065337"/>
      <w:bookmarkStart w:id="884" w:name="_Toc455732982"/>
      <w:r>
        <w:rPr>
          <w:rFonts w:hint="eastAsia" w:ascii="宋体" w:hAnsi="宋体" w:eastAsia="宋体" w:cs="宋体"/>
          <w:color w:val="auto"/>
        </w:rPr>
        <w:t>18. 保险</w:t>
      </w:r>
      <w:bookmarkEnd w:id="880"/>
      <w:bookmarkEnd w:id="881"/>
      <w:bookmarkEnd w:id="882"/>
      <w:bookmarkEnd w:id="883"/>
      <w:bookmarkEnd w:id="884"/>
    </w:p>
    <w:p w14:paraId="35F055EA">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85" w:name="_Toc373478420"/>
      <w:bookmarkStart w:id="886" w:name="_Toc389065338"/>
      <w:bookmarkStart w:id="887" w:name="_Toc455732983"/>
      <w:bookmarkStart w:id="888" w:name="_Toc373227773"/>
      <w:r>
        <w:rPr>
          <w:rFonts w:hint="eastAsia" w:ascii="宋体" w:hAnsi="宋体" w:eastAsia="宋体" w:cs="宋体"/>
          <w:color w:val="auto"/>
        </w:rPr>
        <w:t>18.1 工程保险</w:t>
      </w:r>
      <w:bookmarkEnd w:id="885"/>
      <w:bookmarkEnd w:id="886"/>
      <w:bookmarkEnd w:id="887"/>
      <w:bookmarkEnd w:id="888"/>
    </w:p>
    <w:p w14:paraId="17036CB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关于工程保险的特别约定：</w:t>
      </w:r>
      <w:r>
        <w:rPr>
          <w:rFonts w:hint="eastAsia" w:ascii="宋体" w:hAnsi="宋体" w:eastAsia="宋体" w:cs="宋体"/>
          <w:color w:val="auto"/>
          <w:u w:val="single"/>
        </w:rPr>
        <w:t xml:space="preserve"> 由承包人负责并承担费用  </w:t>
      </w:r>
      <w:r>
        <w:rPr>
          <w:rFonts w:hint="eastAsia" w:ascii="宋体" w:hAnsi="宋体" w:eastAsia="宋体" w:cs="宋体"/>
          <w:color w:val="auto"/>
        </w:rPr>
        <w:t>。</w:t>
      </w:r>
    </w:p>
    <w:p w14:paraId="22CD460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89" w:name="_Toc373227774"/>
      <w:bookmarkStart w:id="890" w:name="_Toc373478421"/>
      <w:bookmarkStart w:id="891" w:name="_Toc389065339"/>
      <w:bookmarkStart w:id="892" w:name="_Toc455732984"/>
      <w:r>
        <w:rPr>
          <w:rFonts w:hint="eastAsia" w:ascii="宋体" w:hAnsi="宋体" w:eastAsia="宋体" w:cs="宋体"/>
          <w:color w:val="auto"/>
        </w:rPr>
        <w:t>18.3 其他保险</w:t>
      </w:r>
      <w:bookmarkEnd w:id="889"/>
      <w:bookmarkEnd w:id="890"/>
      <w:bookmarkEnd w:id="891"/>
      <w:bookmarkEnd w:id="892"/>
    </w:p>
    <w:p w14:paraId="5EB1E1DF">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关于其他保险的约定：</w:t>
      </w:r>
      <w:r>
        <w:rPr>
          <w:rFonts w:hint="eastAsia" w:ascii="宋体" w:hAnsi="宋体" w:eastAsia="宋体" w:cs="宋体"/>
          <w:color w:val="auto"/>
          <w:u w:val="single"/>
        </w:rPr>
        <w:t xml:space="preserve"> </w:t>
      </w:r>
      <w:r>
        <w:rPr>
          <w:rFonts w:hint="eastAsia" w:ascii="宋体" w:hAnsi="宋体" w:eastAsia="宋体" w:cs="宋体"/>
          <w:color w:val="auto"/>
          <w:szCs w:val="21"/>
          <w:u w:val="single"/>
        </w:rPr>
        <w:t>由承包人按照国家有关规定投保</w:t>
      </w:r>
      <w:r>
        <w:rPr>
          <w:rFonts w:hint="eastAsia" w:ascii="宋体" w:hAnsi="宋体" w:eastAsia="宋体" w:cs="宋体"/>
          <w:color w:val="auto"/>
          <w:u w:val="single"/>
        </w:rPr>
        <w:t xml:space="preserve"> </w:t>
      </w:r>
      <w:r>
        <w:rPr>
          <w:rFonts w:hint="eastAsia" w:ascii="宋体" w:hAnsi="宋体" w:eastAsia="宋体" w:cs="宋体"/>
          <w:color w:val="auto"/>
        </w:rPr>
        <w:t>。</w:t>
      </w:r>
    </w:p>
    <w:p w14:paraId="72361ED7">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承包人是否应为其施工设备等办理财产保险：</w:t>
      </w:r>
      <w:r>
        <w:rPr>
          <w:rFonts w:hint="eastAsia" w:ascii="宋体" w:hAnsi="宋体" w:eastAsia="宋体" w:cs="宋体"/>
          <w:color w:val="auto"/>
          <w:u w:val="single"/>
        </w:rPr>
        <w:t xml:space="preserve"> 由承包人选择 </w:t>
      </w:r>
      <w:r>
        <w:rPr>
          <w:rFonts w:hint="eastAsia" w:ascii="宋体" w:hAnsi="宋体" w:eastAsia="宋体" w:cs="宋体"/>
          <w:color w:val="auto"/>
        </w:rPr>
        <w:t>。</w:t>
      </w:r>
    </w:p>
    <w:p w14:paraId="1D45F13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93" w:name="_Toc373227775"/>
      <w:bookmarkStart w:id="894" w:name="_Toc455732985"/>
      <w:bookmarkStart w:id="895" w:name="_Toc373478422"/>
      <w:bookmarkStart w:id="896" w:name="_Toc389065340"/>
      <w:r>
        <w:rPr>
          <w:rFonts w:hint="eastAsia" w:ascii="宋体" w:hAnsi="宋体" w:eastAsia="宋体" w:cs="宋体"/>
          <w:color w:val="auto"/>
        </w:rPr>
        <w:t>18.7 通知义务</w:t>
      </w:r>
      <w:bookmarkEnd w:id="893"/>
      <w:bookmarkEnd w:id="894"/>
      <w:bookmarkEnd w:id="895"/>
      <w:bookmarkEnd w:id="896"/>
    </w:p>
    <w:p w14:paraId="5F28614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关于变更保险合同时的通知义务的约定：</w:t>
      </w:r>
      <w:r>
        <w:rPr>
          <w:rFonts w:hint="eastAsia" w:ascii="宋体" w:hAnsi="宋体" w:eastAsia="宋体" w:cs="宋体"/>
          <w:color w:val="auto"/>
          <w:u w:val="single"/>
        </w:rPr>
        <w:t xml:space="preserve"> </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u w:val="single"/>
        </w:rPr>
        <w:t xml:space="preserve"> </w:t>
      </w:r>
      <w:r>
        <w:rPr>
          <w:rFonts w:hint="eastAsia" w:ascii="宋体" w:hAnsi="宋体" w:eastAsia="宋体" w:cs="宋体"/>
          <w:color w:val="auto"/>
        </w:rPr>
        <w:t>。</w:t>
      </w:r>
    </w:p>
    <w:p w14:paraId="28E5A42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897" w:name="_Toc455732986"/>
      <w:bookmarkStart w:id="898" w:name="_Toc351203651"/>
      <w:bookmarkStart w:id="899" w:name="_Toc373478423"/>
      <w:bookmarkStart w:id="900" w:name="_Toc389065341"/>
      <w:bookmarkStart w:id="901" w:name="_Toc373227776"/>
      <w:r>
        <w:rPr>
          <w:rFonts w:hint="eastAsia" w:ascii="宋体" w:hAnsi="宋体" w:eastAsia="宋体" w:cs="宋体"/>
          <w:color w:val="auto"/>
        </w:rPr>
        <w:t>20. 争议解决</w:t>
      </w:r>
      <w:bookmarkEnd w:id="897"/>
      <w:bookmarkEnd w:id="898"/>
      <w:bookmarkEnd w:id="899"/>
      <w:bookmarkEnd w:id="900"/>
      <w:bookmarkEnd w:id="901"/>
    </w:p>
    <w:p w14:paraId="742C98D4">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902" w:name="_Toc455732987"/>
      <w:bookmarkStart w:id="903" w:name="_Toc373478424"/>
      <w:bookmarkStart w:id="904" w:name="_Toc373227777"/>
      <w:bookmarkStart w:id="905" w:name="_Toc389065342"/>
      <w:r>
        <w:rPr>
          <w:rFonts w:hint="eastAsia" w:ascii="宋体" w:hAnsi="宋体" w:eastAsia="宋体" w:cs="宋体"/>
          <w:color w:val="auto"/>
        </w:rPr>
        <w:t>20.3 争议评审</w:t>
      </w:r>
      <w:bookmarkEnd w:id="902"/>
      <w:bookmarkEnd w:id="903"/>
      <w:bookmarkEnd w:id="904"/>
      <w:bookmarkEnd w:id="905"/>
    </w:p>
    <w:p w14:paraId="110CB75B">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合同当事人是否同意将工程争议提交争议评审小组决定：</w:t>
      </w:r>
      <w:r>
        <w:rPr>
          <w:rFonts w:hint="eastAsia" w:ascii="宋体" w:hAnsi="宋体" w:eastAsia="宋体" w:cs="宋体"/>
          <w:color w:val="auto"/>
          <w:u w:val="single"/>
        </w:rPr>
        <w:t xml:space="preserve"> 同意</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 xml:space="preserve">。  </w:t>
      </w:r>
    </w:p>
    <w:p w14:paraId="46F2104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20.3.1 争议评审小组的确定</w:t>
      </w:r>
    </w:p>
    <w:p w14:paraId="57C6CE3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争议评审小组成员的确定：</w:t>
      </w:r>
      <w:r>
        <w:rPr>
          <w:rFonts w:hint="eastAsia" w:ascii="宋体" w:hAnsi="宋体" w:eastAsia="宋体" w:cs="宋体"/>
          <w:color w:val="auto"/>
          <w:u w:val="single"/>
        </w:rPr>
        <w:t xml:space="preserve"> </w:t>
      </w:r>
      <w:r>
        <w:rPr>
          <w:rFonts w:hint="eastAsia" w:ascii="宋体" w:hAnsi="宋体" w:eastAsia="宋体" w:cs="宋体"/>
          <w:color w:val="auto"/>
          <w:szCs w:val="21"/>
          <w:highlight w:val="none"/>
          <w:u w:val="single"/>
        </w:rPr>
        <w:t>如双方商定采用争议评审方式解决，则按通用条款执行</w:t>
      </w:r>
      <w:r>
        <w:rPr>
          <w:rFonts w:hint="eastAsia" w:ascii="宋体" w:hAnsi="宋体" w:eastAsia="宋体" w:cs="宋体"/>
          <w:color w:val="auto"/>
        </w:rPr>
        <w:t>。</w:t>
      </w:r>
    </w:p>
    <w:p w14:paraId="09A64F21">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选定争议评审员的期限：</w:t>
      </w:r>
      <w:r>
        <w:rPr>
          <w:rFonts w:hint="eastAsia" w:ascii="宋体" w:hAnsi="宋体" w:eastAsia="宋体" w:cs="宋体"/>
          <w:color w:val="auto"/>
          <w:u w:val="single"/>
        </w:rPr>
        <w:t xml:space="preserve"> </w:t>
      </w:r>
      <w:r>
        <w:rPr>
          <w:rFonts w:hint="eastAsia" w:ascii="宋体" w:hAnsi="宋体" w:eastAsia="宋体" w:cs="宋体"/>
          <w:color w:val="auto"/>
          <w:szCs w:val="21"/>
          <w:highlight w:val="none"/>
          <w:u w:val="single"/>
        </w:rPr>
        <w:t>如双方商定采用争议评审方式解决，则按通用条款执行</w:t>
      </w:r>
      <w:r>
        <w:rPr>
          <w:rFonts w:hint="eastAsia" w:ascii="宋体" w:hAnsi="宋体" w:eastAsia="宋体" w:cs="宋体"/>
          <w:color w:val="auto"/>
          <w:u w:val="single"/>
        </w:rPr>
        <w:t xml:space="preserve"> </w:t>
      </w:r>
      <w:r>
        <w:rPr>
          <w:rFonts w:hint="eastAsia" w:ascii="宋体" w:hAnsi="宋体" w:eastAsia="宋体" w:cs="宋体"/>
          <w:color w:val="auto"/>
        </w:rPr>
        <w:t>。</w:t>
      </w:r>
    </w:p>
    <w:p w14:paraId="3F604A29">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争议评审小组成员的报酬承担方式：</w:t>
      </w:r>
      <w:r>
        <w:rPr>
          <w:rFonts w:hint="eastAsia" w:ascii="宋体" w:hAnsi="宋体" w:eastAsia="宋体" w:cs="宋体"/>
          <w:color w:val="auto"/>
          <w:u w:val="single"/>
        </w:rPr>
        <w:t xml:space="preserve"> 按责任大小比例承担 </w:t>
      </w:r>
      <w:r>
        <w:rPr>
          <w:rFonts w:hint="eastAsia" w:ascii="宋体" w:hAnsi="宋体" w:eastAsia="宋体" w:cs="宋体"/>
          <w:color w:val="auto"/>
        </w:rPr>
        <w:t>。</w:t>
      </w:r>
    </w:p>
    <w:p w14:paraId="76FCA00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其他事项的约定：</w:t>
      </w:r>
      <w:r>
        <w:rPr>
          <w:rFonts w:hint="eastAsia" w:ascii="宋体" w:hAnsi="宋体" w:eastAsia="宋体" w:cs="宋体"/>
          <w:color w:val="auto"/>
          <w:u w:val="single"/>
        </w:rPr>
        <w:t xml:space="preserve"> /  </w:t>
      </w:r>
      <w:r>
        <w:rPr>
          <w:rFonts w:hint="eastAsia" w:ascii="宋体" w:hAnsi="宋体" w:eastAsia="宋体" w:cs="宋体"/>
          <w:color w:val="auto"/>
        </w:rPr>
        <w:t>。</w:t>
      </w:r>
    </w:p>
    <w:p w14:paraId="46E0AF2D">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 xml:space="preserve">20.3.2 争议评审小组的决定 </w:t>
      </w:r>
    </w:p>
    <w:p w14:paraId="7A201AA3">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合同当事人关于本项的约定：</w:t>
      </w:r>
      <w:r>
        <w:rPr>
          <w:rFonts w:hint="eastAsia" w:ascii="宋体" w:hAnsi="宋体" w:eastAsia="宋体" w:cs="宋体"/>
          <w:color w:val="auto"/>
          <w:u w:val="single"/>
        </w:rPr>
        <w:t xml:space="preserve"> 同意评审小组的决定 </w:t>
      </w:r>
      <w:r>
        <w:rPr>
          <w:rFonts w:hint="eastAsia" w:ascii="宋体" w:hAnsi="宋体" w:eastAsia="宋体" w:cs="宋体"/>
          <w:color w:val="auto"/>
        </w:rPr>
        <w:t>。</w:t>
      </w:r>
    </w:p>
    <w:p w14:paraId="684DD95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906" w:name="_Toc373478425"/>
      <w:bookmarkStart w:id="907" w:name="_Toc455732988"/>
      <w:bookmarkStart w:id="908" w:name="_Toc389065343"/>
      <w:bookmarkStart w:id="909" w:name="_Toc373227778"/>
      <w:r>
        <w:rPr>
          <w:rFonts w:hint="eastAsia" w:ascii="宋体" w:hAnsi="宋体" w:eastAsia="宋体" w:cs="宋体"/>
          <w:color w:val="auto"/>
        </w:rPr>
        <w:t>20.4 仲裁或诉讼</w:t>
      </w:r>
      <w:bookmarkEnd w:id="906"/>
      <w:bookmarkEnd w:id="907"/>
      <w:bookmarkEnd w:id="908"/>
      <w:bookmarkEnd w:id="909"/>
    </w:p>
    <w:p w14:paraId="51ECEE5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因合同及合同有关事项发生的争议，按下列第2种方式解决：</w:t>
      </w:r>
    </w:p>
    <w:p w14:paraId="4E2E3902">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r>
        <w:rPr>
          <w:rFonts w:hint="eastAsia" w:ascii="宋体" w:hAnsi="宋体" w:eastAsia="宋体" w:cs="宋体"/>
          <w:color w:val="auto"/>
        </w:rPr>
        <w:t>（1）向</w:t>
      </w:r>
      <w:r>
        <w:rPr>
          <w:rFonts w:hint="eastAsia" w:ascii="宋体" w:hAnsi="宋体" w:eastAsia="宋体" w:cs="宋体"/>
          <w:color w:val="auto"/>
          <w:u w:val="single"/>
        </w:rPr>
        <w:t xml:space="preserve"> 梧州  </w:t>
      </w:r>
      <w:r>
        <w:rPr>
          <w:rFonts w:hint="eastAsia" w:ascii="宋体" w:hAnsi="宋体" w:eastAsia="宋体" w:cs="宋体"/>
          <w:color w:val="auto"/>
        </w:rPr>
        <w:t>仲裁委员会申请仲裁；（2）向</w:t>
      </w:r>
      <w:r>
        <w:rPr>
          <w:rFonts w:hint="eastAsia" w:ascii="宋体" w:hAnsi="宋体" w:eastAsia="宋体" w:cs="宋体"/>
          <w:color w:val="auto"/>
          <w:u w:val="single"/>
        </w:rPr>
        <w:t xml:space="preserve">  工程所在地   </w:t>
      </w:r>
      <w:r>
        <w:rPr>
          <w:rFonts w:hint="eastAsia" w:ascii="宋体" w:hAnsi="宋体" w:eastAsia="宋体" w:cs="宋体"/>
          <w:color w:val="auto"/>
        </w:rPr>
        <w:t>人民法院起诉。</w:t>
      </w:r>
    </w:p>
    <w:p w14:paraId="23417FF0">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rPr>
      </w:pPr>
      <w:bookmarkStart w:id="910" w:name="_Toc373478426"/>
      <w:bookmarkStart w:id="911" w:name="_Toc455732989"/>
      <w:bookmarkStart w:id="912" w:name="_Toc389065344"/>
      <w:bookmarkStart w:id="913" w:name="_Toc373227779"/>
      <w:r>
        <w:rPr>
          <w:rFonts w:hint="eastAsia" w:ascii="宋体" w:hAnsi="宋体" w:eastAsia="宋体" w:cs="宋体"/>
          <w:color w:val="auto"/>
        </w:rPr>
        <w:t>21. 补充条款</w:t>
      </w:r>
      <w:bookmarkEnd w:id="910"/>
      <w:bookmarkEnd w:id="911"/>
      <w:bookmarkEnd w:id="912"/>
      <w:bookmarkEnd w:id="913"/>
    </w:p>
    <w:p w14:paraId="7235C4F8">
      <w:pPr>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21.1 凡进入本工程工作的妇女应持有计生证、否则不准安排工作，禁止使用童工。</w:t>
      </w:r>
    </w:p>
    <w:p w14:paraId="592BBB51">
      <w:pPr>
        <w:spacing w:line="360" w:lineRule="auto"/>
        <w:jc w:val="left"/>
        <w:rPr>
          <w:rFonts w:hint="eastAsia" w:eastAsia="黑体" w:cs="黑体"/>
          <w:b/>
          <w:bCs/>
          <w:color w:val="auto"/>
          <w:sz w:val="28"/>
          <w:szCs w:val="28"/>
          <w:highlight w:val="none"/>
        </w:rPr>
      </w:pPr>
      <w:bookmarkStart w:id="914" w:name="_Toc351203652"/>
    </w:p>
    <w:p w14:paraId="1EE9D1A4">
      <w:pPr>
        <w:spacing w:line="360" w:lineRule="auto"/>
        <w:jc w:val="left"/>
        <w:rPr>
          <w:rFonts w:hint="eastAsia" w:eastAsia="黑体" w:cs="黑体"/>
          <w:b/>
          <w:bCs/>
          <w:color w:val="auto"/>
          <w:sz w:val="28"/>
          <w:szCs w:val="28"/>
          <w:highlight w:val="none"/>
        </w:rPr>
      </w:pPr>
    </w:p>
    <w:p w14:paraId="62740E72">
      <w:pPr>
        <w:spacing w:line="360" w:lineRule="auto"/>
        <w:jc w:val="left"/>
        <w:rPr>
          <w:rFonts w:hint="eastAsia" w:eastAsia="黑体" w:cs="黑体"/>
          <w:b/>
          <w:bCs/>
          <w:color w:val="auto"/>
          <w:sz w:val="28"/>
          <w:szCs w:val="28"/>
          <w:highlight w:val="none"/>
        </w:rPr>
      </w:pPr>
    </w:p>
    <w:p w14:paraId="7C352F7A">
      <w:pPr>
        <w:spacing w:line="360" w:lineRule="auto"/>
        <w:jc w:val="left"/>
        <w:rPr>
          <w:rFonts w:hint="eastAsia" w:eastAsia="黑体" w:cs="黑体"/>
          <w:b/>
          <w:bCs/>
          <w:color w:val="auto"/>
          <w:sz w:val="28"/>
          <w:szCs w:val="28"/>
          <w:highlight w:val="none"/>
        </w:rPr>
      </w:pPr>
    </w:p>
    <w:p w14:paraId="6D387FB7">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eastAsia="黑体"/>
          <w:b/>
          <w:bCs/>
          <w:color w:val="auto"/>
          <w:sz w:val="28"/>
          <w:szCs w:val="28"/>
          <w:highlight w:val="none"/>
        </w:rPr>
      </w:pPr>
      <w:r>
        <w:rPr>
          <w:rFonts w:hint="eastAsia" w:eastAsia="黑体" w:cs="黑体"/>
          <w:b/>
          <w:bCs/>
          <w:color w:val="auto"/>
          <w:sz w:val="28"/>
          <w:szCs w:val="28"/>
          <w:highlight w:val="none"/>
        </w:rPr>
        <w:t>附件</w:t>
      </w:r>
      <w:bookmarkEnd w:id="914"/>
    </w:p>
    <w:p w14:paraId="48B49173">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附件1：承包人承揽工程项目一览表</w:t>
      </w:r>
    </w:p>
    <w:p w14:paraId="7797BDE7">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附件2：工程质量保修书</w:t>
      </w:r>
    </w:p>
    <w:p w14:paraId="3851DD4A">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附件3：主要建设工程文件目录</w:t>
      </w:r>
    </w:p>
    <w:p w14:paraId="4B26DD4E">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附件4：承包人用于本工程施工的机械设备表</w:t>
      </w:r>
    </w:p>
    <w:p w14:paraId="05E7998C">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附件5：承包人主要施工管理人员表</w:t>
      </w:r>
    </w:p>
    <w:p w14:paraId="37722943">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附件6：分包人主要施工管理人员表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3B32BF58">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附件7：履约担保格式（独立保函、非独立保函）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116EBD0B">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附件8：预付款担保格式（独立保函、非独立保函）</w:t>
      </w:r>
    </w:p>
    <w:p w14:paraId="196C024C">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附件9：支付担保格式（独立保函、非独立保函）</w:t>
      </w:r>
    </w:p>
    <w:p w14:paraId="6F661D17">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附件10：预付款支付申请（核准）表</w:t>
      </w:r>
    </w:p>
    <w:p w14:paraId="76E0B0B8">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附件11：进度款支付申请（核准）表</w:t>
      </w:r>
    </w:p>
    <w:p w14:paraId="466F1FC1">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附件12：竣工结算款支付申请（核准）表</w:t>
      </w:r>
    </w:p>
    <w:p w14:paraId="30D1964D">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附件13：最终结算款支付申请（核准）表</w:t>
      </w:r>
    </w:p>
    <w:p w14:paraId="4A452EA9">
      <w:pPr>
        <w:keepNext w:val="0"/>
        <w:keepLines w:val="0"/>
        <w:pageBreakBefore w:val="0"/>
        <w:widowControl w:val="0"/>
        <w:kinsoku/>
        <w:wordWrap/>
        <w:overflowPunct/>
        <w:topLinePunct w:val="0"/>
        <w:autoSpaceDE/>
        <w:autoSpaceDN/>
        <w:bidi w:val="0"/>
        <w:adjustRightInd/>
        <w:snapToGrid/>
        <w:spacing w:line="440" w:lineRule="atLeast"/>
        <w:jc w:val="left"/>
        <w:textAlignment w:val="auto"/>
        <w:rPr>
          <w:color w:val="auto"/>
          <w:szCs w:val="21"/>
          <w:highlight w:val="none"/>
        </w:rPr>
        <w:sectPr>
          <w:footerReference r:id="rId6" w:type="default"/>
          <w:pgSz w:w="11907" w:h="16840"/>
          <w:pgMar w:top="1440" w:right="1440" w:bottom="1440" w:left="1797" w:header="851" w:footer="851" w:gutter="0"/>
          <w:pgNumType w:fmt="decimal"/>
          <w:cols w:space="720" w:num="1"/>
          <w:docGrid w:linePitch="312" w:charSpace="0"/>
        </w:sectPr>
      </w:pPr>
      <w:r>
        <w:rPr>
          <w:rFonts w:hint="eastAsia" w:ascii="宋体" w:hAnsi="宋体" w:eastAsia="宋体" w:cs="宋体"/>
          <w:color w:val="auto"/>
          <w:szCs w:val="21"/>
          <w:highlight w:val="none"/>
        </w:rPr>
        <w:t>附件14：总价合同进度款支付分解表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6E09282D">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6203DD77">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16"/>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1BCE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4781256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14:paraId="1F3FAFFE">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14:paraId="33E815F3">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建筑面积（平方米）</w:t>
            </w:r>
          </w:p>
        </w:tc>
        <w:tc>
          <w:tcPr>
            <w:tcW w:w="1661" w:type="dxa"/>
            <w:noWrap w:val="0"/>
            <w:vAlign w:val="center"/>
          </w:tcPr>
          <w:p w14:paraId="690BC469">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14:paraId="35C261D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14:paraId="09BEEE1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14:paraId="46C4ADAA">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14:paraId="76F7D2F9">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14:paraId="7F6BD90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14:paraId="3D1E6242">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竣工日期</w:t>
            </w:r>
          </w:p>
        </w:tc>
      </w:tr>
      <w:tr w14:paraId="71FA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A8E6C2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44C77A7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6029BA1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4167ED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2B2DFD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689F11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29874F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0B45F9A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20DE91D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B2ABE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5BE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039DA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212084B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5D89A2A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74DEC0A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CAA2F6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13D34EF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3C371B6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6B6BA43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5A0134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0364BE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8F7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166F86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380A793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3CD781C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37C809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C9CF29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521979B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7A4F82B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0A2A7DD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3E1600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F7B907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38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435A6A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3267D47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7AEDA6C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6FFAB4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7526D8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2D06012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5E532A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5BF5C0C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5B7CBBC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C57885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624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F3DE7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6FEC136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3891B4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0ED86E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7CF0D5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79A3BA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44B9A27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47EC1E6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4CB1CC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975F4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9EE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A8AF7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55E6A96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5D2F25C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22F5E91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AEC88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2B6CA35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5EDB536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288CA7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5B75B2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248F06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697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377D84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637497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2494F2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29FD305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B2CE14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062D46A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6BA2F43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6A5255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582131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644C58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A61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799342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4876BFC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4295732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1899501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B6C8B5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6D22F6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5A1FA9D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725BA9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373C76E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29E2B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E50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16922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65C7896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6046FC1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5703CC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89531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308F9BB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002723B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4CE7AC1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6747426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65E4B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B46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47D76C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40" w:type="dxa"/>
            <w:noWrap w:val="0"/>
            <w:vAlign w:val="center"/>
          </w:tcPr>
          <w:p w14:paraId="495D2EC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20" w:type="dxa"/>
            <w:noWrap w:val="0"/>
            <w:vAlign w:val="center"/>
          </w:tcPr>
          <w:p w14:paraId="7DF10F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1" w:type="dxa"/>
            <w:noWrap w:val="0"/>
            <w:vAlign w:val="center"/>
          </w:tcPr>
          <w:p w14:paraId="3FD2F6F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F8A1E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27D892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5D54EDD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33A666A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20C5FA0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C0E336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043F9AE1">
      <w:pPr>
        <w:spacing w:line="460" w:lineRule="exact"/>
        <w:ind w:firstLine="420" w:firstLineChars="200"/>
        <w:rPr>
          <w:color w:val="auto"/>
          <w:szCs w:val="21"/>
          <w:highlight w:val="none"/>
        </w:rPr>
      </w:pPr>
    </w:p>
    <w:p w14:paraId="69DFB81C">
      <w:pPr>
        <w:spacing w:line="460" w:lineRule="exact"/>
        <w:ind w:firstLine="420" w:firstLineChars="200"/>
        <w:rPr>
          <w:color w:val="auto"/>
          <w:szCs w:val="21"/>
          <w:highlight w:val="none"/>
        </w:rPr>
      </w:pPr>
    </w:p>
    <w:p w14:paraId="02D0F27D">
      <w:pPr>
        <w:spacing w:line="460" w:lineRule="exact"/>
        <w:ind w:firstLine="420" w:firstLineChars="200"/>
        <w:rPr>
          <w:color w:val="auto"/>
          <w:szCs w:val="21"/>
          <w:highlight w:val="none"/>
        </w:rPr>
        <w:sectPr>
          <w:pgSz w:w="16840" w:h="11907" w:orient="landscape"/>
          <w:pgMar w:top="1440" w:right="1440" w:bottom="1440" w:left="1797" w:header="851" w:footer="851" w:gutter="0"/>
          <w:pgNumType w:fmt="decimal"/>
          <w:cols w:space="720" w:num="1"/>
          <w:docGrid w:linePitch="312" w:charSpace="0"/>
        </w:sectPr>
      </w:pPr>
    </w:p>
    <w:p w14:paraId="1900D0C5">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附件2：</w:t>
      </w:r>
    </w:p>
    <w:p w14:paraId="54225E68">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 xml:space="preserve">工程质量保修书 </w:t>
      </w:r>
    </w:p>
    <w:p w14:paraId="607746BF">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p>
    <w:p w14:paraId="28521645">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p>
    <w:p w14:paraId="5722E14F">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p>
    <w:p w14:paraId="36DCD3DB">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发包人和承包人根据《中华人民共和国建筑法》和《建设工程质量管理条例》，经协商一致就（工程全称）签订工程质量保修书。</w:t>
      </w:r>
    </w:p>
    <w:p w14:paraId="77C679CD">
      <w:pPr>
        <w:keepNext w:val="0"/>
        <w:keepLines w:val="0"/>
        <w:pageBreakBefore w:val="0"/>
        <w:widowControl w:val="0"/>
        <w:kinsoku/>
        <w:wordWrap/>
        <w:overflowPunct/>
        <w:topLinePunct w:val="0"/>
        <w:bidi w:val="0"/>
        <w:adjustRightInd w:val="0"/>
        <w:snapToGrid w:val="0"/>
        <w:spacing w:line="440" w:lineRule="atLeas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一、工程质量保修范围和内容</w:t>
      </w:r>
    </w:p>
    <w:p w14:paraId="4D6E8BED">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14:paraId="6AB9D70B">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质量保修范围包括工程，以及双方约定的其他项目。具体保修的内容，双方约定如下：</w:t>
      </w:r>
      <w:r>
        <w:rPr>
          <w:rFonts w:hint="eastAsia" w:ascii="宋体" w:hAnsi="宋体" w:eastAsia="宋体" w:cs="宋体"/>
          <w:color w:val="auto"/>
          <w:szCs w:val="21"/>
          <w:highlight w:val="none"/>
          <w:u w:val="single"/>
        </w:rPr>
        <w:t>属承包人承包范围内的质量缺陷</w:t>
      </w:r>
      <w:r>
        <w:rPr>
          <w:rFonts w:hint="eastAsia" w:ascii="宋体" w:hAnsi="宋体" w:eastAsia="宋体" w:cs="宋体"/>
          <w:color w:val="auto"/>
          <w:szCs w:val="21"/>
          <w:highlight w:val="none"/>
        </w:rPr>
        <w:t>。</w:t>
      </w:r>
    </w:p>
    <w:p w14:paraId="0E67BC3D">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二、质量保修期</w:t>
      </w:r>
    </w:p>
    <w:p w14:paraId="19AE3D8B">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14:paraId="74675F4D">
      <w:pPr>
        <w:pStyle w:val="29"/>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1．地基基础工程和主体结构工程为设计文件规定的工程合理使用年限；</w:t>
      </w:r>
    </w:p>
    <w:p w14:paraId="7BD9E030">
      <w:pPr>
        <w:pStyle w:val="29"/>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2．屋面防水工程、有防水要求的卫生间、房间和外墙面的防渗为</w:t>
      </w:r>
      <w:r>
        <w:rPr>
          <w:rFonts w:hint="eastAsia" w:ascii="宋体" w:hAnsi="宋体" w:eastAsia="宋体" w:cs="宋体"/>
          <w:color w:val="auto"/>
          <w:highlight w:val="none"/>
          <w:u w:val="single"/>
        </w:rPr>
        <w:t xml:space="preserve"> 5</w:t>
      </w:r>
      <w:r>
        <w:rPr>
          <w:rFonts w:hint="eastAsia" w:ascii="宋体" w:hAnsi="宋体" w:eastAsia="宋体" w:cs="宋体"/>
          <w:color w:val="auto"/>
          <w:highlight w:val="none"/>
        </w:rPr>
        <w:t>年；</w:t>
      </w:r>
    </w:p>
    <w:p w14:paraId="69783DC3">
      <w:pPr>
        <w:pStyle w:val="29"/>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3．装修工程为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22B420C0">
      <w:pPr>
        <w:pStyle w:val="29"/>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4．电气管线、给排水管道、设备安装工程为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272674AC">
      <w:pPr>
        <w:pStyle w:val="29"/>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5．供热与供冷系统为</w:t>
      </w:r>
      <w:r>
        <w:rPr>
          <w:rFonts w:hint="eastAsia" w:ascii="宋体" w:hAnsi="宋体" w:eastAsia="宋体" w:cs="宋体"/>
          <w:color w:val="auto"/>
          <w:highlight w:val="none"/>
          <w:u w:val="single"/>
        </w:rPr>
        <w:t xml:space="preserve"> 2</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个采暖期、供冷期；</w:t>
      </w:r>
    </w:p>
    <w:p w14:paraId="033780EA">
      <w:pPr>
        <w:pStyle w:val="29"/>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6．住宅小区内的给排水设施、道路等配套工程为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19C5E3A7">
      <w:pPr>
        <w:pStyle w:val="29"/>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7．其他项目保修期限约定如下：</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年</w:t>
      </w:r>
      <w:r>
        <w:rPr>
          <w:rFonts w:hint="eastAsia" w:ascii="宋体" w:hAnsi="宋体" w:eastAsia="宋体" w:cs="宋体"/>
          <w:color w:val="auto"/>
          <w:highlight w:val="none"/>
        </w:rPr>
        <w:t>。</w:t>
      </w:r>
    </w:p>
    <w:p w14:paraId="5C82C02D">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w:t>
      </w:r>
    </w:p>
    <w:p w14:paraId="29D02E5C">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14:paraId="55946AB3">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rPr>
        <w:t>个月，缺陷责任期自工程竣工验收合格之日起计算。单位工程先于全部工程进行验收，单位工程缺陷责任期自单位工程验收合格之日起算。</w:t>
      </w:r>
    </w:p>
    <w:p w14:paraId="60183E8A">
      <w:pPr>
        <w:keepNext w:val="0"/>
        <w:keepLines w:val="0"/>
        <w:pageBreakBefore w:val="0"/>
        <w:widowControl w:val="0"/>
        <w:kinsoku/>
        <w:wordWrap/>
        <w:overflowPunct/>
        <w:topLinePunct w:val="0"/>
        <w:autoSpaceDE w:val="0"/>
        <w:autoSpaceDN w:val="0"/>
        <w:bidi w:val="0"/>
        <w:adjustRightInd w:val="0"/>
        <w:snapToGrid w:val="0"/>
        <w:spacing w:line="440" w:lineRule="atLeas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bCs/>
          <w:color w:val="auto"/>
          <w:szCs w:val="21"/>
          <w:highlight w:val="none"/>
          <w:u w:val="single"/>
        </w:rPr>
        <w:t>工程质量保修金</w:t>
      </w:r>
      <w:r>
        <w:rPr>
          <w:rFonts w:hint="eastAsia" w:ascii="宋体" w:hAnsi="宋体" w:eastAsia="宋体" w:cs="宋体"/>
          <w:color w:val="auto"/>
          <w:szCs w:val="21"/>
          <w:highlight w:val="none"/>
          <w:u w:val="single"/>
        </w:rPr>
        <w:t>在工程竣工质量保修期满2年且验收合格后，并扣除有关应扣除的费用后，将剩余保修金（不计利息）全额退回承包人</w:t>
      </w:r>
      <w:r>
        <w:rPr>
          <w:rFonts w:hint="eastAsia" w:ascii="宋体" w:hAnsi="宋体" w:eastAsia="宋体" w:cs="宋体"/>
          <w:bCs/>
          <w:color w:val="auto"/>
          <w:szCs w:val="21"/>
          <w:highlight w:val="none"/>
          <w:u w:val="single"/>
        </w:rPr>
        <w:t>。</w:t>
      </w:r>
    </w:p>
    <w:p w14:paraId="397DE594">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四、质量保修责任</w:t>
      </w:r>
    </w:p>
    <w:p w14:paraId="1CC0379B">
      <w:pPr>
        <w:keepNext w:val="0"/>
        <w:keepLines w:val="0"/>
        <w:pageBreakBefore w:val="0"/>
        <w:widowControl w:val="0"/>
        <w:kinsoku/>
        <w:wordWrap/>
        <w:overflowPunct/>
        <w:topLinePunct w:val="0"/>
        <w:bidi w:val="0"/>
        <w:adjustRightInd w:val="0"/>
        <w:snapToGrid w:val="0"/>
        <w:spacing w:line="440" w:lineRule="atLeast"/>
        <w:ind w:left="105" w:leftChars="5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w:t>
      </w:r>
      <w:r>
        <w:rPr>
          <w:rFonts w:hint="eastAsia" w:ascii="宋体" w:hAnsi="宋体" w:eastAsia="宋体" w:cs="宋体"/>
          <w:color w:val="auto"/>
          <w:szCs w:val="21"/>
          <w:highlight w:val="none"/>
          <w:u w:val="single"/>
          <w:lang w:val="en-US" w:eastAsia="zh-CN"/>
        </w:rPr>
        <w:t xml:space="preserve">  1  </w:t>
      </w:r>
      <w:r>
        <w:rPr>
          <w:rFonts w:hint="eastAsia" w:ascii="宋体" w:hAnsi="宋体" w:eastAsia="宋体" w:cs="宋体"/>
          <w:color w:val="auto"/>
          <w:szCs w:val="21"/>
          <w:highlight w:val="none"/>
        </w:rPr>
        <w:t>天内派人保修。承包人不在约定期限内派人保修的，发包人可以委托他人修理，修理费用从质量保证金内扣除。</w:t>
      </w:r>
    </w:p>
    <w:p w14:paraId="0C065080">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14:paraId="650DAD1B">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FF18E11">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0E0507D3">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五、保修费用</w:t>
      </w:r>
    </w:p>
    <w:p w14:paraId="00A1CB6C">
      <w:pPr>
        <w:keepNext w:val="0"/>
        <w:keepLines w:val="0"/>
        <w:pageBreakBefore w:val="0"/>
        <w:widowControl w:val="0"/>
        <w:tabs>
          <w:tab w:val="left" w:pos="738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7199BCD6">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六、双方约定的其他工程质量保修事项：</w:t>
      </w:r>
    </w:p>
    <w:p w14:paraId="2824C8C9">
      <w:pPr>
        <w:keepNext w:val="0"/>
        <w:keepLines w:val="0"/>
        <w:pageBreakBefore w:val="0"/>
        <w:widowControl w:val="0"/>
        <w:kinsoku/>
        <w:wordWrap/>
        <w:overflowPunct/>
        <w:topLinePunct w:val="0"/>
        <w:bidi w:val="0"/>
        <w:adjustRightInd w:val="0"/>
        <w:snapToGrid w:val="0"/>
        <w:spacing w:line="440" w:lineRule="atLeas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本工程在保修期有质量问题的，且保修期仍未解决的，承包人应负责维修</w:t>
      </w:r>
      <w:r>
        <w:rPr>
          <w:rFonts w:hint="eastAsia" w:ascii="宋体" w:hAnsi="宋体" w:eastAsia="宋体" w:cs="宋体"/>
          <w:color w:val="auto"/>
          <w:szCs w:val="21"/>
          <w:highlight w:val="none"/>
        </w:rPr>
        <w:t>。</w:t>
      </w:r>
    </w:p>
    <w:p w14:paraId="2F7BA1F8">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35059089">
      <w:pPr>
        <w:keepNext w:val="0"/>
        <w:keepLines w:val="0"/>
        <w:pageBreakBefore w:val="0"/>
        <w:widowControl w:val="0"/>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p>
    <w:p w14:paraId="516399C7">
      <w:pPr>
        <w:keepNext w:val="0"/>
        <w:keepLines w:val="0"/>
        <w:pageBreakBefore w:val="0"/>
        <w:widowControl w:val="0"/>
        <w:tabs>
          <w:tab w:val="left" w:pos="525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发包人（公章）：</w:t>
      </w:r>
      <w:r>
        <w:rPr>
          <w:rFonts w:hint="eastAsia" w:ascii="宋体" w:hAnsi="宋体" w:eastAsia="宋体" w:cs="宋体"/>
          <w:color w:val="auto"/>
          <w:highlight w:val="none"/>
        </w:rPr>
        <w:tab/>
      </w:r>
      <w:r>
        <w:rPr>
          <w:rFonts w:hint="eastAsia" w:ascii="宋体" w:hAnsi="宋体" w:eastAsia="宋体" w:cs="宋体"/>
          <w:color w:val="auto"/>
          <w:szCs w:val="21"/>
          <w:highlight w:val="none"/>
        </w:rPr>
        <w:t>承包人（公章）：</w:t>
      </w:r>
    </w:p>
    <w:p w14:paraId="150DCC70">
      <w:pPr>
        <w:keepNext w:val="0"/>
        <w:keepLines w:val="0"/>
        <w:pageBreakBefore w:val="0"/>
        <w:widowControl w:val="0"/>
        <w:tabs>
          <w:tab w:val="left" w:pos="525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地址：</w:t>
      </w:r>
    </w:p>
    <w:p w14:paraId="496CFB27">
      <w:pPr>
        <w:keepNext w:val="0"/>
        <w:keepLines w:val="0"/>
        <w:pageBreakBefore w:val="0"/>
        <w:widowControl w:val="0"/>
        <w:tabs>
          <w:tab w:val="left" w:pos="525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法定代表人（签字）：</w:t>
      </w:r>
    </w:p>
    <w:p w14:paraId="43CF438F">
      <w:pPr>
        <w:keepNext w:val="0"/>
        <w:keepLines w:val="0"/>
        <w:pageBreakBefore w:val="0"/>
        <w:widowControl w:val="0"/>
        <w:tabs>
          <w:tab w:val="left" w:pos="525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委托代理人（签字）：</w:t>
      </w:r>
    </w:p>
    <w:p w14:paraId="5B6BC8B0">
      <w:pPr>
        <w:keepNext w:val="0"/>
        <w:keepLines w:val="0"/>
        <w:pageBreakBefore w:val="0"/>
        <w:widowControl w:val="0"/>
        <w:tabs>
          <w:tab w:val="left" w:pos="525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电话：</w:t>
      </w:r>
    </w:p>
    <w:p w14:paraId="7337AE10">
      <w:pPr>
        <w:keepNext w:val="0"/>
        <w:keepLines w:val="0"/>
        <w:pageBreakBefore w:val="0"/>
        <w:widowControl w:val="0"/>
        <w:tabs>
          <w:tab w:val="left" w:pos="525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szCs w:val="21"/>
          <w:highlight w:val="none"/>
        </w:rPr>
        <w:t>传真：</w:t>
      </w:r>
    </w:p>
    <w:p w14:paraId="6C2B2B7A">
      <w:pPr>
        <w:keepNext w:val="0"/>
        <w:keepLines w:val="0"/>
        <w:pageBreakBefore w:val="0"/>
        <w:widowControl w:val="0"/>
        <w:tabs>
          <w:tab w:val="left" w:pos="525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开户银行：</w:t>
      </w:r>
    </w:p>
    <w:p w14:paraId="658250E5">
      <w:pPr>
        <w:keepNext w:val="0"/>
        <w:keepLines w:val="0"/>
        <w:pageBreakBefore w:val="0"/>
        <w:widowControl w:val="0"/>
        <w:tabs>
          <w:tab w:val="left" w:pos="525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账号：</w:t>
      </w:r>
    </w:p>
    <w:p w14:paraId="36266939">
      <w:pPr>
        <w:keepNext w:val="0"/>
        <w:keepLines w:val="0"/>
        <w:pageBreakBefore w:val="0"/>
        <w:widowControl w:val="0"/>
        <w:tabs>
          <w:tab w:val="left" w:pos="5250"/>
          <w:tab w:val="left" w:pos="7200"/>
          <w:tab w:val="left" w:pos="7380"/>
          <w:tab w:val="left" w:pos="7560"/>
        </w:tabs>
        <w:kinsoku/>
        <w:wordWrap/>
        <w:overflowPunct/>
        <w:topLinePunct w:val="0"/>
        <w:bidi w:val="0"/>
        <w:adjustRightInd w:val="0"/>
        <w:snapToGrid w:val="0"/>
        <w:spacing w:line="44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邮政编码：</w:t>
      </w:r>
    </w:p>
    <w:p w14:paraId="19A6698A">
      <w:pPr>
        <w:spacing w:before="120" w:beforeLines="50" w:after="120" w:afterLines="50" w:line="440" w:lineRule="exact"/>
        <w:jc w:val="center"/>
        <w:rPr>
          <w:rFonts w:ascii="黑体" w:hAnsi="宋体" w:eastAsia="黑体"/>
          <w:color w:val="auto"/>
          <w:sz w:val="32"/>
          <w:szCs w:val="32"/>
          <w:highlight w:val="none"/>
        </w:rPr>
      </w:pPr>
    </w:p>
    <w:p w14:paraId="55AF33D1">
      <w:pPr>
        <w:spacing w:before="120" w:beforeLines="50" w:after="120" w:afterLines="50" w:line="440" w:lineRule="exact"/>
        <w:jc w:val="center"/>
        <w:rPr>
          <w:rFonts w:ascii="黑体" w:hAnsi="宋体" w:eastAsia="黑体"/>
          <w:color w:val="auto"/>
          <w:sz w:val="32"/>
          <w:szCs w:val="32"/>
          <w:highlight w:val="none"/>
        </w:rPr>
      </w:pPr>
    </w:p>
    <w:p w14:paraId="4818A831">
      <w:pPr>
        <w:spacing w:before="120" w:beforeLines="50" w:after="120" w:afterLines="50" w:line="440" w:lineRule="exact"/>
        <w:jc w:val="center"/>
        <w:rPr>
          <w:rFonts w:ascii="黑体" w:hAnsi="宋体" w:eastAsia="黑体"/>
          <w:color w:val="auto"/>
          <w:sz w:val="32"/>
          <w:szCs w:val="32"/>
          <w:highlight w:val="none"/>
        </w:rPr>
      </w:pPr>
    </w:p>
    <w:p w14:paraId="6BF62FC7">
      <w:pPr>
        <w:spacing w:before="120" w:beforeLines="50" w:after="120" w:afterLines="50" w:line="440" w:lineRule="exact"/>
        <w:jc w:val="center"/>
        <w:rPr>
          <w:rFonts w:ascii="黑体" w:hAnsi="宋体" w:eastAsia="黑体"/>
          <w:color w:val="auto"/>
          <w:sz w:val="32"/>
          <w:szCs w:val="32"/>
          <w:highlight w:val="none"/>
        </w:rPr>
      </w:pPr>
    </w:p>
    <w:p w14:paraId="5A3ADF9F">
      <w:pPr>
        <w:spacing w:before="120" w:beforeLines="50" w:after="120" w:afterLines="50" w:line="440" w:lineRule="exact"/>
        <w:jc w:val="center"/>
        <w:rPr>
          <w:rFonts w:ascii="黑体" w:hAnsi="宋体" w:eastAsia="黑体"/>
          <w:color w:val="auto"/>
          <w:sz w:val="32"/>
          <w:szCs w:val="32"/>
          <w:highlight w:val="none"/>
        </w:rPr>
      </w:pPr>
    </w:p>
    <w:p w14:paraId="07A2787D">
      <w:pPr>
        <w:spacing w:before="120" w:beforeLines="50" w:after="120" w:afterLines="50" w:line="440" w:lineRule="exact"/>
        <w:jc w:val="center"/>
        <w:rPr>
          <w:rFonts w:ascii="黑体" w:hAnsi="宋体" w:eastAsia="黑体"/>
          <w:color w:val="auto"/>
          <w:sz w:val="32"/>
          <w:szCs w:val="32"/>
          <w:highlight w:val="none"/>
        </w:rPr>
      </w:pPr>
    </w:p>
    <w:p w14:paraId="6C2A7453">
      <w:pPr>
        <w:pStyle w:val="30"/>
        <w:ind w:firstLine="480"/>
        <w:rPr>
          <w:color w:val="auto"/>
          <w:highlight w:val="none"/>
          <w:lang w:eastAsia="zh-CN" w:bidi="ar-SA"/>
        </w:rPr>
      </w:pPr>
    </w:p>
    <w:p w14:paraId="7E9560CF">
      <w:pPr>
        <w:pStyle w:val="30"/>
        <w:ind w:firstLine="480"/>
        <w:rPr>
          <w:color w:val="auto"/>
          <w:highlight w:val="none"/>
          <w:lang w:eastAsia="zh-CN" w:bidi="ar-SA"/>
        </w:rPr>
      </w:pPr>
    </w:p>
    <w:p w14:paraId="5132742A">
      <w:pPr>
        <w:pStyle w:val="30"/>
        <w:ind w:firstLine="480"/>
        <w:rPr>
          <w:color w:val="auto"/>
          <w:highlight w:val="none"/>
          <w:lang w:eastAsia="zh-CN" w:bidi="ar-SA"/>
        </w:rPr>
      </w:pPr>
    </w:p>
    <w:p w14:paraId="393F6CE1">
      <w:pPr>
        <w:pStyle w:val="30"/>
        <w:ind w:firstLine="480"/>
        <w:rPr>
          <w:color w:val="auto"/>
          <w:highlight w:val="none"/>
          <w:lang w:eastAsia="zh-CN" w:bidi="ar-SA"/>
        </w:rPr>
      </w:pPr>
    </w:p>
    <w:p w14:paraId="34676372">
      <w:pPr>
        <w:pStyle w:val="30"/>
        <w:ind w:firstLine="480"/>
        <w:rPr>
          <w:color w:val="auto"/>
          <w:highlight w:val="none"/>
          <w:lang w:eastAsia="zh-CN" w:bidi="ar-SA"/>
        </w:rPr>
      </w:pPr>
    </w:p>
    <w:p w14:paraId="3D618AD9">
      <w:pPr>
        <w:spacing w:line="440" w:lineRule="exact"/>
        <w:rPr>
          <w:rFonts w:eastAsia="仿宋_GB2312"/>
          <w:color w:val="auto"/>
          <w:sz w:val="30"/>
          <w:szCs w:val="30"/>
          <w:highlight w:val="none"/>
        </w:rPr>
        <w:sectPr>
          <w:pgSz w:w="11907" w:h="16840"/>
          <w:pgMar w:top="1440" w:right="1440" w:bottom="1440" w:left="1797" w:header="851" w:footer="851" w:gutter="0"/>
          <w:pgNumType w:fmt="decimal"/>
          <w:cols w:space="720" w:num="1"/>
          <w:docGrid w:linePitch="312" w:charSpace="0"/>
        </w:sectPr>
      </w:pPr>
    </w:p>
    <w:p w14:paraId="7BCB9EF3">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附件3：</w:t>
      </w:r>
    </w:p>
    <w:p w14:paraId="461AE0AD">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1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68C0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2329AE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246687BA">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46B9E9D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5133603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685EF743">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5ED071D1">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47CAA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5D6E6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1F036D8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11ED49F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177FDA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03CA629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664ECEC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8D72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8ACA6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nil"/>
            </w:tcBorders>
            <w:noWrap w:val="0"/>
            <w:vAlign w:val="center"/>
          </w:tcPr>
          <w:p w14:paraId="6CDC70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08C38CC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nil"/>
            </w:tcBorders>
            <w:noWrap w:val="0"/>
            <w:vAlign w:val="center"/>
          </w:tcPr>
          <w:p w14:paraId="443BAE2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4C6A46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nil"/>
            </w:tcBorders>
            <w:noWrap w:val="0"/>
            <w:vAlign w:val="center"/>
          </w:tcPr>
          <w:p w14:paraId="59671D2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1533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1E7EB3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77BE2DB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978149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BC312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D80468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669506A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60FF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427D4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7FD52CA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18058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143F5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BF0344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03BC7E9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3338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C40AD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5CE9FC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27941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C7B59A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34B57A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3FBF3D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2A99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F2367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7710A8B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BBB993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E2EC2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A25A8C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65D977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DF52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8A9F5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70597BE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D191D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6B2CF94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8BA4A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045C7C5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9101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0B842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218F6F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80619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690BC6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35CB4F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20659A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5381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E9C085">
            <w:pPr>
              <w:rPr>
                <w:rFonts w:eastAsia="仿宋_GB2312"/>
                <w:color w:val="auto"/>
                <w:sz w:val="30"/>
                <w:szCs w:val="30"/>
                <w:highlight w:val="none"/>
              </w:rPr>
            </w:pPr>
          </w:p>
        </w:tc>
        <w:tc>
          <w:tcPr>
            <w:tcW w:w="1276" w:type="dxa"/>
            <w:noWrap w:val="0"/>
            <w:vAlign w:val="top"/>
          </w:tcPr>
          <w:p w14:paraId="03EF5A38">
            <w:pPr>
              <w:rPr>
                <w:rFonts w:eastAsia="仿宋_GB2312"/>
                <w:color w:val="auto"/>
                <w:sz w:val="30"/>
                <w:szCs w:val="30"/>
                <w:highlight w:val="none"/>
              </w:rPr>
            </w:pPr>
          </w:p>
        </w:tc>
        <w:tc>
          <w:tcPr>
            <w:tcW w:w="1450" w:type="dxa"/>
            <w:noWrap w:val="0"/>
            <w:vAlign w:val="top"/>
          </w:tcPr>
          <w:p w14:paraId="6ABCE223">
            <w:pPr>
              <w:rPr>
                <w:rFonts w:eastAsia="仿宋_GB2312"/>
                <w:color w:val="auto"/>
                <w:sz w:val="30"/>
                <w:szCs w:val="30"/>
                <w:highlight w:val="none"/>
              </w:rPr>
            </w:pPr>
          </w:p>
        </w:tc>
        <w:tc>
          <w:tcPr>
            <w:tcW w:w="1243" w:type="dxa"/>
            <w:noWrap w:val="0"/>
            <w:vAlign w:val="top"/>
          </w:tcPr>
          <w:p w14:paraId="79A0FE63">
            <w:pPr>
              <w:rPr>
                <w:rFonts w:eastAsia="仿宋_GB2312"/>
                <w:color w:val="auto"/>
                <w:sz w:val="30"/>
                <w:szCs w:val="30"/>
                <w:highlight w:val="none"/>
              </w:rPr>
            </w:pPr>
          </w:p>
        </w:tc>
        <w:tc>
          <w:tcPr>
            <w:tcW w:w="1450" w:type="dxa"/>
            <w:noWrap w:val="0"/>
            <w:vAlign w:val="top"/>
          </w:tcPr>
          <w:p w14:paraId="48E7275B">
            <w:pPr>
              <w:rPr>
                <w:rFonts w:eastAsia="仿宋_GB2312"/>
                <w:color w:val="auto"/>
                <w:sz w:val="30"/>
                <w:szCs w:val="30"/>
                <w:highlight w:val="none"/>
              </w:rPr>
            </w:pPr>
          </w:p>
        </w:tc>
        <w:tc>
          <w:tcPr>
            <w:tcW w:w="1667" w:type="dxa"/>
            <w:noWrap w:val="0"/>
            <w:vAlign w:val="top"/>
          </w:tcPr>
          <w:p w14:paraId="1A948D00">
            <w:pPr>
              <w:rPr>
                <w:rFonts w:eastAsia="仿宋_GB2312"/>
                <w:color w:val="auto"/>
                <w:sz w:val="30"/>
                <w:szCs w:val="30"/>
                <w:highlight w:val="none"/>
              </w:rPr>
            </w:pPr>
          </w:p>
        </w:tc>
      </w:tr>
      <w:tr w14:paraId="19842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AD7E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FF5C6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E1326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2A30E3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48D50C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2F3A28B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ADA8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8AF37B">
            <w:pPr>
              <w:rPr>
                <w:rFonts w:eastAsia="仿宋_GB2312"/>
                <w:color w:val="auto"/>
                <w:sz w:val="30"/>
                <w:szCs w:val="30"/>
                <w:highlight w:val="none"/>
              </w:rPr>
            </w:pPr>
          </w:p>
        </w:tc>
        <w:tc>
          <w:tcPr>
            <w:tcW w:w="1276" w:type="dxa"/>
            <w:noWrap w:val="0"/>
            <w:vAlign w:val="top"/>
          </w:tcPr>
          <w:p w14:paraId="3524AD23">
            <w:pPr>
              <w:rPr>
                <w:rFonts w:eastAsia="仿宋_GB2312"/>
                <w:color w:val="auto"/>
                <w:sz w:val="30"/>
                <w:szCs w:val="30"/>
                <w:highlight w:val="none"/>
              </w:rPr>
            </w:pPr>
          </w:p>
        </w:tc>
        <w:tc>
          <w:tcPr>
            <w:tcW w:w="1450" w:type="dxa"/>
            <w:noWrap w:val="0"/>
            <w:vAlign w:val="top"/>
          </w:tcPr>
          <w:p w14:paraId="055260CD">
            <w:pPr>
              <w:rPr>
                <w:rFonts w:eastAsia="仿宋_GB2312"/>
                <w:color w:val="auto"/>
                <w:sz w:val="30"/>
                <w:szCs w:val="30"/>
                <w:highlight w:val="none"/>
              </w:rPr>
            </w:pPr>
          </w:p>
        </w:tc>
        <w:tc>
          <w:tcPr>
            <w:tcW w:w="1243" w:type="dxa"/>
            <w:noWrap w:val="0"/>
            <w:vAlign w:val="top"/>
          </w:tcPr>
          <w:p w14:paraId="1956D9A5">
            <w:pPr>
              <w:rPr>
                <w:rFonts w:eastAsia="仿宋_GB2312"/>
                <w:color w:val="auto"/>
                <w:sz w:val="30"/>
                <w:szCs w:val="30"/>
                <w:highlight w:val="none"/>
              </w:rPr>
            </w:pPr>
          </w:p>
        </w:tc>
        <w:tc>
          <w:tcPr>
            <w:tcW w:w="1450" w:type="dxa"/>
            <w:noWrap w:val="0"/>
            <w:vAlign w:val="top"/>
          </w:tcPr>
          <w:p w14:paraId="017B5164">
            <w:pPr>
              <w:rPr>
                <w:rFonts w:eastAsia="仿宋_GB2312"/>
                <w:color w:val="auto"/>
                <w:sz w:val="30"/>
                <w:szCs w:val="30"/>
                <w:highlight w:val="none"/>
              </w:rPr>
            </w:pPr>
          </w:p>
        </w:tc>
        <w:tc>
          <w:tcPr>
            <w:tcW w:w="1667" w:type="dxa"/>
            <w:noWrap w:val="0"/>
            <w:vAlign w:val="top"/>
          </w:tcPr>
          <w:p w14:paraId="19680541">
            <w:pPr>
              <w:rPr>
                <w:rFonts w:eastAsia="仿宋_GB2312"/>
                <w:color w:val="auto"/>
                <w:sz w:val="30"/>
                <w:szCs w:val="30"/>
                <w:highlight w:val="none"/>
              </w:rPr>
            </w:pPr>
          </w:p>
        </w:tc>
      </w:tr>
      <w:tr w14:paraId="54F8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827401F">
            <w:pPr>
              <w:rPr>
                <w:rFonts w:eastAsia="仿宋_GB2312"/>
                <w:color w:val="auto"/>
                <w:sz w:val="30"/>
                <w:szCs w:val="30"/>
                <w:highlight w:val="none"/>
              </w:rPr>
            </w:pPr>
          </w:p>
        </w:tc>
        <w:tc>
          <w:tcPr>
            <w:tcW w:w="1276" w:type="dxa"/>
            <w:noWrap w:val="0"/>
            <w:vAlign w:val="top"/>
          </w:tcPr>
          <w:p w14:paraId="019B4857">
            <w:pPr>
              <w:rPr>
                <w:rFonts w:eastAsia="仿宋_GB2312"/>
                <w:color w:val="auto"/>
                <w:sz w:val="30"/>
                <w:szCs w:val="30"/>
                <w:highlight w:val="none"/>
              </w:rPr>
            </w:pPr>
          </w:p>
        </w:tc>
        <w:tc>
          <w:tcPr>
            <w:tcW w:w="1450" w:type="dxa"/>
            <w:noWrap w:val="0"/>
            <w:vAlign w:val="top"/>
          </w:tcPr>
          <w:p w14:paraId="7B5867E3">
            <w:pPr>
              <w:rPr>
                <w:rFonts w:eastAsia="仿宋_GB2312"/>
                <w:color w:val="auto"/>
                <w:sz w:val="30"/>
                <w:szCs w:val="30"/>
                <w:highlight w:val="none"/>
              </w:rPr>
            </w:pPr>
          </w:p>
        </w:tc>
        <w:tc>
          <w:tcPr>
            <w:tcW w:w="1243" w:type="dxa"/>
            <w:noWrap w:val="0"/>
            <w:vAlign w:val="top"/>
          </w:tcPr>
          <w:p w14:paraId="3A534540">
            <w:pPr>
              <w:rPr>
                <w:rFonts w:eastAsia="仿宋_GB2312"/>
                <w:color w:val="auto"/>
                <w:sz w:val="30"/>
                <w:szCs w:val="30"/>
                <w:highlight w:val="none"/>
              </w:rPr>
            </w:pPr>
          </w:p>
        </w:tc>
        <w:tc>
          <w:tcPr>
            <w:tcW w:w="1450" w:type="dxa"/>
            <w:noWrap w:val="0"/>
            <w:vAlign w:val="top"/>
          </w:tcPr>
          <w:p w14:paraId="42490743">
            <w:pPr>
              <w:rPr>
                <w:rFonts w:eastAsia="仿宋_GB2312"/>
                <w:color w:val="auto"/>
                <w:sz w:val="30"/>
                <w:szCs w:val="30"/>
                <w:highlight w:val="none"/>
              </w:rPr>
            </w:pPr>
          </w:p>
        </w:tc>
        <w:tc>
          <w:tcPr>
            <w:tcW w:w="1667" w:type="dxa"/>
            <w:noWrap w:val="0"/>
            <w:vAlign w:val="top"/>
          </w:tcPr>
          <w:p w14:paraId="0141887D">
            <w:pPr>
              <w:rPr>
                <w:rFonts w:eastAsia="仿宋_GB2312"/>
                <w:color w:val="auto"/>
                <w:sz w:val="30"/>
                <w:szCs w:val="30"/>
                <w:highlight w:val="none"/>
              </w:rPr>
            </w:pPr>
          </w:p>
        </w:tc>
      </w:tr>
      <w:tr w14:paraId="1B7A4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3B356BD">
            <w:pPr>
              <w:rPr>
                <w:rFonts w:eastAsia="仿宋_GB2312"/>
                <w:color w:val="auto"/>
                <w:sz w:val="30"/>
                <w:szCs w:val="30"/>
                <w:highlight w:val="none"/>
              </w:rPr>
            </w:pPr>
          </w:p>
        </w:tc>
        <w:tc>
          <w:tcPr>
            <w:tcW w:w="1276" w:type="dxa"/>
            <w:noWrap w:val="0"/>
            <w:vAlign w:val="top"/>
          </w:tcPr>
          <w:p w14:paraId="21E0A206">
            <w:pPr>
              <w:rPr>
                <w:rFonts w:eastAsia="仿宋_GB2312"/>
                <w:color w:val="auto"/>
                <w:sz w:val="30"/>
                <w:szCs w:val="30"/>
                <w:highlight w:val="none"/>
              </w:rPr>
            </w:pPr>
          </w:p>
        </w:tc>
        <w:tc>
          <w:tcPr>
            <w:tcW w:w="1450" w:type="dxa"/>
            <w:noWrap w:val="0"/>
            <w:vAlign w:val="top"/>
          </w:tcPr>
          <w:p w14:paraId="1EB9D226">
            <w:pPr>
              <w:rPr>
                <w:rFonts w:eastAsia="仿宋_GB2312"/>
                <w:color w:val="auto"/>
                <w:sz w:val="30"/>
                <w:szCs w:val="30"/>
                <w:highlight w:val="none"/>
              </w:rPr>
            </w:pPr>
          </w:p>
        </w:tc>
        <w:tc>
          <w:tcPr>
            <w:tcW w:w="1243" w:type="dxa"/>
            <w:noWrap w:val="0"/>
            <w:vAlign w:val="top"/>
          </w:tcPr>
          <w:p w14:paraId="50ECB0E5">
            <w:pPr>
              <w:rPr>
                <w:rFonts w:eastAsia="仿宋_GB2312"/>
                <w:color w:val="auto"/>
                <w:sz w:val="30"/>
                <w:szCs w:val="30"/>
                <w:highlight w:val="none"/>
              </w:rPr>
            </w:pPr>
          </w:p>
        </w:tc>
        <w:tc>
          <w:tcPr>
            <w:tcW w:w="1450" w:type="dxa"/>
            <w:noWrap w:val="0"/>
            <w:vAlign w:val="top"/>
          </w:tcPr>
          <w:p w14:paraId="228B5DC7">
            <w:pPr>
              <w:rPr>
                <w:rFonts w:eastAsia="仿宋_GB2312"/>
                <w:color w:val="auto"/>
                <w:sz w:val="30"/>
                <w:szCs w:val="30"/>
                <w:highlight w:val="none"/>
              </w:rPr>
            </w:pPr>
          </w:p>
        </w:tc>
        <w:tc>
          <w:tcPr>
            <w:tcW w:w="1667" w:type="dxa"/>
            <w:noWrap w:val="0"/>
            <w:vAlign w:val="top"/>
          </w:tcPr>
          <w:p w14:paraId="6B82F5BC">
            <w:pPr>
              <w:rPr>
                <w:rFonts w:eastAsia="仿宋_GB2312"/>
                <w:color w:val="auto"/>
                <w:sz w:val="30"/>
                <w:szCs w:val="30"/>
                <w:highlight w:val="none"/>
              </w:rPr>
            </w:pPr>
          </w:p>
        </w:tc>
      </w:tr>
      <w:tr w14:paraId="0EC51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91A89B7">
            <w:pPr>
              <w:rPr>
                <w:rFonts w:eastAsia="仿宋_GB2312"/>
                <w:color w:val="auto"/>
                <w:sz w:val="30"/>
                <w:szCs w:val="30"/>
                <w:highlight w:val="none"/>
              </w:rPr>
            </w:pPr>
          </w:p>
        </w:tc>
        <w:tc>
          <w:tcPr>
            <w:tcW w:w="1276" w:type="dxa"/>
            <w:noWrap w:val="0"/>
            <w:vAlign w:val="top"/>
          </w:tcPr>
          <w:p w14:paraId="489A4186">
            <w:pPr>
              <w:rPr>
                <w:rFonts w:eastAsia="仿宋_GB2312"/>
                <w:color w:val="auto"/>
                <w:sz w:val="30"/>
                <w:szCs w:val="30"/>
                <w:highlight w:val="none"/>
              </w:rPr>
            </w:pPr>
          </w:p>
        </w:tc>
        <w:tc>
          <w:tcPr>
            <w:tcW w:w="1450" w:type="dxa"/>
            <w:noWrap w:val="0"/>
            <w:vAlign w:val="top"/>
          </w:tcPr>
          <w:p w14:paraId="1E00F904">
            <w:pPr>
              <w:rPr>
                <w:rFonts w:eastAsia="仿宋_GB2312"/>
                <w:color w:val="auto"/>
                <w:sz w:val="30"/>
                <w:szCs w:val="30"/>
                <w:highlight w:val="none"/>
              </w:rPr>
            </w:pPr>
          </w:p>
        </w:tc>
        <w:tc>
          <w:tcPr>
            <w:tcW w:w="1243" w:type="dxa"/>
            <w:noWrap w:val="0"/>
            <w:vAlign w:val="top"/>
          </w:tcPr>
          <w:p w14:paraId="5F3DC54E">
            <w:pPr>
              <w:rPr>
                <w:rFonts w:eastAsia="仿宋_GB2312"/>
                <w:color w:val="auto"/>
                <w:sz w:val="30"/>
                <w:szCs w:val="30"/>
                <w:highlight w:val="none"/>
              </w:rPr>
            </w:pPr>
          </w:p>
        </w:tc>
        <w:tc>
          <w:tcPr>
            <w:tcW w:w="1450" w:type="dxa"/>
            <w:noWrap w:val="0"/>
            <w:vAlign w:val="top"/>
          </w:tcPr>
          <w:p w14:paraId="36BAA0F3">
            <w:pPr>
              <w:rPr>
                <w:rFonts w:eastAsia="仿宋_GB2312"/>
                <w:color w:val="auto"/>
                <w:sz w:val="30"/>
                <w:szCs w:val="30"/>
                <w:highlight w:val="none"/>
              </w:rPr>
            </w:pPr>
          </w:p>
        </w:tc>
        <w:tc>
          <w:tcPr>
            <w:tcW w:w="1667" w:type="dxa"/>
            <w:noWrap w:val="0"/>
            <w:vAlign w:val="top"/>
          </w:tcPr>
          <w:p w14:paraId="10FA4C26">
            <w:pPr>
              <w:rPr>
                <w:rFonts w:eastAsia="仿宋_GB2312"/>
                <w:color w:val="auto"/>
                <w:sz w:val="30"/>
                <w:szCs w:val="30"/>
                <w:highlight w:val="none"/>
              </w:rPr>
            </w:pPr>
          </w:p>
        </w:tc>
      </w:tr>
      <w:tr w14:paraId="6F520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D273A85">
            <w:pPr>
              <w:rPr>
                <w:rFonts w:eastAsia="仿宋_GB2312"/>
                <w:color w:val="auto"/>
                <w:sz w:val="30"/>
                <w:szCs w:val="30"/>
                <w:highlight w:val="none"/>
              </w:rPr>
            </w:pPr>
          </w:p>
        </w:tc>
        <w:tc>
          <w:tcPr>
            <w:tcW w:w="1276" w:type="dxa"/>
            <w:noWrap w:val="0"/>
            <w:vAlign w:val="top"/>
          </w:tcPr>
          <w:p w14:paraId="1A89B059">
            <w:pPr>
              <w:rPr>
                <w:rFonts w:eastAsia="仿宋_GB2312"/>
                <w:color w:val="auto"/>
                <w:sz w:val="30"/>
                <w:szCs w:val="30"/>
                <w:highlight w:val="none"/>
              </w:rPr>
            </w:pPr>
          </w:p>
        </w:tc>
        <w:tc>
          <w:tcPr>
            <w:tcW w:w="1450" w:type="dxa"/>
            <w:noWrap w:val="0"/>
            <w:vAlign w:val="top"/>
          </w:tcPr>
          <w:p w14:paraId="2A18B6FC">
            <w:pPr>
              <w:rPr>
                <w:rFonts w:eastAsia="仿宋_GB2312"/>
                <w:color w:val="auto"/>
                <w:sz w:val="30"/>
                <w:szCs w:val="30"/>
                <w:highlight w:val="none"/>
              </w:rPr>
            </w:pPr>
          </w:p>
        </w:tc>
        <w:tc>
          <w:tcPr>
            <w:tcW w:w="1243" w:type="dxa"/>
            <w:noWrap w:val="0"/>
            <w:vAlign w:val="top"/>
          </w:tcPr>
          <w:p w14:paraId="02CDCC37">
            <w:pPr>
              <w:rPr>
                <w:rFonts w:eastAsia="仿宋_GB2312"/>
                <w:color w:val="auto"/>
                <w:sz w:val="30"/>
                <w:szCs w:val="30"/>
                <w:highlight w:val="none"/>
              </w:rPr>
            </w:pPr>
          </w:p>
        </w:tc>
        <w:tc>
          <w:tcPr>
            <w:tcW w:w="1450" w:type="dxa"/>
            <w:noWrap w:val="0"/>
            <w:vAlign w:val="top"/>
          </w:tcPr>
          <w:p w14:paraId="5E7C53A8">
            <w:pPr>
              <w:rPr>
                <w:rFonts w:eastAsia="仿宋_GB2312"/>
                <w:color w:val="auto"/>
                <w:sz w:val="30"/>
                <w:szCs w:val="30"/>
                <w:highlight w:val="none"/>
              </w:rPr>
            </w:pPr>
          </w:p>
        </w:tc>
        <w:tc>
          <w:tcPr>
            <w:tcW w:w="1667" w:type="dxa"/>
            <w:noWrap w:val="0"/>
            <w:vAlign w:val="top"/>
          </w:tcPr>
          <w:p w14:paraId="71D0DE73">
            <w:pPr>
              <w:rPr>
                <w:rFonts w:eastAsia="仿宋_GB2312"/>
                <w:color w:val="auto"/>
                <w:sz w:val="30"/>
                <w:szCs w:val="30"/>
                <w:highlight w:val="none"/>
              </w:rPr>
            </w:pPr>
          </w:p>
        </w:tc>
      </w:tr>
      <w:tr w14:paraId="4980D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578B147">
            <w:pPr>
              <w:rPr>
                <w:rFonts w:eastAsia="仿宋_GB2312"/>
                <w:color w:val="auto"/>
                <w:sz w:val="30"/>
                <w:szCs w:val="30"/>
                <w:highlight w:val="none"/>
              </w:rPr>
            </w:pPr>
          </w:p>
        </w:tc>
        <w:tc>
          <w:tcPr>
            <w:tcW w:w="1276" w:type="dxa"/>
            <w:noWrap w:val="0"/>
            <w:vAlign w:val="top"/>
          </w:tcPr>
          <w:p w14:paraId="13EA9EE8">
            <w:pPr>
              <w:rPr>
                <w:rFonts w:eastAsia="仿宋_GB2312"/>
                <w:color w:val="auto"/>
                <w:sz w:val="30"/>
                <w:szCs w:val="30"/>
                <w:highlight w:val="none"/>
              </w:rPr>
            </w:pPr>
          </w:p>
        </w:tc>
        <w:tc>
          <w:tcPr>
            <w:tcW w:w="1450" w:type="dxa"/>
            <w:noWrap w:val="0"/>
            <w:vAlign w:val="top"/>
          </w:tcPr>
          <w:p w14:paraId="039813AC">
            <w:pPr>
              <w:rPr>
                <w:rFonts w:eastAsia="仿宋_GB2312"/>
                <w:color w:val="auto"/>
                <w:sz w:val="30"/>
                <w:szCs w:val="30"/>
                <w:highlight w:val="none"/>
              </w:rPr>
            </w:pPr>
          </w:p>
        </w:tc>
        <w:tc>
          <w:tcPr>
            <w:tcW w:w="1243" w:type="dxa"/>
            <w:noWrap w:val="0"/>
            <w:vAlign w:val="top"/>
          </w:tcPr>
          <w:p w14:paraId="3DB85937">
            <w:pPr>
              <w:rPr>
                <w:rFonts w:eastAsia="仿宋_GB2312"/>
                <w:color w:val="auto"/>
                <w:sz w:val="30"/>
                <w:szCs w:val="30"/>
                <w:highlight w:val="none"/>
              </w:rPr>
            </w:pPr>
          </w:p>
        </w:tc>
        <w:tc>
          <w:tcPr>
            <w:tcW w:w="1450" w:type="dxa"/>
            <w:noWrap w:val="0"/>
            <w:vAlign w:val="top"/>
          </w:tcPr>
          <w:p w14:paraId="275A5F48">
            <w:pPr>
              <w:rPr>
                <w:rFonts w:eastAsia="仿宋_GB2312"/>
                <w:color w:val="auto"/>
                <w:sz w:val="30"/>
                <w:szCs w:val="30"/>
                <w:highlight w:val="none"/>
              </w:rPr>
            </w:pPr>
          </w:p>
        </w:tc>
        <w:tc>
          <w:tcPr>
            <w:tcW w:w="1667" w:type="dxa"/>
            <w:noWrap w:val="0"/>
            <w:vAlign w:val="top"/>
          </w:tcPr>
          <w:p w14:paraId="3A304F4C">
            <w:pPr>
              <w:rPr>
                <w:rFonts w:eastAsia="仿宋_GB2312"/>
                <w:color w:val="auto"/>
                <w:sz w:val="30"/>
                <w:szCs w:val="30"/>
                <w:highlight w:val="none"/>
              </w:rPr>
            </w:pPr>
          </w:p>
        </w:tc>
      </w:tr>
      <w:tr w14:paraId="5CB1F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E72900">
            <w:pPr>
              <w:rPr>
                <w:rFonts w:eastAsia="仿宋_GB2312"/>
                <w:color w:val="auto"/>
                <w:sz w:val="30"/>
                <w:szCs w:val="30"/>
                <w:highlight w:val="none"/>
              </w:rPr>
            </w:pPr>
          </w:p>
        </w:tc>
        <w:tc>
          <w:tcPr>
            <w:tcW w:w="1276" w:type="dxa"/>
            <w:noWrap w:val="0"/>
            <w:vAlign w:val="top"/>
          </w:tcPr>
          <w:p w14:paraId="1F548078">
            <w:pPr>
              <w:rPr>
                <w:rFonts w:eastAsia="仿宋_GB2312"/>
                <w:color w:val="auto"/>
                <w:sz w:val="30"/>
                <w:szCs w:val="30"/>
                <w:highlight w:val="none"/>
              </w:rPr>
            </w:pPr>
          </w:p>
        </w:tc>
        <w:tc>
          <w:tcPr>
            <w:tcW w:w="1450" w:type="dxa"/>
            <w:noWrap w:val="0"/>
            <w:vAlign w:val="top"/>
          </w:tcPr>
          <w:p w14:paraId="10C6B597">
            <w:pPr>
              <w:rPr>
                <w:rFonts w:eastAsia="仿宋_GB2312"/>
                <w:color w:val="auto"/>
                <w:sz w:val="30"/>
                <w:szCs w:val="30"/>
                <w:highlight w:val="none"/>
              </w:rPr>
            </w:pPr>
          </w:p>
        </w:tc>
        <w:tc>
          <w:tcPr>
            <w:tcW w:w="1243" w:type="dxa"/>
            <w:noWrap w:val="0"/>
            <w:vAlign w:val="top"/>
          </w:tcPr>
          <w:p w14:paraId="366D8669">
            <w:pPr>
              <w:rPr>
                <w:rFonts w:eastAsia="仿宋_GB2312"/>
                <w:color w:val="auto"/>
                <w:sz w:val="30"/>
                <w:szCs w:val="30"/>
                <w:highlight w:val="none"/>
              </w:rPr>
            </w:pPr>
          </w:p>
        </w:tc>
        <w:tc>
          <w:tcPr>
            <w:tcW w:w="1450" w:type="dxa"/>
            <w:noWrap w:val="0"/>
            <w:vAlign w:val="top"/>
          </w:tcPr>
          <w:p w14:paraId="1478D44C">
            <w:pPr>
              <w:rPr>
                <w:rFonts w:eastAsia="仿宋_GB2312"/>
                <w:color w:val="auto"/>
                <w:sz w:val="30"/>
                <w:szCs w:val="30"/>
                <w:highlight w:val="none"/>
              </w:rPr>
            </w:pPr>
          </w:p>
        </w:tc>
        <w:tc>
          <w:tcPr>
            <w:tcW w:w="1667" w:type="dxa"/>
            <w:noWrap w:val="0"/>
            <w:vAlign w:val="top"/>
          </w:tcPr>
          <w:p w14:paraId="287D4A8B">
            <w:pPr>
              <w:rPr>
                <w:rFonts w:eastAsia="仿宋_GB2312"/>
                <w:color w:val="auto"/>
                <w:sz w:val="30"/>
                <w:szCs w:val="30"/>
                <w:highlight w:val="none"/>
              </w:rPr>
            </w:pPr>
          </w:p>
        </w:tc>
      </w:tr>
      <w:tr w14:paraId="5DBE1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13F3051">
            <w:pPr>
              <w:rPr>
                <w:rFonts w:eastAsia="仿宋_GB2312"/>
                <w:color w:val="auto"/>
                <w:sz w:val="30"/>
                <w:szCs w:val="30"/>
                <w:highlight w:val="none"/>
              </w:rPr>
            </w:pPr>
          </w:p>
        </w:tc>
        <w:tc>
          <w:tcPr>
            <w:tcW w:w="1276" w:type="dxa"/>
            <w:noWrap w:val="0"/>
            <w:vAlign w:val="top"/>
          </w:tcPr>
          <w:p w14:paraId="6B8BB054">
            <w:pPr>
              <w:rPr>
                <w:rFonts w:eastAsia="仿宋_GB2312"/>
                <w:color w:val="auto"/>
                <w:sz w:val="30"/>
                <w:szCs w:val="30"/>
                <w:highlight w:val="none"/>
              </w:rPr>
            </w:pPr>
          </w:p>
        </w:tc>
        <w:tc>
          <w:tcPr>
            <w:tcW w:w="1450" w:type="dxa"/>
            <w:noWrap w:val="0"/>
            <w:vAlign w:val="top"/>
          </w:tcPr>
          <w:p w14:paraId="5147ECDC">
            <w:pPr>
              <w:rPr>
                <w:rFonts w:eastAsia="仿宋_GB2312"/>
                <w:color w:val="auto"/>
                <w:sz w:val="30"/>
                <w:szCs w:val="30"/>
                <w:highlight w:val="none"/>
              </w:rPr>
            </w:pPr>
          </w:p>
        </w:tc>
        <w:tc>
          <w:tcPr>
            <w:tcW w:w="1243" w:type="dxa"/>
            <w:noWrap w:val="0"/>
            <w:vAlign w:val="top"/>
          </w:tcPr>
          <w:p w14:paraId="16916804">
            <w:pPr>
              <w:rPr>
                <w:rFonts w:eastAsia="仿宋_GB2312"/>
                <w:color w:val="auto"/>
                <w:sz w:val="30"/>
                <w:szCs w:val="30"/>
                <w:highlight w:val="none"/>
              </w:rPr>
            </w:pPr>
          </w:p>
        </w:tc>
        <w:tc>
          <w:tcPr>
            <w:tcW w:w="1450" w:type="dxa"/>
            <w:noWrap w:val="0"/>
            <w:vAlign w:val="top"/>
          </w:tcPr>
          <w:p w14:paraId="04D6BD05">
            <w:pPr>
              <w:rPr>
                <w:rFonts w:eastAsia="仿宋_GB2312"/>
                <w:color w:val="auto"/>
                <w:sz w:val="30"/>
                <w:szCs w:val="30"/>
                <w:highlight w:val="none"/>
              </w:rPr>
            </w:pPr>
          </w:p>
        </w:tc>
        <w:tc>
          <w:tcPr>
            <w:tcW w:w="1667" w:type="dxa"/>
            <w:noWrap w:val="0"/>
            <w:vAlign w:val="top"/>
          </w:tcPr>
          <w:p w14:paraId="1B575C2F">
            <w:pPr>
              <w:rPr>
                <w:rFonts w:eastAsia="仿宋_GB2312"/>
                <w:color w:val="auto"/>
                <w:sz w:val="30"/>
                <w:szCs w:val="30"/>
                <w:highlight w:val="none"/>
              </w:rPr>
            </w:pPr>
          </w:p>
        </w:tc>
      </w:tr>
      <w:tr w14:paraId="40515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ED6C68">
            <w:pPr>
              <w:rPr>
                <w:rFonts w:eastAsia="仿宋_GB2312"/>
                <w:color w:val="auto"/>
                <w:sz w:val="30"/>
                <w:szCs w:val="30"/>
                <w:highlight w:val="none"/>
              </w:rPr>
            </w:pPr>
          </w:p>
        </w:tc>
        <w:tc>
          <w:tcPr>
            <w:tcW w:w="1276" w:type="dxa"/>
            <w:noWrap w:val="0"/>
            <w:vAlign w:val="top"/>
          </w:tcPr>
          <w:p w14:paraId="6D7F84FF">
            <w:pPr>
              <w:rPr>
                <w:rFonts w:eastAsia="仿宋_GB2312"/>
                <w:color w:val="auto"/>
                <w:sz w:val="30"/>
                <w:szCs w:val="30"/>
                <w:highlight w:val="none"/>
              </w:rPr>
            </w:pPr>
          </w:p>
        </w:tc>
        <w:tc>
          <w:tcPr>
            <w:tcW w:w="1450" w:type="dxa"/>
            <w:noWrap w:val="0"/>
            <w:vAlign w:val="top"/>
          </w:tcPr>
          <w:p w14:paraId="7193D141">
            <w:pPr>
              <w:rPr>
                <w:rFonts w:eastAsia="仿宋_GB2312"/>
                <w:color w:val="auto"/>
                <w:sz w:val="30"/>
                <w:szCs w:val="30"/>
                <w:highlight w:val="none"/>
              </w:rPr>
            </w:pPr>
          </w:p>
        </w:tc>
        <w:tc>
          <w:tcPr>
            <w:tcW w:w="1243" w:type="dxa"/>
            <w:noWrap w:val="0"/>
            <w:vAlign w:val="top"/>
          </w:tcPr>
          <w:p w14:paraId="73D5AFE8">
            <w:pPr>
              <w:rPr>
                <w:rFonts w:eastAsia="仿宋_GB2312"/>
                <w:color w:val="auto"/>
                <w:sz w:val="30"/>
                <w:szCs w:val="30"/>
                <w:highlight w:val="none"/>
              </w:rPr>
            </w:pPr>
          </w:p>
        </w:tc>
        <w:tc>
          <w:tcPr>
            <w:tcW w:w="1450" w:type="dxa"/>
            <w:noWrap w:val="0"/>
            <w:vAlign w:val="top"/>
          </w:tcPr>
          <w:p w14:paraId="254B29B0">
            <w:pPr>
              <w:rPr>
                <w:rFonts w:eastAsia="仿宋_GB2312"/>
                <w:color w:val="auto"/>
                <w:sz w:val="30"/>
                <w:szCs w:val="30"/>
                <w:highlight w:val="none"/>
              </w:rPr>
            </w:pPr>
          </w:p>
        </w:tc>
        <w:tc>
          <w:tcPr>
            <w:tcW w:w="1667" w:type="dxa"/>
            <w:noWrap w:val="0"/>
            <w:vAlign w:val="top"/>
          </w:tcPr>
          <w:p w14:paraId="264F5A58">
            <w:pPr>
              <w:rPr>
                <w:rFonts w:eastAsia="仿宋_GB2312"/>
                <w:color w:val="auto"/>
                <w:sz w:val="30"/>
                <w:szCs w:val="30"/>
                <w:highlight w:val="none"/>
              </w:rPr>
            </w:pPr>
          </w:p>
        </w:tc>
      </w:tr>
    </w:tbl>
    <w:p w14:paraId="0DA080D3">
      <w:pPr>
        <w:spacing w:line="440" w:lineRule="exact"/>
        <w:rPr>
          <w:rFonts w:eastAsia="仿宋_GB2312"/>
          <w:color w:val="auto"/>
          <w:sz w:val="30"/>
          <w:szCs w:val="30"/>
          <w:highlight w:val="none"/>
        </w:rPr>
      </w:pPr>
    </w:p>
    <w:p w14:paraId="77A20D77">
      <w:pPr>
        <w:spacing w:before="120" w:beforeLines="50" w:after="120" w:afterLines="50" w:line="440" w:lineRule="exact"/>
        <w:jc w:val="left"/>
        <w:rPr>
          <w:rFonts w:eastAsia="黑体"/>
          <w:color w:val="auto"/>
          <w:sz w:val="30"/>
          <w:szCs w:val="30"/>
          <w:highlight w:val="none"/>
        </w:rPr>
      </w:pPr>
      <w:r>
        <w:rPr>
          <w:rFonts w:eastAsia="仿宋_GB2312"/>
          <w:color w:val="auto"/>
          <w:sz w:val="30"/>
          <w:szCs w:val="30"/>
          <w:highlight w:val="none"/>
        </w:rPr>
        <w:br w:type="page"/>
      </w:r>
      <w:r>
        <w:rPr>
          <w:rFonts w:hint="eastAsia" w:ascii="仿宋_GB2312" w:eastAsia="仿宋_GB2312" w:cs="仿宋_GB2312"/>
          <w:color w:val="auto"/>
          <w:sz w:val="30"/>
          <w:szCs w:val="30"/>
          <w:highlight w:val="none"/>
        </w:rPr>
        <w:t>附件4：</w:t>
      </w:r>
    </w:p>
    <w:p w14:paraId="5D955F7E">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1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E56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6493AD35">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612CB9D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10C3C666">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4178E53B">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4F92C2EA">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464BF6B5">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7183E79D">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33EBD9A7">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7B324768">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7EDD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1F840D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4DB3D6C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21D2B91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182D368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465AFB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77521C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15F8762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501D22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01AC5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BF8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9D8777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142F59F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9B5FC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E1DEB9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420B3F3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B27D8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3A0902B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47C302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AEC7B0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AC8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EBEEF8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2AADCE8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2B64864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474A69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ADD716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F6EBCB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3DCEAE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09C35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D362CC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9C0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BB26B8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07E0F4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BFF3E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58F1F06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097BF76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295B6BF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490E01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184F05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D7288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99B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4757DB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4DFF512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D2F3D7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3E92A5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79183BC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2E5E52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085B62B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98E19B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6319B9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1B0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4D2B01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5DBB9AC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97C81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0D1CF8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65255C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25027B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5D5DF8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AF5F74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3264C4F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691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D002A3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5C3EB8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5EAA4A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40B28E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166F9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9C07E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6996818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8C86B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FBD77E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78D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65F009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0447B5E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1AE0904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1894E60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80FF3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000A7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333514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54A06C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09CDFA2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6D3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F1791A5">
            <w:pPr>
              <w:rPr>
                <w:rFonts w:eastAsia="仿宋_GB2312"/>
                <w:color w:val="auto"/>
                <w:sz w:val="30"/>
                <w:szCs w:val="30"/>
                <w:highlight w:val="none"/>
              </w:rPr>
            </w:pPr>
          </w:p>
        </w:tc>
        <w:tc>
          <w:tcPr>
            <w:tcW w:w="1418" w:type="dxa"/>
            <w:noWrap w:val="0"/>
            <w:vAlign w:val="top"/>
          </w:tcPr>
          <w:p w14:paraId="687CB7CF">
            <w:pPr>
              <w:rPr>
                <w:rFonts w:eastAsia="仿宋_GB2312"/>
                <w:color w:val="auto"/>
                <w:sz w:val="30"/>
                <w:szCs w:val="30"/>
                <w:highlight w:val="none"/>
              </w:rPr>
            </w:pPr>
          </w:p>
        </w:tc>
        <w:tc>
          <w:tcPr>
            <w:tcW w:w="850" w:type="dxa"/>
            <w:noWrap w:val="0"/>
            <w:vAlign w:val="top"/>
          </w:tcPr>
          <w:p w14:paraId="65CBA4AB">
            <w:pPr>
              <w:rPr>
                <w:rFonts w:eastAsia="仿宋_GB2312"/>
                <w:color w:val="auto"/>
                <w:sz w:val="30"/>
                <w:szCs w:val="30"/>
                <w:highlight w:val="none"/>
              </w:rPr>
            </w:pPr>
          </w:p>
        </w:tc>
        <w:tc>
          <w:tcPr>
            <w:tcW w:w="1058" w:type="dxa"/>
            <w:noWrap w:val="0"/>
            <w:vAlign w:val="top"/>
          </w:tcPr>
          <w:p w14:paraId="48328C2A">
            <w:pPr>
              <w:rPr>
                <w:rFonts w:eastAsia="仿宋_GB2312"/>
                <w:color w:val="auto"/>
                <w:sz w:val="30"/>
                <w:szCs w:val="30"/>
                <w:highlight w:val="none"/>
              </w:rPr>
            </w:pPr>
          </w:p>
        </w:tc>
        <w:tc>
          <w:tcPr>
            <w:tcW w:w="880" w:type="dxa"/>
            <w:noWrap w:val="0"/>
            <w:vAlign w:val="top"/>
          </w:tcPr>
          <w:p w14:paraId="4BC8E66E">
            <w:pPr>
              <w:rPr>
                <w:rFonts w:eastAsia="仿宋_GB2312"/>
                <w:color w:val="auto"/>
                <w:sz w:val="30"/>
                <w:szCs w:val="30"/>
                <w:highlight w:val="none"/>
              </w:rPr>
            </w:pPr>
          </w:p>
        </w:tc>
        <w:tc>
          <w:tcPr>
            <w:tcW w:w="1020" w:type="dxa"/>
            <w:noWrap w:val="0"/>
            <w:vAlign w:val="top"/>
          </w:tcPr>
          <w:p w14:paraId="27485F2C">
            <w:pPr>
              <w:rPr>
                <w:rFonts w:eastAsia="仿宋_GB2312"/>
                <w:color w:val="auto"/>
                <w:sz w:val="30"/>
                <w:szCs w:val="30"/>
                <w:highlight w:val="none"/>
              </w:rPr>
            </w:pPr>
          </w:p>
        </w:tc>
        <w:tc>
          <w:tcPr>
            <w:tcW w:w="1480" w:type="dxa"/>
            <w:noWrap w:val="0"/>
            <w:vAlign w:val="top"/>
          </w:tcPr>
          <w:p w14:paraId="42BD0DF6">
            <w:pPr>
              <w:rPr>
                <w:rFonts w:eastAsia="仿宋_GB2312"/>
                <w:color w:val="auto"/>
                <w:sz w:val="30"/>
                <w:szCs w:val="30"/>
                <w:highlight w:val="none"/>
              </w:rPr>
            </w:pPr>
          </w:p>
        </w:tc>
        <w:tc>
          <w:tcPr>
            <w:tcW w:w="1020" w:type="dxa"/>
            <w:noWrap w:val="0"/>
            <w:vAlign w:val="top"/>
          </w:tcPr>
          <w:p w14:paraId="6423F5E4">
            <w:pPr>
              <w:rPr>
                <w:rFonts w:eastAsia="仿宋_GB2312"/>
                <w:color w:val="auto"/>
                <w:sz w:val="30"/>
                <w:szCs w:val="30"/>
                <w:highlight w:val="none"/>
              </w:rPr>
            </w:pPr>
          </w:p>
        </w:tc>
        <w:tc>
          <w:tcPr>
            <w:tcW w:w="921" w:type="dxa"/>
            <w:noWrap w:val="0"/>
            <w:vAlign w:val="top"/>
          </w:tcPr>
          <w:p w14:paraId="0E1AC19F">
            <w:pPr>
              <w:rPr>
                <w:rFonts w:eastAsia="仿宋_GB2312"/>
                <w:color w:val="auto"/>
                <w:sz w:val="30"/>
                <w:szCs w:val="30"/>
                <w:highlight w:val="none"/>
              </w:rPr>
            </w:pPr>
          </w:p>
        </w:tc>
      </w:tr>
      <w:tr w14:paraId="4828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0C5406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7958F1B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68087C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DDE03E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1C3E24B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2BA244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2004BFD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7537B6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06F9AE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C8D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69D8C36">
            <w:pPr>
              <w:rPr>
                <w:rFonts w:eastAsia="仿宋_GB2312"/>
                <w:color w:val="auto"/>
                <w:sz w:val="30"/>
                <w:szCs w:val="30"/>
                <w:highlight w:val="none"/>
              </w:rPr>
            </w:pPr>
          </w:p>
        </w:tc>
        <w:tc>
          <w:tcPr>
            <w:tcW w:w="1418" w:type="dxa"/>
            <w:noWrap w:val="0"/>
            <w:vAlign w:val="top"/>
          </w:tcPr>
          <w:p w14:paraId="0DB06A9A">
            <w:pPr>
              <w:rPr>
                <w:rFonts w:eastAsia="仿宋_GB2312"/>
                <w:color w:val="auto"/>
                <w:sz w:val="30"/>
                <w:szCs w:val="30"/>
                <w:highlight w:val="none"/>
              </w:rPr>
            </w:pPr>
          </w:p>
        </w:tc>
        <w:tc>
          <w:tcPr>
            <w:tcW w:w="850" w:type="dxa"/>
            <w:noWrap w:val="0"/>
            <w:vAlign w:val="top"/>
          </w:tcPr>
          <w:p w14:paraId="42330978">
            <w:pPr>
              <w:rPr>
                <w:rFonts w:eastAsia="仿宋_GB2312"/>
                <w:color w:val="auto"/>
                <w:sz w:val="30"/>
                <w:szCs w:val="30"/>
                <w:highlight w:val="none"/>
              </w:rPr>
            </w:pPr>
          </w:p>
        </w:tc>
        <w:tc>
          <w:tcPr>
            <w:tcW w:w="1058" w:type="dxa"/>
            <w:noWrap w:val="0"/>
            <w:vAlign w:val="top"/>
          </w:tcPr>
          <w:p w14:paraId="65EE67F7">
            <w:pPr>
              <w:rPr>
                <w:rFonts w:eastAsia="仿宋_GB2312"/>
                <w:color w:val="auto"/>
                <w:sz w:val="30"/>
                <w:szCs w:val="30"/>
                <w:highlight w:val="none"/>
              </w:rPr>
            </w:pPr>
          </w:p>
        </w:tc>
        <w:tc>
          <w:tcPr>
            <w:tcW w:w="880" w:type="dxa"/>
            <w:noWrap w:val="0"/>
            <w:vAlign w:val="top"/>
          </w:tcPr>
          <w:p w14:paraId="7D4C22CB">
            <w:pPr>
              <w:rPr>
                <w:rFonts w:eastAsia="仿宋_GB2312"/>
                <w:color w:val="auto"/>
                <w:sz w:val="30"/>
                <w:szCs w:val="30"/>
                <w:highlight w:val="none"/>
              </w:rPr>
            </w:pPr>
          </w:p>
        </w:tc>
        <w:tc>
          <w:tcPr>
            <w:tcW w:w="1020" w:type="dxa"/>
            <w:noWrap w:val="0"/>
            <w:vAlign w:val="top"/>
          </w:tcPr>
          <w:p w14:paraId="0478B5BC">
            <w:pPr>
              <w:rPr>
                <w:rFonts w:eastAsia="仿宋_GB2312"/>
                <w:color w:val="auto"/>
                <w:sz w:val="30"/>
                <w:szCs w:val="30"/>
                <w:highlight w:val="none"/>
              </w:rPr>
            </w:pPr>
          </w:p>
        </w:tc>
        <w:tc>
          <w:tcPr>
            <w:tcW w:w="1480" w:type="dxa"/>
            <w:noWrap w:val="0"/>
            <w:vAlign w:val="top"/>
          </w:tcPr>
          <w:p w14:paraId="081B0906">
            <w:pPr>
              <w:rPr>
                <w:rFonts w:eastAsia="仿宋_GB2312"/>
                <w:color w:val="auto"/>
                <w:sz w:val="30"/>
                <w:szCs w:val="30"/>
                <w:highlight w:val="none"/>
              </w:rPr>
            </w:pPr>
          </w:p>
        </w:tc>
        <w:tc>
          <w:tcPr>
            <w:tcW w:w="1020" w:type="dxa"/>
            <w:noWrap w:val="0"/>
            <w:vAlign w:val="top"/>
          </w:tcPr>
          <w:p w14:paraId="6D23F0EF">
            <w:pPr>
              <w:rPr>
                <w:rFonts w:eastAsia="仿宋_GB2312"/>
                <w:color w:val="auto"/>
                <w:sz w:val="30"/>
                <w:szCs w:val="30"/>
                <w:highlight w:val="none"/>
              </w:rPr>
            </w:pPr>
          </w:p>
        </w:tc>
        <w:tc>
          <w:tcPr>
            <w:tcW w:w="921" w:type="dxa"/>
            <w:noWrap w:val="0"/>
            <w:vAlign w:val="top"/>
          </w:tcPr>
          <w:p w14:paraId="5DE7AC01">
            <w:pPr>
              <w:rPr>
                <w:rFonts w:eastAsia="仿宋_GB2312"/>
                <w:color w:val="auto"/>
                <w:sz w:val="30"/>
                <w:szCs w:val="30"/>
                <w:highlight w:val="none"/>
              </w:rPr>
            </w:pPr>
          </w:p>
        </w:tc>
      </w:tr>
      <w:tr w14:paraId="17FA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DDA0F06">
            <w:pPr>
              <w:rPr>
                <w:rFonts w:eastAsia="仿宋_GB2312"/>
                <w:color w:val="auto"/>
                <w:sz w:val="30"/>
                <w:szCs w:val="30"/>
                <w:highlight w:val="none"/>
              </w:rPr>
            </w:pPr>
          </w:p>
        </w:tc>
        <w:tc>
          <w:tcPr>
            <w:tcW w:w="1418" w:type="dxa"/>
            <w:noWrap w:val="0"/>
            <w:vAlign w:val="top"/>
          </w:tcPr>
          <w:p w14:paraId="608922EC">
            <w:pPr>
              <w:rPr>
                <w:rFonts w:eastAsia="仿宋_GB2312"/>
                <w:color w:val="auto"/>
                <w:sz w:val="30"/>
                <w:szCs w:val="30"/>
                <w:highlight w:val="none"/>
              </w:rPr>
            </w:pPr>
          </w:p>
        </w:tc>
        <w:tc>
          <w:tcPr>
            <w:tcW w:w="850" w:type="dxa"/>
            <w:noWrap w:val="0"/>
            <w:vAlign w:val="top"/>
          </w:tcPr>
          <w:p w14:paraId="729784A2">
            <w:pPr>
              <w:rPr>
                <w:rFonts w:eastAsia="仿宋_GB2312"/>
                <w:color w:val="auto"/>
                <w:sz w:val="30"/>
                <w:szCs w:val="30"/>
                <w:highlight w:val="none"/>
              </w:rPr>
            </w:pPr>
          </w:p>
        </w:tc>
        <w:tc>
          <w:tcPr>
            <w:tcW w:w="1058" w:type="dxa"/>
            <w:noWrap w:val="0"/>
            <w:vAlign w:val="top"/>
          </w:tcPr>
          <w:p w14:paraId="15034B6E">
            <w:pPr>
              <w:rPr>
                <w:rFonts w:eastAsia="仿宋_GB2312"/>
                <w:color w:val="auto"/>
                <w:sz w:val="30"/>
                <w:szCs w:val="30"/>
                <w:highlight w:val="none"/>
              </w:rPr>
            </w:pPr>
          </w:p>
        </w:tc>
        <w:tc>
          <w:tcPr>
            <w:tcW w:w="880" w:type="dxa"/>
            <w:noWrap w:val="0"/>
            <w:vAlign w:val="top"/>
          </w:tcPr>
          <w:p w14:paraId="5ACFA3B8">
            <w:pPr>
              <w:rPr>
                <w:rFonts w:eastAsia="仿宋_GB2312"/>
                <w:color w:val="auto"/>
                <w:sz w:val="30"/>
                <w:szCs w:val="30"/>
                <w:highlight w:val="none"/>
              </w:rPr>
            </w:pPr>
          </w:p>
        </w:tc>
        <w:tc>
          <w:tcPr>
            <w:tcW w:w="1020" w:type="dxa"/>
            <w:noWrap w:val="0"/>
            <w:vAlign w:val="top"/>
          </w:tcPr>
          <w:p w14:paraId="18C65D67">
            <w:pPr>
              <w:rPr>
                <w:rFonts w:eastAsia="仿宋_GB2312"/>
                <w:color w:val="auto"/>
                <w:sz w:val="30"/>
                <w:szCs w:val="30"/>
                <w:highlight w:val="none"/>
              </w:rPr>
            </w:pPr>
          </w:p>
        </w:tc>
        <w:tc>
          <w:tcPr>
            <w:tcW w:w="1480" w:type="dxa"/>
            <w:noWrap w:val="0"/>
            <w:vAlign w:val="top"/>
          </w:tcPr>
          <w:p w14:paraId="4A888DB8">
            <w:pPr>
              <w:rPr>
                <w:rFonts w:eastAsia="仿宋_GB2312"/>
                <w:color w:val="auto"/>
                <w:sz w:val="30"/>
                <w:szCs w:val="30"/>
                <w:highlight w:val="none"/>
              </w:rPr>
            </w:pPr>
          </w:p>
        </w:tc>
        <w:tc>
          <w:tcPr>
            <w:tcW w:w="1020" w:type="dxa"/>
            <w:noWrap w:val="0"/>
            <w:vAlign w:val="top"/>
          </w:tcPr>
          <w:p w14:paraId="4CBF0537">
            <w:pPr>
              <w:rPr>
                <w:rFonts w:eastAsia="仿宋_GB2312"/>
                <w:color w:val="auto"/>
                <w:sz w:val="30"/>
                <w:szCs w:val="30"/>
                <w:highlight w:val="none"/>
              </w:rPr>
            </w:pPr>
          </w:p>
        </w:tc>
        <w:tc>
          <w:tcPr>
            <w:tcW w:w="921" w:type="dxa"/>
            <w:noWrap w:val="0"/>
            <w:vAlign w:val="top"/>
          </w:tcPr>
          <w:p w14:paraId="7AA904BB">
            <w:pPr>
              <w:rPr>
                <w:rFonts w:eastAsia="仿宋_GB2312"/>
                <w:color w:val="auto"/>
                <w:sz w:val="30"/>
                <w:szCs w:val="30"/>
                <w:highlight w:val="none"/>
              </w:rPr>
            </w:pPr>
          </w:p>
        </w:tc>
      </w:tr>
      <w:tr w14:paraId="3C7F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9F7E787">
            <w:pPr>
              <w:rPr>
                <w:rFonts w:eastAsia="仿宋_GB2312"/>
                <w:color w:val="auto"/>
                <w:sz w:val="30"/>
                <w:szCs w:val="30"/>
                <w:highlight w:val="none"/>
              </w:rPr>
            </w:pPr>
          </w:p>
        </w:tc>
        <w:tc>
          <w:tcPr>
            <w:tcW w:w="1418" w:type="dxa"/>
            <w:noWrap w:val="0"/>
            <w:vAlign w:val="top"/>
          </w:tcPr>
          <w:p w14:paraId="112EE689">
            <w:pPr>
              <w:rPr>
                <w:rFonts w:eastAsia="仿宋_GB2312"/>
                <w:color w:val="auto"/>
                <w:sz w:val="30"/>
                <w:szCs w:val="30"/>
                <w:highlight w:val="none"/>
              </w:rPr>
            </w:pPr>
          </w:p>
        </w:tc>
        <w:tc>
          <w:tcPr>
            <w:tcW w:w="850" w:type="dxa"/>
            <w:noWrap w:val="0"/>
            <w:vAlign w:val="top"/>
          </w:tcPr>
          <w:p w14:paraId="3CC4B6E3">
            <w:pPr>
              <w:rPr>
                <w:rFonts w:eastAsia="仿宋_GB2312"/>
                <w:color w:val="auto"/>
                <w:sz w:val="30"/>
                <w:szCs w:val="30"/>
                <w:highlight w:val="none"/>
              </w:rPr>
            </w:pPr>
          </w:p>
        </w:tc>
        <w:tc>
          <w:tcPr>
            <w:tcW w:w="1058" w:type="dxa"/>
            <w:noWrap w:val="0"/>
            <w:vAlign w:val="top"/>
          </w:tcPr>
          <w:p w14:paraId="50FA55FF">
            <w:pPr>
              <w:rPr>
                <w:rFonts w:eastAsia="仿宋_GB2312"/>
                <w:color w:val="auto"/>
                <w:sz w:val="30"/>
                <w:szCs w:val="30"/>
                <w:highlight w:val="none"/>
              </w:rPr>
            </w:pPr>
          </w:p>
        </w:tc>
        <w:tc>
          <w:tcPr>
            <w:tcW w:w="880" w:type="dxa"/>
            <w:noWrap w:val="0"/>
            <w:vAlign w:val="top"/>
          </w:tcPr>
          <w:p w14:paraId="3826A943">
            <w:pPr>
              <w:rPr>
                <w:rFonts w:eastAsia="仿宋_GB2312"/>
                <w:color w:val="auto"/>
                <w:sz w:val="30"/>
                <w:szCs w:val="30"/>
                <w:highlight w:val="none"/>
              </w:rPr>
            </w:pPr>
          </w:p>
        </w:tc>
        <w:tc>
          <w:tcPr>
            <w:tcW w:w="1020" w:type="dxa"/>
            <w:noWrap w:val="0"/>
            <w:vAlign w:val="top"/>
          </w:tcPr>
          <w:p w14:paraId="325ED690">
            <w:pPr>
              <w:rPr>
                <w:rFonts w:eastAsia="仿宋_GB2312"/>
                <w:color w:val="auto"/>
                <w:sz w:val="30"/>
                <w:szCs w:val="30"/>
                <w:highlight w:val="none"/>
              </w:rPr>
            </w:pPr>
          </w:p>
        </w:tc>
        <w:tc>
          <w:tcPr>
            <w:tcW w:w="1480" w:type="dxa"/>
            <w:noWrap w:val="0"/>
            <w:vAlign w:val="top"/>
          </w:tcPr>
          <w:p w14:paraId="1DBBD906">
            <w:pPr>
              <w:rPr>
                <w:rFonts w:eastAsia="仿宋_GB2312"/>
                <w:color w:val="auto"/>
                <w:sz w:val="30"/>
                <w:szCs w:val="30"/>
                <w:highlight w:val="none"/>
              </w:rPr>
            </w:pPr>
          </w:p>
        </w:tc>
        <w:tc>
          <w:tcPr>
            <w:tcW w:w="1020" w:type="dxa"/>
            <w:noWrap w:val="0"/>
            <w:vAlign w:val="top"/>
          </w:tcPr>
          <w:p w14:paraId="56FF377A">
            <w:pPr>
              <w:rPr>
                <w:rFonts w:eastAsia="仿宋_GB2312"/>
                <w:color w:val="auto"/>
                <w:sz w:val="30"/>
                <w:szCs w:val="30"/>
                <w:highlight w:val="none"/>
              </w:rPr>
            </w:pPr>
          </w:p>
        </w:tc>
        <w:tc>
          <w:tcPr>
            <w:tcW w:w="921" w:type="dxa"/>
            <w:noWrap w:val="0"/>
            <w:vAlign w:val="top"/>
          </w:tcPr>
          <w:p w14:paraId="3ADF7795">
            <w:pPr>
              <w:rPr>
                <w:rFonts w:eastAsia="仿宋_GB2312"/>
                <w:color w:val="auto"/>
                <w:sz w:val="30"/>
                <w:szCs w:val="30"/>
                <w:highlight w:val="none"/>
              </w:rPr>
            </w:pPr>
          </w:p>
        </w:tc>
      </w:tr>
      <w:tr w14:paraId="2A21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9F46507">
            <w:pPr>
              <w:rPr>
                <w:rFonts w:eastAsia="仿宋_GB2312"/>
                <w:color w:val="auto"/>
                <w:sz w:val="30"/>
                <w:szCs w:val="30"/>
                <w:highlight w:val="none"/>
              </w:rPr>
            </w:pPr>
          </w:p>
        </w:tc>
        <w:tc>
          <w:tcPr>
            <w:tcW w:w="1418" w:type="dxa"/>
            <w:noWrap w:val="0"/>
            <w:vAlign w:val="top"/>
          </w:tcPr>
          <w:p w14:paraId="3AA6C7D6">
            <w:pPr>
              <w:rPr>
                <w:rFonts w:eastAsia="仿宋_GB2312"/>
                <w:color w:val="auto"/>
                <w:sz w:val="30"/>
                <w:szCs w:val="30"/>
                <w:highlight w:val="none"/>
              </w:rPr>
            </w:pPr>
          </w:p>
        </w:tc>
        <w:tc>
          <w:tcPr>
            <w:tcW w:w="850" w:type="dxa"/>
            <w:noWrap w:val="0"/>
            <w:vAlign w:val="top"/>
          </w:tcPr>
          <w:p w14:paraId="42CD3A87">
            <w:pPr>
              <w:rPr>
                <w:rFonts w:eastAsia="仿宋_GB2312"/>
                <w:color w:val="auto"/>
                <w:sz w:val="30"/>
                <w:szCs w:val="30"/>
                <w:highlight w:val="none"/>
              </w:rPr>
            </w:pPr>
          </w:p>
        </w:tc>
        <w:tc>
          <w:tcPr>
            <w:tcW w:w="1058" w:type="dxa"/>
            <w:noWrap w:val="0"/>
            <w:vAlign w:val="top"/>
          </w:tcPr>
          <w:p w14:paraId="6E601FF2">
            <w:pPr>
              <w:rPr>
                <w:rFonts w:eastAsia="仿宋_GB2312"/>
                <w:color w:val="auto"/>
                <w:sz w:val="30"/>
                <w:szCs w:val="30"/>
                <w:highlight w:val="none"/>
              </w:rPr>
            </w:pPr>
          </w:p>
        </w:tc>
        <w:tc>
          <w:tcPr>
            <w:tcW w:w="880" w:type="dxa"/>
            <w:noWrap w:val="0"/>
            <w:vAlign w:val="top"/>
          </w:tcPr>
          <w:p w14:paraId="2552959D">
            <w:pPr>
              <w:rPr>
                <w:rFonts w:eastAsia="仿宋_GB2312"/>
                <w:color w:val="auto"/>
                <w:sz w:val="30"/>
                <w:szCs w:val="30"/>
                <w:highlight w:val="none"/>
              </w:rPr>
            </w:pPr>
          </w:p>
        </w:tc>
        <w:tc>
          <w:tcPr>
            <w:tcW w:w="1020" w:type="dxa"/>
            <w:noWrap w:val="0"/>
            <w:vAlign w:val="top"/>
          </w:tcPr>
          <w:p w14:paraId="5AB539A5">
            <w:pPr>
              <w:rPr>
                <w:rFonts w:eastAsia="仿宋_GB2312"/>
                <w:color w:val="auto"/>
                <w:sz w:val="30"/>
                <w:szCs w:val="30"/>
                <w:highlight w:val="none"/>
              </w:rPr>
            </w:pPr>
          </w:p>
        </w:tc>
        <w:tc>
          <w:tcPr>
            <w:tcW w:w="1480" w:type="dxa"/>
            <w:noWrap w:val="0"/>
            <w:vAlign w:val="top"/>
          </w:tcPr>
          <w:p w14:paraId="2A0044F2">
            <w:pPr>
              <w:rPr>
                <w:rFonts w:eastAsia="仿宋_GB2312"/>
                <w:color w:val="auto"/>
                <w:sz w:val="30"/>
                <w:szCs w:val="30"/>
                <w:highlight w:val="none"/>
              </w:rPr>
            </w:pPr>
          </w:p>
        </w:tc>
        <w:tc>
          <w:tcPr>
            <w:tcW w:w="1020" w:type="dxa"/>
            <w:noWrap w:val="0"/>
            <w:vAlign w:val="top"/>
          </w:tcPr>
          <w:p w14:paraId="1FA51460">
            <w:pPr>
              <w:rPr>
                <w:rFonts w:eastAsia="仿宋_GB2312"/>
                <w:color w:val="auto"/>
                <w:sz w:val="30"/>
                <w:szCs w:val="30"/>
                <w:highlight w:val="none"/>
              </w:rPr>
            </w:pPr>
          </w:p>
        </w:tc>
        <w:tc>
          <w:tcPr>
            <w:tcW w:w="921" w:type="dxa"/>
            <w:noWrap w:val="0"/>
            <w:vAlign w:val="top"/>
          </w:tcPr>
          <w:p w14:paraId="44150E92">
            <w:pPr>
              <w:rPr>
                <w:rFonts w:eastAsia="仿宋_GB2312"/>
                <w:color w:val="auto"/>
                <w:sz w:val="30"/>
                <w:szCs w:val="30"/>
                <w:highlight w:val="none"/>
              </w:rPr>
            </w:pPr>
          </w:p>
        </w:tc>
      </w:tr>
      <w:tr w14:paraId="3EF3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B548008">
            <w:pPr>
              <w:rPr>
                <w:rFonts w:eastAsia="仿宋_GB2312"/>
                <w:color w:val="auto"/>
                <w:sz w:val="30"/>
                <w:szCs w:val="30"/>
                <w:highlight w:val="none"/>
              </w:rPr>
            </w:pPr>
          </w:p>
        </w:tc>
        <w:tc>
          <w:tcPr>
            <w:tcW w:w="1418" w:type="dxa"/>
            <w:noWrap w:val="0"/>
            <w:vAlign w:val="top"/>
          </w:tcPr>
          <w:p w14:paraId="6DF90F7B">
            <w:pPr>
              <w:rPr>
                <w:rFonts w:eastAsia="仿宋_GB2312"/>
                <w:color w:val="auto"/>
                <w:sz w:val="30"/>
                <w:szCs w:val="30"/>
                <w:highlight w:val="none"/>
              </w:rPr>
            </w:pPr>
          </w:p>
        </w:tc>
        <w:tc>
          <w:tcPr>
            <w:tcW w:w="850" w:type="dxa"/>
            <w:noWrap w:val="0"/>
            <w:vAlign w:val="top"/>
          </w:tcPr>
          <w:p w14:paraId="2CFDA8AA">
            <w:pPr>
              <w:rPr>
                <w:rFonts w:eastAsia="仿宋_GB2312"/>
                <w:color w:val="auto"/>
                <w:sz w:val="30"/>
                <w:szCs w:val="30"/>
                <w:highlight w:val="none"/>
              </w:rPr>
            </w:pPr>
          </w:p>
        </w:tc>
        <w:tc>
          <w:tcPr>
            <w:tcW w:w="1058" w:type="dxa"/>
            <w:noWrap w:val="0"/>
            <w:vAlign w:val="top"/>
          </w:tcPr>
          <w:p w14:paraId="40412310">
            <w:pPr>
              <w:rPr>
                <w:rFonts w:eastAsia="仿宋_GB2312"/>
                <w:color w:val="auto"/>
                <w:sz w:val="30"/>
                <w:szCs w:val="30"/>
                <w:highlight w:val="none"/>
              </w:rPr>
            </w:pPr>
          </w:p>
        </w:tc>
        <w:tc>
          <w:tcPr>
            <w:tcW w:w="880" w:type="dxa"/>
            <w:noWrap w:val="0"/>
            <w:vAlign w:val="top"/>
          </w:tcPr>
          <w:p w14:paraId="62ED7615">
            <w:pPr>
              <w:rPr>
                <w:rFonts w:eastAsia="仿宋_GB2312"/>
                <w:color w:val="auto"/>
                <w:sz w:val="30"/>
                <w:szCs w:val="30"/>
                <w:highlight w:val="none"/>
              </w:rPr>
            </w:pPr>
          </w:p>
        </w:tc>
        <w:tc>
          <w:tcPr>
            <w:tcW w:w="1020" w:type="dxa"/>
            <w:noWrap w:val="0"/>
            <w:vAlign w:val="top"/>
          </w:tcPr>
          <w:p w14:paraId="1DB0BDEA">
            <w:pPr>
              <w:rPr>
                <w:rFonts w:eastAsia="仿宋_GB2312"/>
                <w:color w:val="auto"/>
                <w:sz w:val="30"/>
                <w:szCs w:val="30"/>
                <w:highlight w:val="none"/>
              </w:rPr>
            </w:pPr>
          </w:p>
        </w:tc>
        <w:tc>
          <w:tcPr>
            <w:tcW w:w="1480" w:type="dxa"/>
            <w:noWrap w:val="0"/>
            <w:vAlign w:val="top"/>
          </w:tcPr>
          <w:p w14:paraId="1E2B937C">
            <w:pPr>
              <w:rPr>
                <w:rFonts w:eastAsia="仿宋_GB2312"/>
                <w:color w:val="auto"/>
                <w:sz w:val="30"/>
                <w:szCs w:val="30"/>
                <w:highlight w:val="none"/>
              </w:rPr>
            </w:pPr>
          </w:p>
        </w:tc>
        <w:tc>
          <w:tcPr>
            <w:tcW w:w="1020" w:type="dxa"/>
            <w:noWrap w:val="0"/>
            <w:vAlign w:val="top"/>
          </w:tcPr>
          <w:p w14:paraId="1F304ADA">
            <w:pPr>
              <w:rPr>
                <w:rFonts w:eastAsia="仿宋_GB2312"/>
                <w:color w:val="auto"/>
                <w:sz w:val="30"/>
                <w:szCs w:val="30"/>
                <w:highlight w:val="none"/>
              </w:rPr>
            </w:pPr>
          </w:p>
        </w:tc>
        <w:tc>
          <w:tcPr>
            <w:tcW w:w="921" w:type="dxa"/>
            <w:noWrap w:val="0"/>
            <w:vAlign w:val="top"/>
          </w:tcPr>
          <w:p w14:paraId="712DB2B3">
            <w:pPr>
              <w:rPr>
                <w:rFonts w:eastAsia="仿宋_GB2312"/>
                <w:color w:val="auto"/>
                <w:sz w:val="30"/>
                <w:szCs w:val="30"/>
                <w:highlight w:val="none"/>
              </w:rPr>
            </w:pPr>
          </w:p>
        </w:tc>
      </w:tr>
      <w:tr w14:paraId="2549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81FF333">
            <w:pPr>
              <w:rPr>
                <w:rFonts w:eastAsia="仿宋_GB2312"/>
                <w:color w:val="auto"/>
                <w:sz w:val="30"/>
                <w:szCs w:val="30"/>
                <w:highlight w:val="none"/>
              </w:rPr>
            </w:pPr>
          </w:p>
        </w:tc>
        <w:tc>
          <w:tcPr>
            <w:tcW w:w="1418" w:type="dxa"/>
            <w:noWrap w:val="0"/>
            <w:vAlign w:val="top"/>
          </w:tcPr>
          <w:p w14:paraId="2F29A7AC">
            <w:pPr>
              <w:rPr>
                <w:rFonts w:eastAsia="仿宋_GB2312"/>
                <w:color w:val="auto"/>
                <w:sz w:val="30"/>
                <w:szCs w:val="30"/>
                <w:highlight w:val="none"/>
              </w:rPr>
            </w:pPr>
          </w:p>
        </w:tc>
        <w:tc>
          <w:tcPr>
            <w:tcW w:w="850" w:type="dxa"/>
            <w:noWrap w:val="0"/>
            <w:vAlign w:val="top"/>
          </w:tcPr>
          <w:p w14:paraId="03C0D83A">
            <w:pPr>
              <w:rPr>
                <w:rFonts w:eastAsia="仿宋_GB2312"/>
                <w:color w:val="auto"/>
                <w:sz w:val="30"/>
                <w:szCs w:val="30"/>
                <w:highlight w:val="none"/>
              </w:rPr>
            </w:pPr>
          </w:p>
        </w:tc>
        <w:tc>
          <w:tcPr>
            <w:tcW w:w="1058" w:type="dxa"/>
            <w:noWrap w:val="0"/>
            <w:vAlign w:val="top"/>
          </w:tcPr>
          <w:p w14:paraId="36E5CBF8">
            <w:pPr>
              <w:rPr>
                <w:rFonts w:eastAsia="仿宋_GB2312"/>
                <w:color w:val="auto"/>
                <w:sz w:val="30"/>
                <w:szCs w:val="30"/>
                <w:highlight w:val="none"/>
              </w:rPr>
            </w:pPr>
          </w:p>
        </w:tc>
        <w:tc>
          <w:tcPr>
            <w:tcW w:w="880" w:type="dxa"/>
            <w:noWrap w:val="0"/>
            <w:vAlign w:val="top"/>
          </w:tcPr>
          <w:p w14:paraId="441AF650">
            <w:pPr>
              <w:rPr>
                <w:rFonts w:eastAsia="仿宋_GB2312"/>
                <w:color w:val="auto"/>
                <w:sz w:val="30"/>
                <w:szCs w:val="30"/>
                <w:highlight w:val="none"/>
              </w:rPr>
            </w:pPr>
          </w:p>
        </w:tc>
        <w:tc>
          <w:tcPr>
            <w:tcW w:w="1020" w:type="dxa"/>
            <w:noWrap w:val="0"/>
            <w:vAlign w:val="top"/>
          </w:tcPr>
          <w:p w14:paraId="373CEC80">
            <w:pPr>
              <w:rPr>
                <w:rFonts w:eastAsia="仿宋_GB2312"/>
                <w:color w:val="auto"/>
                <w:sz w:val="30"/>
                <w:szCs w:val="30"/>
                <w:highlight w:val="none"/>
              </w:rPr>
            </w:pPr>
          </w:p>
        </w:tc>
        <w:tc>
          <w:tcPr>
            <w:tcW w:w="1480" w:type="dxa"/>
            <w:noWrap w:val="0"/>
            <w:vAlign w:val="top"/>
          </w:tcPr>
          <w:p w14:paraId="5D9B38FD">
            <w:pPr>
              <w:rPr>
                <w:rFonts w:eastAsia="仿宋_GB2312"/>
                <w:color w:val="auto"/>
                <w:sz w:val="30"/>
                <w:szCs w:val="30"/>
                <w:highlight w:val="none"/>
              </w:rPr>
            </w:pPr>
          </w:p>
        </w:tc>
        <w:tc>
          <w:tcPr>
            <w:tcW w:w="1020" w:type="dxa"/>
            <w:noWrap w:val="0"/>
            <w:vAlign w:val="top"/>
          </w:tcPr>
          <w:p w14:paraId="43B84774">
            <w:pPr>
              <w:rPr>
                <w:rFonts w:eastAsia="仿宋_GB2312"/>
                <w:color w:val="auto"/>
                <w:sz w:val="30"/>
                <w:szCs w:val="30"/>
                <w:highlight w:val="none"/>
              </w:rPr>
            </w:pPr>
          </w:p>
        </w:tc>
        <w:tc>
          <w:tcPr>
            <w:tcW w:w="921" w:type="dxa"/>
            <w:noWrap w:val="0"/>
            <w:vAlign w:val="top"/>
          </w:tcPr>
          <w:p w14:paraId="21F0DC16">
            <w:pPr>
              <w:rPr>
                <w:rFonts w:eastAsia="仿宋_GB2312"/>
                <w:color w:val="auto"/>
                <w:sz w:val="30"/>
                <w:szCs w:val="30"/>
                <w:highlight w:val="none"/>
              </w:rPr>
            </w:pPr>
          </w:p>
        </w:tc>
      </w:tr>
      <w:tr w14:paraId="7039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D3837F2">
            <w:pPr>
              <w:rPr>
                <w:rFonts w:eastAsia="仿宋_GB2312"/>
                <w:color w:val="auto"/>
                <w:sz w:val="30"/>
                <w:szCs w:val="30"/>
                <w:highlight w:val="none"/>
              </w:rPr>
            </w:pPr>
          </w:p>
        </w:tc>
        <w:tc>
          <w:tcPr>
            <w:tcW w:w="1418" w:type="dxa"/>
            <w:noWrap w:val="0"/>
            <w:vAlign w:val="top"/>
          </w:tcPr>
          <w:p w14:paraId="4E215550">
            <w:pPr>
              <w:rPr>
                <w:rFonts w:eastAsia="仿宋_GB2312"/>
                <w:color w:val="auto"/>
                <w:sz w:val="30"/>
                <w:szCs w:val="30"/>
                <w:highlight w:val="none"/>
              </w:rPr>
            </w:pPr>
          </w:p>
        </w:tc>
        <w:tc>
          <w:tcPr>
            <w:tcW w:w="850" w:type="dxa"/>
            <w:noWrap w:val="0"/>
            <w:vAlign w:val="top"/>
          </w:tcPr>
          <w:p w14:paraId="50BFB03D">
            <w:pPr>
              <w:rPr>
                <w:rFonts w:eastAsia="仿宋_GB2312"/>
                <w:color w:val="auto"/>
                <w:sz w:val="30"/>
                <w:szCs w:val="30"/>
                <w:highlight w:val="none"/>
              </w:rPr>
            </w:pPr>
          </w:p>
        </w:tc>
        <w:tc>
          <w:tcPr>
            <w:tcW w:w="1058" w:type="dxa"/>
            <w:noWrap w:val="0"/>
            <w:vAlign w:val="top"/>
          </w:tcPr>
          <w:p w14:paraId="0111535B">
            <w:pPr>
              <w:rPr>
                <w:rFonts w:eastAsia="仿宋_GB2312"/>
                <w:color w:val="auto"/>
                <w:sz w:val="30"/>
                <w:szCs w:val="30"/>
                <w:highlight w:val="none"/>
              </w:rPr>
            </w:pPr>
          </w:p>
        </w:tc>
        <w:tc>
          <w:tcPr>
            <w:tcW w:w="880" w:type="dxa"/>
            <w:noWrap w:val="0"/>
            <w:vAlign w:val="top"/>
          </w:tcPr>
          <w:p w14:paraId="29512379">
            <w:pPr>
              <w:rPr>
                <w:rFonts w:eastAsia="仿宋_GB2312"/>
                <w:color w:val="auto"/>
                <w:sz w:val="30"/>
                <w:szCs w:val="30"/>
                <w:highlight w:val="none"/>
              </w:rPr>
            </w:pPr>
          </w:p>
        </w:tc>
        <w:tc>
          <w:tcPr>
            <w:tcW w:w="1020" w:type="dxa"/>
            <w:noWrap w:val="0"/>
            <w:vAlign w:val="top"/>
          </w:tcPr>
          <w:p w14:paraId="05FAD084">
            <w:pPr>
              <w:rPr>
                <w:rFonts w:eastAsia="仿宋_GB2312"/>
                <w:color w:val="auto"/>
                <w:sz w:val="30"/>
                <w:szCs w:val="30"/>
                <w:highlight w:val="none"/>
              </w:rPr>
            </w:pPr>
          </w:p>
        </w:tc>
        <w:tc>
          <w:tcPr>
            <w:tcW w:w="1480" w:type="dxa"/>
            <w:noWrap w:val="0"/>
            <w:vAlign w:val="top"/>
          </w:tcPr>
          <w:p w14:paraId="52FBEEFE">
            <w:pPr>
              <w:rPr>
                <w:rFonts w:eastAsia="仿宋_GB2312"/>
                <w:color w:val="auto"/>
                <w:sz w:val="30"/>
                <w:szCs w:val="30"/>
                <w:highlight w:val="none"/>
              </w:rPr>
            </w:pPr>
          </w:p>
        </w:tc>
        <w:tc>
          <w:tcPr>
            <w:tcW w:w="1020" w:type="dxa"/>
            <w:noWrap w:val="0"/>
            <w:vAlign w:val="top"/>
          </w:tcPr>
          <w:p w14:paraId="4B634ACB">
            <w:pPr>
              <w:rPr>
                <w:rFonts w:eastAsia="仿宋_GB2312"/>
                <w:color w:val="auto"/>
                <w:sz w:val="30"/>
                <w:szCs w:val="30"/>
                <w:highlight w:val="none"/>
              </w:rPr>
            </w:pPr>
          </w:p>
        </w:tc>
        <w:tc>
          <w:tcPr>
            <w:tcW w:w="921" w:type="dxa"/>
            <w:noWrap w:val="0"/>
            <w:vAlign w:val="top"/>
          </w:tcPr>
          <w:p w14:paraId="54330A72">
            <w:pPr>
              <w:rPr>
                <w:rFonts w:eastAsia="仿宋_GB2312"/>
                <w:color w:val="auto"/>
                <w:sz w:val="30"/>
                <w:szCs w:val="30"/>
                <w:highlight w:val="none"/>
              </w:rPr>
            </w:pPr>
          </w:p>
        </w:tc>
      </w:tr>
      <w:tr w14:paraId="7CA7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9AA1A21">
            <w:pPr>
              <w:rPr>
                <w:rFonts w:eastAsia="仿宋_GB2312"/>
                <w:color w:val="auto"/>
                <w:sz w:val="30"/>
                <w:szCs w:val="30"/>
                <w:highlight w:val="none"/>
              </w:rPr>
            </w:pPr>
          </w:p>
        </w:tc>
        <w:tc>
          <w:tcPr>
            <w:tcW w:w="1418" w:type="dxa"/>
            <w:noWrap w:val="0"/>
            <w:vAlign w:val="top"/>
          </w:tcPr>
          <w:p w14:paraId="6A6C6A59">
            <w:pPr>
              <w:rPr>
                <w:rFonts w:eastAsia="仿宋_GB2312"/>
                <w:color w:val="auto"/>
                <w:sz w:val="30"/>
                <w:szCs w:val="30"/>
                <w:highlight w:val="none"/>
              </w:rPr>
            </w:pPr>
          </w:p>
        </w:tc>
        <w:tc>
          <w:tcPr>
            <w:tcW w:w="850" w:type="dxa"/>
            <w:noWrap w:val="0"/>
            <w:vAlign w:val="top"/>
          </w:tcPr>
          <w:p w14:paraId="04C3BC73">
            <w:pPr>
              <w:rPr>
                <w:rFonts w:eastAsia="仿宋_GB2312"/>
                <w:color w:val="auto"/>
                <w:sz w:val="30"/>
                <w:szCs w:val="30"/>
                <w:highlight w:val="none"/>
              </w:rPr>
            </w:pPr>
          </w:p>
        </w:tc>
        <w:tc>
          <w:tcPr>
            <w:tcW w:w="1058" w:type="dxa"/>
            <w:noWrap w:val="0"/>
            <w:vAlign w:val="top"/>
          </w:tcPr>
          <w:p w14:paraId="08E0CB13">
            <w:pPr>
              <w:rPr>
                <w:rFonts w:eastAsia="仿宋_GB2312"/>
                <w:color w:val="auto"/>
                <w:sz w:val="30"/>
                <w:szCs w:val="30"/>
                <w:highlight w:val="none"/>
              </w:rPr>
            </w:pPr>
          </w:p>
        </w:tc>
        <w:tc>
          <w:tcPr>
            <w:tcW w:w="880" w:type="dxa"/>
            <w:noWrap w:val="0"/>
            <w:vAlign w:val="top"/>
          </w:tcPr>
          <w:p w14:paraId="5EEB6F81">
            <w:pPr>
              <w:rPr>
                <w:rFonts w:eastAsia="仿宋_GB2312"/>
                <w:color w:val="auto"/>
                <w:sz w:val="30"/>
                <w:szCs w:val="30"/>
                <w:highlight w:val="none"/>
              </w:rPr>
            </w:pPr>
          </w:p>
        </w:tc>
        <w:tc>
          <w:tcPr>
            <w:tcW w:w="1020" w:type="dxa"/>
            <w:noWrap w:val="0"/>
            <w:vAlign w:val="top"/>
          </w:tcPr>
          <w:p w14:paraId="2B9D38A7">
            <w:pPr>
              <w:rPr>
                <w:rFonts w:eastAsia="仿宋_GB2312"/>
                <w:color w:val="auto"/>
                <w:sz w:val="30"/>
                <w:szCs w:val="30"/>
                <w:highlight w:val="none"/>
              </w:rPr>
            </w:pPr>
          </w:p>
        </w:tc>
        <w:tc>
          <w:tcPr>
            <w:tcW w:w="1480" w:type="dxa"/>
            <w:noWrap w:val="0"/>
            <w:vAlign w:val="top"/>
          </w:tcPr>
          <w:p w14:paraId="42DAE705">
            <w:pPr>
              <w:rPr>
                <w:rFonts w:eastAsia="仿宋_GB2312"/>
                <w:color w:val="auto"/>
                <w:sz w:val="30"/>
                <w:szCs w:val="30"/>
                <w:highlight w:val="none"/>
              </w:rPr>
            </w:pPr>
          </w:p>
        </w:tc>
        <w:tc>
          <w:tcPr>
            <w:tcW w:w="1020" w:type="dxa"/>
            <w:noWrap w:val="0"/>
            <w:vAlign w:val="top"/>
          </w:tcPr>
          <w:p w14:paraId="39371CDB">
            <w:pPr>
              <w:rPr>
                <w:rFonts w:eastAsia="仿宋_GB2312"/>
                <w:color w:val="auto"/>
                <w:sz w:val="30"/>
                <w:szCs w:val="30"/>
                <w:highlight w:val="none"/>
              </w:rPr>
            </w:pPr>
          </w:p>
        </w:tc>
        <w:tc>
          <w:tcPr>
            <w:tcW w:w="921" w:type="dxa"/>
            <w:noWrap w:val="0"/>
            <w:vAlign w:val="top"/>
          </w:tcPr>
          <w:p w14:paraId="5D71E3AF">
            <w:pPr>
              <w:rPr>
                <w:rFonts w:eastAsia="仿宋_GB2312"/>
                <w:color w:val="auto"/>
                <w:sz w:val="30"/>
                <w:szCs w:val="30"/>
                <w:highlight w:val="none"/>
              </w:rPr>
            </w:pPr>
          </w:p>
        </w:tc>
      </w:tr>
      <w:tr w14:paraId="48C8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B1B1251">
            <w:pPr>
              <w:rPr>
                <w:rFonts w:eastAsia="仿宋_GB2312"/>
                <w:color w:val="auto"/>
                <w:sz w:val="30"/>
                <w:szCs w:val="30"/>
                <w:highlight w:val="none"/>
              </w:rPr>
            </w:pPr>
          </w:p>
        </w:tc>
        <w:tc>
          <w:tcPr>
            <w:tcW w:w="1418" w:type="dxa"/>
            <w:noWrap w:val="0"/>
            <w:vAlign w:val="top"/>
          </w:tcPr>
          <w:p w14:paraId="0226CF92">
            <w:pPr>
              <w:rPr>
                <w:rFonts w:eastAsia="仿宋_GB2312"/>
                <w:color w:val="auto"/>
                <w:sz w:val="30"/>
                <w:szCs w:val="30"/>
                <w:highlight w:val="none"/>
              </w:rPr>
            </w:pPr>
          </w:p>
        </w:tc>
        <w:tc>
          <w:tcPr>
            <w:tcW w:w="850" w:type="dxa"/>
            <w:noWrap w:val="0"/>
            <w:vAlign w:val="top"/>
          </w:tcPr>
          <w:p w14:paraId="59425336">
            <w:pPr>
              <w:rPr>
                <w:rFonts w:eastAsia="仿宋_GB2312"/>
                <w:color w:val="auto"/>
                <w:sz w:val="30"/>
                <w:szCs w:val="30"/>
                <w:highlight w:val="none"/>
              </w:rPr>
            </w:pPr>
          </w:p>
        </w:tc>
        <w:tc>
          <w:tcPr>
            <w:tcW w:w="1058" w:type="dxa"/>
            <w:noWrap w:val="0"/>
            <w:vAlign w:val="top"/>
          </w:tcPr>
          <w:p w14:paraId="7EE4D60B">
            <w:pPr>
              <w:rPr>
                <w:rFonts w:eastAsia="仿宋_GB2312"/>
                <w:color w:val="auto"/>
                <w:sz w:val="30"/>
                <w:szCs w:val="30"/>
                <w:highlight w:val="none"/>
              </w:rPr>
            </w:pPr>
          </w:p>
        </w:tc>
        <w:tc>
          <w:tcPr>
            <w:tcW w:w="880" w:type="dxa"/>
            <w:noWrap w:val="0"/>
            <w:vAlign w:val="top"/>
          </w:tcPr>
          <w:p w14:paraId="4AC95CC4">
            <w:pPr>
              <w:rPr>
                <w:rFonts w:eastAsia="仿宋_GB2312"/>
                <w:color w:val="auto"/>
                <w:sz w:val="30"/>
                <w:szCs w:val="30"/>
                <w:highlight w:val="none"/>
              </w:rPr>
            </w:pPr>
          </w:p>
        </w:tc>
        <w:tc>
          <w:tcPr>
            <w:tcW w:w="1020" w:type="dxa"/>
            <w:noWrap w:val="0"/>
            <w:vAlign w:val="top"/>
          </w:tcPr>
          <w:p w14:paraId="38E3374F">
            <w:pPr>
              <w:rPr>
                <w:rFonts w:eastAsia="仿宋_GB2312"/>
                <w:color w:val="auto"/>
                <w:sz w:val="30"/>
                <w:szCs w:val="30"/>
                <w:highlight w:val="none"/>
              </w:rPr>
            </w:pPr>
          </w:p>
        </w:tc>
        <w:tc>
          <w:tcPr>
            <w:tcW w:w="1480" w:type="dxa"/>
            <w:noWrap w:val="0"/>
            <w:vAlign w:val="top"/>
          </w:tcPr>
          <w:p w14:paraId="0EAADFF3">
            <w:pPr>
              <w:rPr>
                <w:rFonts w:eastAsia="仿宋_GB2312"/>
                <w:color w:val="auto"/>
                <w:sz w:val="30"/>
                <w:szCs w:val="30"/>
                <w:highlight w:val="none"/>
              </w:rPr>
            </w:pPr>
          </w:p>
        </w:tc>
        <w:tc>
          <w:tcPr>
            <w:tcW w:w="1020" w:type="dxa"/>
            <w:noWrap w:val="0"/>
            <w:vAlign w:val="top"/>
          </w:tcPr>
          <w:p w14:paraId="3B601421">
            <w:pPr>
              <w:rPr>
                <w:rFonts w:eastAsia="仿宋_GB2312"/>
                <w:color w:val="auto"/>
                <w:sz w:val="30"/>
                <w:szCs w:val="30"/>
                <w:highlight w:val="none"/>
              </w:rPr>
            </w:pPr>
          </w:p>
        </w:tc>
        <w:tc>
          <w:tcPr>
            <w:tcW w:w="921" w:type="dxa"/>
            <w:noWrap w:val="0"/>
            <w:vAlign w:val="top"/>
          </w:tcPr>
          <w:p w14:paraId="530AF2D6">
            <w:pPr>
              <w:rPr>
                <w:rFonts w:eastAsia="仿宋_GB2312"/>
                <w:color w:val="auto"/>
                <w:sz w:val="30"/>
                <w:szCs w:val="30"/>
                <w:highlight w:val="none"/>
              </w:rPr>
            </w:pPr>
          </w:p>
        </w:tc>
      </w:tr>
    </w:tbl>
    <w:p w14:paraId="1E8F6147">
      <w:pPr>
        <w:spacing w:line="440" w:lineRule="exact"/>
        <w:rPr>
          <w:rFonts w:eastAsia="仿宋_GB2312"/>
          <w:color w:val="auto"/>
          <w:sz w:val="30"/>
          <w:szCs w:val="30"/>
          <w:highlight w:val="none"/>
        </w:rPr>
        <w:sectPr>
          <w:pgSz w:w="11907" w:h="16840"/>
          <w:pgMar w:top="1440" w:right="1440" w:bottom="1440" w:left="1797" w:header="851" w:footer="851" w:gutter="0"/>
          <w:pgNumType w:fmt="decimal"/>
          <w:cols w:space="720" w:num="1"/>
          <w:docGrid w:linePitch="312" w:charSpace="0"/>
        </w:sectPr>
      </w:pPr>
    </w:p>
    <w:p w14:paraId="2432B059">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w:t>
      </w:r>
      <w:bookmarkStart w:id="915" w:name="_Toc296503228"/>
      <w:bookmarkStart w:id="916" w:name="_Toc267261699"/>
      <w:bookmarkStart w:id="917" w:name="_Toc296347227"/>
      <w:bookmarkStart w:id="918" w:name="_Toc296944567"/>
      <w:bookmarkStart w:id="919" w:name="_Toc296891056"/>
      <w:bookmarkStart w:id="920" w:name="_Toc296346729"/>
      <w:bookmarkStart w:id="921" w:name="_Toc296891268"/>
      <w:r>
        <w:rPr>
          <w:rFonts w:hint="eastAsia" w:ascii="仿宋_GB2312" w:eastAsia="仿宋_GB2312" w:cs="仿宋_GB2312"/>
          <w:color w:val="auto"/>
          <w:sz w:val="30"/>
          <w:szCs w:val="30"/>
          <w:highlight w:val="none"/>
        </w:rPr>
        <w:t>件5：</w:t>
      </w:r>
    </w:p>
    <w:bookmarkEnd w:id="915"/>
    <w:bookmarkEnd w:id="916"/>
    <w:bookmarkEnd w:id="917"/>
    <w:bookmarkEnd w:id="918"/>
    <w:bookmarkEnd w:id="919"/>
    <w:bookmarkEnd w:id="920"/>
    <w:bookmarkEnd w:id="921"/>
    <w:p w14:paraId="0F23F73C">
      <w:pPr>
        <w:spacing w:before="156" w:beforeLines="50" w:after="156"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1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377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156B69E">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noWrap w:val="0"/>
            <w:vAlign w:val="center"/>
          </w:tcPr>
          <w:p w14:paraId="2F447865">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7F4AEE41">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4DC83D35">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7CD49974">
            <w:pPr>
              <w:keepNext/>
              <w:adjustRightInd w:val="0"/>
              <w:spacing w:line="440" w:lineRule="exact"/>
              <w:ind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531C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4B89478">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1E4A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7C660FD">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7E94C6F7">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EBE32E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20C6C2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143BB8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B2B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5FB335F">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1A0486D9">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A8D8E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B188A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F72EFB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31D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C3F60F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16D455C3">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56E88E8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E85A5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D21B9B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D34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28C2B6">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7198529F">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753C7F7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C2040A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BFE83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940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66BCC5F">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6FAB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C8B334D">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768C1AB6">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181DB5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3F728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6CD87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AB1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DC0C8A8">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17F45BBE">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3C64D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F108B4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3D8152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9D8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8D582EB">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207F4471">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5104FA7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A0B609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728D3C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346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2AEFF1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5CC58728">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1B73CC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AFF14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87F0C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0EF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8B914F6">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7576F681">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A6A6AC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BFE655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A3A88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F2E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9AFFEE1">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0037EEB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26E7F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179212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4064D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E37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CBE2A8F">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3DB102FD">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052009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D5EB8C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9B9993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8F5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0D810CA">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7314CC53">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735306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6BDB4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E7007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693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A3A4A6E">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64561157">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42C8D2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C3D9F7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9CCD60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50E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B0F4B46">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1F34828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5405D2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E3D849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F40967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1F8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239B733">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41AD792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81703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B4BB5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7C9E3A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D7D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CDAEE9">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3572613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160B6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57FE0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681BA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2A2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31FBEE5">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E14B149">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CAFB16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EC52E3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1E291E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EB4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E058436">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4419A689">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02DF39C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DF9601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F4FB3D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DF9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6C778E8">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5E14B426">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C9C44B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0C868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0747E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EC5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9B0789F">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3CD30927">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57A360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ED807B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14B6B9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BC4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C1EE5AE">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5A650B1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36BAA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63282C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BBE3C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26C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2013BBF">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50E9959F">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19F259E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600298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922C65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1CC9D7FF">
      <w:pPr>
        <w:spacing w:before="120" w:beforeLines="50" w:after="120" w:afterLines="50" w:line="440" w:lineRule="exact"/>
        <w:jc w:val="left"/>
        <w:rPr>
          <w:rFonts w:eastAsia="黑体"/>
          <w:color w:val="auto"/>
          <w:sz w:val="30"/>
          <w:szCs w:val="30"/>
          <w:highlight w:val="none"/>
        </w:rPr>
      </w:pPr>
      <w:r>
        <w:rPr>
          <w:rFonts w:eastAsia="仿宋_GB2312"/>
          <w:color w:val="auto"/>
          <w:sz w:val="30"/>
          <w:szCs w:val="30"/>
          <w:highlight w:val="none"/>
        </w:rPr>
        <w:br w:type="page"/>
      </w:r>
      <w:r>
        <w:rPr>
          <w:rFonts w:hint="eastAsia" w:ascii="仿宋_GB2312" w:eastAsia="仿宋_GB2312" w:cs="仿宋_GB2312"/>
          <w:color w:val="auto"/>
          <w:sz w:val="30"/>
          <w:szCs w:val="30"/>
          <w:highlight w:val="none"/>
        </w:rPr>
        <w:t>附</w:t>
      </w:r>
      <w:bookmarkStart w:id="922" w:name="_Toc296944568"/>
      <w:bookmarkStart w:id="923" w:name="_Toc296503229"/>
      <w:bookmarkStart w:id="924" w:name="_Toc296347228"/>
      <w:bookmarkStart w:id="925" w:name="_Toc296346730"/>
      <w:bookmarkStart w:id="926" w:name="_Toc296891057"/>
      <w:bookmarkStart w:id="927" w:name="_Toc296891269"/>
      <w:r>
        <w:rPr>
          <w:rFonts w:hint="eastAsia" w:ascii="仿宋_GB2312" w:eastAsia="仿宋_GB2312" w:cs="仿宋_GB2312"/>
          <w:color w:val="auto"/>
          <w:sz w:val="30"/>
          <w:szCs w:val="30"/>
          <w:highlight w:val="none"/>
        </w:rPr>
        <w:t>件6：</w:t>
      </w:r>
    </w:p>
    <w:bookmarkEnd w:id="922"/>
    <w:bookmarkEnd w:id="923"/>
    <w:bookmarkEnd w:id="924"/>
    <w:bookmarkEnd w:id="925"/>
    <w:bookmarkEnd w:id="926"/>
    <w:bookmarkEnd w:id="927"/>
    <w:p w14:paraId="3A3D79C5">
      <w:pPr>
        <w:spacing w:before="156" w:beforeLines="50" w:after="156"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1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34A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28937C7">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noWrap w:val="0"/>
            <w:vAlign w:val="center"/>
          </w:tcPr>
          <w:p w14:paraId="78651AD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7CA35E5A">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092AAB40">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1A4196D6">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51EE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9110604">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2DB2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9DF472">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27B3C6FE">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5149BD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A18832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FF77D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196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8C00104">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4814E4E">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0BB8A0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4F9CB4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260ABF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88C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62FD47B">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0279D432">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79F7EFF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497AB2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7EE0C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4E3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FB0376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66480B56">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BF9A45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CBA2AB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AE9F25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699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F3D1BF4">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638D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9BD09F2">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4885F82E">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360798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544A5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99856B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95F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0D1F7A6">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279AD5D5">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571AB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1DD962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D04B7E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90A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D02C829">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7E1F175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4A5F63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13D08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790EAF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1C8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21A8679">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7AC0F1CA">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48D575A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D9104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03CB17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576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CCF850">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49BA367B">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7C2A55D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4DCF6E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9A9B10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77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2300BC4">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3E9E32ED">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5F59A6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79C40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4D59E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E25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6772A8A">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27A9332E">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1106FC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D7E9C8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42E24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90F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FE27159">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57C00D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0560AB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CA5F3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43115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CE9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AF5A889">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31CA786A">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7E20C9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7EE69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42324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12F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314E27">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623F8561">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12D837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3B1FA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3C453F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12C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737F643">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461CD2C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453C64F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1B68A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173F9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356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B10E221">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15EDCB53">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AA313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E188C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F48786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922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0B7E0A">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3B5B7999">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EB143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1E8D1D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AA6F3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E37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7BDC16">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6F3FE8A7">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4E6F154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918D8D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02B39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32D976BC">
      <w:pPr>
        <w:spacing w:before="120" w:beforeLines="50" w:after="120" w:afterLines="50" w:line="440" w:lineRule="exact"/>
        <w:jc w:val="left"/>
        <w:rPr>
          <w:rFonts w:hint="eastAsia" w:ascii="黑体" w:hAnsi="黑体" w:eastAsia="仿宋_GB2312" w:cs="黑体"/>
          <w:color w:val="auto"/>
          <w:sz w:val="32"/>
          <w:szCs w:val="32"/>
          <w:highlight w:val="none"/>
          <w:lang w:eastAsia="zh-CN"/>
        </w:rPr>
      </w:pPr>
      <w:r>
        <w:rPr>
          <w:rFonts w:eastAsia="仿宋_GB2312"/>
          <w:color w:val="auto"/>
          <w:sz w:val="30"/>
          <w:szCs w:val="30"/>
          <w:highlight w:val="none"/>
        </w:rPr>
        <w:br w:type="page"/>
      </w:r>
      <w:bookmarkStart w:id="928" w:name="_Toc267261701"/>
      <w:r>
        <w:rPr>
          <w:rFonts w:hint="eastAsia" w:ascii="仿宋_GB2312" w:eastAsia="仿宋_GB2312" w:cs="仿宋_GB2312"/>
          <w:color w:val="auto"/>
          <w:sz w:val="30"/>
          <w:szCs w:val="30"/>
          <w:highlight w:val="none"/>
        </w:rPr>
        <w:t>附件7</w:t>
      </w:r>
      <w:r>
        <w:rPr>
          <w:rFonts w:hint="eastAsia" w:ascii="仿宋_GB2312" w:eastAsia="仿宋_GB2312" w:cs="仿宋_GB2312"/>
          <w:color w:val="auto"/>
          <w:sz w:val="30"/>
          <w:szCs w:val="30"/>
          <w:highlight w:val="none"/>
          <w:lang w:eastAsia="zh-CN"/>
        </w:rPr>
        <w:t>：</w:t>
      </w:r>
    </w:p>
    <w:p w14:paraId="041CF654">
      <w:pPr>
        <w:spacing w:line="360" w:lineRule="auto"/>
        <w:jc w:val="left"/>
        <w:rPr>
          <w:rFonts w:ascii="黑体" w:hAnsi="黑体" w:eastAsia="黑体" w:cs="黑体"/>
          <w:b/>
          <w:bCs/>
          <w:color w:val="auto"/>
          <w:sz w:val="32"/>
          <w:szCs w:val="32"/>
          <w:highlight w:val="none"/>
        </w:rPr>
      </w:pPr>
    </w:p>
    <w:p w14:paraId="151E7E4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6A591A4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5EFA2E54">
      <w:pPr>
        <w:wordWrap w:val="0"/>
        <w:spacing w:line="360" w:lineRule="auto"/>
        <w:jc w:val="right"/>
        <w:rPr>
          <w:rFonts w:ascii="宋体" w:hAnsi="宋体"/>
          <w:color w:val="auto"/>
          <w:szCs w:val="21"/>
          <w:highlight w:val="none"/>
        </w:rPr>
      </w:pPr>
      <w:r>
        <w:rPr>
          <w:rFonts w:hint="eastAsia" w:ascii="宋体" w:hAnsi="宋体"/>
          <w:color w:val="auto"/>
          <w:sz w:val="24"/>
          <w:szCs w:val="24"/>
          <w:highlight w:val="none"/>
        </w:rPr>
        <w:t>编号：</w:t>
      </w:r>
      <w:r>
        <w:rPr>
          <w:rFonts w:hint="eastAsia" w:ascii="宋体" w:hAnsi="宋体"/>
          <w:color w:val="auto"/>
          <w:szCs w:val="21"/>
          <w:highlight w:val="none"/>
        </w:rPr>
        <w:t xml:space="preserve"> </w:t>
      </w:r>
    </w:p>
    <w:p w14:paraId="24CF850E">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申请人：</w:t>
      </w:r>
    </w:p>
    <w:p w14:paraId="178365F3">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地址</w:t>
      </w:r>
      <w:r>
        <w:rPr>
          <w:rFonts w:ascii="宋体" w:hAnsi="宋体"/>
          <w:color w:val="auto"/>
          <w:sz w:val="24"/>
          <w:highlight w:val="none"/>
        </w:rPr>
        <w:t>：</w:t>
      </w:r>
    </w:p>
    <w:p w14:paraId="2DBE0D49">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受益人：</w:t>
      </w:r>
    </w:p>
    <w:p w14:paraId="58EC20EA">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地址：</w:t>
      </w:r>
    </w:p>
    <w:p w14:paraId="5036393E">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开立人：</w:t>
      </w:r>
    </w:p>
    <w:p w14:paraId="1DA4E8C9">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地址：</w:t>
      </w:r>
    </w:p>
    <w:p w14:paraId="3B8F864A">
      <w:pPr>
        <w:keepNext w:val="0"/>
        <w:keepLines w:val="0"/>
        <w:pageBreakBefore w:val="0"/>
        <w:widowControl w:val="0"/>
        <w:kinsoku/>
        <w:wordWrap/>
        <w:overflowPunct/>
        <w:topLinePunct w:val="0"/>
        <w:autoSpaceDE/>
        <w:autoSpaceDN/>
        <w:bidi w:val="0"/>
        <w:adjustRightInd w:val="0"/>
        <w:snapToGrid w:val="0"/>
        <w:spacing w:line="500" w:lineRule="atLeast"/>
        <w:textAlignment w:val="auto"/>
        <w:rPr>
          <w:rFonts w:ascii="宋体" w:hAnsi="宋体"/>
          <w:color w:val="auto"/>
          <w:sz w:val="24"/>
          <w:highlight w:val="none"/>
        </w:rPr>
      </w:pPr>
    </w:p>
    <w:p w14:paraId="4E94B401">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受益人</w:t>
      </w:r>
      <w:r>
        <w:rPr>
          <w:rFonts w:ascii="宋体" w:hAnsi="宋体"/>
          <w:color w:val="auto"/>
          <w:sz w:val="24"/>
          <w:highlight w:val="none"/>
        </w:rPr>
        <w:t xml:space="preserve">名称）： </w:t>
      </w:r>
    </w:p>
    <w:p w14:paraId="7757347B">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鉴于</w:t>
      </w:r>
      <w:r>
        <w:rPr>
          <w:rFonts w:ascii="宋体" w:hAnsi="宋体"/>
          <w:color w:val="auto"/>
          <w:sz w:val="24"/>
          <w:highlight w:val="none"/>
        </w:rPr>
        <w:t>（以下简称“</w:t>
      </w:r>
      <w:r>
        <w:rPr>
          <w:rFonts w:hint="eastAsia" w:ascii="宋体" w:hAnsi="宋体"/>
          <w:color w:val="auto"/>
          <w:sz w:val="24"/>
          <w:highlight w:val="none"/>
        </w:rPr>
        <w:t>受益人</w:t>
      </w:r>
      <w:r>
        <w:rPr>
          <w:rFonts w:ascii="宋体" w:hAnsi="宋体"/>
          <w:color w:val="auto"/>
          <w:sz w:val="24"/>
          <w:highlight w:val="none"/>
        </w:rPr>
        <w:t>”）</w:t>
      </w:r>
      <w:r>
        <w:rPr>
          <w:rFonts w:hint="eastAsia" w:ascii="宋体" w:hAnsi="宋体"/>
          <w:color w:val="auto"/>
          <w:sz w:val="24"/>
          <w:highlight w:val="none"/>
        </w:rPr>
        <w:t>与</w:t>
      </w:r>
      <w:r>
        <w:rPr>
          <w:rFonts w:ascii="宋体" w:hAnsi="宋体"/>
          <w:color w:val="auto"/>
          <w:sz w:val="24"/>
          <w:highlight w:val="none"/>
        </w:rPr>
        <w:t>（以下简称“</w:t>
      </w:r>
      <w:r>
        <w:rPr>
          <w:rFonts w:hint="eastAsia" w:ascii="宋体" w:hAnsi="宋体"/>
          <w:color w:val="auto"/>
          <w:sz w:val="24"/>
          <w:highlight w:val="none"/>
        </w:rPr>
        <w:t>申请人</w:t>
      </w:r>
      <w:r>
        <w:rPr>
          <w:rFonts w:ascii="宋体" w:hAnsi="宋体"/>
          <w:color w:val="auto"/>
          <w:sz w:val="24"/>
          <w:highlight w:val="none"/>
        </w:rPr>
        <w:t>”）</w:t>
      </w:r>
      <w:r>
        <w:rPr>
          <w:rFonts w:hint="eastAsia" w:ascii="宋体" w:hAnsi="宋体"/>
          <w:color w:val="auto"/>
          <w:sz w:val="24"/>
          <w:highlight w:val="none"/>
        </w:rPr>
        <w:t>于    年  月  日就工程（以下简称“本工程”）施工和有关事项协商一致共同签订</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（以下简称“基础合同”），我方（即“开立人”）根据基础合同了解到申请人为基础合同项下之承包人，受益人为基础合同项下之发包人，基于申请人</w:t>
      </w:r>
      <w:r>
        <w:rPr>
          <w:rFonts w:ascii="宋体" w:hAnsi="宋体"/>
          <w:color w:val="auto"/>
          <w:sz w:val="24"/>
          <w:highlight w:val="none"/>
        </w:rPr>
        <w:t>的请求，我方同意就</w:t>
      </w:r>
      <w:r>
        <w:rPr>
          <w:rFonts w:hint="eastAsia" w:ascii="宋体" w:hAnsi="宋体"/>
          <w:color w:val="auto"/>
          <w:sz w:val="24"/>
          <w:highlight w:val="none"/>
        </w:rPr>
        <w:t>申请人</w:t>
      </w:r>
      <w:r>
        <w:rPr>
          <w:rFonts w:ascii="宋体" w:hAnsi="宋体"/>
          <w:color w:val="auto"/>
          <w:sz w:val="24"/>
          <w:highlight w:val="none"/>
        </w:rPr>
        <w:t>履行</w:t>
      </w:r>
      <w:r>
        <w:rPr>
          <w:rFonts w:hint="eastAsia" w:ascii="宋体" w:hAnsi="宋体"/>
          <w:color w:val="auto"/>
          <w:sz w:val="24"/>
          <w:highlight w:val="none"/>
        </w:rPr>
        <w:t>与贵方签订的基础合同</w:t>
      </w:r>
      <w:r>
        <w:rPr>
          <w:rFonts w:ascii="宋体" w:hAnsi="宋体"/>
          <w:color w:val="auto"/>
          <w:sz w:val="24"/>
          <w:highlight w:val="none"/>
        </w:rPr>
        <w:t>项下的义务</w:t>
      </w:r>
      <w:r>
        <w:rPr>
          <w:rFonts w:hint="eastAsia" w:ascii="宋体" w:hAnsi="宋体"/>
          <w:color w:val="auto"/>
          <w:sz w:val="24"/>
          <w:highlight w:val="none"/>
        </w:rPr>
        <w:t>，</w:t>
      </w:r>
      <w:r>
        <w:rPr>
          <w:rFonts w:ascii="宋体" w:hAnsi="宋体"/>
          <w:color w:val="auto"/>
          <w:sz w:val="24"/>
          <w:highlight w:val="none"/>
        </w:rPr>
        <w:t>向贵方提供不可撤销、</w:t>
      </w:r>
      <w:r>
        <w:rPr>
          <w:rFonts w:hint="eastAsia" w:ascii="宋体" w:hAnsi="宋体"/>
          <w:color w:val="auto"/>
          <w:sz w:val="24"/>
          <w:highlight w:val="none"/>
        </w:rPr>
        <w:t>不可转让的见索即付</w:t>
      </w:r>
      <w:r>
        <w:rPr>
          <w:rFonts w:ascii="宋体" w:hAnsi="宋体"/>
          <w:color w:val="auto"/>
          <w:sz w:val="24"/>
          <w:highlight w:val="none"/>
        </w:rPr>
        <w:t>独立</w:t>
      </w:r>
      <w:r>
        <w:rPr>
          <w:rFonts w:hint="eastAsia" w:ascii="宋体" w:hAnsi="宋体"/>
          <w:color w:val="auto"/>
          <w:sz w:val="24"/>
          <w:highlight w:val="none"/>
        </w:rPr>
        <w:t>保函（以下简称“本保函”）</w:t>
      </w:r>
      <w:r>
        <w:rPr>
          <w:rFonts w:ascii="宋体" w:hAnsi="宋体"/>
          <w:color w:val="auto"/>
          <w:sz w:val="24"/>
          <w:highlight w:val="none"/>
        </w:rPr>
        <w:t xml:space="preserve">。 </w:t>
      </w:r>
    </w:p>
    <w:p w14:paraId="3EE582EF">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一、本保函担保范围：承包人未按照基础合同的约定履行义务，应当向贵方承担的违约责任和赔偿因此造成的损失、利息、律师费、诉讼费用等实现债权的费用。</w:t>
      </w:r>
    </w:p>
    <w:p w14:paraId="3AD02CAD">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二、本保函担保金额最高不超过</w:t>
      </w:r>
      <w:r>
        <w:rPr>
          <w:rFonts w:ascii="宋体" w:hAnsi="宋体"/>
          <w:color w:val="auto"/>
          <w:sz w:val="24"/>
          <w:highlight w:val="none"/>
        </w:rPr>
        <w:t xml:space="preserve">人民币（大写）元（¥）。 </w:t>
      </w:r>
    </w:p>
    <w:p w14:paraId="7DBF659A">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三、本保函</w:t>
      </w:r>
      <w:r>
        <w:rPr>
          <w:rFonts w:ascii="宋体" w:hAnsi="宋体"/>
          <w:color w:val="auto"/>
          <w:sz w:val="24"/>
          <w:highlight w:val="none"/>
        </w:rPr>
        <w:t>有效期自</w:t>
      </w:r>
      <w:r>
        <w:rPr>
          <w:rFonts w:hint="eastAsia" w:ascii="宋体" w:hAnsi="宋体"/>
          <w:color w:val="auto"/>
          <w:sz w:val="24"/>
          <w:highlight w:val="none"/>
        </w:rPr>
        <w:t>开立之日起</w:t>
      </w:r>
      <w:r>
        <w:rPr>
          <w:rFonts w:ascii="宋体" w:hAnsi="宋体"/>
          <w:color w:val="auto"/>
          <w:sz w:val="24"/>
          <w:highlight w:val="none"/>
        </w:rPr>
        <w:t>至</w:t>
      </w:r>
      <w:r>
        <w:rPr>
          <w:rFonts w:hint="eastAsia" w:ascii="宋体" w:hAnsi="宋体"/>
          <w:color w:val="auto"/>
          <w:sz w:val="24"/>
          <w:highlight w:val="none"/>
        </w:rPr>
        <w:t>基础合同约定的缺陷责任期</w:t>
      </w:r>
      <w:r>
        <w:rPr>
          <w:rFonts w:ascii="宋体" w:hAnsi="宋体"/>
          <w:color w:val="auto"/>
          <w:sz w:val="24"/>
          <w:highlight w:val="none"/>
        </w:rPr>
        <w:t>后</w:t>
      </w:r>
      <w:r>
        <w:rPr>
          <w:rFonts w:hint="eastAsia" w:ascii="宋体" w:hAnsi="宋体"/>
          <w:color w:val="auto"/>
          <w:sz w:val="24"/>
          <w:highlight w:val="none"/>
        </w:rPr>
        <w:t>日止，最迟不超过    年  月  日</w:t>
      </w:r>
      <w:r>
        <w:rPr>
          <w:rFonts w:ascii="宋体" w:hAnsi="宋体"/>
          <w:color w:val="auto"/>
          <w:sz w:val="24"/>
          <w:highlight w:val="none"/>
        </w:rPr>
        <w:t xml:space="preserve">。 </w:t>
      </w:r>
    </w:p>
    <w:p w14:paraId="6822B220">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四、我方承诺，在收到受益人发来的书面付款通知后的日内无条件支付，前述书面付款通知即为付款要求之单据，且应满足以下要求：</w:t>
      </w:r>
    </w:p>
    <w:p w14:paraId="4D810D85">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（1）付款通知到达的日期在本保函的有效期内；</w:t>
      </w:r>
    </w:p>
    <w:p w14:paraId="51C31F52">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（2）载明要求支付的金额；</w:t>
      </w:r>
    </w:p>
    <w:p w14:paraId="5DAD6B18">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（3）载明申请人违反合同义务的条款和内容；</w:t>
      </w:r>
    </w:p>
    <w:p w14:paraId="1FA4313E">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（4）声明不存在合同文件约定或我国法律规定免除申请人或开立人支付责任的情形；</w:t>
      </w:r>
    </w:p>
    <w:p w14:paraId="7F434000">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（5）付款通知应在本保函有效期内到达的地址是</w:t>
      </w:r>
      <w:r>
        <w:rPr>
          <w:rFonts w:hint="eastAsia" w:ascii="宋体" w:hAnsi="宋体"/>
          <w:color w:val="auto"/>
          <w:sz w:val="24"/>
          <w:highlight w:val="none"/>
          <w:u w:val="single"/>
        </w:rPr>
        <w:t>：             。</w:t>
      </w:r>
    </w:p>
    <w:p w14:paraId="35A58FE8">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受益人发出的书面付款通知应由其为鉴明受益人法定代表人（负责人）或授权代理人签字并加盖公章。</w:t>
      </w:r>
    </w:p>
    <w:p w14:paraId="1134ABFF">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五、</w:t>
      </w:r>
      <w:r>
        <w:rPr>
          <w:rFonts w:ascii="宋体" w:hAnsi="宋体"/>
          <w:color w:val="auto"/>
          <w:sz w:val="24"/>
          <w:highlight w:val="none"/>
        </w:rPr>
        <w:t>本保函项下的权利不得转让，不得设定担保。贵方未经我方书面同意转 让本保函或其项下任何权利，</w:t>
      </w:r>
      <w:r>
        <w:rPr>
          <w:rFonts w:hint="eastAsia" w:ascii="宋体" w:hAnsi="宋体"/>
          <w:color w:val="auto"/>
          <w:sz w:val="24"/>
          <w:highlight w:val="none"/>
        </w:rPr>
        <w:t>对我方不发生法律效力</w:t>
      </w:r>
      <w:r>
        <w:rPr>
          <w:rFonts w:ascii="宋体" w:hAnsi="宋体"/>
          <w:color w:val="auto"/>
          <w:sz w:val="24"/>
          <w:highlight w:val="none"/>
        </w:rPr>
        <w:t xml:space="preserve">。 </w:t>
      </w:r>
    </w:p>
    <w:p w14:paraId="2037366B">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六、与</w:t>
      </w:r>
      <w:r>
        <w:rPr>
          <w:rFonts w:ascii="宋体" w:hAnsi="宋体"/>
          <w:color w:val="auto"/>
          <w:sz w:val="24"/>
          <w:highlight w:val="none"/>
        </w:rPr>
        <w:t>本保函</w:t>
      </w:r>
      <w:r>
        <w:rPr>
          <w:rFonts w:hint="eastAsia" w:ascii="宋体" w:hAnsi="宋体"/>
          <w:color w:val="auto"/>
          <w:sz w:val="24"/>
          <w:highlight w:val="none"/>
        </w:rPr>
        <w:t>有关</w:t>
      </w:r>
      <w:r>
        <w:rPr>
          <w:rFonts w:ascii="宋体" w:hAnsi="宋体"/>
          <w:color w:val="auto"/>
          <w:sz w:val="24"/>
          <w:highlight w:val="none"/>
        </w:rPr>
        <w:t>的</w:t>
      </w:r>
      <w:r>
        <w:rPr>
          <w:rFonts w:hint="eastAsia" w:ascii="宋体" w:hAnsi="宋体"/>
          <w:color w:val="auto"/>
          <w:sz w:val="24"/>
          <w:highlight w:val="none"/>
        </w:rPr>
        <w:t>基础</w:t>
      </w:r>
      <w:r>
        <w:rPr>
          <w:rFonts w:ascii="宋体" w:hAnsi="宋体"/>
          <w:color w:val="auto"/>
          <w:sz w:val="24"/>
          <w:highlight w:val="none"/>
        </w:rPr>
        <w:t xml:space="preserve">合同不成立、不生效、无效、被撤销、被解除，不影响本保函的独立有效。 </w:t>
      </w:r>
    </w:p>
    <w:p w14:paraId="467C5900">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七、</w:t>
      </w:r>
      <w:r>
        <w:rPr>
          <w:rFonts w:ascii="宋体" w:hAnsi="宋体"/>
          <w:color w:val="auto"/>
          <w:sz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highlight w:val="none"/>
        </w:rPr>
        <w:t>有效期</w:t>
      </w:r>
      <w:r>
        <w:rPr>
          <w:rFonts w:ascii="宋体" w:hAnsi="宋体"/>
          <w:color w:val="auto"/>
          <w:sz w:val="24"/>
          <w:highlight w:val="none"/>
        </w:rPr>
        <w:t xml:space="preserve">到期后自动消灭。 </w:t>
      </w:r>
    </w:p>
    <w:p w14:paraId="603FC611">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八、</w:t>
      </w:r>
      <w:r>
        <w:rPr>
          <w:rFonts w:ascii="宋体" w:hAnsi="宋体"/>
          <w:color w:val="auto"/>
          <w:sz w:val="24"/>
          <w:highlight w:val="none"/>
        </w:rPr>
        <w:t>本保函</w:t>
      </w:r>
      <w:r>
        <w:rPr>
          <w:rFonts w:hint="eastAsia" w:ascii="宋体" w:hAnsi="宋体"/>
          <w:color w:val="auto"/>
          <w:sz w:val="24"/>
          <w:highlight w:val="none"/>
        </w:rPr>
        <w:t>适用的法律为中华人民共和国法律，争议裁判管辖地为中华人民共和国</w:t>
      </w:r>
      <w:r>
        <w:rPr>
          <w:rFonts w:ascii="宋体" w:hAnsi="宋体"/>
          <w:color w:val="auto"/>
          <w:sz w:val="24"/>
          <w:highlight w:val="none"/>
        </w:rPr>
        <w:t xml:space="preserve">。 </w:t>
      </w:r>
    </w:p>
    <w:p w14:paraId="0493C55E">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九、</w:t>
      </w:r>
      <w:r>
        <w:rPr>
          <w:rFonts w:ascii="宋体" w:hAnsi="宋体"/>
          <w:color w:val="auto"/>
          <w:sz w:val="24"/>
          <w:highlight w:val="none"/>
        </w:rPr>
        <w:t>本保函自我方法定代表人</w:t>
      </w:r>
      <w:r>
        <w:rPr>
          <w:rFonts w:hint="eastAsia" w:ascii="宋体" w:hAnsi="宋体"/>
          <w:color w:val="auto"/>
          <w:sz w:val="24"/>
          <w:highlight w:val="none"/>
        </w:rPr>
        <w:t>或授权代表</w:t>
      </w:r>
      <w:r>
        <w:rPr>
          <w:rFonts w:ascii="宋体" w:hAnsi="宋体"/>
          <w:color w:val="auto"/>
          <w:sz w:val="24"/>
          <w:highlight w:val="none"/>
        </w:rPr>
        <w:t>签字</w:t>
      </w:r>
      <w:r>
        <w:rPr>
          <w:rFonts w:hint="eastAsia" w:ascii="宋体" w:hAnsi="宋体"/>
          <w:color w:val="auto"/>
          <w:sz w:val="24"/>
          <w:highlight w:val="none"/>
        </w:rPr>
        <w:t>并</w:t>
      </w:r>
      <w:r>
        <w:rPr>
          <w:rFonts w:ascii="宋体" w:hAnsi="宋体"/>
          <w:color w:val="auto"/>
          <w:sz w:val="24"/>
          <w:highlight w:val="none"/>
        </w:rPr>
        <w:t xml:space="preserve">加盖公章之日起生效。 </w:t>
      </w:r>
    </w:p>
    <w:p w14:paraId="174E8F0B">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开 立 人</w:t>
      </w:r>
      <w:r>
        <w:rPr>
          <w:rFonts w:ascii="宋体" w:hAnsi="宋体"/>
          <w:color w:val="auto"/>
          <w:sz w:val="24"/>
          <w:highlight w:val="none"/>
        </w:rPr>
        <w:t>：                 （</w:t>
      </w:r>
      <w:r>
        <w:rPr>
          <w:rFonts w:hint="eastAsia" w:ascii="宋体" w:hAnsi="宋体"/>
          <w:color w:val="auto"/>
          <w:sz w:val="24"/>
          <w:highlight w:val="none"/>
        </w:rPr>
        <w:t>公</w:t>
      </w:r>
      <w:r>
        <w:rPr>
          <w:rFonts w:ascii="宋体" w:hAnsi="宋体"/>
          <w:color w:val="auto"/>
          <w:sz w:val="24"/>
          <w:highlight w:val="none"/>
        </w:rPr>
        <w:t xml:space="preserve">章） </w:t>
      </w:r>
    </w:p>
    <w:p w14:paraId="0AD7E2A9">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法定代表人（或授权代表）：</w:t>
      </w:r>
      <w:r>
        <w:rPr>
          <w:rFonts w:ascii="宋体" w:hAnsi="宋体"/>
          <w:color w:val="auto"/>
          <w:sz w:val="24"/>
          <w:highlight w:val="none"/>
        </w:rPr>
        <w:t xml:space="preserve">               （签字） </w:t>
      </w:r>
    </w:p>
    <w:p w14:paraId="10F61021">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址：                                       </w:t>
      </w:r>
    </w:p>
    <w:p w14:paraId="344F1AD5">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邮政编码：</w:t>
      </w:r>
    </w:p>
    <w:p w14:paraId="24C2A6D2">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话：                 </w:t>
      </w:r>
    </w:p>
    <w:p w14:paraId="00E0ACA5">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真：                 </w:t>
      </w:r>
    </w:p>
    <w:p w14:paraId="31A52179">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color w:val="auto"/>
          <w:szCs w:val="21"/>
          <w:highlight w:val="none"/>
        </w:rPr>
      </w:pPr>
      <w:r>
        <w:rPr>
          <w:rFonts w:hint="eastAsia" w:ascii="宋体" w:hAnsi="宋体"/>
          <w:color w:val="auto"/>
          <w:sz w:val="24"/>
          <w:highlight w:val="none"/>
        </w:rPr>
        <w:t>开立时间：</w:t>
      </w:r>
      <w:r>
        <w:rPr>
          <w:rFonts w:ascii="宋体" w:hAnsi="宋体"/>
          <w:color w:val="auto"/>
          <w:sz w:val="24"/>
          <w:highlight w:val="none"/>
        </w:rPr>
        <w:t xml:space="preserve">      年      月    </w:t>
      </w:r>
    </w:p>
    <w:p w14:paraId="0E66BE6F">
      <w:pPr>
        <w:spacing w:line="360" w:lineRule="auto"/>
        <w:jc w:val="left"/>
        <w:rPr>
          <w:rFonts w:eastAsia="仿宋_GB2312"/>
          <w:color w:val="auto"/>
          <w:sz w:val="30"/>
          <w:szCs w:val="30"/>
          <w:highlight w:val="none"/>
        </w:rPr>
      </w:pPr>
    </w:p>
    <w:p w14:paraId="5B88AF1F">
      <w:pPr>
        <w:spacing w:line="360" w:lineRule="auto"/>
        <w:jc w:val="left"/>
        <w:rPr>
          <w:rFonts w:eastAsia="仿宋_GB2312" w:cs="仿宋_GB2312"/>
          <w:color w:val="auto"/>
          <w:sz w:val="30"/>
          <w:szCs w:val="30"/>
          <w:highlight w:val="none"/>
        </w:rPr>
      </w:pPr>
    </w:p>
    <w:p w14:paraId="6197ED0D">
      <w:pPr>
        <w:spacing w:line="360" w:lineRule="auto"/>
        <w:jc w:val="left"/>
        <w:rPr>
          <w:rFonts w:eastAsia="仿宋_GB2312" w:cs="仿宋_GB2312"/>
          <w:color w:val="auto"/>
          <w:sz w:val="30"/>
          <w:szCs w:val="30"/>
          <w:highlight w:val="none"/>
        </w:rPr>
      </w:pPr>
    </w:p>
    <w:p w14:paraId="062EC60C">
      <w:pPr>
        <w:spacing w:line="360" w:lineRule="auto"/>
        <w:jc w:val="left"/>
        <w:rPr>
          <w:rFonts w:eastAsia="仿宋_GB2312" w:cs="仿宋_GB2312"/>
          <w:color w:val="auto"/>
          <w:sz w:val="30"/>
          <w:szCs w:val="30"/>
          <w:highlight w:val="none"/>
        </w:rPr>
      </w:pPr>
    </w:p>
    <w:p w14:paraId="6A345C0D">
      <w:pPr>
        <w:spacing w:line="360" w:lineRule="auto"/>
        <w:jc w:val="left"/>
        <w:rPr>
          <w:rFonts w:eastAsia="仿宋_GB2312" w:cs="仿宋_GB2312"/>
          <w:color w:val="auto"/>
          <w:sz w:val="30"/>
          <w:szCs w:val="30"/>
          <w:highlight w:val="none"/>
        </w:rPr>
      </w:pPr>
    </w:p>
    <w:p w14:paraId="4660A25F">
      <w:pPr>
        <w:spacing w:before="120" w:beforeLines="50" w:after="120" w:afterLines="50" w:line="440" w:lineRule="exact"/>
        <w:jc w:val="left"/>
        <w:rPr>
          <w:rFonts w:hint="eastAsia" w:ascii="仿宋_GB2312" w:eastAsia="仿宋_GB2312" w:cs="仿宋_GB2312"/>
          <w:color w:val="auto"/>
          <w:sz w:val="30"/>
          <w:szCs w:val="30"/>
          <w:highlight w:val="none"/>
        </w:rPr>
        <w:sectPr>
          <w:pgSz w:w="11906" w:h="16838"/>
          <w:pgMar w:top="1247" w:right="1247" w:bottom="1247" w:left="1247" w:header="851" w:footer="992" w:gutter="0"/>
          <w:pgNumType w:fmt="decimal"/>
          <w:cols w:space="425" w:num="1"/>
          <w:docGrid w:type="lines" w:linePitch="312" w:charSpace="0"/>
        </w:sectPr>
      </w:pPr>
    </w:p>
    <w:p w14:paraId="780C6B82">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w:t>
      </w:r>
      <w:bookmarkStart w:id="929" w:name="_Toc296346732"/>
      <w:bookmarkStart w:id="930" w:name="_Toc296944570"/>
      <w:bookmarkStart w:id="931" w:name="_Toc296891271"/>
      <w:bookmarkStart w:id="932" w:name="_Toc296347230"/>
      <w:bookmarkStart w:id="933" w:name="_Toc296503231"/>
      <w:bookmarkStart w:id="934" w:name="_Toc296891059"/>
      <w:r>
        <w:rPr>
          <w:rFonts w:hint="eastAsia" w:ascii="仿宋_GB2312" w:eastAsia="仿宋_GB2312" w:cs="仿宋_GB2312"/>
          <w:color w:val="auto"/>
          <w:sz w:val="30"/>
          <w:szCs w:val="30"/>
          <w:highlight w:val="none"/>
        </w:rPr>
        <w:t>件7：</w:t>
      </w:r>
    </w:p>
    <w:p w14:paraId="4A03F998">
      <w:pPr>
        <w:spacing w:line="360" w:lineRule="auto"/>
        <w:rPr>
          <w:rFonts w:ascii="宋体" w:hAnsi="宋体"/>
          <w:b/>
          <w:bCs/>
          <w:color w:val="auto"/>
          <w:sz w:val="32"/>
          <w:szCs w:val="32"/>
          <w:highlight w:val="none"/>
        </w:rPr>
      </w:pPr>
    </w:p>
    <w:p w14:paraId="0EC8115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5A1D23C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50A8976E">
      <w:pPr>
        <w:keepNext w:val="0"/>
        <w:keepLines w:val="0"/>
        <w:pageBreakBefore w:val="0"/>
        <w:widowControl w:val="0"/>
        <w:kinsoku/>
        <w:overflowPunct/>
        <w:topLinePunct w:val="0"/>
        <w:autoSpaceDE/>
        <w:autoSpaceDN/>
        <w:bidi w:val="0"/>
        <w:adjustRightInd w:val="0"/>
        <w:snapToGrid w:val="0"/>
        <w:spacing w:line="500" w:lineRule="atLeast"/>
        <w:ind w:firstLine="482" w:firstLineChars="200"/>
        <w:jc w:val="center"/>
        <w:textAlignment w:val="auto"/>
        <w:rPr>
          <w:rFonts w:ascii="宋体" w:hAnsi="宋体"/>
          <w:b/>
          <w:bCs/>
          <w:color w:val="auto"/>
          <w:sz w:val="24"/>
          <w:szCs w:val="24"/>
          <w:highlight w:val="none"/>
        </w:rPr>
      </w:pPr>
    </w:p>
    <w:p w14:paraId="44CAAC84">
      <w:pPr>
        <w:keepNext w:val="0"/>
        <w:keepLines w:val="0"/>
        <w:pageBreakBefore w:val="0"/>
        <w:widowControl w:val="0"/>
        <w:kinsoku/>
        <w:wordWrap w:val="0"/>
        <w:overflowPunct/>
        <w:topLinePunct w:val="0"/>
        <w:autoSpaceDE/>
        <w:autoSpaceDN/>
        <w:bidi w:val="0"/>
        <w:adjustRightInd w:val="0"/>
        <w:snapToGrid w:val="0"/>
        <w:spacing w:line="500" w:lineRule="atLeast"/>
        <w:ind w:firstLine="480" w:firstLineChars="200"/>
        <w:jc w:val="right"/>
        <w:textAlignment w:val="auto"/>
        <w:rPr>
          <w:rFonts w:ascii="宋体" w:hAnsi="宋体"/>
          <w:color w:val="auto"/>
          <w:sz w:val="24"/>
          <w:szCs w:val="24"/>
          <w:highlight w:val="none"/>
        </w:rPr>
      </w:pPr>
      <w:r>
        <w:rPr>
          <w:rFonts w:hint="eastAsia" w:ascii="宋体" w:hAnsi="宋体"/>
          <w:color w:val="auto"/>
          <w:sz w:val="24"/>
          <w:szCs w:val="24"/>
          <w:highlight w:val="none"/>
        </w:rPr>
        <w:t xml:space="preserve">编号： </w:t>
      </w:r>
    </w:p>
    <w:p w14:paraId="20BDAD0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承包人：</w:t>
      </w:r>
    </w:p>
    <w:p w14:paraId="53EC9FD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10C69706">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担保权人/发包人：</w:t>
      </w:r>
    </w:p>
    <w:p w14:paraId="3BF6FCB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6BBC598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保证人：</w:t>
      </w:r>
    </w:p>
    <w:p w14:paraId="1388859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6ABD60B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68F6212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2C72693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    年  月  日就工程（以下简称“本工程”）施工和有关事项协商一致共同签订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0F1BFD0A">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38B5858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保证担保范围：承包人未按照主合同的约定履行义务，应当向贵方承担的违约责任和赔偿因此造成的损失、利息、律师费、诉讼费用等实现债权的费用。</w:t>
      </w:r>
    </w:p>
    <w:p w14:paraId="285581E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 xml:space="preserve">人民币（大写）元（¥）。 </w:t>
      </w:r>
    </w:p>
    <w:p w14:paraId="52FF3C4C">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p>
    <w:p w14:paraId="4904493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5F4ED78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主合同约定的缺陷责任期</w:t>
      </w:r>
      <w:r>
        <w:rPr>
          <w:rFonts w:ascii="宋体" w:hAnsi="宋体"/>
          <w:color w:val="auto"/>
          <w:sz w:val="24"/>
          <w:szCs w:val="24"/>
          <w:highlight w:val="none"/>
        </w:rPr>
        <w:t>后日</w:t>
      </w:r>
      <w:r>
        <w:rPr>
          <w:rFonts w:hint="eastAsia" w:ascii="宋体" w:hAnsi="宋体"/>
          <w:color w:val="auto"/>
          <w:sz w:val="24"/>
          <w:szCs w:val="24"/>
          <w:highlight w:val="none"/>
        </w:rPr>
        <w:t>止，最迟不超过年  月  日</w:t>
      </w:r>
      <w:r>
        <w:rPr>
          <w:rFonts w:ascii="宋体" w:hAnsi="宋体"/>
          <w:color w:val="auto"/>
          <w:sz w:val="24"/>
          <w:szCs w:val="24"/>
          <w:highlight w:val="none"/>
        </w:rPr>
        <w:t xml:space="preserve">。 </w:t>
      </w:r>
    </w:p>
    <w:p w14:paraId="79B0DB79">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6CF322A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我方按照贵方的要求以下列方式之一承担保证担保责任：</w:t>
      </w:r>
    </w:p>
    <w:p w14:paraId="52039B4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14:paraId="42F2492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14:paraId="0EDD63C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14:paraId="097D85A8">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四、代偿的安排</w:t>
      </w:r>
    </w:p>
    <w:p w14:paraId="21B7D51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079F07A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14:paraId="68092123">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3.我方收到贵方的书面索赔通知及相应证明材料后，在工作日内进行核定后按照本保函的承诺承担保证责任。</w:t>
      </w:r>
    </w:p>
    <w:p w14:paraId="0E92F7DE">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p>
    <w:p w14:paraId="1343411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2ACAD91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09E39BF6">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2D853FE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168C84AA">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六、免责条款</w:t>
      </w:r>
    </w:p>
    <w:p w14:paraId="7F14ACD2">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5F0243E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4599B6C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7576C913">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E76EDA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D6E295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p>
    <w:p w14:paraId="3E2D32A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0AA2E4C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09EB177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（公</w:t>
      </w:r>
      <w:r>
        <w:rPr>
          <w:rFonts w:ascii="宋体" w:hAnsi="宋体"/>
          <w:color w:val="auto"/>
          <w:sz w:val="24"/>
          <w:szCs w:val="24"/>
          <w:highlight w:val="none"/>
        </w:rPr>
        <w:t xml:space="preserve">章） </w:t>
      </w:r>
    </w:p>
    <w:p w14:paraId="220F4F96">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35D74CC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7C679A1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邮政编码：</w:t>
      </w:r>
    </w:p>
    <w:p w14:paraId="715EFE9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1410AE2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3F0AA46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时 间：</w:t>
      </w:r>
      <w:r>
        <w:rPr>
          <w:rFonts w:ascii="宋体" w:hAnsi="宋体"/>
          <w:color w:val="auto"/>
          <w:sz w:val="24"/>
          <w:szCs w:val="24"/>
          <w:highlight w:val="none"/>
        </w:rPr>
        <w:t xml:space="preserve">      年      月        日</w:t>
      </w:r>
    </w:p>
    <w:p w14:paraId="56043DA5">
      <w:pPr>
        <w:rPr>
          <w:color w:val="auto"/>
          <w:szCs w:val="21"/>
          <w:highlight w:val="none"/>
        </w:rPr>
      </w:pPr>
    </w:p>
    <w:p w14:paraId="284B578A">
      <w:pPr>
        <w:rPr>
          <w:color w:val="auto"/>
          <w:szCs w:val="21"/>
          <w:highlight w:val="none"/>
        </w:rPr>
      </w:pPr>
    </w:p>
    <w:bookmarkEnd w:id="928"/>
    <w:bookmarkEnd w:id="929"/>
    <w:bookmarkEnd w:id="930"/>
    <w:bookmarkEnd w:id="931"/>
    <w:bookmarkEnd w:id="932"/>
    <w:bookmarkEnd w:id="933"/>
    <w:bookmarkEnd w:id="934"/>
    <w:p w14:paraId="1BABC485">
      <w:pPr>
        <w:spacing w:line="360" w:lineRule="auto"/>
        <w:jc w:val="left"/>
        <w:rPr>
          <w:rFonts w:eastAsia="仿宋_GB2312" w:cs="仿宋_GB2312"/>
          <w:color w:val="auto"/>
          <w:sz w:val="30"/>
          <w:szCs w:val="30"/>
          <w:highlight w:val="none"/>
        </w:rPr>
      </w:pPr>
    </w:p>
    <w:p w14:paraId="75E9E7F5">
      <w:pPr>
        <w:spacing w:line="360" w:lineRule="auto"/>
        <w:jc w:val="left"/>
        <w:rPr>
          <w:rFonts w:eastAsia="仿宋_GB2312" w:cs="仿宋_GB2312"/>
          <w:color w:val="auto"/>
          <w:sz w:val="30"/>
          <w:szCs w:val="30"/>
          <w:highlight w:val="none"/>
        </w:rPr>
      </w:pPr>
    </w:p>
    <w:p w14:paraId="176C52CF">
      <w:pPr>
        <w:spacing w:line="360" w:lineRule="auto"/>
        <w:jc w:val="left"/>
        <w:rPr>
          <w:rFonts w:eastAsia="仿宋_GB2312" w:cs="仿宋_GB2312"/>
          <w:color w:val="auto"/>
          <w:sz w:val="30"/>
          <w:szCs w:val="30"/>
          <w:highlight w:val="none"/>
        </w:rPr>
      </w:pPr>
    </w:p>
    <w:p w14:paraId="1C09A9CD">
      <w:pPr>
        <w:spacing w:line="360" w:lineRule="auto"/>
        <w:jc w:val="left"/>
        <w:rPr>
          <w:rFonts w:eastAsia="仿宋_GB2312" w:cs="仿宋_GB2312"/>
          <w:color w:val="auto"/>
          <w:sz w:val="30"/>
          <w:szCs w:val="30"/>
          <w:highlight w:val="none"/>
        </w:rPr>
      </w:pPr>
    </w:p>
    <w:p w14:paraId="373662CD">
      <w:pPr>
        <w:pStyle w:val="30"/>
        <w:ind w:firstLine="480"/>
        <w:rPr>
          <w:color w:val="auto"/>
          <w:highlight w:val="none"/>
          <w:lang w:eastAsia="zh-CN" w:bidi="ar-SA"/>
        </w:rPr>
      </w:pPr>
    </w:p>
    <w:p w14:paraId="5E8D3396">
      <w:pPr>
        <w:pStyle w:val="30"/>
        <w:ind w:firstLine="480"/>
        <w:rPr>
          <w:color w:val="auto"/>
          <w:highlight w:val="none"/>
          <w:lang w:eastAsia="zh-CN" w:bidi="ar-SA"/>
        </w:rPr>
      </w:pPr>
    </w:p>
    <w:p w14:paraId="0D9A793D">
      <w:pPr>
        <w:pStyle w:val="30"/>
        <w:ind w:firstLine="480"/>
        <w:rPr>
          <w:color w:val="auto"/>
          <w:highlight w:val="none"/>
          <w:lang w:eastAsia="zh-CN" w:bidi="ar-SA"/>
        </w:rPr>
      </w:pPr>
    </w:p>
    <w:p w14:paraId="1DCF57BF">
      <w:pPr>
        <w:spacing w:line="360" w:lineRule="auto"/>
        <w:jc w:val="left"/>
        <w:rPr>
          <w:rFonts w:eastAsia="仿宋_GB2312" w:cs="仿宋_GB2312"/>
          <w:color w:val="auto"/>
          <w:sz w:val="30"/>
          <w:szCs w:val="30"/>
          <w:highlight w:val="none"/>
        </w:rPr>
      </w:pPr>
    </w:p>
    <w:p w14:paraId="69254237">
      <w:pPr>
        <w:spacing w:line="360" w:lineRule="auto"/>
        <w:jc w:val="left"/>
        <w:rPr>
          <w:rFonts w:eastAsia="仿宋_GB2312" w:cs="仿宋_GB2312"/>
          <w:color w:val="auto"/>
          <w:sz w:val="30"/>
          <w:szCs w:val="30"/>
          <w:highlight w:val="none"/>
        </w:rPr>
      </w:pPr>
    </w:p>
    <w:p w14:paraId="695C4908">
      <w:pPr>
        <w:spacing w:line="360" w:lineRule="auto"/>
        <w:jc w:val="left"/>
        <w:rPr>
          <w:rFonts w:eastAsia="仿宋_GB2312" w:cs="仿宋_GB2312"/>
          <w:color w:val="auto"/>
          <w:sz w:val="30"/>
          <w:szCs w:val="30"/>
          <w:highlight w:val="none"/>
        </w:rPr>
      </w:pPr>
    </w:p>
    <w:p w14:paraId="01DFA188">
      <w:pPr>
        <w:spacing w:line="360" w:lineRule="auto"/>
        <w:jc w:val="left"/>
        <w:rPr>
          <w:rFonts w:eastAsia="仿宋_GB2312" w:cs="仿宋_GB2312"/>
          <w:color w:val="auto"/>
          <w:sz w:val="30"/>
          <w:szCs w:val="30"/>
          <w:highlight w:val="none"/>
        </w:rPr>
      </w:pPr>
    </w:p>
    <w:p w14:paraId="0C863BCF">
      <w:pPr>
        <w:spacing w:line="360" w:lineRule="auto"/>
        <w:jc w:val="left"/>
        <w:rPr>
          <w:rFonts w:hint="eastAsia" w:eastAsia="仿宋_GB2312" w:cs="仿宋_GB2312"/>
          <w:color w:val="auto"/>
          <w:sz w:val="30"/>
          <w:szCs w:val="30"/>
          <w:highlight w:val="none"/>
        </w:rPr>
        <w:sectPr>
          <w:pgSz w:w="11906" w:h="16838"/>
          <w:pgMar w:top="1247" w:right="1247" w:bottom="1247" w:left="1247" w:header="851" w:footer="992" w:gutter="0"/>
          <w:pgNumType w:fmt="decimal"/>
          <w:cols w:space="425" w:num="1"/>
          <w:docGrid w:type="lines" w:linePitch="312" w:charSpace="0"/>
        </w:sectPr>
      </w:pPr>
    </w:p>
    <w:p w14:paraId="750329BE">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附件8：</w:t>
      </w:r>
    </w:p>
    <w:p w14:paraId="534D1344">
      <w:pPr>
        <w:spacing w:line="360" w:lineRule="auto"/>
        <w:jc w:val="left"/>
        <w:rPr>
          <w:rFonts w:ascii="黑体" w:hAnsi="黑体" w:eastAsia="黑体" w:cs="黑体"/>
          <w:b/>
          <w:bCs/>
          <w:color w:val="auto"/>
          <w:sz w:val="32"/>
          <w:szCs w:val="32"/>
          <w:highlight w:val="none"/>
        </w:rPr>
      </w:pPr>
    </w:p>
    <w:p w14:paraId="64D10C7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4184B755">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5438E1E7">
      <w:pPr>
        <w:keepNext w:val="0"/>
        <w:keepLines w:val="0"/>
        <w:pageBreakBefore w:val="0"/>
        <w:widowControl w:val="0"/>
        <w:kinsoku/>
        <w:wordWrap w:val="0"/>
        <w:overflowPunct/>
        <w:topLinePunct w:val="0"/>
        <w:autoSpaceDE/>
        <w:autoSpaceDN/>
        <w:bidi w:val="0"/>
        <w:adjustRightInd w:val="0"/>
        <w:snapToGrid w:val="0"/>
        <w:spacing w:line="500" w:lineRule="atLeast"/>
        <w:ind w:firstLine="480" w:firstLineChars="200"/>
        <w:jc w:val="right"/>
        <w:textAlignment w:val="auto"/>
        <w:rPr>
          <w:rFonts w:ascii="宋体" w:hAnsi="宋体"/>
          <w:color w:val="auto"/>
          <w:sz w:val="24"/>
          <w:szCs w:val="24"/>
          <w:highlight w:val="none"/>
        </w:rPr>
      </w:pPr>
      <w:r>
        <w:rPr>
          <w:rFonts w:hint="eastAsia" w:ascii="宋体" w:hAnsi="宋体"/>
          <w:color w:val="auto"/>
          <w:sz w:val="24"/>
          <w:szCs w:val="24"/>
          <w:highlight w:val="none"/>
        </w:rPr>
        <w:t xml:space="preserve">编号： </w:t>
      </w:r>
    </w:p>
    <w:p w14:paraId="2C128A9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159D9EC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申请人：</w:t>
      </w:r>
    </w:p>
    <w:p w14:paraId="739AE5A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0CE7734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受益人：</w:t>
      </w:r>
    </w:p>
    <w:p w14:paraId="04C0AD5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511EE3B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开立人：</w:t>
      </w:r>
    </w:p>
    <w:p w14:paraId="3B8FE8F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6B8F3A5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7A65F450">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0B0C907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    年  月  日就工程（以下简称“本工程”）施工和有关事项协商一致共同签订</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554510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41C0BDA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 xml:space="preserve">人民币（大写）元（¥）。 </w:t>
      </w:r>
    </w:p>
    <w:p w14:paraId="27BF874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rPr>
        <w:t>日</w:t>
      </w:r>
      <w:r>
        <w:rPr>
          <w:rFonts w:hint="eastAsia" w:ascii="宋体" w:hAnsi="宋体"/>
          <w:color w:val="auto"/>
          <w:sz w:val="24"/>
          <w:szCs w:val="24"/>
          <w:highlight w:val="none"/>
        </w:rPr>
        <w:t>止，最迟不超过    年  月  日。</w:t>
      </w:r>
    </w:p>
    <w:p w14:paraId="20AEF86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四、我方承诺，在收到受益人发来的书面付款通知后的日内无条件支付，前述书面付款通知即为付款要求之单据，且应满足以下要求：</w:t>
      </w:r>
    </w:p>
    <w:p w14:paraId="4108D4A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4A50751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37EEA31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2EF061F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53523F7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w:t>
      </w:r>
    </w:p>
    <w:p w14:paraId="2A86A6A3">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13918442">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B5756E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061070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19DA689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ascii="宋体" w:hAnsi="宋体"/>
          <w:color w:val="auto"/>
          <w:sz w:val="24"/>
          <w:szCs w:val="24"/>
          <w:highlight w:val="none"/>
        </w:rPr>
        <w:t xml:space="preserve">。 </w:t>
      </w:r>
    </w:p>
    <w:p w14:paraId="36884D73">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04436A22">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08782C60">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521DB8E3">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7DA4041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31805D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43DEFF6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邮政编码：</w:t>
      </w:r>
    </w:p>
    <w:p w14:paraId="726E3F12">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0CE762E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7728413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color w:val="auto"/>
          <w:sz w:val="24"/>
          <w:szCs w:val="24"/>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196E8B4">
      <w:pPr>
        <w:spacing w:line="360" w:lineRule="auto"/>
        <w:jc w:val="center"/>
        <w:rPr>
          <w:rFonts w:ascii="宋体" w:hAnsi="宋体"/>
          <w:b/>
          <w:bCs/>
          <w:color w:val="auto"/>
          <w:sz w:val="32"/>
          <w:szCs w:val="32"/>
          <w:highlight w:val="none"/>
        </w:rPr>
      </w:pPr>
    </w:p>
    <w:p w14:paraId="3FA6A3E5">
      <w:pPr>
        <w:spacing w:line="360" w:lineRule="auto"/>
        <w:jc w:val="left"/>
        <w:rPr>
          <w:rFonts w:ascii="黑体" w:hAnsi="黑体" w:eastAsia="黑体" w:cs="黑体"/>
          <w:color w:val="auto"/>
          <w:sz w:val="32"/>
          <w:szCs w:val="32"/>
          <w:highlight w:val="none"/>
        </w:rPr>
      </w:pPr>
    </w:p>
    <w:p w14:paraId="3CEE29CD">
      <w:pPr>
        <w:spacing w:before="120" w:beforeLines="50" w:after="120" w:afterLines="50" w:line="440" w:lineRule="exact"/>
        <w:jc w:val="left"/>
        <w:rPr>
          <w:rFonts w:hint="eastAsia" w:ascii="仿宋_GB2312" w:eastAsia="仿宋_GB2312" w:cs="仿宋_GB2312"/>
          <w:color w:val="auto"/>
          <w:sz w:val="30"/>
          <w:szCs w:val="30"/>
          <w:highlight w:val="none"/>
          <w:lang w:eastAsia="zh-CN"/>
        </w:rPr>
      </w:pPr>
      <w:r>
        <w:rPr>
          <w:rFonts w:hint="eastAsia" w:ascii="仿宋_GB2312" w:eastAsia="仿宋_GB2312" w:cs="仿宋_GB2312"/>
          <w:color w:val="auto"/>
          <w:sz w:val="30"/>
          <w:szCs w:val="30"/>
          <w:highlight w:val="none"/>
        </w:rPr>
        <w:t>附件8</w:t>
      </w:r>
      <w:r>
        <w:rPr>
          <w:rFonts w:hint="eastAsia" w:ascii="仿宋_GB2312" w:eastAsia="仿宋_GB2312" w:cs="仿宋_GB2312"/>
          <w:color w:val="auto"/>
          <w:sz w:val="30"/>
          <w:szCs w:val="30"/>
          <w:highlight w:val="none"/>
          <w:lang w:eastAsia="zh-CN"/>
        </w:rPr>
        <w:t>：</w:t>
      </w:r>
    </w:p>
    <w:p w14:paraId="3F47FB13">
      <w:pPr>
        <w:spacing w:line="360" w:lineRule="auto"/>
        <w:jc w:val="left"/>
        <w:rPr>
          <w:rFonts w:ascii="黑体" w:hAnsi="黑体" w:eastAsia="黑体" w:cs="黑体"/>
          <w:b/>
          <w:bCs/>
          <w:color w:val="auto"/>
          <w:sz w:val="32"/>
          <w:szCs w:val="32"/>
          <w:highlight w:val="none"/>
        </w:rPr>
      </w:pPr>
    </w:p>
    <w:p w14:paraId="7D62B12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278FAC37">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2C3C2033">
      <w:pPr>
        <w:keepNext w:val="0"/>
        <w:keepLines w:val="0"/>
        <w:pageBreakBefore w:val="0"/>
        <w:widowControl w:val="0"/>
        <w:kinsoku/>
        <w:wordWrap w:val="0"/>
        <w:overflowPunct/>
        <w:topLinePunct w:val="0"/>
        <w:autoSpaceDE/>
        <w:autoSpaceDN/>
        <w:bidi w:val="0"/>
        <w:adjustRightInd w:val="0"/>
        <w:snapToGrid w:val="0"/>
        <w:spacing w:line="500" w:lineRule="atLeast"/>
        <w:ind w:firstLine="480" w:firstLineChars="200"/>
        <w:jc w:val="right"/>
        <w:textAlignment w:val="auto"/>
        <w:rPr>
          <w:rFonts w:ascii="宋体" w:hAnsi="宋体"/>
          <w:color w:val="auto"/>
          <w:sz w:val="24"/>
          <w:szCs w:val="24"/>
          <w:highlight w:val="none"/>
        </w:rPr>
      </w:pPr>
      <w:r>
        <w:rPr>
          <w:rFonts w:hint="eastAsia" w:ascii="宋体" w:hAnsi="宋体"/>
          <w:color w:val="auto"/>
          <w:sz w:val="24"/>
          <w:szCs w:val="24"/>
          <w:highlight w:val="none"/>
        </w:rPr>
        <w:t xml:space="preserve">编号： </w:t>
      </w:r>
    </w:p>
    <w:p w14:paraId="4D0704C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6FCCEB1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担保权人/发包人：</w:t>
      </w:r>
    </w:p>
    <w:p w14:paraId="17338A2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1930E98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承包人：</w:t>
      </w:r>
    </w:p>
    <w:p w14:paraId="1B6904C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764C54D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保证人：</w:t>
      </w:r>
    </w:p>
    <w:p w14:paraId="4F271EB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0A70DFF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2C8AA16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25BA118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    年  月  日就工程（以下简称“本工程”）施工和有关事项协商一致共同签订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6E2B964E">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04ECBC3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6C69A08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 xml:space="preserve">人民币（大写）元（¥）。 </w:t>
      </w:r>
    </w:p>
    <w:p w14:paraId="733209AD">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p>
    <w:p w14:paraId="6FB4DD4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1DB6BEF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年  月  日</w:t>
      </w:r>
      <w:r>
        <w:rPr>
          <w:rFonts w:ascii="宋体" w:hAnsi="宋体"/>
          <w:color w:val="auto"/>
          <w:sz w:val="24"/>
          <w:szCs w:val="24"/>
          <w:highlight w:val="none"/>
        </w:rPr>
        <w:t xml:space="preserve">。 </w:t>
      </w:r>
    </w:p>
    <w:p w14:paraId="7FBA7224">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814B7C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568EFF48">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四、代偿的安排</w:t>
      </w:r>
    </w:p>
    <w:p w14:paraId="742711A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0DFAE50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2.我方收到贵方的书面索赔通知及相应证明材料后，在工作日内进行核定后按照本保函的承诺承担保证责任。</w:t>
      </w:r>
    </w:p>
    <w:p w14:paraId="6ACDB0C3">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p>
    <w:p w14:paraId="68CB8DC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08FD88B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04DFC2A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63B6A3B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23536299">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六、免责条款</w:t>
      </w:r>
    </w:p>
    <w:p w14:paraId="36850F0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186B0E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AD9C1C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4C85C1D9">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七、其他</w:t>
      </w:r>
    </w:p>
    <w:p w14:paraId="13F1BD3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5FBCD72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p>
    <w:p w14:paraId="38D24C46">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F4941B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3C24C85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50DBD75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3F78B75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764BA4B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邮政编码：</w:t>
      </w:r>
    </w:p>
    <w:p w14:paraId="2ADD22A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7BA6AA8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2FDCF1F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时 间：</w:t>
      </w:r>
      <w:r>
        <w:rPr>
          <w:rFonts w:ascii="宋体" w:hAnsi="宋体"/>
          <w:color w:val="auto"/>
          <w:sz w:val="24"/>
          <w:szCs w:val="24"/>
          <w:highlight w:val="none"/>
        </w:rPr>
        <w:t xml:space="preserve">      年      月        日</w:t>
      </w:r>
    </w:p>
    <w:p w14:paraId="244C88FA">
      <w:pPr>
        <w:rPr>
          <w:color w:val="auto"/>
          <w:szCs w:val="21"/>
          <w:highlight w:val="none"/>
        </w:rPr>
      </w:pPr>
    </w:p>
    <w:p w14:paraId="45AC25F3">
      <w:pPr>
        <w:spacing w:line="360" w:lineRule="auto"/>
        <w:jc w:val="center"/>
        <w:rPr>
          <w:rFonts w:ascii="宋体" w:hAnsi="宋体"/>
          <w:b/>
          <w:bCs/>
          <w:color w:val="auto"/>
          <w:sz w:val="32"/>
          <w:szCs w:val="32"/>
          <w:highlight w:val="none"/>
        </w:rPr>
      </w:pPr>
    </w:p>
    <w:p w14:paraId="0E71F914">
      <w:pPr>
        <w:spacing w:line="440" w:lineRule="exact"/>
        <w:rPr>
          <w:rFonts w:eastAsia="仿宋_GB2312" w:cs="仿宋_GB2312"/>
          <w:color w:val="auto"/>
          <w:sz w:val="30"/>
          <w:szCs w:val="30"/>
          <w:highlight w:val="none"/>
        </w:rPr>
      </w:pPr>
    </w:p>
    <w:p w14:paraId="68C65617">
      <w:pPr>
        <w:spacing w:line="440" w:lineRule="exact"/>
        <w:rPr>
          <w:rFonts w:eastAsia="仿宋_GB2312" w:cs="仿宋_GB2312"/>
          <w:color w:val="auto"/>
          <w:sz w:val="30"/>
          <w:szCs w:val="30"/>
          <w:highlight w:val="none"/>
        </w:rPr>
      </w:pPr>
    </w:p>
    <w:p w14:paraId="778B099E">
      <w:pPr>
        <w:spacing w:line="440" w:lineRule="exact"/>
        <w:rPr>
          <w:rFonts w:eastAsia="仿宋_GB2312" w:cs="仿宋_GB2312"/>
          <w:color w:val="auto"/>
          <w:sz w:val="30"/>
          <w:szCs w:val="30"/>
          <w:highlight w:val="none"/>
        </w:rPr>
      </w:pPr>
    </w:p>
    <w:p w14:paraId="2833C3C4">
      <w:pPr>
        <w:spacing w:line="440" w:lineRule="exact"/>
        <w:rPr>
          <w:rFonts w:eastAsia="仿宋_GB2312" w:cs="仿宋_GB2312"/>
          <w:color w:val="auto"/>
          <w:sz w:val="30"/>
          <w:szCs w:val="30"/>
          <w:highlight w:val="none"/>
        </w:rPr>
      </w:pPr>
    </w:p>
    <w:p w14:paraId="26DA9A3E">
      <w:pPr>
        <w:spacing w:line="440" w:lineRule="exact"/>
        <w:rPr>
          <w:rFonts w:eastAsia="仿宋_GB2312" w:cs="仿宋_GB2312"/>
          <w:color w:val="auto"/>
          <w:sz w:val="30"/>
          <w:szCs w:val="30"/>
          <w:highlight w:val="none"/>
        </w:rPr>
      </w:pPr>
    </w:p>
    <w:p w14:paraId="29EF6F09">
      <w:pPr>
        <w:spacing w:line="440" w:lineRule="exact"/>
        <w:rPr>
          <w:rFonts w:eastAsia="仿宋_GB2312" w:cs="仿宋_GB2312"/>
          <w:color w:val="auto"/>
          <w:sz w:val="30"/>
          <w:szCs w:val="30"/>
          <w:highlight w:val="none"/>
        </w:rPr>
      </w:pPr>
    </w:p>
    <w:p w14:paraId="6F4752B3">
      <w:pPr>
        <w:spacing w:line="440" w:lineRule="exact"/>
        <w:rPr>
          <w:rFonts w:eastAsia="仿宋_GB2312" w:cs="仿宋_GB2312"/>
          <w:color w:val="auto"/>
          <w:sz w:val="30"/>
          <w:szCs w:val="30"/>
          <w:highlight w:val="none"/>
        </w:rPr>
      </w:pPr>
    </w:p>
    <w:p w14:paraId="5D81EB99">
      <w:pPr>
        <w:spacing w:line="440" w:lineRule="exact"/>
        <w:rPr>
          <w:rFonts w:eastAsia="仿宋_GB2312" w:cs="仿宋_GB2312"/>
          <w:color w:val="auto"/>
          <w:sz w:val="30"/>
          <w:szCs w:val="30"/>
          <w:highlight w:val="none"/>
        </w:rPr>
      </w:pPr>
    </w:p>
    <w:p w14:paraId="1821B48C">
      <w:pPr>
        <w:spacing w:line="440" w:lineRule="exact"/>
        <w:rPr>
          <w:rFonts w:eastAsia="仿宋_GB2312" w:cs="仿宋_GB2312"/>
          <w:color w:val="auto"/>
          <w:sz w:val="30"/>
          <w:szCs w:val="30"/>
          <w:highlight w:val="none"/>
        </w:rPr>
      </w:pPr>
    </w:p>
    <w:p w14:paraId="3F545D95">
      <w:pPr>
        <w:spacing w:line="440" w:lineRule="exact"/>
        <w:rPr>
          <w:rFonts w:eastAsia="仿宋_GB2312" w:cs="仿宋_GB2312"/>
          <w:color w:val="auto"/>
          <w:sz w:val="30"/>
          <w:szCs w:val="30"/>
          <w:highlight w:val="none"/>
        </w:rPr>
      </w:pPr>
    </w:p>
    <w:p w14:paraId="3597F0C5">
      <w:pPr>
        <w:spacing w:line="440" w:lineRule="exact"/>
        <w:rPr>
          <w:rFonts w:eastAsia="仿宋_GB2312" w:cs="仿宋_GB2312"/>
          <w:color w:val="auto"/>
          <w:sz w:val="30"/>
          <w:szCs w:val="30"/>
          <w:highlight w:val="none"/>
        </w:rPr>
      </w:pPr>
    </w:p>
    <w:p w14:paraId="10D03717">
      <w:pPr>
        <w:spacing w:line="440" w:lineRule="exact"/>
        <w:rPr>
          <w:rFonts w:eastAsia="仿宋_GB2312" w:cs="仿宋_GB2312"/>
          <w:color w:val="auto"/>
          <w:sz w:val="30"/>
          <w:szCs w:val="30"/>
          <w:highlight w:val="none"/>
        </w:rPr>
      </w:pPr>
    </w:p>
    <w:p w14:paraId="3A6EE3C4">
      <w:pPr>
        <w:spacing w:line="440" w:lineRule="exact"/>
        <w:rPr>
          <w:rFonts w:eastAsia="仿宋_GB2312" w:cs="仿宋_GB2312"/>
          <w:color w:val="auto"/>
          <w:sz w:val="30"/>
          <w:szCs w:val="30"/>
          <w:highlight w:val="none"/>
        </w:rPr>
      </w:pPr>
    </w:p>
    <w:p w14:paraId="11EDD66C">
      <w:pPr>
        <w:spacing w:line="440" w:lineRule="exact"/>
        <w:rPr>
          <w:rFonts w:eastAsia="仿宋_GB2312" w:cs="仿宋_GB2312"/>
          <w:color w:val="auto"/>
          <w:sz w:val="30"/>
          <w:szCs w:val="30"/>
          <w:highlight w:val="none"/>
        </w:rPr>
      </w:pPr>
    </w:p>
    <w:p w14:paraId="4555E716">
      <w:pPr>
        <w:spacing w:line="440" w:lineRule="exact"/>
        <w:rPr>
          <w:rFonts w:eastAsia="仿宋_GB2312" w:cs="仿宋_GB2312"/>
          <w:color w:val="auto"/>
          <w:sz w:val="30"/>
          <w:szCs w:val="30"/>
          <w:highlight w:val="none"/>
        </w:rPr>
      </w:pPr>
    </w:p>
    <w:p w14:paraId="26134709">
      <w:pPr>
        <w:spacing w:line="440" w:lineRule="exact"/>
        <w:rPr>
          <w:rFonts w:eastAsia="仿宋_GB2312" w:cs="仿宋_GB2312"/>
          <w:color w:val="auto"/>
          <w:sz w:val="30"/>
          <w:szCs w:val="30"/>
          <w:highlight w:val="none"/>
        </w:rPr>
      </w:pPr>
    </w:p>
    <w:p w14:paraId="47DE8647">
      <w:pPr>
        <w:spacing w:line="440" w:lineRule="exact"/>
        <w:rPr>
          <w:rFonts w:eastAsia="仿宋_GB2312" w:cs="仿宋_GB2312"/>
          <w:color w:val="auto"/>
          <w:sz w:val="30"/>
          <w:szCs w:val="30"/>
          <w:highlight w:val="none"/>
        </w:rPr>
      </w:pPr>
    </w:p>
    <w:p w14:paraId="18996BB0">
      <w:pPr>
        <w:spacing w:line="440" w:lineRule="exact"/>
        <w:rPr>
          <w:rFonts w:eastAsia="仿宋_GB2312" w:cs="仿宋_GB2312"/>
          <w:color w:val="auto"/>
          <w:sz w:val="30"/>
          <w:szCs w:val="30"/>
          <w:highlight w:val="none"/>
        </w:rPr>
      </w:pPr>
    </w:p>
    <w:p w14:paraId="2F653FC3">
      <w:pPr>
        <w:spacing w:line="440" w:lineRule="exact"/>
        <w:rPr>
          <w:rFonts w:eastAsia="仿宋_GB2312" w:cs="仿宋_GB2312"/>
          <w:color w:val="auto"/>
          <w:sz w:val="30"/>
          <w:szCs w:val="30"/>
          <w:highlight w:val="none"/>
        </w:rPr>
      </w:pPr>
    </w:p>
    <w:p w14:paraId="1C65612A">
      <w:pPr>
        <w:spacing w:line="440" w:lineRule="exact"/>
        <w:rPr>
          <w:rFonts w:eastAsia="仿宋_GB2312" w:cs="仿宋_GB2312"/>
          <w:color w:val="auto"/>
          <w:sz w:val="30"/>
          <w:szCs w:val="30"/>
          <w:highlight w:val="none"/>
        </w:rPr>
      </w:pPr>
    </w:p>
    <w:p w14:paraId="6DAFD04C">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附件9：</w:t>
      </w:r>
    </w:p>
    <w:p w14:paraId="3721B29A">
      <w:pPr>
        <w:spacing w:line="360" w:lineRule="auto"/>
        <w:jc w:val="left"/>
        <w:rPr>
          <w:rFonts w:ascii="黑体" w:hAnsi="黑体" w:eastAsia="黑体" w:cs="黑体"/>
          <w:b/>
          <w:bCs/>
          <w:color w:val="auto"/>
          <w:sz w:val="32"/>
          <w:szCs w:val="32"/>
          <w:highlight w:val="none"/>
        </w:rPr>
      </w:pPr>
    </w:p>
    <w:p w14:paraId="22AAE2F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4C747FE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24AF64DF">
      <w:pPr>
        <w:keepNext w:val="0"/>
        <w:keepLines w:val="0"/>
        <w:pageBreakBefore w:val="0"/>
        <w:widowControl w:val="0"/>
        <w:kinsoku/>
        <w:wordWrap w:val="0"/>
        <w:overflowPunct/>
        <w:topLinePunct w:val="0"/>
        <w:autoSpaceDE/>
        <w:autoSpaceDN/>
        <w:bidi w:val="0"/>
        <w:adjustRightInd w:val="0"/>
        <w:snapToGrid w:val="0"/>
        <w:spacing w:line="500" w:lineRule="atLeast"/>
        <w:ind w:firstLine="480" w:firstLineChars="200"/>
        <w:jc w:val="right"/>
        <w:textAlignment w:val="auto"/>
        <w:rPr>
          <w:rFonts w:ascii="宋体" w:hAnsi="宋体"/>
          <w:color w:val="auto"/>
          <w:sz w:val="24"/>
          <w:szCs w:val="24"/>
          <w:highlight w:val="none"/>
        </w:rPr>
      </w:pPr>
      <w:r>
        <w:rPr>
          <w:rFonts w:hint="eastAsia" w:ascii="宋体" w:hAnsi="宋体"/>
          <w:color w:val="auto"/>
          <w:sz w:val="24"/>
          <w:szCs w:val="24"/>
          <w:highlight w:val="none"/>
        </w:rPr>
        <w:t xml:space="preserve">编号： </w:t>
      </w:r>
    </w:p>
    <w:p w14:paraId="2082FEF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申请人：</w:t>
      </w:r>
    </w:p>
    <w:p w14:paraId="496C40B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437AF61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受益人：</w:t>
      </w:r>
    </w:p>
    <w:p w14:paraId="74F22B6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717489B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开立人：</w:t>
      </w:r>
    </w:p>
    <w:p w14:paraId="36A3805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5BC253E7">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4BEED24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bookmarkStart w:id="935" w:name="_Hlk40355074"/>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bookmarkEnd w:id="935"/>
    <w:p w14:paraId="55B2733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    年  月  日就工程（以下简称“本工程”）施工和有关事项协商一致共同签订</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（以下简称基础合同”），我方（即“开立人”）根据基础合同了解到申请人为基础合同项下之发包人，受益人为基础合同项下之承包人，基于申请人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w:t>
      </w:r>
      <w:r>
        <w:rPr>
          <w:rFonts w:hint="eastAsia" w:ascii="宋体" w:hAnsi="宋体"/>
          <w:color w:val="auto"/>
          <w:sz w:val="24"/>
          <w:szCs w:val="24"/>
          <w:highlight w:val="none"/>
        </w:rPr>
        <w:t>工程款（指基础合同约定的除工程质量保修金以外的工程款）付款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331079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1B9D1020">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 xml:space="preserve">人民币（大写）元（¥）。 </w:t>
      </w:r>
    </w:p>
    <w:p w14:paraId="11EFBF6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基础合同约定的除工程质量保修金以外的全部工程结算款项支付之日后</w:t>
      </w:r>
      <w:r>
        <w:rPr>
          <w:rFonts w:ascii="宋体" w:hAnsi="宋体"/>
          <w:color w:val="auto"/>
          <w:sz w:val="24"/>
          <w:szCs w:val="24"/>
          <w:highlight w:val="none"/>
        </w:rPr>
        <w:t>日</w:t>
      </w:r>
      <w:r>
        <w:rPr>
          <w:rFonts w:hint="eastAsia" w:ascii="宋体" w:hAnsi="宋体"/>
          <w:color w:val="auto"/>
          <w:sz w:val="24"/>
          <w:szCs w:val="24"/>
          <w:highlight w:val="none"/>
        </w:rPr>
        <w:t>止，最迟不超过    年  月  日</w:t>
      </w:r>
      <w:r>
        <w:rPr>
          <w:rFonts w:ascii="宋体" w:hAnsi="宋体"/>
          <w:color w:val="auto"/>
          <w:sz w:val="24"/>
          <w:szCs w:val="24"/>
          <w:highlight w:val="none"/>
        </w:rPr>
        <w:t xml:space="preserve">。 </w:t>
      </w:r>
    </w:p>
    <w:p w14:paraId="0654C51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四、我方承诺，在收到受益人发来的书面付款通知后的日内无条件支付，前述书面付款通知即为付款要求之单据，且应满足以下要求：</w:t>
      </w:r>
    </w:p>
    <w:p w14:paraId="27E4876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78B6B4B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33FFFA1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71C681D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338D87C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w:t>
      </w:r>
    </w:p>
    <w:p w14:paraId="2C67352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08AEE1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FE2572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的基础</w:t>
      </w:r>
      <w:r>
        <w:rPr>
          <w:rFonts w:hint="eastAsia" w:ascii="宋体" w:hAnsi="宋体"/>
          <w:color w:val="auto"/>
          <w:sz w:val="24"/>
          <w:szCs w:val="24"/>
          <w:highlight w:val="none"/>
        </w:rPr>
        <w:t>合同</w:t>
      </w:r>
      <w:r>
        <w:rPr>
          <w:rFonts w:ascii="宋体" w:hAnsi="宋体"/>
          <w:color w:val="auto"/>
          <w:sz w:val="24"/>
          <w:szCs w:val="24"/>
          <w:highlight w:val="none"/>
        </w:rPr>
        <w:t xml:space="preserve">不成立、不生效、无效、被撤销、被解除，不影响本保函的独立有效。 </w:t>
      </w:r>
    </w:p>
    <w:p w14:paraId="668FB193">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299AA94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ascii="宋体" w:hAnsi="宋体"/>
          <w:color w:val="auto"/>
          <w:sz w:val="24"/>
          <w:szCs w:val="24"/>
          <w:highlight w:val="none"/>
        </w:rPr>
        <w:t xml:space="preserve">。 </w:t>
      </w:r>
    </w:p>
    <w:p w14:paraId="2C447B1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bookmarkStart w:id="936" w:name="_Hlk58487855"/>
      <w:r>
        <w:rPr>
          <w:rFonts w:hint="eastAsia" w:ascii="宋体" w:hAnsi="宋体"/>
          <w:color w:val="auto"/>
          <w:sz w:val="24"/>
          <w:szCs w:val="24"/>
          <w:highlight w:val="none"/>
        </w:rPr>
        <w:t>或授权代表</w:t>
      </w:r>
      <w:bookmarkEnd w:id="936"/>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FB39E3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038879D3">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3661A243">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508533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39E2EB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2C47C5E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邮政编码：</w:t>
      </w:r>
    </w:p>
    <w:p w14:paraId="6C9318E6">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6686022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3F564F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日</w:t>
      </w:r>
    </w:p>
    <w:p w14:paraId="46D9C22C">
      <w:pPr>
        <w:spacing w:line="360" w:lineRule="auto"/>
        <w:ind w:firstLine="480" w:firstLineChars="200"/>
        <w:rPr>
          <w:rFonts w:ascii="宋体" w:hAnsi="宋体"/>
          <w:color w:val="auto"/>
          <w:sz w:val="24"/>
          <w:highlight w:val="none"/>
        </w:rPr>
      </w:pPr>
    </w:p>
    <w:p w14:paraId="625F6738">
      <w:pPr>
        <w:spacing w:line="360" w:lineRule="auto"/>
        <w:jc w:val="left"/>
        <w:rPr>
          <w:rFonts w:ascii="黑体" w:hAnsi="黑体" w:eastAsia="黑体" w:cs="黑体"/>
          <w:color w:val="auto"/>
          <w:sz w:val="32"/>
          <w:szCs w:val="32"/>
          <w:highlight w:val="none"/>
        </w:rPr>
      </w:pPr>
    </w:p>
    <w:p w14:paraId="46E97CCC">
      <w:pPr>
        <w:spacing w:line="360" w:lineRule="auto"/>
        <w:jc w:val="left"/>
        <w:rPr>
          <w:rFonts w:ascii="黑体" w:hAnsi="黑体" w:eastAsia="黑体" w:cs="黑体"/>
          <w:color w:val="auto"/>
          <w:sz w:val="32"/>
          <w:szCs w:val="32"/>
          <w:highlight w:val="none"/>
        </w:rPr>
      </w:pPr>
    </w:p>
    <w:p w14:paraId="05C07023">
      <w:pPr>
        <w:spacing w:line="360" w:lineRule="auto"/>
        <w:jc w:val="left"/>
        <w:rPr>
          <w:rFonts w:hint="eastAsia" w:ascii="黑体" w:hAnsi="黑体" w:eastAsia="黑体" w:cs="黑体"/>
          <w:color w:val="auto"/>
          <w:sz w:val="32"/>
          <w:szCs w:val="32"/>
          <w:highlight w:val="none"/>
        </w:rPr>
        <w:sectPr>
          <w:pgSz w:w="11906" w:h="16838"/>
          <w:pgMar w:top="1247" w:right="1247" w:bottom="1247" w:left="1247" w:header="851" w:footer="992" w:gutter="0"/>
          <w:pgNumType w:fmt="decimal"/>
          <w:cols w:space="425" w:num="1"/>
          <w:docGrid w:type="lines" w:linePitch="312" w:charSpace="0"/>
        </w:sectPr>
      </w:pPr>
    </w:p>
    <w:p w14:paraId="5B6CB26F">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附件9：</w:t>
      </w:r>
    </w:p>
    <w:p w14:paraId="0417142B">
      <w:pPr>
        <w:spacing w:line="360" w:lineRule="auto"/>
        <w:jc w:val="left"/>
        <w:rPr>
          <w:rFonts w:ascii="黑体" w:hAnsi="黑体" w:eastAsia="黑体" w:cs="黑体"/>
          <w:b/>
          <w:bCs/>
          <w:color w:val="auto"/>
          <w:sz w:val="32"/>
          <w:szCs w:val="32"/>
          <w:highlight w:val="none"/>
        </w:rPr>
      </w:pPr>
    </w:p>
    <w:p w14:paraId="6568745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021DD8F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682DFD7B">
      <w:pPr>
        <w:keepNext w:val="0"/>
        <w:keepLines w:val="0"/>
        <w:pageBreakBefore w:val="0"/>
        <w:widowControl w:val="0"/>
        <w:kinsoku/>
        <w:wordWrap w:val="0"/>
        <w:overflowPunct/>
        <w:topLinePunct w:val="0"/>
        <w:autoSpaceDE/>
        <w:autoSpaceDN/>
        <w:bidi w:val="0"/>
        <w:adjustRightInd w:val="0"/>
        <w:snapToGrid w:val="0"/>
        <w:spacing w:line="500" w:lineRule="atLeast"/>
        <w:ind w:firstLine="480" w:firstLineChars="200"/>
        <w:jc w:val="right"/>
        <w:textAlignment w:val="auto"/>
        <w:rPr>
          <w:rFonts w:ascii="宋体" w:hAnsi="宋体"/>
          <w:color w:val="auto"/>
          <w:sz w:val="24"/>
          <w:szCs w:val="24"/>
          <w:highlight w:val="none"/>
        </w:rPr>
      </w:pPr>
      <w:r>
        <w:rPr>
          <w:rFonts w:hint="eastAsia" w:ascii="宋体" w:hAnsi="宋体"/>
          <w:color w:val="auto"/>
          <w:sz w:val="24"/>
          <w:szCs w:val="24"/>
          <w:highlight w:val="none"/>
        </w:rPr>
        <w:t xml:space="preserve">编号： </w:t>
      </w:r>
    </w:p>
    <w:p w14:paraId="26EAA985">
      <w:pPr>
        <w:keepNext w:val="0"/>
        <w:keepLines w:val="0"/>
        <w:pageBreakBefore w:val="0"/>
        <w:widowControl w:val="0"/>
        <w:kinsoku/>
        <w:wordWrap w:val="0"/>
        <w:overflowPunct/>
        <w:topLinePunct w:val="0"/>
        <w:autoSpaceDE/>
        <w:autoSpaceDN/>
        <w:bidi w:val="0"/>
        <w:adjustRightInd w:val="0"/>
        <w:snapToGrid w:val="0"/>
        <w:spacing w:line="500" w:lineRule="atLeast"/>
        <w:ind w:firstLine="480" w:firstLineChars="200"/>
        <w:jc w:val="right"/>
        <w:textAlignment w:val="auto"/>
        <w:rPr>
          <w:rFonts w:ascii="宋体" w:hAnsi="宋体"/>
          <w:color w:val="auto"/>
          <w:sz w:val="24"/>
          <w:szCs w:val="24"/>
          <w:highlight w:val="none"/>
        </w:rPr>
      </w:pPr>
    </w:p>
    <w:p w14:paraId="66DF81B8">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发包人：</w:t>
      </w:r>
    </w:p>
    <w:p w14:paraId="7567E9A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9A4C16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担保权人/承包人：</w:t>
      </w:r>
    </w:p>
    <w:p w14:paraId="03C0463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34B8ED02">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保证人：</w:t>
      </w:r>
    </w:p>
    <w:p w14:paraId="1768391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w:t>
      </w:r>
    </w:p>
    <w:p w14:paraId="26342900">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09F784C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承包人</w:t>
      </w:r>
      <w:r>
        <w:rPr>
          <w:rFonts w:ascii="宋体" w:hAnsi="宋体"/>
          <w:color w:val="auto"/>
          <w:sz w:val="24"/>
          <w:szCs w:val="24"/>
          <w:highlight w:val="none"/>
        </w:rPr>
        <w:t xml:space="preserve">名称）： </w:t>
      </w:r>
    </w:p>
    <w:p w14:paraId="6852181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    年  月  日就工程（以下简称“本工程”）施工和有关事项协商一致共同签订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（以下简称“主合同”），我方即保证人基于发包人</w:t>
      </w:r>
      <w:r>
        <w:rPr>
          <w:rFonts w:ascii="宋体" w:hAnsi="宋体"/>
          <w:color w:val="auto"/>
          <w:sz w:val="24"/>
          <w:szCs w:val="24"/>
          <w:highlight w:val="none"/>
        </w:rPr>
        <w:t>的请求，同意就</w:t>
      </w:r>
      <w:r>
        <w:rPr>
          <w:rFonts w:hint="eastAsia" w:ascii="宋体" w:hAnsi="宋体"/>
          <w:color w:val="auto"/>
          <w:sz w:val="24"/>
          <w:szCs w:val="24"/>
          <w:highlight w:val="none"/>
        </w:rPr>
        <w:t>发包人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w:t>
      </w:r>
      <w:r>
        <w:rPr>
          <w:rFonts w:hint="eastAsia" w:ascii="宋体" w:hAnsi="宋体"/>
          <w:color w:val="auto"/>
          <w:sz w:val="24"/>
          <w:szCs w:val="24"/>
          <w:highlight w:val="none"/>
        </w:rPr>
        <w:t>工程款（指主合同约定的除工程质量保修金以外的全部工程结算款项）付款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1DFD66A4">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1DE2A71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保证担保范围：申请人未履行主合同约定的工程款支付义务，应当向贵方承担的违约责任和赔偿因此造成的损失、利息、律师费、诉讼费用等实现债权的费用。</w:t>
      </w:r>
    </w:p>
    <w:p w14:paraId="68F1802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 xml:space="preserve">人民币（大写）元（¥）。 </w:t>
      </w:r>
    </w:p>
    <w:p w14:paraId="1B9B3F92">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p>
    <w:p w14:paraId="27E158A6">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1AFB398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主合同约定的除工程质量保修金以外的工程款支付之日后</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年  月  日</w:t>
      </w:r>
      <w:r>
        <w:rPr>
          <w:rFonts w:ascii="宋体" w:hAnsi="宋体"/>
          <w:color w:val="auto"/>
          <w:sz w:val="24"/>
          <w:szCs w:val="24"/>
          <w:highlight w:val="none"/>
        </w:rPr>
        <w:t xml:space="preserve">。 </w:t>
      </w:r>
    </w:p>
    <w:p w14:paraId="3D8F4617">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7F0A921D">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5C79F39D">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四、代偿的安排</w:t>
      </w:r>
    </w:p>
    <w:p w14:paraId="53F9677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1.贵方要求我方承担保证责任的，应向我方发出书面索赔通知及发包人未支付主合同约定工程款的证明材料。索赔通知应写明要求索赔的金额，支付款项应到达的账号。</w:t>
      </w:r>
    </w:p>
    <w:p w14:paraId="20E5A92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147EBBF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3.我方收到贵方的书面索赔通知及相应证明材料后，在工作日内进行核定后按照本保函的承诺承担保证责任。</w:t>
      </w:r>
    </w:p>
    <w:p w14:paraId="11205659">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p>
    <w:p w14:paraId="4673912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50C29B92">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51ACB80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2B3141B1">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5EF25F49">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六、免责条款</w:t>
      </w:r>
    </w:p>
    <w:p w14:paraId="27C11D1F">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发包人未履行主合同项下工程款付款义务的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26B3BD2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发包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5463FE1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发包</w:t>
      </w:r>
      <w:r>
        <w:rPr>
          <w:rFonts w:ascii="宋体" w:hAnsi="宋体"/>
          <w:color w:val="auto"/>
          <w:sz w:val="24"/>
          <w:szCs w:val="24"/>
          <w:highlight w:val="none"/>
        </w:rPr>
        <w:t>人</w:t>
      </w:r>
      <w:r>
        <w:rPr>
          <w:rFonts w:hint="eastAsia" w:ascii="宋体" w:hAnsi="宋体"/>
          <w:color w:val="auto"/>
          <w:sz w:val="24"/>
          <w:szCs w:val="24"/>
          <w:highlight w:val="none"/>
        </w:rPr>
        <w:t>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475CAA8D">
      <w:pPr>
        <w:keepNext w:val="0"/>
        <w:keepLines w:val="0"/>
        <w:pageBreakBefore w:val="0"/>
        <w:widowControl w:val="0"/>
        <w:kinsoku/>
        <w:overflowPunct/>
        <w:topLinePunct w:val="0"/>
        <w:autoSpaceDE/>
        <w:autoSpaceDN/>
        <w:bidi w:val="0"/>
        <w:adjustRightInd w:val="0"/>
        <w:snapToGrid w:val="0"/>
        <w:spacing w:line="500" w:lineRule="atLeast"/>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七、其他</w:t>
      </w:r>
    </w:p>
    <w:p w14:paraId="1A45F61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6493D94A">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p>
    <w:p w14:paraId="7E63102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17C7AE2">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p>
    <w:p w14:paraId="5AFCD185">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53239684">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0D2355C9">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4836F53E">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邮政编码：</w:t>
      </w:r>
    </w:p>
    <w:p w14:paraId="728EE343">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689BDC6B">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6795098C">
      <w:pPr>
        <w:keepNext w:val="0"/>
        <w:keepLines w:val="0"/>
        <w:pageBreakBefore w:val="0"/>
        <w:widowControl w:val="0"/>
        <w:kinsoku/>
        <w:overflowPunct/>
        <w:topLinePunct w:val="0"/>
        <w:autoSpaceDE/>
        <w:autoSpaceDN/>
        <w:bidi w:val="0"/>
        <w:adjustRightInd w:val="0"/>
        <w:snapToGrid w:val="0"/>
        <w:spacing w:line="50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时 间：</w:t>
      </w:r>
      <w:r>
        <w:rPr>
          <w:rFonts w:ascii="宋体" w:hAnsi="宋体"/>
          <w:color w:val="auto"/>
          <w:sz w:val="24"/>
          <w:szCs w:val="24"/>
          <w:highlight w:val="none"/>
        </w:rPr>
        <w:t xml:space="preserve">      年      月        日</w:t>
      </w:r>
    </w:p>
    <w:p w14:paraId="5919F197">
      <w:pPr>
        <w:rPr>
          <w:color w:val="auto"/>
          <w:szCs w:val="21"/>
          <w:highlight w:val="none"/>
        </w:rPr>
      </w:pPr>
    </w:p>
    <w:p w14:paraId="6B52CE35">
      <w:pPr>
        <w:spacing w:line="360" w:lineRule="auto"/>
        <w:ind w:firstLine="480" w:firstLineChars="200"/>
        <w:rPr>
          <w:rFonts w:ascii="宋体" w:hAnsi="宋体"/>
          <w:color w:val="auto"/>
          <w:sz w:val="24"/>
          <w:highlight w:val="none"/>
        </w:rPr>
      </w:pPr>
    </w:p>
    <w:p w14:paraId="0AB2F637">
      <w:pPr>
        <w:spacing w:line="360" w:lineRule="auto"/>
        <w:ind w:firstLine="420" w:firstLineChars="200"/>
        <w:rPr>
          <w:color w:val="auto"/>
          <w:szCs w:val="21"/>
          <w:highlight w:val="none"/>
        </w:rPr>
      </w:pPr>
    </w:p>
    <w:p w14:paraId="2BA74A6A">
      <w:pPr>
        <w:jc w:val="left"/>
        <w:rPr>
          <w:rFonts w:eastAsia="仿宋_GB2312"/>
          <w:color w:val="auto"/>
          <w:sz w:val="30"/>
          <w:szCs w:val="30"/>
          <w:highlight w:val="none"/>
        </w:rPr>
      </w:pPr>
    </w:p>
    <w:p w14:paraId="5F73D662">
      <w:pPr>
        <w:jc w:val="left"/>
        <w:rPr>
          <w:rFonts w:eastAsia="仿宋_GB2312"/>
          <w:color w:val="auto"/>
          <w:sz w:val="30"/>
          <w:szCs w:val="30"/>
          <w:highlight w:val="none"/>
        </w:rPr>
      </w:pPr>
    </w:p>
    <w:p w14:paraId="5C8F7A47">
      <w:pPr>
        <w:jc w:val="left"/>
        <w:rPr>
          <w:rFonts w:eastAsia="仿宋_GB2312"/>
          <w:color w:val="auto"/>
          <w:sz w:val="30"/>
          <w:szCs w:val="30"/>
          <w:highlight w:val="none"/>
        </w:rPr>
      </w:pPr>
    </w:p>
    <w:p w14:paraId="0BF83BF0">
      <w:pPr>
        <w:jc w:val="left"/>
        <w:rPr>
          <w:rFonts w:eastAsia="仿宋_GB2312"/>
          <w:color w:val="auto"/>
          <w:sz w:val="30"/>
          <w:szCs w:val="30"/>
          <w:highlight w:val="none"/>
        </w:rPr>
      </w:pPr>
    </w:p>
    <w:p w14:paraId="7EA9C705">
      <w:pPr>
        <w:jc w:val="left"/>
        <w:rPr>
          <w:rFonts w:eastAsia="仿宋_GB2312"/>
          <w:color w:val="auto"/>
          <w:sz w:val="30"/>
          <w:szCs w:val="30"/>
          <w:highlight w:val="none"/>
        </w:rPr>
      </w:pPr>
    </w:p>
    <w:p w14:paraId="65DBF59F">
      <w:pPr>
        <w:jc w:val="left"/>
        <w:rPr>
          <w:rFonts w:eastAsia="仿宋_GB2312"/>
          <w:color w:val="auto"/>
          <w:sz w:val="30"/>
          <w:szCs w:val="30"/>
          <w:highlight w:val="none"/>
        </w:rPr>
      </w:pPr>
    </w:p>
    <w:p w14:paraId="78BFB37D">
      <w:pPr>
        <w:jc w:val="left"/>
        <w:rPr>
          <w:rFonts w:eastAsia="仿宋_GB2312"/>
          <w:color w:val="auto"/>
          <w:sz w:val="30"/>
          <w:szCs w:val="30"/>
          <w:highlight w:val="none"/>
        </w:rPr>
      </w:pPr>
    </w:p>
    <w:p w14:paraId="393BCBB7">
      <w:pPr>
        <w:jc w:val="left"/>
        <w:rPr>
          <w:rFonts w:eastAsia="仿宋_GB2312"/>
          <w:color w:val="auto"/>
          <w:sz w:val="30"/>
          <w:szCs w:val="30"/>
          <w:highlight w:val="none"/>
        </w:rPr>
      </w:pPr>
    </w:p>
    <w:p w14:paraId="50D3EC40">
      <w:pPr>
        <w:jc w:val="left"/>
        <w:rPr>
          <w:rFonts w:eastAsia="仿宋_GB2312"/>
          <w:color w:val="auto"/>
          <w:sz w:val="30"/>
          <w:szCs w:val="30"/>
          <w:highlight w:val="none"/>
        </w:rPr>
      </w:pPr>
    </w:p>
    <w:p w14:paraId="07DEBA23">
      <w:pPr>
        <w:rPr>
          <w:rFonts w:hAnsi="宋体" w:cs="宋体"/>
          <w:color w:val="auto"/>
          <w:sz w:val="30"/>
          <w:szCs w:val="30"/>
          <w:highlight w:val="none"/>
        </w:rPr>
      </w:pPr>
      <w:r>
        <w:rPr>
          <w:rFonts w:hint="eastAsia" w:hAnsi="宋体" w:cs="宋体"/>
          <w:color w:val="auto"/>
          <w:sz w:val="30"/>
          <w:szCs w:val="30"/>
          <w:highlight w:val="none"/>
        </w:rPr>
        <w:br w:type="page"/>
      </w:r>
    </w:p>
    <w:p w14:paraId="5F046703">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附件10：</w:t>
      </w:r>
    </w:p>
    <w:p w14:paraId="3327DB32">
      <w:pPr>
        <w:jc w:val="center"/>
        <w:rPr>
          <w:b/>
          <w:color w:val="auto"/>
          <w:sz w:val="36"/>
          <w:szCs w:val="36"/>
          <w:highlight w:val="none"/>
        </w:rPr>
      </w:pPr>
      <w:r>
        <w:rPr>
          <w:rFonts w:hint="eastAsia"/>
          <w:b/>
          <w:color w:val="auto"/>
          <w:sz w:val="36"/>
          <w:szCs w:val="36"/>
          <w:highlight w:val="none"/>
        </w:rPr>
        <w:t>预付款支付申请（核准）表</w:t>
      </w:r>
    </w:p>
    <w:p w14:paraId="4B000123">
      <w:pPr>
        <w:rPr>
          <w:color w:val="auto"/>
          <w:sz w:val="24"/>
          <w:highlight w:val="none"/>
        </w:rPr>
      </w:pPr>
      <w:r>
        <w:rPr>
          <w:rFonts w:hint="eastAsia"/>
          <w:color w:val="auto"/>
          <w:sz w:val="24"/>
          <w:highlight w:val="none"/>
        </w:rPr>
        <w:t>工程名称：编号：</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2AB8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238B691B">
            <w:pPr>
              <w:spacing w:line="480" w:lineRule="exact"/>
              <w:ind w:left="525" w:leftChars="149" w:hanging="212" w:hangingChars="101"/>
              <w:rPr>
                <w:color w:val="auto"/>
                <w:szCs w:val="21"/>
                <w:highlight w:val="none"/>
                <w:u w:val="single"/>
              </w:rPr>
            </w:pPr>
            <w:r>
              <w:rPr>
                <w:rFonts w:hint="eastAsia"/>
                <w:color w:val="auto"/>
                <w:szCs w:val="21"/>
                <w:highlight w:val="none"/>
              </w:rPr>
              <w:t>致：</w:t>
            </w:r>
            <w:r>
              <w:rPr>
                <w:rFonts w:hint="eastAsia"/>
                <w:color w:val="auto"/>
                <w:szCs w:val="21"/>
                <w:highlight w:val="none"/>
                <w:u w:val="single"/>
              </w:rPr>
              <w:t>（发包人全称）</w:t>
            </w:r>
          </w:p>
          <w:p w14:paraId="6B87CA5C">
            <w:pPr>
              <w:spacing w:line="400" w:lineRule="exact"/>
              <w:ind w:left="-4" w:leftChars="-2" w:firstLine="315" w:firstLineChars="150"/>
              <w:rPr>
                <w:color w:val="auto"/>
                <w:szCs w:val="21"/>
                <w:highlight w:val="none"/>
              </w:rPr>
            </w:pPr>
            <w:r>
              <w:rPr>
                <w:rFonts w:hint="eastAsia"/>
                <w:color w:val="auto"/>
                <w:szCs w:val="21"/>
                <w:highlight w:val="none"/>
              </w:rPr>
              <w:t>我方根据施工合同的约定，现申请支付工程预付款额为（大写）元，（小写）</w:t>
            </w:r>
          </w:p>
          <w:p w14:paraId="1AE5E387">
            <w:pPr>
              <w:spacing w:line="400" w:lineRule="exact"/>
              <w:rPr>
                <w:color w:val="auto"/>
                <w:szCs w:val="21"/>
                <w:highlight w:val="none"/>
              </w:rPr>
            </w:pPr>
            <w:r>
              <w:rPr>
                <w:rFonts w:hint="eastAsia"/>
                <w:color w:val="auto"/>
                <w:szCs w:val="21"/>
                <w:highlight w:val="none"/>
              </w:rPr>
              <w:t>元，请予核准。</w:t>
            </w:r>
          </w:p>
          <w:tbl>
            <w:tblPr>
              <w:tblStyle w:val="16"/>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469A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6626A5B">
                  <w:pPr>
                    <w:spacing w:line="280" w:lineRule="exact"/>
                    <w:jc w:val="center"/>
                    <w:rPr>
                      <w:color w:val="auto"/>
                      <w:szCs w:val="21"/>
                      <w:highlight w:val="none"/>
                    </w:rPr>
                  </w:pPr>
                  <w:r>
                    <w:rPr>
                      <w:rFonts w:hint="eastAsia"/>
                      <w:color w:val="auto"/>
                      <w:szCs w:val="21"/>
                      <w:highlight w:val="none"/>
                    </w:rPr>
                    <w:t>序号</w:t>
                  </w:r>
                </w:p>
              </w:tc>
              <w:tc>
                <w:tcPr>
                  <w:tcW w:w="3340" w:type="dxa"/>
                  <w:noWrap w:val="0"/>
                  <w:vAlign w:val="center"/>
                </w:tcPr>
                <w:p w14:paraId="5A650ECD">
                  <w:pPr>
                    <w:spacing w:line="280" w:lineRule="exact"/>
                    <w:jc w:val="center"/>
                    <w:rPr>
                      <w:color w:val="auto"/>
                      <w:szCs w:val="21"/>
                      <w:highlight w:val="none"/>
                    </w:rPr>
                  </w:pPr>
                  <w:r>
                    <w:rPr>
                      <w:rFonts w:hint="eastAsia"/>
                      <w:color w:val="auto"/>
                      <w:szCs w:val="21"/>
                      <w:highlight w:val="none"/>
                    </w:rPr>
                    <w:t>名称</w:t>
                  </w:r>
                </w:p>
              </w:tc>
              <w:tc>
                <w:tcPr>
                  <w:tcW w:w="1764" w:type="dxa"/>
                  <w:noWrap w:val="0"/>
                  <w:vAlign w:val="center"/>
                </w:tcPr>
                <w:p w14:paraId="4B8E908C">
                  <w:pPr>
                    <w:spacing w:line="280" w:lineRule="exact"/>
                    <w:jc w:val="center"/>
                    <w:rPr>
                      <w:color w:val="auto"/>
                      <w:szCs w:val="21"/>
                      <w:highlight w:val="none"/>
                    </w:rPr>
                  </w:pPr>
                  <w:r>
                    <w:rPr>
                      <w:rFonts w:hint="eastAsia"/>
                      <w:color w:val="auto"/>
                      <w:szCs w:val="21"/>
                      <w:highlight w:val="none"/>
                    </w:rPr>
                    <w:t>申请金额（元）</w:t>
                  </w:r>
                </w:p>
              </w:tc>
              <w:tc>
                <w:tcPr>
                  <w:tcW w:w="2240" w:type="dxa"/>
                  <w:noWrap w:val="0"/>
                  <w:vAlign w:val="center"/>
                </w:tcPr>
                <w:p w14:paraId="3426C419">
                  <w:pPr>
                    <w:spacing w:line="280" w:lineRule="exact"/>
                    <w:jc w:val="center"/>
                    <w:rPr>
                      <w:color w:val="auto"/>
                      <w:szCs w:val="21"/>
                      <w:highlight w:val="none"/>
                    </w:rPr>
                  </w:pPr>
                  <w:r>
                    <w:rPr>
                      <w:rFonts w:hint="eastAsia"/>
                      <w:color w:val="auto"/>
                      <w:szCs w:val="21"/>
                      <w:highlight w:val="none"/>
                    </w:rPr>
                    <w:t>复核金额（元）</w:t>
                  </w:r>
                </w:p>
              </w:tc>
              <w:tc>
                <w:tcPr>
                  <w:tcW w:w="1080" w:type="dxa"/>
                  <w:noWrap w:val="0"/>
                  <w:vAlign w:val="center"/>
                </w:tcPr>
                <w:p w14:paraId="5B88CDF4">
                  <w:pPr>
                    <w:spacing w:line="280" w:lineRule="exact"/>
                    <w:jc w:val="center"/>
                    <w:rPr>
                      <w:color w:val="auto"/>
                      <w:szCs w:val="21"/>
                      <w:highlight w:val="none"/>
                    </w:rPr>
                  </w:pPr>
                  <w:r>
                    <w:rPr>
                      <w:rFonts w:hint="eastAsia"/>
                      <w:color w:val="auto"/>
                      <w:szCs w:val="21"/>
                      <w:highlight w:val="none"/>
                    </w:rPr>
                    <w:t>备注</w:t>
                  </w:r>
                </w:p>
              </w:tc>
            </w:tr>
            <w:tr w14:paraId="2E8E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395BCA7">
                  <w:pPr>
                    <w:spacing w:line="280" w:lineRule="exact"/>
                    <w:jc w:val="center"/>
                    <w:rPr>
                      <w:color w:val="auto"/>
                      <w:szCs w:val="21"/>
                      <w:highlight w:val="none"/>
                    </w:rPr>
                  </w:pPr>
                  <w:r>
                    <w:rPr>
                      <w:rFonts w:hint="eastAsia"/>
                      <w:color w:val="auto"/>
                      <w:szCs w:val="21"/>
                      <w:highlight w:val="none"/>
                    </w:rPr>
                    <w:t>1</w:t>
                  </w:r>
                </w:p>
              </w:tc>
              <w:tc>
                <w:tcPr>
                  <w:tcW w:w="3340" w:type="dxa"/>
                  <w:noWrap w:val="0"/>
                  <w:vAlign w:val="top"/>
                </w:tcPr>
                <w:p w14:paraId="32AB0CBF">
                  <w:pPr>
                    <w:spacing w:line="280" w:lineRule="exact"/>
                    <w:rPr>
                      <w:color w:val="auto"/>
                      <w:szCs w:val="21"/>
                      <w:highlight w:val="none"/>
                    </w:rPr>
                  </w:pPr>
                  <w:r>
                    <w:rPr>
                      <w:rFonts w:hint="eastAsia"/>
                      <w:color w:val="auto"/>
                      <w:szCs w:val="21"/>
                      <w:highlight w:val="none"/>
                    </w:rPr>
                    <w:t>已签约合同价款金额</w:t>
                  </w:r>
                </w:p>
              </w:tc>
              <w:tc>
                <w:tcPr>
                  <w:tcW w:w="1764" w:type="dxa"/>
                  <w:noWrap w:val="0"/>
                  <w:vAlign w:val="top"/>
                </w:tcPr>
                <w:p w14:paraId="5394A448">
                  <w:pPr>
                    <w:spacing w:line="280" w:lineRule="exact"/>
                    <w:rPr>
                      <w:color w:val="auto"/>
                      <w:szCs w:val="21"/>
                      <w:highlight w:val="none"/>
                    </w:rPr>
                  </w:pPr>
                </w:p>
              </w:tc>
              <w:tc>
                <w:tcPr>
                  <w:tcW w:w="2240" w:type="dxa"/>
                  <w:noWrap w:val="0"/>
                  <w:vAlign w:val="top"/>
                </w:tcPr>
                <w:p w14:paraId="0D706BA9">
                  <w:pPr>
                    <w:spacing w:line="280" w:lineRule="exact"/>
                    <w:rPr>
                      <w:color w:val="auto"/>
                      <w:szCs w:val="21"/>
                      <w:highlight w:val="none"/>
                    </w:rPr>
                  </w:pPr>
                </w:p>
              </w:tc>
              <w:tc>
                <w:tcPr>
                  <w:tcW w:w="1080" w:type="dxa"/>
                  <w:noWrap w:val="0"/>
                  <w:vAlign w:val="top"/>
                </w:tcPr>
                <w:p w14:paraId="35ACFCCB">
                  <w:pPr>
                    <w:spacing w:line="280" w:lineRule="exact"/>
                    <w:rPr>
                      <w:color w:val="auto"/>
                      <w:szCs w:val="21"/>
                      <w:highlight w:val="none"/>
                    </w:rPr>
                  </w:pPr>
                </w:p>
              </w:tc>
            </w:tr>
            <w:tr w14:paraId="5F8C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1AB932">
                  <w:pPr>
                    <w:spacing w:line="280" w:lineRule="exact"/>
                    <w:jc w:val="center"/>
                    <w:rPr>
                      <w:color w:val="auto"/>
                      <w:szCs w:val="21"/>
                      <w:highlight w:val="none"/>
                    </w:rPr>
                  </w:pPr>
                  <w:r>
                    <w:rPr>
                      <w:rFonts w:hint="eastAsia"/>
                      <w:color w:val="auto"/>
                      <w:szCs w:val="21"/>
                      <w:highlight w:val="none"/>
                    </w:rPr>
                    <w:t>2</w:t>
                  </w:r>
                </w:p>
              </w:tc>
              <w:tc>
                <w:tcPr>
                  <w:tcW w:w="3340" w:type="dxa"/>
                  <w:noWrap w:val="0"/>
                  <w:vAlign w:val="top"/>
                </w:tcPr>
                <w:p w14:paraId="0C629D32">
                  <w:pPr>
                    <w:spacing w:line="280" w:lineRule="exact"/>
                    <w:rPr>
                      <w:color w:val="auto"/>
                      <w:szCs w:val="21"/>
                      <w:highlight w:val="none"/>
                    </w:rPr>
                  </w:pPr>
                  <w:r>
                    <w:rPr>
                      <w:rFonts w:hint="eastAsia"/>
                      <w:color w:val="auto"/>
                      <w:szCs w:val="21"/>
                      <w:highlight w:val="none"/>
                    </w:rPr>
                    <w:t>其中：安全文明施工费</w:t>
                  </w:r>
                </w:p>
              </w:tc>
              <w:tc>
                <w:tcPr>
                  <w:tcW w:w="1764" w:type="dxa"/>
                  <w:noWrap w:val="0"/>
                  <w:vAlign w:val="top"/>
                </w:tcPr>
                <w:p w14:paraId="4F99B743">
                  <w:pPr>
                    <w:spacing w:line="280" w:lineRule="exact"/>
                    <w:rPr>
                      <w:color w:val="auto"/>
                      <w:szCs w:val="21"/>
                      <w:highlight w:val="none"/>
                    </w:rPr>
                  </w:pPr>
                </w:p>
              </w:tc>
              <w:tc>
                <w:tcPr>
                  <w:tcW w:w="2240" w:type="dxa"/>
                  <w:noWrap w:val="0"/>
                  <w:vAlign w:val="top"/>
                </w:tcPr>
                <w:p w14:paraId="23B82254">
                  <w:pPr>
                    <w:spacing w:line="280" w:lineRule="exact"/>
                    <w:rPr>
                      <w:color w:val="auto"/>
                      <w:szCs w:val="21"/>
                      <w:highlight w:val="none"/>
                    </w:rPr>
                  </w:pPr>
                </w:p>
              </w:tc>
              <w:tc>
                <w:tcPr>
                  <w:tcW w:w="1080" w:type="dxa"/>
                  <w:noWrap w:val="0"/>
                  <w:vAlign w:val="top"/>
                </w:tcPr>
                <w:p w14:paraId="53FE08E0">
                  <w:pPr>
                    <w:spacing w:line="280" w:lineRule="exact"/>
                    <w:rPr>
                      <w:color w:val="auto"/>
                      <w:szCs w:val="21"/>
                      <w:highlight w:val="none"/>
                    </w:rPr>
                  </w:pPr>
                </w:p>
              </w:tc>
            </w:tr>
            <w:tr w14:paraId="189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862AD5">
                  <w:pPr>
                    <w:spacing w:line="280" w:lineRule="exact"/>
                    <w:jc w:val="center"/>
                    <w:rPr>
                      <w:color w:val="auto"/>
                      <w:szCs w:val="21"/>
                      <w:highlight w:val="none"/>
                    </w:rPr>
                  </w:pPr>
                  <w:r>
                    <w:rPr>
                      <w:rFonts w:hint="eastAsia"/>
                      <w:color w:val="auto"/>
                      <w:szCs w:val="21"/>
                      <w:highlight w:val="none"/>
                    </w:rPr>
                    <w:t>3</w:t>
                  </w:r>
                </w:p>
              </w:tc>
              <w:tc>
                <w:tcPr>
                  <w:tcW w:w="3340" w:type="dxa"/>
                  <w:noWrap w:val="0"/>
                  <w:vAlign w:val="top"/>
                </w:tcPr>
                <w:p w14:paraId="5C29463F">
                  <w:pPr>
                    <w:spacing w:line="280" w:lineRule="exact"/>
                    <w:rPr>
                      <w:color w:val="auto"/>
                      <w:szCs w:val="21"/>
                      <w:highlight w:val="none"/>
                    </w:rPr>
                  </w:pPr>
                  <w:r>
                    <w:rPr>
                      <w:rFonts w:hint="eastAsia"/>
                      <w:color w:val="auto"/>
                      <w:szCs w:val="21"/>
                      <w:highlight w:val="none"/>
                    </w:rPr>
                    <w:t>应支付的预付款</w:t>
                  </w:r>
                </w:p>
              </w:tc>
              <w:tc>
                <w:tcPr>
                  <w:tcW w:w="1764" w:type="dxa"/>
                  <w:noWrap w:val="0"/>
                  <w:vAlign w:val="top"/>
                </w:tcPr>
                <w:p w14:paraId="45FF90E1">
                  <w:pPr>
                    <w:spacing w:line="280" w:lineRule="exact"/>
                    <w:rPr>
                      <w:color w:val="auto"/>
                      <w:szCs w:val="21"/>
                      <w:highlight w:val="none"/>
                    </w:rPr>
                  </w:pPr>
                </w:p>
              </w:tc>
              <w:tc>
                <w:tcPr>
                  <w:tcW w:w="2240" w:type="dxa"/>
                  <w:noWrap w:val="0"/>
                  <w:vAlign w:val="top"/>
                </w:tcPr>
                <w:p w14:paraId="05E07944">
                  <w:pPr>
                    <w:spacing w:line="280" w:lineRule="exact"/>
                    <w:rPr>
                      <w:color w:val="auto"/>
                      <w:szCs w:val="21"/>
                      <w:highlight w:val="none"/>
                    </w:rPr>
                  </w:pPr>
                </w:p>
              </w:tc>
              <w:tc>
                <w:tcPr>
                  <w:tcW w:w="1080" w:type="dxa"/>
                  <w:noWrap w:val="0"/>
                  <w:vAlign w:val="top"/>
                </w:tcPr>
                <w:p w14:paraId="2D6A53A0">
                  <w:pPr>
                    <w:spacing w:line="280" w:lineRule="exact"/>
                    <w:rPr>
                      <w:color w:val="auto"/>
                      <w:szCs w:val="21"/>
                      <w:highlight w:val="none"/>
                    </w:rPr>
                  </w:pPr>
                </w:p>
              </w:tc>
            </w:tr>
            <w:tr w14:paraId="6844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0070D30">
                  <w:pPr>
                    <w:spacing w:line="280" w:lineRule="exact"/>
                    <w:jc w:val="center"/>
                    <w:rPr>
                      <w:color w:val="auto"/>
                      <w:szCs w:val="21"/>
                      <w:highlight w:val="none"/>
                    </w:rPr>
                  </w:pPr>
                  <w:r>
                    <w:rPr>
                      <w:rFonts w:hint="eastAsia"/>
                      <w:color w:val="auto"/>
                      <w:szCs w:val="21"/>
                      <w:highlight w:val="none"/>
                    </w:rPr>
                    <w:t>4</w:t>
                  </w:r>
                </w:p>
              </w:tc>
              <w:tc>
                <w:tcPr>
                  <w:tcW w:w="3340" w:type="dxa"/>
                  <w:noWrap w:val="0"/>
                  <w:vAlign w:val="top"/>
                </w:tcPr>
                <w:p w14:paraId="4EAA191F">
                  <w:pPr>
                    <w:spacing w:line="280" w:lineRule="exact"/>
                    <w:rPr>
                      <w:color w:val="auto"/>
                      <w:szCs w:val="21"/>
                      <w:highlight w:val="none"/>
                    </w:rPr>
                  </w:pPr>
                  <w:r>
                    <w:rPr>
                      <w:rFonts w:hint="eastAsia"/>
                      <w:color w:val="auto"/>
                      <w:szCs w:val="21"/>
                      <w:highlight w:val="none"/>
                    </w:rPr>
                    <w:t>应支付的安全文明施工费预付款</w:t>
                  </w:r>
                </w:p>
              </w:tc>
              <w:tc>
                <w:tcPr>
                  <w:tcW w:w="1764" w:type="dxa"/>
                  <w:noWrap w:val="0"/>
                  <w:vAlign w:val="top"/>
                </w:tcPr>
                <w:p w14:paraId="067E8237">
                  <w:pPr>
                    <w:spacing w:line="280" w:lineRule="exact"/>
                    <w:rPr>
                      <w:color w:val="auto"/>
                      <w:szCs w:val="21"/>
                      <w:highlight w:val="none"/>
                    </w:rPr>
                  </w:pPr>
                </w:p>
              </w:tc>
              <w:tc>
                <w:tcPr>
                  <w:tcW w:w="2240" w:type="dxa"/>
                  <w:noWrap w:val="0"/>
                  <w:vAlign w:val="top"/>
                </w:tcPr>
                <w:p w14:paraId="49F3A0E8">
                  <w:pPr>
                    <w:spacing w:line="280" w:lineRule="exact"/>
                    <w:rPr>
                      <w:color w:val="auto"/>
                      <w:szCs w:val="21"/>
                      <w:highlight w:val="none"/>
                    </w:rPr>
                  </w:pPr>
                </w:p>
              </w:tc>
              <w:tc>
                <w:tcPr>
                  <w:tcW w:w="1080" w:type="dxa"/>
                  <w:noWrap w:val="0"/>
                  <w:vAlign w:val="top"/>
                </w:tcPr>
                <w:p w14:paraId="6AEA6AE8">
                  <w:pPr>
                    <w:spacing w:line="280" w:lineRule="exact"/>
                    <w:rPr>
                      <w:color w:val="auto"/>
                      <w:szCs w:val="21"/>
                      <w:highlight w:val="none"/>
                    </w:rPr>
                  </w:pPr>
                </w:p>
              </w:tc>
            </w:tr>
            <w:tr w14:paraId="2855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37E37FC">
                  <w:pPr>
                    <w:spacing w:line="280" w:lineRule="exact"/>
                    <w:jc w:val="center"/>
                    <w:rPr>
                      <w:color w:val="auto"/>
                      <w:szCs w:val="21"/>
                      <w:highlight w:val="none"/>
                    </w:rPr>
                  </w:pPr>
                  <w:r>
                    <w:rPr>
                      <w:rFonts w:hint="eastAsia"/>
                      <w:color w:val="auto"/>
                      <w:szCs w:val="21"/>
                      <w:highlight w:val="none"/>
                    </w:rPr>
                    <w:t>5</w:t>
                  </w:r>
                </w:p>
              </w:tc>
              <w:tc>
                <w:tcPr>
                  <w:tcW w:w="3340" w:type="dxa"/>
                  <w:noWrap w:val="0"/>
                  <w:vAlign w:val="top"/>
                </w:tcPr>
                <w:p w14:paraId="7989033C">
                  <w:pPr>
                    <w:spacing w:line="280" w:lineRule="exact"/>
                    <w:rPr>
                      <w:color w:val="auto"/>
                      <w:szCs w:val="21"/>
                      <w:highlight w:val="none"/>
                    </w:rPr>
                  </w:pPr>
                  <w:r>
                    <w:rPr>
                      <w:rFonts w:hint="eastAsia"/>
                      <w:color w:val="auto"/>
                      <w:szCs w:val="21"/>
                      <w:highlight w:val="none"/>
                    </w:rPr>
                    <w:t>合计应支付的预付款</w:t>
                  </w:r>
                </w:p>
              </w:tc>
              <w:tc>
                <w:tcPr>
                  <w:tcW w:w="1764" w:type="dxa"/>
                  <w:noWrap w:val="0"/>
                  <w:vAlign w:val="top"/>
                </w:tcPr>
                <w:p w14:paraId="5B1AB4C8">
                  <w:pPr>
                    <w:spacing w:line="280" w:lineRule="exact"/>
                    <w:rPr>
                      <w:color w:val="auto"/>
                      <w:szCs w:val="21"/>
                      <w:highlight w:val="none"/>
                    </w:rPr>
                  </w:pPr>
                </w:p>
              </w:tc>
              <w:tc>
                <w:tcPr>
                  <w:tcW w:w="2240" w:type="dxa"/>
                  <w:noWrap w:val="0"/>
                  <w:vAlign w:val="top"/>
                </w:tcPr>
                <w:p w14:paraId="602DEAB2">
                  <w:pPr>
                    <w:spacing w:line="280" w:lineRule="exact"/>
                    <w:rPr>
                      <w:color w:val="auto"/>
                      <w:szCs w:val="21"/>
                      <w:highlight w:val="none"/>
                    </w:rPr>
                  </w:pPr>
                </w:p>
              </w:tc>
              <w:tc>
                <w:tcPr>
                  <w:tcW w:w="1080" w:type="dxa"/>
                  <w:noWrap w:val="0"/>
                  <w:vAlign w:val="top"/>
                </w:tcPr>
                <w:p w14:paraId="0BC820B1">
                  <w:pPr>
                    <w:spacing w:line="280" w:lineRule="exact"/>
                    <w:rPr>
                      <w:color w:val="auto"/>
                      <w:szCs w:val="21"/>
                      <w:highlight w:val="none"/>
                    </w:rPr>
                  </w:pPr>
                </w:p>
              </w:tc>
            </w:tr>
            <w:tr w14:paraId="4AEA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0598054">
                  <w:pPr>
                    <w:spacing w:line="280" w:lineRule="exact"/>
                    <w:jc w:val="center"/>
                    <w:rPr>
                      <w:color w:val="auto"/>
                      <w:szCs w:val="21"/>
                      <w:highlight w:val="none"/>
                    </w:rPr>
                  </w:pPr>
                </w:p>
              </w:tc>
              <w:tc>
                <w:tcPr>
                  <w:tcW w:w="3340" w:type="dxa"/>
                  <w:noWrap w:val="0"/>
                  <w:vAlign w:val="top"/>
                </w:tcPr>
                <w:p w14:paraId="3314AE22">
                  <w:pPr>
                    <w:spacing w:line="280" w:lineRule="exact"/>
                    <w:rPr>
                      <w:color w:val="auto"/>
                      <w:szCs w:val="21"/>
                      <w:highlight w:val="none"/>
                    </w:rPr>
                  </w:pPr>
                </w:p>
              </w:tc>
              <w:tc>
                <w:tcPr>
                  <w:tcW w:w="1764" w:type="dxa"/>
                  <w:noWrap w:val="0"/>
                  <w:vAlign w:val="top"/>
                </w:tcPr>
                <w:p w14:paraId="51FD1961">
                  <w:pPr>
                    <w:spacing w:line="280" w:lineRule="exact"/>
                    <w:rPr>
                      <w:color w:val="auto"/>
                      <w:szCs w:val="21"/>
                      <w:highlight w:val="none"/>
                    </w:rPr>
                  </w:pPr>
                </w:p>
              </w:tc>
              <w:tc>
                <w:tcPr>
                  <w:tcW w:w="2240" w:type="dxa"/>
                  <w:noWrap w:val="0"/>
                  <w:vAlign w:val="top"/>
                </w:tcPr>
                <w:p w14:paraId="4D6AF262">
                  <w:pPr>
                    <w:spacing w:line="280" w:lineRule="exact"/>
                    <w:rPr>
                      <w:color w:val="auto"/>
                      <w:szCs w:val="21"/>
                      <w:highlight w:val="none"/>
                    </w:rPr>
                  </w:pPr>
                </w:p>
              </w:tc>
              <w:tc>
                <w:tcPr>
                  <w:tcW w:w="1080" w:type="dxa"/>
                  <w:noWrap w:val="0"/>
                  <w:vAlign w:val="top"/>
                </w:tcPr>
                <w:p w14:paraId="678414D2">
                  <w:pPr>
                    <w:spacing w:line="280" w:lineRule="exact"/>
                    <w:rPr>
                      <w:color w:val="auto"/>
                      <w:szCs w:val="21"/>
                      <w:highlight w:val="none"/>
                    </w:rPr>
                  </w:pPr>
                </w:p>
              </w:tc>
            </w:tr>
          </w:tbl>
          <w:p w14:paraId="312B5C7C">
            <w:pPr>
              <w:wordWrap w:val="0"/>
              <w:spacing w:line="400" w:lineRule="exact"/>
              <w:ind w:right="420"/>
              <w:rPr>
                <w:color w:val="auto"/>
                <w:szCs w:val="21"/>
                <w:highlight w:val="none"/>
              </w:rPr>
            </w:pPr>
          </w:p>
          <w:p w14:paraId="395ED28A">
            <w:pPr>
              <w:wordWrap w:val="0"/>
              <w:spacing w:line="400" w:lineRule="exact"/>
              <w:ind w:right="420"/>
              <w:rPr>
                <w:color w:val="auto"/>
                <w:szCs w:val="21"/>
                <w:highlight w:val="none"/>
              </w:rPr>
            </w:pPr>
            <w:r>
              <w:rPr>
                <w:rFonts w:hint="eastAsia"/>
                <w:color w:val="auto"/>
                <w:szCs w:val="21"/>
                <w:highlight w:val="none"/>
              </w:rPr>
              <w:t>承包人（章）</w:t>
            </w:r>
          </w:p>
          <w:p w14:paraId="7D4E1C81">
            <w:pPr>
              <w:spacing w:line="400" w:lineRule="exact"/>
              <w:ind w:right="420" w:firstLine="435"/>
              <w:rPr>
                <w:color w:val="auto"/>
                <w:szCs w:val="21"/>
                <w:highlight w:val="none"/>
              </w:rPr>
            </w:pPr>
            <w:r>
              <w:rPr>
                <w:rFonts w:hint="eastAsia"/>
                <w:color w:val="auto"/>
                <w:szCs w:val="21"/>
                <w:highlight w:val="none"/>
              </w:rPr>
              <w:t>造价人员承包人代表日期</w:t>
            </w:r>
          </w:p>
        </w:tc>
      </w:tr>
      <w:tr w14:paraId="2A22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46558959">
            <w:pPr>
              <w:spacing w:line="360" w:lineRule="exact"/>
              <w:rPr>
                <w:color w:val="auto"/>
                <w:szCs w:val="21"/>
                <w:highlight w:val="none"/>
              </w:rPr>
            </w:pPr>
            <w:r>
              <w:rPr>
                <w:rFonts w:hint="eastAsia"/>
                <w:color w:val="auto"/>
                <w:szCs w:val="21"/>
                <w:highlight w:val="none"/>
              </w:rPr>
              <w:t>复核意见：</w:t>
            </w:r>
          </w:p>
          <w:p w14:paraId="7A98C0A5">
            <w:pPr>
              <w:spacing w:line="360" w:lineRule="exact"/>
              <w:ind w:firstLine="312"/>
              <w:rPr>
                <w:color w:val="auto"/>
                <w:szCs w:val="21"/>
                <w:highlight w:val="none"/>
              </w:rPr>
            </w:pPr>
            <w:r>
              <w:rPr>
                <w:rFonts w:hint="eastAsia"/>
                <w:color w:val="auto"/>
                <w:szCs w:val="21"/>
                <w:highlight w:val="none"/>
              </w:rPr>
              <w:t>□与合同约定不相符，修改意见见附件。</w:t>
            </w:r>
          </w:p>
          <w:p w14:paraId="4D6B25E7">
            <w:pPr>
              <w:spacing w:line="360" w:lineRule="exact"/>
              <w:ind w:firstLine="312"/>
              <w:rPr>
                <w:color w:val="auto"/>
                <w:szCs w:val="21"/>
                <w:highlight w:val="none"/>
              </w:rPr>
            </w:pPr>
            <w:r>
              <w:rPr>
                <w:rFonts w:hint="eastAsia"/>
                <w:color w:val="auto"/>
                <w:szCs w:val="21"/>
                <w:highlight w:val="none"/>
              </w:rPr>
              <w:t>□与合同约定相符，具体金额由造价工程师复核。</w:t>
            </w:r>
          </w:p>
          <w:p w14:paraId="328E313C">
            <w:pPr>
              <w:spacing w:line="360" w:lineRule="exact"/>
              <w:ind w:firstLine="435"/>
              <w:jc w:val="right"/>
              <w:rPr>
                <w:color w:val="auto"/>
                <w:szCs w:val="21"/>
                <w:highlight w:val="none"/>
              </w:rPr>
            </w:pPr>
          </w:p>
          <w:p w14:paraId="279C3AFB">
            <w:pPr>
              <w:spacing w:line="360" w:lineRule="exact"/>
              <w:ind w:firstLine="435"/>
              <w:jc w:val="center"/>
              <w:rPr>
                <w:color w:val="auto"/>
                <w:szCs w:val="21"/>
                <w:highlight w:val="none"/>
                <w:u w:val="single"/>
              </w:rPr>
            </w:pPr>
            <w:r>
              <w:rPr>
                <w:rFonts w:hint="eastAsia"/>
                <w:color w:val="auto"/>
                <w:szCs w:val="21"/>
                <w:highlight w:val="none"/>
              </w:rPr>
              <w:t>监理工程师</w:t>
            </w:r>
          </w:p>
          <w:p w14:paraId="42324651">
            <w:pPr>
              <w:spacing w:line="360" w:lineRule="exact"/>
              <w:ind w:firstLine="435"/>
              <w:jc w:val="center"/>
              <w:rPr>
                <w:color w:val="auto"/>
                <w:szCs w:val="21"/>
                <w:highlight w:val="none"/>
                <w:u w:val="single"/>
              </w:rPr>
            </w:pPr>
            <w:r>
              <w:rPr>
                <w:rFonts w:hint="eastAsia"/>
                <w:color w:val="auto"/>
                <w:szCs w:val="21"/>
                <w:highlight w:val="none"/>
              </w:rPr>
              <w:t>日期</w:t>
            </w:r>
          </w:p>
        </w:tc>
        <w:tc>
          <w:tcPr>
            <w:tcW w:w="4697" w:type="dxa"/>
            <w:noWrap w:val="0"/>
            <w:vAlign w:val="top"/>
          </w:tcPr>
          <w:p w14:paraId="512AA871">
            <w:pPr>
              <w:spacing w:line="360" w:lineRule="exact"/>
              <w:rPr>
                <w:color w:val="auto"/>
                <w:szCs w:val="21"/>
                <w:highlight w:val="none"/>
              </w:rPr>
            </w:pPr>
            <w:r>
              <w:rPr>
                <w:rFonts w:hint="eastAsia"/>
                <w:color w:val="auto"/>
                <w:szCs w:val="21"/>
                <w:highlight w:val="none"/>
              </w:rPr>
              <w:t>复核意见：</w:t>
            </w:r>
          </w:p>
          <w:p w14:paraId="4AEE180A">
            <w:pPr>
              <w:spacing w:line="360" w:lineRule="exact"/>
              <w:ind w:firstLine="435"/>
              <w:rPr>
                <w:color w:val="auto"/>
                <w:szCs w:val="21"/>
                <w:highlight w:val="none"/>
              </w:rPr>
            </w:pPr>
            <w:r>
              <w:rPr>
                <w:rFonts w:hint="eastAsia"/>
                <w:color w:val="auto"/>
                <w:szCs w:val="21"/>
                <w:highlight w:val="none"/>
              </w:rPr>
              <w:t>你方提出的支付申请经复核，应支付预付款金额为（大写）元，（小写）</w:t>
            </w:r>
          </w:p>
          <w:p w14:paraId="5B85986F">
            <w:pPr>
              <w:spacing w:line="360" w:lineRule="exact"/>
              <w:rPr>
                <w:color w:val="auto"/>
                <w:szCs w:val="21"/>
                <w:highlight w:val="none"/>
              </w:rPr>
            </w:pPr>
            <w:r>
              <w:rPr>
                <w:rFonts w:hint="eastAsia"/>
                <w:color w:val="auto"/>
                <w:szCs w:val="21"/>
                <w:highlight w:val="none"/>
              </w:rPr>
              <w:t>元。</w:t>
            </w:r>
          </w:p>
          <w:p w14:paraId="09CD435A">
            <w:pPr>
              <w:spacing w:line="360" w:lineRule="exact"/>
              <w:rPr>
                <w:color w:val="auto"/>
                <w:szCs w:val="21"/>
                <w:highlight w:val="none"/>
                <w:u w:val="single"/>
              </w:rPr>
            </w:pPr>
          </w:p>
          <w:p w14:paraId="242F8F20">
            <w:pPr>
              <w:spacing w:line="360" w:lineRule="exact"/>
              <w:ind w:firstLine="435"/>
              <w:jc w:val="center"/>
              <w:rPr>
                <w:color w:val="auto"/>
                <w:szCs w:val="21"/>
                <w:highlight w:val="none"/>
                <w:u w:val="single"/>
              </w:rPr>
            </w:pPr>
            <w:r>
              <w:rPr>
                <w:rFonts w:hint="eastAsia"/>
                <w:color w:val="auto"/>
                <w:szCs w:val="21"/>
                <w:highlight w:val="none"/>
              </w:rPr>
              <w:t>造价工程师</w:t>
            </w:r>
          </w:p>
          <w:p w14:paraId="0624E532">
            <w:pPr>
              <w:spacing w:line="360" w:lineRule="exact"/>
              <w:ind w:firstLine="435"/>
              <w:jc w:val="center"/>
              <w:rPr>
                <w:color w:val="auto"/>
                <w:szCs w:val="21"/>
                <w:highlight w:val="none"/>
                <w:u w:val="single"/>
              </w:rPr>
            </w:pPr>
            <w:r>
              <w:rPr>
                <w:rFonts w:hint="eastAsia"/>
                <w:color w:val="auto"/>
                <w:szCs w:val="21"/>
                <w:highlight w:val="none"/>
              </w:rPr>
              <w:t>日期</w:t>
            </w:r>
          </w:p>
        </w:tc>
      </w:tr>
      <w:tr w14:paraId="170B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0E32826F">
            <w:pPr>
              <w:spacing w:line="400" w:lineRule="exact"/>
              <w:rPr>
                <w:color w:val="auto"/>
                <w:szCs w:val="21"/>
                <w:highlight w:val="none"/>
              </w:rPr>
            </w:pPr>
            <w:r>
              <w:rPr>
                <w:rFonts w:hint="eastAsia"/>
                <w:color w:val="auto"/>
                <w:szCs w:val="21"/>
                <w:highlight w:val="none"/>
              </w:rPr>
              <w:t>审核意见：</w:t>
            </w:r>
          </w:p>
          <w:p w14:paraId="5CB7F213">
            <w:pPr>
              <w:spacing w:line="400" w:lineRule="exact"/>
              <w:ind w:firstLine="435"/>
              <w:rPr>
                <w:color w:val="auto"/>
                <w:szCs w:val="21"/>
                <w:highlight w:val="none"/>
              </w:rPr>
            </w:pPr>
            <w:r>
              <w:rPr>
                <w:rFonts w:hint="eastAsia"/>
                <w:color w:val="auto"/>
                <w:szCs w:val="21"/>
                <w:highlight w:val="none"/>
              </w:rPr>
              <w:t>□不同意。</w:t>
            </w:r>
          </w:p>
          <w:p w14:paraId="2152BEB3">
            <w:pPr>
              <w:spacing w:line="400" w:lineRule="exact"/>
              <w:ind w:firstLine="420" w:firstLineChars="200"/>
              <w:rPr>
                <w:color w:val="auto"/>
                <w:szCs w:val="21"/>
                <w:highlight w:val="none"/>
              </w:rPr>
            </w:pPr>
            <w:r>
              <w:rPr>
                <w:rFonts w:hint="eastAsia"/>
                <w:color w:val="auto"/>
                <w:szCs w:val="21"/>
                <w:highlight w:val="none"/>
              </w:rPr>
              <w:t>□同意，支付时间为本表签发后的15天内。</w:t>
            </w:r>
          </w:p>
          <w:p w14:paraId="72526B17">
            <w:pPr>
              <w:wordWrap w:val="0"/>
              <w:spacing w:line="400" w:lineRule="exact"/>
              <w:ind w:firstLine="420" w:firstLineChars="200"/>
              <w:jc w:val="right"/>
              <w:rPr>
                <w:color w:val="auto"/>
                <w:szCs w:val="21"/>
                <w:highlight w:val="none"/>
              </w:rPr>
            </w:pPr>
            <w:r>
              <w:rPr>
                <w:rFonts w:hint="eastAsia"/>
                <w:color w:val="auto"/>
                <w:szCs w:val="21"/>
                <w:highlight w:val="none"/>
              </w:rPr>
              <w:t>发包人（章）</w:t>
            </w:r>
          </w:p>
          <w:p w14:paraId="584FB8BE">
            <w:pPr>
              <w:wordWrap w:val="0"/>
              <w:spacing w:line="400" w:lineRule="exact"/>
              <w:ind w:firstLine="420" w:firstLineChars="200"/>
              <w:jc w:val="right"/>
              <w:rPr>
                <w:color w:val="auto"/>
                <w:szCs w:val="21"/>
                <w:highlight w:val="none"/>
                <w:u w:val="single"/>
              </w:rPr>
            </w:pPr>
            <w:r>
              <w:rPr>
                <w:rFonts w:hint="eastAsia"/>
                <w:color w:val="auto"/>
                <w:szCs w:val="21"/>
                <w:highlight w:val="none"/>
              </w:rPr>
              <w:t>发包人代表</w:t>
            </w:r>
          </w:p>
          <w:p w14:paraId="6E08BC62">
            <w:pPr>
              <w:wordWrap w:val="0"/>
              <w:spacing w:line="400" w:lineRule="exact"/>
              <w:ind w:firstLine="420" w:firstLineChars="200"/>
              <w:jc w:val="right"/>
              <w:rPr>
                <w:color w:val="auto"/>
                <w:szCs w:val="21"/>
                <w:highlight w:val="none"/>
                <w:u w:val="single"/>
              </w:rPr>
            </w:pPr>
            <w:r>
              <w:rPr>
                <w:rFonts w:hint="eastAsia"/>
                <w:color w:val="auto"/>
                <w:szCs w:val="21"/>
                <w:highlight w:val="none"/>
              </w:rPr>
              <w:t>日期</w:t>
            </w:r>
          </w:p>
        </w:tc>
      </w:tr>
    </w:tbl>
    <w:p w14:paraId="32B571A5">
      <w:pPr>
        <w:spacing w:before="156" w:beforeLines="50"/>
        <w:ind w:firstLine="360" w:firstLineChars="200"/>
        <w:rPr>
          <w:color w:val="auto"/>
          <w:sz w:val="18"/>
          <w:szCs w:val="18"/>
          <w:highlight w:val="none"/>
        </w:rPr>
      </w:pPr>
      <w:r>
        <w:rPr>
          <w:rFonts w:hint="eastAsia"/>
          <w:color w:val="auto"/>
          <w:sz w:val="18"/>
          <w:szCs w:val="18"/>
          <w:highlight w:val="none"/>
        </w:rPr>
        <w:t>注：1.在选择栏中的“□”内作标识“√”。</w:t>
      </w:r>
    </w:p>
    <w:p w14:paraId="5543C7F0">
      <w:pPr>
        <w:spacing w:before="156" w:beforeLines="50"/>
        <w:ind w:left="720" w:hanging="720" w:hangingChars="400"/>
        <w:rPr>
          <w:rFonts w:eastAsia="仿宋_GB2312"/>
          <w:color w:val="auto"/>
          <w:sz w:val="30"/>
          <w:szCs w:val="30"/>
          <w:highlight w:val="none"/>
        </w:rPr>
      </w:pPr>
      <w:r>
        <w:rPr>
          <w:rFonts w:hint="eastAsia"/>
          <w:color w:val="auto"/>
          <w:sz w:val="18"/>
          <w:szCs w:val="18"/>
          <w:highlight w:val="none"/>
        </w:rPr>
        <w:t xml:space="preserve">  2.本表一式四份，由承包人填报，发包人、监理人、造价咨询人、承包人各存一份。</w:t>
      </w:r>
    </w:p>
    <w:p w14:paraId="3A78B329">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附件11：</w:t>
      </w:r>
    </w:p>
    <w:p w14:paraId="4BD973F0">
      <w:pPr>
        <w:jc w:val="center"/>
        <w:rPr>
          <w:b/>
          <w:color w:val="auto"/>
          <w:sz w:val="36"/>
          <w:szCs w:val="36"/>
          <w:highlight w:val="none"/>
        </w:rPr>
      </w:pPr>
      <w:r>
        <w:rPr>
          <w:rFonts w:hint="eastAsia"/>
          <w:b/>
          <w:color w:val="auto"/>
          <w:sz w:val="36"/>
          <w:szCs w:val="36"/>
          <w:highlight w:val="none"/>
        </w:rPr>
        <w:t>进度款支付申请（核准）表</w:t>
      </w:r>
    </w:p>
    <w:p w14:paraId="6D843698">
      <w:pPr>
        <w:rPr>
          <w:color w:val="auto"/>
          <w:sz w:val="24"/>
          <w:highlight w:val="none"/>
        </w:rPr>
      </w:pPr>
      <w:r>
        <w:rPr>
          <w:rFonts w:hint="eastAsia"/>
          <w:color w:val="auto"/>
          <w:sz w:val="24"/>
          <w:highlight w:val="none"/>
        </w:rPr>
        <w:t>工程名称：编号：</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AAE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3A693838">
            <w:pPr>
              <w:spacing w:line="480" w:lineRule="exact"/>
              <w:ind w:left="525" w:leftChars="149" w:hanging="212" w:hangingChars="101"/>
              <w:rPr>
                <w:color w:val="auto"/>
                <w:szCs w:val="21"/>
                <w:highlight w:val="none"/>
                <w:u w:val="single"/>
              </w:rPr>
            </w:pPr>
            <w:r>
              <w:rPr>
                <w:rFonts w:hint="eastAsia"/>
                <w:color w:val="auto"/>
                <w:szCs w:val="21"/>
                <w:highlight w:val="none"/>
              </w:rPr>
              <w:t>致：</w:t>
            </w:r>
            <w:r>
              <w:rPr>
                <w:rFonts w:hint="eastAsia"/>
                <w:color w:val="auto"/>
                <w:szCs w:val="21"/>
                <w:highlight w:val="none"/>
                <w:u w:val="single"/>
              </w:rPr>
              <w:t>（发包人全称）</w:t>
            </w:r>
          </w:p>
          <w:p w14:paraId="676805A5">
            <w:pPr>
              <w:spacing w:line="400" w:lineRule="exact"/>
              <w:ind w:left="-4" w:leftChars="-2" w:firstLine="315" w:firstLineChars="150"/>
              <w:rPr>
                <w:color w:val="auto"/>
                <w:szCs w:val="21"/>
                <w:highlight w:val="none"/>
              </w:rPr>
            </w:pPr>
            <w:r>
              <w:rPr>
                <w:rFonts w:hint="eastAsia"/>
                <w:color w:val="auto"/>
                <w:szCs w:val="21"/>
                <w:highlight w:val="none"/>
              </w:rPr>
              <w:t>我方于至期间已完成了工作，根据施工合同的约定，现申请支付本期的合同款额为（大写）元，（小写）元，请予核准。</w:t>
            </w:r>
          </w:p>
          <w:tbl>
            <w:tblPr>
              <w:tblStyle w:val="16"/>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434E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29DD0FE">
                  <w:pPr>
                    <w:spacing w:line="280" w:lineRule="exact"/>
                    <w:jc w:val="center"/>
                    <w:rPr>
                      <w:color w:val="auto"/>
                      <w:szCs w:val="21"/>
                      <w:highlight w:val="none"/>
                    </w:rPr>
                  </w:pPr>
                  <w:r>
                    <w:rPr>
                      <w:rFonts w:hint="eastAsia"/>
                      <w:color w:val="auto"/>
                      <w:szCs w:val="21"/>
                      <w:highlight w:val="none"/>
                    </w:rPr>
                    <w:t>序号</w:t>
                  </w:r>
                </w:p>
              </w:tc>
              <w:tc>
                <w:tcPr>
                  <w:tcW w:w="3340" w:type="dxa"/>
                  <w:noWrap w:val="0"/>
                  <w:vAlign w:val="center"/>
                </w:tcPr>
                <w:p w14:paraId="6029E121">
                  <w:pPr>
                    <w:spacing w:line="280" w:lineRule="exact"/>
                    <w:jc w:val="center"/>
                    <w:rPr>
                      <w:color w:val="auto"/>
                      <w:szCs w:val="21"/>
                      <w:highlight w:val="none"/>
                    </w:rPr>
                  </w:pPr>
                  <w:r>
                    <w:rPr>
                      <w:rFonts w:hint="eastAsia"/>
                      <w:color w:val="auto"/>
                      <w:szCs w:val="21"/>
                      <w:highlight w:val="none"/>
                    </w:rPr>
                    <w:t>名称</w:t>
                  </w:r>
                </w:p>
              </w:tc>
              <w:tc>
                <w:tcPr>
                  <w:tcW w:w="1340" w:type="dxa"/>
                  <w:noWrap w:val="0"/>
                  <w:vAlign w:val="center"/>
                </w:tcPr>
                <w:p w14:paraId="12A1BAD4">
                  <w:pPr>
                    <w:spacing w:line="280" w:lineRule="exact"/>
                    <w:jc w:val="center"/>
                    <w:rPr>
                      <w:color w:val="auto"/>
                      <w:szCs w:val="21"/>
                      <w:highlight w:val="none"/>
                    </w:rPr>
                  </w:pPr>
                  <w:r>
                    <w:rPr>
                      <w:rFonts w:hint="eastAsia"/>
                      <w:color w:val="auto"/>
                      <w:szCs w:val="21"/>
                      <w:highlight w:val="none"/>
                    </w:rPr>
                    <w:t>实际金额（元）</w:t>
                  </w:r>
                </w:p>
              </w:tc>
              <w:tc>
                <w:tcPr>
                  <w:tcW w:w="1440" w:type="dxa"/>
                  <w:noWrap w:val="0"/>
                  <w:vAlign w:val="center"/>
                </w:tcPr>
                <w:p w14:paraId="6611BAB6">
                  <w:pPr>
                    <w:spacing w:line="280" w:lineRule="exact"/>
                    <w:jc w:val="center"/>
                    <w:rPr>
                      <w:color w:val="auto"/>
                      <w:szCs w:val="21"/>
                      <w:highlight w:val="none"/>
                    </w:rPr>
                  </w:pPr>
                  <w:r>
                    <w:rPr>
                      <w:rFonts w:hint="eastAsia"/>
                      <w:color w:val="auto"/>
                      <w:szCs w:val="21"/>
                      <w:highlight w:val="none"/>
                    </w:rPr>
                    <w:t>申请金额（元）</w:t>
                  </w:r>
                </w:p>
              </w:tc>
              <w:tc>
                <w:tcPr>
                  <w:tcW w:w="1260" w:type="dxa"/>
                  <w:noWrap w:val="0"/>
                  <w:vAlign w:val="center"/>
                </w:tcPr>
                <w:p w14:paraId="3BB16B13">
                  <w:pPr>
                    <w:spacing w:line="280" w:lineRule="exact"/>
                    <w:jc w:val="center"/>
                    <w:rPr>
                      <w:color w:val="auto"/>
                      <w:szCs w:val="21"/>
                      <w:highlight w:val="none"/>
                    </w:rPr>
                  </w:pPr>
                  <w:r>
                    <w:rPr>
                      <w:rFonts w:hint="eastAsia"/>
                      <w:color w:val="auto"/>
                      <w:szCs w:val="21"/>
                      <w:highlight w:val="none"/>
                    </w:rPr>
                    <w:t>复核金额（元）</w:t>
                  </w:r>
                </w:p>
              </w:tc>
              <w:tc>
                <w:tcPr>
                  <w:tcW w:w="931" w:type="dxa"/>
                  <w:noWrap w:val="0"/>
                  <w:vAlign w:val="center"/>
                </w:tcPr>
                <w:p w14:paraId="108A72F5">
                  <w:pPr>
                    <w:spacing w:line="280" w:lineRule="exact"/>
                    <w:jc w:val="center"/>
                    <w:rPr>
                      <w:color w:val="auto"/>
                      <w:szCs w:val="21"/>
                      <w:highlight w:val="none"/>
                    </w:rPr>
                  </w:pPr>
                  <w:r>
                    <w:rPr>
                      <w:rFonts w:hint="eastAsia"/>
                      <w:color w:val="auto"/>
                      <w:szCs w:val="21"/>
                      <w:highlight w:val="none"/>
                    </w:rPr>
                    <w:t>备注</w:t>
                  </w:r>
                </w:p>
              </w:tc>
            </w:tr>
            <w:tr w14:paraId="0B82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4B7182E">
                  <w:pPr>
                    <w:spacing w:line="280" w:lineRule="exact"/>
                    <w:jc w:val="center"/>
                    <w:rPr>
                      <w:color w:val="auto"/>
                      <w:szCs w:val="21"/>
                      <w:highlight w:val="none"/>
                    </w:rPr>
                  </w:pPr>
                  <w:r>
                    <w:rPr>
                      <w:rFonts w:hint="eastAsia"/>
                      <w:color w:val="auto"/>
                      <w:szCs w:val="21"/>
                      <w:highlight w:val="none"/>
                    </w:rPr>
                    <w:t>1</w:t>
                  </w:r>
                </w:p>
              </w:tc>
              <w:tc>
                <w:tcPr>
                  <w:tcW w:w="3340" w:type="dxa"/>
                  <w:noWrap w:val="0"/>
                  <w:vAlign w:val="top"/>
                </w:tcPr>
                <w:p w14:paraId="01B424A6">
                  <w:pPr>
                    <w:spacing w:line="280" w:lineRule="exact"/>
                    <w:rPr>
                      <w:color w:val="auto"/>
                      <w:szCs w:val="21"/>
                      <w:highlight w:val="none"/>
                    </w:rPr>
                  </w:pPr>
                  <w:r>
                    <w:rPr>
                      <w:rFonts w:hint="eastAsia"/>
                      <w:color w:val="auto"/>
                      <w:szCs w:val="21"/>
                      <w:highlight w:val="none"/>
                    </w:rPr>
                    <w:t>累计已完成的工程价款</w:t>
                  </w:r>
                </w:p>
              </w:tc>
              <w:tc>
                <w:tcPr>
                  <w:tcW w:w="1340" w:type="dxa"/>
                  <w:noWrap w:val="0"/>
                  <w:vAlign w:val="top"/>
                </w:tcPr>
                <w:p w14:paraId="2D5722EC">
                  <w:pPr>
                    <w:spacing w:line="280" w:lineRule="exact"/>
                    <w:rPr>
                      <w:color w:val="auto"/>
                      <w:szCs w:val="21"/>
                      <w:highlight w:val="none"/>
                    </w:rPr>
                  </w:pPr>
                </w:p>
              </w:tc>
              <w:tc>
                <w:tcPr>
                  <w:tcW w:w="1440" w:type="dxa"/>
                  <w:noWrap w:val="0"/>
                  <w:vAlign w:val="top"/>
                </w:tcPr>
                <w:p w14:paraId="1702E9B4">
                  <w:pPr>
                    <w:spacing w:line="280" w:lineRule="exact"/>
                    <w:rPr>
                      <w:color w:val="auto"/>
                      <w:szCs w:val="21"/>
                      <w:highlight w:val="none"/>
                    </w:rPr>
                  </w:pPr>
                </w:p>
              </w:tc>
              <w:tc>
                <w:tcPr>
                  <w:tcW w:w="1260" w:type="dxa"/>
                  <w:noWrap w:val="0"/>
                  <w:vAlign w:val="top"/>
                </w:tcPr>
                <w:p w14:paraId="20888E0D">
                  <w:pPr>
                    <w:spacing w:line="280" w:lineRule="exact"/>
                    <w:rPr>
                      <w:color w:val="auto"/>
                      <w:szCs w:val="21"/>
                      <w:highlight w:val="none"/>
                    </w:rPr>
                  </w:pPr>
                </w:p>
              </w:tc>
              <w:tc>
                <w:tcPr>
                  <w:tcW w:w="931" w:type="dxa"/>
                  <w:noWrap w:val="0"/>
                  <w:vAlign w:val="top"/>
                </w:tcPr>
                <w:p w14:paraId="56C3D253">
                  <w:pPr>
                    <w:spacing w:line="280" w:lineRule="exact"/>
                    <w:rPr>
                      <w:color w:val="auto"/>
                      <w:szCs w:val="21"/>
                      <w:highlight w:val="none"/>
                    </w:rPr>
                  </w:pPr>
                </w:p>
              </w:tc>
            </w:tr>
            <w:tr w14:paraId="207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38FA58">
                  <w:pPr>
                    <w:spacing w:line="280" w:lineRule="exact"/>
                    <w:jc w:val="center"/>
                    <w:rPr>
                      <w:color w:val="auto"/>
                      <w:szCs w:val="21"/>
                      <w:highlight w:val="none"/>
                    </w:rPr>
                  </w:pPr>
                </w:p>
              </w:tc>
              <w:tc>
                <w:tcPr>
                  <w:tcW w:w="3340" w:type="dxa"/>
                  <w:noWrap w:val="0"/>
                  <w:vAlign w:val="top"/>
                </w:tcPr>
                <w:p w14:paraId="289D18F7">
                  <w:pPr>
                    <w:spacing w:line="280" w:lineRule="exact"/>
                    <w:rPr>
                      <w:color w:val="auto"/>
                      <w:szCs w:val="21"/>
                      <w:highlight w:val="none"/>
                    </w:rPr>
                  </w:pPr>
                  <w:r>
                    <w:rPr>
                      <w:rFonts w:hint="eastAsia"/>
                      <w:color w:val="auto"/>
                      <w:szCs w:val="21"/>
                      <w:highlight w:val="none"/>
                    </w:rPr>
                    <w:t>其中：人工费</w:t>
                  </w:r>
                </w:p>
              </w:tc>
              <w:tc>
                <w:tcPr>
                  <w:tcW w:w="1340" w:type="dxa"/>
                  <w:noWrap w:val="0"/>
                  <w:vAlign w:val="top"/>
                </w:tcPr>
                <w:p w14:paraId="413A18BC">
                  <w:pPr>
                    <w:spacing w:line="280" w:lineRule="exact"/>
                    <w:rPr>
                      <w:color w:val="auto"/>
                      <w:szCs w:val="21"/>
                      <w:highlight w:val="none"/>
                    </w:rPr>
                  </w:pPr>
                </w:p>
              </w:tc>
              <w:tc>
                <w:tcPr>
                  <w:tcW w:w="1440" w:type="dxa"/>
                  <w:noWrap w:val="0"/>
                  <w:vAlign w:val="top"/>
                </w:tcPr>
                <w:p w14:paraId="1F260E20">
                  <w:pPr>
                    <w:spacing w:line="280" w:lineRule="exact"/>
                    <w:rPr>
                      <w:color w:val="auto"/>
                      <w:szCs w:val="21"/>
                      <w:highlight w:val="none"/>
                    </w:rPr>
                  </w:pPr>
                </w:p>
              </w:tc>
              <w:tc>
                <w:tcPr>
                  <w:tcW w:w="1260" w:type="dxa"/>
                  <w:noWrap w:val="0"/>
                  <w:vAlign w:val="top"/>
                </w:tcPr>
                <w:p w14:paraId="47BA3004">
                  <w:pPr>
                    <w:spacing w:line="280" w:lineRule="exact"/>
                    <w:rPr>
                      <w:color w:val="auto"/>
                      <w:szCs w:val="21"/>
                      <w:highlight w:val="none"/>
                    </w:rPr>
                  </w:pPr>
                </w:p>
              </w:tc>
              <w:tc>
                <w:tcPr>
                  <w:tcW w:w="931" w:type="dxa"/>
                  <w:noWrap w:val="0"/>
                  <w:vAlign w:val="top"/>
                </w:tcPr>
                <w:p w14:paraId="0FF3E717">
                  <w:pPr>
                    <w:spacing w:line="280" w:lineRule="exact"/>
                    <w:rPr>
                      <w:color w:val="auto"/>
                      <w:szCs w:val="21"/>
                      <w:highlight w:val="none"/>
                    </w:rPr>
                  </w:pPr>
                </w:p>
              </w:tc>
            </w:tr>
            <w:tr w14:paraId="544A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1CC5895">
                  <w:pPr>
                    <w:spacing w:line="280" w:lineRule="exact"/>
                    <w:jc w:val="center"/>
                    <w:rPr>
                      <w:color w:val="auto"/>
                      <w:szCs w:val="21"/>
                      <w:highlight w:val="none"/>
                    </w:rPr>
                  </w:pPr>
                  <w:r>
                    <w:rPr>
                      <w:rFonts w:hint="eastAsia"/>
                      <w:color w:val="auto"/>
                      <w:szCs w:val="21"/>
                      <w:highlight w:val="none"/>
                    </w:rPr>
                    <w:t>2</w:t>
                  </w:r>
                </w:p>
              </w:tc>
              <w:tc>
                <w:tcPr>
                  <w:tcW w:w="3340" w:type="dxa"/>
                  <w:noWrap w:val="0"/>
                  <w:vAlign w:val="top"/>
                </w:tcPr>
                <w:p w14:paraId="323FA20E">
                  <w:pPr>
                    <w:spacing w:line="280" w:lineRule="exact"/>
                    <w:rPr>
                      <w:color w:val="auto"/>
                      <w:szCs w:val="21"/>
                      <w:highlight w:val="none"/>
                    </w:rPr>
                  </w:pPr>
                  <w:r>
                    <w:rPr>
                      <w:rFonts w:hint="eastAsia"/>
                      <w:color w:val="auto"/>
                      <w:szCs w:val="21"/>
                      <w:highlight w:val="none"/>
                    </w:rPr>
                    <w:t>累计已实际支付的工程价款</w:t>
                  </w:r>
                </w:p>
              </w:tc>
              <w:tc>
                <w:tcPr>
                  <w:tcW w:w="1340" w:type="dxa"/>
                  <w:noWrap w:val="0"/>
                  <w:vAlign w:val="top"/>
                </w:tcPr>
                <w:p w14:paraId="28A22DE1">
                  <w:pPr>
                    <w:spacing w:line="280" w:lineRule="exact"/>
                    <w:rPr>
                      <w:color w:val="auto"/>
                      <w:szCs w:val="21"/>
                      <w:highlight w:val="none"/>
                    </w:rPr>
                  </w:pPr>
                </w:p>
              </w:tc>
              <w:tc>
                <w:tcPr>
                  <w:tcW w:w="1440" w:type="dxa"/>
                  <w:noWrap w:val="0"/>
                  <w:vAlign w:val="top"/>
                </w:tcPr>
                <w:p w14:paraId="145222CE">
                  <w:pPr>
                    <w:spacing w:line="280" w:lineRule="exact"/>
                    <w:rPr>
                      <w:color w:val="auto"/>
                      <w:szCs w:val="21"/>
                      <w:highlight w:val="none"/>
                    </w:rPr>
                  </w:pPr>
                </w:p>
              </w:tc>
              <w:tc>
                <w:tcPr>
                  <w:tcW w:w="1260" w:type="dxa"/>
                  <w:noWrap w:val="0"/>
                  <w:vAlign w:val="top"/>
                </w:tcPr>
                <w:p w14:paraId="562D19C7">
                  <w:pPr>
                    <w:spacing w:line="280" w:lineRule="exact"/>
                    <w:rPr>
                      <w:color w:val="auto"/>
                      <w:szCs w:val="21"/>
                      <w:highlight w:val="none"/>
                    </w:rPr>
                  </w:pPr>
                </w:p>
              </w:tc>
              <w:tc>
                <w:tcPr>
                  <w:tcW w:w="931" w:type="dxa"/>
                  <w:noWrap w:val="0"/>
                  <w:vAlign w:val="top"/>
                </w:tcPr>
                <w:p w14:paraId="05EE9D49">
                  <w:pPr>
                    <w:spacing w:line="280" w:lineRule="exact"/>
                    <w:rPr>
                      <w:color w:val="auto"/>
                      <w:szCs w:val="21"/>
                      <w:highlight w:val="none"/>
                    </w:rPr>
                  </w:pPr>
                </w:p>
              </w:tc>
            </w:tr>
            <w:tr w14:paraId="29D9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EE2A02">
                  <w:pPr>
                    <w:spacing w:line="280" w:lineRule="exact"/>
                    <w:jc w:val="center"/>
                    <w:rPr>
                      <w:color w:val="auto"/>
                      <w:szCs w:val="21"/>
                      <w:highlight w:val="none"/>
                    </w:rPr>
                  </w:pPr>
                </w:p>
              </w:tc>
              <w:tc>
                <w:tcPr>
                  <w:tcW w:w="3340" w:type="dxa"/>
                  <w:noWrap w:val="0"/>
                  <w:vAlign w:val="top"/>
                </w:tcPr>
                <w:p w14:paraId="49495332">
                  <w:pPr>
                    <w:spacing w:line="280" w:lineRule="exact"/>
                    <w:rPr>
                      <w:color w:val="auto"/>
                      <w:szCs w:val="21"/>
                      <w:highlight w:val="none"/>
                    </w:rPr>
                  </w:pPr>
                  <w:r>
                    <w:rPr>
                      <w:rFonts w:hint="eastAsia"/>
                      <w:color w:val="auto"/>
                      <w:szCs w:val="21"/>
                      <w:highlight w:val="none"/>
                    </w:rPr>
                    <w:t>其中：人工费</w:t>
                  </w:r>
                </w:p>
              </w:tc>
              <w:tc>
                <w:tcPr>
                  <w:tcW w:w="1340" w:type="dxa"/>
                  <w:noWrap w:val="0"/>
                  <w:vAlign w:val="top"/>
                </w:tcPr>
                <w:p w14:paraId="66F5216A">
                  <w:pPr>
                    <w:spacing w:line="280" w:lineRule="exact"/>
                    <w:rPr>
                      <w:color w:val="auto"/>
                      <w:szCs w:val="21"/>
                      <w:highlight w:val="none"/>
                    </w:rPr>
                  </w:pPr>
                </w:p>
              </w:tc>
              <w:tc>
                <w:tcPr>
                  <w:tcW w:w="1440" w:type="dxa"/>
                  <w:noWrap w:val="0"/>
                  <w:vAlign w:val="top"/>
                </w:tcPr>
                <w:p w14:paraId="74DFC806">
                  <w:pPr>
                    <w:spacing w:line="280" w:lineRule="exact"/>
                    <w:rPr>
                      <w:color w:val="auto"/>
                      <w:szCs w:val="21"/>
                      <w:highlight w:val="none"/>
                    </w:rPr>
                  </w:pPr>
                </w:p>
              </w:tc>
              <w:tc>
                <w:tcPr>
                  <w:tcW w:w="1260" w:type="dxa"/>
                  <w:noWrap w:val="0"/>
                  <w:vAlign w:val="top"/>
                </w:tcPr>
                <w:p w14:paraId="0416783C">
                  <w:pPr>
                    <w:spacing w:line="280" w:lineRule="exact"/>
                    <w:rPr>
                      <w:color w:val="auto"/>
                      <w:szCs w:val="21"/>
                      <w:highlight w:val="none"/>
                    </w:rPr>
                  </w:pPr>
                </w:p>
              </w:tc>
              <w:tc>
                <w:tcPr>
                  <w:tcW w:w="931" w:type="dxa"/>
                  <w:noWrap w:val="0"/>
                  <w:vAlign w:val="top"/>
                </w:tcPr>
                <w:p w14:paraId="6E0F1547">
                  <w:pPr>
                    <w:spacing w:line="280" w:lineRule="exact"/>
                    <w:rPr>
                      <w:color w:val="auto"/>
                      <w:szCs w:val="21"/>
                      <w:highlight w:val="none"/>
                    </w:rPr>
                  </w:pPr>
                </w:p>
              </w:tc>
            </w:tr>
            <w:tr w14:paraId="3717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425B91">
                  <w:pPr>
                    <w:spacing w:line="280" w:lineRule="exact"/>
                    <w:jc w:val="center"/>
                    <w:rPr>
                      <w:color w:val="auto"/>
                      <w:szCs w:val="21"/>
                      <w:highlight w:val="none"/>
                    </w:rPr>
                  </w:pPr>
                  <w:r>
                    <w:rPr>
                      <w:rFonts w:hint="eastAsia"/>
                      <w:color w:val="auto"/>
                      <w:szCs w:val="21"/>
                      <w:highlight w:val="none"/>
                    </w:rPr>
                    <w:t>3</w:t>
                  </w:r>
                </w:p>
              </w:tc>
              <w:tc>
                <w:tcPr>
                  <w:tcW w:w="3340" w:type="dxa"/>
                  <w:noWrap w:val="0"/>
                  <w:vAlign w:val="top"/>
                </w:tcPr>
                <w:p w14:paraId="67D8872E">
                  <w:pPr>
                    <w:spacing w:line="280" w:lineRule="exact"/>
                    <w:rPr>
                      <w:color w:val="auto"/>
                      <w:szCs w:val="21"/>
                      <w:highlight w:val="none"/>
                    </w:rPr>
                  </w:pPr>
                  <w:r>
                    <w:rPr>
                      <w:rFonts w:hint="eastAsia"/>
                      <w:color w:val="auto"/>
                      <w:szCs w:val="21"/>
                      <w:highlight w:val="none"/>
                    </w:rPr>
                    <w:t>本周期已完成的工程价款</w:t>
                  </w:r>
                </w:p>
              </w:tc>
              <w:tc>
                <w:tcPr>
                  <w:tcW w:w="1340" w:type="dxa"/>
                  <w:noWrap w:val="0"/>
                  <w:vAlign w:val="top"/>
                </w:tcPr>
                <w:p w14:paraId="52473CE2">
                  <w:pPr>
                    <w:spacing w:line="280" w:lineRule="exact"/>
                    <w:rPr>
                      <w:color w:val="auto"/>
                      <w:szCs w:val="21"/>
                      <w:highlight w:val="none"/>
                    </w:rPr>
                  </w:pPr>
                </w:p>
              </w:tc>
              <w:tc>
                <w:tcPr>
                  <w:tcW w:w="1440" w:type="dxa"/>
                  <w:noWrap w:val="0"/>
                  <w:vAlign w:val="top"/>
                </w:tcPr>
                <w:p w14:paraId="296603AE">
                  <w:pPr>
                    <w:spacing w:line="280" w:lineRule="exact"/>
                    <w:rPr>
                      <w:color w:val="auto"/>
                      <w:szCs w:val="21"/>
                      <w:highlight w:val="none"/>
                    </w:rPr>
                  </w:pPr>
                </w:p>
              </w:tc>
              <w:tc>
                <w:tcPr>
                  <w:tcW w:w="1260" w:type="dxa"/>
                  <w:noWrap w:val="0"/>
                  <w:vAlign w:val="top"/>
                </w:tcPr>
                <w:p w14:paraId="0B3280BD">
                  <w:pPr>
                    <w:spacing w:line="280" w:lineRule="exact"/>
                    <w:rPr>
                      <w:color w:val="auto"/>
                      <w:szCs w:val="21"/>
                      <w:highlight w:val="none"/>
                    </w:rPr>
                  </w:pPr>
                </w:p>
              </w:tc>
              <w:tc>
                <w:tcPr>
                  <w:tcW w:w="931" w:type="dxa"/>
                  <w:noWrap w:val="0"/>
                  <w:vAlign w:val="top"/>
                </w:tcPr>
                <w:p w14:paraId="4980D5E3">
                  <w:pPr>
                    <w:spacing w:line="280" w:lineRule="exact"/>
                    <w:rPr>
                      <w:color w:val="auto"/>
                      <w:szCs w:val="21"/>
                      <w:highlight w:val="none"/>
                    </w:rPr>
                  </w:pPr>
                </w:p>
              </w:tc>
            </w:tr>
            <w:tr w14:paraId="71AB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2019DBF">
                  <w:pPr>
                    <w:spacing w:line="280" w:lineRule="exact"/>
                    <w:jc w:val="center"/>
                    <w:rPr>
                      <w:color w:val="auto"/>
                      <w:szCs w:val="21"/>
                      <w:highlight w:val="none"/>
                    </w:rPr>
                  </w:pPr>
                </w:p>
              </w:tc>
              <w:tc>
                <w:tcPr>
                  <w:tcW w:w="3340" w:type="dxa"/>
                  <w:noWrap w:val="0"/>
                  <w:vAlign w:val="top"/>
                </w:tcPr>
                <w:p w14:paraId="068B7AF8">
                  <w:pPr>
                    <w:spacing w:line="280" w:lineRule="exact"/>
                    <w:rPr>
                      <w:color w:val="auto"/>
                      <w:szCs w:val="21"/>
                      <w:highlight w:val="none"/>
                    </w:rPr>
                  </w:pPr>
                  <w:r>
                    <w:rPr>
                      <w:rFonts w:hint="eastAsia"/>
                      <w:color w:val="auto"/>
                      <w:szCs w:val="21"/>
                      <w:highlight w:val="none"/>
                    </w:rPr>
                    <w:t>其中：人工费</w:t>
                  </w:r>
                </w:p>
              </w:tc>
              <w:tc>
                <w:tcPr>
                  <w:tcW w:w="1340" w:type="dxa"/>
                  <w:noWrap w:val="0"/>
                  <w:vAlign w:val="top"/>
                </w:tcPr>
                <w:p w14:paraId="499E331D">
                  <w:pPr>
                    <w:spacing w:line="280" w:lineRule="exact"/>
                    <w:rPr>
                      <w:color w:val="auto"/>
                      <w:szCs w:val="21"/>
                      <w:highlight w:val="none"/>
                    </w:rPr>
                  </w:pPr>
                </w:p>
              </w:tc>
              <w:tc>
                <w:tcPr>
                  <w:tcW w:w="1440" w:type="dxa"/>
                  <w:noWrap w:val="0"/>
                  <w:vAlign w:val="top"/>
                </w:tcPr>
                <w:p w14:paraId="29C4E4DB">
                  <w:pPr>
                    <w:spacing w:line="280" w:lineRule="exact"/>
                    <w:rPr>
                      <w:color w:val="auto"/>
                      <w:szCs w:val="21"/>
                      <w:highlight w:val="none"/>
                    </w:rPr>
                  </w:pPr>
                </w:p>
              </w:tc>
              <w:tc>
                <w:tcPr>
                  <w:tcW w:w="1260" w:type="dxa"/>
                  <w:noWrap w:val="0"/>
                  <w:vAlign w:val="top"/>
                </w:tcPr>
                <w:p w14:paraId="14478365">
                  <w:pPr>
                    <w:spacing w:line="280" w:lineRule="exact"/>
                    <w:rPr>
                      <w:color w:val="auto"/>
                      <w:szCs w:val="21"/>
                      <w:highlight w:val="none"/>
                    </w:rPr>
                  </w:pPr>
                </w:p>
              </w:tc>
              <w:tc>
                <w:tcPr>
                  <w:tcW w:w="931" w:type="dxa"/>
                  <w:noWrap w:val="0"/>
                  <w:vAlign w:val="top"/>
                </w:tcPr>
                <w:p w14:paraId="0296B1BA">
                  <w:pPr>
                    <w:spacing w:line="280" w:lineRule="exact"/>
                    <w:rPr>
                      <w:color w:val="auto"/>
                      <w:szCs w:val="21"/>
                      <w:highlight w:val="none"/>
                    </w:rPr>
                  </w:pPr>
                </w:p>
              </w:tc>
            </w:tr>
            <w:tr w14:paraId="6845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3FD6913">
                  <w:pPr>
                    <w:spacing w:line="280" w:lineRule="exact"/>
                    <w:jc w:val="center"/>
                    <w:rPr>
                      <w:color w:val="auto"/>
                      <w:szCs w:val="21"/>
                      <w:highlight w:val="none"/>
                    </w:rPr>
                  </w:pPr>
                  <w:r>
                    <w:rPr>
                      <w:rFonts w:hint="eastAsia"/>
                      <w:color w:val="auto"/>
                      <w:szCs w:val="21"/>
                      <w:highlight w:val="none"/>
                    </w:rPr>
                    <w:t>4</w:t>
                  </w:r>
                </w:p>
              </w:tc>
              <w:tc>
                <w:tcPr>
                  <w:tcW w:w="3340" w:type="dxa"/>
                  <w:noWrap w:val="0"/>
                  <w:vAlign w:val="top"/>
                </w:tcPr>
                <w:p w14:paraId="44E370E3">
                  <w:pPr>
                    <w:spacing w:line="280" w:lineRule="exact"/>
                    <w:rPr>
                      <w:color w:val="auto"/>
                      <w:szCs w:val="21"/>
                      <w:highlight w:val="none"/>
                    </w:rPr>
                  </w:pPr>
                  <w:r>
                    <w:rPr>
                      <w:rFonts w:hint="eastAsia"/>
                      <w:color w:val="auto"/>
                      <w:szCs w:val="21"/>
                      <w:highlight w:val="none"/>
                    </w:rPr>
                    <w:t>本周期应扣减的金额</w:t>
                  </w:r>
                </w:p>
              </w:tc>
              <w:tc>
                <w:tcPr>
                  <w:tcW w:w="1340" w:type="dxa"/>
                  <w:noWrap w:val="0"/>
                  <w:vAlign w:val="top"/>
                </w:tcPr>
                <w:p w14:paraId="22CE3399">
                  <w:pPr>
                    <w:spacing w:line="280" w:lineRule="exact"/>
                    <w:rPr>
                      <w:color w:val="auto"/>
                      <w:szCs w:val="21"/>
                      <w:highlight w:val="none"/>
                    </w:rPr>
                  </w:pPr>
                </w:p>
              </w:tc>
              <w:tc>
                <w:tcPr>
                  <w:tcW w:w="1440" w:type="dxa"/>
                  <w:noWrap w:val="0"/>
                  <w:vAlign w:val="top"/>
                </w:tcPr>
                <w:p w14:paraId="2659F66B">
                  <w:pPr>
                    <w:spacing w:line="280" w:lineRule="exact"/>
                    <w:rPr>
                      <w:color w:val="auto"/>
                      <w:szCs w:val="21"/>
                      <w:highlight w:val="none"/>
                    </w:rPr>
                  </w:pPr>
                </w:p>
              </w:tc>
              <w:tc>
                <w:tcPr>
                  <w:tcW w:w="1260" w:type="dxa"/>
                  <w:noWrap w:val="0"/>
                  <w:vAlign w:val="top"/>
                </w:tcPr>
                <w:p w14:paraId="59A368AA">
                  <w:pPr>
                    <w:spacing w:line="280" w:lineRule="exact"/>
                    <w:rPr>
                      <w:color w:val="auto"/>
                      <w:szCs w:val="21"/>
                      <w:highlight w:val="none"/>
                    </w:rPr>
                  </w:pPr>
                </w:p>
              </w:tc>
              <w:tc>
                <w:tcPr>
                  <w:tcW w:w="931" w:type="dxa"/>
                  <w:noWrap w:val="0"/>
                  <w:vAlign w:val="top"/>
                </w:tcPr>
                <w:p w14:paraId="6F427C31">
                  <w:pPr>
                    <w:spacing w:line="280" w:lineRule="exact"/>
                    <w:rPr>
                      <w:color w:val="auto"/>
                      <w:szCs w:val="21"/>
                      <w:highlight w:val="none"/>
                    </w:rPr>
                  </w:pPr>
                </w:p>
              </w:tc>
            </w:tr>
            <w:tr w14:paraId="3785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D7F373">
                  <w:pPr>
                    <w:spacing w:line="280" w:lineRule="exact"/>
                    <w:jc w:val="center"/>
                    <w:rPr>
                      <w:color w:val="auto"/>
                      <w:szCs w:val="21"/>
                      <w:highlight w:val="none"/>
                    </w:rPr>
                  </w:pPr>
                  <w:r>
                    <w:rPr>
                      <w:rFonts w:hint="eastAsia"/>
                      <w:color w:val="auto"/>
                      <w:szCs w:val="21"/>
                      <w:highlight w:val="none"/>
                    </w:rPr>
                    <w:t>4.1</w:t>
                  </w:r>
                </w:p>
              </w:tc>
              <w:tc>
                <w:tcPr>
                  <w:tcW w:w="3340" w:type="dxa"/>
                  <w:noWrap w:val="0"/>
                  <w:vAlign w:val="top"/>
                </w:tcPr>
                <w:p w14:paraId="6276D390">
                  <w:pPr>
                    <w:spacing w:line="280" w:lineRule="exact"/>
                    <w:rPr>
                      <w:color w:val="auto"/>
                      <w:szCs w:val="21"/>
                      <w:highlight w:val="none"/>
                    </w:rPr>
                  </w:pPr>
                  <w:r>
                    <w:rPr>
                      <w:rFonts w:hint="eastAsia"/>
                      <w:color w:val="auto"/>
                      <w:szCs w:val="21"/>
                      <w:highlight w:val="none"/>
                    </w:rPr>
                    <w:t>本周期实际应抵扣的预付款</w:t>
                  </w:r>
                </w:p>
              </w:tc>
              <w:tc>
                <w:tcPr>
                  <w:tcW w:w="1340" w:type="dxa"/>
                  <w:noWrap w:val="0"/>
                  <w:vAlign w:val="top"/>
                </w:tcPr>
                <w:p w14:paraId="5FFCC57A">
                  <w:pPr>
                    <w:spacing w:line="280" w:lineRule="exact"/>
                    <w:rPr>
                      <w:color w:val="auto"/>
                      <w:szCs w:val="21"/>
                      <w:highlight w:val="none"/>
                    </w:rPr>
                  </w:pPr>
                </w:p>
              </w:tc>
              <w:tc>
                <w:tcPr>
                  <w:tcW w:w="1440" w:type="dxa"/>
                  <w:noWrap w:val="0"/>
                  <w:vAlign w:val="top"/>
                </w:tcPr>
                <w:p w14:paraId="5170EF9E">
                  <w:pPr>
                    <w:spacing w:line="280" w:lineRule="exact"/>
                    <w:rPr>
                      <w:color w:val="auto"/>
                      <w:szCs w:val="21"/>
                      <w:highlight w:val="none"/>
                    </w:rPr>
                  </w:pPr>
                </w:p>
              </w:tc>
              <w:tc>
                <w:tcPr>
                  <w:tcW w:w="1260" w:type="dxa"/>
                  <w:noWrap w:val="0"/>
                  <w:vAlign w:val="top"/>
                </w:tcPr>
                <w:p w14:paraId="58E71BD2">
                  <w:pPr>
                    <w:spacing w:line="280" w:lineRule="exact"/>
                    <w:rPr>
                      <w:color w:val="auto"/>
                      <w:szCs w:val="21"/>
                      <w:highlight w:val="none"/>
                    </w:rPr>
                  </w:pPr>
                </w:p>
              </w:tc>
              <w:tc>
                <w:tcPr>
                  <w:tcW w:w="931" w:type="dxa"/>
                  <w:noWrap w:val="0"/>
                  <w:vAlign w:val="top"/>
                </w:tcPr>
                <w:p w14:paraId="7BCF6692">
                  <w:pPr>
                    <w:spacing w:line="280" w:lineRule="exact"/>
                    <w:rPr>
                      <w:color w:val="auto"/>
                      <w:szCs w:val="21"/>
                      <w:highlight w:val="none"/>
                    </w:rPr>
                  </w:pPr>
                </w:p>
              </w:tc>
            </w:tr>
            <w:tr w14:paraId="5AA4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44BA1E">
                  <w:pPr>
                    <w:spacing w:line="280" w:lineRule="exact"/>
                    <w:jc w:val="center"/>
                    <w:rPr>
                      <w:color w:val="auto"/>
                      <w:szCs w:val="21"/>
                      <w:highlight w:val="none"/>
                    </w:rPr>
                  </w:pPr>
                  <w:r>
                    <w:rPr>
                      <w:rFonts w:hint="eastAsia"/>
                      <w:color w:val="auto"/>
                      <w:szCs w:val="21"/>
                      <w:highlight w:val="none"/>
                    </w:rPr>
                    <w:t>4.2</w:t>
                  </w:r>
                </w:p>
              </w:tc>
              <w:tc>
                <w:tcPr>
                  <w:tcW w:w="3340" w:type="dxa"/>
                  <w:noWrap w:val="0"/>
                  <w:vAlign w:val="top"/>
                </w:tcPr>
                <w:p w14:paraId="3F2E2290">
                  <w:pPr>
                    <w:spacing w:line="280" w:lineRule="exact"/>
                    <w:rPr>
                      <w:color w:val="auto"/>
                      <w:szCs w:val="21"/>
                      <w:highlight w:val="none"/>
                    </w:rPr>
                  </w:pPr>
                  <w:r>
                    <w:rPr>
                      <w:rFonts w:hint="eastAsia"/>
                      <w:color w:val="auto"/>
                      <w:szCs w:val="21"/>
                      <w:highlight w:val="none"/>
                    </w:rPr>
                    <w:t>本周期应扣减的金额</w:t>
                  </w:r>
                </w:p>
              </w:tc>
              <w:tc>
                <w:tcPr>
                  <w:tcW w:w="1340" w:type="dxa"/>
                  <w:noWrap w:val="0"/>
                  <w:vAlign w:val="top"/>
                </w:tcPr>
                <w:p w14:paraId="43E1E231">
                  <w:pPr>
                    <w:spacing w:line="280" w:lineRule="exact"/>
                    <w:rPr>
                      <w:color w:val="auto"/>
                      <w:szCs w:val="21"/>
                      <w:highlight w:val="none"/>
                    </w:rPr>
                  </w:pPr>
                </w:p>
              </w:tc>
              <w:tc>
                <w:tcPr>
                  <w:tcW w:w="1440" w:type="dxa"/>
                  <w:noWrap w:val="0"/>
                  <w:vAlign w:val="top"/>
                </w:tcPr>
                <w:p w14:paraId="614225FA">
                  <w:pPr>
                    <w:spacing w:line="280" w:lineRule="exact"/>
                    <w:rPr>
                      <w:color w:val="auto"/>
                      <w:szCs w:val="21"/>
                      <w:highlight w:val="none"/>
                    </w:rPr>
                  </w:pPr>
                </w:p>
              </w:tc>
              <w:tc>
                <w:tcPr>
                  <w:tcW w:w="1260" w:type="dxa"/>
                  <w:noWrap w:val="0"/>
                  <w:vAlign w:val="top"/>
                </w:tcPr>
                <w:p w14:paraId="353047BF">
                  <w:pPr>
                    <w:spacing w:line="280" w:lineRule="exact"/>
                    <w:rPr>
                      <w:color w:val="auto"/>
                      <w:szCs w:val="21"/>
                      <w:highlight w:val="none"/>
                    </w:rPr>
                  </w:pPr>
                </w:p>
              </w:tc>
              <w:tc>
                <w:tcPr>
                  <w:tcW w:w="931" w:type="dxa"/>
                  <w:noWrap w:val="0"/>
                  <w:vAlign w:val="top"/>
                </w:tcPr>
                <w:p w14:paraId="0272939B">
                  <w:pPr>
                    <w:spacing w:line="280" w:lineRule="exact"/>
                    <w:rPr>
                      <w:color w:val="auto"/>
                      <w:szCs w:val="21"/>
                      <w:highlight w:val="none"/>
                    </w:rPr>
                  </w:pPr>
                </w:p>
              </w:tc>
            </w:tr>
            <w:tr w14:paraId="4E8F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9D1357">
                  <w:pPr>
                    <w:spacing w:line="280" w:lineRule="exact"/>
                    <w:jc w:val="center"/>
                    <w:rPr>
                      <w:color w:val="auto"/>
                      <w:szCs w:val="21"/>
                      <w:highlight w:val="none"/>
                    </w:rPr>
                  </w:pPr>
                  <w:r>
                    <w:rPr>
                      <w:rFonts w:hint="eastAsia"/>
                      <w:color w:val="auto"/>
                      <w:szCs w:val="21"/>
                      <w:highlight w:val="none"/>
                    </w:rPr>
                    <w:t>5</w:t>
                  </w:r>
                </w:p>
              </w:tc>
              <w:tc>
                <w:tcPr>
                  <w:tcW w:w="3340" w:type="dxa"/>
                  <w:noWrap w:val="0"/>
                  <w:vAlign w:val="top"/>
                </w:tcPr>
                <w:p w14:paraId="59B63171">
                  <w:pPr>
                    <w:spacing w:line="280" w:lineRule="exact"/>
                    <w:rPr>
                      <w:color w:val="auto"/>
                      <w:szCs w:val="21"/>
                      <w:highlight w:val="none"/>
                    </w:rPr>
                  </w:pPr>
                  <w:r>
                    <w:rPr>
                      <w:rFonts w:hint="eastAsia"/>
                      <w:color w:val="auto"/>
                      <w:szCs w:val="21"/>
                      <w:highlight w:val="none"/>
                    </w:rPr>
                    <w:t>本周期应支付的合同价款</w:t>
                  </w:r>
                </w:p>
              </w:tc>
              <w:tc>
                <w:tcPr>
                  <w:tcW w:w="1340" w:type="dxa"/>
                  <w:noWrap w:val="0"/>
                  <w:vAlign w:val="top"/>
                </w:tcPr>
                <w:p w14:paraId="702EB00B">
                  <w:pPr>
                    <w:spacing w:line="280" w:lineRule="exact"/>
                    <w:rPr>
                      <w:color w:val="auto"/>
                      <w:szCs w:val="21"/>
                      <w:highlight w:val="none"/>
                    </w:rPr>
                  </w:pPr>
                </w:p>
              </w:tc>
              <w:tc>
                <w:tcPr>
                  <w:tcW w:w="1440" w:type="dxa"/>
                  <w:noWrap w:val="0"/>
                  <w:vAlign w:val="top"/>
                </w:tcPr>
                <w:p w14:paraId="4C12D7D0">
                  <w:pPr>
                    <w:spacing w:line="280" w:lineRule="exact"/>
                    <w:rPr>
                      <w:color w:val="auto"/>
                      <w:szCs w:val="21"/>
                      <w:highlight w:val="none"/>
                    </w:rPr>
                  </w:pPr>
                </w:p>
              </w:tc>
              <w:tc>
                <w:tcPr>
                  <w:tcW w:w="1260" w:type="dxa"/>
                  <w:noWrap w:val="0"/>
                  <w:vAlign w:val="top"/>
                </w:tcPr>
                <w:p w14:paraId="278E7764">
                  <w:pPr>
                    <w:spacing w:line="280" w:lineRule="exact"/>
                    <w:rPr>
                      <w:color w:val="auto"/>
                      <w:szCs w:val="21"/>
                      <w:highlight w:val="none"/>
                    </w:rPr>
                  </w:pPr>
                </w:p>
              </w:tc>
              <w:tc>
                <w:tcPr>
                  <w:tcW w:w="931" w:type="dxa"/>
                  <w:noWrap w:val="0"/>
                  <w:vAlign w:val="top"/>
                </w:tcPr>
                <w:p w14:paraId="09FB7D79">
                  <w:pPr>
                    <w:spacing w:line="280" w:lineRule="exact"/>
                    <w:rPr>
                      <w:color w:val="auto"/>
                      <w:szCs w:val="21"/>
                      <w:highlight w:val="none"/>
                    </w:rPr>
                  </w:pPr>
                </w:p>
              </w:tc>
            </w:tr>
            <w:tr w14:paraId="125D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B5461B8">
                  <w:pPr>
                    <w:spacing w:line="280" w:lineRule="exact"/>
                    <w:jc w:val="center"/>
                    <w:rPr>
                      <w:color w:val="auto"/>
                      <w:szCs w:val="21"/>
                      <w:highlight w:val="none"/>
                    </w:rPr>
                  </w:pPr>
                </w:p>
              </w:tc>
              <w:tc>
                <w:tcPr>
                  <w:tcW w:w="3340" w:type="dxa"/>
                  <w:noWrap w:val="0"/>
                  <w:vAlign w:val="top"/>
                </w:tcPr>
                <w:p w14:paraId="321FB662">
                  <w:pPr>
                    <w:spacing w:line="280" w:lineRule="exact"/>
                    <w:rPr>
                      <w:color w:val="auto"/>
                      <w:szCs w:val="21"/>
                      <w:highlight w:val="none"/>
                    </w:rPr>
                  </w:pPr>
                  <w:r>
                    <w:rPr>
                      <w:rFonts w:hint="eastAsia"/>
                      <w:color w:val="auto"/>
                      <w:szCs w:val="21"/>
                      <w:highlight w:val="none"/>
                    </w:rPr>
                    <w:t>其中：人工费</w:t>
                  </w:r>
                </w:p>
              </w:tc>
              <w:tc>
                <w:tcPr>
                  <w:tcW w:w="1340" w:type="dxa"/>
                  <w:noWrap w:val="0"/>
                  <w:vAlign w:val="top"/>
                </w:tcPr>
                <w:p w14:paraId="17EFEE8F">
                  <w:pPr>
                    <w:spacing w:line="280" w:lineRule="exact"/>
                    <w:rPr>
                      <w:color w:val="auto"/>
                      <w:szCs w:val="21"/>
                      <w:highlight w:val="none"/>
                    </w:rPr>
                  </w:pPr>
                </w:p>
              </w:tc>
              <w:tc>
                <w:tcPr>
                  <w:tcW w:w="1440" w:type="dxa"/>
                  <w:noWrap w:val="0"/>
                  <w:vAlign w:val="top"/>
                </w:tcPr>
                <w:p w14:paraId="2A10ADAC">
                  <w:pPr>
                    <w:spacing w:line="280" w:lineRule="exact"/>
                    <w:rPr>
                      <w:color w:val="auto"/>
                      <w:szCs w:val="21"/>
                      <w:highlight w:val="none"/>
                    </w:rPr>
                  </w:pPr>
                </w:p>
              </w:tc>
              <w:tc>
                <w:tcPr>
                  <w:tcW w:w="1260" w:type="dxa"/>
                  <w:noWrap w:val="0"/>
                  <w:vAlign w:val="top"/>
                </w:tcPr>
                <w:p w14:paraId="7755B6AE">
                  <w:pPr>
                    <w:spacing w:line="280" w:lineRule="exact"/>
                    <w:rPr>
                      <w:color w:val="auto"/>
                      <w:szCs w:val="21"/>
                      <w:highlight w:val="none"/>
                    </w:rPr>
                  </w:pPr>
                </w:p>
              </w:tc>
              <w:tc>
                <w:tcPr>
                  <w:tcW w:w="931" w:type="dxa"/>
                  <w:noWrap w:val="0"/>
                  <w:vAlign w:val="top"/>
                </w:tcPr>
                <w:p w14:paraId="1BEA7DF2">
                  <w:pPr>
                    <w:spacing w:line="280" w:lineRule="exact"/>
                    <w:rPr>
                      <w:color w:val="auto"/>
                      <w:szCs w:val="21"/>
                      <w:highlight w:val="none"/>
                    </w:rPr>
                  </w:pPr>
                </w:p>
              </w:tc>
            </w:tr>
          </w:tbl>
          <w:p w14:paraId="5C2898F6">
            <w:pPr>
              <w:wordWrap w:val="0"/>
              <w:spacing w:line="400" w:lineRule="exact"/>
              <w:ind w:right="420"/>
              <w:rPr>
                <w:color w:val="auto"/>
                <w:szCs w:val="21"/>
                <w:highlight w:val="none"/>
              </w:rPr>
            </w:pPr>
            <w:r>
              <w:rPr>
                <w:rFonts w:hint="eastAsia"/>
                <w:color w:val="auto"/>
                <w:szCs w:val="21"/>
                <w:highlight w:val="none"/>
              </w:rPr>
              <w:t>附：上述3、4详见附件清单。</w:t>
            </w:r>
          </w:p>
          <w:p w14:paraId="48CFB9EA">
            <w:pPr>
              <w:wordWrap w:val="0"/>
              <w:spacing w:line="400" w:lineRule="exact"/>
              <w:ind w:right="420"/>
              <w:rPr>
                <w:color w:val="auto"/>
                <w:szCs w:val="21"/>
                <w:highlight w:val="none"/>
              </w:rPr>
            </w:pPr>
            <w:r>
              <w:rPr>
                <w:rFonts w:hint="eastAsia"/>
                <w:color w:val="auto"/>
                <w:szCs w:val="21"/>
                <w:highlight w:val="none"/>
              </w:rPr>
              <w:t>承包人（章）</w:t>
            </w:r>
          </w:p>
          <w:p w14:paraId="38D9F73C">
            <w:pPr>
              <w:spacing w:line="400" w:lineRule="exact"/>
              <w:ind w:right="420" w:firstLine="435"/>
              <w:rPr>
                <w:color w:val="auto"/>
                <w:szCs w:val="21"/>
                <w:highlight w:val="none"/>
              </w:rPr>
            </w:pPr>
            <w:r>
              <w:rPr>
                <w:rFonts w:hint="eastAsia"/>
                <w:color w:val="auto"/>
                <w:szCs w:val="21"/>
                <w:highlight w:val="none"/>
              </w:rPr>
              <w:t>造价人员承包人代表日期</w:t>
            </w:r>
          </w:p>
        </w:tc>
      </w:tr>
      <w:tr w14:paraId="120A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7C883FB">
            <w:pPr>
              <w:spacing w:line="360" w:lineRule="exact"/>
              <w:rPr>
                <w:color w:val="auto"/>
                <w:szCs w:val="21"/>
                <w:highlight w:val="none"/>
              </w:rPr>
            </w:pPr>
            <w:r>
              <w:rPr>
                <w:rFonts w:hint="eastAsia"/>
                <w:color w:val="auto"/>
                <w:szCs w:val="21"/>
                <w:highlight w:val="none"/>
              </w:rPr>
              <w:t>复核意见：</w:t>
            </w:r>
          </w:p>
          <w:p w14:paraId="66D8AD52">
            <w:pPr>
              <w:spacing w:line="360" w:lineRule="exact"/>
              <w:ind w:firstLine="312"/>
              <w:rPr>
                <w:color w:val="auto"/>
                <w:szCs w:val="21"/>
                <w:highlight w:val="none"/>
              </w:rPr>
            </w:pPr>
            <w:r>
              <w:rPr>
                <w:rFonts w:hint="eastAsia"/>
                <w:color w:val="auto"/>
                <w:szCs w:val="21"/>
                <w:highlight w:val="none"/>
              </w:rPr>
              <w:t>□与实际施工情况不相符，修改意见见附件。</w:t>
            </w:r>
          </w:p>
          <w:p w14:paraId="64E9ED6D">
            <w:pPr>
              <w:spacing w:line="360" w:lineRule="exact"/>
              <w:ind w:firstLine="312"/>
              <w:rPr>
                <w:color w:val="auto"/>
                <w:szCs w:val="21"/>
                <w:highlight w:val="none"/>
              </w:rPr>
            </w:pPr>
            <w:r>
              <w:rPr>
                <w:rFonts w:hint="eastAsia"/>
                <w:color w:val="auto"/>
                <w:szCs w:val="21"/>
                <w:highlight w:val="none"/>
              </w:rPr>
              <w:t>□与实际施工情况相符，具体金额由造价工程师复核。</w:t>
            </w:r>
          </w:p>
          <w:p w14:paraId="1C1D0E96">
            <w:pPr>
              <w:spacing w:line="360" w:lineRule="exact"/>
              <w:ind w:firstLine="435"/>
              <w:jc w:val="right"/>
              <w:rPr>
                <w:color w:val="auto"/>
                <w:szCs w:val="21"/>
                <w:highlight w:val="none"/>
              </w:rPr>
            </w:pPr>
          </w:p>
          <w:p w14:paraId="520232D4">
            <w:pPr>
              <w:spacing w:line="360" w:lineRule="exact"/>
              <w:ind w:firstLine="435"/>
              <w:jc w:val="center"/>
              <w:rPr>
                <w:color w:val="auto"/>
                <w:szCs w:val="21"/>
                <w:highlight w:val="none"/>
                <w:u w:val="single"/>
              </w:rPr>
            </w:pPr>
            <w:r>
              <w:rPr>
                <w:rFonts w:hint="eastAsia"/>
                <w:color w:val="auto"/>
                <w:szCs w:val="21"/>
                <w:highlight w:val="none"/>
              </w:rPr>
              <w:t>监理工程师</w:t>
            </w:r>
          </w:p>
          <w:p w14:paraId="5F753F18">
            <w:pPr>
              <w:spacing w:line="360" w:lineRule="exact"/>
              <w:ind w:firstLine="435"/>
              <w:jc w:val="center"/>
              <w:rPr>
                <w:color w:val="auto"/>
                <w:szCs w:val="21"/>
                <w:highlight w:val="none"/>
                <w:u w:val="single"/>
              </w:rPr>
            </w:pPr>
            <w:r>
              <w:rPr>
                <w:rFonts w:hint="eastAsia"/>
                <w:color w:val="auto"/>
                <w:szCs w:val="21"/>
                <w:highlight w:val="none"/>
              </w:rPr>
              <w:t>日期</w:t>
            </w:r>
          </w:p>
        </w:tc>
        <w:tc>
          <w:tcPr>
            <w:tcW w:w="4552" w:type="dxa"/>
            <w:noWrap w:val="0"/>
            <w:vAlign w:val="top"/>
          </w:tcPr>
          <w:p w14:paraId="30E2FEC0">
            <w:pPr>
              <w:spacing w:line="360" w:lineRule="exact"/>
              <w:rPr>
                <w:color w:val="auto"/>
                <w:szCs w:val="21"/>
                <w:highlight w:val="none"/>
              </w:rPr>
            </w:pPr>
            <w:r>
              <w:rPr>
                <w:rFonts w:hint="eastAsia"/>
                <w:color w:val="auto"/>
                <w:szCs w:val="21"/>
                <w:highlight w:val="none"/>
              </w:rPr>
              <w:t>复核意见：</w:t>
            </w:r>
          </w:p>
          <w:p w14:paraId="0D8584C1">
            <w:pPr>
              <w:spacing w:line="360" w:lineRule="exact"/>
              <w:ind w:firstLine="435"/>
              <w:rPr>
                <w:color w:val="auto"/>
                <w:szCs w:val="21"/>
                <w:highlight w:val="none"/>
              </w:rPr>
            </w:pPr>
            <w:r>
              <w:rPr>
                <w:rFonts w:hint="eastAsia"/>
                <w:color w:val="auto"/>
                <w:szCs w:val="21"/>
                <w:highlight w:val="none"/>
              </w:rPr>
              <w:t>你方提出的支付申请经复核，本周期已完成工程价款为（大写）元，（小写）</w:t>
            </w:r>
          </w:p>
          <w:p w14:paraId="6A13D440">
            <w:pPr>
              <w:spacing w:line="360" w:lineRule="exact"/>
              <w:rPr>
                <w:color w:val="auto"/>
                <w:szCs w:val="21"/>
                <w:highlight w:val="none"/>
              </w:rPr>
            </w:pPr>
            <w:r>
              <w:rPr>
                <w:rFonts w:hint="eastAsia"/>
                <w:color w:val="auto"/>
                <w:szCs w:val="21"/>
                <w:highlight w:val="none"/>
              </w:rPr>
              <w:t>元，本期间应支付金额为（大写）</w:t>
            </w:r>
          </w:p>
          <w:p w14:paraId="10A7E388">
            <w:pPr>
              <w:spacing w:line="360" w:lineRule="exact"/>
              <w:rPr>
                <w:color w:val="auto"/>
                <w:szCs w:val="21"/>
                <w:highlight w:val="none"/>
                <w:u w:val="single"/>
              </w:rPr>
            </w:pPr>
            <w:r>
              <w:rPr>
                <w:rFonts w:hint="eastAsia"/>
                <w:color w:val="auto"/>
                <w:szCs w:val="21"/>
                <w:highlight w:val="none"/>
              </w:rPr>
              <w:t>元，（小写）元。</w:t>
            </w:r>
          </w:p>
          <w:p w14:paraId="03BA719A">
            <w:pPr>
              <w:spacing w:line="360" w:lineRule="exact"/>
              <w:ind w:firstLine="435"/>
              <w:jc w:val="center"/>
              <w:rPr>
                <w:color w:val="auto"/>
                <w:szCs w:val="21"/>
                <w:highlight w:val="none"/>
                <w:u w:val="single"/>
              </w:rPr>
            </w:pPr>
            <w:r>
              <w:rPr>
                <w:rFonts w:hint="eastAsia"/>
                <w:color w:val="auto"/>
                <w:szCs w:val="21"/>
                <w:highlight w:val="none"/>
              </w:rPr>
              <w:t>造价工程师</w:t>
            </w:r>
          </w:p>
          <w:p w14:paraId="31281D67">
            <w:pPr>
              <w:spacing w:line="360" w:lineRule="exact"/>
              <w:ind w:firstLine="435"/>
              <w:jc w:val="center"/>
              <w:rPr>
                <w:color w:val="auto"/>
                <w:szCs w:val="21"/>
                <w:highlight w:val="none"/>
                <w:u w:val="single"/>
              </w:rPr>
            </w:pPr>
            <w:r>
              <w:rPr>
                <w:rFonts w:hint="eastAsia"/>
                <w:color w:val="auto"/>
                <w:szCs w:val="21"/>
                <w:highlight w:val="none"/>
              </w:rPr>
              <w:t>日期</w:t>
            </w:r>
          </w:p>
        </w:tc>
      </w:tr>
      <w:tr w14:paraId="7D08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06D6F140">
            <w:pPr>
              <w:spacing w:line="400" w:lineRule="exact"/>
              <w:rPr>
                <w:color w:val="auto"/>
                <w:szCs w:val="21"/>
                <w:highlight w:val="none"/>
              </w:rPr>
            </w:pPr>
            <w:r>
              <w:rPr>
                <w:rFonts w:hint="eastAsia"/>
                <w:color w:val="auto"/>
                <w:szCs w:val="21"/>
                <w:highlight w:val="none"/>
              </w:rPr>
              <w:t>审核意见：</w:t>
            </w:r>
          </w:p>
          <w:p w14:paraId="07623535">
            <w:pPr>
              <w:spacing w:line="400" w:lineRule="exact"/>
              <w:ind w:firstLine="435"/>
              <w:rPr>
                <w:color w:val="auto"/>
                <w:szCs w:val="21"/>
                <w:highlight w:val="none"/>
              </w:rPr>
            </w:pPr>
            <w:r>
              <w:rPr>
                <w:rFonts w:hint="eastAsia"/>
                <w:color w:val="auto"/>
                <w:szCs w:val="21"/>
                <w:highlight w:val="none"/>
              </w:rPr>
              <w:t>□不同意。</w:t>
            </w:r>
          </w:p>
          <w:p w14:paraId="31A81924">
            <w:pPr>
              <w:spacing w:line="400" w:lineRule="exact"/>
              <w:ind w:firstLine="420" w:firstLineChars="200"/>
              <w:rPr>
                <w:color w:val="auto"/>
                <w:szCs w:val="21"/>
                <w:highlight w:val="none"/>
              </w:rPr>
            </w:pPr>
            <w:r>
              <w:rPr>
                <w:rFonts w:hint="eastAsia"/>
                <w:color w:val="auto"/>
                <w:szCs w:val="21"/>
                <w:highlight w:val="none"/>
              </w:rPr>
              <w:t>□同意，支付时间为本表签发后的15天内。</w:t>
            </w:r>
          </w:p>
          <w:p w14:paraId="0692F472">
            <w:pPr>
              <w:wordWrap w:val="0"/>
              <w:spacing w:line="400" w:lineRule="exact"/>
              <w:ind w:firstLine="420" w:firstLineChars="200"/>
              <w:jc w:val="right"/>
              <w:rPr>
                <w:color w:val="auto"/>
                <w:szCs w:val="21"/>
                <w:highlight w:val="none"/>
              </w:rPr>
            </w:pPr>
            <w:r>
              <w:rPr>
                <w:rFonts w:hint="eastAsia"/>
                <w:color w:val="auto"/>
                <w:szCs w:val="21"/>
                <w:highlight w:val="none"/>
              </w:rPr>
              <w:t>发包人（章）</w:t>
            </w:r>
          </w:p>
          <w:p w14:paraId="54F6D9B8">
            <w:pPr>
              <w:wordWrap w:val="0"/>
              <w:spacing w:line="400" w:lineRule="exact"/>
              <w:ind w:firstLine="420" w:firstLineChars="200"/>
              <w:jc w:val="right"/>
              <w:rPr>
                <w:color w:val="auto"/>
                <w:szCs w:val="21"/>
                <w:highlight w:val="none"/>
                <w:u w:val="single"/>
              </w:rPr>
            </w:pPr>
            <w:r>
              <w:rPr>
                <w:rFonts w:hint="eastAsia"/>
                <w:color w:val="auto"/>
                <w:szCs w:val="21"/>
                <w:highlight w:val="none"/>
              </w:rPr>
              <w:t>发包人代表</w:t>
            </w:r>
          </w:p>
          <w:p w14:paraId="66EF19BD">
            <w:pPr>
              <w:wordWrap w:val="0"/>
              <w:spacing w:line="400" w:lineRule="exact"/>
              <w:ind w:firstLine="420" w:firstLineChars="200"/>
              <w:jc w:val="right"/>
              <w:rPr>
                <w:color w:val="auto"/>
                <w:szCs w:val="21"/>
                <w:highlight w:val="none"/>
                <w:u w:val="single"/>
              </w:rPr>
            </w:pPr>
            <w:r>
              <w:rPr>
                <w:rFonts w:hint="eastAsia"/>
                <w:color w:val="auto"/>
                <w:szCs w:val="21"/>
                <w:highlight w:val="none"/>
              </w:rPr>
              <w:t>日期</w:t>
            </w:r>
          </w:p>
        </w:tc>
      </w:tr>
    </w:tbl>
    <w:p w14:paraId="062D9EDC">
      <w:pPr>
        <w:spacing w:before="156" w:beforeLines="50"/>
        <w:ind w:firstLine="360" w:firstLineChars="200"/>
        <w:rPr>
          <w:color w:val="auto"/>
          <w:sz w:val="18"/>
          <w:szCs w:val="18"/>
          <w:highlight w:val="none"/>
        </w:rPr>
      </w:pPr>
      <w:r>
        <w:rPr>
          <w:rFonts w:hint="eastAsia"/>
          <w:color w:val="auto"/>
          <w:sz w:val="18"/>
          <w:szCs w:val="18"/>
          <w:highlight w:val="none"/>
        </w:rPr>
        <w:t>注：1.在选择栏中的“□”内作标识“√”。</w:t>
      </w:r>
    </w:p>
    <w:p w14:paraId="67FC6864">
      <w:pPr>
        <w:spacing w:before="156" w:beforeLines="50"/>
        <w:ind w:left="720" w:hanging="720" w:hangingChars="400"/>
        <w:rPr>
          <w:color w:val="auto"/>
          <w:sz w:val="18"/>
          <w:szCs w:val="18"/>
          <w:highlight w:val="none"/>
        </w:rPr>
      </w:pPr>
      <w:r>
        <w:rPr>
          <w:rFonts w:hint="eastAsia"/>
          <w:color w:val="auto"/>
          <w:sz w:val="18"/>
          <w:szCs w:val="18"/>
          <w:highlight w:val="none"/>
        </w:rPr>
        <w:t xml:space="preserve">  2.本表一式四份，由承包人填报，发包人、监理人、造价咨询人、承包人各存一份。</w:t>
      </w:r>
    </w:p>
    <w:p w14:paraId="7DE789CC">
      <w:pPr>
        <w:spacing w:before="120" w:beforeLines="50" w:after="120" w:afterLines="50" w:line="440" w:lineRule="exact"/>
        <w:jc w:val="left"/>
        <w:rPr>
          <w:rFonts w:hint="eastAsia" w:ascii="仿宋_GB2312" w:eastAsia="仿宋_GB2312" w:cs="仿宋_GB2312"/>
          <w:color w:val="auto"/>
          <w:sz w:val="30"/>
          <w:szCs w:val="30"/>
          <w:highlight w:val="none"/>
          <w:lang w:eastAsia="zh-CN"/>
        </w:rPr>
      </w:pPr>
      <w:r>
        <w:rPr>
          <w:rFonts w:hint="eastAsia" w:ascii="仿宋_GB2312" w:eastAsia="仿宋_GB2312" w:cs="仿宋_GB2312"/>
          <w:color w:val="auto"/>
          <w:sz w:val="30"/>
          <w:szCs w:val="30"/>
          <w:highlight w:val="none"/>
        </w:rPr>
        <w:t>附件12</w:t>
      </w:r>
      <w:r>
        <w:rPr>
          <w:rFonts w:hint="eastAsia" w:ascii="仿宋_GB2312" w:eastAsia="仿宋_GB2312" w:cs="仿宋_GB2312"/>
          <w:color w:val="auto"/>
          <w:sz w:val="30"/>
          <w:szCs w:val="30"/>
          <w:highlight w:val="none"/>
          <w:lang w:eastAsia="zh-CN"/>
        </w:rPr>
        <w:t>：</w:t>
      </w:r>
    </w:p>
    <w:p w14:paraId="11265800">
      <w:pPr>
        <w:jc w:val="center"/>
        <w:rPr>
          <w:b/>
          <w:color w:val="auto"/>
          <w:sz w:val="36"/>
          <w:szCs w:val="36"/>
          <w:highlight w:val="none"/>
        </w:rPr>
      </w:pPr>
      <w:r>
        <w:rPr>
          <w:rFonts w:hint="eastAsia"/>
          <w:b/>
          <w:color w:val="auto"/>
          <w:sz w:val="36"/>
          <w:szCs w:val="36"/>
          <w:highlight w:val="none"/>
        </w:rPr>
        <w:t>竣工结算款支付申请（核准）表</w:t>
      </w:r>
    </w:p>
    <w:p w14:paraId="6BD6D5A6">
      <w:pPr>
        <w:rPr>
          <w:color w:val="auto"/>
          <w:sz w:val="24"/>
          <w:highlight w:val="none"/>
        </w:rPr>
      </w:pPr>
      <w:r>
        <w:rPr>
          <w:rFonts w:hint="eastAsia"/>
          <w:color w:val="auto"/>
          <w:sz w:val="24"/>
          <w:highlight w:val="none"/>
        </w:rPr>
        <w:t>工程名称：编号：</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71B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11C2BEA1">
            <w:pPr>
              <w:spacing w:line="480" w:lineRule="exact"/>
              <w:ind w:left="525" w:leftChars="149" w:hanging="212" w:hangingChars="101"/>
              <w:rPr>
                <w:color w:val="auto"/>
                <w:szCs w:val="21"/>
                <w:highlight w:val="none"/>
                <w:u w:val="single"/>
              </w:rPr>
            </w:pPr>
            <w:r>
              <w:rPr>
                <w:rFonts w:hint="eastAsia"/>
                <w:color w:val="auto"/>
                <w:szCs w:val="21"/>
                <w:highlight w:val="none"/>
              </w:rPr>
              <w:t>致：</w:t>
            </w:r>
            <w:r>
              <w:rPr>
                <w:rFonts w:hint="eastAsia"/>
                <w:color w:val="auto"/>
                <w:szCs w:val="21"/>
                <w:highlight w:val="none"/>
                <w:u w:val="single"/>
              </w:rPr>
              <w:t>（发包人全称）</w:t>
            </w:r>
          </w:p>
          <w:p w14:paraId="5903157B">
            <w:pPr>
              <w:spacing w:line="400" w:lineRule="exact"/>
              <w:ind w:left="-4" w:leftChars="-2" w:firstLine="315" w:firstLineChars="150"/>
              <w:rPr>
                <w:color w:val="auto"/>
                <w:szCs w:val="21"/>
                <w:highlight w:val="none"/>
              </w:rPr>
            </w:pPr>
            <w:r>
              <w:rPr>
                <w:rFonts w:hint="eastAsia"/>
                <w:color w:val="auto"/>
                <w:szCs w:val="21"/>
                <w:highlight w:val="none"/>
              </w:rPr>
              <w:t>我方于至期间已完成了合同约定的工作，根据施工合同的约定，现申请支付竣工结算的工程款额为（大写）元，（小写）元，请予核准。</w:t>
            </w:r>
          </w:p>
          <w:tbl>
            <w:tblPr>
              <w:tblStyle w:val="16"/>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06A0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067F54F4">
                  <w:pPr>
                    <w:spacing w:line="280" w:lineRule="exact"/>
                    <w:jc w:val="center"/>
                    <w:rPr>
                      <w:color w:val="auto"/>
                      <w:szCs w:val="21"/>
                      <w:highlight w:val="none"/>
                    </w:rPr>
                  </w:pPr>
                  <w:r>
                    <w:rPr>
                      <w:rFonts w:hint="eastAsia"/>
                      <w:color w:val="auto"/>
                      <w:szCs w:val="21"/>
                      <w:highlight w:val="none"/>
                    </w:rPr>
                    <w:t>序号</w:t>
                  </w:r>
                </w:p>
              </w:tc>
              <w:tc>
                <w:tcPr>
                  <w:tcW w:w="3420" w:type="dxa"/>
                  <w:noWrap w:val="0"/>
                  <w:vAlign w:val="center"/>
                </w:tcPr>
                <w:p w14:paraId="13415D9B">
                  <w:pPr>
                    <w:spacing w:line="280" w:lineRule="exact"/>
                    <w:jc w:val="center"/>
                    <w:rPr>
                      <w:color w:val="auto"/>
                      <w:szCs w:val="21"/>
                      <w:highlight w:val="none"/>
                    </w:rPr>
                  </w:pPr>
                  <w:r>
                    <w:rPr>
                      <w:rFonts w:hint="eastAsia"/>
                      <w:color w:val="auto"/>
                      <w:szCs w:val="21"/>
                      <w:highlight w:val="none"/>
                    </w:rPr>
                    <w:t>名称</w:t>
                  </w:r>
                </w:p>
              </w:tc>
              <w:tc>
                <w:tcPr>
                  <w:tcW w:w="1620" w:type="dxa"/>
                  <w:noWrap w:val="0"/>
                  <w:vAlign w:val="center"/>
                </w:tcPr>
                <w:p w14:paraId="5B42D51A">
                  <w:pPr>
                    <w:spacing w:line="280" w:lineRule="exact"/>
                    <w:jc w:val="center"/>
                    <w:rPr>
                      <w:color w:val="auto"/>
                      <w:szCs w:val="21"/>
                      <w:highlight w:val="none"/>
                    </w:rPr>
                  </w:pPr>
                  <w:r>
                    <w:rPr>
                      <w:rFonts w:hint="eastAsia"/>
                      <w:color w:val="auto"/>
                      <w:szCs w:val="21"/>
                      <w:highlight w:val="none"/>
                    </w:rPr>
                    <w:t>申请金额（元）</w:t>
                  </w:r>
                </w:p>
              </w:tc>
              <w:tc>
                <w:tcPr>
                  <w:tcW w:w="1620" w:type="dxa"/>
                  <w:noWrap w:val="0"/>
                  <w:vAlign w:val="center"/>
                </w:tcPr>
                <w:p w14:paraId="633297C6">
                  <w:pPr>
                    <w:spacing w:line="280" w:lineRule="exact"/>
                    <w:jc w:val="center"/>
                    <w:rPr>
                      <w:color w:val="auto"/>
                      <w:szCs w:val="21"/>
                      <w:highlight w:val="none"/>
                    </w:rPr>
                  </w:pPr>
                  <w:r>
                    <w:rPr>
                      <w:rFonts w:hint="eastAsia"/>
                      <w:color w:val="auto"/>
                      <w:szCs w:val="21"/>
                      <w:highlight w:val="none"/>
                    </w:rPr>
                    <w:t>复核金额（元）</w:t>
                  </w:r>
                </w:p>
              </w:tc>
              <w:tc>
                <w:tcPr>
                  <w:tcW w:w="1651" w:type="dxa"/>
                  <w:noWrap w:val="0"/>
                  <w:vAlign w:val="center"/>
                </w:tcPr>
                <w:p w14:paraId="76796421">
                  <w:pPr>
                    <w:spacing w:line="280" w:lineRule="exact"/>
                    <w:jc w:val="center"/>
                    <w:rPr>
                      <w:color w:val="auto"/>
                      <w:szCs w:val="21"/>
                      <w:highlight w:val="none"/>
                    </w:rPr>
                  </w:pPr>
                  <w:r>
                    <w:rPr>
                      <w:rFonts w:hint="eastAsia"/>
                      <w:color w:val="auto"/>
                      <w:szCs w:val="21"/>
                      <w:highlight w:val="none"/>
                    </w:rPr>
                    <w:t>备注</w:t>
                  </w:r>
                </w:p>
              </w:tc>
            </w:tr>
            <w:tr w14:paraId="0647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5717B7">
                  <w:pPr>
                    <w:spacing w:line="280" w:lineRule="exact"/>
                    <w:jc w:val="center"/>
                    <w:rPr>
                      <w:color w:val="auto"/>
                      <w:szCs w:val="21"/>
                      <w:highlight w:val="none"/>
                    </w:rPr>
                  </w:pPr>
                  <w:r>
                    <w:rPr>
                      <w:rFonts w:hint="eastAsia"/>
                      <w:color w:val="auto"/>
                      <w:szCs w:val="21"/>
                      <w:highlight w:val="none"/>
                    </w:rPr>
                    <w:t>1</w:t>
                  </w:r>
                </w:p>
              </w:tc>
              <w:tc>
                <w:tcPr>
                  <w:tcW w:w="3420" w:type="dxa"/>
                  <w:noWrap w:val="0"/>
                  <w:vAlign w:val="top"/>
                </w:tcPr>
                <w:p w14:paraId="6F525C62">
                  <w:pPr>
                    <w:spacing w:line="280" w:lineRule="exact"/>
                    <w:rPr>
                      <w:color w:val="auto"/>
                      <w:szCs w:val="21"/>
                      <w:highlight w:val="none"/>
                    </w:rPr>
                  </w:pPr>
                  <w:r>
                    <w:rPr>
                      <w:rFonts w:hint="eastAsia"/>
                      <w:color w:val="auto"/>
                      <w:szCs w:val="21"/>
                      <w:highlight w:val="none"/>
                    </w:rPr>
                    <w:t>竣工结算合同价款总额</w:t>
                  </w:r>
                </w:p>
              </w:tc>
              <w:tc>
                <w:tcPr>
                  <w:tcW w:w="1620" w:type="dxa"/>
                  <w:noWrap w:val="0"/>
                  <w:vAlign w:val="top"/>
                </w:tcPr>
                <w:p w14:paraId="2663ABBD">
                  <w:pPr>
                    <w:spacing w:line="280" w:lineRule="exact"/>
                    <w:rPr>
                      <w:color w:val="auto"/>
                      <w:szCs w:val="21"/>
                      <w:highlight w:val="none"/>
                    </w:rPr>
                  </w:pPr>
                </w:p>
              </w:tc>
              <w:tc>
                <w:tcPr>
                  <w:tcW w:w="1620" w:type="dxa"/>
                  <w:noWrap w:val="0"/>
                  <w:vAlign w:val="top"/>
                </w:tcPr>
                <w:p w14:paraId="19BBCD1B">
                  <w:pPr>
                    <w:spacing w:line="280" w:lineRule="exact"/>
                    <w:rPr>
                      <w:color w:val="auto"/>
                      <w:szCs w:val="21"/>
                      <w:highlight w:val="none"/>
                    </w:rPr>
                  </w:pPr>
                </w:p>
              </w:tc>
              <w:tc>
                <w:tcPr>
                  <w:tcW w:w="1651" w:type="dxa"/>
                  <w:noWrap w:val="0"/>
                  <w:vAlign w:val="top"/>
                </w:tcPr>
                <w:p w14:paraId="49AD0927">
                  <w:pPr>
                    <w:spacing w:line="280" w:lineRule="exact"/>
                    <w:rPr>
                      <w:color w:val="auto"/>
                      <w:szCs w:val="21"/>
                      <w:highlight w:val="none"/>
                    </w:rPr>
                  </w:pPr>
                </w:p>
              </w:tc>
            </w:tr>
            <w:tr w14:paraId="3F5D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51EEB32">
                  <w:pPr>
                    <w:spacing w:line="280" w:lineRule="exact"/>
                    <w:jc w:val="center"/>
                    <w:rPr>
                      <w:color w:val="auto"/>
                      <w:szCs w:val="21"/>
                      <w:highlight w:val="none"/>
                    </w:rPr>
                  </w:pPr>
                  <w:r>
                    <w:rPr>
                      <w:rFonts w:hint="eastAsia"/>
                      <w:color w:val="auto"/>
                      <w:szCs w:val="21"/>
                      <w:highlight w:val="none"/>
                    </w:rPr>
                    <w:t>2</w:t>
                  </w:r>
                </w:p>
              </w:tc>
              <w:tc>
                <w:tcPr>
                  <w:tcW w:w="3420" w:type="dxa"/>
                  <w:noWrap w:val="0"/>
                  <w:vAlign w:val="top"/>
                </w:tcPr>
                <w:p w14:paraId="131900B6">
                  <w:pPr>
                    <w:spacing w:line="280" w:lineRule="exact"/>
                    <w:rPr>
                      <w:color w:val="auto"/>
                      <w:szCs w:val="21"/>
                      <w:highlight w:val="none"/>
                    </w:rPr>
                  </w:pPr>
                  <w:r>
                    <w:rPr>
                      <w:rFonts w:hint="eastAsia"/>
                      <w:color w:val="auto"/>
                      <w:szCs w:val="21"/>
                      <w:highlight w:val="none"/>
                    </w:rPr>
                    <w:t>累计已实际支付的合同价款</w:t>
                  </w:r>
                </w:p>
              </w:tc>
              <w:tc>
                <w:tcPr>
                  <w:tcW w:w="1620" w:type="dxa"/>
                  <w:noWrap w:val="0"/>
                  <w:vAlign w:val="top"/>
                </w:tcPr>
                <w:p w14:paraId="23C5F291">
                  <w:pPr>
                    <w:spacing w:line="280" w:lineRule="exact"/>
                    <w:rPr>
                      <w:color w:val="auto"/>
                      <w:szCs w:val="21"/>
                      <w:highlight w:val="none"/>
                    </w:rPr>
                  </w:pPr>
                </w:p>
              </w:tc>
              <w:tc>
                <w:tcPr>
                  <w:tcW w:w="1620" w:type="dxa"/>
                  <w:noWrap w:val="0"/>
                  <w:vAlign w:val="top"/>
                </w:tcPr>
                <w:p w14:paraId="3DC5565E">
                  <w:pPr>
                    <w:spacing w:line="280" w:lineRule="exact"/>
                    <w:rPr>
                      <w:color w:val="auto"/>
                      <w:szCs w:val="21"/>
                      <w:highlight w:val="none"/>
                    </w:rPr>
                  </w:pPr>
                </w:p>
              </w:tc>
              <w:tc>
                <w:tcPr>
                  <w:tcW w:w="1651" w:type="dxa"/>
                  <w:noWrap w:val="0"/>
                  <w:vAlign w:val="top"/>
                </w:tcPr>
                <w:p w14:paraId="4AB50D9C">
                  <w:pPr>
                    <w:spacing w:line="280" w:lineRule="exact"/>
                    <w:rPr>
                      <w:color w:val="auto"/>
                      <w:szCs w:val="21"/>
                      <w:highlight w:val="none"/>
                    </w:rPr>
                  </w:pPr>
                </w:p>
              </w:tc>
            </w:tr>
            <w:tr w14:paraId="2422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1B82B4">
                  <w:pPr>
                    <w:spacing w:line="280" w:lineRule="exact"/>
                    <w:jc w:val="center"/>
                    <w:rPr>
                      <w:color w:val="auto"/>
                      <w:szCs w:val="21"/>
                      <w:highlight w:val="none"/>
                    </w:rPr>
                  </w:pPr>
                  <w:r>
                    <w:rPr>
                      <w:rFonts w:hint="eastAsia"/>
                      <w:color w:val="auto"/>
                      <w:szCs w:val="21"/>
                      <w:highlight w:val="none"/>
                    </w:rPr>
                    <w:t>3</w:t>
                  </w:r>
                </w:p>
              </w:tc>
              <w:tc>
                <w:tcPr>
                  <w:tcW w:w="3420" w:type="dxa"/>
                  <w:noWrap w:val="0"/>
                  <w:vAlign w:val="top"/>
                </w:tcPr>
                <w:p w14:paraId="743FD1CF">
                  <w:pPr>
                    <w:spacing w:line="280" w:lineRule="exact"/>
                    <w:rPr>
                      <w:color w:val="auto"/>
                      <w:szCs w:val="21"/>
                      <w:highlight w:val="none"/>
                    </w:rPr>
                  </w:pPr>
                  <w:r>
                    <w:rPr>
                      <w:rFonts w:hint="eastAsia"/>
                      <w:color w:val="auto"/>
                      <w:szCs w:val="21"/>
                      <w:highlight w:val="none"/>
                    </w:rPr>
                    <w:t>应预留的质量保证金</w:t>
                  </w:r>
                </w:p>
              </w:tc>
              <w:tc>
                <w:tcPr>
                  <w:tcW w:w="1620" w:type="dxa"/>
                  <w:noWrap w:val="0"/>
                  <w:vAlign w:val="top"/>
                </w:tcPr>
                <w:p w14:paraId="058CB132">
                  <w:pPr>
                    <w:spacing w:line="280" w:lineRule="exact"/>
                    <w:rPr>
                      <w:color w:val="auto"/>
                      <w:szCs w:val="21"/>
                      <w:highlight w:val="none"/>
                    </w:rPr>
                  </w:pPr>
                </w:p>
              </w:tc>
              <w:tc>
                <w:tcPr>
                  <w:tcW w:w="1620" w:type="dxa"/>
                  <w:noWrap w:val="0"/>
                  <w:vAlign w:val="top"/>
                </w:tcPr>
                <w:p w14:paraId="5176A856">
                  <w:pPr>
                    <w:spacing w:line="280" w:lineRule="exact"/>
                    <w:rPr>
                      <w:color w:val="auto"/>
                      <w:szCs w:val="21"/>
                      <w:highlight w:val="none"/>
                    </w:rPr>
                  </w:pPr>
                </w:p>
              </w:tc>
              <w:tc>
                <w:tcPr>
                  <w:tcW w:w="1651" w:type="dxa"/>
                  <w:noWrap w:val="0"/>
                  <w:vAlign w:val="top"/>
                </w:tcPr>
                <w:p w14:paraId="184B868D">
                  <w:pPr>
                    <w:spacing w:line="280" w:lineRule="exact"/>
                    <w:rPr>
                      <w:color w:val="auto"/>
                      <w:szCs w:val="21"/>
                      <w:highlight w:val="none"/>
                    </w:rPr>
                  </w:pPr>
                </w:p>
              </w:tc>
            </w:tr>
            <w:tr w14:paraId="747F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03C2C6A">
                  <w:pPr>
                    <w:spacing w:line="280" w:lineRule="exact"/>
                    <w:jc w:val="center"/>
                    <w:rPr>
                      <w:color w:val="auto"/>
                      <w:szCs w:val="21"/>
                      <w:highlight w:val="none"/>
                    </w:rPr>
                  </w:pPr>
                  <w:r>
                    <w:rPr>
                      <w:rFonts w:hint="eastAsia"/>
                      <w:color w:val="auto"/>
                      <w:szCs w:val="21"/>
                      <w:highlight w:val="none"/>
                    </w:rPr>
                    <w:t>4</w:t>
                  </w:r>
                </w:p>
              </w:tc>
              <w:tc>
                <w:tcPr>
                  <w:tcW w:w="3420" w:type="dxa"/>
                  <w:noWrap w:val="0"/>
                  <w:vAlign w:val="top"/>
                </w:tcPr>
                <w:p w14:paraId="3F6FAAFD">
                  <w:pPr>
                    <w:spacing w:line="280" w:lineRule="exact"/>
                    <w:rPr>
                      <w:color w:val="auto"/>
                      <w:szCs w:val="21"/>
                      <w:highlight w:val="none"/>
                    </w:rPr>
                  </w:pPr>
                  <w:r>
                    <w:rPr>
                      <w:rFonts w:hint="eastAsia"/>
                      <w:color w:val="auto"/>
                      <w:szCs w:val="21"/>
                      <w:highlight w:val="none"/>
                    </w:rPr>
                    <w:t>应支付的竣工结算款金额</w:t>
                  </w:r>
                </w:p>
              </w:tc>
              <w:tc>
                <w:tcPr>
                  <w:tcW w:w="1620" w:type="dxa"/>
                  <w:noWrap w:val="0"/>
                  <w:vAlign w:val="top"/>
                </w:tcPr>
                <w:p w14:paraId="398C281E">
                  <w:pPr>
                    <w:spacing w:line="280" w:lineRule="exact"/>
                    <w:rPr>
                      <w:color w:val="auto"/>
                      <w:szCs w:val="21"/>
                      <w:highlight w:val="none"/>
                    </w:rPr>
                  </w:pPr>
                </w:p>
              </w:tc>
              <w:tc>
                <w:tcPr>
                  <w:tcW w:w="1620" w:type="dxa"/>
                  <w:noWrap w:val="0"/>
                  <w:vAlign w:val="top"/>
                </w:tcPr>
                <w:p w14:paraId="290C02D8">
                  <w:pPr>
                    <w:spacing w:line="280" w:lineRule="exact"/>
                    <w:rPr>
                      <w:color w:val="auto"/>
                      <w:szCs w:val="21"/>
                      <w:highlight w:val="none"/>
                    </w:rPr>
                  </w:pPr>
                </w:p>
              </w:tc>
              <w:tc>
                <w:tcPr>
                  <w:tcW w:w="1651" w:type="dxa"/>
                  <w:noWrap w:val="0"/>
                  <w:vAlign w:val="top"/>
                </w:tcPr>
                <w:p w14:paraId="3C7A7EAA">
                  <w:pPr>
                    <w:spacing w:line="280" w:lineRule="exact"/>
                    <w:rPr>
                      <w:color w:val="auto"/>
                      <w:szCs w:val="21"/>
                      <w:highlight w:val="none"/>
                    </w:rPr>
                  </w:pPr>
                </w:p>
              </w:tc>
            </w:tr>
            <w:tr w14:paraId="0A8C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810ACB8">
                  <w:pPr>
                    <w:spacing w:line="280" w:lineRule="exact"/>
                    <w:jc w:val="center"/>
                    <w:rPr>
                      <w:color w:val="auto"/>
                      <w:szCs w:val="21"/>
                      <w:highlight w:val="none"/>
                    </w:rPr>
                  </w:pPr>
                </w:p>
              </w:tc>
              <w:tc>
                <w:tcPr>
                  <w:tcW w:w="3420" w:type="dxa"/>
                  <w:noWrap w:val="0"/>
                  <w:vAlign w:val="top"/>
                </w:tcPr>
                <w:p w14:paraId="0816F31A">
                  <w:pPr>
                    <w:spacing w:line="280" w:lineRule="exact"/>
                    <w:rPr>
                      <w:color w:val="auto"/>
                      <w:szCs w:val="21"/>
                      <w:highlight w:val="none"/>
                    </w:rPr>
                  </w:pPr>
                </w:p>
              </w:tc>
              <w:tc>
                <w:tcPr>
                  <w:tcW w:w="1620" w:type="dxa"/>
                  <w:noWrap w:val="0"/>
                  <w:vAlign w:val="top"/>
                </w:tcPr>
                <w:p w14:paraId="4FD24C69">
                  <w:pPr>
                    <w:spacing w:line="280" w:lineRule="exact"/>
                    <w:rPr>
                      <w:color w:val="auto"/>
                      <w:szCs w:val="21"/>
                      <w:highlight w:val="none"/>
                    </w:rPr>
                  </w:pPr>
                </w:p>
              </w:tc>
              <w:tc>
                <w:tcPr>
                  <w:tcW w:w="1620" w:type="dxa"/>
                  <w:noWrap w:val="0"/>
                  <w:vAlign w:val="top"/>
                </w:tcPr>
                <w:p w14:paraId="14438B30">
                  <w:pPr>
                    <w:spacing w:line="280" w:lineRule="exact"/>
                    <w:rPr>
                      <w:color w:val="auto"/>
                      <w:szCs w:val="21"/>
                      <w:highlight w:val="none"/>
                    </w:rPr>
                  </w:pPr>
                </w:p>
              </w:tc>
              <w:tc>
                <w:tcPr>
                  <w:tcW w:w="1651" w:type="dxa"/>
                  <w:noWrap w:val="0"/>
                  <w:vAlign w:val="top"/>
                </w:tcPr>
                <w:p w14:paraId="5C0A5BE5">
                  <w:pPr>
                    <w:spacing w:line="280" w:lineRule="exact"/>
                    <w:rPr>
                      <w:color w:val="auto"/>
                      <w:szCs w:val="21"/>
                      <w:highlight w:val="none"/>
                    </w:rPr>
                  </w:pPr>
                </w:p>
              </w:tc>
            </w:tr>
            <w:tr w14:paraId="7478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DCE054E">
                  <w:pPr>
                    <w:spacing w:line="280" w:lineRule="exact"/>
                    <w:jc w:val="center"/>
                    <w:rPr>
                      <w:color w:val="auto"/>
                      <w:szCs w:val="21"/>
                      <w:highlight w:val="none"/>
                    </w:rPr>
                  </w:pPr>
                </w:p>
              </w:tc>
              <w:tc>
                <w:tcPr>
                  <w:tcW w:w="3420" w:type="dxa"/>
                  <w:noWrap w:val="0"/>
                  <w:vAlign w:val="top"/>
                </w:tcPr>
                <w:p w14:paraId="43A9F1A5">
                  <w:pPr>
                    <w:spacing w:line="280" w:lineRule="exact"/>
                    <w:rPr>
                      <w:color w:val="auto"/>
                      <w:szCs w:val="21"/>
                      <w:highlight w:val="none"/>
                    </w:rPr>
                  </w:pPr>
                </w:p>
              </w:tc>
              <w:tc>
                <w:tcPr>
                  <w:tcW w:w="1620" w:type="dxa"/>
                  <w:noWrap w:val="0"/>
                  <w:vAlign w:val="top"/>
                </w:tcPr>
                <w:p w14:paraId="6821A19C">
                  <w:pPr>
                    <w:spacing w:line="280" w:lineRule="exact"/>
                    <w:rPr>
                      <w:color w:val="auto"/>
                      <w:szCs w:val="21"/>
                      <w:highlight w:val="none"/>
                    </w:rPr>
                  </w:pPr>
                </w:p>
              </w:tc>
              <w:tc>
                <w:tcPr>
                  <w:tcW w:w="1620" w:type="dxa"/>
                  <w:noWrap w:val="0"/>
                  <w:vAlign w:val="top"/>
                </w:tcPr>
                <w:p w14:paraId="0BD65B11">
                  <w:pPr>
                    <w:spacing w:line="280" w:lineRule="exact"/>
                    <w:rPr>
                      <w:color w:val="auto"/>
                      <w:szCs w:val="21"/>
                      <w:highlight w:val="none"/>
                    </w:rPr>
                  </w:pPr>
                </w:p>
              </w:tc>
              <w:tc>
                <w:tcPr>
                  <w:tcW w:w="1651" w:type="dxa"/>
                  <w:noWrap w:val="0"/>
                  <w:vAlign w:val="top"/>
                </w:tcPr>
                <w:p w14:paraId="621A5A3A">
                  <w:pPr>
                    <w:spacing w:line="280" w:lineRule="exact"/>
                    <w:rPr>
                      <w:color w:val="auto"/>
                      <w:szCs w:val="21"/>
                      <w:highlight w:val="none"/>
                    </w:rPr>
                  </w:pPr>
                </w:p>
              </w:tc>
            </w:tr>
            <w:tr w14:paraId="4D79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6EE56C7">
                  <w:pPr>
                    <w:spacing w:line="280" w:lineRule="exact"/>
                    <w:jc w:val="center"/>
                    <w:rPr>
                      <w:color w:val="auto"/>
                      <w:szCs w:val="21"/>
                      <w:highlight w:val="none"/>
                    </w:rPr>
                  </w:pPr>
                </w:p>
              </w:tc>
              <w:tc>
                <w:tcPr>
                  <w:tcW w:w="3420" w:type="dxa"/>
                  <w:noWrap w:val="0"/>
                  <w:vAlign w:val="top"/>
                </w:tcPr>
                <w:p w14:paraId="72944677">
                  <w:pPr>
                    <w:spacing w:line="280" w:lineRule="exact"/>
                    <w:rPr>
                      <w:color w:val="auto"/>
                      <w:szCs w:val="21"/>
                      <w:highlight w:val="none"/>
                    </w:rPr>
                  </w:pPr>
                </w:p>
              </w:tc>
              <w:tc>
                <w:tcPr>
                  <w:tcW w:w="1620" w:type="dxa"/>
                  <w:noWrap w:val="0"/>
                  <w:vAlign w:val="top"/>
                </w:tcPr>
                <w:p w14:paraId="740413CF">
                  <w:pPr>
                    <w:spacing w:line="280" w:lineRule="exact"/>
                    <w:rPr>
                      <w:color w:val="auto"/>
                      <w:szCs w:val="21"/>
                      <w:highlight w:val="none"/>
                    </w:rPr>
                  </w:pPr>
                </w:p>
              </w:tc>
              <w:tc>
                <w:tcPr>
                  <w:tcW w:w="1620" w:type="dxa"/>
                  <w:noWrap w:val="0"/>
                  <w:vAlign w:val="top"/>
                </w:tcPr>
                <w:p w14:paraId="6D880268">
                  <w:pPr>
                    <w:spacing w:line="280" w:lineRule="exact"/>
                    <w:rPr>
                      <w:color w:val="auto"/>
                      <w:szCs w:val="21"/>
                      <w:highlight w:val="none"/>
                    </w:rPr>
                  </w:pPr>
                </w:p>
              </w:tc>
              <w:tc>
                <w:tcPr>
                  <w:tcW w:w="1651" w:type="dxa"/>
                  <w:noWrap w:val="0"/>
                  <w:vAlign w:val="top"/>
                </w:tcPr>
                <w:p w14:paraId="2A6028BA">
                  <w:pPr>
                    <w:spacing w:line="280" w:lineRule="exact"/>
                    <w:rPr>
                      <w:color w:val="auto"/>
                      <w:szCs w:val="21"/>
                      <w:highlight w:val="none"/>
                    </w:rPr>
                  </w:pPr>
                </w:p>
              </w:tc>
            </w:tr>
            <w:tr w14:paraId="3903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389D5CF">
                  <w:pPr>
                    <w:spacing w:line="280" w:lineRule="exact"/>
                    <w:jc w:val="center"/>
                    <w:rPr>
                      <w:color w:val="auto"/>
                      <w:szCs w:val="21"/>
                      <w:highlight w:val="none"/>
                    </w:rPr>
                  </w:pPr>
                </w:p>
              </w:tc>
              <w:tc>
                <w:tcPr>
                  <w:tcW w:w="3420" w:type="dxa"/>
                  <w:noWrap w:val="0"/>
                  <w:vAlign w:val="top"/>
                </w:tcPr>
                <w:p w14:paraId="491A2241">
                  <w:pPr>
                    <w:spacing w:line="280" w:lineRule="exact"/>
                    <w:rPr>
                      <w:color w:val="auto"/>
                      <w:szCs w:val="21"/>
                      <w:highlight w:val="none"/>
                    </w:rPr>
                  </w:pPr>
                </w:p>
              </w:tc>
              <w:tc>
                <w:tcPr>
                  <w:tcW w:w="1620" w:type="dxa"/>
                  <w:noWrap w:val="0"/>
                  <w:vAlign w:val="top"/>
                </w:tcPr>
                <w:p w14:paraId="65309745">
                  <w:pPr>
                    <w:spacing w:line="280" w:lineRule="exact"/>
                    <w:rPr>
                      <w:color w:val="auto"/>
                      <w:szCs w:val="21"/>
                      <w:highlight w:val="none"/>
                    </w:rPr>
                  </w:pPr>
                </w:p>
              </w:tc>
              <w:tc>
                <w:tcPr>
                  <w:tcW w:w="1620" w:type="dxa"/>
                  <w:noWrap w:val="0"/>
                  <w:vAlign w:val="top"/>
                </w:tcPr>
                <w:p w14:paraId="30FB4AC4">
                  <w:pPr>
                    <w:spacing w:line="280" w:lineRule="exact"/>
                    <w:rPr>
                      <w:color w:val="auto"/>
                      <w:szCs w:val="21"/>
                      <w:highlight w:val="none"/>
                    </w:rPr>
                  </w:pPr>
                </w:p>
              </w:tc>
              <w:tc>
                <w:tcPr>
                  <w:tcW w:w="1651" w:type="dxa"/>
                  <w:noWrap w:val="0"/>
                  <w:vAlign w:val="top"/>
                </w:tcPr>
                <w:p w14:paraId="665D117B">
                  <w:pPr>
                    <w:spacing w:line="280" w:lineRule="exact"/>
                    <w:rPr>
                      <w:color w:val="auto"/>
                      <w:szCs w:val="21"/>
                      <w:highlight w:val="none"/>
                    </w:rPr>
                  </w:pPr>
                </w:p>
              </w:tc>
            </w:tr>
            <w:tr w14:paraId="591D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65A0E9">
                  <w:pPr>
                    <w:spacing w:line="280" w:lineRule="exact"/>
                    <w:jc w:val="center"/>
                    <w:rPr>
                      <w:color w:val="auto"/>
                      <w:szCs w:val="21"/>
                      <w:highlight w:val="none"/>
                    </w:rPr>
                  </w:pPr>
                </w:p>
              </w:tc>
              <w:tc>
                <w:tcPr>
                  <w:tcW w:w="3420" w:type="dxa"/>
                  <w:noWrap w:val="0"/>
                  <w:vAlign w:val="top"/>
                </w:tcPr>
                <w:p w14:paraId="227DEC4D">
                  <w:pPr>
                    <w:spacing w:line="280" w:lineRule="exact"/>
                    <w:rPr>
                      <w:color w:val="auto"/>
                      <w:szCs w:val="21"/>
                      <w:highlight w:val="none"/>
                    </w:rPr>
                  </w:pPr>
                </w:p>
              </w:tc>
              <w:tc>
                <w:tcPr>
                  <w:tcW w:w="1620" w:type="dxa"/>
                  <w:noWrap w:val="0"/>
                  <w:vAlign w:val="top"/>
                </w:tcPr>
                <w:p w14:paraId="1786B8EE">
                  <w:pPr>
                    <w:spacing w:line="280" w:lineRule="exact"/>
                    <w:rPr>
                      <w:color w:val="auto"/>
                      <w:szCs w:val="21"/>
                      <w:highlight w:val="none"/>
                    </w:rPr>
                  </w:pPr>
                </w:p>
              </w:tc>
              <w:tc>
                <w:tcPr>
                  <w:tcW w:w="1620" w:type="dxa"/>
                  <w:noWrap w:val="0"/>
                  <w:vAlign w:val="top"/>
                </w:tcPr>
                <w:p w14:paraId="18A082D1">
                  <w:pPr>
                    <w:spacing w:line="280" w:lineRule="exact"/>
                    <w:rPr>
                      <w:color w:val="auto"/>
                      <w:szCs w:val="21"/>
                      <w:highlight w:val="none"/>
                    </w:rPr>
                  </w:pPr>
                </w:p>
              </w:tc>
              <w:tc>
                <w:tcPr>
                  <w:tcW w:w="1651" w:type="dxa"/>
                  <w:noWrap w:val="0"/>
                  <w:vAlign w:val="top"/>
                </w:tcPr>
                <w:p w14:paraId="2CEC9929">
                  <w:pPr>
                    <w:spacing w:line="280" w:lineRule="exact"/>
                    <w:rPr>
                      <w:color w:val="auto"/>
                      <w:szCs w:val="21"/>
                      <w:highlight w:val="none"/>
                    </w:rPr>
                  </w:pPr>
                </w:p>
              </w:tc>
            </w:tr>
          </w:tbl>
          <w:p w14:paraId="20276B43">
            <w:pPr>
              <w:spacing w:line="400" w:lineRule="exact"/>
              <w:ind w:right="420" w:firstLine="435"/>
              <w:jc w:val="center"/>
              <w:rPr>
                <w:color w:val="auto"/>
                <w:szCs w:val="21"/>
                <w:highlight w:val="none"/>
              </w:rPr>
            </w:pPr>
          </w:p>
          <w:p w14:paraId="7C2D8F43">
            <w:pPr>
              <w:spacing w:line="400" w:lineRule="exact"/>
              <w:ind w:right="420" w:firstLine="435"/>
              <w:jc w:val="center"/>
              <w:rPr>
                <w:color w:val="auto"/>
                <w:szCs w:val="21"/>
                <w:highlight w:val="none"/>
              </w:rPr>
            </w:pPr>
            <w:r>
              <w:rPr>
                <w:rFonts w:hint="eastAsia"/>
                <w:color w:val="auto"/>
                <w:szCs w:val="21"/>
                <w:highlight w:val="none"/>
              </w:rPr>
              <w:t>承包人（章）</w:t>
            </w:r>
          </w:p>
          <w:p w14:paraId="49F39EF6">
            <w:pPr>
              <w:spacing w:line="400" w:lineRule="exact"/>
              <w:ind w:right="420" w:firstLine="435"/>
              <w:rPr>
                <w:color w:val="auto"/>
                <w:szCs w:val="21"/>
                <w:highlight w:val="none"/>
              </w:rPr>
            </w:pPr>
            <w:r>
              <w:rPr>
                <w:rFonts w:hint="eastAsia"/>
                <w:color w:val="auto"/>
                <w:szCs w:val="21"/>
                <w:highlight w:val="none"/>
              </w:rPr>
              <w:t>造价人员承包人代表日期</w:t>
            </w:r>
          </w:p>
        </w:tc>
      </w:tr>
      <w:tr w14:paraId="3619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0D26DBF1">
            <w:pPr>
              <w:spacing w:line="360" w:lineRule="exact"/>
              <w:rPr>
                <w:color w:val="auto"/>
                <w:szCs w:val="21"/>
                <w:highlight w:val="none"/>
              </w:rPr>
            </w:pPr>
            <w:r>
              <w:rPr>
                <w:rFonts w:hint="eastAsia"/>
                <w:color w:val="auto"/>
                <w:szCs w:val="21"/>
                <w:highlight w:val="none"/>
              </w:rPr>
              <w:t>复核意见：</w:t>
            </w:r>
          </w:p>
          <w:p w14:paraId="67288B20">
            <w:pPr>
              <w:spacing w:line="360" w:lineRule="exact"/>
              <w:ind w:firstLine="312"/>
              <w:rPr>
                <w:color w:val="auto"/>
                <w:szCs w:val="21"/>
                <w:highlight w:val="none"/>
              </w:rPr>
            </w:pPr>
            <w:r>
              <w:rPr>
                <w:rFonts w:hint="eastAsia"/>
                <w:color w:val="auto"/>
                <w:szCs w:val="21"/>
                <w:highlight w:val="none"/>
              </w:rPr>
              <w:t>□与实际施工情况不相符，修改意见见附件。</w:t>
            </w:r>
          </w:p>
          <w:p w14:paraId="1D794982">
            <w:pPr>
              <w:spacing w:line="360" w:lineRule="exact"/>
              <w:ind w:firstLine="312"/>
              <w:rPr>
                <w:color w:val="auto"/>
                <w:szCs w:val="21"/>
                <w:highlight w:val="none"/>
              </w:rPr>
            </w:pPr>
            <w:r>
              <w:rPr>
                <w:rFonts w:hint="eastAsia"/>
                <w:color w:val="auto"/>
                <w:szCs w:val="21"/>
                <w:highlight w:val="none"/>
              </w:rPr>
              <w:t>□与实际施工情况相符，具体金额由造价工程师复核。</w:t>
            </w:r>
          </w:p>
          <w:p w14:paraId="10A5524E">
            <w:pPr>
              <w:spacing w:line="360" w:lineRule="exact"/>
              <w:ind w:firstLine="435"/>
              <w:jc w:val="right"/>
              <w:rPr>
                <w:color w:val="auto"/>
                <w:szCs w:val="21"/>
                <w:highlight w:val="none"/>
              </w:rPr>
            </w:pPr>
          </w:p>
          <w:p w14:paraId="107162EA">
            <w:pPr>
              <w:spacing w:line="360" w:lineRule="exact"/>
              <w:ind w:firstLine="435"/>
              <w:jc w:val="right"/>
              <w:rPr>
                <w:color w:val="auto"/>
                <w:szCs w:val="21"/>
                <w:highlight w:val="none"/>
              </w:rPr>
            </w:pPr>
          </w:p>
          <w:p w14:paraId="5A1114B1">
            <w:pPr>
              <w:spacing w:line="360" w:lineRule="exact"/>
              <w:ind w:firstLine="435"/>
              <w:jc w:val="center"/>
              <w:rPr>
                <w:color w:val="auto"/>
                <w:szCs w:val="21"/>
                <w:highlight w:val="none"/>
              </w:rPr>
            </w:pPr>
          </w:p>
          <w:p w14:paraId="7CB031C5">
            <w:pPr>
              <w:spacing w:line="360" w:lineRule="exact"/>
              <w:ind w:firstLine="435"/>
              <w:jc w:val="center"/>
              <w:rPr>
                <w:color w:val="auto"/>
                <w:szCs w:val="21"/>
                <w:highlight w:val="none"/>
                <w:u w:val="single"/>
              </w:rPr>
            </w:pPr>
            <w:r>
              <w:rPr>
                <w:rFonts w:hint="eastAsia"/>
                <w:color w:val="auto"/>
                <w:szCs w:val="21"/>
                <w:highlight w:val="none"/>
              </w:rPr>
              <w:t>监理工程师</w:t>
            </w:r>
          </w:p>
          <w:p w14:paraId="7D271297">
            <w:pPr>
              <w:spacing w:line="360" w:lineRule="exact"/>
              <w:ind w:firstLine="435"/>
              <w:jc w:val="center"/>
              <w:rPr>
                <w:color w:val="auto"/>
                <w:szCs w:val="21"/>
                <w:highlight w:val="none"/>
                <w:u w:val="single"/>
              </w:rPr>
            </w:pPr>
            <w:r>
              <w:rPr>
                <w:rFonts w:hint="eastAsia"/>
                <w:color w:val="auto"/>
                <w:szCs w:val="21"/>
                <w:highlight w:val="none"/>
              </w:rPr>
              <w:t>日期</w:t>
            </w:r>
          </w:p>
        </w:tc>
        <w:tc>
          <w:tcPr>
            <w:tcW w:w="4533" w:type="dxa"/>
            <w:noWrap w:val="0"/>
            <w:vAlign w:val="top"/>
          </w:tcPr>
          <w:p w14:paraId="2CD5FD13">
            <w:pPr>
              <w:spacing w:line="360" w:lineRule="exact"/>
              <w:rPr>
                <w:color w:val="auto"/>
                <w:szCs w:val="21"/>
                <w:highlight w:val="none"/>
              </w:rPr>
            </w:pPr>
            <w:r>
              <w:rPr>
                <w:rFonts w:hint="eastAsia"/>
                <w:color w:val="auto"/>
                <w:szCs w:val="21"/>
                <w:highlight w:val="none"/>
              </w:rPr>
              <w:t>复核意见：</w:t>
            </w:r>
          </w:p>
          <w:p w14:paraId="3A62218D">
            <w:pPr>
              <w:spacing w:line="360" w:lineRule="exact"/>
              <w:ind w:firstLine="435"/>
              <w:rPr>
                <w:color w:val="auto"/>
                <w:szCs w:val="21"/>
                <w:highlight w:val="none"/>
                <w:u w:val="single"/>
              </w:rPr>
            </w:pPr>
            <w:r>
              <w:rPr>
                <w:rFonts w:hint="eastAsia"/>
                <w:color w:val="auto"/>
                <w:szCs w:val="21"/>
                <w:highlight w:val="none"/>
              </w:rPr>
              <w:t>你方提出的竣工结算支付申请经复核，竣工结算款总额为（大写）元，（小写）元，扣除前期支付以及质量保证金后应支付金额为（大写）元，（小写）元。</w:t>
            </w:r>
          </w:p>
          <w:p w14:paraId="41865F17">
            <w:pPr>
              <w:spacing w:line="360" w:lineRule="exact"/>
              <w:ind w:firstLine="435"/>
              <w:jc w:val="center"/>
              <w:rPr>
                <w:color w:val="auto"/>
                <w:szCs w:val="21"/>
                <w:highlight w:val="none"/>
              </w:rPr>
            </w:pPr>
          </w:p>
          <w:p w14:paraId="4ABA63D0">
            <w:pPr>
              <w:spacing w:line="360" w:lineRule="exact"/>
              <w:ind w:firstLine="435"/>
              <w:jc w:val="center"/>
              <w:rPr>
                <w:color w:val="auto"/>
                <w:szCs w:val="21"/>
                <w:highlight w:val="none"/>
                <w:u w:val="single"/>
              </w:rPr>
            </w:pPr>
            <w:r>
              <w:rPr>
                <w:rFonts w:hint="eastAsia"/>
                <w:color w:val="auto"/>
                <w:szCs w:val="21"/>
                <w:highlight w:val="none"/>
              </w:rPr>
              <w:t>造价工程师</w:t>
            </w:r>
          </w:p>
          <w:p w14:paraId="213A4D8B">
            <w:pPr>
              <w:spacing w:line="360" w:lineRule="exact"/>
              <w:ind w:firstLine="435"/>
              <w:jc w:val="center"/>
              <w:rPr>
                <w:color w:val="auto"/>
                <w:szCs w:val="21"/>
                <w:highlight w:val="none"/>
                <w:u w:val="single"/>
              </w:rPr>
            </w:pPr>
            <w:r>
              <w:rPr>
                <w:rFonts w:hint="eastAsia"/>
                <w:color w:val="auto"/>
                <w:szCs w:val="21"/>
                <w:highlight w:val="none"/>
              </w:rPr>
              <w:t>日期</w:t>
            </w:r>
          </w:p>
        </w:tc>
      </w:tr>
      <w:tr w14:paraId="397F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3319C0F1">
            <w:pPr>
              <w:spacing w:line="400" w:lineRule="exact"/>
              <w:rPr>
                <w:color w:val="auto"/>
                <w:szCs w:val="21"/>
                <w:highlight w:val="none"/>
              </w:rPr>
            </w:pPr>
            <w:r>
              <w:rPr>
                <w:rFonts w:hint="eastAsia"/>
                <w:color w:val="auto"/>
                <w:szCs w:val="21"/>
                <w:highlight w:val="none"/>
              </w:rPr>
              <w:t>审核意见：</w:t>
            </w:r>
          </w:p>
          <w:p w14:paraId="61F8896E">
            <w:pPr>
              <w:spacing w:line="400" w:lineRule="exact"/>
              <w:ind w:firstLine="435"/>
              <w:rPr>
                <w:color w:val="auto"/>
                <w:szCs w:val="21"/>
                <w:highlight w:val="none"/>
              </w:rPr>
            </w:pPr>
            <w:r>
              <w:rPr>
                <w:rFonts w:hint="eastAsia"/>
                <w:color w:val="auto"/>
                <w:szCs w:val="21"/>
                <w:highlight w:val="none"/>
              </w:rPr>
              <w:t>□不同意。</w:t>
            </w:r>
          </w:p>
          <w:p w14:paraId="2F9D2F15">
            <w:pPr>
              <w:spacing w:line="400" w:lineRule="exact"/>
              <w:ind w:firstLine="420" w:firstLineChars="200"/>
              <w:rPr>
                <w:color w:val="auto"/>
                <w:szCs w:val="21"/>
                <w:highlight w:val="none"/>
              </w:rPr>
            </w:pPr>
            <w:r>
              <w:rPr>
                <w:rFonts w:hint="eastAsia"/>
                <w:color w:val="auto"/>
                <w:szCs w:val="21"/>
                <w:highlight w:val="none"/>
              </w:rPr>
              <w:t>□同意，支付时间为本表签发后的15天内。</w:t>
            </w:r>
          </w:p>
          <w:p w14:paraId="77E4EDFB">
            <w:pPr>
              <w:wordWrap w:val="0"/>
              <w:spacing w:line="400" w:lineRule="exact"/>
              <w:ind w:firstLine="420" w:firstLineChars="200"/>
              <w:jc w:val="right"/>
              <w:rPr>
                <w:color w:val="auto"/>
                <w:szCs w:val="21"/>
                <w:highlight w:val="none"/>
              </w:rPr>
            </w:pPr>
            <w:r>
              <w:rPr>
                <w:rFonts w:hint="eastAsia"/>
                <w:color w:val="auto"/>
                <w:szCs w:val="21"/>
                <w:highlight w:val="none"/>
              </w:rPr>
              <w:t>发包人（章）</w:t>
            </w:r>
          </w:p>
          <w:p w14:paraId="21A3B0D3">
            <w:pPr>
              <w:wordWrap w:val="0"/>
              <w:spacing w:line="400" w:lineRule="exact"/>
              <w:ind w:firstLine="420" w:firstLineChars="200"/>
              <w:jc w:val="right"/>
              <w:rPr>
                <w:color w:val="auto"/>
                <w:szCs w:val="21"/>
                <w:highlight w:val="none"/>
                <w:u w:val="single"/>
              </w:rPr>
            </w:pPr>
            <w:r>
              <w:rPr>
                <w:rFonts w:hint="eastAsia"/>
                <w:color w:val="auto"/>
                <w:szCs w:val="21"/>
                <w:highlight w:val="none"/>
              </w:rPr>
              <w:t>发包人代表</w:t>
            </w:r>
          </w:p>
          <w:p w14:paraId="2EC2DF72">
            <w:pPr>
              <w:wordWrap w:val="0"/>
              <w:spacing w:line="400" w:lineRule="exact"/>
              <w:ind w:firstLine="420" w:firstLineChars="200"/>
              <w:jc w:val="right"/>
              <w:rPr>
                <w:color w:val="auto"/>
                <w:szCs w:val="21"/>
                <w:highlight w:val="none"/>
                <w:u w:val="single"/>
              </w:rPr>
            </w:pPr>
            <w:r>
              <w:rPr>
                <w:rFonts w:hint="eastAsia"/>
                <w:color w:val="auto"/>
                <w:szCs w:val="21"/>
                <w:highlight w:val="none"/>
              </w:rPr>
              <w:t>日期</w:t>
            </w:r>
          </w:p>
        </w:tc>
      </w:tr>
    </w:tbl>
    <w:p w14:paraId="071C2487">
      <w:pPr>
        <w:spacing w:before="156" w:beforeLines="50"/>
        <w:ind w:firstLine="360" w:firstLineChars="200"/>
        <w:rPr>
          <w:color w:val="auto"/>
          <w:sz w:val="18"/>
          <w:szCs w:val="18"/>
          <w:highlight w:val="none"/>
        </w:rPr>
      </w:pPr>
      <w:r>
        <w:rPr>
          <w:rFonts w:hint="eastAsia"/>
          <w:color w:val="auto"/>
          <w:sz w:val="18"/>
          <w:szCs w:val="18"/>
          <w:highlight w:val="none"/>
        </w:rPr>
        <w:t>注：1.在选择栏中的“□”内作标识“√”。</w:t>
      </w:r>
    </w:p>
    <w:p w14:paraId="5EF2B18A">
      <w:pPr>
        <w:spacing w:before="156" w:beforeLines="50"/>
        <w:ind w:left="720" w:hanging="720" w:hangingChars="400"/>
        <w:rPr>
          <w:color w:val="auto"/>
          <w:sz w:val="18"/>
          <w:szCs w:val="18"/>
          <w:highlight w:val="none"/>
        </w:rPr>
      </w:pPr>
      <w:r>
        <w:rPr>
          <w:rFonts w:hint="eastAsia"/>
          <w:color w:val="auto"/>
          <w:sz w:val="18"/>
          <w:szCs w:val="18"/>
          <w:highlight w:val="none"/>
        </w:rPr>
        <w:t xml:space="preserve">  2.本表一式四份，由承包人填报，发包人、监理人、造价咨询人、承包人各存一份。</w:t>
      </w:r>
    </w:p>
    <w:p w14:paraId="01DC6F8B">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附件13：</w:t>
      </w:r>
    </w:p>
    <w:p w14:paraId="47DB66FA">
      <w:pPr>
        <w:jc w:val="center"/>
        <w:rPr>
          <w:b/>
          <w:color w:val="auto"/>
          <w:sz w:val="36"/>
          <w:szCs w:val="36"/>
          <w:highlight w:val="none"/>
        </w:rPr>
      </w:pPr>
      <w:r>
        <w:rPr>
          <w:rFonts w:hint="eastAsia"/>
          <w:b/>
          <w:color w:val="auto"/>
          <w:sz w:val="36"/>
          <w:szCs w:val="36"/>
          <w:highlight w:val="none"/>
        </w:rPr>
        <w:t>最终结算款支付申请（核准）表</w:t>
      </w:r>
    </w:p>
    <w:p w14:paraId="38A51B2A">
      <w:pPr>
        <w:rPr>
          <w:color w:val="auto"/>
          <w:sz w:val="24"/>
          <w:highlight w:val="none"/>
        </w:rPr>
      </w:pPr>
      <w:r>
        <w:rPr>
          <w:rFonts w:hint="eastAsia"/>
          <w:color w:val="auto"/>
          <w:sz w:val="24"/>
          <w:highlight w:val="none"/>
        </w:rPr>
        <w:t>工程名称：编号：</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5F79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197AB24B">
            <w:pPr>
              <w:spacing w:line="480" w:lineRule="exact"/>
              <w:ind w:left="525" w:leftChars="149" w:hanging="212" w:hangingChars="101"/>
              <w:rPr>
                <w:color w:val="auto"/>
                <w:szCs w:val="21"/>
                <w:highlight w:val="none"/>
                <w:u w:val="single"/>
              </w:rPr>
            </w:pPr>
            <w:r>
              <w:rPr>
                <w:rFonts w:hint="eastAsia"/>
                <w:color w:val="auto"/>
                <w:szCs w:val="21"/>
                <w:highlight w:val="none"/>
              </w:rPr>
              <w:t>致：</w:t>
            </w:r>
            <w:r>
              <w:rPr>
                <w:rFonts w:hint="eastAsia"/>
                <w:color w:val="auto"/>
                <w:szCs w:val="21"/>
                <w:highlight w:val="none"/>
                <w:u w:val="single"/>
              </w:rPr>
              <w:t>（发包人全称）</w:t>
            </w:r>
          </w:p>
          <w:p w14:paraId="60C3DCF4">
            <w:pPr>
              <w:spacing w:line="400" w:lineRule="exact"/>
              <w:ind w:left="-4" w:leftChars="-2" w:firstLine="315" w:firstLineChars="150"/>
              <w:rPr>
                <w:color w:val="auto"/>
                <w:szCs w:val="21"/>
                <w:highlight w:val="none"/>
              </w:rPr>
            </w:pPr>
            <w:r>
              <w:rPr>
                <w:rFonts w:hint="eastAsia"/>
                <w:color w:val="auto"/>
                <w:szCs w:val="21"/>
                <w:highlight w:val="none"/>
              </w:rPr>
              <w:t>我方于至期间已完成了缺陷修复工作，根据施工合同的约定，现申请支付最终结清合同款额为（大写）元，（小写）元，请予核准。</w:t>
            </w:r>
          </w:p>
          <w:tbl>
            <w:tblPr>
              <w:tblStyle w:val="16"/>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208A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586A7629">
                  <w:pPr>
                    <w:spacing w:line="280" w:lineRule="exact"/>
                    <w:jc w:val="center"/>
                    <w:rPr>
                      <w:color w:val="auto"/>
                      <w:szCs w:val="21"/>
                      <w:highlight w:val="none"/>
                    </w:rPr>
                  </w:pPr>
                  <w:r>
                    <w:rPr>
                      <w:rFonts w:hint="eastAsia"/>
                      <w:color w:val="auto"/>
                      <w:szCs w:val="21"/>
                      <w:highlight w:val="none"/>
                    </w:rPr>
                    <w:t>序号</w:t>
                  </w:r>
                </w:p>
              </w:tc>
              <w:tc>
                <w:tcPr>
                  <w:tcW w:w="3420" w:type="dxa"/>
                  <w:noWrap w:val="0"/>
                  <w:vAlign w:val="center"/>
                </w:tcPr>
                <w:p w14:paraId="5C002018">
                  <w:pPr>
                    <w:spacing w:line="280" w:lineRule="exact"/>
                    <w:jc w:val="center"/>
                    <w:rPr>
                      <w:color w:val="auto"/>
                      <w:szCs w:val="21"/>
                      <w:highlight w:val="none"/>
                    </w:rPr>
                  </w:pPr>
                  <w:r>
                    <w:rPr>
                      <w:rFonts w:hint="eastAsia"/>
                      <w:color w:val="auto"/>
                      <w:szCs w:val="21"/>
                      <w:highlight w:val="none"/>
                    </w:rPr>
                    <w:t>名称</w:t>
                  </w:r>
                </w:p>
              </w:tc>
              <w:tc>
                <w:tcPr>
                  <w:tcW w:w="1620" w:type="dxa"/>
                  <w:noWrap w:val="0"/>
                  <w:vAlign w:val="center"/>
                </w:tcPr>
                <w:p w14:paraId="422E722A">
                  <w:pPr>
                    <w:spacing w:line="280" w:lineRule="exact"/>
                    <w:jc w:val="center"/>
                    <w:rPr>
                      <w:color w:val="auto"/>
                      <w:szCs w:val="21"/>
                      <w:highlight w:val="none"/>
                    </w:rPr>
                  </w:pPr>
                  <w:r>
                    <w:rPr>
                      <w:rFonts w:hint="eastAsia"/>
                      <w:color w:val="auto"/>
                      <w:szCs w:val="21"/>
                      <w:highlight w:val="none"/>
                    </w:rPr>
                    <w:t>申请金额（元）</w:t>
                  </w:r>
                </w:p>
              </w:tc>
              <w:tc>
                <w:tcPr>
                  <w:tcW w:w="1620" w:type="dxa"/>
                  <w:noWrap w:val="0"/>
                  <w:vAlign w:val="center"/>
                </w:tcPr>
                <w:p w14:paraId="35D1D27C">
                  <w:pPr>
                    <w:spacing w:line="280" w:lineRule="exact"/>
                    <w:jc w:val="center"/>
                    <w:rPr>
                      <w:color w:val="auto"/>
                      <w:szCs w:val="21"/>
                      <w:highlight w:val="none"/>
                    </w:rPr>
                  </w:pPr>
                  <w:r>
                    <w:rPr>
                      <w:rFonts w:hint="eastAsia"/>
                      <w:color w:val="auto"/>
                      <w:szCs w:val="21"/>
                      <w:highlight w:val="none"/>
                    </w:rPr>
                    <w:t>复核金额（元）</w:t>
                  </w:r>
                </w:p>
              </w:tc>
              <w:tc>
                <w:tcPr>
                  <w:tcW w:w="1651" w:type="dxa"/>
                  <w:noWrap w:val="0"/>
                  <w:vAlign w:val="center"/>
                </w:tcPr>
                <w:p w14:paraId="1B16BF01">
                  <w:pPr>
                    <w:spacing w:line="280" w:lineRule="exact"/>
                    <w:jc w:val="center"/>
                    <w:rPr>
                      <w:color w:val="auto"/>
                      <w:szCs w:val="21"/>
                      <w:highlight w:val="none"/>
                    </w:rPr>
                  </w:pPr>
                  <w:r>
                    <w:rPr>
                      <w:rFonts w:hint="eastAsia"/>
                      <w:color w:val="auto"/>
                      <w:szCs w:val="21"/>
                      <w:highlight w:val="none"/>
                    </w:rPr>
                    <w:t>备注</w:t>
                  </w:r>
                </w:p>
              </w:tc>
            </w:tr>
            <w:tr w14:paraId="6653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773278">
                  <w:pPr>
                    <w:spacing w:line="280" w:lineRule="exact"/>
                    <w:jc w:val="center"/>
                    <w:rPr>
                      <w:color w:val="auto"/>
                      <w:szCs w:val="21"/>
                      <w:highlight w:val="none"/>
                    </w:rPr>
                  </w:pPr>
                  <w:r>
                    <w:rPr>
                      <w:rFonts w:hint="eastAsia"/>
                      <w:color w:val="auto"/>
                      <w:szCs w:val="21"/>
                      <w:highlight w:val="none"/>
                    </w:rPr>
                    <w:t>1</w:t>
                  </w:r>
                </w:p>
              </w:tc>
              <w:tc>
                <w:tcPr>
                  <w:tcW w:w="3420" w:type="dxa"/>
                  <w:noWrap w:val="0"/>
                  <w:vAlign w:val="top"/>
                </w:tcPr>
                <w:p w14:paraId="379FC910">
                  <w:pPr>
                    <w:spacing w:line="280" w:lineRule="exact"/>
                    <w:rPr>
                      <w:color w:val="auto"/>
                      <w:szCs w:val="21"/>
                      <w:highlight w:val="none"/>
                    </w:rPr>
                  </w:pPr>
                  <w:r>
                    <w:rPr>
                      <w:rFonts w:hint="eastAsia"/>
                      <w:color w:val="auto"/>
                      <w:szCs w:val="21"/>
                      <w:highlight w:val="none"/>
                    </w:rPr>
                    <w:t>已预留的质量保证金</w:t>
                  </w:r>
                </w:p>
              </w:tc>
              <w:tc>
                <w:tcPr>
                  <w:tcW w:w="1620" w:type="dxa"/>
                  <w:noWrap w:val="0"/>
                  <w:vAlign w:val="top"/>
                </w:tcPr>
                <w:p w14:paraId="4A4578A3">
                  <w:pPr>
                    <w:spacing w:line="280" w:lineRule="exact"/>
                    <w:rPr>
                      <w:color w:val="auto"/>
                      <w:szCs w:val="21"/>
                      <w:highlight w:val="none"/>
                    </w:rPr>
                  </w:pPr>
                </w:p>
              </w:tc>
              <w:tc>
                <w:tcPr>
                  <w:tcW w:w="1620" w:type="dxa"/>
                  <w:noWrap w:val="0"/>
                  <w:vAlign w:val="top"/>
                </w:tcPr>
                <w:p w14:paraId="577F8902">
                  <w:pPr>
                    <w:spacing w:line="280" w:lineRule="exact"/>
                    <w:rPr>
                      <w:color w:val="auto"/>
                      <w:szCs w:val="21"/>
                      <w:highlight w:val="none"/>
                    </w:rPr>
                  </w:pPr>
                </w:p>
              </w:tc>
              <w:tc>
                <w:tcPr>
                  <w:tcW w:w="1651" w:type="dxa"/>
                  <w:noWrap w:val="0"/>
                  <w:vAlign w:val="top"/>
                </w:tcPr>
                <w:p w14:paraId="04E57002">
                  <w:pPr>
                    <w:spacing w:line="280" w:lineRule="exact"/>
                    <w:rPr>
                      <w:color w:val="auto"/>
                      <w:szCs w:val="21"/>
                      <w:highlight w:val="none"/>
                    </w:rPr>
                  </w:pPr>
                </w:p>
              </w:tc>
            </w:tr>
            <w:tr w14:paraId="56F2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5289B34">
                  <w:pPr>
                    <w:spacing w:line="280" w:lineRule="exact"/>
                    <w:jc w:val="center"/>
                    <w:rPr>
                      <w:color w:val="auto"/>
                      <w:szCs w:val="21"/>
                      <w:highlight w:val="none"/>
                    </w:rPr>
                  </w:pPr>
                  <w:r>
                    <w:rPr>
                      <w:rFonts w:hint="eastAsia"/>
                      <w:color w:val="auto"/>
                      <w:szCs w:val="21"/>
                      <w:highlight w:val="none"/>
                    </w:rPr>
                    <w:t>2</w:t>
                  </w:r>
                </w:p>
              </w:tc>
              <w:tc>
                <w:tcPr>
                  <w:tcW w:w="3420" w:type="dxa"/>
                  <w:noWrap w:val="0"/>
                  <w:vAlign w:val="top"/>
                </w:tcPr>
                <w:p w14:paraId="34AAB1DC">
                  <w:pPr>
                    <w:spacing w:line="280" w:lineRule="exact"/>
                    <w:rPr>
                      <w:color w:val="auto"/>
                      <w:szCs w:val="21"/>
                      <w:highlight w:val="none"/>
                    </w:rPr>
                  </w:pPr>
                  <w:r>
                    <w:rPr>
                      <w:rFonts w:hint="eastAsia"/>
                      <w:color w:val="auto"/>
                      <w:szCs w:val="21"/>
                      <w:highlight w:val="none"/>
                    </w:rPr>
                    <w:t>应增加因发包人原因造成缺陷的修复金额</w:t>
                  </w:r>
                </w:p>
              </w:tc>
              <w:tc>
                <w:tcPr>
                  <w:tcW w:w="1620" w:type="dxa"/>
                  <w:noWrap w:val="0"/>
                  <w:vAlign w:val="top"/>
                </w:tcPr>
                <w:p w14:paraId="60365EE4">
                  <w:pPr>
                    <w:spacing w:line="280" w:lineRule="exact"/>
                    <w:rPr>
                      <w:color w:val="auto"/>
                      <w:szCs w:val="21"/>
                      <w:highlight w:val="none"/>
                    </w:rPr>
                  </w:pPr>
                </w:p>
              </w:tc>
              <w:tc>
                <w:tcPr>
                  <w:tcW w:w="1620" w:type="dxa"/>
                  <w:noWrap w:val="0"/>
                  <w:vAlign w:val="top"/>
                </w:tcPr>
                <w:p w14:paraId="5552DD30">
                  <w:pPr>
                    <w:spacing w:line="280" w:lineRule="exact"/>
                    <w:rPr>
                      <w:color w:val="auto"/>
                      <w:szCs w:val="21"/>
                      <w:highlight w:val="none"/>
                    </w:rPr>
                  </w:pPr>
                </w:p>
              </w:tc>
              <w:tc>
                <w:tcPr>
                  <w:tcW w:w="1651" w:type="dxa"/>
                  <w:noWrap w:val="0"/>
                  <w:vAlign w:val="top"/>
                </w:tcPr>
                <w:p w14:paraId="7BD89226">
                  <w:pPr>
                    <w:spacing w:line="280" w:lineRule="exact"/>
                    <w:rPr>
                      <w:color w:val="auto"/>
                      <w:szCs w:val="21"/>
                      <w:highlight w:val="none"/>
                    </w:rPr>
                  </w:pPr>
                </w:p>
              </w:tc>
            </w:tr>
            <w:tr w14:paraId="0F44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7B54499">
                  <w:pPr>
                    <w:spacing w:line="280" w:lineRule="exact"/>
                    <w:jc w:val="center"/>
                    <w:rPr>
                      <w:color w:val="auto"/>
                      <w:szCs w:val="21"/>
                      <w:highlight w:val="none"/>
                    </w:rPr>
                  </w:pPr>
                  <w:r>
                    <w:rPr>
                      <w:rFonts w:hint="eastAsia"/>
                      <w:color w:val="auto"/>
                      <w:szCs w:val="21"/>
                      <w:highlight w:val="none"/>
                    </w:rPr>
                    <w:t>3</w:t>
                  </w:r>
                </w:p>
              </w:tc>
              <w:tc>
                <w:tcPr>
                  <w:tcW w:w="3420" w:type="dxa"/>
                  <w:noWrap w:val="0"/>
                  <w:vAlign w:val="top"/>
                </w:tcPr>
                <w:p w14:paraId="46805A8A">
                  <w:pPr>
                    <w:spacing w:line="280" w:lineRule="exact"/>
                    <w:rPr>
                      <w:color w:val="auto"/>
                      <w:szCs w:val="21"/>
                      <w:highlight w:val="none"/>
                    </w:rPr>
                  </w:pPr>
                  <w:r>
                    <w:rPr>
                      <w:rFonts w:hint="eastAsia"/>
                      <w:color w:val="auto"/>
                      <w:szCs w:val="21"/>
                      <w:highlight w:val="none"/>
                    </w:rPr>
                    <w:t>应扣减承包人不修复缺陷、发包人组织修复的金额</w:t>
                  </w:r>
                </w:p>
              </w:tc>
              <w:tc>
                <w:tcPr>
                  <w:tcW w:w="1620" w:type="dxa"/>
                  <w:noWrap w:val="0"/>
                  <w:vAlign w:val="top"/>
                </w:tcPr>
                <w:p w14:paraId="1D085FB6">
                  <w:pPr>
                    <w:spacing w:line="280" w:lineRule="exact"/>
                    <w:rPr>
                      <w:color w:val="auto"/>
                      <w:szCs w:val="21"/>
                      <w:highlight w:val="none"/>
                    </w:rPr>
                  </w:pPr>
                </w:p>
              </w:tc>
              <w:tc>
                <w:tcPr>
                  <w:tcW w:w="1620" w:type="dxa"/>
                  <w:noWrap w:val="0"/>
                  <w:vAlign w:val="top"/>
                </w:tcPr>
                <w:p w14:paraId="068002C2">
                  <w:pPr>
                    <w:spacing w:line="280" w:lineRule="exact"/>
                    <w:rPr>
                      <w:color w:val="auto"/>
                      <w:szCs w:val="21"/>
                      <w:highlight w:val="none"/>
                    </w:rPr>
                  </w:pPr>
                </w:p>
              </w:tc>
              <w:tc>
                <w:tcPr>
                  <w:tcW w:w="1651" w:type="dxa"/>
                  <w:noWrap w:val="0"/>
                  <w:vAlign w:val="top"/>
                </w:tcPr>
                <w:p w14:paraId="0055BCB1">
                  <w:pPr>
                    <w:spacing w:line="280" w:lineRule="exact"/>
                    <w:rPr>
                      <w:color w:val="auto"/>
                      <w:szCs w:val="21"/>
                      <w:highlight w:val="none"/>
                    </w:rPr>
                  </w:pPr>
                </w:p>
              </w:tc>
            </w:tr>
            <w:tr w14:paraId="691D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412F007">
                  <w:pPr>
                    <w:spacing w:line="280" w:lineRule="exact"/>
                    <w:jc w:val="center"/>
                    <w:rPr>
                      <w:color w:val="auto"/>
                      <w:szCs w:val="21"/>
                      <w:highlight w:val="none"/>
                    </w:rPr>
                  </w:pPr>
                  <w:r>
                    <w:rPr>
                      <w:rFonts w:hint="eastAsia"/>
                      <w:color w:val="auto"/>
                      <w:szCs w:val="21"/>
                      <w:highlight w:val="none"/>
                    </w:rPr>
                    <w:t>4</w:t>
                  </w:r>
                </w:p>
              </w:tc>
              <w:tc>
                <w:tcPr>
                  <w:tcW w:w="3420" w:type="dxa"/>
                  <w:noWrap w:val="0"/>
                  <w:vAlign w:val="top"/>
                </w:tcPr>
                <w:p w14:paraId="1603DF73">
                  <w:pPr>
                    <w:spacing w:line="280" w:lineRule="exact"/>
                    <w:rPr>
                      <w:color w:val="auto"/>
                      <w:szCs w:val="21"/>
                      <w:highlight w:val="none"/>
                    </w:rPr>
                  </w:pPr>
                  <w:r>
                    <w:rPr>
                      <w:rFonts w:hint="eastAsia"/>
                      <w:color w:val="auto"/>
                      <w:szCs w:val="21"/>
                      <w:highlight w:val="none"/>
                    </w:rPr>
                    <w:t>最终应支付的合同价款</w:t>
                  </w:r>
                </w:p>
              </w:tc>
              <w:tc>
                <w:tcPr>
                  <w:tcW w:w="1620" w:type="dxa"/>
                  <w:noWrap w:val="0"/>
                  <w:vAlign w:val="top"/>
                </w:tcPr>
                <w:p w14:paraId="366510C9">
                  <w:pPr>
                    <w:spacing w:line="280" w:lineRule="exact"/>
                    <w:rPr>
                      <w:color w:val="auto"/>
                      <w:szCs w:val="21"/>
                      <w:highlight w:val="none"/>
                    </w:rPr>
                  </w:pPr>
                </w:p>
              </w:tc>
              <w:tc>
                <w:tcPr>
                  <w:tcW w:w="1620" w:type="dxa"/>
                  <w:noWrap w:val="0"/>
                  <w:vAlign w:val="top"/>
                </w:tcPr>
                <w:p w14:paraId="5ACCA084">
                  <w:pPr>
                    <w:spacing w:line="280" w:lineRule="exact"/>
                    <w:rPr>
                      <w:color w:val="auto"/>
                      <w:szCs w:val="21"/>
                      <w:highlight w:val="none"/>
                    </w:rPr>
                  </w:pPr>
                </w:p>
              </w:tc>
              <w:tc>
                <w:tcPr>
                  <w:tcW w:w="1651" w:type="dxa"/>
                  <w:noWrap w:val="0"/>
                  <w:vAlign w:val="top"/>
                </w:tcPr>
                <w:p w14:paraId="5641CBC8">
                  <w:pPr>
                    <w:spacing w:line="280" w:lineRule="exact"/>
                    <w:rPr>
                      <w:color w:val="auto"/>
                      <w:szCs w:val="21"/>
                      <w:highlight w:val="none"/>
                    </w:rPr>
                  </w:pPr>
                </w:p>
              </w:tc>
            </w:tr>
            <w:tr w14:paraId="520F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C609A4A">
                  <w:pPr>
                    <w:spacing w:line="280" w:lineRule="exact"/>
                    <w:jc w:val="center"/>
                    <w:rPr>
                      <w:color w:val="auto"/>
                      <w:szCs w:val="21"/>
                      <w:highlight w:val="none"/>
                    </w:rPr>
                  </w:pPr>
                </w:p>
              </w:tc>
              <w:tc>
                <w:tcPr>
                  <w:tcW w:w="3420" w:type="dxa"/>
                  <w:noWrap w:val="0"/>
                  <w:vAlign w:val="top"/>
                </w:tcPr>
                <w:p w14:paraId="0D7113FA">
                  <w:pPr>
                    <w:spacing w:line="280" w:lineRule="exact"/>
                    <w:rPr>
                      <w:color w:val="auto"/>
                      <w:szCs w:val="21"/>
                      <w:highlight w:val="none"/>
                    </w:rPr>
                  </w:pPr>
                </w:p>
              </w:tc>
              <w:tc>
                <w:tcPr>
                  <w:tcW w:w="1620" w:type="dxa"/>
                  <w:noWrap w:val="0"/>
                  <w:vAlign w:val="top"/>
                </w:tcPr>
                <w:p w14:paraId="23CBF584">
                  <w:pPr>
                    <w:spacing w:line="280" w:lineRule="exact"/>
                    <w:rPr>
                      <w:color w:val="auto"/>
                      <w:szCs w:val="21"/>
                      <w:highlight w:val="none"/>
                    </w:rPr>
                  </w:pPr>
                </w:p>
              </w:tc>
              <w:tc>
                <w:tcPr>
                  <w:tcW w:w="1620" w:type="dxa"/>
                  <w:noWrap w:val="0"/>
                  <w:vAlign w:val="top"/>
                </w:tcPr>
                <w:p w14:paraId="2A758E82">
                  <w:pPr>
                    <w:spacing w:line="280" w:lineRule="exact"/>
                    <w:rPr>
                      <w:color w:val="auto"/>
                      <w:szCs w:val="21"/>
                      <w:highlight w:val="none"/>
                    </w:rPr>
                  </w:pPr>
                </w:p>
              </w:tc>
              <w:tc>
                <w:tcPr>
                  <w:tcW w:w="1651" w:type="dxa"/>
                  <w:noWrap w:val="0"/>
                  <w:vAlign w:val="top"/>
                </w:tcPr>
                <w:p w14:paraId="5E05444E">
                  <w:pPr>
                    <w:spacing w:line="280" w:lineRule="exact"/>
                    <w:rPr>
                      <w:color w:val="auto"/>
                      <w:szCs w:val="21"/>
                      <w:highlight w:val="none"/>
                    </w:rPr>
                  </w:pPr>
                </w:p>
              </w:tc>
            </w:tr>
            <w:tr w14:paraId="77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AA8A9A">
                  <w:pPr>
                    <w:spacing w:line="280" w:lineRule="exact"/>
                    <w:jc w:val="center"/>
                    <w:rPr>
                      <w:color w:val="auto"/>
                      <w:szCs w:val="21"/>
                      <w:highlight w:val="none"/>
                    </w:rPr>
                  </w:pPr>
                </w:p>
              </w:tc>
              <w:tc>
                <w:tcPr>
                  <w:tcW w:w="3420" w:type="dxa"/>
                  <w:noWrap w:val="0"/>
                  <w:vAlign w:val="top"/>
                </w:tcPr>
                <w:p w14:paraId="539E93D0">
                  <w:pPr>
                    <w:spacing w:line="280" w:lineRule="exact"/>
                    <w:rPr>
                      <w:color w:val="auto"/>
                      <w:szCs w:val="21"/>
                      <w:highlight w:val="none"/>
                    </w:rPr>
                  </w:pPr>
                </w:p>
              </w:tc>
              <w:tc>
                <w:tcPr>
                  <w:tcW w:w="1620" w:type="dxa"/>
                  <w:noWrap w:val="0"/>
                  <w:vAlign w:val="top"/>
                </w:tcPr>
                <w:p w14:paraId="07927D6B">
                  <w:pPr>
                    <w:spacing w:line="280" w:lineRule="exact"/>
                    <w:rPr>
                      <w:color w:val="auto"/>
                      <w:szCs w:val="21"/>
                      <w:highlight w:val="none"/>
                    </w:rPr>
                  </w:pPr>
                </w:p>
              </w:tc>
              <w:tc>
                <w:tcPr>
                  <w:tcW w:w="1620" w:type="dxa"/>
                  <w:noWrap w:val="0"/>
                  <w:vAlign w:val="top"/>
                </w:tcPr>
                <w:p w14:paraId="04F73BD4">
                  <w:pPr>
                    <w:spacing w:line="280" w:lineRule="exact"/>
                    <w:rPr>
                      <w:color w:val="auto"/>
                      <w:szCs w:val="21"/>
                      <w:highlight w:val="none"/>
                    </w:rPr>
                  </w:pPr>
                </w:p>
              </w:tc>
              <w:tc>
                <w:tcPr>
                  <w:tcW w:w="1651" w:type="dxa"/>
                  <w:noWrap w:val="0"/>
                  <w:vAlign w:val="top"/>
                </w:tcPr>
                <w:p w14:paraId="0BA6928B">
                  <w:pPr>
                    <w:spacing w:line="280" w:lineRule="exact"/>
                    <w:rPr>
                      <w:color w:val="auto"/>
                      <w:szCs w:val="21"/>
                      <w:highlight w:val="none"/>
                    </w:rPr>
                  </w:pPr>
                </w:p>
              </w:tc>
            </w:tr>
            <w:tr w14:paraId="1037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DF8ADE">
                  <w:pPr>
                    <w:spacing w:line="280" w:lineRule="exact"/>
                    <w:jc w:val="center"/>
                    <w:rPr>
                      <w:color w:val="auto"/>
                      <w:szCs w:val="21"/>
                      <w:highlight w:val="none"/>
                    </w:rPr>
                  </w:pPr>
                </w:p>
              </w:tc>
              <w:tc>
                <w:tcPr>
                  <w:tcW w:w="3420" w:type="dxa"/>
                  <w:noWrap w:val="0"/>
                  <w:vAlign w:val="top"/>
                </w:tcPr>
                <w:p w14:paraId="4DC6B663">
                  <w:pPr>
                    <w:spacing w:line="280" w:lineRule="exact"/>
                    <w:rPr>
                      <w:color w:val="auto"/>
                      <w:szCs w:val="21"/>
                      <w:highlight w:val="none"/>
                    </w:rPr>
                  </w:pPr>
                </w:p>
              </w:tc>
              <w:tc>
                <w:tcPr>
                  <w:tcW w:w="1620" w:type="dxa"/>
                  <w:noWrap w:val="0"/>
                  <w:vAlign w:val="top"/>
                </w:tcPr>
                <w:p w14:paraId="0864D63A">
                  <w:pPr>
                    <w:spacing w:line="280" w:lineRule="exact"/>
                    <w:rPr>
                      <w:color w:val="auto"/>
                      <w:szCs w:val="21"/>
                      <w:highlight w:val="none"/>
                    </w:rPr>
                  </w:pPr>
                </w:p>
              </w:tc>
              <w:tc>
                <w:tcPr>
                  <w:tcW w:w="1620" w:type="dxa"/>
                  <w:noWrap w:val="0"/>
                  <w:vAlign w:val="top"/>
                </w:tcPr>
                <w:p w14:paraId="63C0E1AC">
                  <w:pPr>
                    <w:spacing w:line="280" w:lineRule="exact"/>
                    <w:rPr>
                      <w:color w:val="auto"/>
                      <w:szCs w:val="21"/>
                      <w:highlight w:val="none"/>
                    </w:rPr>
                  </w:pPr>
                </w:p>
              </w:tc>
              <w:tc>
                <w:tcPr>
                  <w:tcW w:w="1651" w:type="dxa"/>
                  <w:noWrap w:val="0"/>
                  <w:vAlign w:val="top"/>
                </w:tcPr>
                <w:p w14:paraId="77B5285B">
                  <w:pPr>
                    <w:spacing w:line="280" w:lineRule="exact"/>
                    <w:rPr>
                      <w:color w:val="auto"/>
                      <w:szCs w:val="21"/>
                      <w:highlight w:val="none"/>
                    </w:rPr>
                  </w:pPr>
                </w:p>
              </w:tc>
            </w:tr>
            <w:tr w14:paraId="7C8C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B8048F">
                  <w:pPr>
                    <w:spacing w:line="280" w:lineRule="exact"/>
                    <w:jc w:val="center"/>
                    <w:rPr>
                      <w:color w:val="auto"/>
                      <w:szCs w:val="21"/>
                      <w:highlight w:val="none"/>
                    </w:rPr>
                  </w:pPr>
                </w:p>
              </w:tc>
              <w:tc>
                <w:tcPr>
                  <w:tcW w:w="3420" w:type="dxa"/>
                  <w:noWrap w:val="0"/>
                  <w:vAlign w:val="top"/>
                </w:tcPr>
                <w:p w14:paraId="0B4B93E1">
                  <w:pPr>
                    <w:spacing w:line="280" w:lineRule="exact"/>
                    <w:rPr>
                      <w:color w:val="auto"/>
                      <w:szCs w:val="21"/>
                      <w:highlight w:val="none"/>
                    </w:rPr>
                  </w:pPr>
                </w:p>
              </w:tc>
              <w:tc>
                <w:tcPr>
                  <w:tcW w:w="1620" w:type="dxa"/>
                  <w:noWrap w:val="0"/>
                  <w:vAlign w:val="top"/>
                </w:tcPr>
                <w:p w14:paraId="0CEBA193">
                  <w:pPr>
                    <w:spacing w:line="280" w:lineRule="exact"/>
                    <w:rPr>
                      <w:color w:val="auto"/>
                      <w:szCs w:val="21"/>
                      <w:highlight w:val="none"/>
                    </w:rPr>
                  </w:pPr>
                </w:p>
              </w:tc>
              <w:tc>
                <w:tcPr>
                  <w:tcW w:w="1620" w:type="dxa"/>
                  <w:noWrap w:val="0"/>
                  <w:vAlign w:val="top"/>
                </w:tcPr>
                <w:p w14:paraId="3BEC7322">
                  <w:pPr>
                    <w:spacing w:line="280" w:lineRule="exact"/>
                    <w:rPr>
                      <w:color w:val="auto"/>
                      <w:szCs w:val="21"/>
                      <w:highlight w:val="none"/>
                    </w:rPr>
                  </w:pPr>
                </w:p>
              </w:tc>
              <w:tc>
                <w:tcPr>
                  <w:tcW w:w="1651" w:type="dxa"/>
                  <w:noWrap w:val="0"/>
                  <w:vAlign w:val="top"/>
                </w:tcPr>
                <w:p w14:paraId="45A48BAD">
                  <w:pPr>
                    <w:spacing w:line="280" w:lineRule="exact"/>
                    <w:rPr>
                      <w:color w:val="auto"/>
                      <w:szCs w:val="21"/>
                      <w:highlight w:val="none"/>
                    </w:rPr>
                  </w:pPr>
                </w:p>
              </w:tc>
            </w:tr>
          </w:tbl>
          <w:p w14:paraId="0554BCD9">
            <w:pPr>
              <w:spacing w:line="400" w:lineRule="exact"/>
              <w:ind w:right="420" w:firstLine="435"/>
              <w:jc w:val="center"/>
              <w:rPr>
                <w:color w:val="auto"/>
                <w:szCs w:val="21"/>
                <w:highlight w:val="none"/>
              </w:rPr>
            </w:pPr>
            <w:r>
              <w:rPr>
                <w:rFonts w:hint="eastAsia"/>
                <w:color w:val="auto"/>
                <w:szCs w:val="21"/>
                <w:highlight w:val="none"/>
              </w:rPr>
              <w:t>承包人（章）</w:t>
            </w:r>
          </w:p>
          <w:p w14:paraId="39E15E3C">
            <w:pPr>
              <w:spacing w:line="400" w:lineRule="exact"/>
              <w:ind w:right="420" w:firstLine="435"/>
              <w:rPr>
                <w:color w:val="auto"/>
                <w:szCs w:val="21"/>
                <w:highlight w:val="none"/>
              </w:rPr>
            </w:pPr>
            <w:r>
              <w:rPr>
                <w:rFonts w:hint="eastAsia"/>
                <w:color w:val="auto"/>
                <w:szCs w:val="21"/>
                <w:highlight w:val="none"/>
              </w:rPr>
              <w:t>造价人员承包人代表日期</w:t>
            </w:r>
          </w:p>
        </w:tc>
      </w:tr>
      <w:tr w14:paraId="4381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205CB100">
            <w:pPr>
              <w:spacing w:line="360" w:lineRule="exact"/>
              <w:rPr>
                <w:color w:val="auto"/>
                <w:szCs w:val="21"/>
                <w:highlight w:val="none"/>
              </w:rPr>
            </w:pPr>
            <w:r>
              <w:rPr>
                <w:rFonts w:hint="eastAsia"/>
                <w:color w:val="auto"/>
                <w:szCs w:val="21"/>
                <w:highlight w:val="none"/>
              </w:rPr>
              <w:t>复核意见：</w:t>
            </w:r>
          </w:p>
          <w:p w14:paraId="3CA53F88">
            <w:pPr>
              <w:spacing w:line="360" w:lineRule="exact"/>
              <w:ind w:firstLine="312"/>
              <w:rPr>
                <w:color w:val="auto"/>
                <w:szCs w:val="21"/>
                <w:highlight w:val="none"/>
              </w:rPr>
            </w:pPr>
            <w:r>
              <w:rPr>
                <w:rFonts w:hint="eastAsia"/>
                <w:color w:val="auto"/>
                <w:szCs w:val="21"/>
                <w:highlight w:val="none"/>
              </w:rPr>
              <w:t>□与实际施工情况不相符，修改意见见附件。</w:t>
            </w:r>
          </w:p>
          <w:p w14:paraId="14784FAB">
            <w:pPr>
              <w:spacing w:line="360" w:lineRule="exact"/>
              <w:ind w:firstLine="312"/>
              <w:rPr>
                <w:color w:val="auto"/>
                <w:szCs w:val="21"/>
                <w:highlight w:val="none"/>
              </w:rPr>
            </w:pPr>
            <w:r>
              <w:rPr>
                <w:rFonts w:hint="eastAsia"/>
                <w:color w:val="auto"/>
                <w:szCs w:val="21"/>
                <w:highlight w:val="none"/>
              </w:rPr>
              <w:t>□与实际施工情况相符，具体金额由造价工程师复核。</w:t>
            </w:r>
          </w:p>
          <w:p w14:paraId="10109579">
            <w:pPr>
              <w:spacing w:line="360" w:lineRule="exact"/>
              <w:ind w:firstLine="435"/>
              <w:jc w:val="right"/>
              <w:rPr>
                <w:color w:val="auto"/>
                <w:szCs w:val="21"/>
                <w:highlight w:val="none"/>
              </w:rPr>
            </w:pPr>
          </w:p>
          <w:p w14:paraId="36D71894">
            <w:pPr>
              <w:spacing w:line="360" w:lineRule="exact"/>
              <w:ind w:firstLine="435"/>
              <w:jc w:val="right"/>
              <w:rPr>
                <w:color w:val="auto"/>
                <w:szCs w:val="21"/>
                <w:highlight w:val="none"/>
              </w:rPr>
            </w:pPr>
          </w:p>
          <w:p w14:paraId="41333ED9">
            <w:pPr>
              <w:spacing w:line="360" w:lineRule="exact"/>
              <w:ind w:firstLine="435"/>
              <w:jc w:val="center"/>
              <w:rPr>
                <w:color w:val="auto"/>
                <w:szCs w:val="21"/>
                <w:highlight w:val="none"/>
              </w:rPr>
            </w:pPr>
          </w:p>
          <w:p w14:paraId="76611552">
            <w:pPr>
              <w:spacing w:line="360" w:lineRule="exact"/>
              <w:ind w:firstLine="435"/>
              <w:jc w:val="center"/>
              <w:rPr>
                <w:color w:val="auto"/>
                <w:szCs w:val="21"/>
                <w:highlight w:val="none"/>
                <w:u w:val="single"/>
              </w:rPr>
            </w:pPr>
            <w:r>
              <w:rPr>
                <w:rFonts w:hint="eastAsia"/>
                <w:color w:val="auto"/>
                <w:szCs w:val="21"/>
                <w:highlight w:val="none"/>
              </w:rPr>
              <w:t>监理工程师</w:t>
            </w:r>
          </w:p>
          <w:p w14:paraId="292A5869">
            <w:pPr>
              <w:spacing w:line="360" w:lineRule="exact"/>
              <w:ind w:firstLine="435"/>
              <w:jc w:val="center"/>
              <w:rPr>
                <w:color w:val="auto"/>
                <w:szCs w:val="21"/>
                <w:highlight w:val="none"/>
                <w:u w:val="single"/>
              </w:rPr>
            </w:pPr>
            <w:r>
              <w:rPr>
                <w:rFonts w:hint="eastAsia"/>
                <w:color w:val="auto"/>
                <w:szCs w:val="21"/>
                <w:highlight w:val="none"/>
              </w:rPr>
              <w:t>日期</w:t>
            </w:r>
          </w:p>
        </w:tc>
        <w:tc>
          <w:tcPr>
            <w:tcW w:w="4533" w:type="dxa"/>
            <w:noWrap w:val="0"/>
            <w:vAlign w:val="top"/>
          </w:tcPr>
          <w:p w14:paraId="5CE495B7">
            <w:pPr>
              <w:spacing w:line="360" w:lineRule="exact"/>
              <w:rPr>
                <w:color w:val="auto"/>
                <w:szCs w:val="21"/>
                <w:highlight w:val="none"/>
              </w:rPr>
            </w:pPr>
            <w:r>
              <w:rPr>
                <w:rFonts w:hint="eastAsia"/>
                <w:color w:val="auto"/>
                <w:szCs w:val="21"/>
                <w:highlight w:val="none"/>
              </w:rPr>
              <w:t>复核意见：</w:t>
            </w:r>
          </w:p>
          <w:p w14:paraId="3D9EE23C">
            <w:pPr>
              <w:spacing w:line="360" w:lineRule="exact"/>
              <w:ind w:firstLine="435"/>
              <w:rPr>
                <w:color w:val="auto"/>
                <w:szCs w:val="21"/>
                <w:highlight w:val="none"/>
                <w:u w:val="single"/>
              </w:rPr>
            </w:pPr>
            <w:r>
              <w:rPr>
                <w:rFonts w:hint="eastAsia"/>
                <w:color w:val="auto"/>
                <w:szCs w:val="21"/>
                <w:highlight w:val="none"/>
              </w:rPr>
              <w:t>你方提出的支付申请经复核，最终应支付金额为（大写）元，（小写）元。</w:t>
            </w:r>
          </w:p>
          <w:p w14:paraId="1F9C7FBB">
            <w:pPr>
              <w:spacing w:line="360" w:lineRule="exact"/>
              <w:ind w:firstLine="435"/>
              <w:jc w:val="center"/>
              <w:rPr>
                <w:color w:val="auto"/>
                <w:szCs w:val="21"/>
                <w:highlight w:val="none"/>
              </w:rPr>
            </w:pPr>
          </w:p>
          <w:p w14:paraId="4187B926">
            <w:pPr>
              <w:spacing w:line="360" w:lineRule="exact"/>
              <w:ind w:firstLine="435"/>
              <w:jc w:val="center"/>
              <w:rPr>
                <w:color w:val="auto"/>
                <w:szCs w:val="21"/>
                <w:highlight w:val="none"/>
              </w:rPr>
            </w:pPr>
          </w:p>
          <w:p w14:paraId="61C45566">
            <w:pPr>
              <w:spacing w:line="360" w:lineRule="exact"/>
              <w:ind w:firstLine="435"/>
              <w:jc w:val="center"/>
              <w:rPr>
                <w:color w:val="auto"/>
                <w:szCs w:val="21"/>
                <w:highlight w:val="none"/>
              </w:rPr>
            </w:pPr>
          </w:p>
          <w:p w14:paraId="74F622BC">
            <w:pPr>
              <w:spacing w:line="360" w:lineRule="exact"/>
              <w:ind w:firstLine="435"/>
              <w:jc w:val="center"/>
              <w:rPr>
                <w:color w:val="auto"/>
                <w:szCs w:val="21"/>
                <w:highlight w:val="none"/>
              </w:rPr>
            </w:pPr>
          </w:p>
          <w:p w14:paraId="6A3293CD">
            <w:pPr>
              <w:spacing w:line="360" w:lineRule="exact"/>
              <w:ind w:firstLine="435"/>
              <w:jc w:val="center"/>
              <w:rPr>
                <w:color w:val="auto"/>
                <w:szCs w:val="21"/>
                <w:highlight w:val="none"/>
                <w:u w:val="single"/>
              </w:rPr>
            </w:pPr>
            <w:r>
              <w:rPr>
                <w:rFonts w:hint="eastAsia"/>
                <w:color w:val="auto"/>
                <w:szCs w:val="21"/>
                <w:highlight w:val="none"/>
              </w:rPr>
              <w:t>造价工程师</w:t>
            </w:r>
          </w:p>
          <w:p w14:paraId="6433E577">
            <w:pPr>
              <w:spacing w:line="360" w:lineRule="exact"/>
              <w:ind w:firstLine="435"/>
              <w:jc w:val="center"/>
              <w:rPr>
                <w:color w:val="auto"/>
                <w:szCs w:val="21"/>
                <w:highlight w:val="none"/>
                <w:u w:val="single"/>
              </w:rPr>
            </w:pPr>
            <w:r>
              <w:rPr>
                <w:rFonts w:hint="eastAsia"/>
                <w:color w:val="auto"/>
                <w:szCs w:val="21"/>
                <w:highlight w:val="none"/>
              </w:rPr>
              <w:t>日期</w:t>
            </w:r>
          </w:p>
        </w:tc>
      </w:tr>
      <w:tr w14:paraId="29B4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4730B7D1">
            <w:pPr>
              <w:spacing w:line="400" w:lineRule="exact"/>
              <w:rPr>
                <w:color w:val="auto"/>
                <w:szCs w:val="21"/>
                <w:highlight w:val="none"/>
              </w:rPr>
            </w:pPr>
            <w:r>
              <w:rPr>
                <w:rFonts w:hint="eastAsia"/>
                <w:color w:val="auto"/>
                <w:szCs w:val="21"/>
                <w:highlight w:val="none"/>
              </w:rPr>
              <w:t>审核意见：</w:t>
            </w:r>
          </w:p>
          <w:p w14:paraId="23747316">
            <w:pPr>
              <w:spacing w:line="400" w:lineRule="exact"/>
              <w:ind w:firstLine="435"/>
              <w:rPr>
                <w:color w:val="auto"/>
                <w:szCs w:val="21"/>
                <w:highlight w:val="none"/>
              </w:rPr>
            </w:pPr>
            <w:r>
              <w:rPr>
                <w:rFonts w:hint="eastAsia"/>
                <w:color w:val="auto"/>
                <w:szCs w:val="21"/>
                <w:highlight w:val="none"/>
              </w:rPr>
              <w:t>□不同意。</w:t>
            </w:r>
          </w:p>
          <w:p w14:paraId="484F3D73">
            <w:pPr>
              <w:spacing w:line="400" w:lineRule="exact"/>
              <w:ind w:firstLine="420" w:firstLineChars="200"/>
              <w:rPr>
                <w:color w:val="auto"/>
                <w:szCs w:val="21"/>
                <w:highlight w:val="none"/>
              </w:rPr>
            </w:pPr>
            <w:r>
              <w:rPr>
                <w:rFonts w:hint="eastAsia"/>
                <w:color w:val="auto"/>
                <w:szCs w:val="21"/>
                <w:highlight w:val="none"/>
              </w:rPr>
              <w:t>□同意，支付时间为本表签发后的15天内。</w:t>
            </w:r>
          </w:p>
          <w:p w14:paraId="561D798D">
            <w:pPr>
              <w:wordWrap w:val="0"/>
              <w:spacing w:line="400" w:lineRule="exact"/>
              <w:ind w:firstLine="420" w:firstLineChars="200"/>
              <w:jc w:val="right"/>
              <w:rPr>
                <w:color w:val="auto"/>
                <w:szCs w:val="21"/>
                <w:highlight w:val="none"/>
              </w:rPr>
            </w:pPr>
            <w:r>
              <w:rPr>
                <w:rFonts w:hint="eastAsia"/>
                <w:color w:val="auto"/>
                <w:szCs w:val="21"/>
                <w:highlight w:val="none"/>
              </w:rPr>
              <w:t>发包人（章）</w:t>
            </w:r>
          </w:p>
          <w:p w14:paraId="5FCBD22D">
            <w:pPr>
              <w:wordWrap w:val="0"/>
              <w:spacing w:line="400" w:lineRule="exact"/>
              <w:ind w:firstLine="420" w:firstLineChars="200"/>
              <w:jc w:val="right"/>
              <w:rPr>
                <w:color w:val="auto"/>
                <w:szCs w:val="21"/>
                <w:highlight w:val="none"/>
                <w:u w:val="single"/>
              </w:rPr>
            </w:pPr>
            <w:r>
              <w:rPr>
                <w:rFonts w:hint="eastAsia"/>
                <w:color w:val="auto"/>
                <w:szCs w:val="21"/>
                <w:highlight w:val="none"/>
              </w:rPr>
              <w:t>发包人代表</w:t>
            </w:r>
          </w:p>
          <w:p w14:paraId="1FF53E59">
            <w:pPr>
              <w:wordWrap w:val="0"/>
              <w:spacing w:line="400" w:lineRule="exact"/>
              <w:ind w:firstLine="420" w:firstLineChars="200"/>
              <w:jc w:val="right"/>
              <w:rPr>
                <w:color w:val="auto"/>
                <w:szCs w:val="21"/>
                <w:highlight w:val="none"/>
                <w:u w:val="single"/>
              </w:rPr>
            </w:pPr>
            <w:r>
              <w:rPr>
                <w:rFonts w:hint="eastAsia"/>
                <w:color w:val="auto"/>
                <w:szCs w:val="21"/>
                <w:highlight w:val="none"/>
              </w:rPr>
              <w:t>日期</w:t>
            </w:r>
          </w:p>
        </w:tc>
      </w:tr>
    </w:tbl>
    <w:p w14:paraId="3B872E6F">
      <w:pPr>
        <w:spacing w:before="156" w:beforeLines="50"/>
        <w:ind w:firstLine="360" w:firstLineChars="200"/>
        <w:rPr>
          <w:color w:val="auto"/>
          <w:sz w:val="18"/>
          <w:szCs w:val="18"/>
          <w:highlight w:val="none"/>
        </w:rPr>
      </w:pPr>
      <w:r>
        <w:rPr>
          <w:rFonts w:hint="eastAsia"/>
          <w:color w:val="auto"/>
          <w:sz w:val="18"/>
          <w:szCs w:val="18"/>
          <w:highlight w:val="none"/>
        </w:rPr>
        <w:t>注：1.在选择栏中的“□”内作标识“√”。如监理人已退场，监理工程师栏可空缺。</w:t>
      </w:r>
    </w:p>
    <w:p w14:paraId="0AB56C2A">
      <w:pPr>
        <w:spacing w:before="156" w:beforeLines="50"/>
        <w:ind w:left="720" w:hanging="720" w:hangingChars="400"/>
        <w:rPr>
          <w:color w:val="auto"/>
          <w:sz w:val="18"/>
          <w:szCs w:val="18"/>
          <w:highlight w:val="none"/>
        </w:rPr>
      </w:pPr>
      <w:r>
        <w:rPr>
          <w:rFonts w:hint="eastAsia"/>
          <w:color w:val="auto"/>
          <w:sz w:val="18"/>
          <w:szCs w:val="18"/>
          <w:highlight w:val="none"/>
        </w:rPr>
        <w:t xml:space="preserve">  2.本表一式四份，由承包人填报，发包人、监理人、造价咨询人、承包人各存一份。</w:t>
      </w:r>
    </w:p>
    <w:p w14:paraId="27552632">
      <w:pPr>
        <w:spacing w:before="120" w:beforeLines="50" w:after="120" w:afterLines="50" w:line="440" w:lineRule="exact"/>
        <w:jc w:val="left"/>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附件14：</w:t>
      </w:r>
    </w:p>
    <w:p w14:paraId="221414C8">
      <w:pPr>
        <w:jc w:val="center"/>
        <w:rPr>
          <w:rFonts w:hint="eastAsia"/>
          <w:b/>
          <w:color w:val="auto"/>
          <w:sz w:val="36"/>
          <w:szCs w:val="36"/>
          <w:highlight w:val="none"/>
        </w:rPr>
      </w:pPr>
      <w:r>
        <w:rPr>
          <w:rFonts w:hint="eastAsia"/>
          <w:b/>
          <w:color w:val="auto"/>
          <w:sz w:val="36"/>
          <w:szCs w:val="36"/>
          <w:highlight w:val="none"/>
        </w:rPr>
        <w:t>总价合同进度款支付分解表</w:t>
      </w:r>
    </w:p>
    <w:p w14:paraId="275D0B19">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16"/>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3119"/>
        <w:gridCol w:w="675"/>
        <w:gridCol w:w="2268"/>
        <w:gridCol w:w="1276"/>
      </w:tblGrid>
      <w:tr w14:paraId="5581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noWrap w:val="0"/>
            <w:vAlign w:val="top"/>
          </w:tcPr>
          <w:p w14:paraId="7F0F45A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进度款期次</w:t>
            </w:r>
          </w:p>
        </w:tc>
        <w:tc>
          <w:tcPr>
            <w:tcW w:w="3794" w:type="dxa"/>
            <w:gridSpan w:val="2"/>
            <w:noWrap w:val="0"/>
            <w:vAlign w:val="top"/>
          </w:tcPr>
          <w:p w14:paraId="4BFADD2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形象进度</w:t>
            </w:r>
          </w:p>
        </w:tc>
        <w:tc>
          <w:tcPr>
            <w:tcW w:w="2268" w:type="dxa"/>
            <w:noWrap w:val="0"/>
            <w:vAlign w:val="top"/>
          </w:tcPr>
          <w:p w14:paraId="194FB23B">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进度款付款金额（元）</w:t>
            </w:r>
          </w:p>
        </w:tc>
        <w:tc>
          <w:tcPr>
            <w:tcW w:w="1276" w:type="dxa"/>
            <w:noWrap w:val="0"/>
            <w:vAlign w:val="top"/>
          </w:tcPr>
          <w:p w14:paraId="59C26B65">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7011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noWrap w:val="0"/>
            <w:vAlign w:val="top"/>
          </w:tcPr>
          <w:p w14:paraId="342530AD">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第一期</w:t>
            </w:r>
          </w:p>
        </w:tc>
        <w:tc>
          <w:tcPr>
            <w:tcW w:w="3794" w:type="dxa"/>
            <w:gridSpan w:val="2"/>
            <w:noWrap w:val="0"/>
            <w:vAlign w:val="top"/>
          </w:tcPr>
          <w:p w14:paraId="302E3318">
            <w:pPr>
              <w:spacing w:line="360" w:lineRule="auto"/>
              <w:jc w:val="center"/>
              <w:rPr>
                <w:rFonts w:ascii="宋体" w:hAnsi="宋体" w:cs="宋体"/>
                <w:color w:val="auto"/>
                <w:kern w:val="0"/>
                <w:szCs w:val="21"/>
                <w:highlight w:val="none"/>
              </w:rPr>
            </w:pPr>
          </w:p>
        </w:tc>
        <w:tc>
          <w:tcPr>
            <w:tcW w:w="2268" w:type="dxa"/>
            <w:noWrap w:val="0"/>
            <w:vAlign w:val="top"/>
          </w:tcPr>
          <w:p w14:paraId="28EDEA6F">
            <w:pPr>
              <w:spacing w:line="360" w:lineRule="auto"/>
              <w:jc w:val="center"/>
              <w:rPr>
                <w:rFonts w:ascii="宋体" w:hAnsi="宋体" w:cs="宋体"/>
                <w:color w:val="auto"/>
                <w:kern w:val="0"/>
                <w:szCs w:val="21"/>
                <w:highlight w:val="none"/>
              </w:rPr>
            </w:pPr>
          </w:p>
        </w:tc>
        <w:tc>
          <w:tcPr>
            <w:tcW w:w="1276" w:type="dxa"/>
            <w:noWrap w:val="0"/>
            <w:vAlign w:val="top"/>
          </w:tcPr>
          <w:p w14:paraId="34FE6306">
            <w:pPr>
              <w:spacing w:line="360" w:lineRule="auto"/>
              <w:jc w:val="center"/>
              <w:rPr>
                <w:rFonts w:ascii="宋体" w:hAnsi="宋体" w:cs="宋体"/>
                <w:color w:val="auto"/>
                <w:kern w:val="0"/>
                <w:szCs w:val="21"/>
                <w:highlight w:val="none"/>
              </w:rPr>
            </w:pPr>
          </w:p>
        </w:tc>
      </w:tr>
      <w:tr w14:paraId="0E16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noWrap w:val="0"/>
            <w:vAlign w:val="top"/>
          </w:tcPr>
          <w:p w14:paraId="1D3EE68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第二期</w:t>
            </w:r>
          </w:p>
        </w:tc>
        <w:tc>
          <w:tcPr>
            <w:tcW w:w="3794" w:type="dxa"/>
            <w:gridSpan w:val="2"/>
            <w:noWrap w:val="0"/>
            <w:vAlign w:val="top"/>
          </w:tcPr>
          <w:p w14:paraId="48627BB3">
            <w:pPr>
              <w:spacing w:line="360" w:lineRule="auto"/>
              <w:jc w:val="center"/>
              <w:rPr>
                <w:rFonts w:ascii="宋体" w:hAnsi="宋体" w:cs="宋体"/>
                <w:color w:val="auto"/>
                <w:kern w:val="0"/>
                <w:szCs w:val="21"/>
                <w:highlight w:val="none"/>
              </w:rPr>
            </w:pPr>
          </w:p>
        </w:tc>
        <w:tc>
          <w:tcPr>
            <w:tcW w:w="2268" w:type="dxa"/>
            <w:noWrap w:val="0"/>
            <w:vAlign w:val="top"/>
          </w:tcPr>
          <w:p w14:paraId="3DF894B2">
            <w:pPr>
              <w:spacing w:line="360" w:lineRule="auto"/>
              <w:jc w:val="center"/>
              <w:rPr>
                <w:rFonts w:ascii="宋体" w:hAnsi="宋体" w:cs="宋体"/>
                <w:color w:val="auto"/>
                <w:kern w:val="0"/>
                <w:szCs w:val="21"/>
                <w:highlight w:val="none"/>
              </w:rPr>
            </w:pPr>
          </w:p>
        </w:tc>
        <w:tc>
          <w:tcPr>
            <w:tcW w:w="1276" w:type="dxa"/>
            <w:noWrap w:val="0"/>
            <w:vAlign w:val="top"/>
          </w:tcPr>
          <w:p w14:paraId="5CA52764">
            <w:pPr>
              <w:spacing w:line="360" w:lineRule="auto"/>
              <w:jc w:val="center"/>
              <w:rPr>
                <w:rFonts w:ascii="宋体" w:hAnsi="宋体" w:cs="宋体"/>
                <w:color w:val="auto"/>
                <w:kern w:val="0"/>
                <w:szCs w:val="21"/>
                <w:highlight w:val="none"/>
              </w:rPr>
            </w:pPr>
          </w:p>
        </w:tc>
      </w:tr>
      <w:tr w14:paraId="43DC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noWrap w:val="0"/>
            <w:vAlign w:val="top"/>
          </w:tcPr>
          <w:p w14:paraId="5E7FB4C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第三期</w:t>
            </w:r>
          </w:p>
        </w:tc>
        <w:tc>
          <w:tcPr>
            <w:tcW w:w="3794" w:type="dxa"/>
            <w:gridSpan w:val="2"/>
            <w:noWrap w:val="0"/>
            <w:vAlign w:val="top"/>
          </w:tcPr>
          <w:p w14:paraId="0F375621">
            <w:pPr>
              <w:spacing w:line="360" w:lineRule="auto"/>
              <w:jc w:val="center"/>
              <w:rPr>
                <w:rFonts w:ascii="宋体" w:hAnsi="宋体" w:cs="宋体"/>
                <w:color w:val="auto"/>
                <w:kern w:val="0"/>
                <w:szCs w:val="21"/>
                <w:highlight w:val="none"/>
              </w:rPr>
            </w:pPr>
          </w:p>
        </w:tc>
        <w:tc>
          <w:tcPr>
            <w:tcW w:w="2268" w:type="dxa"/>
            <w:noWrap w:val="0"/>
            <w:vAlign w:val="top"/>
          </w:tcPr>
          <w:p w14:paraId="41D64DDB">
            <w:pPr>
              <w:spacing w:line="360" w:lineRule="auto"/>
              <w:jc w:val="center"/>
              <w:rPr>
                <w:rFonts w:ascii="宋体" w:hAnsi="宋体" w:cs="宋体"/>
                <w:color w:val="auto"/>
                <w:kern w:val="0"/>
                <w:szCs w:val="21"/>
                <w:highlight w:val="none"/>
              </w:rPr>
            </w:pPr>
          </w:p>
        </w:tc>
        <w:tc>
          <w:tcPr>
            <w:tcW w:w="1276" w:type="dxa"/>
            <w:noWrap w:val="0"/>
            <w:vAlign w:val="top"/>
          </w:tcPr>
          <w:p w14:paraId="32A28265">
            <w:pPr>
              <w:spacing w:line="360" w:lineRule="auto"/>
              <w:jc w:val="center"/>
              <w:rPr>
                <w:rFonts w:ascii="宋体" w:hAnsi="宋体" w:cs="宋体"/>
                <w:color w:val="auto"/>
                <w:kern w:val="0"/>
                <w:szCs w:val="21"/>
                <w:highlight w:val="none"/>
              </w:rPr>
            </w:pPr>
          </w:p>
        </w:tc>
      </w:tr>
      <w:tr w14:paraId="584D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noWrap w:val="0"/>
            <w:vAlign w:val="top"/>
          </w:tcPr>
          <w:p w14:paraId="21682A0E">
            <w:pPr>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3794" w:type="dxa"/>
            <w:gridSpan w:val="2"/>
            <w:noWrap w:val="0"/>
            <w:vAlign w:val="top"/>
          </w:tcPr>
          <w:p w14:paraId="00E2CED9">
            <w:pPr>
              <w:spacing w:line="360" w:lineRule="auto"/>
              <w:jc w:val="center"/>
              <w:rPr>
                <w:rFonts w:ascii="宋体" w:hAnsi="宋体" w:cs="宋体"/>
                <w:color w:val="auto"/>
                <w:kern w:val="0"/>
                <w:szCs w:val="21"/>
                <w:highlight w:val="none"/>
              </w:rPr>
            </w:pPr>
          </w:p>
        </w:tc>
        <w:tc>
          <w:tcPr>
            <w:tcW w:w="2268" w:type="dxa"/>
            <w:noWrap w:val="0"/>
            <w:vAlign w:val="top"/>
          </w:tcPr>
          <w:p w14:paraId="0D689EF2">
            <w:pPr>
              <w:spacing w:line="360" w:lineRule="auto"/>
              <w:jc w:val="center"/>
              <w:rPr>
                <w:rFonts w:ascii="宋体" w:hAnsi="宋体" w:cs="宋体"/>
                <w:color w:val="auto"/>
                <w:kern w:val="0"/>
                <w:szCs w:val="21"/>
                <w:highlight w:val="none"/>
              </w:rPr>
            </w:pPr>
          </w:p>
        </w:tc>
        <w:tc>
          <w:tcPr>
            <w:tcW w:w="1276" w:type="dxa"/>
            <w:noWrap w:val="0"/>
            <w:vAlign w:val="top"/>
          </w:tcPr>
          <w:p w14:paraId="2429D5D3">
            <w:pPr>
              <w:spacing w:line="360" w:lineRule="auto"/>
              <w:jc w:val="center"/>
              <w:rPr>
                <w:rFonts w:ascii="宋体" w:hAnsi="宋体" w:cs="宋体"/>
                <w:color w:val="auto"/>
                <w:kern w:val="0"/>
                <w:szCs w:val="21"/>
                <w:highlight w:val="none"/>
              </w:rPr>
            </w:pPr>
          </w:p>
        </w:tc>
      </w:tr>
      <w:tr w14:paraId="236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70" w:type="dxa"/>
            <w:gridSpan w:val="2"/>
            <w:noWrap w:val="0"/>
            <w:vAlign w:val="top"/>
          </w:tcPr>
          <w:p w14:paraId="27E66543">
            <w:pPr>
              <w:spacing w:line="360" w:lineRule="exact"/>
              <w:ind w:firstLine="435"/>
              <w:jc w:val="right"/>
              <w:rPr>
                <w:color w:val="auto"/>
                <w:szCs w:val="21"/>
                <w:highlight w:val="none"/>
              </w:rPr>
            </w:pPr>
          </w:p>
          <w:p w14:paraId="4BFDEC27">
            <w:pPr>
              <w:spacing w:line="360" w:lineRule="exact"/>
              <w:ind w:firstLine="435"/>
              <w:jc w:val="center"/>
              <w:rPr>
                <w:color w:val="auto"/>
                <w:szCs w:val="21"/>
                <w:highlight w:val="none"/>
              </w:rPr>
            </w:pPr>
          </w:p>
          <w:p w14:paraId="2390446A">
            <w:pPr>
              <w:spacing w:line="360" w:lineRule="exact"/>
              <w:ind w:firstLine="435"/>
              <w:jc w:val="center"/>
              <w:rPr>
                <w:color w:val="auto"/>
                <w:szCs w:val="21"/>
                <w:highlight w:val="none"/>
              </w:rPr>
            </w:pPr>
            <w:r>
              <w:rPr>
                <w:rFonts w:hint="eastAsia"/>
                <w:color w:val="auto"/>
                <w:szCs w:val="21"/>
                <w:highlight w:val="none"/>
              </w:rPr>
              <w:t>发包人代表签字：</w:t>
            </w:r>
          </w:p>
          <w:p w14:paraId="05064884">
            <w:pPr>
              <w:spacing w:line="360" w:lineRule="exact"/>
              <w:ind w:firstLine="435"/>
              <w:jc w:val="center"/>
              <w:rPr>
                <w:color w:val="auto"/>
                <w:szCs w:val="21"/>
                <w:highlight w:val="none"/>
              </w:rPr>
            </w:pPr>
          </w:p>
          <w:p w14:paraId="106B0888">
            <w:pPr>
              <w:spacing w:line="360" w:lineRule="exact"/>
              <w:ind w:firstLine="435"/>
              <w:jc w:val="center"/>
              <w:rPr>
                <w:color w:val="auto"/>
                <w:szCs w:val="21"/>
                <w:highlight w:val="none"/>
              </w:rPr>
            </w:pPr>
            <w:r>
              <w:rPr>
                <w:rFonts w:hint="eastAsia"/>
                <w:color w:val="auto"/>
                <w:szCs w:val="21"/>
                <w:highlight w:val="none"/>
              </w:rPr>
              <w:t>发包人（盖公章）</w:t>
            </w:r>
          </w:p>
          <w:p w14:paraId="50EA3E9E">
            <w:pPr>
              <w:spacing w:line="360" w:lineRule="exact"/>
              <w:ind w:firstLine="435"/>
              <w:jc w:val="center"/>
              <w:rPr>
                <w:color w:val="auto"/>
                <w:szCs w:val="21"/>
                <w:highlight w:val="none"/>
              </w:rPr>
            </w:pPr>
          </w:p>
          <w:p w14:paraId="2CD3DA52">
            <w:pPr>
              <w:spacing w:line="360" w:lineRule="exact"/>
              <w:ind w:firstLine="435"/>
              <w:jc w:val="center"/>
              <w:rPr>
                <w:color w:val="auto"/>
                <w:szCs w:val="21"/>
                <w:highlight w:val="none"/>
                <w:u w:val="single"/>
              </w:rPr>
            </w:pPr>
            <w:r>
              <w:rPr>
                <w:rFonts w:hint="eastAsia"/>
                <w:color w:val="auto"/>
                <w:szCs w:val="21"/>
                <w:highlight w:val="none"/>
              </w:rPr>
              <w:t>日期</w:t>
            </w:r>
          </w:p>
        </w:tc>
        <w:tc>
          <w:tcPr>
            <w:tcW w:w="4219" w:type="dxa"/>
            <w:gridSpan w:val="3"/>
            <w:noWrap w:val="0"/>
            <w:vAlign w:val="top"/>
          </w:tcPr>
          <w:p w14:paraId="1DCD854D">
            <w:pPr>
              <w:spacing w:line="360" w:lineRule="exact"/>
              <w:ind w:firstLine="435"/>
              <w:jc w:val="center"/>
              <w:rPr>
                <w:color w:val="auto"/>
                <w:szCs w:val="21"/>
                <w:highlight w:val="none"/>
              </w:rPr>
            </w:pPr>
          </w:p>
          <w:p w14:paraId="6252C35A">
            <w:pPr>
              <w:spacing w:line="360" w:lineRule="exact"/>
              <w:ind w:firstLine="435"/>
              <w:jc w:val="center"/>
              <w:rPr>
                <w:color w:val="auto"/>
                <w:szCs w:val="21"/>
                <w:highlight w:val="none"/>
                <w:u w:val="single"/>
              </w:rPr>
            </w:pPr>
          </w:p>
          <w:p w14:paraId="3B1051A1">
            <w:pPr>
              <w:spacing w:line="360" w:lineRule="exact"/>
              <w:ind w:firstLine="435"/>
              <w:jc w:val="center"/>
              <w:rPr>
                <w:color w:val="auto"/>
                <w:szCs w:val="21"/>
                <w:highlight w:val="none"/>
              </w:rPr>
            </w:pPr>
            <w:r>
              <w:rPr>
                <w:rFonts w:hint="eastAsia"/>
                <w:color w:val="auto"/>
                <w:szCs w:val="21"/>
                <w:highlight w:val="none"/>
              </w:rPr>
              <w:t>承包人代表签字：</w:t>
            </w:r>
          </w:p>
          <w:p w14:paraId="27A0B57E">
            <w:pPr>
              <w:spacing w:line="360" w:lineRule="exact"/>
              <w:ind w:firstLine="435"/>
              <w:jc w:val="center"/>
              <w:rPr>
                <w:color w:val="auto"/>
                <w:szCs w:val="21"/>
                <w:highlight w:val="none"/>
              </w:rPr>
            </w:pPr>
          </w:p>
          <w:p w14:paraId="6FDA4E15">
            <w:pPr>
              <w:spacing w:line="360" w:lineRule="exact"/>
              <w:ind w:firstLine="435"/>
              <w:jc w:val="center"/>
              <w:rPr>
                <w:color w:val="auto"/>
                <w:szCs w:val="21"/>
                <w:highlight w:val="none"/>
              </w:rPr>
            </w:pPr>
            <w:r>
              <w:rPr>
                <w:rFonts w:hint="eastAsia"/>
                <w:color w:val="auto"/>
                <w:szCs w:val="21"/>
                <w:highlight w:val="none"/>
              </w:rPr>
              <w:t>承包人（盖公章）</w:t>
            </w:r>
          </w:p>
          <w:p w14:paraId="2A5CA17C">
            <w:pPr>
              <w:spacing w:line="360" w:lineRule="exact"/>
              <w:ind w:firstLine="435"/>
              <w:jc w:val="center"/>
              <w:rPr>
                <w:color w:val="auto"/>
                <w:szCs w:val="21"/>
                <w:highlight w:val="none"/>
              </w:rPr>
            </w:pPr>
          </w:p>
          <w:p w14:paraId="622492BC">
            <w:pPr>
              <w:spacing w:line="360" w:lineRule="exact"/>
              <w:ind w:firstLine="435"/>
              <w:jc w:val="center"/>
              <w:rPr>
                <w:color w:val="auto"/>
                <w:szCs w:val="21"/>
                <w:highlight w:val="none"/>
                <w:u w:val="single"/>
              </w:rPr>
            </w:pPr>
            <w:r>
              <w:rPr>
                <w:rFonts w:hint="eastAsia"/>
                <w:color w:val="auto"/>
                <w:szCs w:val="21"/>
                <w:highlight w:val="none"/>
              </w:rPr>
              <w:t>日期</w:t>
            </w:r>
          </w:p>
        </w:tc>
      </w:tr>
    </w:tbl>
    <w:p w14:paraId="012BCCC2">
      <w:pPr>
        <w:spacing w:line="360" w:lineRule="auto"/>
        <w:rPr>
          <w:rFonts w:ascii="宋体"/>
          <w:color w:val="auto"/>
          <w:szCs w:val="21"/>
          <w:highlight w:val="none"/>
        </w:rPr>
      </w:pPr>
    </w:p>
    <w:p w14:paraId="3C60B0BC">
      <w:pPr>
        <w:pStyle w:val="3"/>
        <w:rPr>
          <w:color w:val="auto"/>
          <w:highlight w:val="none"/>
        </w:rPr>
      </w:pPr>
    </w:p>
    <w:p w14:paraId="6CF3EC48">
      <w:pPr>
        <w:rPr>
          <w:rFonts w:hint="eastAsia"/>
          <w:color w:val="auto"/>
          <w:highlight w:val="none"/>
        </w:rPr>
      </w:pPr>
    </w:p>
    <w:p w14:paraId="7E7258A8">
      <w:pPr>
        <w:rPr>
          <w:rFonts w:hint="eastAsia"/>
        </w:rPr>
      </w:pPr>
    </w:p>
    <w:p w14:paraId="04DD0C01">
      <w:pPr>
        <w:spacing w:line="400" w:lineRule="atLeast"/>
        <w:jc w:val="left"/>
        <w:rPr>
          <w:rFonts w:ascii="宋体" w:hAnsi="宋体" w:cs="Arial"/>
          <w:b/>
          <w:sz w:val="28"/>
          <w:szCs w:val="28"/>
        </w:rPr>
      </w:pPr>
    </w:p>
    <w:p w14:paraId="15FE8C02">
      <w:pPr>
        <w:pStyle w:val="11"/>
        <w:rPr>
          <w:rFonts w:hint="default"/>
          <w:lang w:val="en-US" w:eastAsia="zh-CN"/>
        </w:rPr>
      </w:pPr>
    </w:p>
    <w:p w14:paraId="250500A1">
      <w:pPr>
        <w:keepNext w:val="0"/>
        <w:keepLines w:val="0"/>
        <w:pageBreakBefore w:val="0"/>
        <w:widowControl w:val="0"/>
        <w:numPr>
          <w:ilvl w:val="0"/>
          <w:numId w:val="0"/>
        </w:numPr>
        <w:kinsoku/>
        <w:wordWrap/>
        <w:overflowPunct/>
        <w:topLinePunct w:val="0"/>
        <w:bidi w:val="0"/>
        <w:adjustRightInd w:val="0"/>
        <w:snapToGrid w:val="0"/>
        <w:spacing w:line="400" w:lineRule="atLeast"/>
        <w:ind w:leftChars="200"/>
        <w:jc w:val="left"/>
        <w:textAlignment w:val="auto"/>
        <w:outlineLvl w:val="9"/>
        <w:rPr>
          <w:rFonts w:hint="default" w:ascii="宋体" w:hAnsi="宋体" w:eastAsia="宋体" w:cs="宋体"/>
          <w:kern w:val="2"/>
          <w:sz w:val="21"/>
          <w:szCs w:val="21"/>
          <w:u w:val="none"/>
          <w:lang w:val="en-US" w:eastAsia="zh-CN" w:bidi="ar-SA"/>
        </w:rPr>
      </w:pPr>
    </w:p>
    <w:p w14:paraId="3FED0E53"/>
    <w:sectPr>
      <w:pgSz w:w="11906" w:h="16838"/>
      <w:pgMar w:top="1304" w:right="1304"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KSOF439EEF50">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E1F5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A88CD">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FA88CD">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0EE0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BBD81">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EBBD81">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ADAB">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C78CF">
                          <w:pPr>
                            <w:pStyle w:val="13"/>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8C78CF">
                    <w:pPr>
                      <w:pStyle w:val="13"/>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99CB">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7B0A2">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17B0A2">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9CEC0"/>
    <w:multiLevelType w:val="singleLevel"/>
    <w:tmpl w:val="86A9CEC0"/>
    <w:lvl w:ilvl="0" w:tentative="0">
      <w:start w:val="1"/>
      <w:numFmt w:val="decimal"/>
      <w:suff w:val="nothing"/>
      <w:lvlText w:val="%1、"/>
      <w:lvlJc w:val="left"/>
    </w:lvl>
  </w:abstractNum>
  <w:abstractNum w:abstractNumId="1">
    <w:nsid w:val="8B80B88C"/>
    <w:multiLevelType w:val="singleLevel"/>
    <w:tmpl w:val="8B80B88C"/>
    <w:lvl w:ilvl="0" w:tentative="0">
      <w:start w:val="2"/>
      <w:numFmt w:val="decimal"/>
      <w:suff w:val="nothing"/>
      <w:lvlText w:val="%1）"/>
      <w:lvlJc w:val="left"/>
    </w:lvl>
  </w:abstractNum>
  <w:abstractNum w:abstractNumId="2">
    <w:nsid w:val="96115D8B"/>
    <w:multiLevelType w:val="singleLevel"/>
    <w:tmpl w:val="96115D8B"/>
    <w:lvl w:ilvl="0" w:tentative="0">
      <w:start w:val="1"/>
      <w:numFmt w:val="decimal"/>
      <w:suff w:val="nothing"/>
      <w:lvlText w:val="%1、"/>
      <w:lvlJc w:val="left"/>
    </w:lvl>
  </w:abstractNum>
  <w:abstractNum w:abstractNumId="3">
    <w:nsid w:val="9B7CCD69"/>
    <w:multiLevelType w:val="singleLevel"/>
    <w:tmpl w:val="9B7CCD69"/>
    <w:lvl w:ilvl="0" w:tentative="0">
      <w:start w:val="3"/>
      <w:numFmt w:val="chineseCounting"/>
      <w:suff w:val="nothing"/>
      <w:lvlText w:val="%1、"/>
      <w:lvlJc w:val="left"/>
      <w:rPr>
        <w:rFonts w:hint="eastAsia"/>
      </w:rPr>
    </w:lvl>
  </w:abstractNum>
  <w:abstractNum w:abstractNumId="4">
    <w:nsid w:val="9E7F7759"/>
    <w:multiLevelType w:val="singleLevel"/>
    <w:tmpl w:val="9E7F7759"/>
    <w:lvl w:ilvl="0" w:tentative="0">
      <w:start w:val="1"/>
      <w:numFmt w:val="decimal"/>
      <w:suff w:val="nothing"/>
      <w:lvlText w:val="%1、"/>
      <w:lvlJc w:val="left"/>
    </w:lvl>
  </w:abstractNum>
  <w:abstractNum w:abstractNumId="5">
    <w:nsid w:val="A354C0B6"/>
    <w:multiLevelType w:val="singleLevel"/>
    <w:tmpl w:val="A354C0B6"/>
    <w:lvl w:ilvl="0" w:tentative="0">
      <w:start w:val="1"/>
      <w:numFmt w:val="decimal"/>
      <w:suff w:val="nothing"/>
      <w:lvlText w:val="%1、"/>
      <w:lvlJc w:val="left"/>
    </w:lvl>
  </w:abstractNum>
  <w:abstractNum w:abstractNumId="6">
    <w:nsid w:val="B37C52F3"/>
    <w:multiLevelType w:val="multilevel"/>
    <w:tmpl w:val="B37C52F3"/>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BC95259A"/>
    <w:multiLevelType w:val="singleLevel"/>
    <w:tmpl w:val="BC95259A"/>
    <w:lvl w:ilvl="0" w:tentative="0">
      <w:start w:val="10"/>
      <w:numFmt w:val="decimal"/>
      <w:suff w:val="nothing"/>
      <w:lvlText w:val="%1、"/>
      <w:lvlJc w:val="left"/>
      <w:pPr>
        <w:ind w:left="210" w:firstLine="0"/>
      </w:pPr>
    </w:lvl>
  </w:abstractNum>
  <w:abstractNum w:abstractNumId="8">
    <w:nsid w:val="C08DF0C4"/>
    <w:multiLevelType w:val="singleLevel"/>
    <w:tmpl w:val="C08DF0C4"/>
    <w:lvl w:ilvl="0" w:tentative="0">
      <w:start w:val="2"/>
      <w:numFmt w:val="decimal"/>
      <w:suff w:val="nothing"/>
      <w:lvlText w:val="（%1）"/>
      <w:lvlJc w:val="left"/>
    </w:lvl>
  </w:abstractNum>
  <w:abstractNum w:abstractNumId="9">
    <w:nsid w:val="D651605A"/>
    <w:multiLevelType w:val="singleLevel"/>
    <w:tmpl w:val="D651605A"/>
    <w:lvl w:ilvl="0" w:tentative="0">
      <w:start w:val="1"/>
      <w:numFmt w:val="decimal"/>
      <w:suff w:val="nothing"/>
      <w:lvlText w:val="（%1）"/>
      <w:lvlJc w:val="left"/>
    </w:lvl>
  </w:abstractNum>
  <w:abstractNum w:abstractNumId="10">
    <w:nsid w:val="E6B3E3F7"/>
    <w:multiLevelType w:val="singleLevel"/>
    <w:tmpl w:val="E6B3E3F7"/>
    <w:lvl w:ilvl="0" w:tentative="0">
      <w:start w:val="1"/>
      <w:numFmt w:val="chineseCounting"/>
      <w:suff w:val="nothing"/>
      <w:lvlText w:val="%1、"/>
      <w:lvlJc w:val="left"/>
      <w:rPr>
        <w:rFonts w:hint="eastAsia"/>
      </w:rPr>
    </w:lvl>
  </w:abstractNum>
  <w:abstractNum w:abstractNumId="11">
    <w:nsid w:val="0028D668"/>
    <w:multiLevelType w:val="singleLevel"/>
    <w:tmpl w:val="0028D668"/>
    <w:lvl w:ilvl="0" w:tentative="0">
      <w:start w:val="2"/>
      <w:numFmt w:val="decimal"/>
      <w:suff w:val="space"/>
      <w:lvlText w:val="%1."/>
      <w:lvlJc w:val="left"/>
    </w:lvl>
  </w:abstractNum>
  <w:abstractNum w:abstractNumId="12">
    <w:nsid w:val="169B1EF6"/>
    <w:multiLevelType w:val="singleLevel"/>
    <w:tmpl w:val="169B1EF6"/>
    <w:lvl w:ilvl="0" w:tentative="0">
      <w:start w:val="1"/>
      <w:numFmt w:val="decimal"/>
      <w:suff w:val="nothing"/>
      <w:lvlText w:val="%1、"/>
      <w:lvlJc w:val="left"/>
    </w:lvl>
  </w:abstractNum>
  <w:abstractNum w:abstractNumId="13">
    <w:nsid w:val="182251CE"/>
    <w:multiLevelType w:val="singleLevel"/>
    <w:tmpl w:val="182251CE"/>
    <w:lvl w:ilvl="0" w:tentative="0">
      <w:start w:val="1"/>
      <w:numFmt w:val="decimal"/>
      <w:lvlText w:val="%1."/>
      <w:lvlJc w:val="left"/>
      <w:pPr>
        <w:tabs>
          <w:tab w:val="left" w:pos="312"/>
        </w:tabs>
      </w:pPr>
    </w:lvl>
  </w:abstractNum>
  <w:abstractNum w:abstractNumId="14">
    <w:nsid w:val="18C93783"/>
    <w:multiLevelType w:val="singleLevel"/>
    <w:tmpl w:val="18C93783"/>
    <w:lvl w:ilvl="0" w:tentative="0">
      <w:start w:val="1"/>
      <w:numFmt w:val="decimal"/>
      <w:suff w:val="space"/>
      <w:lvlText w:val="%1."/>
      <w:lvlJc w:val="left"/>
    </w:lvl>
  </w:abstractNum>
  <w:abstractNum w:abstractNumId="15">
    <w:nsid w:val="1B807521"/>
    <w:multiLevelType w:val="singleLevel"/>
    <w:tmpl w:val="1B807521"/>
    <w:lvl w:ilvl="0" w:tentative="0">
      <w:start w:val="1"/>
      <w:numFmt w:val="decimal"/>
      <w:suff w:val="nothing"/>
      <w:lvlText w:val="%1、"/>
      <w:lvlJc w:val="left"/>
    </w:lvl>
  </w:abstractNum>
  <w:abstractNum w:abstractNumId="16">
    <w:nsid w:val="23258A33"/>
    <w:multiLevelType w:val="singleLevel"/>
    <w:tmpl w:val="23258A33"/>
    <w:lvl w:ilvl="0" w:tentative="0">
      <w:start w:val="1"/>
      <w:numFmt w:val="decimal"/>
      <w:suff w:val="space"/>
      <w:lvlText w:val="（%1）"/>
      <w:lvlJc w:val="left"/>
    </w:lvl>
  </w:abstractNum>
  <w:abstractNum w:abstractNumId="17">
    <w:nsid w:val="29D4C9DA"/>
    <w:multiLevelType w:val="singleLevel"/>
    <w:tmpl w:val="29D4C9DA"/>
    <w:lvl w:ilvl="0" w:tentative="0">
      <w:start w:val="1"/>
      <w:numFmt w:val="decimal"/>
      <w:suff w:val="nothing"/>
      <w:lvlText w:val="（%1）"/>
      <w:lvlJc w:val="left"/>
    </w:lvl>
  </w:abstractNum>
  <w:abstractNum w:abstractNumId="18">
    <w:nsid w:val="2ABF0FA7"/>
    <w:multiLevelType w:val="singleLevel"/>
    <w:tmpl w:val="2ABF0FA7"/>
    <w:lvl w:ilvl="0" w:tentative="0">
      <w:start w:val="1"/>
      <w:numFmt w:val="decimal"/>
      <w:lvlText w:val="%1."/>
      <w:lvlJc w:val="left"/>
      <w:pPr>
        <w:tabs>
          <w:tab w:val="left" w:pos="312"/>
        </w:tabs>
      </w:pPr>
    </w:lvl>
  </w:abstractNum>
  <w:abstractNum w:abstractNumId="19">
    <w:nsid w:val="438D618B"/>
    <w:multiLevelType w:val="singleLevel"/>
    <w:tmpl w:val="438D618B"/>
    <w:lvl w:ilvl="0" w:tentative="0">
      <w:start w:val="2"/>
      <w:numFmt w:val="decimal"/>
      <w:suff w:val="nothing"/>
      <w:lvlText w:val="（%1）"/>
      <w:lvlJc w:val="left"/>
    </w:lvl>
  </w:abstractNum>
  <w:abstractNum w:abstractNumId="20">
    <w:nsid w:val="4963F89C"/>
    <w:multiLevelType w:val="singleLevel"/>
    <w:tmpl w:val="4963F89C"/>
    <w:lvl w:ilvl="0" w:tentative="0">
      <w:start w:val="1"/>
      <w:numFmt w:val="decimal"/>
      <w:suff w:val="nothing"/>
      <w:lvlText w:val="（%1）"/>
      <w:lvlJc w:val="left"/>
    </w:lvl>
  </w:abstractNum>
  <w:abstractNum w:abstractNumId="21">
    <w:nsid w:val="53539599"/>
    <w:multiLevelType w:val="singleLevel"/>
    <w:tmpl w:val="53539599"/>
    <w:lvl w:ilvl="0" w:tentative="0">
      <w:start w:val="8"/>
      <w:numFmt w:val="decimal"/>
      <w:suff w:val="space"/>
      <w:lvlText w:val="%1."/>
      <w:lvlJc w:val="left"/>
    </w:lvl>
  </w:abstractNum>
  <w:abstractNum w:abstractNumId="22">
    <w:nsid w:val="56A37197"/>
    <w:multiLevelType w:val="singleLevel"/>
    <w:tmpl w:val="56A37197"/>
    <w:lvl w:ilvl="0" w:tentative="0">
      <w:start w:val="1"/>
      <w:numFmt w:val="chineseCounting"/>
      <w:suff w:val="space"/>
      <w:lvlText w:val="第%1章"/>
      <w:lvlJc w:val="left"/>
      <w:rPr>
        <w:rFonts w:hint="eastAsia"/>
      </w:rPr>
    </w:lvl>
  </w:abstractNum>
  <w:abstractNum w:abstractNumId="23">
    <w:nsid w:val="57915589"/>
    <w:multiLevelType w:val="singleLevel"/>
    <w:tmpl w:val="57915589"/>
    <w:lvl w:ilvl="0" w:tentative="0">
      <w:start w:val="1"/>
      <w:numFmt w:val="decimal"/>
      <w:suff w:val="nothing"/>
      <w:lvlText w:val="%1、"/>
      <w:lvlJc w:val="left"/>
    </w:lvl>
  </w:abstractNum>
  <w:abstractNum w:abstractNumId="24">
    <w:nsid w:val="6549F957"/>
    <w:multiLevelType w:val="singleLevel"/>
    <w:tmpl w:val="6549F957"/>
    <w:lvl w:ilvl="0" w:tentative="0">
      <w:start w:val="1"/>
      <w:numFmt w:val="decimal"/>
      <w:suff w:val="nothing"/>
      <w:lvlText w:val="（%1）"/>
      <w:lvlJc w:val="left"/>
    </w:lvl>
  </w:abstractNum>
  <w:abstractNum w:abstractNumId="25">
    <w:nsid w:val="6DBFC204"/>
    <w:multiLevelType w:val="singleLevel"/>
    <w:tmpl w:val="6DBFC204"/>
    <w:lvl w:ilvl="0" w:tentative="0">
      <w:start w:val="1"/>
      <w:numFmt w:val="decimal"/>
      <w:suff w:val="nothing"/>
      <w:lvlText w:val="（%1）"/>
      <w:lvlJc w:val="left"/>
    </w:lvl>
  </w:abstractNum>
  <w:abstractNum w:abstractNumId="26">
    <w:nsid w:val="6EDD6596"/>
    <w:multiLevelType w:val="singleLevel"/>
    <w:tmpl w:val="6EDD6596"/>
    <w:lvl w:ilvl="0" w:tentative="0">
      <w:start w:val="1"/>
      <w:numFmt w:val="decimal"/>
      <w:suff w:val="space"/>
      <w:lvlText w:val="%1."/>
      <w:lvlJc w:val="left"/>
    </w:lvl>
  </w:abstractNum>
  <w:abstractNum w:abstractNumId="27">
    <w:nsid w:val="78437C50"/>
    <w:multiLevelType w:val="singleLevel"/>
    <w:tmpl w:val="78437C50"/>
    <w:lvl w:ilvl="0" w:tentative="0">
      <w:start w:val="1"/>
      <w:numFmt w:val="decimal"/>
      <w:suff w:val="nothing"/>
      <w:lvlText w:val="%1、"/>
      <w:lvlJc w:val="left"/>
    </w:lvl>
  </w:abstractNum>
  <w:num w:numId="1">
    <w:abstractNumId w:val="22"/>
  </w:num>
  <w:num w:numId="2">
    <w:abstractNumId w:val="10"/>
  </w:num>
  <w:num w:numId="3">
    <w:abstractNumId w:val="13"/>
  </w:num>
  <w:num w:numId="4">
    <w:abstractNumId w:val="0"/>
  </w:num>
  <w:num w:numId="5">
    <w:abstractNumId w:val="18"/>
  </w:num>
  <w:num w:numId="6">
    <w:abstractNumId w:val="5"/>
  </w:num>
  <w:num w:numId="7">
    <w:abstractNumId w:val="2"/>
  </w:num>
  <w:num w:numId="8">
    <w:abstractNumId w:val="15"/>
  </w:num>
  <w:num w:numId="9">
    <w:abstractNumId w:val="4"/>
  </w:num>
  <w:num w:numId="10">
    <w:abstractNumId w:val="7"/>
  </w:num>
  <w:num w:numId="11">
    <w:abstractNumId w:val="20"/>
  </w:num>
  <w:num w:numId="12">
    <w:abstractNumId w:val="19"/>
  </w:num>
  <w:num w:numId="13">
    <w:abstractNumId w:val="1"/>
  </w:num>
  <w:num w:numId="14">
    <w:abstractNumId w:val="3"/>
  </w:num>
  <w:num w:numId="15">
    <w:abstractNumId w:val="11"/>
  </w:num>
  <w:num w:numId="16">
    <w:abstractNumId w:val="6"/>
  </w:num>
  <w:num w:numId="17">
    <w:abstractNumId w:val="14"/>
  </w:num>
  <w:num w:numId="18">
    <w:abstractNumId w:val="23"/>
  </w:num>
  <w:num w:numId="19">
    <w:abstractNumId w:val="12"/>
  </w:num>
  <w:num w:numId="20">
    <w:abstractNumId w:val="27"/>
  </w:num>
  <w:num w:numId="21">
    <w:abstractNumId w:val="26"/>
  </w:num>
  <w:num w:numId="22">
    <w:abstractNumId w:val="17"/>
  </w:num>
  <w:num w:numId="23">
    <w:abstractNumId w:val="24"/>
  </w:num>
  <w:num w:numId="24">
    <w:abstractNumId w:val="8"/>
  </w:num>
  <w:num w:numId="25">
    <w:abstractNumId w:val="16"/>
  </w:num>
  <w:num w:numId="26">
    <w:abstractNumId w:val="21"/>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F4D53"/>
    <w:rsid w:val="13BF5402"/>
    <w:rsid w:val="2F862863"/>
    <w:rsid w:val="5418672F"/>
    <w:rsid w:val="62EF4D53"/>
    <w:rsid w:val="66B23A7E"/>
    <w:rsid w:val="6C52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6"/>
    <w:basedOn w:val="1"/>
    <w:next w:val="1"/>
    <w:qFormat/>
    <w:uiPriority w:val="1"/>
    <w:pPr>
      <w:ind w:left="658"/>
      <w:outlineLvl w:val="5"/>
    </w:pPr>
    <w:rPr>
      <w:rFonts w:ascii="宋体" w:hAnsi="宋体" w:eastAsia="宋体" w:cs="宋体"/>
      <w:sz w:val="24"/>
      <w:szCs w:val="24"/>
      <w:lang w:val="zh-CN" w:eastAsia="zh-CN" w:bidi="zh-CN"/>
    </w:rPr>
  </w:style>
  <w:style w:type="character" w:default="1" w:styleId="18">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0"/>
    <w:rPr>
      <w:rFonts w:ascii="金山简黑体" w:hAnsi="Courier New" w:eastAsia="金山简黑体" w:cs="Times New Roman"/>
      <w:b/>
      <w:spacing w:val="-8"/>
      <w:kern w:val="0"/>
      <w:sz w:val="44"/>
      <w:szCs w:val="20"/>
    </w:rPr>
  </w:style>
  <w:style w:type="paragraph" w:styleId="8">
    <w:name w:val="Body Text Indent"/>
    <w:basedOn w:val="1"/>
    <w:qFormat/>
    <w:uiPriority w:val="99"/>
    <w:pPr>
      <w:ind w:firstLine="830" w:firstLineChars="352"/>
    </w:pPr>
    <w:rPr>
      <w:rFonts w:ascii="仿宋_GB2312"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Plain Text"/>
    <w:basedOn w:val="1"/>
    <w:qFormat/>
    <w:uiPriority w:val="0"/>
    <w:rPr>
      <w:rFonts w:ascii="宋体" w:hAnsi="Courier New"/>
      <w:szCs w:val="20"/>
    </w:rPr>
  </w:style>
  <w:style w:type="paragraph" w:styleId="11">
    <w:name w:val="Body Text Indent 2"/>
    <w:basedOn w:val="1"/>
    <w:next w:val="12"/>
    <w:qFormat/>
    <w:uiPriority w:val="99"/>
    <w:pPr>
      <w:spacing w:after="120" w:line="480" w:lineRule="auto"/>
      <w:ind w:left="420" w:leftChars="200"/>
    </w:pPr>
    <w:rPr>
      <w:sz w:val="24"/>
    </w:rPr>
  </w:style>
  <w:style w:type="paragraph" w:customStyle="1" w:styleId="12">
    <w:name w:val="正文缩进1"/>
    <w:basedOn w:val="1"/>
    <w:next w:val="1"/>
    <w:qFormat/>
    <w:uiPriority w:val="0"/>
    <w:pPr>
      <w:ind w:firstLine="42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Body Text First Indent"/>
    <w:basedOn w:val="7"/>
    <w:next w:val="1"/>
    <w:qFormat/>
    <w:uiPriority w:val="0"/>
    <w:pPr>
      <w:ind w:firstLine="420"/>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8"/>
    </w:rPr>
  </w:style>
  <w:style w:type="paragraph" w:customStyle="1" w:styleId="21">
    <w:name w:val="TOC 标题2"/>
    <w:next w:val="1"/>
    <w:qFormat/>
    <w:uiPriority w:val="0"/>
    <w:pPr>
      <w:wordWrap w:val="0"/>
    </w:pPr>
    <w:rPr>
      <w:rFonts w:ascii="Times New Roman" w:hAnsi="Times New Roman" w:eastAsia="宋体" w:cs="Times New Roman"/>
      <w:sz w:val="32"/>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paragraph" w:customStyle="1" w:styleId="24">
    <w:name w:val="Body text|1"/>
    <w:basedOn w:val="1"/>
    <w:qFormat/>
    <w:uiPriority w:val="0"/>
    <w:pPr>
      <w:spacing w:line="360" w:lineRule="auto"/>
      <w:ind w:firstLine="400"/>
    </w:pPr>
    <w:rPr>
      <w:rFonts w:ascii="宋体" w:hAnsi="宋体" w:cs="宋体"/>
      <w:szCs w:val="20"/>
      <w:lang w:val="zh-CN" w:bidi="zh-CN"/>
    </w:rPr>
  </w:style>
  <w:style w:type="paragraph" w:customStyle="1" w:styleId="25">
    <w:name w:val="正文文本1"/>
    <w:basedOn w:val="1"/>
    <w:unhideWhenUsed/>
    <w:qFormat/>
    <w:uiPriority w:val="0"/>
    <w:pPr>
      <w:spacing w:after="120"/>
    </w:pPr>
  </w:style>
  <w:style w:type="paragraph" w:customStyle="1" w:styleId="26">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7">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2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11257</Words>
  <Characters>12037</Characters>
  <Lines>0</Lines>
  <Paragraphs>0</Paragraphs>
  <TotalTime>42</TotalTime>
  <ScaleCrop>false</ScaleCrop>
  <LinksUpToDate>false</LinksUpToDate>
  <CharactersWithSpaces>12199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2026-05-06T01:51:00Z</dcterms:created>
  <dc:creator>Administrator</dc:creator>
  <cp:lastModifiedBy>Administrator</cp:lastModifiedBy>
  <cp:lastPrinted>2026-05-06T02:34:00Z</cp:lastPrinted>
  <dcterms:modified xsi:type="dcterms:W3CDTF">2026-05-06T02:37:05Z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E4131AF6027A467A9A35F3670C134298_11</vt:lpwstr>
  </property>
  <property fmtid="{D5CDD505-2E9C-101B-9397-08002B2CF9AE}" pid="4" name="KSOTemplateDocerSaveRecord">
    <vt:lpwstr>eyJoZGlkIjoiYWI2NDY4N2ZiYzgwZDBmNTM4ZjgxMGRmOGQxYTQ4Y2EifQ==</vt:lpwstr>
  </property>
</Properties>
</file>