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715A99">
      <w:pPr>
        <w:bidi w:val="0"/>
        <w:jc w:val="center"/>
        <w:outlineLvl w:val="9"/>
        <w:rPr>
          <w:rFonts w:hint="eastAsia" w:ascii="仿宋" w:hAnsi="仿宋" w:eastAsia="仿宋" w:cs="仿宋"/>
          <w:b w:val="0"/>
          <w:bCs w:val="0"/>
          <w:color w:val="auto"/>
          <w:sz w:val="52"/>
          <w:szCs w:val="52"/>
          <w:highlight w:val="none"/>
        </w:rPr>
      </w:pPr>
    </w:p>
    <w:p w14:paraId="69AF647B">
      <w:pPr>
        <w:bidi w:val="0"/>
        <w:jc w:val="center"/>
        <w:outlineLvl w:val="9"/>
        <w:rPr>
          <w:rFonts w:hint="eastAsia" w:ascii="仿宋" w:hAnsi="仿宋" w:eastAsia="仿宋" w:cs="仿宋"/>
          <w:color w:val="auto"/>
          <w:highlight w:val="none"/>
        </w:rPr>
      </w:pPr>
      <w:r>
        <w:rPr>
          <w:rFonts w:hint="eastAsia" w:ascii="仿宋" w:hAnsi="仿宋" w:eastAsia="仿宋" w:cs="仿宋"/>
          <w:b w:val="0"/>
          <w:bCs w:val="0"/>
          <w:color w:val="auto"/>
          <w:sz w:val="52"/>
          <w:szCs w:val="52"/>
          <w:highlight w:val="none"/>
        </w:rPr>
        <w:t>南宁市政府采购</w:t>
      </w:r>
    </w:p>
    <w:p w14:paraId="1FB9AC19">
      <w:pPr>
        <w:spacing w:before="120" w:beforeLines="50" w:line="360" w:lineRule="auto"/>
        <w:jc w:val="center"/>
        <w:rPr>
          <w:rFonts w:hint="eastAsia" w:ascii="仿宋" w:hAnsi="仿宋" w:eastAsia="仿宋" w:cs="仿宋"/>
          <w:color w:val="auto"/>
          <w:sz w:val="52"/>
          <w:szCs w:val="52"/>
          <w:highlight w:val="none"/>
        </w:rPr>
      </w:pPr>
      <w:r>
        <w:rPr>
          <w:rFonts w:hint="eastAsia" w:ascii="仿宋" w:hAnsi="仿宋" w:eastAsia="仿宋" w:cs="仿宋"/>
          <w:color w:val="auto"/>
          <w:sz w:val="52"/>
          <w:szCs w:val="52"/>
          <w:highlight w:val="none"/>
        </w:rPr>
        <w:t>竞争性磋商文件（服务类）</w:t>
      </w:r>
    </w:p>
    <w:p w14:paraId="68FA14EA">
      <w:pPr>
        <w:spacing w:before="120" w:beforeLines="50" w:line="360" w:lineRule="auto"/>
        <w:jc w:val="center"/>
        <w:rPr>
          <w:rFonts w:hint="eastAsia" w:ascii="仿宋" w:hAnsi="仿宋" w:eastAsia="仿宋" w:cs="仿宋"/>
          <w:color w:val="auto"/>
          <w:sz w:val="36"/>
          <w:szCs w:val="36"/>
          <w:highlight w:val="none"/>
        </w:rPr>
      </w:pPr>
    </w:p>
    <w:p w14:paraId="6725C952">
      <w:pPr>
        <w:snapToGrid w:val="0"/>
        <w:spacing w:before="120" w:beforeLines="50" w:line="360" w:lineRule="auto"/>
        <w:jc w:val="center"/>
        <w:rPr>
          <w:rFonts w:hint="eastAsia" w:ascii="仿宋" w:hAnsi="仿宋" w:eastAsia="仿宋" w:cs="仿宋"/>
          <w:color w:val="auto"/>
          <w:sz w:val="44"/>
          <w:szCs w:val="44"/>
          <w:highlight w:val="none"/>
        </w:rPr>
      </w:pPr>
      <w:r>
        <w:rPr>
          <w:rFonts w:hint="eastAsia" w:ascii="仿宋" w:hAnsi="仿宋" w:eastAsia="仿宋" w:cs="仿宋"/>
          <w:color w:val="auto"/>
          <w:sz w:val="72"/>
          <w:szCs w:val="72"/>
          <w:highlight w:val="none"/>
        </w:rPr>
        <w:t>竞争性磋商文件</w:t>
      </w:r>
    </w:p>
    <w:p w14:paraId="62A69ECE">
      <w:pPr>
        <w:spacing w:before="240" w:beforeLines="100" w:after="120" w:afterLines="50" w:line="360" w:lineRule="auto"/>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（全流程电子化评标）</w:t>
      </w:r>
    </w:p>
    <w:p w14:paraId="0D1B3A2E">
      <w:pPr>
        <w:spacing w:line="360" w:lineRule="auto"/>
        <w:jc w:val="center"/>
        <w:rPr>
          <w:rFonts w:hint="eastAsia" w:ascii="仿宋" w:hAnsi="仿宋" w:eastAsia="仿宋" w:cs="仿宋"/>
          <w:b/>
          <w:color w:val="auto"/>
          <w:sz w:val="32"/>
          <w:szCs w:val="32"/>
          <w:highlight w:val="none"/>
        </w:rPr>
      </w:pPr>
    </w:p>
    <w:p w14:paraId="7216346B">
      <w:pPr>
        <w:spacing w:line="360" w:lineRule="auto"/>
        <w:jc w:val="center"/>
        <w:rPr>
          <w:rFonts w:hint="eastAsia" w:ascii="仿宋" w:hAnsi="仿宋" w:eastAsia="仿宋" w:cs="仿宋"/>
          <w:b/>
          <w:color w:val="auto"/>
          <w:sz w:val="32"/>
          <w:szCs w:val="32"/>
          <w:highlight w:val="none"/>
        </w:rPr>
      </w:pPr>
    </w:p>
    <w:p w14:paraId="29B573F9">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right="0" w:rightChars="0"/>
        <w:textAlignment w:val="auto"/>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z w:val="30"/>
          <w:szCs w:val="30"/>
          <w:highlight w:val="none"/>
        </w:rPr>
        <w:t>项目名称：</w:t>
      </w:r>
      <w:r>
        <w:rPr>
          <w:rFonts w:hint="eastAsia" w:ascii="仿宋" w:hAnsi="仿宋" w:eastAsia="仿宋" w:cs="仿宋"/>
          <w:b/>
          <w:bCs/>
          <w:color w:val="auto"/>
          <w:sz w:val="30"/>
          <w:szCs w:val="30"/>
          <w:highlight w:val="none"/>
          <w:lang w:eastAsia="zh-CN"/>
        </w:rPr>
        <w:t>南宁市市场监督管理局经济技术开发区分局2026年食品安全监督抽检服务项目</w:t>
      </w:r>
    </w:p>
    <w:p w14:paraId="5547B29A">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sz w:val="30"/>
          <w:szCs w:val="30"/>
          <w:highlight w:val="none"/>
          <w:lang w:eastAsia="zh-CN"/>
        </w:rPr>
      </w:pPr>
      <w:bookmarkStart w:id="0" w:name="_Toc7308"/>
      <w:bookmarkStart w:id="1" w:name="_Toc681"/>
      <w:r>
        <w:rPr>
          <w:rFonts w:hint="eastAsia" w:ascii="仿宋" w:hAnsi="仿宋" w:eastAsia="仿宋" w:cs="仿宋"/>
          <w:b/>
          <w:bCs/>
          <w:color w:val="auto"/>
          <w:sz w:val="30"/>
          <w:szCs w:val="30"/>
          <w:highlight w:val="none"/>
        </w:rPr>
        <w:t>项目编号</w:t>
      </w:r>
      <w:bookmarkEnd w:id="0"/>
      <w:bookmarkEnd w:id="1"/>
      <w:r>
        <w:rPr>
          <w:rFonts w:hint="eastAsia" w:ascii="仿宋" w:hAnsi="仿宋" w:eastAsia="仿宋" w:cs="仿宋"/>
          <w:b/>
          <w:bCs/>
          <w:color w:val="auto"/>
          <w:sz w:val="30"/>
          <w:szCs w:val="30"/>
          <w:highlight w:val="none"/>
        </w:rPr>
        <w:t>：</w:t>
      </w:r>
      <w:r>
        <w:rPr>
          <w:rFonts w:hint="eastAsia" w:ascii="仿宋" w:hAnsi="仿宋" w:eastAsia="仿宋" w:cs="仿宋"/>
          <w:b/>
          <w:bCs/>
          <w:color w:val="auto"/>
          <w:sz w:val="30"/>
          <w:szCs w:val="30"/>
          <w:highlight w:val="none"/>
          <w:lang w:eastAsia="zh-CN"/>
        </w:rPr>
        <w:t>NNZC2026-C3-500011-KWZB</w:t>
      </w:r>
    </w:p>
    <w:p w14:paraId="55B10483">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sz w:val="30"/>
          <w:szCs w:val="30"/>
          <w:highlight w:val="none"/>
          <w:lang w:eastAsia="zh-CN"/>
        </w:rPr>
      </w:pPr>
      <w:bookmarkStart w:id="2" w:name="_Toc31224"/>
      <w:bookmarkStart w:id="3" w:name="_Toc23882"/>
      <w:r>
        <w:rPr>
          <w:rFonts w:hint="eastAsia" w:ascii="仿宋" w:hAnsi="仿宋" w:eastAsia="仿宋" w:cs="仿宋"/>
          <w:b/>
          <w:bCs/>
          <w:color w:val="auto"/>
          <w:sz w:val="30"/>
          <w:szCs w:val="30"/>
          <w:highlight w:val="none"/>
        </w:rPr>
        <w:t>采购文号</w:t>
      </w:r>
      <w:bookmarkEnd w:id="2"/>
      <w:bookmarkEnd w:id="3"/>
      <w:r>
        <w:rPr>
          <w:rFonts w:hint="eastAsia" w:ascii="仿宋" w:hAnsi="仿宋" w:eastAsia="仿宋" w:cs="仿宋"/>
          <w:b/>
          <w:bCs/>
          <w:color w:val="auto"/>
          <w:sz w:val="30"/>
          <w:szCs w:val="30"/>
          <w:highlight w:val="none"/>
        </w:rPr>
        <w:t>：GXZC2026-C3-00034</w:t>
      </w:r>
    </w:p>
    <w:p w14:paraId="29C896FB">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项目所属区划：南宁市本级项目</w:t>
      </w:r>
    </w:p>
    <w:p w14:paraId="4631E54C">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sz w:val="30"/>
          <w:szCs w:val="30"/>
          <w:highlight w:val="none"/>
          <w:lang w:eastAsia="zh-CN"/>
        </w:rPr>
      </w:pPr>
      <w:bookmarkStart w:id="4" w:name="_Toc19676"/>
      <w:bookmarkStart w:id="5" w:name="_Toc26813"/>
      <w:r>
        <w:rPr>
          <w:rFonts w:hint="eastAsia" w:ascii="仿宋" w:hAnsi="仿宋" w:eastAsia="仿宋" w:cs="仿宋"/>
          <w:b/>
          <w:bCs/>
          <w:color w:val="auto"/>
          <w:sz w:val="30"/>
          <w:szCs w:val="30"/>
          <w:highlight w:val="none"/>
        </w:rPr>
        <w:t>采购人</w:t>
      </w:r>
      <w:bookmarkEnd w:id="4"/>
      <w:bookmarkEnd w:id="5"/>
      <w:bookmarkStart w:id="6" w:name="_Toc6082"/>
      <w:r>
        <w:rPr>
          <w:rFonts w:hint="eastAsia" w:ascii="仿宋" w:hAnsi="仿宋" w:eastAsia="仿宋" w:cs="仿宋"/>
          <w:b/>
          <w:bCs/>
          <w:color w:val="auto"/>
          <w:sz w:val="30"/>
          <w:szCs w:val="30"/>
          <w:highlight w:val="none"/>
        </w:rPr>
        <w:t>：</w:t>
      </w:r>
      <w:r>
        <w:rPr>
          <w:rFonts w:hint="eastAsia" w:ascii="仿宋" w:hAnsi="仿宋" w:eastAsia="仿宋" w:cs="仿宋"/>
          <w:b/>
          <w:bCs/>
          <w:color w:val="auto"/>
          <w:sz w:val="30"/>
          <w:szCs w:val="30"/>
          <w:highlight w:val="none"/>
          <w:lang w:eastAsia="zh-CN"/>
        </w:rPr>
        <w:t>南宁市市场监督管理局经济技术开发区分局</w:t>
      </w:r>
    </w:p>
    <w:p w14:paraId="18E5F04D">
      <w:pPr>
        <w:pStyle w:val="14"/>
        <w:keepNext w:val="0"/>
        <w:keepLines w:val="0"/>
        <w:pageBreakBefore w:val="0"/>
        <w:widowControl w:val="0"/>
        <w:kinsoku/>
        <w:wordWrap/>
        <w:overflowPunct/>
        <w:topLinePunct w:val="0"/>
        <w:autoSpaceDE/>
        <w:autoSpaceDN/>
        <w:bidi w:val="0"/>
        <w:adjustRightInd/>
        <w:snapToGrid w:val="0"/>
        <w:spacing w:line="360" w:lineRule="auto"/>
        <w:ind w:left="1200" w:leftChars="500"/>
        <w:textAlignment w:val="auto"/>
        <w:outlineLvl w:val="9"/>
        <w:rPr>
          <w:rFonts w:hint="eastAsia" w:ascii="仿宋" w:hAnsi="仿宋" w:eastAsia="仿宋" w:cs="仿宋"/>
          <w:b/>
          <w:bCs/>
          <w:color w:val="auto"/>
          <w:w w:val="95"/>
          <w:sz w:val="30"/>
          <w:szCs w:val="30"/>
          <w:highlight w:val="none"/>
        </w:rPr>
      </w:pPr>
      <w:bookmarkStart w:id="7" w:name="_Toc5106"/>
      <w:r>
        <w:rPr>
          <w:rFonts w:hint="eastAsia" w:ascii="仿宋" w:hAnsi="仿宋" w:eastAsia="仿宋" w:cs="仿宋"/>
          <w:b/>
          <w:bCs/>
          <w:color w:val="auto"/>
          <w:sz w:val="30"/>
          <w:szCs w:val="30"/>
          <w:highlight w:val="none"/>
        </w:rPr>
        <w:t>采购代理机构：广西科文招标有限公司</w:t>
      </w:r>
      <w:bookmarkEnd w:id="6"/>
      <w:bookmarkEnd w:id="7"/>
    </w:p>
    <w:p w14:paraId="412AF47F">
      <w:pPr>
        <w:pStyle w:val="14"/>
        <w:snapToGrid w:val="0"/>
        <w:spacing w:before="50" w:after="120" w:line="360" w:lineRule="auto"/>
        <w:jc w:val="center"/>
        <w:rPr>
          <w:rFonts w:hint="eastAsia" w:ascii="仿宋" w:hAnsi="仿宋" w:eastAsia="仿宋" w:cs="仿宋"/>
          <w:b/>
          <w:bCs/>
          <w:color w:val="auto"/>
          <w:w w:val="95"/>
          <w:sz w:val="30"/>
          <w:szCs w:val="30"/>
          <w:highlight w:val="none"/>
        </w:rPr>
      </w:pPr>
    </w:p>
    <w:p w14:paraId="4E00DC41">
      <w:pPr>
        <w:pStyle w:val="14"/>
        <w:snapToGrid w:val="0"/>
        <w:spacing w:before="50" w:after="120" w:line="360" w:lineRule="auto"/>
        <w:jc w:val="center"/>
        <w:rPr>
          <w:rFonts w:hint="eastAsia" w:ascii="仿宋" w:hAnsi="仿宋" w:eastAsia="仿宋" w:cs="仿宋"/>
          <w:b/>
          <w:bCs/>
          <w:color w:val="auto"/>
          <w:w w:val="95"/>
          <w:sz w:val="30"/>
          <w:szCs w:val="30"/>
          <w:highlight w:val="none"/>
          <w:lang w:eastAsia="zh-CN"/>
        </w:rPr>
      </w:pPr>
      <w:r>
        <w:rPr>
          <w:rFonts w:hint="eastAsia" w:ascii="仿宋" w:hAnsi="仿宋" w:eastAsia="仿宋" w:cs="仿宋"/>
          <w:b/>
          <w:bCs/>
          <w:color w:val="auto"/>
          <w:w w:val="95"/>
          <w:sz w:val="30"/>
          <w:szCs w:val="30"/>
          <w:highlight w:val="none"/>
          <w:lang w:eastAsia="zh-CN"/>
        </w:rPr>
        <w:t>2026年</w:t>
      </w:r>
      <w:r>
        <w:rPr>
          <w:rFonts w:hint="eastAsia" w:ascii="仿宋" w:hAnsi="仿宋" w:eastAsia="仿宋" w:cs="仿宋"/>
          <w:b/>
          <w:bCs/>
          <w:color w:val="auto"/>
          <w:w w:val="95"/>
          <w:sz w:val="30"/>
          <w:szCs w:val="30"/>
          <w:highlight w:val="none"/>
          <w:lang w:val="en-US" w:eastAsia="zh-CN"/>
        </w:rPr>
        <w:t>8</w:t>
      </w:r>
      <w:r>
        <w:rPr>
          <w:rFonts w:hint="eastAsia" w:ascii="仿宋" w:hAnsi="仿宋" w:eastAsia="仿宋" w:cs="仿宋"/>
          <w:b/>
          <w:bCs/>
          <w:color w:val="auto"/>
          <w:w w:val="95"/>
          <w:sz w:val="30"/>
          <w:szCs w:val="30"/>
          <w:highlight w:val="none"/>
          <w:lang w:eastAsia="zh-CN"/>
        </w:rPr>
        <w:t>月</w:t>
      </w:r>
      <w:r>
        <w:rPr>
          <w:rFonts w:hint="eastAsia" w:ascii="仿宋" w:hAnsi="仿宋" w:eastAsia="仿宋" w:cs="仿宋"/>
          <w:b/>
          <w:bCs/>
          <w:color w:val="auto"/>
          <w:w w:val="95"/>
          <w:sz w:val="30"/>
          <w:szCs w:val="30"/>
          <w:highlight w:val="none"/>
          <w:lang w:val="en-US" w:eastAsia="zh-CN"/>
        </w:rPr>
        <w:t>10</w:t>
      </w:r>
      <w:r>
        <w:rPr>
          <w:rFonts w:hint="eastAsia" w:ascii="仿宋" w:hAnsi="仿宋" w:eastAsia="仿宋" w:cs="仿宋"/>
          <w:b/>
          <w:bCs/>
          <w:color w:val="auto"/>
          <w:w w:val="95"/>
          <w:sz w:val="30"/>
          <w:szCs w:val="30"/>
          <w:highlight w:val="none"/>
          <w:lang w:eastAsia="zh-CN"/>
        </w:rPr>
        <w:t>日</w:t>
      </w:r>
    </w:p>
    <w:p w14:paraId="17BFCC17">
      <w:pPr>
        <w:widowControl/>
        <w:spacing w:line="360" w:lineRule="auto"/>
        <w:jc w:val="left"/>
        <w:rPr>
          <w:rFonts w:hint="eastAsia" w:ascii="仿宋" w:hAnsi="仿宋" w:eastAsia="仿宋" w:cs="仿宋"/>
          <w:b/>
          <w:bCs/>
          <w:color w:val="auto"/>
          <w:w w:val="95"/>
          <w:kern w:val="0"/>
          <w:sz w:val="30"/>
          <w:szCs w:val="30"/>
          <w:highlight w:val="none"/>
        </w:rPr>
        <w:sectPr>
          <w:headerReference r:id="rId5" w:type="default"/>
          <w:pgSz w:w="11911" w:h="16838"/>
          <w:pgMar w:top="1417" w:right="1417" w:bottom="1417" w:left="1417" w:header="720" w:footer="720" w:gutter="0"/>
          <w:pgNumType w:start="1"/>
          <w:cols w:space="720" w:num="1"/>
          <w:docGrid w:linePitch="331" w:charSpace="0"/>
        </w:sectPr>
      </w:pPr>
    </w:p>
    <w:p w14:paraId="08A05B8A">
      <w:pPr>
        <w:tabs>
          <w:tab w:val="right" w:leader="dot" w:pos="8296"/>
        </w:tabs>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   录</w:t>
      </w:r>
    </w:p>
    <w:p w14:paraId="1DFA6057">
      <w:pPr>
        <w:pStyle w:val="17"/>
        <w:tabs>
          <w:tab w:val="right" w:leader="dot" w:pos="9077"/>
        </w:tabs>
        <w:rPr>
          <w:color w:val="auto"/>
          <w:highlight w:val="none"/>
        </w:rPr>
      </w:pPr>
      <w:r>
        <w:rPr>
          <w:rFonts w:hint="eastAsia" w:ascii="仿宋" w:hAnsi="仿宋" w:eastAsia="仿宋" w:cs="仿宋"/>
          <w:b/>
          <w:color w:val="auto"/>
          <w:sz w:val="44"/>
          <w:szCs w:val="44"/>
          <w:highlight w:val="none"/>
        </w:rPr>
        <w:fldChar w:fldCharType="begin"/>
      </w:r>
      <w:r>
        <w:rPr>
          <w:rFonts w:hint="eastAsia" w:ascii="仿宋" w:hAnsi="仿宋" w:eastAsia="仿宋" w:cs="仿宋"/>
          <w:b/>
          <w:color w:val="auto"/>
          <w:sz w:val="44"/>
          <w:szCs w:val="44"/>
          <w:highlight w:val="none"/>
        </w:rPr>
        <w:instrText xml:space="preserve">TOC \o "1-2" \h \u </w:instrText>
      </w:r>
      <w:r>
        <w:rPr>
          <w:rFonts w:hint="eastAsia" w:ascii="仿宋" w:hAnsi="仿宋" w:eastAsia="仿宋" w:cs="仿宋"/>
          <w:b/>
          <w:color w:val="auto"/>
          <w:sz w:val="44"/>
          <w:szCs w:val="44"/>
          <w:highlight w:val="none"/>
        </w:rPr>
        <w:fldChar w:fldCharType="separate"/>
      </w: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_Toc11814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第一章 竞争性磋商公告</w:t>
      </w:r>
      <w:r>
        <w:rPr>
          <w:color w:val="auto"/>
          <w:highlight w:val="none"/>
        </w:rPr>
        <w:tab/>
      </w:r>
      <w:r>
        <w:rPr>
          <w:color w:val="auto"/>
          <w:highlight w:val="none"/>
        </w:rPr>
        <w:fldChar w:fldCharType="begin"/>
      </w:r>
      <w:r>
        <w:rPr>
          <w:color w:val="auto"/>
          <w:highlight w:val="none"/>
        </w:rPr>
        <w:instrText xml:space="preserve"> PAGEREF _Toc11814 \h </w:instrText>
      </w:r>
      <w:r>
        <w:rPr>
          <w:color w:val="auto"/>
          <w:highlight w:val="none"/>
        </w:rPr>
        <w:fldChar w:fldCharType="separate"/>
      </w:r>
      <w:r>
        <w:rPr>
          <w:color w:val="auto"/>
          <w:highlight w:val="none"/>
        </w:rPr>
        <w:t>2</w:t>
      </w:r>
      <w:r>
        <w:rPr>
          <w:color w:val="auto"/>
          <w:highlight w:val="none"/>
        </w:rPr>
        <w:fldChar w:fldCharType="end"/>
      </w:r>
      <w:r>
        <w:rPr>
          <w:rFonts w:hint="eastAsia" w:ascii="仿宋" w:hAnsi="仿宋" w:eastAsia="仿宋" w:cs="仿宋"/>
          <w:color w:val="auto"/>
          <w:szCs w:val="44"/>
          <w:highlight w:val="none"/>
        </w:rPr>
        <w:fldChar w:fldCharType="end"/>
      </w:r>
    </w:p>
    <w:p w14:paraId="2965C1F0">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_Toc29293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szCs w:val="32"/>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_Toc29293 \h </w:instrText>
      </w:r>
      <w:r>
        <w:rPr>
          <w:color w:val="auto"/>
          <w:highlight w:val="none"/>
        </w:rPr>
        <w:fldChar w:fldCharType="separate"/>
      </w:r>
      <w:r>
        <w:rPr>
          <w:color w:val="auto"/>
          <w:highlight w:val="none"/>
        </w:rPr>
        <w:t>6</w:t>
      </w:r>
      <w:r>
        <w:rPr>
          <w:color w:val="auto"/>
          <w:highlight w:val="none"/>
        </w:rPr>
        <w:fldChar w:fldCharType="end"/>
      </w:r>
      <w:r>
        <w:rPr>
          <w:rFonts w:hint="eastAsia" w:ascii="仿宋" w:hAnsi="仿宋" w:eastAsia="仿宋" w:cs="仿宋"/>
          <w:color w:val="auto"/>
          <w:szCs w:val="44"/>
          <w:highlight w:val="none"/>
        </w:rPr>
        <w:fldChar w:fldCharType="end"/>
      </w:r>
    </w:p>
    <w:p w14:paraId="39D56538">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_Toc19987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szCs w:val="32"/>
          <w:highlight w:val="none"/>
        </w:rPr>
        <w:t>第三章 供应商须知</w:t>
      </w:r>
      <w:r>
        <w:rPr>
          <w:color w:val="auto"/>
          <w:highlight w:val="none"/>
        </w:rPr>
        <w:tab/>
      </w:r>
      <w:r>
        <w:rPr>
          <w:color w:val="auto"/>
          <w:highlight w:val="none"/>
        </w:rPr>
        <w:fldChar w:fldCharType="begin"/>
      </w:r>
      <w:r>
        <w:rPr>
          <w:color w:val="auto"/>
          <w:highlight w:val="none"/>
        </w:rPr>
        <w:instrText xml:space="preserve"> PAGEREF _Toc19987 \h </w:instrText>
      </w:r>
      <w:r>
        <w:rPr>
          <w:color w:val="auto"/>
          <w:highlight w:val="none"/>
        </w:rPr>
        <w:fldChar w:fldCharType="separate"/>
      </w:r>
      <w:r>
        <w:rPr>
          <w:color w:val="auto"/>
          <w:highlight w:val="none"/>
        </w:rPr>
        <w:t>64</w:t>
      </w:r>
      <w:r>
        <w:rPr>
          <w:color w:val="auto"/>
          <w:highlight w:val="none"/>
        </w:rPr>
        <w:fldChar w:fldCharType="end"/>
      </w:r>
      <w:r>
        <w:rPr>
          <w:rFonts w:hint="eastAsia" w:ascii="仿宋" w:hAnsi="仿宋" w:eastAsia="仿宋" w:cs="仿宋"/>
          <w:color w:val="auto"/>
          <w:szCs w:val="44"/>
          <w:highlight w:val="none"/>
        </w:rPr>
        <w:fldChar w:fldCharType="end"/>
      </w:r>
    </w:p>
    <w:p w14:paraId="1941FBF3">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_Toc30751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第一节 供应商须知前附表</w:t>
      </w:r>
      <w:r>
        <w:rPr>
          <w:color w:val="auto"/>
          <w:highlight w:val="none"/>
        </w:rPr>
        <w:tab/>
      </w:r>
      <w:r>
        <w:rPr>
          <w:color w:val="auto"/>
          <w:highlight w:val="none"/>
        </w:rPr>
        <w:fldChar w:fldCharType="begin"/>
      </w:r>
      <w:r>
        <w:rPr>
          <w:color w:val="auto"/>
          <w:highlight w:val="none"/>
        </w:rPr>
        <w:instrText xml:space="preserve"> PAGEREF _Toc30751 \h </w:instrText>
      </w:r>
      <w:r>
        <w:rPr>
          <w:color w:val="auto"/>
          <w:highlight w:val="none"/>
        </w:rPr>
        <w:fldChar w:fldCharType="separate"/>
      </w:r>
      <w:r>
        <w:rPr>
          <w:color w:val="auto"/>
          <w:highlight w:val="none"/>
        </w:rPr>
        <w:t>64</w:t>
      </w:r>
      <w:r>
        <w:rPr>
          <w:color w:val="auto"/>
          <w:highlight w:val="none"/>
        </w:rPr>
        <w:fldChar w:fldCharType="end"/>
      </w:r>
      <w:r>
        <w:rPr>
          <w:rFonts w:hint="eastAsia" w:ascii="仿宋" w:hAnsi="仿宋" w:eastAsia="仿宋" w:cs="仿宋"/>
          <w:color w:val="auto"/>
          <w:szCs w:val="44"/>
          <w:highlight w:val="none"/>
        </w:rPr>
        <w:fldChar w:fldCharType="end"/>
      </w:r>
    </w:p>
    <w:p w14:paraId="1AA97B2C">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_Toc24493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第二节 供应商须知正文</w:t>
      </w:r>
      <w:r>
        <w:rPr>
          <w:color w:val="auto"/>
          <w:highlight w:val="none"/>
        </w:rPr>
        <w:tab/>
      </w:r>
      <w:r>
        <w:rPr>
          <w:color w:val="auto"/>
          <w:highlight w:val="none"/>
        </w:rPr>
        <w:fldChar w:fldCharType="begin"/>
      </w:r>
      <w:r>
        <w:rPr>
          <w:color w:val="auto"/>
          <w:highlight w:val="none"/>
        </w:rPr>
        <w:instrText xml:space="preserve"> PAGEREF _Toc24493 \h </w:instrText>
      </w:r>
      <w:r>
        <w:rPr>
          <w:color w:val="auto"/>
          <w:highlight w:val="none"/>
        </w:rPr>
        <w:fldChar w:fldCharType="separate"/>
      </w:r>
      <w:r>
        <w:rPr>
          <w:color w:val="auto"/>
          <w:highlight w:val="none"/>
        </w:rPr>
        <w:t>72</w:t>
      </w:r>
      <w:r>
        <w:rPr>
          <w:color w:val="auto"/>
          <w:highlight w:val="none"/>
        </w:rPr>
        <w:fldChar w:fldCharType="end"/>
      </w:r>
      <w:r>
        <w:rPr>
          <w:rFonts w:hint="eastAsia" w:ascii="仿宋" w:hAnsi="仿宋" w:eastAsia="仿宋" w:cs="仿宋"/>
          <w:color w:val="auto"/>
          <w:szCs w:val="44"/>
          <w:highlight w:val="none"/>
        </w:rPr>
        <w:fldChar w:fldCharType="end"/>
      </w:r>
    </w:p>
    <w:p w14:paraId="39245EE7">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_Toc25054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第四章 评审程序、评审方法和评审标准</w:t>
      </w:r>
      <w:r>
        <w:rPr>
          <w:color w:val="auto"/>
          <w:highlight w:val="none"/>
        </w:rPr>
        <w:tab/>
      </w:r>
      <w:r>
        <w:rPr>
          <w:color w:val="auto"/>
          <w:highlight w:val="none"/>
        </w:rPr>
        <w:fldChar w:fldCharType="begin"/>
      </w:r>
      <w:r>
        <w:rPr>
          <w:color w:val="auto"/>
          <w:highlight w:val="none"/>
        </w:rPr>
        <w:instrText xml:space="preserve"> PAGEREF _Toc25054 \h </w:instrText>
      </w:r>
      <w:r>
        <w:rPr>
          <w:color w:val="auto"/>
          <w:highlight w:val="none"/>
        </w:rPr>
        <w:fldChar w:fldCharType="separate"/>
      </w:r>
      <w:r>
        <w:rPr>
          <w:color w:val="auto"/>
          <w:highlight w:val="none"/>
        </w:rPr>
        <w:t>86</w:t>
      </w:r>
      <w:r>
        <w:rPr>
          <w:color w:val="auto"/>
          <w:highlight w:val="none"/>
        </w:rPr>
        <w:fldChar w:fldCharType="end"/>
      </w:r>
      <w:r>
        <w:rPr>
          <w:rFonts w:hint="eastAsia" w:ascii="仿宋" w:hAnsi="仿宋" w:eastAsia="仿宋" w:cs="仿宋"/>
          <w:color w:val="auto"/>
          <w:szCs w:val="44"/>
          <w:highlight w:val="none"/>
        </w:rPr>
        <w:fldChar w:fldCharType="end"/>
      </w:r>
    </w:p>
    <w:p w14:paraId="61262BCB">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_Toc13035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第一节 评审程序和评审方法</w:t>
      </w:r>
      <w:r>
        <w:rPr>
          <w:color w:val="auto"/>
          <w:highlight w:val="none"/>
        </w:rPr>
        <w:tab/>
      </w:r>
      <w:r>
        <w:rPr>
          <w:color w:val="auto"/>
          <w:highlight w:val="none"/>
        </w:rPr>
        <w:fldChar w:fldCharType="begin"/>
      </w:r>
      <w:r>
        <w:rPr>
          <w:color w:val="auto"/>
          <w:highlight w:val="none"/>
        </w:rPr>
        <w:instrText xml:space="preserve"> PAGEREF _Toc13035 \h </w:instrText>
      </w:r>
      <w:r>
        <w:rPr>
          <w:color w:val="auto"/>
          <w:highlight w:val="none"/>
        </w:rPr>
        <w:fldChar w:fldCharType="separate"/>
      </w:r>
      <w:r>
        <w:rPr>
          <w:color w:val="auto"/>
          <w:highlight w:val="none"/>
        </w:rPr>
        <w:t>86</w:t>
      </w:r>
      <w:r>
        <w:rPr>
          <w:color w:val="auto"/>
          <w:highlight w:val="none"/>
        </w:rPr>
        <w:fldChar w:fldCharType="end"/>
      </w:r>
      <w:r>
        <w:rPr>
          <w:rFonts w:hint="eastAsia" w:ascii="仿宋" w:hAnsi="仿宋" w:eastAsia="仿宋" w:cs="仿宋"/>
          <w:color w:val="auto"/>
          <w:szCs w:val="44"/>
          <w:highlight w:val="none"/>
        </w:rPr>
        <w:fldChar w:fldCharType="end"/>
      </w:r>
    </w:p>
    <w:p w14:paraId="601FBCDD">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_Toc29269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第二节 评标报告</w:t>
      </w:r>
      <w:r>
        <w:rPr>
          <w:color w:val="auto"/>
          <w:highlight w:val="none"/>
        </w:rPr>
        <w:tab/>
      </w:r>
      <w:r>
        <w:rPr>
          <w:color w:val="auto"/>
          <w:highlight w:val="none"/>
        </w:rPr>
        <w:fldChar w:fldCharType="begin"/>
      </w:r>
      <w:r>
        <w:rPr>
          <w:color w:val="auto"/>
          <w:highlight w:val="none"/>
        </w:rPr>
        <w:instrText xml:space="preserve"> PAGEREF _Toc29269 \h </w:instrText>
      </w:r>
      <w:r>
        <w:rPr>
          <w:color w:val="auto"/>
          <w:highlight w:val="none"/>
        </w:rPr>
        <w:fldChar w:fldCharType="separate"/>
      </w:r>
      <w:r>
        <w:rPr>
          <w:color w:val="auto"/>
          <w:highlight w:val="none"/>
        </w:rPr>
        <w:t>99</w:t>
      </w:r>
      <w:r>
        <w:rPr>
          <w:color w:val="auto"/>
          <w:highlight w:val="none"/>
        </w:rPr>
        <w:fldChar w:fldCharType="end"/>
      </w:r>
      <w:r>
        <w:rPr>
          <w:rFonts w:hint="eastAsia" w:ascii="仿宋" w:hAnsi="仿宋" w:eastAsia="仿宋" w:cs="仿宋"/>
          <w:color w:val="auto"/>
          <w:szCs w:val="44"/>
          <w:highlight w:val="none"/>
        </w:rPr>
        <w:fldChar w:fldCharType="end"/>
      </w:r>
    </w:p>
    <w:p w14:paraId="02D2C529">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_Toc12309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第三节 评审过程的保密与录像</w:t>
      </w:r>
      <w:r>
        <w:rPr>
          <w:color w:val="auto"/>
          <w:highlight w:val="none"/>
        </w:rPr>
        <w:tab/>
      </w:r>
      <w:r>
        <w:rPr>
          <w:color w:val="auto"/>
          <w:highlight w:val="none"/>
        </w:rPr>
        <w:fldChar w:fldCharType="begin"/>
      </w:r>
      <w:r>
        <w:rPr>
          <w:color w:val="auto"/>
          <w:highlight w:val="none"/>
        </w:rPr>
        <w:instrText xml:space="preserve"> PAGEREF _Toc12309 \h </w:instrText>
      </w:r>
      <w:r>
        <w:rPr>
          <w:color w:val="auto"/>
          <w:highlight w:val="none"/>
        </w:rPr>
        <w:fldChar w:fldCharType="separate"/>
      </w:r>
      <w:r>
        <w:rPr>
          <w:color w:val="auto"/>
          <w:highlight w:val="none"/>
        </w:rPr>
        <w:t>99</w:t>
      </w:r>
      <w:r>
        <w:rPr>
          <w:color w:val="auto"/>
          <w:highlight w:val="none"/>
        </w:rPr>
        <w:fldChar w:fldCharType="end"/>
      </w:r>
      <w:r>
        <w:rPr>
          <w:rFonts w:hint="eastAsia" w:ascii="仿宋" w:hAnsi="仿宋" w:eastAsia="仿宋" w:cs="仿宋"/>
          <w:color w:val="auto"/>
          <w:szCs w:val="44"/>
          <w:highlight w:val="none"/>
        </w:rPr>
        <w:fldChar w:fldCharType="end"/>
      </w:r>
    </w:p>
    <w:p w14:paraId="08D05A9E">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_Toc1999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第五章 响应文件格式</w:t>
      </w:r>
      <w:r>
        <w:rPr>
          <w:color w:val="auto"/>
          <w:highlight w:val="none"/>
        </w:rPr>
        <w:tab/>
      </w:r>
      <w:r>
        <w:rPr>
          <w:color w:val="auto"/>
          <w:highlight w:val="none"/>
        </w:rPr>
        <w:fldChar w:fldCharType="begin"/>
      </w:r>
      <w:r>
        <w:rPr>
          <w:color w:val="auto"/>
          <w:highlight w:val="none"/>
        </w:rPr>
        <w:instrText xml:space="preserve"> PAGEREF _Toc1999 \h </w:instrText>
      </w:r>
      <w:r>
        <w:rPr>
          <w:color w:val="auto"/>
          <w:highlight w:val="none"/>
        </w:rPr>
        <w:fldChar w:fldCharType="separate"/>
      </w:r>
      <w:r>
        <w:rPr>
          <w:color w:val="auto"/>
          <w:highlight w:val="none"/>
        </w:rPr>
        <w:t>100</w:t>
      </w:r>
      <w:r>
        <w:rPr>
          <w:color w:val="auto"/>
          <w:highlight w:val="none"/>
        </w:rPr>
        <w:fldChar w:fldCharType="end"/>
      </w:r>
      <w:r>
        <w:rPr>
          <w:rFonts w:hint="eastAsia" w:ascii="仿宋" w:hAnsi="仿宋" w:eastAsia="仿宋" w:cs="仿宋"/>
          <w:color w:val="auto"/>
          <w:szCs w:val="44"/>
          <w:highlight w:val="none"/>
        </w:rPr>
        <w:fldChar w:fldCharType="end"/>
      </w:r>
    </w:p>
    <w:p w14:paraId="29E672C7">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_Toc32480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第一节 封面格式</w:t>
      </w:r>
      <w:r>
        <w:rPr>
          <w:color w:val="auto"/>
          <w:highlight w:val="none"/>
        </w:rPr>
        <w:tab/>
      </w:r>
      <w:r>
        <w:rPr>
          <w:color w:val="auto"/>
          <w:highlight w:val="none"/>
        </w:rPr>
        <w:fldChar w:fldCharType="begin"/>
      </w:r>
      <w:r>
        <w:rPr>
          <w:color w:val="auto"/>
          <w:highlight w:val="none"/>
        </w:rPr>
        <w:instrText xml:space="preserve"> PAGEREF _Toc32480 \h </w:instrText>
      </w:r>
      <w:r>
        <w:rPr>
          <w:color w:val="auto"/>
          <w:highlight w:val="none"/>
        </w:rPr>
        <w:fldChar w:fldCharType="separate"/>
      </w:r>
      <w:r>
        <w:rPr>
          <w:color w:val="auto"/>
          <w:highlight w:val="none"/>
        </w:rPr>
        <w:t>101</w:t>
      </w:r>
      <w:r>
        <w:rPr>
          <w:color w:val="auto"/>
          <w:highlight w:val="none"/>
        </w:rPr>
        <w:fldChar w:fldCharType="end"/>
      </w:r>
      <w:r>
        <w:rPr>
          <w:rFonts w:hint="eastAsia" w:ascii="仿宋" w:hAnsi="仿宋" w:eastAsia="仿宋" w:cs="仿宋"/>
          <w:color w:val="auto"/>
          <w:szCs w:val="44"/>
          <w:highlight w:val="none"/>
        </w:rPr>
        <w:fldChar w:fldCharType="end"/>
      </w:r>
    </w:p>
    <w:p w14:paraId="09F28331">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_Toc19292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_Toc19292 \h </w:instrText>
      </w:r>
      <w:r>
        <w:rPr>
          <w:color w:val="auto"/>
          <w:highlight w:val="none"/>
        </w:rPr>
        <w:fldChar w:fldCharType="separate"/>
      </w:r>
      <w:r>
        <w:rPr>
          <w:color w:val="auto"/>
          <w:highlight w:val="none"/>
        </w:rPr>
        <w:t>102</w:t>
      </w:r>
      <w:r>
        <w:rPr>
          <w:color w:val="auto"/>
          <w:highlight w:val="none"/>
        </w:rPr>
        <w:fldChar w:fldCharType="end"/>
      </w:r>
      <w:r>
        <w:rPr>
          <w:rFonts w:hint="eastAsia" w:ascii="仿宋" w:hAnsi="仿宋" w:eastAsia="仿宋" w:cs="仿宋"/>
          <w:color w:val="auto"/>
          <w:szCs w:val="44"/>
          <w:highlight w:val="none"/>
        </w:rPr>
        <w:fldChar w:fldCharType="end"/>
      </w:r>
    </w:p>
    <w:p w14:paraId="3FF4E978">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_Toc2955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highlight w:val="none"/>
        </w:rPr>
        <w:t xml:space="preserve">第三节 </w:t>
      </w:r>
      <w:r>
        <w:rPr>
          <w:rFonts w:hint="eastAsia" w:ascii="仿宋" w:hAnsi="仿宋" w:eastAsia="仿宋" w:cs="仿宋"/>
          <w:color w:val="auto"/>
          <w:highlight w:val="none"/>
        </w:rPr>
        <w:t>商务</w:t>
      </w:r>
      <w:r>
        <w:rPr>
          <w:rFonts w:hint="eastAsia" w:ascii="仿宋" w:hAnsi="仿宋" w:eastAsia="仿宋" w:cs="仿宋"/>
          <w:color w:val="auto"/>
          <w:highlight w:val="none"/>
          <w:lang w:val="en-US" w:eastAsia="zh-CN"/>
        </w:rPr>
        <w:t>技术</w:t>
      </w:r>
      <w:r>
        <w:rPr>
          <w:rFonts w:hint="eastAsia" w:ascii="仿宋" w:hAnsi="仿宋" w:eastAsia="仿宋" w:cs="仿宋"/>
          <w:color w:val="auto"/>
          <w:highlight w:val="none"/>
        </w:rPr>
        <w:t>文件格式</w:t>
      </w:r>
      <w:r>
        <w:rPr>
          <w:color w:val="auto"/>
          <w:highlight w:val="none"/>
        </w:rPr>
        <w:tab/>
      </w:r>
      <w:r>
        <w:rPr>
          <w:color w:val="auto"/>
          <w:highlight w:val="none"/>
        </w:rPr>
        <w:fldChar w:fldCharType="begin"/>
      </w:r>
      <w:r>
        <w:rPr>
          <w:color w:val="auto"/>
          <w:highlight w:val="none"/>
        </w:rPr>
        <w:instrText xml:space="preserve"> PAGEREF _Toc2955 \h </w:instrText>
      </w:r>
      <w:r>
        <w:rPr>
          <w:color w:val="auto"/>
          <w:highlight w:val="none"/>
        </w:rPr>
        <w:fldChar w:fldCharType="separate"/>
      </w:r>
      <w:r>
        <w:rPr>
          <w:color w:val="auto"/>
          <w:highlight w:val="none"/>
        </w:rPr>
        <w:t>114</w:t>
      </w:r>
      <w:r>
        <w:rPr>
          <w:color w:val="auto"/>
          <w:highlight w:val="none"/>
        </w:rPr>
        <w:fldChar w:fldCharType="end"/>
      </w:r>
      <w:r>
        <w:rPr>
          <w:rFonts w:hint="eastAsia" w:ascii="仿宋" w:hAnsi="仿宋" w:eastAsia="仿宋" w:cs="仿宋"/>
          <w:color w:val="auto"/>
          <w:szCs w:val="44"/>
          <w:highlight w:val="none"/>
        </w:rPr>
        <w:fldChar w:fldCharType="end"/>
      </w:r>
    </w:p>
    <w:p w14:paraId="74722438">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_Toc27142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第四节 报价文件格式</w:t>
      </w:r>
      <w:r>
        <w:rPr>
          <w:color w:val="auto"/>
          <w:highlight w:val="none"/>
        </w:rPr>
        <w:tab/>
      </w:r>
      <w:r>
        <w:rPr>
          <w:color w:val="auto"/>
          <w:highlight w:val="none"/>
        </w:rPr>
        <w:fldChar w:fldCharType="begin"/>
      </w:r>
      <w:r>
        <w:rPr>
          <w:color w:val="auto"/>
          <w:highlight w:val="none"/>
        </w:rPr>
        <w:instrText xml:space="preserve"> PAGEREF _Toc27142 \h </w:instrText>
      </w:r>
      <w:r>
        <w:rPr>
          <w:color w:val="auto"/>
          <w:highlight w:val="none"/>
        </w:rPr>
        <w:fldChar w:fldCharType="separate"/>
      </w:r>
      <w:r>
        <w:rPr>
          <w:color w:val="auto"/>
          <w:highlight w:val="none"/>
        </w:rPr>
        <w:t>126</w:t>
      </w:r>
      <w:r>
        <w:rPr>
          <w:color w:val="auto"/>
          <w:highlight w:val="none"/>
        </w:rPr>
        <w:fldChar w:fldCharType="end"/>
      </w:r>
      <w:r>
        <w:rPr>
          <w:rFonts w:hint="eastAsia" w:ascii="仿宋" w:hAnsi="仿宋" w:eastAsia="仿宋" w:cs="仿宋"/>
          <w:color w:val="auto"/>
          <w:szCs w:val="44"/>
          <w:highlight w:val="none"/>
        </w:rPr>
        <w:fldChar w:fldCharType="end"/>
      </w:r>
    </w:p>
    <w:p w14:paraId="3A1651ED">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_Toc435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第五节 其他文书、文件格式</w:t>
      </w:r>
      <w:r>
        <w:rPr>
          <w:color w:val="auto"/>
          <w:highlight w:val="none"/>
        </w:rPr>
        <w:tab/>
      </w:r>
      <w:r>
        <w:rPr>
          <w:color w:val="auto"/>
          <w:highlight w:val="none"/>
        </w:rPr>
        <w:fldChar w:fldCharType="begin"/>
      </w:r>
      <w:r>
        <w:rPr>
          <w:color w:val="auto"/>
          <w:highlight w:val="none"/>
        </w:rPr>
        <w:instrText xml:space="preserve"> PAGEREF _Toc435 \h </w:instrText>
      </w:r>
      <w:r>
        <w:rPr>
          <w:color w:val="auto"/>
          <w:highlight w:val="none"/>
        </w:rPr>
        <w:fldChar w:fldCharType="separate"/>
      </w:r>
      <w:r>
        <w:rPr>
          <w:color w:val="auto"/>
          <w:highlight w:val="none"/>
        </w:rPr>
        <w:t>132</w:t>
      </w:r>
      <w:r>
        <w:rPr>
          <w:color w:val="auto"/>
          <w:highlight w:val="none"/>
        </w:rPr>
        <w:fldChar w:fldCharType="end"/>
      </w:r>
      <w:r>
        <w:rPr>
          <w:rFonts w:hint="eastAsia" w:ascii="仿宋" w:hAnsi="仿宋" w:eastAsia="仿宋" w:cs="仿宋"/>
          <w:color w:val="auto"/>
          <w:szCs w:val="44"/>
          <w:highlight w:val="none"/>
        </w:rPr>
        <w:fldChar w:fldCharType="end"/>
      </w:r>
    </w:p>
    <w:p w14:paraId="6848DEA8">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_Toc12483 </w:instrText>
      </w:r>
      <w:r>
        <w:rPr>
          <w:rFonts w:hint="eastAsia" w:ascii="仿宋" w:hAnsi="仿宋" w:eastAsia="仿宋" w:cs="仿宋"/>
          <w:color w:val="auto"/>
          <w:szCs w:val="44"/>
          <w:highlight w:val="none"/>
        </w:rPr>
        <w:fldChar w:fldCharType="separate"/>
      </w:r>
      <w:r>
        <w:rPr>
          <w:rFonts w:hint="eastAsia" w:ascii="仿宋" w:hAnsi="仿宋" w:eastAsia="仿宋" w:cs="仿宋"/>
          <w:bCs w:val="0"/>
          <w:color w:val="auto"/>
          <w:highlight w:val="none"/>
        </w:rPr>
        <w:t>第六章 合同文本</w:t>
      </w:r>
      <w:r>
        <w:rPr>
          <w:color w:val="auto"/>
          <w:highlight w:val="none"/>
        </w:rPr>
        <w:tab/>
      </w:r>
      <w:r>
        <w:rPr>
          <w:color w:val="auto"/>
          <w:highlight w:val="none"/>
        </w:rPr>
        <w:fldChar w:fldCharType="begin"/>
      </w:r>
      <w:r>
        <w:rPr>
          <w:color w:val="auto"/>
          <w:highlight w:val="none"/>
        </w:rPr>
        <w:instrText xml:space="preserve"> PAGEREF _Toc12483 \h </w:instrText>
      </w:r>
      <w:r>
        <w:rPr>
          <w:color w:val="auto"/>
          <w:highlight w:val="none"/>
        </w:rPr>
        <w:fldChar w:fldCharType="separate"/>
      </w:r>
      <w:r>
        <w:rPr>
          <w:color w:val="auto"/>
          <w:highlight w:val="none"/>
        </w:rPr>
        <w:t>133</w:t>
      </w:r>
      <w:r>
        <w:rPr>
          <w:color w:val="auto"/>
          <w:highlight w:val="none"/>
        </w:rPr>
        <w:fldChar w:fldCharType="end"/>
      </w:r>
      <w:r>
        <w:rPr>
          <w:rFonts w:hint="eastAsia" w:ascii="仿宋" w:hAnsi="仿宋" w:eastAsia="仿宋" w:cs="仿宋"/>
          <w:color w:val="auto"/>
          <w:szCs w:val="44"/>
          <w:highlight w:val="none"/>
        </w:rPr>
        <w:fldChar w:fldCharType="end"/>
      </w:r>
    </w:p>
    <w:p w14:paraId="138BC676">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_Toc21240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szCs w:val="28"/>
          <w:highlight w:val="none"/>
        </w:rPr>
        <w:t>第一部分 合同书</w:t>
      </w:r>
      <w:r>
        <w:rPr>
          <w:color w:val="auto"/>
          <w:highlight w:val="none"/>
        </w:rPr>
        <w:tab/>
      </w:r>
      <w:r>
        <w:rPr>
          <w:color w:val="auto"/>
          <w:highlight w:val="none"/>
        </w:rPr>
        <w:fldChar w:fldCharType="begin"/>
      </w:r>
      <w:r>
        <w:rPr>
          <w:color w:val="auto"/>
          <w:highlight w:val="none"/>
        </w:rPr>
        <w:instrText xml:space="preserve"> PAGEREF _Toc21240 \h </w:instrText>
      </w:r>
      <w:r>
        <w:rPr>
          <w:color w:val="auto"/>
          <w:highlight w:val="none"/>
        </w:rPr>
        <w:fldChar w:fldCharType="separate"/>
      </w:r>
      <w:r>
        <w:rPr>
          <w:color w:val="auto"/>
          <w:highlight w:val="none"/>
        </w:rPr>
        <w:t>136</w:t>
      </w:r>
      <w:r>
        <w:rPr>
          <w:color w:val="auto"/>
          <w:highlight w:val="none"/>
        </w:rPr>
        <w:fldChar w:fldCharType="end"/>
      </w:r>
      <w:r>
        <w:rPr>
          <w:rFonts w:hint="eastAsia" w:ascii="仿宋" w:hAnsi="仿宋" w:eastAsia="仿宋" w:cs="仿宋"/>
          <w:color w:val="auto"/>
          <w:szCs w:val="44"/>
          <w:highlight w:val="none"/>
        </w:rPr>
        <w:fldChar w:fldCharType="end"/>
      </w:r>
    </w:p>
    <w:p w14:paraId="13ACC9E3">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_Toc26903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szCs w:val="28"/>
          <w:highlight w:val="none"/>
        </w:rPr>
        <w:t>第二部分 合同一般条款</w:t>
      </w:r>
      <w:r>
        <w:rPr>
          <w:color w:val="auto"/>
          <w:highlight w:val="none"/>
        </w:rPr>
        <w:tab/>
      </w:r>
      <w:r>
        <w:rPr>
          <w:color w:val="auto"/>
          <w:highlight w:val="none"/>
        </w:rPr>
        <w:fldChar w:fldCharType="begin"/>
      </w:r>
      <w:r>
        <w:rPr>
          <w:color w:val="auto"/>
          <w:highlight w:val="none"/>
        </w:rPr>
        <w:instrText xml:space="preserve"> PAGEREF _Toc26903 \h </w:instrText>
      </w:r>
      <w:r>
        <w:rPr>
          <w:color w:val="auto"/>
          <w:highlight w:val="none"/>
        </w:rPr>
        <w:fldChar w:fldCharType="separate"/>
      </w:r>
      <w:r>
        <w:rPr>
          <w:color w:val="auto"/>
          <w:highlight w:val="none"/>
        </w:rPr>
        <w:t>140</w:t>
      </w:r>
      <w:r>
        <w:rPr>
          <w:color w:val="auto"/>
          <w:highlight w:val="none"/>
        </w:rPr>
        <w:fldChar w:fldCharType="end"/>
      </w:r>
      <w:r>
        <w:rPr>
          <w:rFonts w:hint="eastAsia" w:ascii="仿宋" w:hAnsi="仿宋" w:eastAsia="仿宋" w:cs="仿宋"/>
          <w:color w:val="auto"/>
          <w:szCs w:val="44"/>
          <w:highlight w:val="none"/>
        </w:rPr>
        <w:fldChar w:fldCharType="end"/>
      </w:r>
    </w:p>
    <w:p w14:paraId="5B5193E0">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_Toc20401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szCs w:val="28"/>
          <w:highlight w:val="none"/>
        </w:rPr>
        <w:t>第三部分 合同专用条款</w:t>
      </w:r>
      <w:r>
        <w:rPr>
          <w:color w:val="auto"/>
          <w:highlight w:val="none"/>
        </w:rPr>
        <w:tab/>
      </w:r>
      <w:r>
        <w:rPr>
          <w:color w:val="auto"/>
          <w:highlight w:val="none"/>
        </w:rPr>
        <w:fldChar w:fldCharType="begin"/>
      </w:r>
      <w:r>
        <w:rPr>
          <w:color w:val="auto"/>
          <w:highlight w:val="none"/>
        </w:rPr>
        <w:instrText xml:space="preserve"> PAGEREF _Toc20401 \h </w:instrText>
      </w:r>
      <w:r>
        <w:rPr>
          <w:color w:val="auto"/>
          <w:highlight w:val="none"/>
        </w:rPr>
        <w:fldChar w:fldCharType="separate"/>
      </w:r>
      <w:r>
        <w:rPr>
          <w:color w:val="auto"/>
          <w:highlight w:val="none"/>
        </w:rPr>
        <w:t>145</w:t>
      </w:r>
      <w:r>
        <w:rPr>
          <w:color w:val="auto"/>
          <w:highlight w:val="none"/>
        </w:rPr>
        <w:fldChar w:fldCharType="end"/>
      </w:r>
      <w:r>
        <w:rPr>
          <w:rFonts w:hint="eastAsia" w:ascii="仿宋" w:hAnsi="仿宋" w:eastAsia="仿宋" w:cs="仿宋"/>
          <w:color w:val="auto"/>
          <w:szCs w:val="44"/>
          <w:highlight w:val="none"/>
        </w:rPr>
        <w:fldChar w:fldCharType="end"/>
      </w:r>
    </w:p>
    <w:p w14:paraId="65585A18">
      <w:pPr>
        <w:pStyle w:val="19"/>
        <w:tabs>
          <w:tab w:val="right" w:leader="dot" w:pos="9077"/>
          <w:tab w:val="clear" w:pos="8296"/>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_Toc882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szCs w:val="28"/>
          <w:highlight w:val="none"/>
        </w:rPr>
        <w:t>第四部分 合同附件</w:t>
      </w:r>
      <w:r>
        <w:rPr>
          <w:color w:val="auto"/>
          <w:highlight w:val="none"/>
        </w:rPr>
        <w:tab/>
      </w:r>
      <w:r>
        <w:rPr>
          <w:color w:val="auto"/>
          <w:highlight w:val="none"/>
        </w:rPr>
        <w:fldChar w:fldCharType="begin"/>
      </w:r>
      <w:r>
        <w:rPr>
          <w:color w:val="auto"/>
          <w:highlight w:val="none"/>
        </w:rPr>
        <w:instrText xml:space="preserve"> PAGEREF _Toc882 \h </w:instrText>
      </w:r>
      <w:r>
        <w:rPr>
          <w:color w:val="auto"/>
          <w:highlight w:val="none"/>
        </w:rPr>
        <w:fldChar w:fldCharType="separate"/>
      </w:r>
      <w:r>
        <w:rPr>
          <w:color w:val="auto"/>
          <w:highlight w:val="none"/>
        </w:rPr>
        <w:t>147</w:t>
      </w:r>
      <w:r>
        <w:rPr>
          <w:color w:val="auto"/>
          <w:highlight w:val="none"/>
        </w:rPr>
        <w:fldChar w:fldCharType="end"/>
      </w:r>
      <w:r>
        <w:rPr>
          <w:rFonts w:hint="eastAsia" w:ascii="仿宋" w:hAnsi="仿宋" w:eastAsia="仿宋" w:cs="仿宋"/>
          <w:color w:val="auto"/>
          <w:szCs w:val="44"/>
          <w:highlight w:val="none"/>
        </w:rPr>
        <w:fldChar w:fldCharType="end"/>
      </w:r>
    </w:p>
    <w:p w14:paraId="03120FDF">
      <w:pPr>
        <w:pStyle w:val="17"/>
        <w:tabs>
          <w:tab w:val="right" w:leader="dot" w:pos="9077"/>
        </w:tabs>
        <w:rPr>
          <w:color w:val="auto"/>
          <w:highlight w:val="none"/>
        </w:rPr>
      </w:pPr>
      <w:r>
        <w:rPr>
          <w:rFonts w:hint="eastAsia" w:ascii="仿宋" w:hAnsi="仿宋" w:eastAsia="仿宋" w:cs="仿宋"/>
          <w:color w:val="auto"/>
          <w:szCs w:val="44"/>
          <w:highlight w:val="none"/>
        </w:rPr>
        <w:fldChar w:fldCharType="begin"/>
      </w:r>
      <w:r>
        <w:rPr>
          <w:rFonts w:hint="eastAsia" w:ascii="仿宋" w:hAnsi="仿宋" w:eastAsia="仿宋" w:cs="仿宋"/>
          <w:color w:val="auto"/>
          <w:szCs w:val="44"/>
          <w:highlight w:val="none"/>
        </w:rPr>
        <w:instrText xml:space="preserve"> HYPERLINK \l _Toc18996 </w:instrText>
      </w:r>
      <w:r>
        <w:rPr>
          <w:rFonts w:hint="eastAsia" w:ascii="仿宋" w:hAnsi="仿宋" w:eastAsia="仿宋" w:cs="仿宋"/>
          <w:color w:val="auto"/>
          <w:szCs w:val="44"/>
          <w:highlight w:val="none"/>
        </w:rPr>
        <w:fldChar w:fldCharType="separate"/>
      </w:r>
      <w:r>
        <w:rPr>
          <w:rFonts w:hint="eastAsia" w:ascii="仿宋" w:hAnsi="仿宋" w:eastAsia="仿宋" w:cs="仿宋"/>
          <w:color w:val="auto"/>
          <w:highlight w:val="none"/>
        </w:rPr>
        <w:t>第七章 质疑、投诉材料格式</w:t>
      </w:r>
      <w:r>
        <w:rPr>
          <w:color w:val="auto"/>
          <w:highlight w:val="none"/>
        </w:rPr>
        <w:tab/>
      </w:r>
      <w:r>
        <w:rPr>
          <w:color w:val="auto"/>
          <w:highlight w:val="none"/>
        </w:rPr>
        <w:fldChar w:fldCharType="begin"/>
      </w:r>
      <w:r>
        <w:rPr>
          <w:color w:val="auto"/>
          <w:highlight w:val="none"/>
        </w:rPr>
        <w:instrText xml:space="preserve"> PAGEREF _Toc18996 \h </w:instrText>
      </w:r>
      <w:r>
        <w:rPr>
          <w:color w:val="auto"/>
          <w:highlight w:val="none"/>
        </w:rPr>
        <w:fldChar w:fldCharType="separate"/>
      </w:r>
      <w:r>
        <w:rPr>
          <w:color w:val="auto"/>
          <w:highlight w:val="none"/>
        </w:rPr>
        <w:t>148</w:t>
      </w:r>
      <w:r>
        <w:rPr>
          <w:color w:val="auto"/>
          <w:highlight w:val="none"/>
        </w:rPr>
        <w:fldChar w:fldCharType="end"/>
      </w:r>
      <w:r>
        <w:rPr>
          <w:rFonts w:hint="eastAsia" w:ascii="仿宋" w:hAnsi="仿宋" w:eastAsia="仿宋" w:cs="仿宋"/>
          <w:color w:val="auto"/>
          <w:szCs w:val="44"/>
          <w:highlight w:val="none"/>
        </w:rPr>
        <w:fldChar w:fldCharType="end"/>
      </w:r>
    </w:p>
    <w:p w14:paraId="6FA2C7F0">
      <w:pPr>
        <w:tabs>
          <w:tab w:val="right" w:leader="dot" w:pos="8296"/>
        </w:tabs>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color w:val="auto"/>
          <w:szCs w:val="44"/>
          <w:highlight w:val="none"/>
        </w:rPr>
        <w:fldChar w:fldCharType="end"/>
      </w:r>
    </w:p>
    <w:p w14:paraId="298E6979">
      <w:pPr>
        <w:widowControl/>
        <w:jc w:val="left"/>
        <w:rPr>
          <w:rFonts w:hint="eastAsia" w:ascii="仿宋" w:hAnsi="仿宋" w:eastAsia="仿宋" w:cs="仿宋"/>
          <w:b/>
          <w:color w:val="auto"/>
          <w:sz w:val="32"/>
          <w:szCs w:val="32"/>
          <w:highlight w:val="none"/>
        </w:rPr>
        <w:sectPr>
          <w:footerReference r:id="rId6" w:type="default"/>
          <w:pgSz w:w="11911" w:h="16838"/>
          <w:pgMar w:top="1417" w:right="1417" w:bottom="1417" w:left="1417" w:header="720" w:footer="720" w:gutter="0"/>
          <w:pgNumType w:start="1"/>
          <w:cols w:space="720" w:num="1"/>
          <w:docGrid w:linePitch="312" w:charSpace="0"/>
        </w:sectPr>
      </w:pPr>
    </w:p>
    <w:p w14:paraId="607FCE0E">
      <w:pPr>
        <w:pStyle w:val="2"/>
        <w:spacing w:before="0" w:after="0" w:line="360" w:lineRule="auto"/>
        <w:jc w:val="center"/>
        <w:rPr>
          <w:rFonts w:hint="eastAsia" w:ascii="仿宋" w:hAnsi="仿宋" w:eastAsia="仿宋" w:cs="仿宋"/>
          <w:color w:val="auto"/>
          <w:highlight w:val="none"/>
        </w:rPr>
      </w:pPr>
      <w:bookmarkStart w:id="8" w:name="_Toc3894"/>
      <w:bookmarkStart w:id="9" w:name="_Toc11814"/>
      <w:r>
        <w:rPr>
          <w:rFonts w:hint="eastAsia" w:ascii="仿宋" w:hAnsi="仿宋" w:eastAsia="仿宋" w:cs="仿宋"/>
          <w:color w:val="auto"/>
          <w:highlight w:val="none"/>
        </w:rPr>
        <w:t>第一章 竞争性磋商公告</w:t>
      </w:r>
      <w:bookmarkEnd w:id="8"/>
      <w:bookmarkEnd w:id="9"/>
      <w:bookmarkStart w:id="10" w:name="_Toc28359089"/>
      <w:bookmarkStart w:id="11" w:name="_Toc35393629"/>
      <w:bookmarkStart w:id="12" w:name="_Toc44229878"/>
      <w:bookmarkStart w:id="13" w:name="_Toc28359012"/>
      <w:bookmarkStart w:id="14" w:name="_Toc35393798"/>
      <w:bookmarkStart w:id="15" w:name="_Toc35393792"/>
      <w:bookmarkStart w:id="16" w:name="_Toc28359081"/>
      <w:bookmarkStart w:id="17" w:name="_Toc35393623"/>
      <w:bookmarkStart w:id="18" w:name="_Toc28359004"/>
    </w:p>
    <w:p w14:paraId="53E9BF0C">
      <w:pPr>
        <w:rPr>
          <w:rFonts w:hint="eastAsia" w:ascii="仿宋" w:hAnsi="仿宋" w:eastAsia="仿宋" w:cs="仿宋"/>
          <w:color w:val="auto"/>
          <w:highlight w:val="none"/>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7"/>
      </w:tblGrid>
      <w:tr w14:paraId="38F1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7" w:type="dxa"/>
            <w:vAlign w:val="top"/>
          </w:tcPr>
          <w:p w14:paraId="56A5ACF2">
            <w:pPr>
              <w:spacing w:line="400" w:lineRule="exac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项目概况</w:t>
            </w:r>
          </w:p>
          <w:p w14:paraId="20276234">
            <w:pPr>
              <w:spacing w:line="400" w:lineRule="exact"/>
              <w:ind w:firstLine="480" w:firstLineChars="200"/>
              <w:rPr>
                <w:rFonts w:hint="eastAsia" w:ascii="仿宋" w:hAnsi="仿宋" w:eastAsia="仿宋" w:cs="仿宋"/>
                <w:b/>
                <w:bCs/>
                <w:color w:val="auto"/>
                <w:sz w:val="24"/>
                <w:highlight w:val="none"/>
              </w:rPr>
            </w:pPr>
            <w:r>
              <w:rPr>
                <w:rFonts w:hint="eastAsia" w:ascii="仿宋" w:hAnsi="仿宋" w:eastAsia="仿宋" w:cs="仿宋"/>
                <w:color w:val="auto"/>
                <w:sz w:val="24"/>
                <w:szCs w:val="24"/>
                <w:highlight w:val="none"/>
                <w:u w:val="single"/>
                <w:lang w:eastAsia="zh-CN"/>
              </w:rPr>
              <w:t>南宁市市场监督管理局经济技术开发区分局2026年食品安全监督抽检服务项目</w:t>
            </w:r>
            <w:r>
              <w:rPr>
                <w:rFonts w:hint="eastAsia" w:ascii="仿宋" w:hAnsi="仿宋" w:eastAsia="仿宋" w:cs="仿宋"/>
                <w:color w:val="auto"/>
                <w:szCs w:val="21"/>
                <w:highlight w:val="none"/>
              </w:rPr>
              <w:t>的潜在供应商应在广西政府采购云平台（https://www.gcy.zfcg.gxzf.gov.cn/）获取（下载）获取竞争性磋商文件，并于</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8</w:t>
            </w:r>
            <w:r>
              <w:rPr>
                <w:rFonts w:hint="eastAsia" w:ascii="仿宋" w:hAnsi="仿宋" w:eastAsia="仿宋" w:cs="仿宋"/>
                <w:color w:val="auto"/>
                <w:szCs w:val="21"/>
                <w:highlight w:val="none"/>
                <w:u w:val="single"/>
                <w:lang w:eastAsia="zh-CN"/>
              </w:rPr>
              <w:t>月</w:t>
            </w:r>
            <w:r>
              <w:rPr>
                <w:rFonts w:hint="eastAsia" w:ascii="仿宋" w:hAnsi="仿宋" w:eastAsia="仿宋" w:cs="仿宋"/>
                <w:color w:val="auto"/>
                <w:szCs w:val="21"/>
                <w:highlight w:val="none"/>
                <w:u w:val="single"/>
                <w:lang w:val="en-US" w:eastAsia="zh-CN"/>
              </w:rPr>
              <w:t>21</w:t>
            </w:r>
            <w:r>
              <w:rPr>
                <w:rFonts w:hint="eastAsia" w:ascii="仿宋" w:hAnsi="仿宋" w:eastAsia="仿宋" w:cs="仿宋"/>
                <w:color w:val="auto"/>
                <w:szCs w:val="21"/>
                <w:highlight w:val="none"/>
                <w:u w:val="single"/>
                <w:lang w:eastAsia="zh-CN"/>
              </w:rPr>
              <w:t>日</w:t>
            </w:r>
            <w:r>
              <w:rPr>
                <w:rFonts w:hint="eastAsia" w:ascii="仿宋" w:hAnsi="仿宋" w:eastAsia="仿宋" w:cs="仿宋"/>
                <w:color w:val="auto"/>
                <w:szCs w:val="21"/>
                <w:highlight w:val="none"/>
                <w:u w:val="single"/>
                <w:lang w:val="en-US" w:eastAsia="zh-CN"/>
              </w:rPr>
              <w:t>09点30</w:t>
            </w:r>
            <w:r>
              <w:rPr>
                <w:rFonts w:hint="eastAsia" w:ascii="仿宋" w:hAnsi="仿宋" w:eastAsia="仿宋" w:cs="仿宋"/>
                <w:color w:val="auto"/>
                <w:szCs w:val="21"/>
                <w:highlight w:val="none"/>
                <w:u w:val="single"/>
                <w:lang w:eastAsia="zh-CN"/>
              </w:rPr>
              <w:t>分</w:t>
            </w:r>
            <w:r>
              <w:rPr>
                <w:rFonts w:hint="eastAsia" w:ascii="仿宋" w:hAnsi="仿宋" w:eastAsia="仿宋" w:cs="仿宋"/>
                <w:color w:val="auto"/>
                <w:szCs w:val="21"/>
                <w:highlight w:val="none"/>
              </w:rPr>
              <w:t>（北京时间）</w:t>
            </w:r>
            <w:r>
              <w:rPr>
                <w:rFonts w:hint="eastAsia" w:ascii="仿宋" w:hAnsi="仿宋" w:eastAsia="仿宋" w:cs="仿宋"/>
                <w:bCs/>
                <w:color w:val="auto"/>
                <w:szCs w:val="21"/>
                <w:highlight w:val="none"/>
              </w:rPr>
              <w:t>前提交响应文件</w:t>
            </w:r>
            <w:r>
              <w:rPr>
                <w:rFonts w:hint="eastAsia" w:ascii="仿宋" w:hAnsi="仿宋" w:eastAsia="仿宋" w:cs="仿宋"/>
                <w:color w:val="auto"/>
                <w:szCs w:val="21"/>
                <w:highlight w:val="none"/>
              </w:rPr>
              <w:t>。</w:t>
            </w:r>
          </w:p>
        </w:tc>
      </w:tr>
    </w:tbl>
    <w:p w14:paraId="3EF7B0CE">
      <w:pPr>
        <w:spacing w:line="360" w:lineRule="auto"/>
        <w:ind w:firstLine="482" w:firstLineChars="200"/>
        <w:rPr>
          <w:rFonts w:hint="eastAsia" w:ascii="仿宋" w:hAnsi="仿宋" w:eastAsia="仿宋" w:cs="仿宋"/>
          <w:b/>
          <w:bCs w:val="0"/>
          <w:color w:val="auto"/>
          <w:highlight w:val="none"/>
        </w:rPr>
      </w:pPr>
      <w:r>
        <w:rPr>
          <w:rFonts w:hint="eastAsia" w:ascii="仿宋" w:hAnsi="仿宋" w:eastAsia="仿宋" w:cs="仿宋"/>
          <w:b/>
          <w:bCs w:val="0"/>
          <w:color w:val="auto"/>
          <w:sz w:val="24"/>
          <w:highlight w:val="none"/>
        </w:rPr>
        <w:t>一、项目基本情况</w:t>
      </w:r>
      <w:bookmarkEnd w:id="10"/>
      <w:bookmarkEnd w:id="11"/>
      <w:bookmarkEnd w:id="12"/>
      <w:bookmarkEnd w:id="13"/>
      <w:bookmarkEnd w:id="14"/>
    </w:p>
    <w:p w14:paraId="5DC82E7B">
      <w:pPr>
        <w:spacing w:line="360" w:lineRule="auto"/>
        <w:ind w:firstLine="48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1.项目编号：</w:t>
      </w:r>
      <w:r>
        <w:rPr>
          <w:rFonts w:hint="eastAsia" w:ascii="仿宋" w:hAnsi="仿宋" w:eastAsia="仿宋" w:cs="仿宋"/>
          <w:color w:val="auto"/>
          <w:szCs w:val="21"/>
          <w:highlight w:val="none"/>
          <w:lang w:eastAsia="zh-CN"/>
        </w:rPr>
        <w:t>NNZC2026-C3-500011-KWZB</w:t>
      </w:r>
    </w:p>
    <w:p w14:paraId="51616B77">
      <w:pPr>
        <w:spacing w:line="360" w:lineRule="auto"/>
        <w:ind w:firstLine="480" w:firstLineChars="200"/>
        <w:rPr>
          <w:rFonts w:hint="eastAsia" w:ascii="仿宋" w:hAnsi="仿宋" w:eastAsia="仿宋" w:cs="仿宋"/>
          <w:color w:val="auto"/>
          <w:szCs w:val="21"/>
          <w:highlight w:val="none"/>
          <w:u w:val="single"/>
          <w:lang w:eastAsia="zh-CN"/>
        </w:rPr>
      </w:pPr>
      <w:r>
        <w:rPr>
          <w:rFonts w:hint="eastAsia" w:ascii="仿宋" w:hAnsi="仿宋" w:eastAsia="仿宋" w:cs="仿宋"/>
          <w:color w:val="auto"/>
          <w:szCs w:val="21"/>
          <w:highlight w:val="none"/>
        </w:rPr>
        <w:t>2.项目名称：</w:t>
      </w:r>
      <w:r>
        <w:rPr>
          <w:rFonts w:hint="eastAsia" w:ascii="仿宋" w:hAnsi="仿宋" w:eastAsia="仿宋" w:cs="仿宋"/>
          <w:color w:val="auto"/>
          <w:szCs w:val="21"/>
          <w:highlight w:val="none"/>
          <w:lang w:eastAsia="zh-CN"/>
        </w:rPr>
        <w:t>南宁市市场监督管理局经济技术开发区分局2026年食品安全监督抽检服务项目</w:t>
      </w:r>
    </w:p>
    <w:p w14:paraId="00B6144E">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3.采购方式：竞争性磋商</w:t>
      </w:r>
    </w:p>
    <w:p w14:paraId="201C2293">
      <w:pPr>
        <w:spacing w:line="360" w:lineRule="auto"/>
        <w:ind w:firstLine="48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4.预算金额：</w:t>
      </w:r>
      <w:r>
        <w:rPr>
          <w:rFonts w:hint="eastAsia" w:ascii="仿宋" w:hAnsi="仿宋" w:eastAsia="仿宋" w:cs="仿宋"/>
          <w:color w:val="auto"/>
          <w:szCs w:val="21"/>
          <w:highlight w:val="none"/>
          <w:lang w:val="en-US" w:eastAsia="zh-CN"/>
        </w:rPr>
        <w:t>62.40万元。</w:t>
      </w:r>
    </w:p>
    <w:p w14:paraId="478E3D8E">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5.最高限价：同预算金额</w:t>
      </w:r>
    </w:p>
    <w:p w14:paraId="68AB6042">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6.采购需求：在食品生产、经营、餐饮环节开展抽检监测任务约600批次</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具体详见采购文件“第二章采购需求”。</w:t>
      </w:r>
    </w:p>
    <w:p w14:paraId="14BD185D">
      <w:pPr>
        <w:spacing w:line="360" w:lineRule="auto"/>
        <w:ind w:firstLine="480"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7.合同履行期限：自签订合同之日起至2026年12月31日止。</w:t>
      </w:r>
    </w:p>
    <w:p w14:paraId="5E4D9B5C">
      <w:pPr>
        <w:spacing w:line="360" w:lineRule="auto"/>
        <w:ind w:firstLine="48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8.本项目是否接受联合体：</w:t>
      </w:r>
      <w:r>
        <w:rPr>
          <w:rFonts w:hint="eastAsia" w:ascii="仿宋" w:hAnsi="仿宋" w:eastAsia="仿宋" w:cs="仿宋"/>
          <w:b/>
          <w:bCs/>
          <w:color w:val="auto"/>
          <w:szCs w:val="21"/>
          <w:highlight w:val="none"/>
          <w:lang w:val="en-US" w:eastAsia="zh-CN"/>
        </w:rPr>
        <w:t>否</w:t>
      </w:r>
      <w:r>
        <w:rPr>
          <w:rFonts w:hint="eastAsia" w:ascii="仿宋" w:hAnsi="仿宋" w:eastAsia="仿宋" w:cs="仿宋"/>
          <w:b/>
          <w:bCs/>
          <w:color w:val="auto"/>
          <w:szCs w:val="21"/>
          <w:highlight w:val="none"/>
        </w:rPr>
        <w:t>。</w:t>
      </w:r>
    </w:p>
    <w:p w14:paraId="03FF499A">
      <w:pPr>
        <w:spacing w:line="360" w:lineRule="auto"/>
        <w:ind w:firstLine="482" w:firstLineChars="200"/>
        <w:rPr>
          <w:rFonts w:hint="eastAsia" w:ascii="仿宋" w:hAnsi="仿宋" w:eastAsia="仿宋" w:cs="仿宋"/>
          <w:bCs/>
          <w:color w:val="auto"/>
          <w:sz w:val="24"/>
          <w:highlight w:val="none"/>
        </w:rPr>
      </w:pPr>
      <w:bookmarkStart w:id="19" w:name="_Toc28359013"/>
      <w:bookmarkStart w:id="20" w:name="_Toc44229879"/>
      <w:bookmarkStart w:id="21" w:name="_Toc35393799"/>
      <w:bookmarkStart w:id="22" w:name="_Toc28359090"/>
      <w:bookmarkStart w:id="23" w:name="_Toc35393630"/>
      <w:r>
        <w:rPr>
          <w:rFonts w:hint="eastAsia" w:ascii="仿宋" w:hAnsi="仿宋" w:eastAsia="仿宋" w:cs="仿宋"/>
          <w:b/>
          <w:color w:val="auto"/>
          <w:kern w:val="44"/>
          <w:sz w:val="24"/>
          <w:highlight w:val="none"/>
        </w:rPr>
        <w:t>二、供应商的资格条件</w:t>
      </w:r>
      <w:bookmarkEnd w:id="19"/>
      <w:bookmarkEnd w:id="20"/>
      <w:bookmarkEnd w:id="21"/>
      <w:bookmarkEnd w:id="22"/>
      <w:bookmarkEnd w:id="23"/>
    </w:p>
    <w:p w14:paraId="52A0B8A0">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1.满足《中华人民共和国政府采购法》第二十二条规定；</w:t>
      </w:r>
    </w:p>
    <w:p w14:paraId="446B550D">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2.落实政府采购政策需满足的资格要求：</w:t>
      </w:r>
      <w:r>
        <w:rPr>
          <w:rFonts w:hint="eastAsia" w:ascii="仿宋" w:hAnsi="仿宋" w:eastAsia="仿宋" w:cs="仿宋"/>
          <w:b/>
          <w:bCs/>
          <w:color w:val="auto"/>
          <w:szCs w:val="21"/>
          <w:highlight w:val="none"/>
        </w:rPr>
        <w:t>专门面向</w:t>
      </w:r>
      <w:r>
        <w:rPr>
          <w:rFonts w:hint="eastAsia" w:ascii="仿宋" w:hAnsi="仿宋" w:eastAsia="仿宋" w:cs="仿宋"/>
          <w:b/>
          <w:bCs/>
          <w:color w:val="auto"/>
          <w:szCs w:val="21"/>
          <w:highlight w:val="none"/>
          <w:lang w:val="en-US" w:eastAsia="zh-CN"/>
        </w:rPr>
        <w:t>小微</w:t>
      </w:r>
      <w:r>
        <w:rPr>
          <w:rFonts w:hint="eastAsia" w:ascii="仿宋" w:hAnsi="仿宋" w:eastAsia="仿宋" w:cs="仿宋"/>
          <w:b/>
          <w:bCs/>
          <w:color w:val="auto"/>
          <w:szCs w:val="21"/>
          <w:highlight w:val="none"/>
        </w:rPr>
        <w:t>企业采购的项目</w:t>
      </w:r>
      <w:r>
        <w:rPr>
          <w:rFonts w:hint="eastAsia" w:ascii="仿宋" w:hAnsi="仿宋" w:eastAsia="仿宋" w:cs="仿宋"/>
          <w:color w:val="auto"/>
          <w:szCs w:val="21"/>
          <w:highlight w:val="none"/>
        </w:rPr>
        <w:t>；</w:t>
      </w:r>
    </w:p>
    <w:p w14:paraId="3BAFE575">
      <w:pPr>
        <w:spacing w:line="360" w:lineRule="auto"/>
        <w:ind w:firstLine="480" w:firstLineChars="20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3.本项目的特定资格要求：</w:t>
      </w:r>
      <w:r>
        <w:rPr>
          <w:rFonts w:hint="eastAsia" w:ascii="仿宋" w:hAnsi="仿宋" w:eastAsia="仿宋" w:cs="仿宋"/>
          <w:b/>
          <w:bCs/>
          <w:color w:val="auto"/>
          <w:szCs w:val="21"/>
          <w:highlight w:val="none"/>
        </w:rPr>
        <w:t>供应商具有食品检验机构资质认定证书或检验检测机构资质认定证书。</w:t>
      </w:r>
    </w:p>
    <w:p w14:paraId="3421A799">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4.本项目的特定条件：无。</w:t>
      </w:r>
    </w:p>
    <w:p w14:paraId="0161BD7A">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1219B4">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A80858D">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三、获取竞争性磋商文件</w:t>
      </w:r>
      <w:bookmarkEnd w:id="15"/>
      <w:bookmarkEnd w:id="16"/>
      <w:bookmarkEnd w:id="17"/>
      <w:bookmarkEnd w:id="18"/>
    </w:p>
    <w:p w14:paraId="1A67B37D">
      <w:pPr>
        <w:spacing w:line="360" w:lineRule="auto"/>
        <w:ind w:firstLine="480" w:firstLineChars="200"/>
        <w:rPr>
          <w:rFonts w:hint="eastAsia" w:ascii="仿宋" w:hAnsi="仿宋" w:eastAsia="仿宋" w:cs="仿宋"/>
          <w:color w:val="auto"/>
          <w:szCs w:val="21"/>
          <w:highlight w:val="none"/>
        </w:rPr>
      </w:pPr>
      <w:bookmarkStart w:id="24" w:name="_Toc28359082"/>
      <w:bookmarkStart w:id="25" w:name="_Toc35393793"/>
      <w:bookmarkStart w:id="26" w:name="_Toc28359005"/>
      <w:bookmarkStart w:id="27" w:name="_Toc35393624"/>
      <w:r>
        <w:rPr>
          <w:rFonts w:hint="eastAsia" w:ascii="仿宋" w:hAnsi="仿宋" w:eastAsia="仿宋" w:cs="仿宋"/>
          <w:color w:val="auto"/>
          <w:szCs w:val="21"/>
          <w:highlight w:val="none"/>
        </w:rPr>
        <w:t>时间：自公告发布之日起</w:t>
      </w:r>
      <w:r>
        <w:rPr>
          <w:rFonts w:hint="eastAsia" w:ascii="仿宋" w:hAnsi="仿宋" w:eastAsia="仿宋" w:cs="仿宋"/>
          <w:color w:val="auto"/>
          <w:highlight w:val="none"/>
        </w:rPr>
        <w:t>至</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8</w:t>
      </w:r>
      <w:r>
        <w:rPr>
          <w:rFonts w:hint="eastAsia" w:ascii="仿宋" w:hAnsi="仿宋" w:eastAsia="仿宋" w:cs="仿宋"/>
          <w:color w:val="auto"/>
          <w:szCs w:val="21"/>
          <w:highlight w:val="none"/>
          <w:u w:val="single"/>
          <w:lang w:eastAsia="zh-CN"/>
        </w:rPr>
        <w:t>月</w:t>
      </w:r>
      <w:r>
        <w:rPr>
          <w:rFonts w:hint="eastAsia" w:ascii="仿宋" w:hAnsi="仿宋" w:eastAsia="仿宋" w:cs="仿宋"/>
          <w:color w:val="auto"/>
          <w:szCs w:val="21"/>
          <w:highlight w:val="none"/>
          <w:u w:val="single"/>
          <w:lang w:val="en-US" w:eastAsia="zh-CN"/>
        </w:rPr>
        <w:t>21</w:t>
      </w:r>
      <w:r>
        <w:rPr>
          <w:rFonts w:hint="eastAsia" w:ascii="仿宋" w:hAnsi="仿宋" w:eastAsia="仿宋" w:cs="仿宋"/>
          <w:color w:val="auto"/>
          <w:szCs w:val="21"/>
          <w:highlight w:val="none"/>
          <w:u w:val="single"/>
          <w:lang w:eastAsia="zh-CN"/>
        </w:rPr>
        <w:t>日</w:t>
      </w:r>
      <w:r>
        <w:rPr>
          <w:rFonts w:hint="eastAsia" w:ascii="仿宋" w:hAnsi="仿宋" w:eastAsia="仿宋" w:cs="仿宋"/>
          <w:color w:val="auto"/>
          <w:szCs w:val="21"/>
          <w:highlight w:val="none"/>
          <w:u w:val="single"/>
          <w:lang w:val="en-US" w:eastAsia="zh-CN"/>
        </w:rPr>
        <w:t>09点30分</w:t>
      </w:r>
      <w:r>
        <w:rPr>
          <w:rFonts w:hint="eastAsia" w:ascii="仿宋" w:hAnsi="仿宋" w:eastAsia="仿宋" w:cs="仿宋"/>
          <w:bCs/>
          <w:color w:val="auto"/>
          <w:szCs w:val="21"/>
          <w:highlight w:val="none"/>
        </w:rPr>
        <w:t>（北京时间）</w:t>
      </w:r>
      <w:r>
        <w:rPr>
          <w:rFonts w:hint="eastAsia" w:ascii="仿宋" w:hAnsi="仿宋" w:eastAsia="仿宋" w:cs="仿宋"/>
          <w:color w:val="auto"/>
          <w:szCs w:val="21"/>
          <w:highlight w:val="none"/>
        </w:rPr>
        <w:t>。</w:t>
      </w:r>
    </w:p>
    <w:p w14:paraId="5EA62AFE">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color w:val="auto"/>
          <w:sz w:val="24"/>
          <w:highlight w:val="none"/>
        </w:rPr>
      </w:pPr>
      <w:r>
        <w:rPr>
          <w:rFonts w:hint="eastAsia" w:ascii="仿宋" w:hAnsi="仿宋" w:eastAsia="仿宋" w:cs="仿宋"/>
          <w:color w:val="auto"/>
          <w:szCs w:val="21"/>
          <w:highlight w:val="none"/>
        </w:rPr>
        <w:t>获取方式:网上下载。本项目不发放纸质采购文件，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14:paraId="5163E984">
      <w:pPr>
        <w:snapToGrid w:val="0"/>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售价：0元。</w:t>
      </w:r>
    </w:p>
    <w:p w14:paraId="4D49FD4A">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四、</w:t>
      </w:r>
      <w:bookmarkEnd w:id="24"/>
      <w:bookmarkEnd w:id="25"/>
      <w:bookmarkEnd w:id="26"/>
      <w:bookmarkEnd w:id="27"/>
      <w:r>
        <w:rPr>
          <w:rFonts w:hint="eastAsia" w:ascii="仿宋" w:hAnsi="仿宋" w:eastAsia="仿宋" w:cs="仿宋"/>
          <w:b/>
          <w:bCs/>
          <w:color w:val="auto"/>
          <w:sz w:val="24"/>
          <w:highlight w:val="none"/>
        </w:rPr>
        <w:t>响应文件提交</w:t>
      </w:r>
    </w:p>
    <w:p w14:paraId="4B021F54">
      <w:pPr>
        <w:spacing w:line="360" w:lineRule="auto"/>
        <w:ind w:firstLine="480" w:firstLineChars="200"/>
        <w:rPr>
          <w:rFonts w:hint="eastAsia" w:ascii="仿宋" w:hAnsi="仿宋" w:eastAsia="仿宋" w:cs="仿宋"/>
          <w:color w:val="auto"/>
          <w:szCs w:val="21"/>
          <w:highlight w:val="none"/>
          <w:u w:val="single"/>
          <w:lang w:eastAsia="zh-CN"/>
        </w:rPr>
      </w:pPr>
      <w:r>
        <w:rPr>
          <w:rFonts w:hint="eastAsia" w:ascii="仿宋" w:hAnsi="仿宋" w:eastAsia="仿宋" w:cs="仿宋"/>
          <w:color w:val="auto"/>
          <w:szCs w:val="21"/>
          <w:highlight w:val="none"/>
        </w:rPr>
        <w:t>1、首次响应文件提交截止时间</w:t>
      </w:r>
      <w:r>
        <w:rPr>
          <w:rFonts w:hint="eastAsia" w:ascii="仿宋" w:hAnsi="仿宋" w:eastAsia="仿宋" w:cs="仿宋"/>
          <w:bCs/>
          <w:color w:val="auto"/>
          <w:szCs w:val="21"/>
          <w:highlight w:val="none"/>
        </w:rPr>
        <w:t>（北京时间）：</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8</w:t>
      </w:r>
      <w:r>
        <w:rPr>
          <w:rFonts w:hint="eastAsia" w:ascii="仿宋" w:hAnsi="仿宋" w:eastAsia="仿宋" w:cs="仿宋"/>
          <w:color w:val="auto"/>
          <w:szCs w:val="21"/>
          <w:highlight w:val="none"/>
          <w:u w:val="single"/>
          <w:lang w:eastAsia="zh-CN"/>
        </w:rPr>
        <w:t>月</w:t>
      </w:r>
      <w:r>
        <w:rPr>
          <w:rFonts w:hint="eastAsia" w:ascii="仿宋" w:hAnsi="仿宋" w:eastAsia="仿宋" w:cs="仿宋"/>
          <w:color w:val="auto"/>
          <w:szCs w:val="21"/>
          <w:highlight w:val="none"/>
          <w:u w:val="single"/>
          <w:lang w:val="en-US" w:eastAsia="zh-CN"/>
        </w:rPr>
        <w:t>21</w:t>
      </w:r>
      <w:r>
        <w:rPr>
          <w:rFonts w:hint="eastAsia" w:ascii="仿宋" w:hAnsi="仿宋" w:eastAsia="仿宋" w:cs="仿宋"/>
          <w:color w:val="auto"/>
          <w:szCs w:val="21"/>
          <w:highlight w:val="none"/>
          <w:u w:val="single"/>
          <w:lang w:eastAsia="zh-CN"/>
        </w:rPr>
        <w:t>日</w:t>
      </w:r>
      <w:r>
        <w:rPr>
          <w:rFonts w:hint="eastAsia" w:ascii="仿宋" w:hAnsi="仿宋" w:eastAsia="仿宋" w:cs="仿宋"/>
          <w:color w:val="auto"/>
          <w:szCs w:val="21"/>
          <w:highlight w:val="none"/>
          <w:u w:val="single"/>
          <w:lang w:val="en-US" w:eastAsia="zh-CN"/>
        </w:rPr>
        <w:t>09点30分</w:t>
      </w:r>
    </w:p>
    <w:p w14:paraId="66F49AA1">
      <w:pPr>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2、首次响应文件提交地点：</w:t>
      </w:r>
    </w:p>
    <w:p w14:paraId="5AA69745">
      <w:pPr>
        <w:widowControl/>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文件提交方式：本项目为南宁市全流程电子化项目，通过广西政府采购云平台（https://www.gcy.zfcg.gxzf.gov.cn/）实行在线电子响应，供应商应先安装“广西政府采购云平台电子交易客户端”（请自行前往广西政府采购云平台进行下载），并按照本项目采购文件和广西政府采购云平台的要求编制、加密后在投标截止时间前通过网络上传至广西政府采购云平台，</w:t>
      </w:r>
      <w:r>
        <w:rPr>
          <w:rFonts w:hint="eastAsia" w:ascii="仿宋" w:hAnsi="仿宋" w:eastAsia="仿宋" w:cs="仿宋"/>
          <w:b/>
          <w:color w:val="auto"/>
          <w:szCs w:val="21"/>
          <w:highlight w:val="none"/>
        </w:rPr>
        <w:t>供应商在广西政府采购云平台提交电子版响应文件时，请填写参加远程采购活动经办人联系方式，</w:t>
      </w:r>
      <w:r>
        <w:rPr>
          <w:rFonts w:hint="eastAsia" w:ascii="仿宋" w:hAnsi="仿宋" w:eastAsia="仿宋" w:cs="仿宋"/>
          <w:color w:val="auto"/>
          <w:szCs w:val="21"/>
          <w:highlight w:val="none"/>
        </w:rPr>
        <w:t>电子响应文件具体操作流程详见本公告附件2。</w:t>
      </w:r>
    </w:p>
    <w:p w14:paraId="2E02E06A">
      <w:pPr>
        <w:widowControl/>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1）及响应文件的提交。完成CA数字证书办理预计7日左右，供应商只需办理其中一家CA数字证书及签章。</w:t>
      </w:r>
    </w:p>
    <w:p w14:paraId="6ADF5629">
      <w:pPr>
        <w:widowControl/>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F109A7D">
      <w:pPr>
        <w:spacing w:line="360" w:lineRule="auto"/>
        <w:ind w:firstLine="480" w:firstLineChars="200"/>
        <w:rPr>
          <w:rFonts w:hint="eastAsia" w:ascii="仿宋" w:hAnsi="仿宋" w:eastAsia="仿宋" w:cs="仿宋"/>
          <w:bCs/>
          <w:color w:val="auto"/>
          <w:szCs w:val="21"/>
          <w:highlight w:val="none"/>
          <w:u w:val="single"/>
        </w:rPr>
      </w:pPr>
      <w:r>
        <w:rPr>
          <w:rFonts w:hint="eastAsia" w:ascii="仿宋" w:hAnsi="仿宋" w:eastAsia="仿宋" w:cs="仿宋"/>
          <w:bCs/>
          <w:color w:val="auto"/>
          <w:szCs w:val="21"/>
          <w:highlight w:val="none"/>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1A6DB367">
      <w:pPr>
        <w:snapToGrid w:val="0"/>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3、CA证书在线解密：首次响应文件开启时，</w:t>
      </w:r>
      <w:r>
        <w:rPr>
          <w:rFonts w:hint="eastAsia" w:ascii="仿宋" w:hAnsi="仿宋" w:eastAsia="仿宋" w:cs="仿宋"/>
          <w:color w:val="auto"/>
          <w:kern w:val="0"/>
          <w:szCs w:val="21"/>
          <w:highlight w:val="none"/>
          <w:lang w:eastAsia="zh-CN"/>
        </w:rPr>
        <w:t>需要</w:t>
      </w:r>
      <w:r>
        <w:rPr>
          <w:rFonts w:hint="eastAsia" w:ascii="仿宋" w:hAnsi="仿宋" w:eastAsia="仿宋" w:cs="仿宋"/>
          <w:b/>
          <w:color w:val="auto"/>
          <w:kern w:val="0"/>
          <w:szCs w:val="21"/>
          <w:highlight w:val="none"/>
        </w:rPr>
        <w:t>供应商携带制作响应文件时用来加密的有效数字证书（CA认证）</w:t>
      </w:r>
      <w:r>
        <w:rPr>
          <w:rFonts w:hint="eastAsia" w:ascii="仿宋" w:hAnsi="仿宋" w:eastAsia="仿宋" w:cs="仿宋"/>
          <w:color w:val="auto"/>
          <w:kern w:val="0"/>
          <w:szCs w:val="21"/>
          <w:highlight w:val="none"/>
        </w:rPr>
        <w:t>登录广西政府采购云平台电子开标大厅现场按规定时间对加密的响应文件进行解密，未能按要求进行解密的，由此产生的后果由供应商自行承担。</w:t>
      </w:r>
    </w:p>
    <w:p w14:paraId="0D3AD547">
      <w:pPr>
        <w:snapToGrid w:val="0"/>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4、供应商需要在具备有摄像头及语音功能且互联网网络状况良好的电脑登录广西政府采购云平台远程开标大厅参与本次磋商，否则后果自负。</w:t>
      </w:r>
    </w:p>
    <w:p w14:paraId="398FC243">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五、开启（首次响应文件开启时间）</w:t>
      </w:r>
    </w:p>
    <w:p w14:paraId="64235D96">
      <w:pPr>
        <w:spacing w:line="360" w:lineRule="auto"/>
        <w:ind w:firstLine="480" w:firstLineChars="200"/>
        <w:rPr>
          <w:rFonts w:hint="eastAsia" w:ascii="仿宋" w:hAnsi="仿宋" w:eastAsia="仿宋" w:cs="仿宋"/>
          <w:bCs/>
          <w:color w:val="auto"/>
          <w:szCs w:val="21"/>
          <w:highlight w:val="none"/>
          <w:u w:val="single"/>
        </w:rPr>
      </w:pPr>
      <w:r>
        <w:rPr>
          <w:rFonts w:hint="eastAsia" w:ascii="仿宋" w:hAnsi="仿宋" w:eastAsia="仿宋" w:cs="仿宋"/>
          <w:color w:val="auto"/>
          <w:szCs w:val="21"/>
          <w:highlight w:val="none"/>
        </w:rPr>
        <w:t>1.时间</w:t>
      </w:r>
      <w:r>
        <w:rPr>
          <w:rFonts w:hint="eastAsia" w:ascii="仿宋" w:hAnsi="仿宋" w:eastAsia="仿宋" w:cs="仿宋"/>
          <w:bCs/>
          <w:color w:val="auto"/>
          <w:szCs w:val="21"/>
          <w:highlight w:val="none"/>
        </w:rPr>
        <w:t>（北京时间）</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lang w:eastAsia="zh-CN"/>
        </w:rPr>
        <w:t>2026年</w:t>
      </w:r>
      <w:r>
        <w:rPr>
          <w:rFonts w:hint="eastAsia" w:ascii="仿宋" w:hAnsi="仿宋" w:eastAsia="仿宋" w:cs="仿宋"/>
          <w:color w:val="auto"/>
          <w:szCs w:val="21"/>
          <w:highlight w:val="none"/>
          <w:u w:val="single"/>
          <w:lang w:val="en-US" w:eastAsia="zh-CN"/>
        </w:rPr>
        <w:t>8</w:t>
      </w:r>
      <w:r>
        <w:rPr>
          <w:rFonts w:hint="eastAsia" w:ascii="仿宋" w:hAnsi="仿宋" w:eastAsia="仿宋" w:cs="仿宋"/>
          <w:color w:val="auto"/>
          <w:szCs w:val="21"/>
          <w:highlight w:val="none"/>
          <w:u w:val="single"/>
          <w:lang w:eastAsia="zh-CN"/>
        </w:rPr>
        <w:t>月</w:t>
      </w:r>
      <w:r>
        <w:rPr>
          <w:rFonts w:hint="eastAsia" w:ascii="仿宋" w:hAnsi="仿宋" w:eastAsia="仿宋" w:cs="仿宋"/>
          <w:color w:val="auto"/>
          <w:szCs w:val="21"/>
          <w:highlight w:val="none"/>
          <w:u w:val="single"/>
          <w:lang w:val="en-US" w:eastAsia="zh-CN"/>
        </w:rPr>
        <w:t>21</w:t>
      </w:r>
      <w:r>
        <w:rPr>
          <w:rFonts w:hint="eastAsia" w:ascii="仿宋" w:hAnsi="仿宋" w:eastAsia="仿宋" w:cs="仿宋"/>
          <w:color w:val="auto"/>
          <w:szCs w:val="21"/>
          <w:highlight w:val="none"/>
          <w:u w:val="single"/>
          <w:lang w:eastAsia="zh-CN"/>
        </w:rPr>
        <w:t>日</w:t>
      </w:r>
      <w:r>
        <w:rPr>
          <w:rFonts w:hint="eastAsia" w:ascii="仿宋" w:hAnsi="仿宋" w:eastAsia="仿宋" w:cs="仿宋"/>
          <w:color w:val="auto"/>
          <w:szCs w:val="21"/>
          <w:highlight w:val="none"/>
          <w:u w:val="single"/>
          <w:lang w:val="en-US" w:eastAsia="zh-CN"/>
        </w:rPr>
        <w:t>09点30分</w:t>
      </w:r>
      <w:r>
        <w:rPr>
          <w:rFonts w:hint="eastAsia" w:ascii="仿宋" w:hAnsi="仿宋" w:eastAsia="仿宋" w:cs="仿宋"/>
          <w:color w:val="auto"/>
          <w:szCs w:val="21"/>
          <w:highlight w:val="none"/>
        </w:rPr>
        <w:t>后</w:t>
      </w:r>
    </w:p>
    <w:p w14:paraId="38375AC1">
      <w:pPr>
        <w:spacing w:line="360" w:lineRule="auto"/>
        <w:ind w:firstLine="480" w:firstLineChars="200"/>
        <w:rPr>
          <w:rFonts w:hint="eastAsia" w:ascii="仿宋" w:hAnsi="仿宋" w:eastAsia="仿宋" w:cs="仿宋"/>
          <w:bCs/>
          <w:color w:val="auto"/>
          <w:szCs w:val="21"/>
          <w:highlight w:val="none"/>
          <w:u w:val="single"/>
        </w:rPr>
      </w:pPr>
      <w:r>
        <w:rPr>
          <w:rFonts w:hint="eastAsia" w:ascii="仿宋" w:hAnsi="仿宋" w:eastAsia="仿宋" w:cs="仿宋"/>
          <w:color w:val="auto"/>
          <w:szCs w:val="21"/>
          <w:highlight w:val="none"/>
        </w:rPr>
        <w:t>2.地点：</w:t>
      </w:r>
      <w:r>
        <w:rPr>
          <w:rFonts w:hint="eastAsia" w:ascii="仿宋" w:hAnsi="仿宋" w:eastAsia="仿宋" w:cs="仿宋"/>
          <w:color w:val="auto"/>
          <w:szCs w:val="21"/>
          <w:highlight w:val="none"/>
          <w:u w:val="single"/>
        </w:rPr>
        <w:t xml:space="preserve">广西政府采购云平台远程开标大厅 </w:t>
      </w:r>
    </w:p>
    <w:p w14:paraId="7030A053">
      <w:pPr>
        <w:spacing w:line="360" w:lineRule="auto"/>
        <w:ind w:firstLine="482" w:firstLineChars="200"/>
        <w:rPr>
          <w:rFonts w:hint="eastAsia" w:ascii="仿宋" w:hAnsi="仿宋" w:eastAsia="仿宋" w:cs="仿宋"/>
          <w:b/>
          <w:bCs/>
          <w:color w:val="auto"/>
          <w:sz w:val="24"/>
          <w:highlight w:val="none"/>
        </w:rPr>
      </w:pPr>
      <w:bookmarkStart w:id="28" w:name="_Toc35393794"/>
      <w:bookmarkStart w:id="29" w:name="_Toc35393625"/>
      <w:bookmarkStart w:id="30" w:name="_Toc28359084"/>
      <w:bookmarkStart w:id="31" w:name="_Toc28359007"/>
      <w:r>
        <w:rPr>
          <w:rFonts w:hint="eastAsia" w:ascii="仿宋" w:hAnsi="仿宋" w:eastAsia="仿宋" w:cs="仿宋"/>
          <w:b/>
          <w:bCs/>
          <w:color w:val="auto"/>
          <w:sz w:val="24"/>
          <w:highlight w:val="none"/>
        </w:rPr>
        <w:t>六、公告期限</w:t>
      </w:r>
      <w:bookmarkEnd w:id="28"/>
      <w:bookmarkEnd w:id="29"/>
      <w:bookmarkEnd w:id="30"/>
      <w:bookmarkEnd w:id="31"/>
    </w:p>
    <w:p w14:paraId="4A1BEC19">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自本公告发布之日起5个工作日。</w:t>
      </w:r>
    </w:p>
    <w:p w14:paraId="4A53A16D">
      <w:pPr>
        <w:spacing w:line="360" w:lineRule="auto"/>
        <w:ind w:firstLine="482" w:firstLineChars="200"/>
        <w:rPr>
          <w:rFonts w:hint="eastAsia" w:ascii="仿宋" w:hAnsi="仿宋" w:eastAsia="仿宋" w:cs="仿宋"/>
          <w:b/>
          <w:bCs/>
          <w:color w:val="auto"/>
          <w:sz w:val="24"/>
          <w:highlight w:val="none"/>
        </w:rPr>
      </w:pPr>
      <w:bookmarkStart w:id="32" w:name="_Toc35393795"/>
      <w:bookmarkStart w:id="33" w:name="_Toc35393626"/>
      <w:r>
        <w:rPr>
          <w:rFonts w:hint="eastAsia" w:ascii="仿宋" w:hAnsi="仿宋" w:eastAsia="仿宋" w:cs="仿宋"/>
          <w:b/>
          <w:bCs/>
          <w:color w:val="auto"/>
          <w:sz w:val="24"/>
          <w:highlight w:val="none"/>
        </w:rPr>
        <w:t>七、其他补充事宜</w:t>
      </w:r>
      <w:bookmarkEnd w:id="32"/>
      <w:bookmarkEnd w:id="33"/>
    </w:p>
    <w:p w14:paraId="45C7F310">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1.磋商保证金：本项目不收取磋商保证金。</w:t>
      </w:r>
    </w:p>
    <w:p w14:paraId="1B7E6D3A">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2.采购意向公开链接：</w:t>
      </w:r>
    </w:p>
    <w:p w14:paraId="4D6DED47">
      <w:pPr>
        <w:spacing w:line="360" w:lineRule="auto"/>
        <w:ind w:firstLine="480" w:firstLineChars="200"/>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u w:val="single"/>
        </w:rPr>
        <w:t>http://www.ccgp-guangxi.gov.cn/site/detail?categoryCode=ZcyAnnouncement&amp;parentId=66485&amp;articleId=ufq7Frbor+49v6cvxRKguA==</w:t>
      </w:r>
    </w:p>
    <w:p w14:paraId="50F5F1B1">
      <w:pPr>
        <w:spacing w:line="360" w:lineRule="auto"/>
        <w:ind w:firstLine="480" w:firstLineChars="200"/>
        <w:rPr>
          <w:rFonts w:hint="eastAsia" w:ascii="仿宋" w:hAnsi="仿宋" w:eastAsia="仿宋" w:cs="仿宋"/>
          <w:color w:val="auto"/>
          <w:kern w:val="0"/>
          <w:szCs w:val="21"/>
          <w:highlight w:val="none"/>
        </w:rPr>
      </w:pPr>
      <w:bookmarkStart w:id="34" w:name="_Hlk37429585"/>
      <w:r>
        <w:rPr>
          <w:rFonts w:hint="eastAsia" w:ascii="仿宋" w:hAnsi="仿宋" w:eastAsia="仿宋" w:cs="仿宋"/>
          <w:color w:val="auto"/>
          <w:kern w:val="0"/>
          <w:szCs w:val="21"/>
          <w:highlight w:val="none"/>
        </w:rPr>
        <w:t>3.</w:t>
      </w:r>
      <w:bookmarkStart w:id="35" w:name="_Hlk37429595"/>
      <w:r>
        <w:rPr>
          <w:rFonts w:hint="eastAsia" w:ascii="仿宋" w:hAnsi="仿宋" w:eastAsia="仿宋" w:cs="仿宋"/>
          <w:color w:val="auto"/>
          <w:kern w:val="0"/>
          <w:szCs w:val="21"/>
          <w:highlight w:val="none"/>
        </w:rPr>
        <w:t>网上查询地址</w:t>
      </w:r>
    </w:p>
    <w:bookmarkEnd w:id="34"/>
    <w:bookmarkEnd w:id="35"/>
    <w:p w14:paraId="730757B9">
      <w:pPr>
        <w:spacing w:line="360" w:lineRule="auto"/>
        <w:ind w:firstLine="480" w:firstLineChars="200"/>
        <w:rPr>
          <w:rFonts w:hint="eastAsia" w:ascii="仿宋" w:hAnsi="仿宋" w:eastAsia="仿宋" w:cs="仿宋"/>
          <w:color w:val="auto"/>
          <w:kern w:val="0"/>
          <w:szCs w:val="21"/>
          <w:highlight w:val="none"/>
        </w:rPr>
      </w:pPr>
      <w:bookmarkStart w:id="36" w:name="_Hlk37429674"/>
      <w:r>
        <w:rPr>
          <w:rFonts w:hint="eastAsia" w:ascii="仿宋" w:hAnsi="仿宋" w:eastAsia="仿宋" w:cs="仿宋"/>
          <w:color w:val="auto"/>
          <w:kern w:val="0"/>
          <w:szCs w:val="21"/>
          <w:highlight w:val="none"/>
        </w:rPr>
        <w:t>中国政府采购网（www.ccgp.gov.cn）、广西壮族自治区政府采购网（http://zfcg.gxzf.gov.cn/）、全国公共资源交易平台(广西·南宁)（http://ggzy.jgswj.gxzf.gov.cn/nnggzy/）</w:t>
      </w:r>
    </w:p>
    <w:p w14:paraId="792072CF">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w:t>
      </w:r>
      <w:r>
        <w:rPr>
          <w:rFonts w:hint="eastAsia" w:ascii="仿宋" w:hAnsi="仿宋" w:eastAsia="仿宋" w:cs="仿宋"/>
          <w:color w:val="auto"/>
          <w:szCs w:val="21"/>
          <w:highlight w:val="none"/>
        </w:rPr>
        <w:t xml:space="preserve">. </w:t>
      </w:r>
      <w:r>
        <w:rPr>
          <w:rFonts w:hint="eastAsia" w:ascii="仿宋" w:hAnsi="仿宋" w:eastAsia="仿宋" w:cs="仿宋"/>
          <w:color w:val="auto"/>
          <w:kern w:val="0"/>
          <w:szCs w:val="21"/>
          <w:highlight w:val="none"/>
        </w:rPr>
        <w:t>本项目需要落实的政府采购政策</w:t>
      </w:r>
    </w:p>
    <w:bookmarkEnd w:id="36"/>
    <w:p w14:paraId="5C01E73D">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（1）政府采购促进中小企业发展。</w:t>
      </w:r>
    </w:p>
    <w:p w14:paraId="2B0542B5">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（2）政府采购支持采用本国产品的政策。</w:t>
      </w:r>
    </w:p>
    <w:p w14:paraId="2B234C20">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（3）政府采购促进残疾人就业政策。</w:t>
      </w:r>
    </w:p>
    <w:p w14:paraId="4EFE942F">
      <w:pPr>
        <w:spacing w:line="360" w:lineRule="auto"/>
        <w:ind w:firstLine="360" w:firstLineChars="15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（4）政府采购支持监狱企业发展。</w:t>
      </w:r>
    </w:p>
    <w:p w14:paraId="32F2E9FB">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636225EE">
      <w:pPr>
        <w:spacing w:line="360" w:lineRule="auto"/>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6.若对项目采购电子交易系统操作有疑问，可登录广西政府采购云平台（https://www.gcy.zfcg.gxzf.gov.cn/），点击右侧咨询小采，获取采小蜜智能服务管家帮助，或拨打广西政府采购云平台服务热线95763获取热线服务帮助。 </w:t>
      </w:r>
    </w:p>
    <w:p w14:paraId="1D82CB23">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color w:val="auto"/>
          <w:kern w:val="44"/>
          <w:sz w:val="24"/>
          <w:highlight w:val="none"/>
        </w:rPr>
        <w:t>八、凡对本次采购提出询问，请按以下方式联系</w:t>
      </w:r>
    </w:p>
    <w:p w14:paraId="24E4DF99">
      <w:pPr>
        <w:spacing w:line="360"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1.采购人信息</w:t>
      </w:r>
    </w:p>
    <w:p w14:paraId="5EA5EF1F">
      <w:pPr>
        <w:spacing w:line="360" w:lineRule="auto"/>
        <w:ind w:firstLine="840" w:firstLineChars="3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lang w:eastAsia="zh-CN"/>
        </w:rPr>
        <w:t>南宁市市场监督管理局经济技术开发区分局</w:t>
      </w:r>
    </w:p>
    <w:p w14:paraId="69A49A3B">
      <w:pPr>
        <w:spacing w:line="360" w:lineRule="auto"/>
        <w:ind w:firstLine="840" w:firstLineChars="3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lang w:eastAsia="zh-CN"/>
        </w:rPr>
        <w:t>南宁市壮锦大道 39 号绿港国际中心 B4 栋 9 楼</w:t>
      </w:r>
    </w:p>
    <w:p w14:paraId="2A8CC558">
      <w:pPr>
        <w:spacing w:line="360" w:lineRule="auto"/>
        <w:ind w:firstLine="840" w:firstLineChars="3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项目联系人：</w:t>
      </w:r>
      <w:r>
        <w:rPr>
          <w:rFonts w:hint="eastAsia" w:ascii="仿宋" w:hAnsi="仿宋" w:eastAsia="仿宋" w:cs="仿宋"/>
          <w:color w:val="auto"/>
          <w:szCs w:val="21"/>
          <w:highlight w:val="none"/>
          <w:lang w:val="en-US" w:eastAsia="zh-CN"/>
        </w:rPr>
        <w:t>郑春宁</w:t>
      </w:r>
    </w:p>
    <w:p w14:paraId="19C89547">
      <w:pPr>
        <w:spacing w:line="360" w:lineRule="auto"/>
        <w:ind w:firstLine="840" w:firstLineChars="3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lang w:eastAsia="zh-CN"/>
        </w:rPr>
        <w:t>0771-</w:t>
      </w:r>
      <w:r>
        <w:rPr>
          <w:rFonts w:hint="eastAsia" w:ascii="仿宋" w:hAnsi="仿宋" w:eastAsia="仿宋" w:cs="仿宋"/>
          <w:color w:val="auto"/>
          <w:szCs w:val="21"/>
          <w:highlight w:val="none"/>
          <w:lang w:val="en-US" w:eastAsia="zh-CN"/>
        </w:rPr>
        <w:t xml:space="preserve">5612331    </w:t>
      </w:r>
    </w:p>
    <w:p w14:paraId="7FD69BB9">
      <w:pPr>
        <w:spacing w:line="360" w:lineRule="auto"/>
        <w:ind w:firstLine="720" w:firstLineChars="3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2.采购代理机构信息</w:t>
      </w:r>
    </w:p>
    <w:p w14:paraId="453921BD">
      <w:pPr>
        <w:spacing w:line="360" w:lineRule="auto"/>
        <w:ind w:firstLine="840" w:firstLine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名称：广西科文招标有限公司</w:t>
      </w:r>
    </w:p>
    <w:p w14:paraId="31C5C0D7">
      <w:pPr>
        <w:spacing w:line="360" w:lineRule="auto"/>
        <w:ind w:firstLine="840" w:firstLine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地址：广西南宁市民族大道141号中鼎万象东方D区五层</w:t>
      </w:r>
    </w:p>
    <w:p w14:paraId="59D0E3E1">
      <w:pPr>
        <w:spacing w:line="360" w:lineRule="auto"/>
        <w:ind w:firstLine="720" w:firstLineChars="3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3.项目联系方式</w:t>
      </w:r>
    </w:p>
    <w:p w14:paraId="7AC4A2C7">
      <w:pPr>
        <w:spacing w:line="360" w:lineRule="auto"/>
        <w:ind w:firstLine="840" w:firstLineChars="3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项目联系人：</w:t>
      </w:r>
      <w:r>
        <w:rPr>
          <w:rFonts w:hint="eastAsia" w:ascii="仿宋" w:hAnsi="仿宋" w:eastAsia="仿宋" w:cs="仿宋"/>
          <w:color w:val="auto"/>
          <w:szCs w:val="21"/>
          <w:highlight w:val="none"/>
          <w:lang w:val="en-US" w:eastAsia="zh-CN"/>
        </w:rPr>
        <w:t>梁栩菁、梁伟贞</w:t>
      </w:r>
    </w:p>
    <w:p w14:paraId="62AA1839">
      <w:pPr>
        <w:spacing w:line="360" w:lineRule="auto"/>
        <w:ind w:firstLine="840" w:firstLine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电话：0771-2023835</w:t>
      </w:r>
    </w:p>
    <w:p w14:paraId="762A3297">
      <w:pPr>
        <w:pStyle w:val="9"/>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szCs w:val="21"/>
          <w:highlight w:val="none"/>
        </w:rPr>
        <w:t>附件： 1.CA证书申请方式及操作指南下载地址（登陆</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"http://nncz.nanning.gov.cn/" </w:instrText>
      </w:r>
      <w:r>
        <w:rPr>
          <w:rFonts w:hint="eastAsia" w:ascii="仿宋" w:hAnsi="仿宋" w:eastAsia="仿宋" w:cs="仿宋"/>
          <w:color w:val="auto"/>
          <w:highlight w:val="none"/>
        </w:rPr>
        <w:fldChar w:fldCharType="separate"/>
      </w:r>
      <w:r>
        <w:rPr>
          <w:rStyle w:val="26"/>
          <w:rFonts w:hint="eastAsia" w:ascii="仿宋" w:hAnsi="仿宋" w:eastAsia="仿宋" w:cs="仿宋"/>
          <w:color w:val="auto"/>
          <w:highlight w:val="none"/>
        </w:rPr>
        <w:t>http://nncz.nanning.gov.cn/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（南宁市财政局官网）-业务专题-政府采购监督管理-资料下载-“广西政府采购云平台西部CA办理方式”或“南宁市广西政府采购云平台CA证书办理操作指南”</w:t>
      </w:r>
      <w:r>
        <w:rPr>
          <w:rFonts w:hint="eastAsia" w:ascii="仿宋" w:hAnsi="仿宋" w:eastAsia="仿宋" w:cs="仿宋"/>
          <w:color w:val="auto"/>
          <w:szCs w:val="21"/>
          <w:highlight w:val="none"/>
        </w:rPr>
        <w:t>）</w:t>
      </w:r>
    </w:p>
    <w:p w14:paraId="7D881A10">
      <w:pPr>
        <w:pStyle w:val="9"/>
        <w:spacing w:line="360" w:lineRule="auto"/>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2.电子响应文件制作与投送教程（在此网址下载：</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"http://nncz.nanning.gov.cn/" </w:instrText>
      </w:r>
      <w:r>
        <w:rPr>
          <w:rFonts w:hint="eastAsia" w:ascii="仿宋" w:hAnsi="仿宋" w:eastAsia="仿宋" w:cs="仿宋"/>
          <w:color w:val="auto"/>
          <w:highlight w:val="none"/>
        </w:rPr>
        <w:fldChar w:fldCharType="separate"/>
      </w:r>
      <w:r>
        <w:rPr>
          <w:rStyle w:val="26"/>
          <w:rFonts w:hint="eastAsia" w:ascii="仿宋" w:hAnsi="仿宋" w:eastAsia="仿宋" w:cs="仿宋"/>
          <w:color w:val="auto"/>
          <w:highlight w:val="none"/>
        </w:rPr>
        <w:t>http://nncz.nanning.gov.cn/</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t>（南宁市财政局官网）-业务专题-政府采购监督管理-资料下载-南宁市政府采购项目全流程电子化交易操作指南</w:t>
      </w:r>
      <w:r>
        <w:rPr>
          <w:rFonts w:hint="eastAsia" w:ascii="仿宋" w:hAnsi="仿宋" w:eastAsia="仿宋" w:cs="仿宋"/>
          <w:color w:val="auto"/>
          <w:szCs w:val="21"/>
          <w:highlight w:val="none"/>
        </w:rPr>
        <w:t>）</w:t>
      </w:r>
    </w:p>
    <w:p w14:paraId="023F5F46">
      <w:pPr>
        <w:spacing w:line="360" w:lineRule="auto"/>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广西科文招标有限公司</w:t>
      </w:r>
    </w:p>
    <w:p w14:paraId="5E6A4EA7">
      <w:pPr>
        <w:spacing w:line="360" w:lineRule="auto"/>
        <w:ind w:firstLine="240" w:firstLineChars="100"/>
        <w:jc w:val="right"/>
        <w:rPr>
          <w:rFonts w:hint="eastAsia" w:ascii="仿宋" w:hAnsi="仿宋" w:eastAsia="仿宋" w:cs="仿宋"/>
          <w:color w:val="auto"/>
          <w:highlight w:val="none"/>
          <w:lang w:eastAsia="zh-CN"/>
        </w:rPr>
      </w:pPr>
      <w:r>
        <w:rPr>
          <w:rFonts w:hint="eastAsia" w:ascii="仿宋" w:hAnsi="仿宋" w:eastAsia="仿宋" w:cs="仿宋"/>
          <w:color w:val="auto"/>
          <w:szCs w:val="21"/>
          <w:highlight w:val="none"/>
          <w:lang w:eastAsia="zh-CN"/>
        </w:rPr>
        <w:t>2026年</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lang w:eastAsia="zh-CN"/>
        </w:rPr>
        <w:t>月</w:t>
      </w:r>
      <w:r>
        <w:rPr>
          <w:rFonts w:hint="eastAsia" w:ascii="仿宋" w:hAnsi="仿宋" w:eastAsia="仿宋" w:cs="仿宋"/>
          <w:color w:val="auto"/>
          <w:szCs w:val="21"/>
          <w:highlight w:val="none"/>
          <w:lang w:val="en-US" w:eastAsia="zh-CN"/>
        </w:rPr>
        <w:t>10</w:t>
      </w:r>
      <w:r>
        <w:rPr>
          <w:rFonts w:hint="eastAsia" w:ascii="仿宋" w:hAnsi="仿宋" w:eastAsia="仿宋" w:cs="仿宋"/>
          <w:color w:val="auto"/>
          <w:szCs w:val="21"/>
          <w:highlight w:val="none"/>
          <w:lang w:eastAsia="zh-CN"/>
        </w:rPr>
        <w:t>日</w:t>
      </w:r>
    </w:p>
    <w:p w14:paraId="5E76B3AE">
      <w:pPr>
        <w:widowControl/>
        <w:spacing w:line="360" w:lineRule="auto"/>
        <w:jc w:val="left"/>
        <w:rPr>
          <w:rFonts w:hint="eastAsia" w:ascii="仿宋" w:hAnsi="仿宋" w:eastAsia="仿宋" w:cs="仿宋"/>
          <w:color w:val="auto"/>
          <w:sz w:val="24"/>
          <w:highlight w:val="none"/>
          <w:lang w:val="zh-CN"/>
        </w:rPr>
        <w:sectPr>
          <w:footerReference r:id="rId7" w:type="default"/>
          <w:pgSz w:w="11911" w:h="16838"/>
          <w:pgMar w:top="1417" w:right="1417" w:bottom="1417" w:left="1417" w:header="720" w:footer="720" w:gutter="0"/>
          <w:cols w:space="720" w:num="1"/>
          <w:docGrid w:linePitch="331" w:charSpace="0"/>
        </w:sectPr>
      </w:pPr>
    </w:p>
    <w:p w14:paraId="60A95C6A">
      <w:pPr>
        <w:pStyle w:val="2"/>
        <w:jc w:val="center"/>
        <w:rPr>
          <w:rFonts w:hint="eastAsia" w:ascii="仿宋" w:hAnsi="仿宋" w:eastAsia="仿宋" w:cs="仿宋"/>
          <w:color w:val="auto"/>
          <w:highlight w:val="none"/>
        </w:rPr>
      </w:pPr>
      <w:bookmarkStart w:id="37" w:name="_Toc30008"/>
      <w:bookmarkStart w:id="38" w:name="_Toc29293"/>
      <w:r>
        <w:rPr>
          <w:rFonts w:hint="eastAsia" w:ascii="仿宋" w:hAnsi="仿宋" w:eastAsia="仿宋" w:cs="仿宋"/>
          <w:bCs w:val="0"/>
          <w:color w:val="auto"/>
          <w:sz w:val="32"/>
          <w:szCs w:val="32"/>
          <w:highlight w:val="none"/>
        </w:rPr>
        <w:t>第二章 采购需求</w:t>
      </w:r>
      <w:bookmarkEnd w:id="37"/>
      <w:bookmarkEnd w:id="38"/>
    </w:p>
    <w:p w14:paraId="3D6B9D0B">
      <w:pPr>
        <w:spacing w:line="4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w:t>
      </w:r>
    </w:p>
    <w:p w14:paraId="1F926D1E">
      <w:pPr>
        <w:spacing w:line="42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highlight w:val="none"/>
        </w:rPr>
        <w:t>1.为落实政府采购政策需满足的要求：</w:t>
      </w:r>
    </w:p>
    <w:p w14:paraId="1F534970">
      <w:pPr>
        <w:spacing w:line="42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（1）本竞争性磋商采购文件所称中小企业必须符合《政府采购促进中小企业发展管理办法》（财库〔2020〕46号）的规定。</w:t>
      </w:r>
    </w:p>
    <w:p w14:paraId="64A8D49D">
      <w:pPr>
        <w:tabs>
          <w:tab w:val="left" w:pos="180"/>
          <w:tab w:val="left" w:pos="1620"/>
        </w:tabs>
        <w:spacing w:line="420" w:lineRule="exact"/>
        <w:ind w:firstLine="480" w:firstLineChars="200"/>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（2）服务项目中包含货物的，根据《财政部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否则响应文件作无效处理。如本项目包含的配套货物属于品目清单内非标注“★”的产品时，应优先采购，具体详见“第四章 评审程序和评定成交的标准”。</w:t>
      </w:r>
    </w:p>
    <w:p w14:paraId="321C714E">
      <w:pPr>
        <w:spacing w:line="420" w:lineRule="exact"/>
        <w:ind w:firstLine="472" w:firstLineChars="196"/>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2.“实质性要求”是指采购需求中带“▲”的条款或者不能负偏离的条款或者已经指明不满足按响应文件作无效处理的条款。</w:t>
      </w:r>
    </w:p>
    <w:p w14:paraId="5C762987">
      <w:pPr>
        <w:pStyle w:val="9"/>
        <w:spacing w:line="42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3.不需要供应商对采购需求响应为具体数值的，此采购需求的数值后将以◆号标注。</w:t>
      </w:r>
    </w:p>
    <w:p w14:paraId="31166A91">
      <w:pPr>
        <w:pStyle w:val="9"/>
        <w:spacing w:line="42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4.如竞标人竞标产品</w:t>
      </w:r>
      <w:r>
        <w:rPr>
          <w:rFonts w:hint="eastAsia" w:ascii="仿宋" w:hAnsi="仿宋" w:eastAsia="仿宋" w:cs="仿宋"/>
          <w:color w:val="auto"/>
          <w:szCs w:val="21"/>
          <w:highlight w:val="none"/>
          <w:lang w:val="en-US" w:eastAsia="zh-CN"/>
        </w:rPr>
        <w:t>或服务过程成果</w:t>
      </w:r>
      <w:r>
        <w:rPr>
          <w:rFonts w:hint="eastAsia" w:ascii="仿宋" w:hAnsi="仿宋" w:eastAsia="仿宋" w:cs="仿宋"/>
          <w:color w:val="auto"/>
          <w:szCs w:val="21"/>
          <w:highlight w:val="none"/>
        </w:rPr>
        <w:t>存在侵犯他人的知识产权或者专利成果行为的，</w:t>
      </w:r>
      <w:r>
        <w:rPr>
          <w:rFonts w:hint="eastAsia" w:ascii="仿宋" w:hAnsi="仿宋" w:eastAsia="仿宋" w:cs="仿宋"/>
          <w:color w:val="auto"/>
          <w:szCs w:val="21"/>
          <w:highlight w:val="none"/>
          <w:lang w:val="en-US" w:eastAsia="zh-CN"/>
        </w:rPr>
        <w:t>竞标人</w:t>
      </w:r>
      <w:r>
        <w:rPr>
          <w:rFonts w:hint="eastAsia" w:ascii="仿宋" w:hAnsi="仿宋" w:eastAsia="仿宋" w:cs="仿宋"/>
          <w:color w:val="auto"/>
          <w:szCs w:val="21"/>
          <w:highlight w:val="none"/>
        </w:rPr>
        <w:t>应承担相应法律责任。</w:t>
      </w:r>
    </w:p>
    <w:p w14:paraId="1FA98D8A">
      <w:pPr>
        <w:pStyle w:val="9"/>
        <w:spacing w:line="420" w:lineRule="exact"/>
        <w:ind w:firstLine="480" w:firstLineChars="200"/>
        <w:rPr>
          <w:rFonts w:hint="eastAsia" w:ascii="仿宋" w:hAnsi="仿宋" w:eastAsia="仿宋" w:cs="仿宋"/>
          <w:color w:val="auto"/>
          <w:szCs w:val="21"/>
          <w:highlight w:val="none"/>
        </w:rPr>
      </w:pPr>
    </w:p>
    <w:p w14:paraId="4335B89B">
      <w:pPr>
        <w:pStyle w:val="9"/>
        <w:spacing w:line="420" w:lineRule="exact"/>
        <w:ind w:firstLine="480" w:firstLineChars="200"/>
        <w:rPr>
          <w:rFonts w:hint="eastAsia" w:ascii="仿宋" w:hAnsi="仿宋" w:eastAsia="仿宋" w:cs="仿宋"/>
          <w:color w:val="auto"/>
          <w:szCs w:val="21"/>
          <w:highlight w:val="none"/>
        </w:rPr>
      </w:pPr>
    </w:p>
    <w:p w14:paraId="6F2B55AA">
      <w:pPr>
        <w:spacing w:line="360" w:lineRule="exact"/>
        <w:jc w:val="center"/>
        <w:rPr>
          <w:rFonts w:hint="eastAsia" w:ascii="仿宋" w:hAnsi="仿宋" w:eastAsia="仿宋" w:cs="仿宋"/>
          <w:b/>
          <w:color w:val="auto"/>
          <w:szCs w:val="21"/>
          <w:highlight w:val="none"/>
        </w:rPr>
      </w:pPr>
      <w:bookmarkStart w:id="297" w:name="_GoBack"/>
      <w:bookmarkEnd w:id="297"/>
      <w:r>
        <w:rPr>
          <w:rFonts w:hint="eastAsia" w:ascii="仿宋" w:hAnsi="仿宋" w:eastAsia="仿宋" w:cs="仿宋"/>
          <w:b/>
          <w:color w:val="auto"/>
          <w:szCs w:val="21"/>
          <w:highlight w:val="none"/>
        </w:rPr>
        <w:br w:type="page"/>
      </w:r>
    </w:p>
    <w:tbl>
      <w:tblPr>
        <w:tblStyle w:val="22"/>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420"/>
        <w:gridCol w:w="1002"/>
        <w:gridCol w:w="810"/>
        <w:gridCol w:w="462"/>
        <w:gridCol w:w="5082"/>
        <w:gridCol w:w="803"/>
        <w:gridCol w:w="997"/>
      </w:tblGrid>
      <w:tr w14:paraId="4FA8C3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0121" w:type="dxa"/>
            <w:gridSpan w:val="8"/>
            <w:tcBorders>
              <w:top w:val="single" w:color="auto" w:sz="4" w:space="0"/>
              <w:left w:val="single" w:color="auto" w:sz="4" w:space="0"/>
              <w:right w:val="single" w:color="auto" w:sz="4" w:space="0"/>
            </w:tcBorders>
            <w:vAlign w:val="center"/>
          </w:tcPr>
          <w:p w14:paraId="7646FE8E">
            <w:pPr>
              <w:spacing w:line="360" w:lineRule="exact"/>
              <w:jc w:val="center"/>
              <w:rPr>
                <w:rFonts w:hint="eastAsia" w:ascii="仿宋" w:hAnsi="仿宋" w:eastAsia="仿宋" w:cs="仿宋"/>
                <w:b/>
                <w:color w:val="auto"/>
                <w:szCs w:val="21"/>
                <w:highlight w:val="none"/>
                <w:lang w:eastAsia="zh-CN"/>
              </w:rPr>
            </w:pPr>
            <w:r>
              <w:rPr>
                <w:rFonts w:hint="eastAsia" w:ascii="仿宋" w:hAnsi="仿宋" w:eastAsia="仿宋" w:cs="仿宋"/>
                <w:b/>
                <w:color w:val="auto"/>
                <w:szCs w:val="21"/>
                <w:highlight w:val="none"/>
              </w:rPr>
              <w:t>服务需求一览表</w:t>
            </w:r>
          </w:p>
        </w:tc>
      </w:tr>
      <w:tr w14:paraId="4B88E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545" w:type="dxa"/>
            <w:vMerge w:val="restart"/>
            <w:tcBorders>
              <w:top w:val="single" w:color="auto" w:sz="4" w:space="0"/>
              <w:left w:val="single" w:color="auto" w:sz="4" w:space="0"/>
              <w:right w:val="single" w:color="auto" w:sz="4" w:space="0"/>
            </w:tcBorders>
            <w:vAlign w:val="center"/>
          </w:tcPr>
          <w:p w14:paraId="495C994D">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采购清单及服务参数</w:t>
            </w:r>
          </w:p>
        </w:tc>
        <w:tc>
          <w:tcPr>
            <w:tcW w:w="42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D15DD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标项</w:t>
            </w:r>
          </w:p>
        </w:tc>
        <w:tc>
          <w:tcPr>
            <w:tcW w:w="1002" w:type="dxa"/>
            <w:tcBorders>
              <w:top w:val="single" w:color="auto" w:sz="4" w:space="0"/>
              <w:left w:val="single" w:color="auto" w:sz="4" w:space="0"/>
              <w:bottom w:val="single" w:color="auto" w:sz="4" w:space="0"/>
              <w:right w:val="single" w:color="auto" w:sz="4" w:space="0"/>
            </w:tcBorders>
            <w:vAlign w:val="center"/>
          </w:tcPr>
          <w:p w14:paraId="455E1C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标的的名称</w:t>
            </w:r>
          </w:p>
        </w:tc>
        <w:tc>
          <w:tcPr>
            <w:tcW w:w="810" w:type="dxa"/>
            <w:tcBorders>
              <w:top w:val="single" w:color="auto" w:sz="4" w:space="0"/>
              <w:left w:val="single" w:color="auto" w:sz="4" w:space="0"/>
              <w:bottom w:val="single" w:color="auto" w:sz="4" w:space="0"/>
              <w:right w:val="single" w:color="auto" w:sz="4" w:space="0"/>
            </w:tcBorders>
            <w:vAlign w:val="center"/>
          </w:tcPr>
          <w:p w14:paraId="796FE3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单位</w:t>
            </w:r>
          </w:p>
        </w:tc>
        <w:tc>
          <w:tcPr>
            <w:tcW w:w="462" w:type="dxa"/>
            <w:tcBorders>
              <w:top w:val="single" w:color="auto" w:sz="4" w:space="0"/>
              <w:left w:val="single" w:color="auto" w:sz="4" w:space="0"/>
              <w:bottom w:val="single" w:color="auto" w:sz="4" w:space="0"/>
              <w:right w:val="single" w:color="auto" w:sz="4" w:space="0"/>
            </w:tcBorders>
            <w:vAlign w:val="center"/>
          </w:tcPr>
          <w:p w14:paraId="76F4E2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5082" w:type="dxa"/>
            <w:tcBorders>
              <w:top w:val="single" w:color="auto" w:sz="4" w:space="0"/>
              <w:left w:val="single" w:color="auto" w:sz="4" w:space="0"/>
              <w:bottom w:val="single" w:color="auto" w:sz="4" w:space="0"/>
              <w:right w:val="single" w:color="auto" w:sz="4" w:space="0"/>
            </w:tcBorders>
            <w:vAlign w:val="center"/>
          </w:tcPr>
          <w:p w14:paraId="16D1DD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服务参数</w:t>
            </w:r>
          </w:p>
        </w:tc>
        <w:tc>
          <w:tcPr>
            <w:tcW w:w="803" w:type="dxa"/>
            <w:tcBorders>
              <w:top w:val="single" w:color="auto" w:sz="4" w:space="0"/>
              <w:left w:val="single" w:color="auto" w:sz="4" w:space="0"/>
              <w:bottom w:val="single" w:color="auto" w:sz="4" w:space="0"/>
              <w:right w:val="single" w:color="auto" w:sz="4" w:space="0"/>
            </w:tcBorders>
            <w:vAlign w:val="center"/>
          </w:tcPr>
          <w:p w14:paraId="49D00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分项预算合计（元）</w:t>
            </w:r>
          </w:p>
        </w:tc>
        <w:tc>
          <w:tcPr>
            <w:tcW w:w="997" w:type="dxa"/>
            <w:tcBorders>
              <w:top w:val="single" w:color="auto" w:sz="4" w:space="0"/>
              <w:left w:val="single" w:color="auto" w:sz="4" w:space="0"/>
              <w:bottom w:val="single" w:color="auto" w:sz="4" w:space="0"/>
              <w:right w:val="single" w:color="auto" w:sz="4" w:space="0"/>
            </w:tcBorders>
            <w:vAlign w:val="center"/>
          </w:tcPr>
          <w:p w14:paraId="0978A8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中小企业划分标准所属行业名称</w:t>
            </w:r>
          </w:p>
        </w:tc>
      </w:tr>
      <w:tr w14:paraId="378526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jc w:val="center"/>
        </w:trPr>
        <w:tc>
          <w:tcPr>
            <w:tcW w:w="545" w:type="dxa"/>
            <w:vMerge w:val="continue"/>
            <w:tcBorders>
              <w:left w:val="single" w:color="auto" w:sz="4" w:space="0"/>
              <w:bottom w:val="single" w:color="auto" w:sz="4" w:space="0"/>
              <w:right w:val="single" w:color="auto" w:sz="4" w:space="0"/>
            </w:tcBorders>
            <w:vAlign w:val="top"/>
          </w:tcPr>
          <w:p w14:paraId="074E11BB">
            <w:pPr>
              <w:spacing w:line="360" w:lineRule="exact"/>
              <w:jc w:val="center"/>
              <w:rPr>
                <w:rFonts w:hint="eastAsia" w:ascii="仿宋" w:hAnsi="仿宋" w:eastAsia="仿宋" w:cs="仿宋"/>
                <w:b/>
                <w:bCs/>
                <w:color w:val="auto"/>
                <w:highlight w:val="none"/>
              </w:rPr>
            </w:pPr>
          </w:p>
        </w:tc>
        <w:tc>
          <w:tcPr>
            <w:tcW w:w="420" w:type="dxa"/>
            <w:tcBorders>
              <w:top w:val="single" w:color="auto" w:sz="4" w:space="0"/>
              <w:left w:val="single" w:color="auto" w:sz="4" w:space="0"/>
              <w:bottom w:val="single" w:color="auto" w:sz="4" w:space="0"/>
              <w:right w:val="single" w:color="auto" w:sz="4" w:space="0"/>
            </w:tcBorders>
            <w:vAlign w:val="center"/>
          </w:tcPr>
          <w:p w14:paraId="70DB2176">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002" w:type="dxa"/>
            <w:tcBorders>
              <w:top w:val="single" w:color="auto" w:sz="4" w:space="0"/>
              <w:left w:val="single" w:color="auto" w:sz="4" w:space="0"/>
              <w:bottom w:val="single" w:color="auto" w:sz="4" w:space="0"/>
              <w:right w:val="single" w:color="auto" w:sz="4" w:space="0"/>
            </w:tcBorders>
            <w:vAlign w:val="center"/>
          </w:tcPr>
          <w:p w14:paraId="568D294C">
            <w:pPr>
              <w:snapToGrid w:val="0"/>
              <w:spacing w:line="360" w:lineRule="exact"/>
              <w:jc w:val="cente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南宁市市场监督管理局经济技术开发区分局2026年食品安全监督抽检服务项目</w:t>
            </w:r>
          </w:p>
        </w:tc>
        <w:tc>
          <w:tcPr>
            <w:tcW w:w="810" w:type="dxa"/>
            <w:tcBorders>
              <w:top w:val="single" w:color="auto" w:sz="4" w:space="0"/>
              <w:left w:val="single" w:color="auto" w:sz="4" w:space="0"/>
              <w:bottom w:val="single" w:color="auto" w:sz="4" w:space="0"/>
              <w:right w:val="single" w:color="auto" w:sz="4" w:space="0"/>
            </w:tcBorders>
            <w:vAlign w:val="center"/>
          </w:tcPr>
          <w:p w14:paraId="7429219D">
            <w:pPr>
              <w:snapToGrid w:val="0"/>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w:t>
            </w:r>
          </w:p>
        </w:tc>
        <w:tc>
          <w:tcPr>
            <w:tcW w:w="462" w:type="dxa"/>
            <w:tcBorders>
              <w:top w:val="single" w:color="auto" w:sz="4" w:space="0"/>
              <w:left w:val="single" w:color="auto" w:sz="4" w:space="0"/>
              <w:bottom w:val="single" w:color="auto" w:sz="4" w:space="0"/>
              <w:right w:val="single" w:color="auto" w:sz="4" w:space="0"/>
            </w:tcBorders>
            <w:vAlign w:val="center"/>
          </w:tcPr>
          <w:p w14:paraId="14CE3EDD">
            <w:pPr>
              <w:widowControl/>
              <w:spacing w:line="440" w:lineRule="exact"/>
              <w:jc w:val="center"/>
              <w:rPr>
                <w:rFonts w:hint="eastAsia" w:ascii="仿宋" w:hAnsi="仿宋" w:eastAsia="仿宋" w:cs="仿宋"/>
                <w:b/>
                <w:color w:val="auto"/>
                <w:szCs w:val="21"/>
                <w:highlight w:val="none"/>
                <w:lang w:val="en-US" w:eastAsia="zh-CN"/>
              </w:rPr>
            </w:pPr>
            <w:r>
              <w:rPr>
                <w:rFonts w:hint="eastAsia" w:ascii="仿宋" w:hAnsi="仿宋" w:eastAsia="仿宋" w:cs="仿宋"/>
                <w:b w:val="0"/>
                <w:bCs/>
                <w:color w:val="auto"/>
                <w:szCs w:val="21"/>
                <w:highlight w:val="none"/>
                <w:lang w:val="en-US" w:eastAsia="zh-CN"/>
              </w:rPr>
              <w:t>1</w:t>
            </w:r>
          </w:p>
        </w:tc>
        <w:tc>
          <w:tcPr>
            <w:tcW w:w="5082" w:type="dxa"/>
            <w:tcBorders>
              <w:top w:val="single" w:color="auto" w:sz="4" w:space="0"/>
              <w:left w:val="single" w:color="auto" w:sz="4" w:space="0"/>
              <w:bottom w:val="single" w:color="auto" w:sz="4" w:space="0"/>
              <w:right w:val="single" w:color="auto" w:sz="4" w:space="0"/>
            </w:tcBorders>
            <w:vAlign w:val="top"/>
          </w:tcPr>
          <w:p w14:paraId="018F0EB0">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一、项目要求</w:t>
            </w:r>
          </w:p>
          <w:p w14:paraId="48F47AD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1.在生产、流通、餐饮、特殊食品等环节开展经开区本级2026年食品安全监督抽检，其中：市局分配县抽计划部分抽检批次≥</w:t>
            </w:r>
            <w:r>
              <w:rPr>
                <w:rFonts w:hint="eastAsia" w:ascii="仿宋" w:hAnsi="仿宋" w:eastAsia="仿宋" w:cs="仿宋"/>
                <w:color w:val="auto"/>
                <w:highlight w:val="none"/>
                <w:lang w:val="en-US" w:eastAsia="zh-CN"/>
              </w:rPr>
              <w:t>234批次</w:t>
            </w:r>
            <w:r>
              <w:rPr>
                <w:rFonts w:hint="eastAsia" w:ascii="仿宋" w:hAnsi="仿宋" w:eastAsia="仿宋" w:cs="仿宋"/>
                <w:color w:val="auto"/>
                <w:highlight w:val="none"/>
              </w:rPr>
              <w:t>，任务分配表详见</w:t>
            </w:r>
            <w:r>
              <w:rPr>
                <w:rFonts w:hint="eastAsia" w:ascii="仿宋" w:hAnsi="仿宋" w:eastAsia="仿宋" w:cs="仿宋"/>
                <w:b/>
                <w:bCs/>
                <w:color w:val="auto"/>
                <w:highlight w:val="none"/>
              </w:rPr>
              <w:t>附件2</w:t>
            </w:r>
            <w:r>
              <w:rPr>
                <w:rFonts w:hint="eastAsia" w:ascii="仿宋" w:hAnsi="仿宋" w:eastAsia="仿宋" w:cs="仿宋"/>
                <w:color w:val="auto"/>
                <w:highlight w:val="none"/>
              </w:rPr>
              <w:t>；经开区本级自行开展生产环节抽检任务抽检批次≥150</w:t>
            </w:r>
            <w:r>
              <w:rPr>
                <w:rFonts w:hint="eastAsia" w:ascii="仿宋" w:hAnsi="仿宋" w:eastAsia="仿宋" w:cs="仿宋"/>
                <w:color w:val="auto"/>
                <w:highlight w:val="none"/>
                <w:lang w:val="en-US" w:eastAsia="zh-CN"/>
              </w:rPr>
              <w:t>批次</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其中，</w:t>
            </w:r>
            <w:r>
              <w:rPr>
                <w:rFonts w:hint="eastAsia" w:ascii="仿宋" w:hAnsi="仿宋" w:eastAsia="仿宋" w:cs="仿宋"/>
                <w:color w:val="auto"/>
                <w:highlight w:val="none"/>
              </w:rPr>
              <w:t>重大活动保障食品安全抽检、紧急事件、案件执法等应急检验任务配套监督抽检批次≥66</w:t>
            </w:r>
            <w:r>
              <w:rPr>
                <w:rFonts w:hint="eastAsia" w:ascii="仿宋" w:hAnsi="仿宋" w:eastAsia="仿宋" w:cs="仿宋"/>
                <w:color w:val="auto"/>
                <w:highlight w:val="none"/>
                <w:lang w:val="en-US" w:eastAsia="zh-CN"/>
              </w:rPr>
              <w:t>批次</w:t>
            </w:r>
            <w:r>
              <w:rPr>
                <w:rFonts w:hint="eastAsia" w:ascii="仿宋" w:hAnsi="仿宋" w:eastAsia="仿宋" w:cs="仿宋"/>
                <w:color w:val="auto"/>
                <w:highlight w:val="none"/>
              </w:rPr>
              <w:t>，任务分配表详见</w:t>
            </w:r>
            <w:r>
              <w:rPr>
                <w:rFonts w:hint="eastAsia" w:ascii="仿宋" w:hAnsi="仿宋" w:eastAsia="仿宋" w:cs="仿宋"/>
                <w:b/>
                <w:bCs/>
                <w:color w:val="auto"/>
                <w:highlight w:val="none"/>
              </w:rPr>
              <w:t>附件3</w:t>
            </w:r>
            <w:r>
              <w:rPr>
                <w:rFonts w:hint="eastAsia" w:ascii="仿宋" w:hAnsi="仿宋" w:eastAsia="仿宋" w:cs="仿宋"/>
                <w:color w:val="auto"/>
                <w:highlight w:val="none"/>
              </w:rPr>
              <w:t>。检验项目对应《广西食品安全监督抽检实施细则（2026年版）》，</w:t>
            </w:r>
            <w:r>
              <w:rPr>
                <w:rFonts w:hint="eastAsia" w:ascii="仿宋" w:hAnsi="仿宋" w:eastAsia="仿宋" w:cs="仿宋"/>
                <w:b/>
                <w:bCs/>
                <w:color w:val="auto"/>
                <w:highlight w:val="none"/>
              </w:rPr>
              <w:t>详见附件4</w:t>
            </w:r>
            <w:r>
              <w:rPr>
                <w:rFonts w:hint="eastAsia" w:ascii="仿宋" w:hAnsi="仿宋" w:eastAsia="仿宋" w:cs="仿宋"/>
                <w:color w:val="auto"/>
                <w:highlight w:val="none"/>
              </w:rPr>
              <w:t>。</w:t>
            </w:r>
          </w:p>
          <w:p w14:paraId="41ADD1BE">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2.抽检的样品费、检验费由</w:t>
            </w:r>
            <w:r>
              <w:rPr>
                <w:rFonts w:hint="eastAsia" w:ascii="仿宋" w:hAnsi="仿宋" w:eastAsia="仿宋" w:cs="仿宋"/>
                <w:color w:val="auto"/>
                <w:highlight w:val="none"/>
                <w:lang w:eastAsia="zh-CN"/>
              </w:rPr>
              <w:t>成交供应商</w:t>
            </w:r>
            <w:r>
              <w:rPr>
                <w:rFonts w:hint="eastAsia" w:ascii="仿宋" w:hAnsi="仿宋" w:eastAsia="仿宋" w:cs="仿宋"/>
                <w:color w:val="auto"/>
                <w:highlight w:val="none"/>
              </w:rPr>
              <w:t>承担。</w:t>
            </w:r>
          </w:p>
          <w:p w14:paraId="239B482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eastAsia="zh-CN"/>
              </w:rPr>
              <w:t>成交供应商</w:t>
            </w:r>
            <w:r>
              <w:rPr>
                <w:rFonts w:hint="eastAsia" w:ascii="仿宋" w:hAnsi="仿宋" w:eastAsia="仿宋" w:cs="仿宋"/>
                <w:color w:val="auto"/>
                <w:highlight w:val="none"/>
              </w:rPr>
              <w:t>负责样品的采集、检验、录入上报数据等工作。</w:t>
            </w:r>
          </w:p>
          <w:p w14:paraId="03C85930">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二、具体服务工作要求</w:t>
            </w:r>
          </w:p>
          <w:p w14:paraId="64832B34">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须具有与承担的食品监督抽检任务相匹配的工作人员、仪器设备、实验室环境设施；拥有运行良好的实验室管理体系，授权范围涵盖承担的食品监督抽检监测任务中相应的食品品种和监督抽检项目。具有相应的检验和质量分析人员，参与检验的有关人员具有检验员证或上岗证，并具备相应的专业知识和能力，具体要求为：</w:t>
            </w:r>
          </w:p>
          <w:p w14:paraId="03C596E8">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1.供应商须具有固定且能够独立运行的检验工作场所以及投标项目检测所需的抽样、检验检测、运输贮存(冷藏和冷冻)、数据处理与分析、信息传输等设施设备，能够满足本项目要求的承检任务需要。</w:t>
            </w:r>
            <w:r>
              <w:rPr>
                <w:rFonts w:hint="eastAsia" w:ascii="仿宋" w:hAnsi="仿宋" w:eastAsia="仿宋" w:cs="仿宋"/>
                <w:b/>
                <w:bCs/>
                <w:color w:val="auto"/>
                <w:highlight w:val="none"/>
                <w:lang w:val="en-US" w:eastAsia="zh-CN"/>
              </w:rPr>
              <w:t>响应文件中提供拟投入本项目的检验工作场所实验室平面图及供应商拥有的相关设施和设备清单，并附拟投入本项目的实验室有效的房屋产权使用证明或租赁合同。</w:t>
            </w:r>
          </w:p>
          <w:p w14:paraId="0B578F03">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供应商须具有稳定的抽样、检验和技术管理人员。检验和技术管理人员熟悉有关食品检验的标准、检验方法原理，掌握检验操作技能、标准操作程序、计量和数据处理知识等。承担抽样任务的，具有与抽样工作相匹配的独立抽样人员、抽样工具、设备等条件；熟悉食品抽样程序，抽样人员熟悉相关法律、法规、规章和标准等有关规定。抽样人员使用规范的抽样文书，准确、完整记录抽样信息，抽样程序符合规定。</w:t>
            </w:r>
          </w:p>
          <w:p w14:paraId="20D6EB93">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能严格遵守检验工作委托时间进度安排和及时报送检验报告、质量分析报告等规定的材料。具体时限要求为：接到样品后20个工作日内完成检验工作并在“国家食品安全抽样检验信息系统”上出具通过CA认证的电子检验报告书。监督抽检检验结论不合格的，应当在检验结论做出后2个工作日内在“国家食品安全抽样检验信息系统”出具通过CA认证的电子检验报告书。另有合同约定的，依约定执行。</w:t>
            </w:r>
          </w:p>
          <w:p w14:paraId="7579714F">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4.24小时限时报告要求：发现不合格样品中含有非食用物质或其他可能对身体健康和生命安全造成严重危害的，应当在确认检验结果无误后24小时之内，将限时报告表上传系统，并报告组织实施抽检工作的市场监管部门备案。</w:t>
            </w:r>
          </w:p>
          <w:p w14:paraId="2E3DDE81">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拥有安全有效的实验室信息化管理系统和信息分析汇总人员，能够完成食品安全抽检监测数据上报和结果分析工作；按照“谁采集、谁录入；谁检验、谁录入”的原则，应当在抽样完成2个工作日内将抽样信息录入“国家食品安全抽样检验信息系统”；检验结论做出后5个工作日内完成检验数据录入“国家食品安全抽样检验信息系统”的工作。录入的信息、数据应当及时、准确。</w:t>
            </w:r>
          </w:p>
          <w:p w14:paraId="00926579">
            <w:pPr>
              <w:pStyle w:val="34"/>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三、其他服务要求</w:t>
            </w:r>
          </w:p>
          <w:p w14:paraId="18178D70">
            <w:pPr>
              <w:pStyle w:val="34"/>
              <w:rPr>
                <w:rFonts w:hint="eastAsia" w:ascii="仿宋" w:hAnsi="仿宋" w:eastAsia="仿宋" w:cs="仿宋"/>
                <w:color w:val="auto"/>
                <w:highlight w:val="none"/>
              </w:rPr>
            </w:pPr>
            <w:r>
              <w:rPr>
                <w:rFonts w:hint="eastAsia" w:ascii="仿宋" w:hAnsi="仿宋" w:eastAsia="仿宋" w:cs="仿宋"/>
                <w:color w:val="auto"/>
                <w:highlight w:val="none"/>
              </w:rPr>
              <w:t>1.严格遵守法律、法规的规定和检验工作有关纪律要求，确保检验结果真实有效；检验活动中无差错，能够保证检验结果质量；具有授权范围涵盖承担的食品抽样检测任务中相应的食品品种和检验项目；</w:t>
            </w:r>
          </w:p>
          <w:p w14:paraId="7333F11D">
            <w:pPr>
              <w:pStyle w:val="34"/>
              <w:rPr>
                <w:rFonts w:hint="eastAsia" w:ascii="仿宋" w:hAnsi="仿宋" w:eastAsia="仿宋" w:cs="仿宋"/>
                <w:color w:val="auto"/>
                <w:highlight w:val="none"/>
              </w:rPr>
            </w:pPr>
            <w:r>
              <w:rPr>
                <w:rFonts w:hint="eastAsia" w:ascii="仿宋" w:hAnsi="仿宋" w:eastAsia="仿宋" w:cs="仿宋"/>
                <w:color w:val="auto"/>
                <w:highlight w:val="none"/>
              </w:rPr>
              <w:t>2.负责样品的抽样、送样、检验、检验报告的寄送、结果分析、异议处理和检验过程中技术问题的处理工作；</w:t>
            </w:r>
          </w:p>
          <w:p w14:paraId="3D6CD05E">
            <w:pPr>
              <w:pStyle w:val="34"/>
              <w:rPr>
                <w:rFonts w:hint="eastAsia" w:ascii="仿宋" w:hAnsi="仿宋" w:eastAsia="仿宋" w:cs="仿宋"/>
                <w:color w:val="auto"/>
                <w:highlight w:val="none"/>
              </w:rPr>
            </w:pPr>
            <w:r>
              <w:rPr>
                <w:rFonts w:hint="eastAsia" w:ascii="仿宋" w:hAnsi="仿宋" w:eastAsia="仿宋" w:cs="仿宋"/>
                <w:color w:val="auto"/>
                <w:highlight w:val="none"/>
              </w:rPr>
              <w:t>3.</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必须接受采购人对承担抽检任务工作质量情况的监督检查和考核，积极参加与抽检任务相关的能力验证并取得满意结果；</w:t>
            </w:r>
          </w:p>
          <w:p w14:paraId="715A841B">
            <w:pPr>
              <w:pStyle w:val="34"/>
              <w:rPr>
                <w:rFonts w:hint="eastAsia" w:ascii="仿宋" w:hAnsi="仿宋" w:eastAsia="仿宋" w:cs="仿宋"/>
                <w:color w:val="auto"/>
                <w:highlight w:val="none"/>
              </w:rPr>
            </w:pPr>
            <w:r>
              <w:rPr>
                <w:rFonts w:hint="eastAsia" w:ascii="仿宋" w:hAnsi="仿宋" w:eastAsia="仿宋" w:cs="仿宋"/>
                <w:color w:val="auto"/>
                <w:highlight w:val="none"/>
              </w:rPr>
              <w:t>4.能按时完成委托单位安排的临时性和应急性任务。</w:t>
            </w:r>
          </w:p>
          <w:p w14:paraId="06D624DC">
            <w:pPr>
              <w:pStyle w:val="34"/>
              <w:rPr>
                <w:rFonts w:hint="eastAsia" w:ascii="仿宋" w:hAnsi="仿宋" w:eastAsia="仿宋" w:cs="仿宋"/>
                <w:color w:val="auto"/>
                <w:highlight w:val="none"/>
              </w:rPr>
            </w:pPr>
            <w:r>
              <w:rPr>
                <w:rFonts w:hint="eastAsia" w:ascii="仿宋" w:hAnsi="仿宋" w:eastAsia="仿宋" w:cs="仿宋"/>
                <w:color w:val="auto"/>
                <w:highlight w:val="none"/>
              </w:rPr>
              <w:t>5.按照《食品安全抽样检验管理办法》 (总局令第 15 号) 及年度工作方案等文件及采购人的要求开展抽样检验。</w:t>
            </w:r>
          </w:p>
          <w:p w14:paraId="19CC0CA7">
            <w:pPr>
              <w:pStyle w:val="34"/>
              <w:rPr>
                <w:rFonts w:hint="eastAsia" w:ascii="仿宋" w:hAnsi="仿宋" w:eastAsia="仿宋" w:cs="仿宋"/>
                <w:color w:val="auto"/>
                <w:highlight w:val="none"/>
              </w:rPr>
            </w:pPr>
            <w:r>
              <w:rPr>
                <w:rFonts w:hint="eastAsia" w:ascii="仿宋" w:hAnsi="仿宋" w:eastAsia="仿宋" w:cs="仿宋"/>
                <w:color w:val="auto"/>
                <w:highlight w:val="none"/>
              </w:rPr>
              <w:t>6.成交供应商承检的检验任务必须由其响应文件中载明的实验室负责检验，成交供应商不得将检验任务外包或分包给其他检测机构检验（特殊膳食食品、特殊医学用途配方食品</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婴幼儿配方食品、保健食品除外），一经发现，经报政府采购监督管理部门同意立即取消其合同和成交资格。</w:t>
            </w:r>
          </w:p>
          <w:p w14:paraId="3F8E4237">
            <w:pPr>
              <w:pStyle w:val="34"/>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成果要求：检验完成且相关数据报送须在合同履行期限内完成并提交采购人；按具体方案时间节点要求提供质量分析报告。</w:t>
            </w:r>
          </w:p>
        </w:tc>
        <w:tc>
          <w:tcPr>
            <w:tcW w:w="803" w:type="dxa"/>
            <w:tcBorders>
              <w:top w:val="single" w:color="auto" w:sz="4" w:space="0"/>
              <w:left w:val="single" w:color="auto" w:sz="4" w:space="0"/>
              <w:bottom w:val="single" w:color="auto" w:sz="4" w:space="0"/>
              <w:right w:val="single" w:color="auto" w:sz="4" w:space="0"/>
            </w:tcBorders>
            <w:vAlign w:val="center"/>
          </w:tcPr>
          <w:p w14:paraId="10E88DFF">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624000.00</w:t>
            </w:r>
          </w:p>
        </w:tc>
        <w:tc>
          <w:tcPr>
            <w:tcW w:w="997" w:type="dxa"/>
            <w:tcBorders>
              <w:top w:val="single" w:color="auto" w:sz="4" w:space="0"/>
              <w:left w:val="single" w:color="auto" w:sz="4" w:space="0"/>
              <w:bottom w:val="single" w:color="auto" w:sz="4" w:space="0"/>
              <w:right w:val="single" w:color="auto" w:sz="4" w:space="0"/>
            </w:tcBorders>
            <w:vAlign w:val="center"/>
          </w:tcPr>
          <w:p w14:paraId="34D04A60">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其他未列明行业</w:t>
            </w:r>
          </w:p>
        </w:tc>
      </w:tr>
      <w:tr w14:paraId="72DC3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6A4E631B">
            <w:pPr>
              <w:jc w:val="center"/>
              <w:rPr>
                <w:rFonts w:hint="eastAsia" w:ascii="仿宋" w:hAnsi="仿宋" w:eastAsia="仿宋" w:cs="仿宋"/>
                <w:color w:val="auto"/>
                <w:szCs w:val="21"/>
                <w:highlight w:val="none"/>
              </w:rPr>
            </w:pPr>
            <w:r>
              <w:rPr>
                <w:rFonts w:hint="eastAsia" w:ascii="仿宋" w:hAnsi="仿宋" w:eastAsia="仿宋" w:cs="仿宋"/>
                <w:b w:val="0"/>
                <w:bCs/>
                <w:color w:val="auto"/>
                <w:szCs w:val="21"/>
                <w:highlight w:val="none"/>
              </w:rPr>
              <w:t>商务条款</w:t>
            </w:r>
          </w:p>
        </w:tc>
        <w:tc>
          <w:tcPr>
            <w:tcW w:w="9576" w:type="dxa"/>
            <w:gridSpan w:val="7"/>
            <w:tcBorders>
              <w:top w:val="single" w:color="auto" w:sz="4" w:space="0"/>
              <w:left w:val="single" w:color="auto" w:sz="4" w:space="0"/>
              <w:bottom w:val="single" w:color="auto" w:sz="4" w:space="0"/>
              <w:right w:val="single" w:color="auto" w:sz="4" w:space="0"/>
            </w:tcBorders>
            <w:vAlign w:val="center"/>
          </w:tcPr>
          <w:p w14:paraId="63C2C113">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一、合同签订期：自成交通知书发出之日起25日内。</w:t>
            </w:r>
          </w:p>
          <w:p w14:paraId="31AF5F25">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二、服务期限：自签订合同之日起至2026年12月31日止。</w:t>
            </w:r>
          </w:p>
          <w:p w14:paraId="7D7533A5">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三、服务地点：南宁市内采购人指定地点。</w:t>
            </w:r>
          </w:p>
          <w:p w14:paraId="2C554885">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rPr>
              <w:t>四、任务委托</w:t>
            </w:r>
            <w:r>
              <w:rPr>
                <w:rFonts w:hint="eastAsia" w:ascii="仿宋" w:hAnsi="仿宋" w:eastAsia="仿宋" w:cs="仿宋"/>
                <w:b w:val="0"/>
                <w:bCs/>
                <w:color w:val="auto"/>
                <w:szCs w:val="21"/>
                <w:highlight w:val="none"/>
                <w:lang w:eastAsia="zh-CN"/>
              </w:rPr>
              <w:t>：具体的抽检产品由采购人根据监管实际情况确定。</w:t>
            </w:r>
          </w:p>
          <w:p w14:paraId="1FBFA511">
            <w:pPr>
              <w:jc w:val="left"/>
              <w:rPr>
                <w:rFonts w:hint="eastAsia" w:ascii="仿宋" w:hAnsi="仿宋" w:eastAsia="仿宋" w:cs="仿宋"/>
                <w:b w:val="0"/>
                <w:bCs/>
                <w:color w:val="auto"/>
                <w:szCs w:val="21"/>
                <w:highlight w:val="none"/>
                <w:lang w:val="en-US" w:eastAsia="zh-CN"/>
              </w:rPr>
            </w:pPr>
            <w:r>
              <w:rPr>
                <w:rFonts w:hint="eastAsia" w:ascii="仿宋" w:hAnsi="仿宋" w:eastAsia="仿宋" w:cs="仿宋"/>
                <w:b w:val="0"/>
                <w:bCs/>
                <w:color w:val="auto"/>
                <w:szCs w:val="21"/>
                <w:highlight w:val="none"/>
                <w:lang w:val="en-US" w:eastAsia="zh-CN"/>
              </w:rPr>
              <w:t>五、报价要求：</w:t>
            </w:r>
          </w:p>
          <w:p w14:paraId="3C957989">
            <w:pPr>
              <w:jc w:val="left"/>
              <w:rPr>
                <w:rFonts w:hint="eastAsia" w:ascii="仿宋" w:hAnsi="仿宋" w:eastAsia="仿宋" w:cs="仿宋"/>
                <w:b w:val="0"/>
                <w:bCs/>
                <w:color w:val="auto"/>
                <w:szCs w:val="21"/>
                <w:highlight w:val="none"/>
                <w:lang w:val="en-US" w:eastAsia="zh-CN"/>
              </w:rPr>
            </w:pPr>
            <w:r>
              <w:rPr>
                <w:rFonts w:hint="eastAsia" w:ascii="仿宋" w:hAnsi="仿宋" w:eastAsia="仿宋" w:cs="仿宋"/>
                <w:b w:val="0"/>
                <w:bCs/>
                <w:color w:val="auto"/>
                <w:szCs w:val="21"/>
                <w:highlight w:val="none"/>
                <w:lang w:val="en-US" w:eastAsia="zh-CN"/>
              </w:rPr>
              <w:t>1.竞标报价应遵照由广西壮族自治区物价局和广西壮族自治区财政厅发布的《关于正式核定全区产品质量检验收费项目和收费标准的通知》(桂价费〔2013〕16号)的规定。</w:t>
            </w:r>
          </w:p>
          <w:p w14:paraId="21754217">
            <w:pPr>
              <w:jc w:val="left"/>
              <w:rPr>
                <w:rFonts w:hint="eastAsia" w:ascii="仿宋" w:hAnsi="仿宋" w:eastAsia="仿宋" w:cs="仿宋"/>
                <w:b w:val="0"/>
                <w:bCs/>
                <w:color w:val="auto"/>
                <w:szCs w:val="21"/>
                <w:highlight w:val="none"/>
                <w:lang w:val="en-US" w:eastAsia="zh-CN"/>
              </w:rPr>
            </w:pPr>
            <w:r>
              <w:rPr>
                <w:rFonts w:hint="eastAsia" w:ascii="仿宋" w:hAnsi="仿宋" w:eastAsia="仿宋" w:cs="仿宋"/>
                <w:b w:val="0"/>
                <w:bCs/>
                <w:color w:val="auto"/>
                <w:szCs w:val="21"/>
                <w:highlight w:val="none"/>
                <w:lang w:val="en-US" w:eastAsia="zh-CN"/>
              </w:rPr>
              <w:t>2.</w:t>
            </w:r>
            <w:r>
              <w:rPr>
                <w:rFonts w:hint="eastAsia" w:ascii="仿宋" w:hAnsi="仿宋" w:eastAsia="仿宋" w:cs="仿宋"/>
                <w:bCs/>
                <w:color w:val="auto"/>
                <w:sz w:val="24"/>
                <w:szCs w:val="21"/>
                <w:highlight w:val="none"/>
              </w:rPr>
              <w:t>竞标报价包括但不限于：完成本项目所有工作任务（出具成果文件）所需的一切费用（含完成项目过程中所需的检验费、样品购置费、样本抽样、邮寄费、人工费、技术服务费、交通差旅费、资料印刷费、调研、材料、设备、仪器、运输、检测与试验、安全警戒、评审、咨询、会务、管理、保险、税费、验收、利润等费用，以及合同明示或暗示的所有责任、义务和一般风险等的一切费用等各种费用在内），即包干价。合同价不因任何因素而调整。</w:t>
            </w:r>
          </w:p>
          <w:p w14:paraId="74F14F9D">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val="en-US" w:eastAsia="zh-CN"/>
              </w:rPr>
              <w:t>六、</w:t>
            </w:r>
            <w:r>
              <w:rPr>
                <w:rFonts w:hint="eastAsia" w:ascii="仿宋" w:hAnsi="仿宋" w:eastAsia="仿宋" w:cs="仿宋"/>
                <w:b w:val="0"/>
                <w:bCs/>
                <w:color w:val="auto"/>
                <w:szCs w:val="21"/>
                <w:highlight w:val="none"/>
              </w:rPr>
              <w:t>付款条件</w:t>
            </w:r>
            <w:r>
              <w:rPr>
                <w:rFonts w:hint="eastAsia" w:ascii="仿宋" w:hAnsi="仿宋" w:eastAsia="仿宋" w:cs="仿宋"/>
                <w:b w:val="0"/>
                <w:bCs/>
                <w:color w:val="auto"/>
                <w:szCs w:val="21"/>
                <w:highlight w:val="none"/>
                <w:lang w:eastAsia="zh-CN"/>
              </w:rPr>
              <w:t>：</w:t>
            </w:r>
          </w:p>
          <w:p w14:paraId="7743BB2B">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eastAsia="zh-CN"/>
              </w:rPr>
              <w:t>付款方式:</w:t>
            </w:r>
            <w:r>
              <w:rPr>
                <w:rFonts w:hint="eastAsia" w:ascii="仿宋" w:hAnsi="仿宋" w:eastAsia="仿宋" w:cs="仿宋"/>
                <w:b w:val="0"/>
                <w:bCs/>
                <w:color w:val="auto"/>
                <w:szCs w:val="21"/>
                <w:highlight w:val="none"/>
                <w:lang w:val="en-US" w:eastAsia="zh-CN"/>
              </w:rPr>
              <w:t>成交供应商在签订合同后，采购人向财政局请款到账后10个工作日内向成交供应商支付合同金额的30%作为预付款，</w:t>
            </w:r>
            <w:r>
              <w:rPr>
                <w:rFonts w:hint="eastAsia" w:ascii="仿宋" w:hAnsi="仿宋" w:eastAsia="仿宋" w:cs="仿宋"/>
                <w:b w:val="0"/>
                <w:bCs/>
                <w:color w:val="auto"/>
                <w:szCs w:val="21"/>
                <w:highlight w:val="none"/>
                <w:lang w:eastAsia="zh-CN"/>
              </w:rPr>
              <w:t>在项目完成且收到供应商验收申请后5个工作日内组织开展履约验收；待验收合格后，采购人收到</w:t>
            </w:r>
            <w:r>
              <w:rPr>
                <w:rFonts w:hint="eastAsia" w:ascii="仿宋" w:hAnsi="仿宋" w:eastAsia="仿宋" w:cs="仿宋"/>
                <w:b w:val="0"/>
                <w:bCs/>
                <w:color w:val="auto"/>
                <w:szCs w:val="21"/>
                <w:highlight w:val="none"/>
                <w:lang w:val="en-US" w:eastAsia="zh-CN"/>
              </w:rPr>
              <w:t>成交供应商的</w:t>
            </w:r>
            <w:r>
              <w:rPr>
                <w:rFonts w:hint="eastAsia" w:ascii="仿宋" w:hAnsi="仿宋" w:eastAsia="仿宋" w:cs="仿宋"/>
                <w:b w:val="0"/>
                <w:bCs/>
                <w:color w:val="auto"/>
                <w:szCs w:val="21"/>
                <w:highlight w:val="none"/>
                <w:lang w:eastAsia="zh-CN"/>
              </w:rPr>
              <w:t>发票后10</w:t>
            </w:r>
            <w:r>
              <w:rPr>
                <w:rFonts w:hint="eastAsia" w:ascii="仿宋" w:hAnsi="仿宋" w:eastAsia="仿宋" w:cs="仿宋"/>
                <w:b w:val="0"/>
                <w:bCs/>
                <w:color w:val="auto"/>
                <w:szCs w:val="21"/>
                <w:highlight w:val="none"/>
                <w:lang w:val="en-US" w:eastAsia="zh-CN"/>
              </w:rPr>
              <w:t>个工作</w:t>
            </w:r>
            <w:r>
              <w:rPr>
                <w:rFonts w:hint="eastAsia" w:ascii="仿宋" w:hAnsi="仿宋" w:eastAsia="仿宋" w:cs="仿宋"/>
                <w:b w:val="0"/>
                <w:bCs/>
                <w:color w:val="auto"/>
                <w:szCs w:val="21"/>
                <w:highlight w:val="none"/>
                <w:lang w:eastAsia="zh-CN"/>
              </w:rPr>
              <w:t>日内</w:t>
            </w:r>
            <w:r>
              <w:rPr>
                <w:rFonts w:hint="eastAsia" w:ascii="仿宋" w:hAnsi="仿宋" w:eastAsia="仿宋" w:cs="仿宋"/>
                <w:b w:val="0"/>
                <w:bCs/>
                <w:color w:val="auto"/>
                <w:szCs w:val="21"/>
                <w:highlight w:val="none"/>
                <w:lang w:val="en-US" w:eastAsia="zh-CN"/>
              </w:rPr>
              <w:t>向成交供应商支付至</w:t>
            </w:r>
            <w:r>
              <w:rPr>
                <w:rFonts w:hint="eastAsia" w:ascii="仿宋" w:hAnsi="仿宋" w:eastAsia="仿宋" w:cs="仿宋"/>
                <w:b w:val="0"/>
                <w:bCs/>
                <w:color w:val="auto"/>
                <w:szCs w:val="21"/>
                <w:highlight w:val="none"/>
                <w:lang w:eastAsia="zh-CN"/>
              </w:rPr>
              <w:t>合同金额的70%。</w:t>
            </w:r>
          </w:p>
          <w:p w14:paraId="19C6AFEF">
            <w:pPr>
              <w:jc w:val="left"/>
              <w:rPr>
                <w:rFonts w:hint="default" w:ascii="仿宋" w:hAnsi="仿宋" w:eastAsia="仿宋" w:cs="仿宋"/>
                <w:b w:val="0"/>
                <w:bCs/>
                <w:color w:val="auto"/>
                <w:szCs w:val="21"/>
                <w:highlight w:val="none"/>
                <w:lang w:val="en-US" w:eastAsia="zh-CN"/>
              </w:rPr>
            </w:pPr>
            <w:r>
              <w:rPr>
                <w:rFonts w:hint="eastAsia" w:ascii="仿宋" w:hAnsi="仿宋" w:eastAsia="仿宋" w:cs="仿宋"/>
                <w:b w:val="0"/>
                <w:bCs/>
                <w:color w:val="auto"/>
                <w:szCs w:val="21"/>
                <w:highlight w:val="none"/>
                <w:lang w:val="en-US" w:eastAsia="zh-CN"/>
              </w:rPr>
              <w:t>注：</w:t>
            </w:r>
            <w:r>
              <w:rPr>
                <w:rFonts w:hint="default" w:ascii="仿宋" w:hAnsi="仿宋" w:eastAsia="仿宋" w:cs="仿宋"/>
                <w:b w:val="0"/>
                <w:bCs/>
                <w:color w:val="auto"/>
                <w:szCs w:val="21"/>
                <w:highlight w:val="none"/>
                <w:lang w:val="en-US" w:eastAsia="zh-CN"/>
              </w:rPr>
              <w:t>每次付款前，成交供应商</w:t>
            </w:r>
            <w:r>
              <w:rPr>
                <w:rFonts w:hint="eastAsia" w:ascii="仿宋" w:hAnsi="仿宋" w:eastAsia="仿宋" w:cs="仿宋"/>
                <w:b w:val="0"/>
                <w:bCs/>
                <w:color w:val="auto"/>
                <w:szCs w:val="21"/>
                <w:highlight w:val="none"/>
                <w:lang w:val="en-US" w:eastAsia="zh-CN"/>
              </w:rPr>
              <w:t>须</w:t>
            </w:r>
            <w:r>
              <w:rPr>
                <w:rFonts w:hint="default" w:ascii="仿宋" w:hAnsi="仿宋" w:eastAsia="仿宋" w:cs="仿宋"/>
                <w:b w:val="0"/>
                <w:bCs/>
                <w:color w:val="auto"/>
                <w:szCs w:val="21"/>
                <w:highlight w:val="none"/>
                <w:lang w:val="en-US" w:eastAsia="zh-CN"/>
              </w:rPr>
              <w:t>开具</w:t>
            </w:r>
            <w:r>
              <w:rPr>
                <w:rFonts w:hint="eastAsia" w:ascii="仿宋" w:hAnsi="仿宋" w:eastAsia="仿宋" w:cs="仿宋"/>
                <w:b w:val="0"/>
                <w:bCs/>
                <w:color w:val="auto"/>
                <w:szCs w:val="21"/>
                <w:highlight w:val="none"/>
                <w:lang w:val="en-US" w:eastAsia="zh-CN"/>
              </w:rPr>
              <w:t>等额有效的</w:t>
            </w:r>
            <w:r>
              <w:rPr>
                <w:rFonts w:hint="default" w:ascii="仿宋" w:hAnsi="仿宋" w:eastAsia="仿宋" w:cs="仿宋"/>
                <w:b w:val="0"/>
                <w:bCs/>
                <w:color w:val="auto"/>
                <w:szCs w:val="21"/>
                <w:highlight w:val="none"/>
                <w:lang w:val="en-US" w:eastAsia="zh-CN"/>
              </w:rPr>
              <w:t>发票给采购人,采购人收到发票后10个工作日内向成交供应商支付合同款。</w:t>
            </w:r>
          </w:p>
          <w:p w14:paraId="124FE00D">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val="en-US" w:eastAsia="zh-CN"/>
              </w:rPr>
              <w:t>七、</w:t>
            </w:r>
            <w:r>
              <w:rPr>
                <w:rFonts w:hint="eastAsia" w:ascii="仿宋" w:hAnsi="仿宋" w:eastAsia="仿宋" w:cs="仿宋"/>
                <w:b w:val="0"/>
                <w:bCs/>
                <w:color w:val="auto"/>
                <w:szCs w:val="21"/>
                <w:highlight w:val="none"/>
              </w:rPr>
              <w:t>其他商务要求</w:t>
            </w:r>
            <w:r>
              <w:rPr>
                <w:rFonts w:hint="eastAsia" w:ascii="仿宋" w:hAnsi="仿宋" w:eastAsia="仿宋" w:cs="仿宋"/>
                <w:b w:val="0"/>
                <w:bCs/>
                <w:color w:val="auto"/>
                <w:szCs w:val="21"/>
                <w:highlight w:val="none"/>
                <w:lang w:eastAsia="zh-CN"/>
              </w:rPr>
              <w:t>：</w:t>
            </w:r>
          </w:p>
          <w:p w14:paraId="6FBC6E08">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eastAsia="zh-CN"/>
              </w:rPr>
              <w:t>1.成交供应商服务质量和标准必须符合采购人需求，如不满足需求，采购人有权要求成交供应商进行整改，如整改后还达不到采购人需求的，采购人有权终止合同，因此造成的一切后果由成交供应商负责。</w:t>
            </w:r>
          </w:p>
          <w:p w14:paraId="19FAA540">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eastAsia="zh-CN"/>
              </w:rPr>
              <w:t>2.成交供应商应按照采购人实际需要提供检测服务，如实际的采购数量与估算数量不相符的，应以采购人实际采购数量为准，成交供应商不得以采购人的实际采购数量与估算数量不相符而要求采购人赔偿损失或不按要求提供服务。</w:t>
            </w:r>
          </w:p>
          <w:p w14:paraId="7C5B75E3">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eastAsia="zh-CN"/>
              </w:rPr>
              <w:t xml:space="preserve">3.为了避免供应商使用虚假服务承诺、虚假报价投标套取成交，要求各供应商必须用真实的检测内容、数据，不得使用偏离自身检测服务质量标准进行竞标。 </w:t>
            </w:r>
          </w:p>
          <w:p w14:paraId="39C93CF2">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eastAsia="zh-CN"/>
              </w:rPr>
              <w:t>4.服务期内，附件中所列检测类项要求为必须检测的内容，附件中所列检测类项未列入的检测所需的内容也有可能购买，以采购人发出的实际采购清单为准。</w:t>
            </w:r>
          </w:p>
          <w:p w14:paraId="6CD1079D">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eastAsia="zh-CN"/>
              </w:rPr>
              <w:t>5.附件中所列检测类项的质量和所引用标准必须符合采购人实验需求，如不满足需求，成交供应商必须无条件重新进行检测；附件中所列检测类项当出现2次不满足采购人实验需求或检测有误时，成交供应商必须免费重新进行检测。</w:t>
            </w:r>
          </w:p>
          <w:p w14:paraId="1A772834">
            <w:pPr>
              <w:jc w:val="left"/>
              <w:rPr>
                <w:rFonts w:hint="eastAsia" w:ascii="仿宋" w:hAnsi="仿宋" w:eastAsia="仿宋" w:cs="仿宋"/>
                <w:b w:val="0"/>
                <w:bCs/>
                <w:color w:val="auto"/>
                <w:szCs w:val="21"/>
                <w:highlight w:val="none"/>
                <w:lang w:eastAsia="zh-CN"/>
              </w:rPr>
            </w:pPr>
            <w:r>
              <w:rPr>
                <w:rFonts w:hint="eastAsia" w:ascii="仿宋" w:hAnsi="仿宋" w:eastAsia="仿宋" w:cs="仿宋"/>
                <w:b w:val="0"/>
                <w:bCs/>
                <w:color w:val="auto"/>
                <w:szCs w:val="21"/>
                <w:highlight w:val="none"/>
                <w:lang w:val="en-US" w:eastAsia="zh-CN"/>
              </w:rPr>
              <w:t>6</w:t>
            </w:r>
            <w:r>
              <w:rPr>
                <w:rFonts w:hint="eastAsia" w:ascii="仿宋" w:hAnsi="仿宋" w:eastAsia="仿宋" w:cs="仿宋"/>
                <w:b w:val="0"/>
                <w:bCs/>
                <w:color w:val="auto"/>
                <w:szCs w:val="21"/>
                <w:highlight w:val="none"/>
                <w:lang w:eastAsia="zh-CN"/>
              </w:rPr>
              <w:t>.合格备份样品的处置权限归甲方所有，未经甲方书面同意，乙方无权自行销毁。乙方定期做好合格备份样品统计并移交甲方。</w:t>
            </w:r>
          </w:p>
          <w:p w14:paraId="01A0E771">
            <w:pPr>
              <w:jc w:val="left"/>
              <w:rPr>
                <w:rFonts w:hint="eastAsia" w:ascii="仿宋" w:hAnsi="仿宋" w:eastAsia="仿宋" w:cs="仿宋"/>
                <w:b w:val="0"/>
                <w:bCs/>
                <w:color w:val="auto"/>
                <w:szCs w:val="21"/>
                <w:highlight w:val="none"/>
                <w:lang w:val="en-US" w:eastAsia="zh-CN"/>
              </w:rPr>
            </w:pPr>
            <w:r>
              <w:rPr>
                <w:rFonts w:hint="eastAsia" w:ascii="仿宋" w:hAnsi="仿宋" w:eastAsia="仿宋" w:cs="仿宋"/>
                <w:b w:val="0"/>
                <w:bCs/>
                <w:color w:val="auto"/>
                <w:szCs w:val="21"/>
                <w:highlight w:val="none"/>
                <w:lang w:val="en-US" w:eastAsia="zh-CN"/>
              </w:rPr>
              <w:t>八、违约责任</w:t>
            </w:r>
          </w:p>
          <w:p w14:paraId="35B721C2">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1.成交供应商服务价格、检测周期、检测结果准确率将作为服务期内采购人对其提供检测质量和价格进行监督检查的参考依据，若发现成交供应商存在3次以上检测有误、检测周期超时，将被视为违约。</w:t>
            </w:r>
          </w:p>
          <w:p w14:paraId="5E2FE130">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2.在服务有效期内，如发现成交供应商有下列行为之一的，根据其情节轻重，采购人经政府采购监督管理部门同意后与其解除合同。</w:t>
            </w:r>
          </w:p>
          <w:p w14:paraId="5ABD3B3C">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(1)不按时向采购人开具正式的销售发票的；</w:t>
            </w:r>
          </w:p>
          <w:p w14:paraId="335ADFE5">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(2)向采购人提供回扣或其他不正当利益的；</w:t>
            </w:r>
          </w:p>
          <w:p w14:paraId="06805D26">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(3)弄虚作假，不积极配合采购人或采购监督管理部门在履行监督过程中的各项合理要求，拒绝接受监督检查的；</w:t>
            </w:r>
          </w:p>
          <w:p w14:paraId="58778FA3">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(4)因违法违规被行业主管部门取消经营资格的；</w:t>
            </w:r>
          </w:p>
          <w:p w14:paraId="05946F1E">
            <w:pPr>
              <w:jc w:val="left"/>
              <w:rPr>
                <w:rFonts w:hint="eastAsia" w:ascii="仿宋" w:hAnsi="仿宋" w:eastAsia="仿宋" w:cs="仿宋"/>
                <w:b w:val="0"/>
                <w:bCs/>
                <w:color w:val="auto"/>
                <w:szCs w:val="21"/>
                <w:highlight w:val="none"/>
              </w:rPr>
            </w:pPr>
            <w:r>
              <w:rPr>
                <w:rFonts w:hint="eastAsia" w:ascii="仿宋" w:hAnsi="仿宋" w:eastAsia="仿宋" w:cs="仿宋"/>
                <w:b w:val="0"/>
                <w:bCs/>
                <w:color w:val="auto"/>
                <w:szCs w:val="21"/>
                <w:highlight w:val="none"/>
              </w:rPr>
              <w:t>(5)有其他违法违规行为的。</w:t>
            </w:r>
          </w:p>
        </w:tc>
      </w:tr>
    </w:tbl>
    <w:p w14:paraId="6DDCD95C">
      <w:pPr>
        <w:pStyle w:val="14"/>
        <w:jc w:val="left"/>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br w:type="page"/>
      </w:r>
      <w:r>
        <w:rPr>
          <w:rFonts w:hint="eastAsia" w:ascii="仿宋" w:hAnsi="仿宋" w:eastAsia="仿宋" w:cs="仿宋"/>
          <w:color w:val="auto"/>
          <w:sz w:val="32"/>
          <w:szCs w:val="32"/>
          <w:highlight w:val="none"/>
        </w:rPr>
        <w:t>附件</w:t>
      </w:r>
      <w:r>
        <w:rPr>
          <w:rFonts w:hint="eastAsia" w:ascii="仿宋" w:hAnsi="仿宋" w:eastAsia="仿宋" w:cs="仿宋"/>
          <w:color w:val="auto"/>
          <w:sz w:val="32"/>
          <w:szCs w:val="32"/>
          <w:highlight w:val="none"/>
          <w:lang w:val="en-US" w:eastAsia="zh-CN"/>
        </w:rPr>
        <w:t>1</w:t>
      </w:r>
    </w:p>
    <w:p w14:paraId="3647320A">
      <w:pPr>
        <w:spacing w:line="528" w:lineRule="exact"/>
        <w:jc w:val="center"/>
        <w:rPr>
          <w:rFonts w:hint="eastAsia" w:ascii="仿宋" w:hAnsi="仿宋" w:eastAsia="仿宋" w:cs="仿宋"/>
          <w:color w:val="auto"/>
          <w:sz w:val="40"/>
          <w:szCs w:val="40"/>
          <w:highlight w:val="none"/>
        </w:rPr>
      </w:pPr>
      <w:r>
        <w:rPr>
          <w:rFonts w:hint="eastAsia" w:ascii="仿宋" w:hAnsi="仿宋" w:eastAsia="仿宋" w:cs="仿宋"/>
          <w:color w:val="auto"/>
          <w:sz w:val="40"/>
          <w:szCs w:val="40"/>
          <w:highlight w:val="none"/>
        </w:rPr>
        <w:t>中小微企业划型标准</w:t>
      </w:r>
    </w:p>
    <w:tbl>
      <w:tblPr>
        <w:tblStyle w:val="22"/>
        <w:tblW w:w="0" w:type="auto"/>
        <w:tblInd w:w="250" w:type="dxa"/>
        <w:tblLayout w:type="fixed"/>
        <w:tblCellMar>
          <w:top w:w="0" w:type="dxa"/>
          <w:left w:w="108" w:type="dxa"/>
          <w:bottom w:w="0" w:type="dxa"/>
          <w:right w:w="108" w:type="dxa"/>
        </w:tblCellMar>
      </w:tblPr>
      <w:tblGrid>
        <w:gridCol w:w="1901"/>
        <w:gridCol w:w="1901"/>
        <w:gridCol w:w="815"/>
        <w:gridCol w:w="1765"/>
        <w:gridCol w:w="1630"/>
        <w:gridCol w:w="1086"/>
      </w:tblGrid>
      <w:tr w14:paraId="18B0735F">
        <w:tblPrEx>
          <w:tblCellMar>
            <w:top w:w="0" w:type="dxa"/>
            <w:left w:w="108" w:type="dxa"/>
            <w:bottom w:w="0" w:type="dxa"/>
            <w:right w:w="108" w:type="dxa"/>
          </w:tblCellMar>
        </w:tblPrEx>
        <w:trPr>
          <w:trHeight w:val="789" w:hRule="atLeast"/>
        </w:trPr>
        <w:tc>
          <w:tcPr>
            <w:tcW w:w="1901" w:type="dxa"/>
            <w:tcBorders>
              <w:top w:val="single" w:color="auto" w:sz="4" w:space="0"/>
              <w:left w:val="single" w:color="auto" w:sz="4" w:space="0"/>
              <w:bottom w:val="single" w:color="auto" w:sz="4" w:space="0"/>
              <w:right w:val="single" w:color="auto" w:sz="4" w:space="0"/>
            </w:tcBorders>
            <w:vAlign w:val="center"/>
          </w:tcPr>
          <w:p w14:paraId="0FBC3CA5">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行业名称</w:t>
            </w:r>
          </w:p>
        </w:tc>
        <w:tc>
          <w:tcPr>
            <w:tcW w:w="1901" w:type="dxa"/>
            <w:tcBorders>
              <w:top w:val="single" w:color="auto" w:sz="4" w:space="0"/>
              <w:left w:val="nil"/>
              <w:bottom w:val="single" w:color="auto" w:sz="4" w:space="0"/>
              <w:right w:val="single" w:color="auto" w:sz="4" w:space="0"/>
            </w:tcBorders>
            <w:vAlign w:val="center"/>
          </w:tcPr>
          <w:p w14:paraId="729951EE">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指标名称</w:t>
            </w:r>
          </w:p>
        </w:tc>
        <w:tc>
          <w:tcPr>
            <w:tcW w:w="815" w:type="dxa"/>
            <w:tcBorders>
              <w:top w:val="single" w:color="auto" w:sz="4" w:space="0"/>
              <w:left w:val="nil"/>
              <w:bottom w:val="single" w:color="auto" w:sz="4" w:space="0"/>
              <w:right w:val="single" w:color="auto" w:sz="4" w:space="0"/>
            </w:tcBorders>
            <w:vAlign w:val="center"/>
          </w:tcPr>
          <w:p w14:paraId="4AD6BA6A">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计量单位</w:t>
            </w:r>
          </w:p>
        </w:tc>
        <w:tc>
          <w:tcPr>
            <w:tcW w:w="1765" w:type="dxa"/>
            <w:tcBorders>
              <w:top w:val="single" w:color="auto" w:sz="4" w:space="0"/>
              <w:left w:val="nil"/>
              <w:bottom w:val="single" w:color="auto" w:sz="4" w:space="0"/>
              <w:right w:val="single" w:color="auto" w:sz="4" w:space="0"/>
            </w:tcBorders>
            <w:vAlign w:val="center"/>
          </w:tcPr>
          <w:p w14:paraId="2732843C">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中型</w:t>
            </w:r>
          </w:p>
        </w:tc>
        <w:tc>
          <w:tcPr>
            <w:tcW w:w="1630" w:type="dxa"/>
            <w:tcBorders>
              <w:top w:val="single" w:color="auto" w:sz="4" w:space="0"/>
              <w:left w:val="nil"/>
              <w:bottom w:val="single" w:color="auto" w:sz="4" w:space="0"/>
              <w:right w:val="single" w:color="auto" w:sz="4" w:space="0"/>
            </w:tcBorders>
            <w:vAlign w:val="center"/>
          </w:tcPr>
          <w:p w14:paraId="6D650107">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小型</w:t>
            </w:r>
          </w:p>
        </w:tc>
        <w:tc>
          <w:tcPr>
            <w:tcW w:w="1086" w:type="dxa"/>
            <w:tcBorders>
              <w:top w:val="single" w:color="auto" w:sz="4" w:space="0"/>
              <w:left w:val="nil"/>
              <w:bottom w:val="single" w:color="auto" w:sz="4" w:space="0"/>
              <w:right w:val="single" w:color="auto" w:sz="4" w:space="0"/>
            </w:tcBorders>
            <w:vAlign w:val="center"/>
          </w:tcPr>
          <w:p w14:paraId="14DDD0FF">
            <w:pPr>
              <w:widowControl/>
              <w:jc w:val="center"/>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微型</w:t>
            </w:r>
          </w:p>
        </w:tc>
      </w:tr>
      <w:tr w14:paraId="227E0283">
        <w:tblPrEx>
          <w:tblCellMar>
            <w:top w:w="0" w:type="dxa"/>
            <w:left w:w="108" w:type="dxa"/>
            <w:bottom w:w="0" w:type="dxa"/>
            <w:right w:w="108" w:type="dxa"/>
          </w:tblCellMar>
        </w:tblPrEx>
        <w:trPr>
          <w:trHeight w:val="303" w:hRule="atLeast"/>
        </w:trPr>
        <w:tc>
          <w:tcPr>
            <w:tcW w:w="1901" w:type="dxa"/>
            <w:tcBorders>
              <w:top w:val="nil"/>
              <w:left w:val="single" w:color="auto" w:sz="4" w:space="0"/>
              <w:bottom w:val="single" w:color="auto" w:sz="4" w:space="0"/>
              <w:right w:val="single" w:color="auto" w:sz="4" w:space="0"/>
            </w:tcBorders>
            <w:vAlign w:val="center"/>
          </w:tcPr>
          <w:p w14:paraId="243468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农、林、牧、渔</w:t>
            </w:r>
          </w:p>
        </w:tc>
        <w:tc>
          <w:tcPr>
            <w:tcW w:w="1901" w:type="dxa"/>
            <w:tcBorders>
              <w:top w:val="nil"/>
              <w:left w:val="nil"/>
              <w:bottom w:val="single" w:color="auto" w:sz="4" w:space="0"/>
              <w:right w:val="single" w:color="auto" w:sz="4" w:space="0"/>
            </w:tcBorders>
            <w:vAlign w:val="center"/>
          </w:tcPr>
          <w:p w14:paraId="5FA684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09D697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41E3E2E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500≤Y＜20000</w:t>
            </w:r>
          </w:p>
        </w:tc>
        <w:tc>
          <w:tcPr>
            <w:tcW w:w="1630" w:type="dxa"/>
            <w:tcBorders>
              <w:top w:val="nil"/>
              <w:left w:val="nil"/>
              <w:bottom w:val="single" w:color="auto" w:sz="4" w:space="0"/>
              <w:right w:val="single" w:color="auto" w:sz="4" w:space="0"/>
            </w:tcBorders>
            <w:vAlign w:val="center"/>
          </w:tcPr>
          <w:p w14:paraId="628C77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50≤Y＜500</w:t>
            </w:r>
          </w:p>
        </w:tc>
        <w:tc>
          <w:tcPr>
            <w:tcW w:w="1086" w:type="dxa"/>
            <w:tcBorders>
              <w:top w:val="nil"/>
              <w:left w:val="nil"/>
              <w:bottom w:val="single" w:color="auto" w:sz="4" w:space="0"/>
              <w:right w:val="single" w:color="auto" w:sz="4" w:space="0"/>
            </w:tcBorders>
            <w:vAlign w:val="center"/>
          </w:tcPr>
          <w:p w14:paraId="370247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Y＜50</w:t>
            </w:r>
          </w:p>
        </w:tc>
      </w:tr>
      <w:tr w14:paraId="050BBA43">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5833374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工业</w:t>
            </w:r>
          </w:p>
        </w:tc>
        <w:tc>
          <w:tcPr>
            <w:tcW w:w="1901" w:type="dxa"/>
            <w:tcBorders>
              <w:top w:val="nil"/>
              <w:left w:val="nil"/>
              <w:bottom w:val="single" w:color="auto" w:sz="4" w:space="0"/>
              <w:right w:val="single" w:color="auto" w:sz="4" w:space="0"/>
            </w:tcBorders>
            <w:vAlign w:val="center"/>
          </w:tcPr>
          <w:p w14:paraId="6AE1488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487A41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6D7CE2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630" w:type="dxa"/>
            <w:tcBorders>
              <w:top w:val="nil"/>
              <w:left w:val="nil"/>
              <w:bottom w:val="single" w:color="auto" w:sz="4" w:space="0"/>
              <w:right w:val="single" w:color="auto" w:sz="4" w:space="0"/>
            </w:tcBorders>
            <w:vAlign w:val="center"/>
          </w:tcPr>
          <w:p w14:paraId="4FDF7F1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20≤X＜300</w:t>
            </w:r>
          </w:p>
        </w:tc>
        <w:tc>
          <w:tcPr>
            <w:tcW w:w="1086" w:type="dxa"/>
            <w:tcBorders>
              <w:top w:val="nil"/>
              <w:left w:val="nil"/>
              <w:bottom w:val="single" w:color="auto" w:sz="4" w:space="0"/>
              <w:right w:val="single" w:color="auto" w:sz="4" w:space="0"/>
            </w:tcBorders>
            <w:vAlign w:val="center"/>
          </w:tcPr>
          <w:p w14:paraId="34D10D3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67822FAA">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44EC5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0AB51D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29DCAB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0FF3BB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2000≤Y＜40000</w:t>
            </w:r>
          </w:p>
        </w:tc>
        <w:tc>
          <w:tcPr>
            <w:tcW w:w="1630" w:type="dxa"/>
            <w:tcBorders>
              <w:top w:val="nil"/>
              <w:left w:val="nil"/>
              <w:bottom w:val="single" w:color="auto" w:sz="4" w:space="0"/>
              <w:right w:val="single" w:color="auto" w:sz="4" w:space="0"/>
            </w:tcBorders>
            <w:vAlign w:val="center"/>
          </w:tcPr>
          <w:p w14:paraId="6D955A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300≤Y＜2000</w:t>
            </w:r>
          </w:p>
        </w:tc>
        <w:tc>
          <w:tcPr>
            <w:tcW w:w="1086" w:type="dxa"/>
            <w:tcBorders>
              <w:top w:val="nil"/>
              <w:left w:val="nil"/>
              <w:bottom w:val="single" w:color="auto" w:sz="4" w:space="0"/>
              <w:right w:val="single" w:color="auto" w:sz="4" w:space="0"/>
            </w:tcBorders>
            <w:vAlign w:val="center"/>
          </w:tcPr>
          <w:p w14:paraId="11ADD9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Y＜300</w:t>
            </w:r>
          </w:p>
        </w:tc>
      </w:tr>
      <w:tr w14:paraId="54A876B9">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9C79E1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建筑业</w:t>
            </w:r>
          </w:p>
        </w:tc>
        <w:tc>
          <w:tcPr>
            <w:tcW w:w="1901" w:type="dxa"/>
            <w:tcBorders>
              <w:top w:val="nil"/>
              <w:left w:val="nil"/>
              <w:bottom w:val="single" w:color="auto" w:sz="4" w:space="0"/>
              <w:right w:val="single" w:color="auto" w:sz="4" w:space="0"/>
            </w:tcBorders>
            <w:vAlign w:val="center"/>
          </w:tcPr>
          <w:p w14:paraId="3E8F1A2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6B2937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59186F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6000≤Y＜80000</w:t>
            </w:r>
          </w:p>
        </w:tc>
        <w:tc>
          <w:tcPr>
            <w:tcW w:w="1630" w:type="dxa"/>
            <w:tcBorders>
              <w:top w:val="nil"/>
              <w:left w:val="nil"/>
              <w:bottom w:val="single" w:color="auto" w:sz="4" w:space="0"/>
              <w:right w:val="single" w:color="auto" w:sz="4" w:space="0"/>
            </w:tcBorders>
            <w:vAlign w:val="center"/>
          </w:tcPr>
          <w:p w14:paraId="330F08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300≤Y＜6000</w:t>
            </w:r>
          </w:p>
        </w:tc>
        <w:tc>
          <w:tcPr>
            <w:tcW w:w="1086" w:type="dxa"/>
            <w:tcBorders>
              <w:top w:val="nil"/>
              <w:left w:val="nil"/>
              <w:bottom w:val="single" w:color="auto" w:sz="4" w:space="0"/>
              <w:right w:val="single" w:color="auto" w:sz="4" w:space="0"/>
            </w:tcBorders>
            <w:vAlign w:val="center"/>
          </w:tcPr>
          <w:p w14:paraId="7F57BB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Y＜300</w:t>
            </w:r>
          </w:p>
        </w:tc>
      </w:tr>
      <w:tr w14:paraId="72E0BB3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7662AE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6B6346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资产总额（Z）</w:t>
            </w:r>
          </w:p>
        </w:tc>
        <w:tc>
          <w:tcPr>
            <w:tcW w:w="815" w:type="dxa"/>
            <w:tcBorders>
              <w:top w:val="nil"/>
              <w:left w:val="nil"/>
              <w:bottom w:val="single" w:color="auto" w:sz="4" w:space="0"/>
              <w:right w:val="single" w:color="auto" w:sz="4" w:space="0"/>
            </w:tcBorders>
            <w:vAlign w:val="center"/>
          </w:tcPr>
          <w:p w14:paraId="0012E2E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502A643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5000≤Z＜80000</w:t>
            </w:r>
          </w:p>
        </w:tc>
        <w:tc>
          <w:tcPr>
            <w:tcW w:w="1630" w:type="dxa"/>
            <w:tcBorders>
              <w:top w:val="nil"/>
              <w:left w:val="nil"/>
              <w:bottom w:val="single" w:color="auto" w:sz="4" w:space="0"/>
              <w:right w:val="single" w:color="auto" w:sz="4" w:space="0"/>
            </w:tcBorders>
            <w:vAlign w:val="center"/>
          </w:tcPr>
          <w:p w14:paraId="684467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300≤Z＜5000</w:t>
            </w:r>
          </w:p>
        </w:tc>
        <w:tc>
          <w:tcPr>
            <w:tcW w:w="1086" w:type="dxa"/>
            <w:tcBorders>
              <w:top w:val="nil"/>
              <w:left w:val="nil"/>
              <w:bottom w:val="single" w:color="auto" w:sz="4" w:space="0"/>
              <w:right w:val="single" w:color="auto" w:sz="4" w:space="0"/>
            </w:tcBorders>
            <w:vAlign w:val="center"/>
          </w:tcPr>
          <w:p w14:paraId="44F462C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Z＜300</w:t>
            </w:r>
          </w:p>
        </w:tc>
      </w:tr>
      <w:tr w14:paraId="7992672E">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76EE74A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批发业</w:t>
            </w:r>
          </w:p>
        </w:tc>
        <w:tc>
          <w:tcPr>
            <w:tcW w:w="1901" w:type="dxa"/>
            <w:tcBorders>
              <w:top w:val="nil"/>
              <w:left w:val="nil"/>
              <w:bottom w:val="single" w:color="auto" w:sz="4" w:space="0"/>
              <w:right w:val="single" w:color="auto" w:sz="4" w:space="0"/>
            </w:tcBorders>
            <w:vAlign w:val="center"/>
          </w:tcPr>
          <w:p w14:paraId="6C9D65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240BF2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0352A27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20≤X＜200</w:t>
            </w:r>
          </w:p>
        </w:tc>
        <w:tc>
          <w:tcPr>
            <w:tcW w:w="1630" w:type="dxa"/>
            <w:tcBorders>
              <w:top w:val="nil"/>
              <w:left w:val="nil"/>
              <w:bottom w:val="single" w:color="auto" w:sz="4" w:space="0"/>
              <w:right w:val="single" w:color="auto" w:sz="4" w:space="0"/>
            </w:tcBorders>
            <w:vAlign w:val="center"/>
          </w:tcPr>
          <w:p w14:paraId="06B7BC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5≤X＜20</w:t>
            </w:r>
          </w:p>
        </w:tc>
        <w:tc>
          <w:tcPr>
            <w:tcW w:w="1086" w:type="dxa"/>
            <w:tcBorders>
              <w:top w:val="nil"/>
              <w:left w:val="nil"/>
              <w:bottom w:val="single" w:color="auto" w:sz="4" w:space="0"/>
              <w:right w:val="single" w:color="auto" w:sz="4" w:space="0"/>
            </w:tcBorders>
            <w:vAlign w:val="center"/>
          </w:tcPr>
          <w:p w14:paraId="44558B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X＜5</w:t>
            </w:r>
          </w:p>
        </w:tc>
      </w:tr>
      <w:tr w14:paraId="22F9D979">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4A7D1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0E6E579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69AE6D3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43622FA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5000≤Y＜40000</w:t>
            </w:r>
          </w:p>
        </w:tc>
        <w:tc>
          <w:tcPr>
            <w:tcW w:w="1630" w:type="dxa"/>
            <w:tcBorders>
              <w:top w:val="nil"/>
              <w:left w:val="nil"/>
              <w:bottom w:val="single" w:color="auto" w:sz="4" w:space="0"/>
              <w:right w:val="single" w:color="auto" w:sz="4" w:space="0"/>
            </w:tcBorders>
            <w:vAlign w:val="center"/>
          </w:tcPr>
          <w:p w14:paraId="0645014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1000≤Y＜5000</w:t>
            </w:r>
          </w:p>
        </w:tc>
        <w:tc>
          <w:tcPr>
            <w:tcW w:w="1086" w:type="dxa"/>
            <w:tcBorders>
              <w:top w:val="nil"/>
              <w:left w:val="nil"/>
              <w:bottom w:val="single" w:color="auto" w:sz="4" w:space="0"/>
              <w:right w:val="single" w:color="auto" w:sz="4" w:space="0"/>
            </w:tcBorders>
            <w:vAlign w:val="center"/>
          </w:tcPr>
          <w:p w14:paraId="1F32741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Y＜1000</w:t>
            </w:r>
          </w:p>
        </w:tc>
      </w:tr>
      <w:tr w14:paraId="19E46F27">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380E54D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零售业</w:t>
            </w:r>
          </w:p>
        </w:tc>
        <w:tc>
          <w:tcPr>
            <w:tcW w:w="1901" w:type="dxa"/>
            <w:tcBorders>
              <w:top w:val="nil"/>
              <w:left w:val="nil"/>
              <w:bottom w:val="single" w:color="auto" w:sz="4" w:space="0"/>
              <w:right w:val="single" w:color="auto" w:sz="4" w:space="0"/>
            </w:tcBorders>
            <w:vAlign w:val="center"/>
          </w:tcPr>
          <w:p w14:paraId="3026C4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259D8D3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3ECB2BD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50≤X＜300</w:t>
            </w:r>
          </w:p>
        </w:tc>
        <w:tc>
          <w:tcPr>
            <w:tcW w:w="1630" w:type="dxa"/>
            <w:tcBorders>
              <w:top w:val="nil"/>
              <w:left w:val="nil"/>
              <w:bottom w:val="single" w:color="auto" w:sz="4" w:space="0"/>
              <w:right w:val="single" w:color="auto" w:sz="4" w:space="0"/>
            </w:tcBorders>
            <w:vAlign w:val="center"/>
          </w:tcPr>
          <w:p w14:paraId="1789958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10≤X＜50</w:t>
            </w:r>
          </w:p>
        </w:tc>
        <w:tc>
          <w:tcPr>
            <w:tcW w:w="1086" w:type="dxa"/>
            <w:tcBorders>
              <w:top w:val="nil"/>
              <w:left w:val="nil"/>
              <w:bottom w:val="single" w:color="auto" w:sz="4" w:space="0"/>
              <w:right w:val="single" w:color="auto" w:sz="4" w:space="0"/>
            </w:tcBorders>
            <w:vAlign w:val="center"/>
          </w:tcPr>
          <w:p w14:paraId="4E4FE1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43150856">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A7A30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195A92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7DA1E1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2382840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500≤Y＜20000</w:t>
            </w:r>
          </w:p>
        </w:tc>
        <w:tc>
          <w:tcPr>
            <w:tcW w:w="1630" w:type="dxa"/>
            <w:tcBorders>
              <w:top w:val="nil"/>
              <w:left w:val="nil"/>
              <w:bottom w:val="single" w:color="auto" w:sz="4" w:space="0"/>
              <w:right w:val="single" w:color="auto" w:sz="4" w:space="0"/>
            </w:tcBorders>
            <w:vAlign w:val="center"/>
          </w:tcPr>
          <w:p w14:paraId="1F932A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100≤Y＜500</w:t>
            </w:r>
          </w:p>
        </w:tc>
        <w:tc>
          <w:tcPr>
            <w:tcW w:w="1086" w:type="dxa"/>
            <w:tcBorders>
              <w:top w:val="nil"/>
              <w:left w:val="nil"/>
              <w:bottom w:val="single" w:color="auto" w:sz="4" w:space="0"/>
              <w:right w:val="single" w:color="auto" w:sz="4" w:space="0"/>
            </w:tcBorders>
            <w:vAlign w:val="center"/>
          </w:tcPr>
          <w:p w14:paraId="02B6F0C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0C1E248B">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4267CAA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交通运输业</w:t>
            </w:r>
          </w:p>
        </w:tc>
        <w:tc>
          <w:tcPr>
            <w:tcW w:w="1901" w:type="dxa"/>
            <w:tcBorders>
              <w:top w:val="nil"/>
              <w:left w:val="nil"/>
              <w:bottom w:val="single" w:color="auto" w:sz="4" w:space="0"/>
              <w:right w:val="single" w:color="auto" w:sz="4" w:space="0"/>
            </w:tcBorders>
            <w:vAlign w:val="center"/>
          </w:tcPr>
          <w:p w14:paraId="0F9F66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6E27FF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59D903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630" w:type="dxa"/>
            <w:tcBorders>
              <w:top w:val="nil"/>
              <w:left w:val="nil"/>
              <w:bottom w:val="single" w:color="auto" w:sz="4" w:space="0"/>
              <w:right w:val="single" w:color="auto" w:sz="4" w:space="0"/>
            </w:tcBorders>
            <w:vAlign w:val="center"/>
          </w:tcPr>
          <w:p w14:paraId="144B9A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20≤X＜300</w:t>
            </w:r>
          </w:p>
        </w:tc>
        <w:tc>
          <w:tcPr>
            <w:tcW w:w="1086" w:type="dxa"/>
            <w:tcBorders>
              <w:top w:val="nil"/>
              <w:left w:val="nil"/>
              <w:bottom w:val="single" w:color="auto" w:sz="4" w:space="0"/>
              <w:right w:val="single" w:color="auto" w:sz="4" w:space="0"/>
            </w:tcBorders>
            <w:vAlign w:val="center"/>
          </w:tcPr>
          <w:p w14:paraId="3DD0D84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5E964DEC">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4A6AB2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6B1D2A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7514B6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2E2BEE1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3000≤Y＜30000</w:t>
            </w:r>
          </w:p>
        </w:tc>
        <w:tc>
          <w:tcPr>
            <w:tcW w:w="1630" w:type="dxa"/>
            <w:tcBorders>
              <w:top w:val="nil"/>
              <w:left w:val="nil"/>
              <w:bottom w:val="single" w:color="auto" w:sz="4" w:space="0"/>
              <w:right w:val="single" w:color="auto" w:sz="4" w:space="0"/>
            </w:tcBorders>
            <w:vAlign w:val="center"/>
          </w:tcPr>
          <w:p w14:paraId="08C307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200≤Y＜3000</w:t>
            </w:r>
          </w:p>
        </w:tc>
        <w:tc>
          <w:tcPr>
            <w:tcW w:w="1086" w:type="dxa"/>
            <w:tcBorders>
              <w:top w:val="nil"/>
              <w:left w:val="nil"/>
              <w:bottom w:val="single" w:color="auto" w:sz="4" w:space="0"/>
              <w:right w:val="single" w:color="auto" w:sz="4" w:space="0"/>
            </w:tcBorders>
            <w:vAlign w:val="center"/>
          </w:tcPr>
          <w:p w14:paraId="303B1B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Y＜200</w:t>
            </w:r>
          </w:p>
        </w:tc>
      </w:tr>
      <w:tr w14:paraId="224637B6">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94526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仓储业</w:t>
            </w:r>
          </w:p>
        </w:tc>
        <w:tc>
          <w:tcPr>
            <w:tcW w:w="1901" w:type="dxa"/>
            <w:tcBorders>
              <w:top w:val="nil"/>
              <w:left w:val="nil"/>
              <w:bottom w:val="single" w:color="auto" w:sz="4" w:space="0"/>
              <w:right w:val="single" w:color="auto" w:sz="4" w:space="0"/>
            </w:tcBorders>
            <w:vAlign w:val="center"/>
          </w:tcPr>
          <w:p w14:paraId="4585828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69A828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67EC85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100≤X＜200</w:t>
            </w:r>
          </w:p>
        </w:tc>
        <w:tc>
          <w:tcPr>
            <w:tcW w:w="1630" w:type="dxa"/>
            <w:tcBorders>
              <w:top w:val="nil"/>
              <w:left w:val="nil"/>
              <w:bottom w:val="single" w:color="auto" w:sz="4" w:space="0"/>
              <w:right w:val="single" w:color="auto" w:sz="4" w:space="0"/>
            </w:tcBorders>
            <w:vAlign w:val="center"/>
          </w:tcPr>
          <w:p w14:paraId="3E3814C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20≤X＜100</w:t>
            </w:r>
          </w:p>
        </w:tc>
        <w:tc>
          <w:tcPr>
            <w:tcW w:w="1086" w:type="dxa"/>
            <w:tcBorders>
              <w:top w:val="nil"/>
              <w:left w:val="nil"/>
              <w:bottom w:val="single" w:color="auto" w:sz="4" w:space="0"/>
              <w:right w:val="single" w:color="auto" w:sz="4" w:space="0"/>
            </w:tcBorders>
            <w:vAlign w:val="center"/>
          </w:tcPr>
          <w:p w14:paraId="4998AB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18D25858">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114C73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6DD0FA2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2DCB44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3544EA1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1000≤Y＜30000</w:t>
            </w:r>
          </w:p>
        </w:tc>
        <w:tc>
          <w:tcPr>
            <w:tcW w:w="1630" w:type="dxa"/>
            <w:tcBorders>
              <w:top w:val="nil"/>
              <w:left w:val="nil"/>
              <w:bottom w:val="single" w:color="auto" w:sz="4" w:space="0"/>
              <w:right w:val="single" w:color="auto" w:sz="4" w:space="0"/>
            </w:tcBorders>
            <w:vAlign w:val="center"/>
          </w:tcPr>
          <w:p w14:paraId="592517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100≤Y＜1000</w:t>
            </w:r>
          </w:p>
        </w:tc>
        <w:tc>
          <w:tcPr>
            <w:tcW w:w="1086" w:type="dxa"/>
            <w:tcBorders>
              <w:top w:val="nil"/>
              <w:left w:val="nil"/>
              <w:bottom w:val="single" w:color="auto" w:sz="4" w:space="0"/>
              <w:right w:val="single" w:color="auto" w:sz="4" w:space="0"/>
            </w:tcBorders>
            <w:vAlign w:val="center"/>
          </w:tcPr>
          <w:p w14:paraId="1205E0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7ECE0834">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632059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邮政业</w:t>
            </w:r>
          </w:p>
        </w:tc>
        <w:tc>
          <w:tcPr>
            <w:tcW w:w="1901" w:type="dxa"/>
            <w:tcBorders>
              <w:top w:val="nil"/>
              <w:left w:val="nil"/>
              <w:bottom w:val="single" w:color="auto" w:sz="4" w:space="0"/>
              <w:right w:val="single" w:color="auto" w:sz="4" w:space="0"/>
            </w:tcBorders>
            <w:vAlign w:val="center"/>
          </w:tcPr>
          <w:p w14:paraId="1AFF620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18DB3F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0DE4C25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630" w:type="dxa"/>
            <w:tcBorders>
              <w:top w:val="nil"/>
              <w:left w:val="nil"/>
              <w:bottom w:val="single" w:color="auto" w:sz="4" w:space="0"/>
              <w:right w:val="single" w:color="auto" w:sz="4" w:space="0"/>
            </w:tcBorders>
            <w:vAlign w:val="center"/>
          </w:tcPr>
          <w:p w14:paraId="2DC993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20≤X＜300</w:t>
            </w:r>
          </w:p>
        </w:tc>
        <w:tc>
          <w:tcPr>
            <w:tcW w:w="1086" w:type="dxa"/>
            <w:tcBorders>
              <w:top w:val="nil"/>
              <w:left w:val="nil"/>
              <w:bottom w:val="single" w:color="auto" w:sz="4" w:space="0"/>
              <w:right w:val="single" w:color="auto" w:sz="4" w:space="0"/>
            </w:tcBorders>
            <w:vAlign w:val="center"/>
          </w:tcPr>
          <w:p w14:paraId="318B4CE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X＜20</w:t>
            </w:r>
          </w:p>
        </w:tc>
      </w:tr>
      <w:tr w14:paraId="3CD6293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02F37A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372BE7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4D33D5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42C50E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2000≤Y＜30000</w:t>
            </w:r>
          </w:p>
        </w:tc>
        <w:tc>
          <w:tcPr>
            <w:tcW w:w="1630" w:type="dxa"/>
            <w:tcBorders>
              <w:top w:val="nil"/>
              <w:left w:val="nil"/>
              <w:bottom w:val="single" w:color="auto" w:sz="4" w:space="0"/>
              <w:right w:val="single" w:color="auto" w:sz="4" w:space="0"/>
            </w:tcBorders>
            <w:vAlign w:val="center"/>
          </w:tcPr>
          <w:p w14:paraId="257F356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100≤Y＜2000</w:t>
            </w:r>
          </w:p>
        </w:tc>
        <w:tc>
          <w:tcPr>
            <w:tcW w:w="1086" w:type="dxa"/>
            <w:tcBorders>
              <w:top w:val="nil"/>
              <w:left w:val="nil"/>
              <w:bottom w:val="single" w:color="auto" w:sz="4" w:space="0"/>
              <w:right w:val="single" w:color="auto" w:sz="4" w:space="0"/>
            </w:tcBorders>
            <w:vAlign w:val="center"/>
          </w:tcPr>
          <w:p w14:paraId="4BA1DB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077E95E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2A31A8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住宿业</w:t>
            </w:r>
          </w:p>
        </w:tc>
        <w:tc>
          <w:tcPr>
            <w:tcW w:w="1901" w:type="dxa"/>
            <w:tcBorders>
              <w:top w:val="nil"/>
              <w:left w:val="nil"/>
              <w:bottom w:val="single" w:color="auto" w:sz="4" w:space="0"/>
              <w:right w:val="single" w:color="auto" w:sz="4" w:space="0"/>
            </w:tcBorders>
            <w:vAlign w:val="center"/>
          </w:tcPr>
          <w:p w14:paraId="3ED1C3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2522EDB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53720D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100≤X＜300</w:t>
            </w:r>
          </w:p>
        </w:tc>
        <w:tc>
          <w:tcPr>
            <w:tcW w:w="1630" w:type="dxa"/>
            <w:tcBorders>
              <w:top w:val="nil"/>
              <w:left w:val="nil"/>
              <w:bottom w:val="single" w:color="auto" w:sz="4" w:space="0"/>
              <w:right w:val="single" w:color="auto" w:sz="4" w:space="0"/>
            </w:tcBorders>
            <w:vAlign w:val="center"/>
          </w:tcPr>
          <w:p w14:paraId="08D2D18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10≤X＜100</w:t>
            </w:r>
          </w:p>
        </w:tc>
        <w:tc>
          <w:tcPr>
            <w:tcW w:w="1086" w:type="dxa"/>
            <w:tcBorders>
              <w:top w:val="nil"/>
              <w:left w:val="nil"/>
              <w:bottom w:val="single" w:color="auto" w:sz="4" w:space="0"/>
              <w:right w:val="single" w:color="auto" w:sz="4" w:space="0"/>
            </w:tcBorders>
            <w:vAlign w:val="center"/>
          </w:tcPr>
          <w:p w14:paraId="620FA29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3220F7F5">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36C4DE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426933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6F2EA25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3708566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2000≤Y＜10000</w:t>
            </w:r>
          </w:p>
        </w:tc>
        <w:tc>
          <w:tcPr>
            <w:tcW w:w="1630" w:type="dxa"/>
            <w:tcBorders>
              <w:top w:val="nil"/>
              <w:left w:val="nil"/>
              <w:bottom w:val="single" w:color="auto" w:sz="4" w:space="0"/>
              <w:right w:val="single" w:color="auto" w:sz="4" w:space="0"/>
            </w:tcBorders>
            <w:vAlign w:val="center"/>
          </w:tcPr>
          <w:p w14:paraId="054CC8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100≤Y＜2000</w:t>
            </w:r>
          </w:p>
        </w:tc>
        <w:tc>
          <w:tcPr>
            <w:tcW w:w="1086" w:type="dxa"/>
            <w:tcBorders>
              <w:top w:val="nil"/>
              <w:left w:val="nil"/>
              <w:bottom w:val="single" w:color="auto" w:sz="4" w:space="0"/>
              <w:right w:val="single" w:color="auto" w:sz="4" w:space="0"/>
            </w:tcBorders>
            <w:vAlign w:val="center"/>
          </w:tcPr>
          <w:p w14:paraId="6BB5111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6641E89E">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3184853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餐饮业</w:t>
            </w:r>
          </w:p>
        </w:tc>
        <w:tc>
          <w:tcPr>
            <w:tcW w:w="1901" w:type="dxa"/>
            <w:tcBorders>
              <w:top w:val="nil"/>
              <w:left w:val="nil"/>
              <w:bottom w:val="single" w:color="auto" w:sz="4" w:space="0"/>
              <w:right w:val="single" w:color="auto" w:sz="4" w:space="0"/>
            </w:tcBorders>
            <w:vAlign w:val="center"/>
          </w:tcPr>
          <w:p w14:paraId="316DDCE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63486A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78B59AB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100≤X＜300</w:t>
            </w:r>
          </w:p>
        </w:tc>
        <w:tc>
          <w:tcPr>
            <w:tcW w:w="1630" w:type="dxa"/>
            <w:tcBorders>
              <w:top w:val="nil"/>
              <w:left w:val="nil"/>
              <w:bottom w:val="single" w:color="auto" w:sz="4" w:space="0"/>
              <w:right w:val="single" w:color="auto" w:sz="4" w:space="0"/>
            </w:tcBorders>
            <w:vAlign w:val="center"/>
          </w:tcPr>
          <w:p w14:paraId="5D0DF5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10≤X＜100</w:t>
            </w:r>
          </w:p>
        </w:tc>
        <w:tc>
          <w:tcPr>
            <w:tcW w:w="1086" w:type="dxa"/>
            <w:tcBorders>
              <w:top w:val="nil"/>
              <w:left w:val="nil"/>
              <w:bottom w:val="single" w:color="auto" w:sz="4" w:space="0"/>
              <w:right w:val="single" w:color="auto" w:sz="4" w:space="0"/>
            </w:tcBorders>
            <w:vAlign w:val="center"/>
          </w:tcPr>
          <w:p w14:paraId="2A3A1B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220A85E1">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6E2DF85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1B1493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71D929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3C01D9D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2000≤Y＜10000</w:t>
            </w:r>
          </w:p>
        </w:tc>
        <w:tc>
          <w:tcPr>
            <w:tcW w:w="1630" w:type="dxa"/>
            <w:tcBorders>
              <w:top w:val="nil"/>
              <w:left w:val="nil"/>
              <w:bottom w:val="single" w:color="auto" w:sz="4" w:space="0"/>
              <w:right w:val="single" w:color="auto" w:sz="4" w:space="0"/>
            </w:tcBorders>
            <w:vAlign w:val="center"/>
          </w:tcPr>
          <w:p w14:paraId="46EF59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100≤Y＜2000</w:t>
            </w:r>
          </w:p>
        </w:tc>
        <w:tc>
          <w:tcPr>
            <w:tcW w:w="1086" w:type="dxa"/>
            <w:tcBorders>
              <w:top w:val="nil"/>
              <w:left w:val="nil"/>
              <w:bottom w:val="single" w:color="auto" w:sz="4" w:space="0"/>
              <w:right w:val="single" w:color="auto" w:sz="4" w:space="0"/>
            </w:tcBorders>
            <w:vAlign w:val="center"/>
          </w:tcPr>
          <w:p w14:paraId="3C9521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7B06A2BF">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3FEC4D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信息传输业</w:t>
            </w:r>
          </w:p>
        </w:tc>
        <w:tc>
          <w:tcPr>
            <w:tcW w:w="1901" w:type="dxa"/>
            <w:tcBorders>
              <w:top w:val="nil"/>
              <w:left w:val="nil"/>
              <w:bottom w:val="single" w:color="auto" w:sz="4" w:space="0"/>
              <w:right w:val="single" w:color="auto" w:sz="4" w:space="0"/>
            </w:tcBorders>
            <w:vAlign w:val="center"/>
          </w:tcPr>
          <w:p w14:paraId="2F8A13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2459664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4CE351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100≤X＜2000</w:t>
            </w:r>
          </w:p>
        </w:tc>
        <w:tc>
          <w:tcPr>
            <w:tcW w:w="1630" w:type="dxa"/>
            <w:tcBorders>
              <w:top w:val="nil"/>
              <w:left w:val="nil"/>
              <w:bottom w:val="single" w:color="auto" w:sz="4" w:space="0"/>
              <w:right w:val="single" w:color="auto" w:sz="4" w:space="0"/>
            </w:tcBorders>
            <w:vAlign w:val="center"/>
          </w:tcPr>
          <w:p w14:paraId="0F73F7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10≤X＜100</w:t>
            </w:r>
          </w:p>
        </w:tc>
        <w:tc>
          <w:tcPr>
            <w:tcW w:w="1086" w:type="dxa"/>
            <w:tcBorders>
              <w:top w:val="nil"/>
              <w:left w:val="nil"/>
              <w:bottom w:val="single" w:color="auto" w:sz="4" w:space="0"/>
              <w:right w:val="single" w:color="auto" w:sz="4" w:space="0"/>
            </w:tcBorders>
            <w:vAlign w:val="center"/>
          </w:tcPr>
          <w:p w14:paraId="04EB3C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30F022D8">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51E5AA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7372E3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4249A49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1096BF3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1000≤Y＜100000</w:t>
            </w:r>
          </w:p>
        </w:tc>
        <w:tc>
          <w:tcPr>
            <w:tcW w:w="1630" w:type="dxa"/>
            <w:tcBorders>
              <w:top w:val="nil"/>
              <w:left w:val="nil"/>
              <w:bottom w:val="single" w:color="auto" w:sz="4" w:space="0"/>
              <w:right w:val="single" w:color="auto" w:sz="4" w:space="0"/>
            </w:tcBorders>
            <w:vAlign w:val="center"/>
          </w:tcPr>
          <w:p w14:paraId="3E18B82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100≤Y＜1000</w:t>
            </w:r>
          </w:p>
        </w:tc>
        <w:tc>
          <w:tcPr>
            <w:tcW w:w="1086" w:type="dxa"/>
            <w:tcBorders>
              <w:top w:val="nil"/>
              <w:left w:val="nil"/>
              <w:bottom w:val="single" w:color="auto" w:sz="4" w:space="0"/>
              <w:right w:val="single" w:color="auto" w:sz="4" w:space="0"/>
            </w:tcBorders>
            <w:vAlign w:val="center"/>
          </w:tcPr>
          <w:p w14:paraId="501B0B7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7A0A6D30">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16E995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软件和信息技术服务业</w:t>
            </w:r>
          </w:p>
        </w:tc>
        <w:tc>
          <w:tcPr>
            <w:tcW w:w="1901" w:type="dxa"/>
            <w:tcBorders>
              <w:top w:val="nil"/>
              <w:left w:val="nil"/>
              <w:bottom w:val="single" w:color="auto" w:sz="4" w:space="0"/>
              <w:right w:val="single" w:color="auto" w:sz="4" w:space="0"/>
            </w:tcBorders>
            <w:vAlign w:val="center"/>
          </w:tcPr>
          <w:p w14:paraId="4B6187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678E4B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1D0ADC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100≤X＜300</w:t>
            </w:r>
          </w:p>
        </w:tc>
        <w:tc>
          <w:tcPr>
            <w:tcW w:w="1630" w:type="dxa"/>
            <w:tcBorders>
              <w:top w:val="nil"/>
              <w:left w:val="nil"/>
              <w:bottom w:val="single" w:color="auto" w:sz="4" w:space="0"/>
              <w:right w:val="single" w:color="auto" w:sz="4" w:space="0"/>
            </w:tcBorders>
            <w:vAlign w:val="center"/>
          </w:tcPr>
          <w:p w14:paraId="46C84C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10≤X＜100</w:t>
            </w:r>
          </w:p>
        </w:tc>
        <w:tc>
          <w:tcPr>
            <w:tcW w:w="1086" w:type="dxa"/>
            <w:tcBorders>
              <w:top w:val="nil"/>
              <w:left w:val="nil"/>
              <w:bottom w:val="single" w:color="auto" w:sz="4" w:space="0"/>
              <w:right w:val="single" w:color="auto" w:sz="4" w:space="0"/>
            </w:tcBorders>
            <w:vAlign w:val="center"/>
          </w:tcPr>
          <w:p w14:paraId="1AAF37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2641E5F0">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06C8DA4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13990F9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298E69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1E76C0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1000≤Y＜10000</w:t>
            </w:r>
          </w:p>
        </w:tc>
        <w:tc>
          <w:tcPr>
            <w:tcW w:w="1630" w:type="dxa"/>
            <w:tcBorders>
              <w:top w:val="nil"/>
              <w:left w:val="nil"/>
              <w:bottom w:val="single" w:color="auto" w:sz="4" w:space="0"/>
              <w:right w:val="single" w:color="auto" w:sz="4" w:space="0"/>
            </w:tcBorders>
            <w:vAlign w:val="center"/>
          </w:tcPr>
          <w:p w14:paraId="4740181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50≤Y＜1000</w:t>
            </w:r>
          </w:p>
        </w:tc>
        <w:tc>
          <w:tcPr>
            <w:tcW w:w="1086" w:type="dxa"/>
            <w:tcBorders>
              <w:top w:val="nil"/>
              <w:left w:val="nil"/>
              <w:bottom w:val="single" w:color="auto" w:sz="4" w:space="0"/>
              <w:right w:val="single" w:color="auto" w:sz="4" w:space="0"/>
            </w:tcBorders>
            <w:vAlign w:val="center"/>
          </w:tcPr>
          <w:p w14:paraId="083F686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Y＜50</w:t>
            </w:r>
          </w:p>
        </w:tc>
      </w:tr>
      <w:tr w14:paraId="250B3264">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5DE66C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房地产开发经营</w:t>
            </w:r>
          </w:p>
        </w:tc>
        <w:tc>
          <w:tcPr>
            <w:tcW w:w="1901" w:type="dxa"/>
            <w:tcBorders>
              <w:top w:val="nil"/>
              <w:left w:val="nil"/>
              <w:bottom w:val="single" w:color="auto" w:sz="4" w:space="0"/>
              <w:right w:val="single" w:color="auto" w:sz="4" w:space="0"/>
            </w:tcBorders>
            <w:vAlign w:val="center"/>
          </w:tcPr>
          <w:p w14:paraId="7B41511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12B4D6B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4BFF546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1000≤Y＜200000</w:t>
            </w:r>
          </w:p>
        </w:tc>
        <w:tc>
          <w:tcPr>
            <w:tcW w:w="1630" w:type="dxa"/>
            <w:tcBorders>
              <w:top w:val="nil"/>
              <w:left w:val="nil"/>
              <w:bottom w:val="single" w:color="auto" w:sz="4" w:space="0"/>
              <w:right w:val="single" w:color="auto" w:sz="4" w:space="0"/>
            </w:tcBorders>
            <w:vAlign w:val="center"/>
          </w:tcPr>
          <w:p w14:paraId="29C81F2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100≤X＜1000</w:t>
            </w:r>
          </w:p>
        </w:tc>
        <w:tc>
          <w:tcPr>
            <w:tcW w:w="1086" w:type="dxa"/>
            <w:tcBorders>
              <w:top w:val="nil"/>
              <w:left w:val="nil"/>
              <w:bottom w:val="single" w:color="auto" w:sz="4" w:space="0"/>
              <w:right w:val="single" w:color="auto" w:sz="4" w:space="0"/>
            </w:tcBorders>
            <w:vAlign w:val="center"/>
          </w:tcPr>
          <w:p w14:paraId="38FEFD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X＜100</w:t>
            </w:r>
          </w:p>
        </w:tc>
      </w:tr>
      <w:tr w14:paraId="4C2DCE86">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3A21726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181F70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资产总额（Z）</w:t>
            </w:r>
          </w:p>
        </w:tc>
        <w:tc>
          <w:tcPr>
            <w:tcW w:w="815" w:type="dxa"/>
            <w:tcBorders>
              <w:top w:val="nil"/>
              <w:left w:val="nil"/>
              <w:bottom w:val="single" w:color="auto" w:sz="4" w:space="0"/>
              <w:right w:val="single" w:color="auto" w:sz="4" w:space="0"/>
            </w:tcBorders>
            <w:vAlign w:val="center"/>
          </w:tcPr>
          <w:p w14:paraId="6B815BC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4F1614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5000≤Z＜10000</w:t>
            </w:r>
          </w:p>
        </w:tc>
        <w:tc>
          <w:tcPr>
            <w:tcW w:w="1630" w:type="dxa"/>
            <w:tcBorders>
              <w:top w:val="nil"/>
              <w:left w:val="nil"/>
              <w:bottom w:val="single" w:color="auto" w:sz="4" w:space="0"/>
              <w:right w:val="single" w:color="auto" w:sz="4" w:space="0"/>
            </w:tcBorders>
            <w:vAlign w:val="center"/>
          </w:tcPr>
          <w:p w14:paraId="6ED1C3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2000≤Y＜5000</w:t>
            </w:r>
          </w:p>
        </w:tc>
        <w:tc>
          <w:tcPr>
            <w:tcW w:w="1086" w:type="dxa"/>
            <w:tcBorders>
              <w:top w:val="nil"/>
              <w:left w:val="nil"/>
              <w:bottom w:val="single" w:color="auto" w:sz="4" w:space="0"/>
              <w:right w:val="single" w:color="auto" w:sz="4" w:space="0"/>
            </w:tcBorders>
            <w:vAlign w:val="center"/>
          </w:tcPr>
          <w:p w14:paraId="5910C9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Y＜2000</w:t>
            </w:r>
          </w:p>
        </w:tc>
      </w:tr>
      <w:tr w14:paraId="7B05670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579766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物业管理</w:t>
            </w:r>
          </w:p>
        </w:tc>
        <w:tc>
          <w:tcPr>
            <w:tcW w:w="1901" w:type="dxa"/>
            <w:tcBorders>
              <w:top w:val="nil"/>
              <w:left w:val="nil"/>
              <w:bottom w:val="single" w:color="auto" w:sz="4" w:space="0"/>
              <w:right w:val="single" w:color="auto" w:sz="4" w:space="0"/>
            </w:tcBorders>
            <w:vAlign w:val="center"/>
          </w:tcPr>
          <w:p w14:paraId="60DFF2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0408417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7060283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300≤X＜1000</w:t>
            </w:r>
          </w:p>
        </w:tc>
        <w:tc>
          <w:tcPr>
            <w:tcW w:w="1630" w:type="dxa"/>
            <w:tcBorders>
              <w:top w:val="nil"/>
              <w:left w:val="nil"/>
              <w:bottom w:val="single" w:color="auto" w:sz="4" w:space="0"/>
              <w:right w:val="single" w:color="auto" w:sz="4" w:space="0"/>
            </w:tcBorders>
            <w:vAlign w:val="center"/>
          </w:tcPr>
          <w:p w14:paraId="1DDB64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100≤X＜300</w:t>
            </w:r>
          </w:p>
        </w:tc>
        <w:tc>
          <w:tcPr>
            <w:tcW w:w="1086" w:type="dxa"/>
            <w:tcBorders>
              <w:top w:val="nil"/>
              <w:left w:val="nil"/>
              <w:bottom w:val="single" w:color="auto" w:sz="4" w:space="0"/>
              <w:right w:val="single" w:color="auto" w:sz="4" w:space="0"/>
            </w:tcBorders>
            <w:vAlign w:val="center"/>
          </w:tcPr>
          <w:p w14:paraId="27F665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X＜100</w:t>
            </w:r>
          </w:p>
        </w:tc>
      </w:tr>
      <w:tr w14:paraId="5BFDFEE7">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0A4A1A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51FE6A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营业收入（Y）</w:t>
            </w:r>
          </w:p>
        </w:tc>
        <w:tc>
          <w:tcPr>
            <w:tcW w:w="815" w:type="dxa"/>
            <w:tcBorders>
              <w:top w:val="nil"/>
              <w:left w:val="nil"/>
              <w:bottom w:val="single" w:color="auto" w:sz="4" w:space="0"/>
              <w:right w:val="single" w:color="auto" w:sz="4" w:space="0"/>
            </w:tcBorders>
            <w:vAlign w:val="center"/>
          </w:tcPr>
          <w:p w14:paraId="748BDD9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126E8E1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1000≤Y＜5000</w:t>
            </w:r>
          </w:p>
        </w:tc>
        <w:tc>
          <w:tcPr>
            <w:tcW w:w="1630" w:type="dxa"/>
            <w:tcBorders>
              <w:top w:val="nil"/>
              <w:left w:val="nil"/>
              <w:bottom w:val="single" w:color="auto" w:sz="4" w:space="0"/>
              <w:right w:val="single" w:color="auto" w:sz="4" w:space="0"/>
            </w:tcBorders>
            <w:vAlign w:val="center"/>
          </w:tcPr>
          <w:p w14:paraId="4DE1FB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500≤Y＜1000</w:t>
            </w:r>
          </w:p>
        </w:tc>
        <w:tc>
          <w:tcPr>
            <w:tcW w:w="1086" w:type="dxa"/>
            <w:tcBorders>
              <w:top w:val="nil"/>
              <w:left w:val="nil"/>
              <w:bottom w:val="single" w:color="auto" w:sz="4" w:space="0"/>
              <w:right w:val="single" w:color="auto" w:sz="4" w:space="0"/>
            </w:tcBorders>
            <w:vAlign w:val="center"/>
          </w:tcPr>
          <w:p w14:paraId="73CA649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Y＜500</w:t>
            </w:r>
          </w:p>
        </w:tc>
      </w:tr>
      <w:tr w14:paraId="41980ECD">
        <w:tblPrEx>
          <w:tblCellMar>
            <w:top w:w="0" w:type="dxa"/>
            <w:left w:w="108" w:type="dxa"/>
            <w:bottom w:w="0" w:type="dxa"/>
            <w:right w:w="108" w:type="dxa"/>
          </w:tblCellMar>
        </w:tblPrEx>
        <w:trPr>
          <w:trHeight w:val="303" w:hRule="atLeast"/>
        </w:trPr>
        <w:tc>
          <w:tcPr>
            <w:tcW w:w="1901" w:type="dxa"/>
            <w:vMerge w:val="restart"/>
            <w:tcBorders>
              <w:top w:val="nil"/>
              <w:left w:val="single" w:color="auto" w:sz="4" w:space="0"/>
              <w:bottom w:val="single" w:color="auto" w:sz="4" w:space="0"/>
              <w:right w:val="single" w:color="auto" w:sz="4" w:space="0"/>
            </w:tcBorders>
            <w:vAlign w:val="center"/>
          </w:tcPr>
          <w:p w14:paraId="09E224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租赁和商务服务业</w:t>
            </w:r>
          </w:p>
        </w:tc>
        <w:tc>
          <w:tcPr>
            <w:tcW w:w="1901" w:type="dxa"/>
            <w:tcBorders>
              <w:top w:val="nil"/>
              <w:left w:val="nil"/>
              <w:bottom w:val="single" w:color="auto" w:sz="4" w:space="0"/>
              <w:right w:val="single" w:color="auto" w:sz="4" w:space="0"/>
            </w:tcBorders>
            <w:vAlign w:val="center"/>
          </w:tcPr>
          <w:p w14:paraId="19F12B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2E54798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02ADF52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100≤X＜300</w:t>
            </w:r>
          </w:p>
        </w:tc>
        <w:tc>
          <w:tcPr>
            <w:tcW w:w="1630" w:type="dxa"/>
            <w:tcBorders>
              <w:top w:val="nil"/>
              <w:left w:val="nil"/>
              <w:bottom w:val="single" w:color="auto" w:sz="4" w:space="0"/>
              <w:right w:val="single" w:color="auto" w:sz="4" w:space="0"/>
            </w:tcBorders>
            <w:vAlign w:val="center"/>
          </w:tcPr>
          <w:p w14:paraId="375AB3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10≤X＜100</w:t>
            </w:r>
          </w:p>
        </w:tc>
        <w:tc>
          <w:tcPr>
            <w:tcW w:w="1086" w:type="dxa"/>
            <w:tcBorders>
              <w:top w:val="nil"/>
              <w:left w:val="nil"/>
              <w:bottom w:val="single" w:color="auto" w:sz="4" w:space="0"/>
              <w:right w:val="single" w:color="auto" w:sz="4" w:space="0"/>
            </w:tcBorders>
            <w:vAlign w:val="center"/>
          </w:tcPr>
          <w:p w14:paraId="2122DD3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r w14:paraId="155AADFE">
        <w:tblPrEx>
          <w:tblCellMar>
            <w:top w:w="0" w:type="dxa"/>
            <w:left w:w="108" w:type="dxa"/>
            <w:bottom w:w="0" w:type="dxa"/>
            <w:right w:w="108" w:type="dxa"/>
          </w:tblCellMar>
        </w:tblPrEx>
        <w:trPr>
          <w:trHeight w:val="303" w:hRule="atLeast"/>
        </w:trPr>
        <w:tc>
          <w:tcPr>
            <w:tcW w:w="1901" w:type="dxa"/>
            <w:vMerge w:val="continue"/>
            <w:tcBorders>
              <w:top w:val="nil"/>
              <w:left w:val="single" w:color="auto" w:sz="4" w:space="0"/>
              <w:bottom w:val="single" w:color="auto" w:sz="4" w:space="0"/>
              <w:right w:val="single" w:color="auto" w:sz="4" w:space="0"/>
            </w:tcBorders>
            <w:vAlign w:val="center"/>
          </w:tcPr>
          <w:p w14:paraId="108289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p>
        </w:tc>
        <w:tc>
          <w:tcPr>
            <w:tcW w:w="1901" w:type="dxa"/>
            <w:tcBorders>
              <w:top w:val="nil"/>
              <w:left w:val="nil"/>
              <w:bottom w:val="single" w:color="auto" w:sz="4" w:space="0"/>
              <w:right w:val="single" w:color="auto" w:sz="4" w:space="0"/>
            </w:tcBorders>
            <w:vAlign w:val="center"/>
          </w:tcPr>
          <w:p w14:paraId="4AF60E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资产总额（Z）</w:t>
            </w:r>
          </w:p>
        </w:tc>
        <w:tc>
          <w:tcPr>
            <w:tcW w:w="815" w:type="dxa"/>
            <w:tcBorders>
              <w:top w:val="nil"/>
              <w:left w:val="nil"/>
              <w:bottom w:val="single" w:color="auto" w:sz="4" w:space="0"/>
              <w:right w:val="single" w:color="auto" w:sz="4" w:space="0"/>
            </w:tcBorders>
            <w:vAlign w:val="center"/>
          </w:tcPr>
          <w:p w14:paraId="01CCFE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万元</w:t>
            </w:r>
          </w:p>
        </w:tc>
        <w:tc>
          <w:tcPr>
            <w:tcW w:w="1765" w:type="dxa"/>
            <w:tcBorders>
              <w:top w:val="nil"/>
              <w:left w:val="nil"/>
              <w:bottom w:val="single" w:color="auto" w:sz="4" w:space="0"/>
              <w:right w:val="single" w:color="auto" w:sz="4" w:space="0"/>
            </w:tcBorders>
            <w:vAlign w:val="center"/>
          </w:tcPr>
          <w:p w14:paraId="14AAAE9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8000≤Z＜</w:t>
            </w:r>
            <w:r>
              <w:rPr>
                <w:rFonts w:hint="eastAsia" w:ascii="仿宋" w:hAnsi="仿宋" w:eastAsia="仿宋" w:cs="仿宋"/>
                <w:color w:val="auto"/>
                <w:kern w:val="0"/>
                <w:sz w:val="21"/>
                <w:szCs w:val="21"/>
                <w:highlight w:val="none"/>
                <w:lang w:eastAsia="zh-CN"/>
              </w:rPr>
              <w:t>222</w:t>
            </w:r>
            <w:r>
              <w:rPr>
                <w:rFonts w:hint="eastAsia" w:ascii="仿宋" w:hAnsi="仿宋" w:eastAsia="仿宋" w:cs="仿宋"/>
                <w:color w:val="auto"/>
                <w:kern w:val="0"/>
                <w:sz w:val="21"/>
                <w:szCs w:val="21"/>
                <w:highlight w:val="none"/>
              </w:rPr>
              <w:t>000</w:t>
            </w:r>
          </w:p>
        </w:tc>
        <w:tc>
          <w:tcPr>
            <w:tcW w:w="1630" w:type="dxa"/>
            <w:tcBorders>
              <w:top w:val="nil"/>
              <w:left w:val="nil"/>
              <w:bottom w:val="single" w:color="auto" w:sz="4" w:space="0"/>
              <w:right w:val="single" w:color="auto" w:sz="4" w:space="0"/>
            </w:tcBorders>
            <w:vAlign w:val="center"/>
          </w:tcPr>
          <w:p w14:paraId="515D82D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100≤Z＜8000</w:t>
            </w:r>
          </w:p>
        </w:tc>
        <w:tc>
          <w:tcPr>
            <w:tcW w:w="1086" w:type="dxa"/>
            <w:tcBorders>
              <w:top w:val="nil"/>
              <w:left w:val="nil"/>
              <w:bottom w:val="single" w:color="auto" w:sz="4" w:space="0"/>
              <w:right w:val="single" w:color="auto" w:sz="4" w:space="0"/>
            </w:tcBorders>
            <w:vAlign w:val="center"/>
          </w:tcPr>
          <w:p w14:paraId="172808A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Y＜100</w:t>
            </w:r>
          </w:p>
        </w:tc>
      </w:tr>
      <w:tr w14:paraId="21DD6721">
        <w:tblPrEx>
          <w:tblCellMar>
            <w:top w:w="0" w:type="dxa"/>
            <w:left w:w="108" w:type="dxa"/>
            <w:bottom w:w="0" w:type="dxa"/>
            <w:right w:w="108" w:type="dxa"/>
          </w:tblCellMar>
        </w:tblPrEx>
        <w:trPr>
          <w:trHeight w:val="316" w:hRule="atLeast"/>
        </w:trPr>
        <w:tc>
          <w:tcPr>
            <w:tcW w:w="1901" w:type="dxa"/>
            <w:tcBorders>
              <w:top w:val="nil"/>
              <w:left w:val="single" w:color="auto" w:sz="4" w:space="0"/>
              <w:bottom w:val="single" w:color="auto" w:sz="4" w:space="0"/>
              <w:right w:val="single" w:color="auto" w:sz="4" w:space="0"/>
            </w:tcBorders>
            <w:vAlign w:val="center"/>
          </w:tcPr>
          <w:p w14:paraId="0D1E7A4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其他未列明行业</w:t>
            </w:r>
          </w:p>
        </w:tc>
        <w:tc>
          <w:tcPr>
            <w:tcW w:w="1901" w:type="dxa"/>
            <w:tcBorders>
              <w:top w:val="nil"/>
              <w:left w:val="nil"/>
              <w:bottom w:val="single" w:color="auto" w:sz="4" w:space="0"/>
              <w:right w:val="single" w:color="auto" w:sz="4" w:space="0"/>
            </w:tcBorders>
            <w:vAlign w:val="center"/>
          </w:tcPr>
          <w:p w14:paraId="6F9208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从业人员（X）</w:t>
            </w:r>
          </w:p>
        </w:tc>
        <w:tc>
          <w:tcPr>
            <w:tcW w:w="815" w:type="dxa"/>
            <w:tcBorders>
              <w:top w:val="nil"/>
              <w:left w:val="nil"/>
              <w:bottom w:val="single" w:color="auto" w:sz="4" w:space="0"/>
              <w:right w:val="single" w:color="auto" w:sz="4" w:space="0"/>
            </w:tcBorders>
            <w:vAlign w:val="center"/>
          </w:tcPr>
          <w:p w14:paraId="459F10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人</w:t>
            </w:r>
          </w:p>
        </w:tc>
        <w:tc>
          <w:tcPr>
            <w:tcW w:w="1765" w:type="dxa"/>
            <w:tcBorders>
              <w:top w:val="nil"/>
              <w:left w:val="nil"/>
              <w:bottom w:val="single" w:color="auto" w:sz="4" w:space="0"/>
              <w:right w:val="single" w:color="auto" w:sz="4" w:space="0"/>
            </w:tcBorders>
            <w:vAlign w:val="center"/>
          </w:tcPr>
          <w:p w14:paraId="1D3B30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100≤X＜300</w:t>
            </w:r>
          </w:p>
        </w:tc>
        <w:tc>
          <w:tcPr>
            <w:tcW w:w="1630" w:type="dxa"/>
            <w:tcBorders>
              <w:top w:val="nil"/>
              <w:left w:val="nil"/>
              <w:bottom w:val="single" w:color="auto" w:sz="4" w:space="0"/>
              <w:right w:val="single" w:color="auto" w:sz="4" w:space="0"/>
            </w:tcBorders>
            <w:vAlign w:val="center"/>
          </w:tcPr>
          <w:p w14:paraId="474C2A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10≤X＜100</w:t>
            </w:r>
          </w:p>
        </w:tc>
        <w:tc>
          <w:tcPr>
            <w:tcW w:w="1086" w:type="dxa"/>
            <w:tcBorders>
              <w:top w:val="nil"/>
              <w:left w:val="nil"/>
              <w:bottom w:val="single" w:color="auto" w:sz="4" w:space="0"/>
              <w:right w:val="single" w:color="auto" w:sz="4" w:space="0"/>
            </w:tcBorders>
            <w:vAlign w:val="center"/>
          </w:tcPr>
          <w:p w14:paraId="1C16BB6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X＜10</w:t>
            </w:r>
          </w:p>
        </w:tc>
      </w:tr>
    </w:tbl>
    <w:p w14:paraId="4633E75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r>
        <w:rPr>
          <w:rFonts w:hint="eastAsia" w:ascii="仿宋" w:hAnsi="仿宋" w:eastAsia="仿宋" w:cs="仿宋"/>
          <w:color w:val="auto"/>
          <w:szCs w:val="21"/>
          <w:highlight w:val="none"/>
        </w:rPr>
        <w:br w:type="page"/>
      </w:r>
    </w:p>
    <w:p w14:paraId="5EA6FD19">
      <w:pPr>
        <w:pStyle w:val="35"/>
        <w:outlineLvl w:val="9"/>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rPr>
        <w:t>附件</w:t>
      </w:r>
      <w:r>
        <w:rPr>
          <w:rFonts w:hint="eastAsia" w:ascii="仿宋" w:hAnsi="仿宋" w:eastAsia="仿宋" w:cs="仿宋"/>
          <w:b/>
          <w:bCs/>
          <w:color w:val="auto"/>
          <w:highlight w:val="none"/>
          <w:lang w:val="en-US" w:eastAsia="zh-CN"/>
        </w:rPr>
        <w:t>2</w:t>
      </w:r>
    </w:p>
    <w:p w14:paraId="2563F1C0">
      <w:pPr>
        <w:pStyle w:val="34"/>
        <w:keepNext w:val="0"/>
        <w:keepLines w:val="0"/>
        <w:pageBreakBefore w:val="0"/>
        <w:widowControl w:val="0"/>
        <w:kinsoku/>
        <w:wordWrap/>
        <w:autoSpaceDE/>
        <w:autoSpaceDN/>
        <w:bidi w:val="0"/>
        <w:adjustRightInd/>
        <w:snapToGrid/>
        <w:spacing w:line="560" w:lineRule="exact"/>
        <w:ind w:firstLine="0" w:firstLineChars="0"/>
        <w:jc w:val="center"/>
        <w:textAlignment w:val="auto"/>
        <w:rPr>
          <w:rFonts w:hint="eastAsia" w:ascii="仿宋" w:hAnsi="仿宋" w:eastAsia="仿宋" w:cs="仿宋"/>
          <w:b/>
          <w:bCs/>
          <w:snapToGrid w:val="0"/>
          <w:color w:val="auto"/>
          <w:sz w:val="44"/>
          <w:szCs w:val="44"/>
          <w:highlight w:val="none"/>
          <w:vertAlign w:val="baseline"/>
          <w:lang w:val="en-US" w:eastAsia="zh-CN" w:bidi="ar-SA"/>
        </w:rPr>
      </w:pPr>
      <w:r>
        <w:rPr>
          <w:rFonts w:hint="eastAsia" w:ascii="仿宋" w:hAnsi="仿宋" w:eastAsia="仿宋" w:cs="仿宋"/>
          <w:b/>
          <w:bCs/>
          <w:snapToGrid w:val="0"/>
          <w:color w:val="auto"/>
          <w:sz w:val="44"/>
          <w:szCs w:val="44"/>
          <w:highlight w:val="none"/>
          <w:vertAlign w:val="baseline"/>
          <w:lang w:val="en-US" w:eastAsia="zh-CN" w:bidi="ar-SA"/>
        </w:rPr>
        <w:t>监督抽检任务分配表</w:t>
      </w:r>
    </w:p>
    <w:p w14:paraId="0943806F">
      <w:pPr>
        <w:pStyle w:val="21"/>
        <w:rPr>
          <w:rFonts w:hint="eastAsia" w:ascii="仿宋" w:hAnsi="仿宋" w:eastAsia="仿宋" w:cs="仿宋"/>
          <w:color w:val="auto"/>
          <w:highlight w:val="none"/>
        </w:rPr>
      </w:pPr>
    </w:p>
    <w:tbl>
      <w:tblPr>
        <w:tblStyle w:val="22"/>
        <w:tblW w:w="493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3258"/>
        <w:gridCol w:w="4206"/>
      </w:tblGrid>
      <w:tr w14:paraId="535D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12E78D3A">
            <w:pPr>
              <w:keepNext w:val="0"/>
              <w:keepLines w:val="0"/>
              <w:pageBreakBefore w:val="0"/>
              <w:wordWrap/>
              <w:bidi w:val="0"/>
              <w:spacing w:line="560" w:lineRule="exact"/>
              <w:jc w:val="center"/>
              <w:textAlignment w:val="center"/>
              <w:rPr>
                <w:rFonts w:hint="eastAsia" w:ascii="仿宋" w:hAnsi="仿宋" w:eastAsia="仿宋" w:cs="仿宋"/>
                <w:b/>
                <w:bCs/>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序号</w:t>
            </w:r>
          </w:p>
        </w:tc>
        <w:tc>
          <w:tcPr>
            <w:tcW w:w="3258" w:type="dxa"/>
            <w:vAlign w:val="center"/>
          </w:tcPr>
          <w:p w14:paraId="4E25581C">
            <w:pPr>
              <w:keepNext w:val="0"/>
              <w:keepLines w:val="0"/>
              <w:pageBreakBefore w:val="0"/>
              <w:wordWrap/>
              <w:bidi w:val="0"/>
              <w:spacing w:line="560" w:lineRule="exact"/>
              <w:jc w:val="center"/>
              <w:textAlignment w:val="center"/>
              <w:rPr>
                <w:rFonts w:hint="eastAsia" w:ascii="仿宋" w:hAnsi="仿宋" w:eastAsia="仿宋" w:cs="仿宋"/>
                <w:b/>
                <w:bCs/>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食品大类</w:t>
            </w:r>
          </w:p>
        </w:tc>
        <w:tc>
          <w:tcPr>
            <w:tcW w:w="4206" w:type="dxa"/>
            <w:vAlign w:val="center"/>
          </w:tcPr>
          <w:p w14:paraId="06CB6625">
            <w:pPr>
              <w:keepNext w:val="0"/>
              <w:keepLines w:val="0"/>
              <w:pageBreakBefore w:val="0"/>
              <w:wordWrap/>
              <w:bidi w:val="0"/>
              <w:spacing w:line="560" w:lineRule="exact"/>
              <w:jc w:val="center"/>
              <w:textAlignment w:val="center"/>
              <w:rPr>
                <w:rFonts w:hint="eastAsia" w:ascii="仿宋" w:hAnsi="仿宋" w:eastAsia="仿宋" w:cs="仿宋"/>
                <w:b/>
                <w:bCs/>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市局分配县抽任务数（批次）</w:t>
            </w:r>
          </w:p>
        </w:tc>
      </w:tr>
      <w:tr w14:paraId="5E99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3E9CC0F1">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w:t>
            </w:r>
          </w:p>
        </w:tc>
        <w:tc>
          <w:tcPr>
            <w:tcW w:w="3258" w:type="dxa"/>
            <w:vAlign w:val="center"/>
          </w:tcPr>
          <w:p w14:paraId="1A1931AC">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粮食加工品</w:t>
            </w:r>
          </w:p>
        </w:tc>
        <w:tc>
          <w:tcPr>
            <w:tcW w:w="4206" w:type="dxa"/>
            <w:vAlign w:val="center"/>
          </w:tcPr>
          <w:p w14:paraId="1BC9B423">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r>
      <w:tr w14:paraId="33FB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43612BF6">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w:t>
            </w:r>
          </w:p>
        </w:tc>
        <w:tc>
          <w:tcPr>
            <w:tcW w:w="3258" w:type="dxa"/>
            <w:vAlign w:val="center"/>
          </w:tcPr>
          <w:p w14:paraId="105E7567">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食用油、油脂及其制品</w:t>
            </w:r>
          </w:p>
        </w:tc>
        <w:tc>
          <w:tcPr>
            <w:tcW w:w="4206" w:type="dxa"/>
            <w:vAlign w:val="center"/>
          </w:tcPr>
          <w:p w14:paraId="2E189731">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4</w:t>
            </w:r>
          </w:p>
        </w:tc>
      </w:tr>
      <w:tr w14:paraId="7638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3A22FF5E">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w:t>
            </w:r>
          </w:p>
        </w:tc>
        <w:tc>
          <w:tcPr>
            <w:tcW w:w="3258" w:type="dxa"/>
            <w:vAlign w:val="center"/>
          </w:tcPr>
          <w:p w14:paraId="72AA9FF6">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调味品</w:t>
            </w:r>
          </w:p>
        </w:tc>
        <w:tc>
          <w:tcPr>
            <w:tcW w:w="4206" w:type="dxa"/>
            <w:vAlign w:val="center"/>
          </w:tcPr>
          <w:p w14:paraId="5716B70E">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r>
      <w:tr w14:paraId="4838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132F6762">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4</w:t>
            </w:r>
          </w:p>
        </w:tc>
        <w:tc>
          <w:tcPr>
            <w:tcW w:w="3258" w:type="dxa"/>
            <w:vAlign w:val="center"/>
          </w:tcPr>
          <w:p w14:paraId="631D4FC8">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肉制品</w:t>
            </w:r>
          </w:p>
        </w:tc>
        <w:tc>
          <w:tcPr>
            <w:tcW w:w="4206" w:type="dxa"/>
            <w:vAlign w:val="center"/>
          </w:tcPr>
          <w:p w14:paraId="0FE123BD">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r>
      <w:tr w14:paraId="1570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32AF5AA1">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5</w:t>
            </w:r>
          </w:p>
        </w:tc>
        <w:tc>
          <w:tcPr>
            <w:tcW w:w="3258" w:type="dxa"/>
            <w:vAlign w:val="center"/>
          </w:tcPr>
          <w:p w14:paraId="01ADEAFE">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乳制品</w:t>
            </w:r>
          </w:p>
        </w:tc>
        <w:tc>
          <w:tcPr>
            <w:tcW w:w="4206" w:type="dxa"/>
            <w:vAlign w:val="center"/>
          </w:tcPr>
          <w:p w14:paraId="547E663D">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0128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3C7A7583">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6</w:t>
            </w:r>
          </w:p>
        </w:tc>
        <w:tc>
          <w:tcPr>
            <w:tcW w:w="3258" w:type="dxa"/>
            <w:vAlign w:val="center"/>
          </w:tcPr>
          <w:p w14:paraId="0FF7C11C">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饮料</w:t>
            </w:r>
          </w:p>
        </w:tc>
        <w:tc>
          <w:tcPr>
            <w:tcW w:w="4206" w:type="dxa"/>
            <w:vAlign w:val="center"/>
          </w:tcPr>
          <w:p w14:paraId="1BE358A1">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20</w:t>
            </w:r>
          </w:p>
        </w:tc>
      </w:tr>
      <w:tr w14:paraId="561C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5AC36E0F">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7</w:t>
            </w:r>
          </w:p>
        </w:tc>
        <w:tc>
          <w:tcPr>
            <w:tcW w:w="3258" w:type="dxa"/>
            <w:vAlign w:val="center"/>
          </w:tcPr>
          <w:p w14:paraId="422134A1">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方便食品</w:t>
            </w:r>
          </w:p>
        </w:tc>
        <w:tc>
          <w:tcPr>
            <w:tcW w:w="4206" w:type="dxa"/>
            <w:vAlign w:val="center"/>
          </w:tcPr>
          <w:p w14:paraId="2A5A4AB4">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r>
      <w:tr w14:paraId="2919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1BF40034">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8</w:t>
            </w:r>
          </w:p>
        </w:tc>
        <w:tc>
          <w:tcPr>
            <w:tcW w:w="3258" w:type="dxa"/>
            <w:vAlign w:val="center"/>
          </w:tcPr>
          <w:p w14:paraId="692707B5">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饼干</w:t>
            </w:r>
          </w:p>
        </w:tc>
        <w:tc>
          <w:tcPr>
            <w:tcW w:w="4206" w:type="dxa"/>
            <w:vAlign w:val="center"/>
          </w:tcPr>
          <w:p w14:paraId="150E11B8">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r>
      <w:tr w14:paraId="4E2B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5DBEA126">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9</w:t>
            </w:r>
          </w:p>
        </w:tc>
        <w:tc>
          <w:tcPr>
            <w:tcW w:w="3258" w:type="dxa"/>
            <w:vAlign w:val="center"/>
          </w:tcPr>
          <w:p w14:paraId="4FBC1908">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罐头</w:t>
            </w:r>
          </w:p>
        </w:tc>
        <w:tc>
          <w:tcPr>
            <w:tcW w:w="4206" w:type="dxa"/>
            <w:vAlign w:val="center"/>
          </w:tcPr>
          <w:p w14:paraId="3A49541A">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r>
      <w:tr w14:paraId="5E70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10AFA6A5">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10</w:t>
            </w:r>
          </w:p>
        </w:tc>
        <w:tc>
          <w:tcPr>
            <w:tcW w:w="3258" w:type="dxa"/>
            <w:vAlign w:val="center"/>
          </w:tcPr>
          <w:p w14:paraId="58395764">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冷冻饮品</w:t>
            </w:r>
          </w:p>
        </w:tc>
        <w:tc>
          <w:tcPr>
            <w:tcW w:w="4206" w:type="dxa"/>
            <w:vAlign w:val="center"/>
          </w:tcPr>
          <w:p w14:paraId="2C0DAB6A">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r>
      <w:tr w14:paraId="663AD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39F8B180">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11</w:t>
            </w:r>
          </w:p>
        </w:tc>
        <w:tc>
          <w:tcPr>
            <w:tcW w:w="3258" w:type="dxa"/>
            <w:vAlign w:val="center"/>
          </w:tcPr>
          <w:p w14:paraId="63970859">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速冻食品</w:t>
            </w:r>
          </w:p>
        </w:tc>
        <w:tc>
          <w:tcPr>
            <w:tcW w:w="4206" w:type="dxa"/>
            <w:vAlign w:val="center"/>
          </w:tcPr>
          <w:p w14:paraId="099D89FE">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20</w:t>
            </w:r>
          </w:p>
        </w:tc>
      </w:tr>
      <w:tr w14:paraId="1555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341524AA">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12</w:t>
            </w:r>
          </w:p>
        </w:tc>
        <w:tc>
          <w:tcPr>
            <w:tcW w:w="3258" w:type="dxa"/>
            <w:vAlign w:val="center"/>
          </w:tcPr>
          <w:p w14:paraId="569CAC1C">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薯类和膨化食品</w:t>
            </w:r>
          </w:p>
        </w:tc>
        <w:tc>
          <w:tcPr>
            <w:tcW w:w="4206" w:type="dxa"/>
            <w:vAlign w:val="center"/>
          </w:tcPr>
          <w:p w14:paraId="3A7DD308">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57FE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65A22202">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13</w:t>
            </w:r>
          </w:p>
        </w:tc>
        <w:tc>
          <w:tcPr>
            <w:tcW w:w="3258" w:type="dxa"/>
            <w:vAlign w:val="center"/>
          </w:tcPr>
          <w:p w14:paraId="5E4CD4C4">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糖果制品</w:t>
            </w:r>
          </w:p>
        </w:tc>
        <w:tc>
          <w:tcPr>
            <w:tcW w:w="4206" w:type="dxa"/>
            <w:vAlign w:val="center"/>
          </w:tcPr>
          <w:p w14:paraId="36185909">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5</w:t>
            </w:r>
          </w:p>
        </w:tc>
      </w:tr>
      <w:tr w14:paraId="2AD8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524B1A72">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14</w:t>
            </w:r>
          </w:p>
        </w:tc>
        <w:tc>
          <w:tcPr>
            <w:tcW w:w="3258" w:type="dxa"/>
            <w:vAlign w:val="center"/>
          </w:tcPr>
          <w:p w14:paraId="2F68441E">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茶叶及相关制品</w:t>
            </w:r>
          </w:p>
        </w:tc>
        <w:tc>
          <w:tcPr>
            <w:tcW w:w="4206" w:type="dxa"/>
            <w:vAlign w:val="center"/>
          </w:tcPr>
          <w:p w14:paraId="69DE8E71">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r>
      <w:tr w14:paraId="3340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703024C1">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15</w:t>
            </w:r>
          </w:p>
        </w:tc>
        <w:tc>
          <w:tcPr>
            <w:tcW w:w="3258" w:type="dxa"/>
            <w:vAlign w:val="center"/>
          </w:tcPr>
          <w:p w14:paraId="0F1EAA3C">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酒类</w:t>
            </w:r>
          </w:p>
        </w:tc>
        <w:tc>
          <w:tcPr>
            <w:tcW w:w="4206" w:type="dxa"/>
            <w:vAlign w:val="center"/>
          </w:tcPr>
          <w:p w14:paraId="41C1FD7C">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5</w:t>
            </w:r>
          </w:p>
        </w:tc>
      </w:tr>
      <w:tr w14:paraId="31EA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2D817918">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16</w:t>
            </w:r>
          </w:p>
        </w:tc>
        <w:tc>
          <w:tcPr>
            <w:tcW w:w="3258" w:type="dxa"/>
            <w:vAlign w:val="center"/>
          </w:tcPr>
          <w:p w14:paraId="556738B4">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蔬菜制品</w:t>
            </w:r>
          </w:p>
        </w:tc>
        <w:tc>
          <w:tcPr>
            <w:tcW w:w="4206" w:type="dxa"/>
            <w:vAlign w:val="center"/>
          </w:tcPr>
          <w:p w14:paraId="15124CEA">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r>
      <w:tr w14:paraId="36C8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09F85AAB">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17</w:t>
            </w:r>
          </w:p>
        </w:tc>
        <w:tc>
          <w:tcPr>
            <w:tcW w:w="3258" w:type="dxa"/>
            <w:vAlign w:val="center"/>
          </w:tcPr>
          <w:p w14:paraId="1B13E96B">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水果制品</w:t>
            </w:r>
          </w:p>
        </w:tc>
        <w:tc>
          <w:tcPr>
            <w:tcW w:w="4206" w:type="dxa"/>
            <w:vAlign w:val="center"/>
          </w:tcPr>
          <w:p w14:paraId="00827E4C">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r>
      <w:tr w14:paraId="40ED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3B579C80">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18</w:t>
            </w:r>
          </w:p>
        </w:tc>
        <w:tc>
          <w:tcPr>
            <w:tcW w:w="3258" w:type="dxa"/>
            <w:vAlign w:val="center"/>
          </w:tcPr>
          <w:p w14:paraId="53E6F857">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炒货食品及坚果制品</w:t>
            </w:r>
          </w:p>
        </w:tc>
        <w:tc>
          <w:tcPr>
            <w:tcW w:w="4206" w:type="dxa"/>
            <w:vAlign w:val="center"/>
          </w:tcPr>
          <w:p w14:paraId="431AC678">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5</w:t>
            </w:r>
          </w:p>
        </w:tc>
      </w:tr>
      <w:tr w14:paraId="6848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46889687">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19</w:t>
            </w:r>
          </w:p>
        </w:tc>
        <w:tc>
          <w:tcPr>
            <w:tcW w:w="3258" w:type="dxa"/>
            <w:vAlign w:val="center"/>
          </w:tcPr>
          <w:p w14:paraId="7559A8D2">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蛋制品</w:t>
            </w:r>
          </w:p>
        </w:tc>
        <w:tc>
          <w:tcPr>
            <w:tcW w:w="4206" w:type="dxa"/>
            <w:vAlign w:val="center"/>
          </w:tcPr>
          <w:p w14:paraId="72716016">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7C16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25BF1EC4">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20</w:t>
            </w:r>
          </w:p>
        </w:tc>
        <w:tc>
          <w:tcPr>
            <w:tcW w:w="3258" w:type="dxa"/>
            <w:vAlign w:val="center"/>
          </w:tcPr>
          <w:p w14:paraId="16903665">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可可及焙烤咖啡产品</w:t>
            </w:r>
          </w:p>
        </w:tc>
        <w:tc>
          <w:tcPr>
            <w:tcW w:w="4206" w:type="dxa"/>
            <w:vAlign w:val="center"/>
          </w:tcPr>
          <w:p w14:paraId="77A52B3D">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05D5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0C570CF1">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21</w:t>
            </w:r>
          </w:p>
        </w:tc>
        <w:tc>
          <w:tcPr>
            <w:tcW w:w="3258" w:type="dxa"/>
            <w:vAlign w:val="center"/>
          </w:tcPr>
          <w:p w14:paraId="766B9130">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食糖</w:t>
            </w:r>
          </w:p>
        </w:tc>
        <w:tc>
          <w:tcPr>
            <w:tcW w:w="4206" w:type="dxa"/>
            <w:vAlign w:val="center"/>
          </w:tcPr>
          <w:p w14:paraId="3F84F56E">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4</w:t>
            </w:r>
          </w:p>
        </w:tc>
      </w:tr>
      <w:tr w14:paraId="752C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46900CBE">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22</w:t>
            </w:r>
          </w:p>
        </w:tc>
        <w:tc>
          <w:tcPr>
            <w:tcW w:w="3258" w:type="dxa"/>
            <w:vAlign w:val="center"/>
          </w:tcPr>
          <w:p w14:paraId="325CB712">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水产制品</w:t>
            </w:r>
          </w:p>
        </w:tc>
        <w:tc>
          <w:tcPr>
            <w:tcW w:w="4206" w:type="dxa"/>
            <w:vAlign w:val="center"/>
          </w:tcPr>
          <w:p w14:paraId="6FF57611">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5</w:t>
            </w:r>
          </w:p>
        </w:tc>
      </w:tr>
      <w:tr w14:paraId="63299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25EF7624">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23</w:t>
            </w:r>
          </w:p>
        </w:tc>
        <w:tc>
          <w:tcPr>
            <w:tcW w:w="3258" w:type="dxa"/>
            <w:vAlign w:val="center"/>
          </w:tcPr>
          <w:p w14:paraId="2ECD518E">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淀粉及淀粉制品</w:t>
            </w:r>
          </w:p>
        </w:tc>
        <w:tc>
          <w:tcPr>
            <w:tcW w:w="4206" w:type="dxa"/>
            <w:vAlign w:val="center"/>
          </w:tcPr>
          <w:p w14:paraId="0FE52175">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6</w:t>
            </w:r>
          </w:p>
        </w:tc>
      </w:tr>
      <w:tr w14:paraId="4E95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4BBE25AE">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24</w:t>
            </w:r>
          </w:p>
        </w:tc>
        <w:tc>
          <w:tcPr>
            <w:tcW w:w="3258" w:type="dxa"/>
            <w:vAlign w:val="center"/>
          </w:tcPr>
          <w:p w14:paraId="21FCC489">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糕点</w:t>
            </w:r>
          </w:p>
        </w:tc>
        <w:tc>
          <w:tcPr>
            <w:tcW w:w="4206" w:type="dxa"/>
            <w:vAlign w:val="center"/>
          </w:tcPr>
          <w:p w14:paraId="23E6B934">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20</w:t>
            </w:r>
          </w:p>
        </w:tc>
      </w:tr>
      <w:tr w14:paraId="39EB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60D71152">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25</w:t>
            </w:r>
          </w:p>
        </w:tc>
        <w:tc>
          <w:tcPr>
            <w:tcW w:w="3258" w:type="dxa"/>
            <w:vAlign w:val="center"/>
          </w:tcPr>
          <w:p w14:paraId="37540A85">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豆制品</w:t>
            </w:r>
          </w:p>
        </w:tc>
        <w:tc>
          <w:tcPr>
            <w:tcW w:w="4206" w:type="dxa"/>
            <w:vAlign w:val="center"/>
          </w:tcPr>
          <w:p w14:paraId="104C199A">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4</w:t>
            </w:r>
          </w:p>
        </w:tc>
      </w:tr>
      <w:tr w14:paraId="398C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7C30FD0F">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26</w:t>
            </w:r>
          </w:p>
        </w:tc>
        <w:tc>
          <w:tcPr>
            <w:tcW w:w="3258" w:type="dxa"/>
            <w:vAlign w:val="center"/>
          </w:tcPr>
          <w:p w14:paraId="295A9940">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蜂产品</w:t>
            </w:r>
          </w:p>
        </w:tc>
        <w:tc>
          <w:tcPr>
            <w:tcW w:w="4206" w:type="dxa"/>
            <w:vAlign w:val="center"/>
          </w:tcPr>
          <w:p w14:paraId="7678E43A">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0</w:t>
            </w:r>
          </w:p>
        </w:tc>
      </w:tr>
      <w:tr w14:paraId="72F7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5D0AB406">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27</w:t>
            </w:r>
          </w:p>
        </w:tc>
        <w:tc>
          <w:tcPr>
            <w:tcW w:w="3258" w:type="dxa"/>
            <w:vAlign w:val="center"/>
          </w:tcPr>
          <w:p w14:paraId="0D5B6C55">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保健食品</w:t>
            </w:r>
          </w:p>
        </w:tc>
        <w:tc>
          <w:tcPr>
            <w:tcW w:w="4206" w:type="dxa"/>
            <w:vAlign w:val="center"/>
          </w:tcPr>
          <w:p w14:paraId="1A12CC15">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4</w:t>
            </w:r>
          </w:p>
        </w:tc>
      </w:tr>
      <w:tr w14:paraId="3787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460F5EEB">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28</w:t>
            </w:r>
          </w:p>
        </w:tc>
        <w:tc>
          <w:tcPr>
            <w:tcW w:w="3258" w:type="dxa"/>
            <w:vAlign w:val="center"/>
          </w:tcPr>
          <w:p w14:paraId="1506D4BF">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特殊膳食食品</w:t>
            </w:r>
          </w:p>
        </w:tc>
        <w:tc>
          <w:tcPr>
            <w:tcW w:w="4206" w:type="dxa"/>
            <w:vAlign w:val="center"/>
          </w:tcPr>
          <w:p w14:paraId="5E261D91">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3424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59485241">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29</w:t>
            </w:r>
          </w:p>
        </w:tc>
        <w:tc>
          <w:tcPr>
            <w:tcW w:w="3258" w:type="dxa"/>
            <w:vAlign w:val="center"/>
          </w:tcPr>
          <w:p w14:paraId="4B01862C">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特殊医学用途配方食品</w:t>
            </w:r>
          </w:p>
        </w:tc>
        <w:tc>
          <w:tcPr>
            <w:tcW w:w="4206" w:type="dxa"/>
            <w:vAlign w:val="center"/>
          </w:tcPr>
          <w:p w14:paraId="168B119E">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6F5B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4987DAF9">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30</w:t>
            </w:r>
          </w:p>
        </w:tc>
        <w:tc>
          <w:tcPr>
            <w:tcW w:w="3258" w:type="dxa"/>
            <w:vAlign w:val="center"/>
          </w:tcPr>
          <w:p w14:paraId="1E97AA38">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婴幼儿配方食品</w:t>
            </w:r>
          </w:p>
        </w:tc>
        <w:tc>
          <w:tcPr>
            <w:tcW w:w="4206" w:type="dxa"/>
            <w:vAlign w:val="center"/>
          </w:tcPr>
          <w:p w14:paraId="10B42805">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1567A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6377E545">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31</w:t>
            </w:r>
          </w:p>
        </w:tc>
        <w:tc>
          <w:tcPr>
            <w:tcW w:w="3258" w:type="dxa"/>
            <w:vAlign w:val="center"/>
          </w:tcPr>
          <w:p w14:paraId="7D20B81E">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餐饮食品</w:t>
            </w:r>
          </w:p>
        </w:tc>
        <w:tc>
          <w:tcPr>
            <w:tcW w:w="4206" w:type="dxa"/>
            <w:vAlign w:val="center"/>
          </w:tcPr>
          <w:p w14:paraId="758E74BD">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45</w:t>
            </w:r>
          </w:p>
        </w:tc>
      </w:tr>
      <w:tr w14:paraId="2AED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2091DFB5">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32</w:t>
            </w:r>
          </w:p>
        </w:tc>
        <w:tc>
          <w:tcPr>
            <w:tcW w:w="3258" w:type="dxa"/>
            <w:vAlign w:val="center"/>
          </w:tcPr>
          <w:p w14:paraId="3B93AA14">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食品添加剂</w:t>
            </w:r>
          </w:p>
        </w:tc>
        <w:tc>
          <w:tcPr>
            <w:tcW w:w="4206" w:type="dxa"/>
            <w:vAlign w:val="center"/>
          </w:tcPr>
          <w:p w14:paraId="606F735F">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3</w:t>
            </w:r>
          </w:p>
        </w:tc>
      </w:tr>
      <w:tr w14:paraId="1C8A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939" w:type="dxa"/>
            <w:vAlign w:val="center"/>
          </w:tcPr>
          <w:p w14:paraId="51D08F09">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33</w:t>
            </w:r>
          </w:p>
        </w:tc>
        <w:tc>
          <w:tcPr>
            <w:tcW w:w="3258" w:type="dxa"/>
            <w:vAlign w:val="center"/>
          </w:tcPr>
          <w:p w14:paraId="30F99DC6">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其他食品（地方特色米粉）</w:t>
            </w:r>
          </w:p>
        </w:tc>
        <w:tc>
          <w:tcPr>
            <w:tcW w:w="4206" w:type="dxa"/>
            <w:vAlign w:val="center"/>
          </w:tcPr>
          <w:p w14:paraId="463BD742">
            <w:pPr>
              <w:keepNext w:val="0"/>
              <w:keepLines w:val="0"/>
              <w:widowControl/>
              <w:suppressLineNumbers w:val="0"/>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r>
      <w:tr w14:paraId="662D1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197" w:type="dxa"/>
            <w:gridSpan w:val="2"/>
            <w:vAlign w:val="center"/>
          </w:tcPr>
          <w:p w14:paraId="0A546AF8">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合计</w:t>
            </w:r>
          </w:p>
        </w:tc>
        <w:tc>
          <w:tcPr>
            <w:tcW w:w="4206" w:type="dxa"/>
            <w:vAlign w:val="center"/>
          </w:tcPr>
          <w:p w14:paraId="551E8DFC">
            <w:pPr>
              <w:keepNext w:val="0"/>
              <w:keepLines w:val="0"/>
              <w:pageBreakBefore w:val="0"/>
              <w:wordWrap/>
              <w:bidi w:val="0"/>
              <w:spacing w:line="560" w:lineRule="exact"/>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234</w:t>
            </w:r>
          </w:p>
        </w:tc>
      </w:tr>
    </w:tbl>
    <w:p w14:paraId="0F531408">
      <w:pPr>
        <w:rPr>
          <w:rFonts w:hint="eastAsia" w:ascii="仿宋" w:hAnsi="仿宋" w:eastAsia="仿宋" w:cs="仿宋"/>
          <w:color w:val="auto"/>
          <w:highlight w:val="none"/>
        </w:rPr>
      </w:pPr>
      <w:r>
        <w:rPr>
          <w:rFonts w:hint="eastAsia" w:ascii="仿宋" w:hAnsi="仿宋" w:eastAsia="仿宋" w:cs="仿宋"/>
          <w:snapToGrid w:val="0"/>
          <w:color w:val="auto"/>
          <w:sz w:val="32"/>
          <w:szCs w:val="32"/>
          <w:highlight w:val="none"/>
          <w:vertAlign w:val="baseline"/>
          <w:lang w:val="en-US" w:eastAsia="zh-CN" w:bidi="ar-SA"/>
        </w:rPr>
        <w:t>注：具体品种、批次可以根据实际情况进行调整；抽检任务优先安排抽检辖区食品生产企业，对辖区在产食品生产企业实现全覆盖抽检。</w:t>
      </w:r>
    </w:p>
    <w:p w14:paraId="0B95F00F">
      <w:pPr>
        <w:rPr>
          <w:rFonts w:hint="eastAsia" w:ascii="仿宋" w:hAnsi="仿宋" w:eastAsia="仿宋" w:cs="仿宋"/>
          <w:color w:val="auto"/>
          <w:highlight w:val="none"/>
        </w:rPr>
      </w:pPr>
    </w:p>
    <w:p w14:paraId="058EFB94">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0828A207">
      <w:pPr>
        <w:pStyle w:val="35"/>
        <w:outlineLvl w:val="9"/>
        <w:rPr>
          <w:rFonts w:hint="eastAsia" w:ascii="仿宋" w:hAnsi="仿宋" w:eastAsia="仿宋" w:cs="仿宋"/>
          <w:b/>
          <w:bCs/>
          <w:color w:val="auto"/>
          <w:highlight w:val="none"/>
          <w:lang w:eastAsia="zh-CN"/>
        </w:rPr>
      </w:pPr>
      <w:r>
        <w:rPr>
          <w:rFonts w:hint="eastAsia" w:ascii="仿宋" w:hAnsi="仿宋" w:eastAsia="仿宋" w:cs="仿宋"/>
          <w:b/>
          <w:bCs/>
          <w:color w:val="auto"/>
          <w:highlight w:val="none"/>
        </w:rPr>
        <w:t>附件</w:t>
      </w:r>
      <w:r>
        <w:rPr>
          <w:rFonts w:hint="eastAsia" w:ascii="仿宋" w:hAnsi="仿宋" w:eastAsia="仿宋" w:cs="仿宋"/>
          <w:b/>
          <w:bCs/>
          <w:color w:val="auto"/>
          <w:highlight w:val="none"/>
          <w:lang w:val="en-US" w:eastAsia="zh-CN"/>
        </w:rPr>
        <w:t>3</w:t>
      </w:r>
    </w:p>
    <w:p w14:paraId="3327D582">
      <w:pPr>
        <w:pStyle w:val="34"/>
        <w:keepNext w:val="0"/>
        <w:keepLines w:val="0"/>
        <w:pageBreakBefore w:val="0"/>
        <w:widowControl w:val="0"/>
        <w:kinsoku/>
        <w:wordWrap/>
        <w:autoSpaceDE/>
        <w:autoSpaceDN/>
        <w:bidi w:val="0"/>
        <w:adjustRightInd/>
        <w:snapToGrid/>
        <w:spacing w:line="560" w:lineRule="exact"/>
        <w:ind w:firstLine="0" w:firstLineChars="0"/>
        <w:jc w:val="center"/>
        <w:textAlignment w:val="auto"/>
        <w:rPr>
          <w:rFonts w:hint="eastAsia" w:ascii="仿宋" w:hAnsi="仿宋" w:eastAsia="仿宋" w:cs="仿宋"/>
          <w:b/>
          <w:bCs/>
          <w:snapToGrid w:val="0"/>
          <w:color w:val="auto"/>
          <w:sz w:val="44"/>
          <w:szCs w:val="44"/>
          <w:highlight w:val="none"/>
          <w:vertAlign w:val="baseline"/>
          <w:lang w:val="en-US" w:eastAsia="zh-CN" w:bidi="ar-SA"/>
        </w:rPr>
      </w:pPr>
      <w:r>
        <w:rPr>
          <w:rFonts w:hint="eastAsia" w:ascii="仿宋" w:hAnsi="仿宋" w:eastAsia="仿宋" w:cs="仿宋"/>
          <w:b/>
          <w:bCs/>
          <w:snapToGrid w:val="0"/>
          <w:color w:val="auto"/>
          <w:sz w:val="44"/>
          <w:szCs w:val="44"/>
          <w:highlight w:val="none"/>
          <w:vertAlign w:val="baseline"/>
          <w:lang w:val="en-US" w:eastAsia="zh-CN" w:bidi="ar-SA"/>
        </w:rPr>
        <w:t>监督抽检任务分配表</w:t>
      </w:r>
    </w:p>
    <w:p w14:paraId="3FAAE5B9">
      <w:pPr>
        <w:pStyle w:val="34"/>
        <w:keepNext w:val="0"/>
        <w:keepLines w:val="0"/>
        <w:pageBreakBefore w:val="0"/>
        <w:widowControl w:val="0"/>
        <w:kinsoku/>
        <w:wordWrap/>
        <w:autoSpaceDE/>
        <w:autoSpaceDN/>
        <w:bidi w:val="0"/>
        <w:adjustRightInd/>
        <w:snapToGrid/>
        <w:spacing w:line="560" w:lineRule="exact"/>
        <w:ind w:firstLine="0" w:firstLineChars="0"/>
        <w:jc w:val="center"/>
        <w:textAlignment w:val="auto"/>
        <w:rPr>
          <w:rFonts w:hint="eastAsia" w:ascii="仿宋" w:hAnsi="仿宋" w:eastAsia="仿宋" w:cs="仿宋"/>
          <w:snapToGrid w:val="0"/>
          <w:color w:val="auto"/>
          <w:sz w:val="44"/>
          <w:szCs w:val="44"/>
          <w:highlight w:val="none"/>
          <w:vertAlign w:val="baseline"/>
          <w:lang w:val="en-US" w:eastAsia="zh-CN" w:bidi="ar-SA"/>
        </w:rPr>
      </w:pPr>
    </w:p>
    <w:tbl>
      <w:tblPr>
        <w:tblStyle w:val="2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2290"/>
        <w:gridCol w:w="2694"/>
        <w:gridCol w:w="2948"/>
      </w:tblGrid>
      <w:tr w14:paraId="2EC99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25F09D3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序号</w:t>
            </w:r>
          </w:p>
        </w:tc>
        <w:tc>
          <w:tcPr>
            <w:tcW w:w="2290" w:type="dxa"/>
            <w:vAlign w:val="center"/>
          </w:tcPr>
          <w:p w14:paraId="4951AF1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食品大类</w:t>
            </w:r>
          </w:p>
        </w:tc>
        <w:tc>
          <w:tcPr>
            <w:tcW w:w="2694" w:type="dxa"/>
            <w:vAlign w:val="center"/>
          </w:tcPr>
          <w:p w14:paraId="6F79B2A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经开区本级自行开展生产环节抽检任务（批次）</w:t>
            </w:r>
          </w:p>
        </w:tc>
        <w:tc>
          <w:tcPr>
            <w:tcW w:w="2948" w:type="dxa"/>
            <w:vAlign w:val="center"/>
          </w:tcPr>
          <w:p w14:paraId="1359906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b/>
                <w:bCs/>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重大活动保障食品安全抽检、紧急事件、案件执法等应急检验任务配套监督抽检任务（批次）</w:t>
            </w:r>
          </w:p>
        </w:tc>
      </w:tr>
      <w:tr w14:paraId="7021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379D265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w:t>
            </w:r>
          </w:p>
        </w:tc>
        <w:tc>
          <w:tcPr>
            <w:tcW w:w="2290" w:type="dxa"/>
            <w:vAlign w:val="center"/>
          </w:tcPr>
          <w:p w14:paraId="62AB753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粮食加工品</w:t>
            </w:r>
          </w:p>
        </w:tc>
        <w:tc>
          <w:tcPr>
            <w:tcW w:w="2694" w:type="dxa"/>
            <w:vAlign w:val="center"/>
          </w:tcPr>
          <w:p w14:paraId="2C7282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c>
          <w:tcPr>
            <w:tcW w:w="2948" w:type="dxa"/>
            <w:vMerge w:val="restart"/>
            <w:vAlign w:val="center"/>
          </w:tcPr>
          <w:p w14:paraId="7181BB5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66</w:t>
            </w:r>
          </w:p>
        </w:tc>
      </w:tr>
      <w:tr w14:paraId="2625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57AADB78">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w:t>
            </w:r>
          </w:p>
        </w:tc>
        <w:tc>
          <w:tcPr>
            <w:tcW w:w="2290" w:type="dxa"/>
            <w:vAlign w:val="center"/>
          </w:tcPr>
          <w:p w14:paraId="164F05E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食用油、油脂及其制品</w:t>
            </w:r>
          </w:p>
        </w:tc>
        <w:tc>
          <w:tcPr>
            <w:tcW w:w="2694" w:type="dxa"/>
            <w:vAlign w:val="center"/>
          </w:tcPr>
          <w:p w14:paraId="4C59A64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c>
          <w:tcPr>
            <w:tcW w:w="2948" w:type="dxa"/>
            <w:vMerge w:val="continue"/>
            <w:vAlign w:val="center"/>
          </w:tcPr>
          <w:p w14:paraId="4837F1F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1E26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7DE69A09">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w:t>
            </w:r>
          </w:p>
        </w:tc>
        <w:tc>
          <w:tcPr>
            <w:tcW w:w="2290" w:type="dxa"/>
            <w:vAlign w:val="center"/>
          </w:tcPr>
          <w:p w14:paraId="15112A6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调味品</w:t>
            </w:r>
          </w:p>
        </w:tc>
        <w:tc>
          <w:tcPr>
            <w:tcW w:w="2694" w:type="dxa"/>
            <w:vAlign w:val="center"/>
          </w:tcPr>
          <w:p w14:paraId="7A47400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5</w:t>
            </w:r>
          </w:p>
        </w:tc>
        <w:tc>
          <w:tcPr>
            <w:tcW w:w="2948" w:type="dxa"/>
            <w:vMerge w:val="continue"/>
            <w:vAlign w:val="center"/>
          </w:tcPr>
          <w:p w14:paraId="207965D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7AC2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6DCB3B4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4</w:t>
            </w:r>
          </w:p>
        </w:tc>
        <w:tc>
          <w:tcPr>
            <w:tcW w:w="2290" w:type="dxa"/>
            <w:vAlign w:val="center"/>
          </w:tcPr>
          <w:p w14:paraId="19980B3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肉制品</w:t>
            </w:r>
          </w:p>
        </w:tc>
        <w:tc>
          <w:tcPr>
            <w:tcW w:w="2694" w:type="dxa"/>
            <w:vAlign w:val="center"/>
          </w:tcPr>
          <w:p w14:paraId="6E8069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20</w:t>
            </w:r>
          </w:p>
        </w:tc>
        <w:tc>
          <w:tcPr>
            <w:tcW w:w="2948" w:type="dxa"/>
            <w:vMerge w:val="continue"/>
            <w:vAlign w:val="center"/>
          </w:tcPr>
          <w:p w14:paraId="379791B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39DC4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7BC21A4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5</w:t>
            </w:r>
          </w:p>
        </w:tc>
        <w:tc>
          <w:tcPr>
            <w:tcW w:w="2290" w:type="dxa"/>
            <w:vAlign w:val="center"/>
          </w:tcPr>
          <w:p w14:paraId="0A9349A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乳制品</w:t>
            </w:r>
          </w:p>
        </w:tc>
        <w:tc>
          <w:tcPr>
            <w:tcW w:w="2694" w:type="dxa"/>
            <w:vAlign w:val="center"/>
          </w:tcPr>
          <w:p w14:paraId="39F6EF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0</w:t>
            </w:r>
          </w:p>
        </w:tc>
        <w:tc>
          <w:tcPr>
            <w:tcW w:w="2948" w:type="dxa"/>
            <w:vMerge w:val="continue"/>
            <w:vAlign w:val="center"/>
          </w:tcPr>
          <w:p w14:paraId="792CAF6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7733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392CB1F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6</w:t>
            </w:r>
          </w:p>
        </w:tc>
        <w:tc>
          <w:tcPr>
            <w:tcW w:w="2290" w:type="dxa"/>
            <w:vAlign w:val="center"/>
          </w:tcPr>
          <w:p w14:paraId="147EC519">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饮料</w:t>
            </w:r>
          </w:p>
        </w:tc>
        <w:tc>
          <w:tcPr>
            <w:tcW w:w="2694" w:type="dxa"/>
            <w:vAlign w:val="center"/>
          </w:tcPr>
          <w:p w14:paraId="04956F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c>
          <w:tcPr>
            <w:tcW w:w="2948" w:type="dxa"/>
            <w:vMerge w:val="continue"/>
            <w:vAlign w:val="center"/>
          </w:tcPr>
          <w:p w14:paraId="79B87A4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4B6C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5AA6A06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7</w:t>
            </w:r>
          </w:p>
        </w:tc>
        <w:tc>
          <w:tcPr>
            <w:tcW w:w="2290" w:type="dxa"/>
            <w:vAlign w:val="center"/>
          </w:tcPr>
          <w:p w14:paraId="29B1EC5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方便食品</w:t>
            </w:r>
          </w:p>
        </w:tc>
        <w:tc>
          <w:tcPr>
            <w:tcW w:w="2694" w:type="dxa"/>
            <w:vAlign w:val="center"/>
          </w:tcPr>
          <w:p w14:paraId="1785BE6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c>
          <w:tcPr>
            <w:tcW w:w="2948" w:type="dxa"/>
            <w:vMerge w:val="continue"/>
            <w:vAlign w:val="center"/>
          </w:tcPr>
          <w:p w14:paraId="588A794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5A9A6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73A010A0">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8</w:t>
            </w:r>
          </w:p>
        </w:tc>
        <w:tc>
          <w:tcPr>
            <w:tcW w:w="2290" w:type="dxa"/>
            <w:vAlign w:val="center"/>
          </w:tcPr>
          <w:p w14:paraId="5A13604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饼干</w:t>
            </w:r>
          </w:p>
        </w:tc>
        <w:tc>
          <w:tcPr>
            <w:tcW w:w="2694" w:type="dxa"/>
            <w:vAlign w:val="center"/>
          </w:tcPr>
          <w:p w14:paraId="5FD3112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c>
          <w:tcPr>
            <w:tcW w:w="2948" w:type="dxa"/>
            <w:vMerge w:val="continue"/>
            <w:vAlign w:val="center"/>
          </w:tcPr>
          <w:p w14:paraId="60CCE63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75E8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3883D4D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9</w:t>
            </w:r>
          </w:p>
        </w:tc>
        <w:tc>
          <w:tcPr>
            <w:tcW w:w="2290" w:type="dxa"/>
            <w:vAlign w:val="center"/>
          </w:tcPr>
          <w:p w14:paraId="78663B9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罐头</w:t>
            </w:r>
          </w:p>
        </w:tc>
        <w:tc>
          <w:tcPr>
            <w:tcW w:w="2694" w:type="dxa"/>
            <w:vAlign w:val="center"/>
          </w:tcPr>
          <w:p w14:paraId="633AD6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c>
          <w:tcPr>
            <w:tcW w:w="2948" w:type="dxa"/>
            <w:vMerge w:val="continue"/>
            <w:vAlign w:val="center"/>
          </w:tcPr>
          <w:p w14:paraId="5C14663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44279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6371DEF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10</w:t>
            </w:r>
          </w:p>
        </w:tc>
        <w:tc>
          <w:tcPr>
            <w:tcW w:w="2290" w:type="dxa"/>
            <w:vAlign w:val="center"/>
          </w:tcPr>
          <w:p w14:paraId="2C246E9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冷冻饮品</w:t>
            </w:r>
          </w:p>
        </w:tc>
        <w:tc>
          <w:tcPr>
            <w:tcW w:w="2694" w:type="dxa"/>
            <w:vAlign w:val="center"/>
          </w:tcPr>
          <w:p w14:paraId="50AE3F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c>
          <w:tcPr>
            <w:tcW w:w="2948" w:type="dxa"/>
            <w:vMerge w:val="continue"/>
            <w:vAlign w:val="center"/>
          </w:tcPr>
          <w:p w14:paraId="29E5618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10EB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5BFA608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11</w:t>
            </w:r>
          </w:p>
        </w:tc>
        <w:tc>
          <w:tcPr>
            <w:tcW w:w="2290" w:type="dxa"/>
            <w:vAlign w:val="center"/>
          </w:tcPr>
          <w:p w14:paraId="1EBEB7C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速冻食品</w:t>
            </w:r>
          </w:p>
        </w:tc>
        <w:tc>
          <w:tcPr>
            <w:tcW w:w="2694" w:type="dxa"/>
            <w:vAlign w:val="center"/>
          </w:tcPr>
          <w:p w14:paraId="3FE82F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c>
          <w:tcPr>
            <w:tcW w:w="2948" w:type="dxa"/>
            <w:vMerge w:val="continue"/>
            <w:vAlign w:val="center"/>
          </w:tcPr>
          <w:p w14:paraId="52585D8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42F0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77BB861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12</w:t>
            </w:r>
          </w:p>
        </w:tc>
        <w:tc>
          <w:tcPr>
            <w:tcW w:w="2290" w:type="dxa"/>
            <w:vAlign w:val="center"/>
          </w:tcPr>
          <w:p w14:paraId="526BE84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薯类和膨化食品</w:t>
            </w:r>
          </w:p>
        </w:tc>
        <w:tc>
          <w:tcPr>
            <w:tcW w:w="2694" w:type="dxa"/>
            <w:vAlign w:val="center"/>
          </w:tcPr>
          <w:p w14:paraId="14EED35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6C7BC54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4A17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5CCD10C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13</w:t>
            </w:r>
          </w:p>
        </w:tc>
        <w:tc>
          <w:tcPr>
            <w:tcW w:w="2290" w:type="dxa"/>
            <w:vAlign w:val="center"/>
          </w:tcPr>
          <w:p w14:paraId="4D1B17A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糖果制品</w:t>
            </w:r>
          </w:p>
        </w:tc>
        <w:tc>
          <w:tcPr>
            <w:tcW w:w="2694" w:type="dxa"/>
            <w:vAlign w:val="center"/>
          </w:tcPr>
          <w:p w14:paraId="4B97A7F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3</w:t>
            </w:r>
          </w:p>
        </w:tc>
        <w:tc>
          <w:tcPr>
            <w:tcW w:w="2948" w:type="dxa"/>
            <w:vMerge w:val="continue"/>
            <w:vAlign w:val="center"/>
          </w:tcPr>
          <w:p w14:paraId="71713B1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3602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3910480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14</w:t>
            </w:r>
          </w:p>
        </w:tc>
        <w:tc>
          <w:tcPr>
            <w:tcW w:w="2290" w:type="dxa"/>
            <w:vAlign w:val="center"/>
          </w:tcPr>
          <w:p w14:paraId="4B7A5C9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茶叶及相关制品</w:t>
            </w:r>
          </w:p>
        </w:tc>
        <w:tc>
          <w:tcPr>
            <w:tcW w:w="2694" w:type="dxa"/>
            <w:vAlign w:val="center"/>
          </w:tcPr>
          <w:p w14:paraId="3946FF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5</w:t>
            </w:r>
          </w:p>
        </w:tc>
        <w:tc>
          <w:tcPr>
            <w:tcW w:w="2948" w:type="dxa"/>
            <w:vMerge w:val="continue"/>
            <w:vAlign w:val="center"/>
          </w:tcPr>
          <w:p w14:paraId="139A93B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6D8E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186CEA9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15</w:t>
            </w:r>
          </w:p>
        </w:tc>
        <w:tc>
          <w:tcPr>
            <w:tcW w:w="2290" w:type="dxa"/>
            <w:vAlign w:val="center"/>
          </w:tcPr>
          <w:p w14:paraId="40EDEB3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酒类</w:t>
            </w:r>
          </w:p>
        </w:tc>
        <w:tc>
          <w:tcPr>
            <w:tcW w:w="2694" w:type="dxa"/>
            <w:vAlign w:val="center"/>
          </w:tcPr>
          <w:p w14:paraId="1120C9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3</w:t>
            </w:r>
          </w:p>
        </w:tc>
        <w:tc>
          <w:tcPr>
            <w:tcW w:w="2948" w:type="dxa"/>
            <w:vMerge w:val="continue"/>
            <w:vAlign w:val="center"/>
          </w:tcPr>
          <w:p w14:paraId="2BC6347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2E724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7056F33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16</w:t>
            </w:r>
          </w:p>
        </w:tc>
        <w:tc>
          <w:tcPr>
            <w:tcW w:w="2290" w:type="dxa"/>
            <w:vAlign w:val="center"/>
          </w:tcPr>
          <w:p w14:paraId="2E1B19B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蔬菜制品</w:t>
            </w:r>
          </w:p>
        </w:tc>
        <w:tc>
          <w:tcPr>
            <w:tcW w:w="2694" w:type="dxa"/>
            <w:vAlign w:val="center"/>
          </w:tcPr>
          <w:p w14:paraId="108AA9D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c>
          <w:tcPr>
            <w:tcW w:w="2948" w:type="dxa"/>
            <w:vMerge w:val="continue"/>
            <w:vAlign w:val="center"/>
          </w:tcPr>
          <w:p w14:paraId="28B1587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54EA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4E37473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17</w:t>
            </w:r>
          </w:p>
        </w:tc>
        <w:tc>
          <w:tcPr>
            <w:tcW w:w="2290" w:type="dxa"/>
            <w:vAlign w:val="center"/>
          </w:tcPr>
          <w:p w14:paraId="4CD4E81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水果制品</w:t>
            </w:r>
          </w:p>
        </w:tc>
        <w:tc>
          <w:tcPr>
            <w:tcW w:w="2694" w:type="dxa"/>
            <w:vAlign w:val="center"/>
          </w:tcPr>
          <w:p w14:paraId="485FF9F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5</w:t>
            </w:r>
          </w:p>
        </w:tc>
        <w:tc>
          <w:tcPr>
            <w:tcW w:w="2948" w:type="dxa"/>
            <w:vMerge w:val="continue"/>
            <w:vAlign w:val="center"/>
          </w:tcPr>
          <w:p w14:paraId="52F3B56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12BA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4CD9E70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18</w:t>
            </w:r>
          </w:p>
        </w:tc>
        <w:tc>
          <w:tcPr>
            <w:tcW w:w="2290" w:type="dxa"/>
            <w:vAlign w:val="center"/>
          </w:tcPr>
          <w:p w14:paraId="3756AB4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炒货食品及坚果制品</w:t>
            </w:r>
          </w:p>
        </w:tc>
        <w:tc>
          <w:tcPr>
            <w:tcW w:w="2694" w:type="dxa"/>
            <w:vAlign w:val="center"/>
          </w:tcPr>
          <w:p w14:paraId="67FFD75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3</w:t>
            </w:r>
          </w:p>
        </w:tc>
        <w:tc>
          <w:tcPr>
            <w:tcW w:w="2948" w:type="dxa"/>
            <w:vMerge w:val="continue"/>
            <w:vAlign w:val="center"/>
          </w:tcPr>
          <w:p w14:paraId="3BEE0DB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1895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68DCE11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19</w:t>
            </w:r>
          </w:p>
        </w:tc>
        <w:tc>
          <w:tcPr>
            <w:tcW w:w="2290" w:type="dxa"/>
            <w:vAlign w:val="center"/>
          </w:tcPr>
          <w:p w14:paraId="13DFF2F9">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蛋制品</w:t>
            </w:r>
          </w:p>
        </w:tc>
        <w:tc>
          <w:tcPr>
            <w:tcW w:w="2694" w:type="dxa"/>
            <w:vAlign w:val="center"/>
          </w:tcPr>
          <w:p w14:paraId="745851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3BCA6D38">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02B5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131845B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20</w:t>
            </w:r>
          </w:p>
        </w:tc>
        <w:tc>
          <w:tcPr>
            <w:tcW w:w="2290" w:type="dxa"/>
            <w:vAlign w:val="center"/>
          </w:tcPr>
          <w:p w14:paraId="2D308B6E">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可可及焙烤咖啡产品</w:t>
            </w:r>
          </w:p>
        </w:tc>
        <w:tc>
          <w:tcPr>
            <w:tcW w:w="2694" w:type="dxa"/>
            <w:vAlign w:val="center"/>
          </w:tcPr>
          <w:p w14:paraId="7EDCC8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0</w:t>
            </w:r>
          </w:p>
        </w:tc>
        <w:tc>
          <w:tcPr>
            <w:tcW w:w="2948" w:type="dxa"/>
            <w:vMerge w:val="continue"/>
            <w:vAlign w:val="center"/>
          </w:tcPr>
          <w:p w14:paraId="1D1D775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4B34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4A2AE4A9">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21</w:t>
            </w:r>
          </w:p>
        </w:tc>
        <w:tc>
          <w:tcPr>
            <w:tcW w:w="2290" w:type="dxa"/>
            <w:vAlign w:val="center"/>
          </w:tcPr>
          <w:p w14:paraId="15BC47E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食糖</w:t>
            </w:r>
          </w:p>
        </w:tc>
        <w:tc>
          <w:tcPr>
            <w:tcW w:w="2694" w:type="dxa"/>
            <w:vAlign w:val="center"/>
          </w:tcPr>
          <w:p w14:paraId="34C2F21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542E6FD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38CA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02E71A1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22</w:t>
            </w:r>
          </w:p>
        </w:tc>
        <w:tc>
          <w:tcPr>
            <w:tcW w:w="2290" w:type="dxa"/>
            <w:vAlign w:val="center"/>
          </w:tcPr>
          <w:p w14:paraId="3113D60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水产制品</w:t>
            </w:r>
          </w:p>
        </w:tc>
        <w:tc>
          <w:tcPr>
            <w:tcW w:w="2694" w:type="dxa"/>
            <w:vAlign w:val="center"/>
          </w:tcPr>
          <w:p w14:paraId="65A33E5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3</w:t>
            </w:r>
          </w:p>
        </w:tc>
        <w:tc>
          <w:tcPr>
            <w:tcW w:w="2948" w:type="dxa"/>
            <w:vMerge w:val="continue"/>
            <w:vAlign w:val="center"/>
          </w:tcPr>
          <w:p w14:paraId="2B688288">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3701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41F31C0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23</w:t>
            </w:r>
          </w:p>
        </w:tc>
        <w:tc>
          <w:tcPr>
            <w:tcW w:w="2290" w:type="dxa"/>
            <w:vAlign w:val="center"/>
          </w:tcPr>
          <w:p w14:paraId="1B2F9DC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淀粉及淀粉制品</w:t>
            </w:r>
          </w:p>
        </w:tc>
        <w:tc>
          <w:tcPr>
            <w:tcW w:w="2694" w:type="dxa"/>
            <w:vAlign w:val="center"/>
          </w:tcPr>
          <w:p w14:paraId="4EEF5D4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66479B1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326F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582E5D3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24</w:t>
            </w:r>
          </w:p>
        </w:tc>
        <w:tc>
          <w:tcPr>
            <w:tcW w:w="2290" w:type="dxa"/>
            <w:vAlign w:val="center"/>
          </w:tcPr>
          <w:p w14:paraId="77C5EE61">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糕点</w:t>
            </w:r>
          </w:p>
        </w:tc>
        <w:tc>
          <w:tcPr>
            <w:tcW w:w="2694" w:type="dxa"/>
            <w:vAlign w:val="center"/>
          </w:tcPr>
          <w:p w14:paraId="19CC222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20</w:t>
            </w:r>
          </w:p>
        </w:tc>
        <w:tc>
          <w:tcPr>
            <w:tcW w:w="2948" w:type="dxa"/>
            <w:vMerge w:val="continue"/>
            <w:vAlign w:val="center"/>
          </w:tcPr>
          <w:p w14:paraId="0850FD8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5118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413833D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25</w:t>
            </w:r>
          </w:p>
        </w:tc>
        <w:tc>
          <w:tcPr>
            <w:tcW w:w="2290" w:type="dxa"/>
            <w:vAlign w:val="center"/>
          </w:tcPr>
          <w:p w14:paraId="244EECF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豆制品</w:t>
            </w:r>
          </w:p>
        </w:tc>
        <w:tc>
          <w:tcPr>
            <w:tcW w:w="2694" w:type="dxa"/>
            <w:vAlign w:val="center"/>
          </w:tcPr>
          <w:p w14:paraId="55FD80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c>
          <w:tcPr>
            <w:tcW w:w="2948" w:type="dxa"/>
            <w:vMerge w:val="continue"/>
            <w:vAlign w:val="center"/>
          </w:tcPr>
          <w:p w14:paraId="296E5C4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3FD2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3AC0DC8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26</w:t>
            </w:r>
          </w:p>
        </w:tc>
        <w:tc>
          <w:tcPr>
            <w:tcW w:w="2290" w:type="dxa"/>
            <w:vAlign w:val="center"/>
          </w:tcPr>
          <w:p w14:paraId="25928905">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蜂产品</w:t>
            </w:r>
          </w:p>
        </w:tc>
        <w:tc>
          <w:tcPr>
            <w:tcW w:w="2694" w:type="dxa"/>
            <w:vAlign w:val="center"/>
          </w:tcPr>
          <w:p w14:paraId="1BD90A5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0</w:t>
            </w:r>
          </w:p>
        </w:tc>
        <w:tc>
          <w:tcPr>
            <w:tcW w:w="2948" w:type="dxa"/>
            <w:vMerge w:val="continue"/>
            <w:vAlign w:val="center"/>
          </w:tcPr>
          <w:p w14:paraId="5DBBCE9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1626B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0C6B991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27</w:t>
            </w:r>
          </w:p>
        </w:tc>
        <w:tc>
          <w:tcPr>
            <w:tcW w:w="2290" w:type="dxa"/>
            <w:vAlign w:val="center"/>
          </w:tcPr>
          <w:p w14:paraId="0F9DD84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保健食品</w:t>
            </w:r>
          </w:p>
        </w:tc>
        <w:tc>
          <w:tcPr>
            <w:tcW w:w="2694" w:type="dxa"/>
            <w:vAlign w:val="center"/>
          </w:tcPr>
          <w:p w14:paraId="195C8F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2</w:t>
            </w:r>
          </w:p>
        </w:tc>
        <w:tc>
          <w:tcPr>
            <w:tcW w:w="2948" w:type="dxa"/>
            <w:vMerge w:val="continue"/>
            <w:vAlign w:val="center"/>
          </w:tcPr>
          <w:p w14:paraId="5C82CBCF">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2930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5D401CE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28</w:t>
            </w:r>
          </w:p>
        </w:tc>
        <w:tc>
          <w:tcPr>
            <w:tcW w:w="2290" w:type="dxa"/>
            <w:vAlign w:val="center"/>
          </w:tcPr>
          <w:p w14:paraId="6CF0E13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特殊膳食食品</w:t>
            </w:r>
          </w:p>
        </w:tc>
        <w:tc>
          <w:tcPr>
            <w:tcW w:w="2694" w:type="dxa"/>
            <w:vAlign w:val="center"/>
          </w:tcPr>
          <w:p w14:paraId="226E7FE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7F93109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01C6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4FC73A0C">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29</w:t>
            </w:r>
          </w:p>
        </w:tc>
        <w:tc>
          <w:tcPr>
            <w:tcW w:w="2290" w:type="dxa"/>
            <w:vAlign w:val="center"/>
          </w:tcPr>
          <w:p w14:paraId="1F63762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特殊医学用途配方食品</w:t>
            </w:r>
          </w:p>
        </w:tc>
        <w:tc>
          <w:tcPr>
            <w:tcW w:w="2694" w:type="dxa"/>
            <w:vAlign w:val="center"/>
          </w:tcPr>
          <w:p w14:paraId="07DF1E8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467A4C9D">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1368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2F6CAF0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30</w:t>
            </w:r>
          </w:p>
        </w:tc>
        <w:tc>
          <w:tcPr>
            <w:tcW w:w="2290" w:type="dxa"/>
            <w:vAlign w:val="center"/>
          </w:tcPr>
          <w:p w14:paraId="42D62459">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婴幼儿配方食品</w:t>
            </w:r>
          </w:p>
        </w:tc>
        <w:tc>
          <w:tcPr>
            <w:tcW w:w="2694" w:type="dxa"/>
            <w:vAlign w:val="center"/>
          </w:tcPr>
          <w:p w14:paraId="5BE71DE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702E8BB7">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68063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12DC3E9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31</w:t>
            </w:r>
          </w:p>
        </w:tc>
        <w:tc>
          <w:tcPr>
            <w:tcW w:w="2290" w:type="dxa"/>
            <w:vAlign w:val="center"/>
          </w:tcPr>
          <w:p w14:paraId="23672ACB">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餐饮食品</w:t>
            </w:r>
          </w:p>
        </w:tc>
        <w:tc>
          <w:tcPr>
            <w:tcW w:w="2694" w:type="dxa"/>
            <w:vAlign w:val="center"/>
          </w:tcPr>
          <w:p w14:paraId="786FAF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10</w:t>
            </w:r>
          </w:p>
        </w:tc>
        <w:tc>
          <w:tcPr>
            <w:tcW w:w="2948" w:type="dxa"/>
            <w:vMerge w:val="continue"/>
            <w:vAlign w:val="center"/>
          </w:tcPr>
          <w:p w14:paraId="306286F6">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2BB9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17E0AC8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32</w:t>
            </w:r>
          </w:p>
        </w:tc>
        <w:tc>
          <w:tcPr>
            <w:tcW w:w="2290" w:type="dxa"/>
            <w:vAlign w:val="center"/>
          </w:tcPr>
          <w:p w14:paraId="41CDB672">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食品添加剂</w:t>
            </w:r>
          </w:p>
        </w:tc>
        <w:tc>
          <w:tcPr>
            <w:tcW w:w="2694" w:type="dxa"/>
            <w:vAlign w:val="center"/>
          </w:tcPr>
          <w:p w14:paraId="0C07D2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3</w:t>
            </w:r>
          </w:p>
        </w:tc>
        <w:tc>
          <w:tcPr>
            <w:tcW w:w="2948" w:type="dxa"/>
            <w:vMerge w:val="continue"/>
            <w:vAlign w:val="center"/>
          </w:tcPr>
          <w:p w14:paraId="07160093">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68DD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80" w:type="dxa"/>
            <w:vAlign w:val="center"/>
          </w:tcPr>
          <w:p w14:paraId="56890C2E">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33</w:t>
            </w:r>
          </w:p>
        </w:tc>
        <w:tc>
          <w:tcPr>
            <w:tcW w:w="2290" w:type="dxa"/>
            <w:vAlign w:val="center"/>
          </w:tcPr>
          <w:p w14:paraId="13E13D14">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其他食品（地方特色米粉）</w:t>
            </w:r>
          </w:p>
        </w:tc>
        <w:tc>
          <w:tcPr>
            <w:tcW w:w="2694" w:type="dxa"/>
            <w:vAlign w:val="center"/>
          </w:tcPr>
          <w:p w14:paraId="3C58082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snapToGrid w:val="0"/>
                <w:color w:val="auto"/>
                <w:kern w:val="0"/>
                <w:sz w:val="32"/>
                <w:szCs w:val="32"/>
                <w:highlight w:val="none"/>
                <w:u w:val="none"/>
                <w:lang w:val="en-US" w:eastAsia="zh-CN" w:bidi="ar"/>
              </w:rPr>
              <w:t>1</w:t>
            </w:r>
          </w:p>
        </w:tc>
        <w:tc>
          <w:tcPr>
            <w:tcW w:w="2948" w:type="dxa"/>
            <w:vMerge w:val="continue"/>
            <w:vAlign w:val="center"/>
          </w:tcPr>
          <w:p w14:paraId="6367E16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r w14:paraId="6F37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870" w:type="dxa"/>
            <w:gridSpan w:val="2"/>
            <w:vAlign w:val="center"/>
          </w:tcPr>
          <w:p w14:paraId="29523DFA">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b/>
                <w:bCs/>
                <w:snapToGrid w:val="0"/>
                <w:color w:val="auto"/>
                <w:sz w:val="32"/>
                <w:szCs w:val="32"/>
                <w:highlight w:val="none"/>
                <w:vertAlign w:val="baseline"/>
                <w:lang w:val="en-US" w:eastAsia="zh-CN" w:bidi="ar-SA"/>
              </w:rPr>
              <w:t>合计</w:t>
            </w:r>
          </w:p>
        </w:tc>
        <w:tc>
          <w:tcPr>
            <w:tcW w:w="2694" w:type="dxa"/>
            <w:vAlign w:val="center"/>
          </w:tcPr>
          <w:p w14:paraId="6A5BA01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i w:val="0"/>
                <w:iCs w:val="0"/>
                <w:color w:val="auto"/>
                <w:kern w:val="0"/>
                <w:sz w:val="32"/>
                <w:szCs w:val="32"/>
                <w:highlight w:val="none"/>
                <w:u w:val="none"/>
                <w:lang w:val="en-US" w:eastAsia="zh-CN" w:bidi="ar"/>
              </w:rPr>
              <w:t>150</w:t>
            </w:r>
          </w:p>
        </w:tc>
        <w:tc>
          <w:tcPr>
            <w:tcW w:w="2948" w:type="dxa"/>
            <w:vMerge w:val="continue"/>
            <w:vAlign w:val="center"/>
          </w:tcPr>
          <w:p w14:paraId="12052AD9">
            <w:pPr>
              <w:keepNext w:val="0"/>
              <w:keepLines w:val="0"/>
              <w:pageBreakBefore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snapToGrid w:val="0"/>
                <w:color w:val="auto"/>
                <w:sz w:val="32"/>
                <w:szCs w:val="32"/>
                <w:highlight w:val="none"/>
                <w:vertAlign w:val="baseline"/>
                <w:lang w:val="en-US" w:eastAsia="zh-CN" w:bidi="ar-SA"/>
              </w:rPr>
            </w:pPr>
          </w:p>
        </w:tc>
      </w:tr>
    </w:tbl>
    <w:p w14:paraId="4AA5E5D6">
      <w:pPr>
        <w:pStyle w:val="20"/>
        <w:keepNext w:val="0"/>
        <w:keepLines w:val="0"/>
        <w:pageBreakBefore w:val="0"/>
        <w:wordWrap/>
        <w:bidi w:val="0"/>
        <w:spacing w:line="560" w:lineRule="exact"/>
        <w:jc w:val="both"/>
        <w:outlineLvl w:val="9"/>
        <w:rPr>
          <w:rFonts w:hint="eastAsia" w:ascii="仿宋" w:hAnsi="仿宋" w:eastAsia="仿宋" w:cs="仿宋"/>
          <w:snapToGrid w:val="0"/>
          <w:color w:val="auto"/>
          <w:sz w:val="32"/>
          <w:szCs w:val="32"/>
          <w:highlight w:val="none"/>
          <w:vertAlign w:val="baseline"/>
          <w:lang w:val="en-US" w:eastAsia="zh-CN" w:bidi="ar-SA"/>
        </w:rPr>
      </w:pPr>
      <w:r>
        <w:rPr>
          <w:rFonts w:hint="eastAsia" w:ascii="仿宋" w:hAnsi="仿宋" w:eastAsia="仿宋" w:cs="仿宋"/>
          <w:snapToGrid w:val="0"/>
          <w:color w:val="auto"/>
          <w:sz w:val="32"/>
          <w:szCs w:val="32"/>
          <w:highlight w:val="none"/>
          <w:vertAlign w:val="baseline"/>
          <w:lang w:val="en-US" w:eastAsia="zh-CN" w:bidi="ar-SA"/>
        </w:rPr>
        <w:t>注：具体品种、批次可以根据实际情况进行调整。</w:t>
      </w:r>
    </w:p>
    <w:p w14:paraId="5638A9C7">
      <w:pPr>
        <w:rPr>
          <w:rFonts w:hint="eastAsia" w:ascii="仿宋" w:hAnsi="仿宋" w:eastAsia="仿宋" w:cs="仿宋"/>
          <w:color w:val="auto"/>
          <w:highlight w:val="none"/>
        </w:rPr>
      </w:pPr>
    </w:p>
    <w:p w14:paraId="0087B831">
      <w:pPr>
        <w:pStyle w:val="34"/>
        <w:rPr>
          <w:rFonts w:hint="eastAsia" w:ascii="仿宋" w:hAnsi="仿宋" w:eastAsia="仿宋" w:cs="仿宋"/>
          <w:color w:val="auto"/>
          <w:highlight w:val="none"/>
        </w:rPr>
        <w:sectPr>
          <w:pgSz w:w="11906" w:h="16838"/>
          <w:pgMar w:top="1440" w:right="1800" w:bottom="1440" w:left="1800" w:header="851" w:footer="992" w:gutter="0"/>
          <w:cols w:space="425" w:num="1"/>
          <w:docGrid w:type="lines" w:linePitch="312" w:charSpace="0"/>
        </w:sectPr>
      </w:pPr>
    </w:p>
    <w:p w14:paraId="0B2FCCC2">
      <w:pPr>
        <w:pStyle w:val="35"/>
        <w:outlineLvl w:val="9"/>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rPr>
        <w:t>附件</w:t>
      </w:r>
      <w:r>
        <w:rPr>
          <w:rFonts w:hint="eastAsia" w:ascii="仿宋" w:hAnsi="仿宋" w:eastAsia="仿宋" w:cs="仿宋"/>
          <w:b/>
          <w:bCs/>
          <w:color w:val="auto"/>
          <w:highlight w:val="none"/>
          <w:lang w:val="en-US" w:eastAsia="zh-CN"/>
        </w:rPr>
        <w:t>4</w:t>
      </w:r>
    </w:p>
    <w:p w14:paraId="55157DC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uppressAutoHyphens/>
        <w:kinsoku/>
        <w:wordWrap/>
        <w:overflowPunct/>
        <w:topLinePunct w:val="0"/>
        <w:autoSpaceDE/>
        <w:autoSpaceDN/>
        <w:bidi w:val="0"/>
        <w:adjustRightInd/>
        <w:snapToGrid/>
        <w:spacing w:line="240" w:lineRule="exact"/>
        <w:jc w:val="both"/>
        <w:textAlignment w:val="auto"/>
        <w:rPr>
          <w:rFonts w:hint="eastAsia" w:ascii="仿宋" w:hAnsi="仿宋" w:eastAsia="仿宋" w:cs="仿宋"/>
          <w:b/>
          <w:bCs/>
          <w:color w:val="auto"/>
          <w:kern w:val="1"/>
          <w:sz w:val="32"/>
          <w:szCs w:val="32"/>
          <w:highlight w:val="none"/>
        </w:rPr>
      </w:pPr>
    </w:p>
    <w:p w14:paraId="29E4E982">
      <w:pPr>
        <w:pStyle w:val="20"/>
        <w:outlineLvl w:val="9"/>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2026年经开区本级上半年食品安全监督抽检品种及项目表</w:t>
      </w:r>
    </w:p>
    <w:tbl>
      <w:tblPr>
        <w:tblStyle w:val="23"/>
        <w:tblW w:w="143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
        <w:gridCol w:w="1064"/>
        <w:gridCol w:w="1065"/>
        <w:gridCol w:w="1356"/>
        <w:gridCol w:w="1733"/>
        <w:gridCol w:w="825"/>
        <w:gridCol w:w="4459"/>
        <w:gridCol w:w="3395"/>
      </w:tblGrid>
      <w:tr w14:paraId="0A6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 w:hRule="atLeast"/>
          <w:tblHeader/>
        </w:trPr>
        <w:tc>
          <w:tcPr>
            <w:tcW w:w="438" w:type="dxa"/>
            <w:vAlign w:val="center"/>
          </w:tcPr>
          <w:p w14:paraId="728D00CA">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序号</w:t>
            </w:r>
          </w:p>
        </w:tc>
        <w:tc>
          <w:tcPr>
            <w:tcW w:w="1064" w:type="dxa"/>
            <w:vAlign w:val="center"/>
          </w:tcPr>
          <w:p w14:paraId="66DD8038">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食品大类（一级）</w:t>
            </w:r>
          </w:p>
        </w:tc>
        <w:tc>
          <w:tcPr>
            <w:tcW w:w="1065" w:type="dxa"/>
            <w:vAlign w:val="center"/>
          </w:tcPr>
          <w:p w14:paraId="3D7333A5">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食品亚类（二级）</w:t>
            </w:r>
          </w:p>
        </w:tc>
        <w:tc>
          <w:tcPr>
            <w:tcW w:w="1356" w:type="dxa"/>
            <w:vAlign w:val="center"/>
          </w:tcPr>
          <w:p w14:paraId="171A80DE">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食品品种（三级）</w:t>
            </w:r>
          </w:p>
        </w:tc>
        <w:tc>
          <w:tcPr>
            <w:tcW w:w="1733" w:type="dxa"/>
            <w:vAlign w:val="center"/>
          </w:tcPr>
          <w:p w14:paraId="705965F2">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食品细类（四级）</w:t>
            </w:r>
          </w:p>
        </w:tc>
        <w:tc>
          <w:tcPr>
            <w:tcW w:w="825" w:type="dxa"/>
            <w:vAlign w:val="center"/>
          </w:tcPr>
          <w:p w14:paraId="52442D18">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风险等级</w:t>
            </w:r>
          </w:p>
        </w:tc>
        <w:tc>
          <w:tcPr>
            <w:tcW w:w="4459" w:type="dxa"/>
            <w:vAlign w:val="center"/>
          </w:tcPr>
          <w:p w14:paraId="7BE56545">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必检项目</w:t>
            </w:r>
          </w:p>
        </w:tc>
        <w:tc>
          <w:tcPr>
            <w:tcW w:w="3395" w:type="dxa"/>
            <w:vAlign w:val="center"/>
          </w:tcPr>
          <w:p w14:paraId="0ECB9E1D">
            <w:pPr>
              <w:pageBreakBefore w:val="0"/>
              <w:widowControl w:val="0"/>
              <w:wordWrap/>
              <w:overflowPunct/>
              <w:topLinePunct w:val="0"/>
              <w:bidi w:val="0"/>
              <w:spacing w:line="300" w:lineRule="exact"/>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延伸项目</w:t>
            </w:r>
          </w:p>
        </w:tc>
      </w:tr>
      <w:tr w14:paraId="3926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restart"/>
            <w:vAlign w:val="center"/>
          </w:tcPr>
          <w:p w14:paraId="0EE8E88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064" w:type="dxa"/>
            <w:vMerge w:val="restart"/>
            <w:vAlign w:val="center"/>
          </w:tcPr>
          <w:p w14:paraId="210B9FF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粮食加工品</w:t>
            </w:r>
          </w:p>
        </w:tc>
        <w:tc>
          <w:tcPr>
            <w:tcW w:w="1065" w:type="dxa"/>
            <w:vAlign w:val="center"/>
          </w:tcPr>
          <w:p w14:paraId="2E20AA8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小麦粉</w:t>
            </w:r>
          </w:p>
        </w:tc>
        <w:tc>
          <w:tcPr>
            <w:tcW w:w="1356" w:type="dxa"/>
            <w:vAlign w:val="center"/>
          </w:tcPr>
          <w:p w14:paraId="3CE1401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小麦粉</w:t>
            </w:r>
          </w:p>
        </w:tc>
        <w:tc>
          <w:tcPr>
            <w:tcW w:w="1733" w:type="dxa"/>
            <w:vAlign w:val="center"/>
          </w:tcPr>
          <w:p w14:paraId="2C03C18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小麦粉</w:t>
            </w:r>
          </w:p>
        </w:tc>
        <w:tc>
          <w:tcPr>
            <w:tcW w:w="825" w:type="dxa"/>
            <w:vAlign w:val="center"/>
          </w:tcPr>
          <w:p w14:paraId="2CC7AB3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9AA983B">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镉（以Cd计）、苯并[a]芘、玉米赤霉烯酮、脱氧雪腐镰刀菌烯醇、赭曲霉毒</w:t>
            </w:r>
            <w:r>
              <w:rPr>
                <w:rFonts w:hint="eastAsia" w:ascii="仿宋" w:hAnsi="仿宋" w:eastAsia="仿宋" w:cs="仿宋"/>
                <w:color w:val="auto"/>
                <w:spacing w:val="-1"/>
                <w:kern w:val="0"/>
                <w:sz w:val="24"/>
                <w:szCs w:val="24"/>
                <w:highlight w:val="none"/>
              </w:rPr>
              <w:t>素A、黄曲霉毒</w:t>
            </w:r>
            <w:r>
              <w:rPr>
                <w:rFonts w:hint="eastAsia" w:ascii="仿宋" w:hAnsi="仿宋" w:eastAsia="仿宋" w:cs="仿宋"/>
                <w:color w:val="auto"/>
                <w:spacing w:val="5"/>
                <w:kern w:val="0"/>
                <w:sz w:val="24"/>
                <w:szCs w:val="24"/>
                <w:highlight w:val="none"/>
              </w:rPr>
              <w:t>素B</w:t>
            </w:r>
            <w:r>
              <w:rPr>
                <w:rFonts w:hint="eastAsia" w:ascii="仿宋" w:hAnsi="仿宋" w:eastAsia="仿宋" w:cs="仿宋"/>
                <w:color w:val="auto"/>
                <w:spacing w:val="5"/>
                <w:kern w:val="0"/>
                <w:sz w:val="24"/>
                <w:szCs w:val="24"/>
                <w:highlight w:val="none"/>
                <w:vertAlign w:val="subscript"/>
                <w:lang w:val="en-US" w:eastAsia="zh-CN"/>
              </w:rPr>
              <w:t>1</w:t>
            </w:r>
          </w:p>
        </w:tc>
        <w:tc>
          <w:tcPr>
            <w:tcW w:w="3395" w:type="dxa"/>
            <w:vAlign w:val="center"/>
          </w:tcPr>
          <w:p w14:paraId="496149C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偶氮甲酰胺、过氧化苯甲酰</w:t>
            </w:r>
          </w:p>
        </w:tc>
      </w:tr>
      <w:tr w14:paraId="1B57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1C23E2A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0FEE6F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Align w:val="center"/>
          </w:tcPr>
          <w:p w14:paraId="4404D66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大米</w:t>
            </w:r>
          </w:p>
        </w:tc>
        <w:tc>
          <w:tcPr>
            <w:tcW w:w="1356" w:type="dxa"/>
            <w:vAlign w:val="center"/>
          </w:tcPr>
          <w:p w14:paraId="5F9984F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大米</w:t>
            </w:r>
          </w:p>
        </w:tc>
        <w:tc>
          <w:tcPr>
            <w:tcW w:w="1733" w:type="dxa"/>
            <w:vAlign w:val="center"/>
          </w:tcPr>
          <w:p w14:paraId="20FA9F4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大米</w:t>
            </w:r>
          </w:p>
        </w:tc>
        <w:tc>
          <w:tcPr>
            <w:tcW w:w="825" w:type="dxa"/>
            <w:vAlign w:val="center"/>
          </w:tcPr>
          <w:p w14:paraId="75E7BA8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5F5A3F1">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3"/>
                <w:kern w:val="0"/>
                <w:sz w:val="24"/>
                <w:szCs w:val="24"/>
                <w:highlight w:val="none"/>
              </w:rPr>
              <w:t>铅（以</w:t>
            </w:r>
            <w:r>
              <w:rPr>
                <w:rFonts w:hint="eastAsia" w:ascii="仿宋" w:hAnsi="仿宋" w:eastAsia="仿宋" w:cs="仿宋"/>
                <w:color w:val="auto"/>
                <w:kern w:val="0"/>
                <w:sz w:val="24"/>
                <w:szCs w:val="24"/>
                <w:highlight w:val="none"/>
              </w:rPr>
              <w:t>Pb</w:t>
            </w:r>
            <w:r>
              <w:rPr>
                <w:rFonts w:hint="eastAsia" w:ascii="仿宋" w:hAnsi="仿宋" w:eastAsia="仿宋" w:cs="仿宋"/>
                <w:color w:val="auto"/>
                <w:spacing w:val="3"/>
                <w:kern w:val="0"/>
                <w:sz w:val="24"/>
                <w:szCs w:val="24"/>
                <w:highlight w:val="none"/>
              </w:rPr>
              <w:t>计）、镉（以</w:t>
            </w:r>
            <w:r>
              <w:rPr>
                <w:rFonts w:hint="eastAsia" w:ascii="仿宋" w:hAnsi="仿宋" w:eastAsia="仿宋" w:cs="仿宋"/>
                <w:color w:val="auto"/>
                <w:kern w:val="0"/>
                <w:sz w:val="24"/>
                <w:szCs w:val="24"/>
                <w:highlight w:val="none"/>
              </w:rPr>
              <w:t>Cd</w:t>
            </w:r>
            <w:r>
              <w:rPr>
                <w:rFonts w:hint="eastAsia" w:ascii="仿宋" w:hAnsi="仿宋" w:eastAsia="仿宋" w:cs="仿宋"/>
                <w:color w:val="auto"/>
                <w:spacing w:val="3"/>
                <w:kern w:val="0"/>
                <w:sz w:val="24"/>
                <w:szCs w:val="24"/>
                <w:highlight w:val="none"/>
              </w:rPr>
              <w:t>计）、无机砷（以</w:t>
            </w:r>
            <w:r>
              <w:rPr>
                <w:rFonts w:hint="eastAsia" w:ascii="仿宋" w:hAnsi="仿宋" w:eastAsia="仿宋" w:cs="仿宋"/>
                <w:color w:val="auto"/>
                <w:kern w:val="0"/>
                <w:sz w:val="24"/>
                <w:szCs w:val="24"/>
                <w:highlight w:val="none"/>
              </w:rPr>
              <w:t>As</w:t>
            </w:r>
            <w:r>
              <w:rPr>
                <w:rFonts w:hint="eastAsia" w:ascii="仿宋" w:hAnsi="仿宋" w:eastAsia="仿宋" w:cs="仿宋"/>
                <w:color w:val="auto"/>
                <w:spacing w:val="3"/>
                <w:kern w:val="0"/>
                <w:sz w:val="24"/>
                <w:szCs w:val="24"/>
                <w:highlight w:val="none"/>
              </w:rPr>
              <w:t>计）、苯并[a]芘、黄曲霉毒素B</w:t>
            </w:r>
            <w:r>
              <w:rPr>
                <w:rFonts w:hint="eastAsia" w:ascii="仿宋" w:hAnsi="仿宋" w:eastAsia="仿宋" w:cs="仿宋"/>
                <w:color w:val="auto"/>
                <w:spacing w:val="3"/>
                <w:kern w:val="0"/>
                <w:sz w:val="24"/>
                <w:szCs w:val="24"/>
                <w:highlight w:val="none"/>
                <w:vertAlign w:val="subscript"/>
                <w:lang w:val="en-US" w:eastAsia="zh-CN"/>
              </w:rPr>
              <w:t>1</w:t>
            </w:r>
            <w:r>
              <w:rPr>
                <w:rFonts w:hint="eastAsia" w:ascii="仿宋" w:hAnsi="仿宋" w:eastAsia="仿宋" w:cs="仿宋"/>
                <w:color w:val="auto"/>
                <w:spacing w:val="2"/>
                <w:kern w:val="0"/>
                <w:sz w:val="24"/>
                <w:szCs w:val="24"/>
                <w:highlight w:val="none"/>
              </w:rPr>
              <w:t>、赭曲霉毒</w:t>
            </w:r>
            <w:r>
              <w:rPr>
                <w:rFonts w:hint="eastAsia" w:ascii="仿宋" w:hAnsi="仿宋" w:eastAsia="仿宋" w:cs="仿宋"/>
                <w:color w:val="auto"/>
                <w:spacing w:val="-4"/>
                <w:kern w:val="0"/>
                <w:sz w:val="24"/>
                <w:szCs w:val="24"/>
                <w:highlight w:val="none"/>
              </w:rPr>
              <w:t>素A</w:t>
            </w:r>
          </w:p>
        </w:tc>
        <w:tc>
          <w:tcPr>
            <w:tcW w:w="3395" w:type="dxa"/>
            <w:vAlign w:val="center"/>
          </w:tcPr>
          <w:p w14:paraId="2B41695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3C77F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01B094C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6E754D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Align w:val="center"/>
          </w:tcPr>
          <w:p w14:paraId="795CAEE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挂面</w:t>
            </w:r>
          </w:p>
        </w:tc>
        <w:tc>
          <w:tcPr>
            <w:tcW w:w="1356" w:type="dxa"/>
            <w:vAlign w:val="center"/>
          </w:tcPr>
          <w:p w14:paraId="4B04894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挂面</w:t>
            </w:r>
          </w:p>
        </w:tc>
        <w:tc>
          <w:tcPr>
            <w:tcW w:w="1733" w:type="dxa"/>
            <w:vAlign w:val="center"/>
          </w:tcPr>
          <w:p w14:paraId="49DEC5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挂面</w:t>
            </w:r>
          </w:p>
        </w:tc>
        <w:tc>
          <w:tcPr>
            <w:tcW w:w="825" w:type="dxa"/>
            <w:vAlign w:val="center"/>
          </w:tcPr>
          <w:p w14:paraId="4BCDA18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5741CF07">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3"/>
                <w:kern w:val="0"/>
                <w:sz w:val="24"/>
                <w:szCs w:val="24"/>
                <w:highlight w:val="none"/>
              </w:rPr>
              <w:t>铅</w:t>
            </w:r>
            <w:r>
              <w:rPr>
                <w:rFonts w:hint="eastAsia" w:ascii="仿宋" w:hAnsi="仿宋" w:eastAsia="仿宋" w:cs="仿宋"/>
                <w:color w:val="auto"/>
                <w:spacing w:val="3"/>
                <w:kern w:val="0"/>
                <w:sz w:val="24"/>
                <w:szCs w:val="24"/>
                <w:highlight w:val="none"/>
                <w:lang w:eastAsia="zh-CN"/>
              </w:rPr>
              <w:t>（</w:t>
            </w:r>
            <w:r>
              <w:rPr>
                <w:rFonts w:hint="eastAsia" w:ascii="仿宋" w:hAnsi="仿宋" w:eastAsia="仿宋" w:cs="仿宋"/>
                <w:color w:val="auto"/>
                <w:spacing w:val="3"/>
                <w:kern w:val="0"/>
                <w:sz w:val="24"/>
                <w:szCs w:val="24"/>
                <w:highlight w:val="none"/>
              </w:rPr>
              <w:t>以Pb计</w:t>
            </w:r>
            <w:r>
              <w:rPr>
                <w:rFonts w:hint="eastAsia" w:ascii="仿宋" w:hAnsi="仿宋" w:eastAsia="仿宋" w:cs="仿宋"/>
                <w:color w:val="auto"/>
                <w:spacing w:val="3"/>
                <w:kern w:val="0"/>
                <w:sz w:val="24"/>
                <w:szCs w:val="24"/>
                <w:highlight w:val="none"/>
                <w:lang w:eastAsia="zh-CN"/>
              </w:rPr>
              <w:t>）</w:t>
            </w:r>
            <w:r>
              <w:rPr>
                <w:rFonts w:hint="eastAsia" w:ascii="仿宋" w:hAnsi="仿宋" w:eastAsia="仿宋" w:cs="仿宋"/>
                <w:color w:val="auto"/>
                <w:spacing w:val="3"/>
                <w:kern w:val="0"/>
                <w:sz w:val="24"/>
                <w:szCs w:val="24"/>
                <w:highlight w:val="none"/>
              </w:rPr>
              <w:t>、黄曲霉毒素B</w:t>
            </w:r>
            <w:r>
              <w:rPr>
                <w:rFonts w:hint="eastAsia" w:ascii="仿宋" w:hAnsi="仿宋" w:eastAsia="仿宋" w:cs="仿宋"/>
                <w:color w:val="auto"/>
                <w:spacing w:val="3"/>
                <w:kern w:val="0"/>
                <w:sz w:val="24"/>
                <w:szCs w:val="24"/>
                <w:highlight w:val="none"/>
                <w:vertAlign w:val="subscript"/>
                <w:lang w:val="en-US" w:eastAsia="zh-CN"/>
              </w:rPr>
              <w:t>1</w:t>
            </w:r>
            <w:r>
              <w:rPr>
                <w:rFonts w:hint="eastAsia" w:ascii="仿宋" w:hAnsi="仿宋" w:eastAsia="仿宋" w:cs="仿宋"/>
                <w:color w:val="auto"/>
                <w:spacing w:val="3"/>
                <w:kern w:val="0"/>
                <w:sz w:val="24"/>
                <w:szCs w:val="24"/>
                <w:highlight w:val="none"/>
              </w:rPr>
              <w:t>、脱氢乙酸及其钠盐（以脱氢乙酸计</w:t>
            </w:r>
            <w:r>
              <w:rPr>
                <w:rFonts w:hint="eastAsia" w:ascii="仿宋" w:hAnsi="仿宋" w:eastAsia="仿宋" w:cs="仿宋"/>
                <w:color w:val="auto"/>
                <w:spacing w:val="2"/>
                <w:kern w:val="0"/>
                <w:sz w:val="24"/>
                <w:szCs w:val="24"/>
                <w:highlight w:val="none"/>
              </w:rPr>
              <w:t>）、合成着色剂</w:t>
            </w:r>
            <w:r>
              <w:rPr>
                <w:rFonts w:hint="eastAsia" w:ascii="仿宋" w:hAnsi="仿宋" w:eastAsia="仿宋" w:cs="仿宋"/>
                <w:color w:val="auto"/>
                <w:spacing w:val="2"/>
                <w:kern w:val="0"/>
                <w:sz w:val="24"/>
                <w:szCs w:val="24"/>
                <w:highlight w:val="none"/>
                <w:lang w:eastAsia="zh-CN"/>
              </w:rPr>
              <w:t>（</w:t>
            </w:r>
            <w:r>
              <w:rPr>
                <w:rFonts w:hint="eastAsia" w:ascii="仿宋" w:hAnsi="仿宋" w:eastAsia="仿宋" w:cs="仿宋"/>
                <w:color w:val="auto"/>
                <w:spacing w:val="2"/>
                <w:kern w:val="0"/>
                <w:sz w:val="24"/>
                <w:szCs w:val="24"/>
                <w:highlight w:val="none"/>
              </w:rPr>
              <w:t>柠檬黄、日落黄、胭脂红、苋菜红、诱惑红、亮蓝</w:t>
            </w:r>
            <w:r>
              <w:rPr>
                <w:rFonts w:hint="eastAsia" w:ascii="仿宋" w:hAnsi="仿宋" w:eastAsia="仿宋" w:cs="仿宋"/>
                <w:color w:val="auto"/>
                <w:spacing w:val="2"/>
                <w:kern w:val="0"/>
                <w:sz w:val="24"/>
                <w:szCs w:val="24"/>
                <w:highlight w:val="none"/>
                <w:lang w:eastAsia="zh-CN"/>
              </w:rPr>
              <w:t>）</w:t>
            </w:r>
          </w:p>
        </w:tc>
        <w:tc>
          <w:tcPr>
            <w:tcW w:w="3395" w:type="dxa"/>
            <w:vAlign w:val="center"/>
          </w:tcPr>
          <w:p w14:paraId="1726C4F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1490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436BBD3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F67C6B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restart"/>
            <w:vAlign w:val="center"/>
          </w:tcPr>
          <w:p w14:paraId="0C5864A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其他粮食加工品</w:t>
            </w:r>
          </w:p>
        </w:tc>
        <w:tc>
          <w:tcPr>
            <w:tcW w:w="1356" w:type="dxa"/>
            <w:vAlign w:val="center"/>
          </w:tcPr>
          <w:p w14:paraId="5E70881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谷物加工品</w:t>
            </w:r>
          </w:p>
        </w:tc>
        <w:tc>
          <w:tcPr>
            <w:tcW w:w="1733" w:type="dxa"/>
            <w:vAlign w:val="center"/>
          </w:tcPr>
          <w:p w14:paraId="2F866A5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谷物加工品</w:t>
            </w:r>
          </w:p>
        </w:tc>
        <w:tc>
          <w:tcPr>
            <w:tcW w:w="825" w:type="dxa"/>
            <w:vAlign w:val="center"/>
          </w:tcPr>
          <w:p w14:paraId="657E3E4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4AE10E68">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4"/>
                <w:kern w:val="0"/>
                <w:sz w:val="24"/>
                <w:szCs w:val="24"/>
                <w:highlight w:val="none"/>
              </w:rPr>
              <w:t>铅</w:t>
            </w:r>
            <w:r>
              <w:rPr>
                <w:rFonts w:hint="eastAsia" w:ascii="仿宋" w:hAnsi="仿宋" w:eastAsia="仿宋" w:cs="仿宋"/>
                <w:color w:val="auto"/>
                <w:spacing w:val="4"/>
                <w:kern w:val="0"/>
                <w:sz w:val="24"/>
                <w:szCs w:val="24"/>
                <w:highlight w:val="none"/>
                <w:lang w:eastAsia="zh-CN"/>
              </w:rPr>
              <w:t>（</w:t>
            </w:r>
            <w:r>
              <w:rPr>
                <w:rFonts w:hint="eastAsia" w:ascii="仿宋" w:hAnsi="仿宋" w:eastAsia="仿宋" w:cs="仿宋"/>
                <w:color w:val="auto"/>
                <w:spacing w:val="4"/>
                <w:kern w:val="0"/>
                <w:sz w:val="24"/>
                <w:szCs w:val="24"/>
                <w:highlight w:val="none"/>
              </w:rPr>
              <w:t>以Pb计</w:t>
            </w:r>
            <w:r>
              <w:rPr>
                <w:rFonts w:hint="eastAsia" w:ascii="仿宋" w:hAnsi="仿宋" w:eastAsia="仿宋" w:cs="仿宋"/>
                <w:color w:val="auto"/>
                <w:spacing w:val="4"/>
                <w:kern w:val="0"/>
                <w:sz w:val="24"/>
                <w:szCs w:val="24"/>
                <w:highlight w:val="none"/>
                <w:lang w:eastAsia="zh-CN"/>
              </w:rPr>
              <w:t>）</w:t>
            </w:r>
            <w:r>
              <w:rPr>
                <w:rFonts w:hint="eastAsia" w:ascii="仿宋" w:hAnsi="仿宋" w:eastAsia="仿宋" w:cs="仿宋"/>
                <w:color w:val="auto"/>
                <w:spacing w:val="4"/>
                <w:kern w:val="0"/>
                <w:sz w:val="24"/>
                <w:szCs w:val="24"/>
                <w:highlight w:val="none"/>
              </w:rPr>
              <w:t>、镉（以</w:t>
            </w:r>
            <w:r>
              <w:rPr>
                <w:rFonts w:hint="eastAsia" w:ascii="仿宋" w:hAnsi="仿宋" w:eastAsia="仿宋" w:cs="仿宋"/>
                <w:color w:val="auto"/>
                <w:kern w:val="0"/>
                <w:sz w:val="24"/>
                <w:szCs w:val="24"/>
                <w:highlight w:val="none"/>
              </w:rPr>
              <w:t>Cd</w:t>
            </w:r>
            <w:r>
              <w:rPr>
                <w:rFonts w:hint="eastAsia" w:ascii="仿宋" w:hAnsi="仿宋" w:eastAsia="仿宋" w:cs="仿宋"/>
                <w:color w:val="auto"/>
                <w:spacing w:val="4"/>
                <w:kern w:val="0"/>
                <w:sz w:val="24"/>
                <w:szCs w:val="24"/>
                <w:highlight w:val="none"/>
              </w:rPr>
              <w:t>计）</w:t>
            </w:r>
            <w:r>
              <w:rPr>
                <w:rFonts w:hint="eastAsia" w:ascii="仿宋" w:hAnsi="仿宋" w:eastAsia="仿宋" w:cs="仿宋"/>
                <w:color w:val="auto"/>
                <w:spacing w:val="3"/>
                <w:kern w:val="0"/>
                <w:sz w:val="24"/>
                <w:szCs w:val="24"/>
                <w:highlight w:val="none"/>
              </w:rPr>
              <w:t>黄曲霉毒素B</w:t>
            </w:r>
            <w:r>
              <w:rPr>
                <w:rFonts w:hint="eastAsia" w:ascii="仿宋" w:hAnsi="仿宋" w:eastAsia="仿宋" w:cs="仿宋"/>
                <w:color w:val="auto"/>
                <w:spacing w:val="3"/>
                <w:kern w:val="0"/>
                <w:sz w:val="24"/>
                <w:szCs w:val="24"/>
                <w:highlight w:val="none"/>
                <w:vertAlign w:val="subscript"/>
                <w:lang w:val="en-US" w:eastAsia="zh-CN"/>
              </w:rPr>
              <w:t>1</w:t>
            </w:r>
            <w:r>
              <w:rPr>
                <w:rFonts w:hint="eastAsia" w:ascii="仿宋" w:hAnsi="仿宋" w:eastAsia="仿宋" w:cs="仿宋"/>
                <w:color w:val="auto"/>
                <w:spacing w:val="4"/>
                <w:kern w:val="0"/>
                <w:sz w:val="24"/>
                <w:szCs w:val="24"/>
                <w:highlight w:val="none"/>
                <w:lang w:val="en-US" w:eastAsia="zh-CN"/>
              </w:rPr>
              <w:t>、</w:t>
            </w:r>
            <w:r>
              <w:rPr>
                <w:rFonts w:hint="eastAsia" w:ascii="仿宋" w:hAnsi="仿宋" w:eastAsia="仿宋" w:cs="仿宋"/>
                <w:color w:val="auto"/>
                <w:spacing w:val="4"/>
                <w:kern w:val="0"/>
                <w:sz w:val="24"/>
                <w:szCs w:val="24"/>
                <w:highlight w:val="none"/>
              </w:rPr>
              <w:t>赭曲霉毒素A</w:t>
            </w:r>
          </w:p>
        </w:tc>
        <w:tc>
          <w:tcPr>
            <w:tcW w:w="3395" w:type="dxa"/>
            <w:vAlign w:val="center"/>
          </w:tcPr>
          <w:p w14:paraId="4E575B7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1E5E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10C278B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3F38EA2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3066F18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restart"/>
            <w:vAlign w:val="center"/>
          </w:tcPr>
          <w:p w14:paraId="01373BE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谷物碾磨加工品</w:t>
            </w:r>
          </w:p>
        </w:tc>
        <w:tc>
          <w:tcPr>
            <w:tcW w:w="1733" w:type="dxa"/>
            <w:vAlign w:val="center"/>
          </w:tcPr>
          <w:p w14:paraId="28B8DC2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玉米粉（片、渣）</w:t>
            </w:r>
          </w:p>
        </w:tc>
        <w:tc>
          <w:tcPr>
            <w:tcW w:w="825" w:type="dxa"/>
            <w:vAlign w:val="center"/>
          </w:tcPr>
          <w:p w14:paraId="5C1B76C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11578B64">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3"/>
                <w:kern w:val="0"/>
                <w:sz w:val="24"/>
                <w:szCs w:val="24"/>
                <w:highlight w:val="none"/>
              </w:rPr>
              <w:t>苯并[a]芘、黄曲霉毒素B</w:t>
            </w:r>
            <w:r>
              <w:rPr>
                <w:rFonts w:hint="eastAsia" w:ascii="仿宋" w:hAnsi="仿宋" w:eastAsia="仿宋" w:cs="仿宋"/>
                <w:color w:val="auto"/>
                <w:spacing w:val="3"/>
                <w:kern w:val="0"/>
                <w:sz w:val="24"/>
                <w:szCs w:val="24"/>
                <w:highlight w:val="none"/>
                <w:vertAlign w:val="subscript"/>
                <w:lang w:val="en-US" w:eastAsia="zh-CN"/>
              </w:rPr>
              <w:t>1</w:t>
            </w:r>
            <w:r>
              <w:rPr>
                <w:rFonts w:hint="eastAsia" w:ascii="仿宋" w:hAnsi="仿宋" w:eastAsia="仿宋" w:cs="仿宋"/>
                <w:color w:val="auto"/>
                <w:spacing w:val="3"/>
                <w:kern w:val="0"/>
                <w:sz w:val="24"/>
                <w:szCs w:val="24"/>
                <w:highlight w:val="none"/>
                <w:lang w:eastAsia="zh-CN"/>
              </w:rPr>
              <w:t>、</w:t>
            </w:r>
            <w:r>
              <w:rPr>
                <w:rFonts w:hint="eastAsia" w:ascii="仿宋" w:hAnsi="仿宋" w:eastAsia="仿宋" w:cs="仿宋"/>
                <w:color w:val="auto"/>
                <w:spacing w:val="3"/>
                <w:kern w:val="0"/>
                <w:sz w:val="24"/>
                <w:szCs w:val="24"/>
                <w:highlight w:val="none"/>
              </w:rPr>
              <w:t>赭曲霉毒素A、玉米赤霉烯酮、脱</w:t>
            </w:r>
            <w:r>
              <w:rPr>
                <w:rFonts w:hint="eastAsia" w:ascii="仿宋" w:hAnsi="仿宋" w:eastAsia="仿宋" w:cs="仿宋"/>
                <w:color w:val="auto"/>
                <w:spacing w:val="2"/>
                <w:kern w:val="0"/>
                <w:sz w:val="24"/>
                <w:szCs w:val="24"/>
                <w:highlight w:val="none"/>
              </w:rPr>
              <w:t>氧雪腐镰刀菌烯醇</w:t>
            </w:r>
          </w:p>
        </w:tc>
        <w:tc>
          <w:tcPr>
            <w:tcW w:w="3395" w:type="dxa"/>
            <w:vAlign w:val="center"/>
          </w:tcPr>
          <w:p w14:paraId="75C2136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119F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7F0BE67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15D3D0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69650B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07EF3B7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5FA5606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米粉</w:t>
            </w:r>
          </w:p>
        </w:tc>
        <w:tc>
          <w:tcPr>
            <w:tcW w:w="825" w:type="dxa"/>
            <w:vAlign w:val="center"/>
          </w:tcPr>
          <w:p w14:paraId="6EC9F28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0C3C241C">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铅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以Cd计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、总汞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以Hg计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、无机砷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p>
        </w:tc>
        <w:tc>
          <w:tcPr>
            <w:tcW w:w="3395" w:type="dxa"/>
            <w:vAlign w:val="center"/>
          </w:tcPr>
          <w:p w14:paraId="5896EB8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1D2D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4066E60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D41E77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0D703F4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2D4AC21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0BEB0E0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其他谷物碾磨加工品</w:t>
            </w:r>
          </w:p>
        </w:tc>
        <w:tc>
          <w:tcPr>
            <w:tcW w:w="825" w:type="dxa"/>
            <w:vAlign w:val="center"/>
          </w:tcPr>
          <w:p w14:paraId="599FC54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65A648A8">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、铬</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Cr计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、赭曲霉毒素A</w:t>
            </w:r>
          </w:p>
        </w:tc>
        <w:tc>
          <w:tcPr>
            <w:tcW w:w="3395" w:type="dxa"/>
            <w:vAlign w:val="center"/>
          </w:tcPr>
          <w:p w14:paraId="6E578ED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0FAE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438" w:type="dxa"/>
            <w:vMerge w:val="continue"/>
            <w:vAlign w:val="center"/>
          </w:tcPr>
          <w:p w14:paraId="11BB27B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B3EA75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0A5F2E8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restart"/>
            <w:vAlign w:val="center"/>
          </w:tcPr>
          <w:p w14:paraId="697F367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谷物粉类制成品</w:t>
            </w:r>
          </w:p>
        </w:tc>
        <w:tc>
          <w:tcPr>
            <w:tcW w:w="1733" w:type="dxa"/>
            <w:vAlign w:val="center"/>
          </w:tcPr>
          <w:p w14:paraId="63F7644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生湿面制品</w:t>
            </w:r>
          </w:p>
        </w:tc>
        <w:tc>
          <w:tcPr>
            <w:tcW w:w="825" w:type="dxa"/>
            <w:vAlign w:val="center"/>
          </w:tcPr>
          <w:p w14:paraId="20A32BB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517843ED">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铅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、脱氢乙酸及其钠盐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、二氧化硫残留量、合成着色剂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w:t>
            </w:r>
            <w:r>
              <w:rPr>
                <w:rFonts w:hint="eastAsia" w:ascii="仿宋" w:hAnsi="仿宋" w:eastAsia="仿宋" w:cs="仿宋"/>
                <w:color w:val="auto"/>
                <w:sz w:val="24"/>
                <w:szCs w:val="24"/>
                <w:highlight w:val="none"/>
                <w:lang w:eastAsia="zh-CN"/>
              </w:rPr>
              <w:t>）</w:t>
            </w:r>
          </w:p>
        </w:tc>
        <w:tc>
          <w:tcPr>
            <w:tcW w:w="3395" w:type="dxa"/>
            <w:vAlign w:val="center"/>
          </w:tcPr>
          <w:p w14:paraId="66EF7E87">
            <w:pPr>
              <w:keepNext w:val="0"/>
              <w:keepLines w:val="0"/>
              <w:pageBreakBefore w:val="0"/>
              <w:widowControl w:val="0"/>
              <w:suppressLineNumbers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对羟基苯甲酸酯类及其钠盐</w:t>
            </w:r>
          </w:p>
        </w:tc>
      </w:tr>
      <w:tr w14:paraId="2D5C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438" w:type="dxa"/>
            <w:vMerge w:val="continue"/>
            <w:vAlign w:val="center"/>
          </w:tcPr>
          <w:p w14:paraId="0CC16CE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6B7E80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C9100C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42A8336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367EA37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发酵面制品</w:t>
            </w:r>
          </w:p>
        </w:tc>
        <w:tc>
          <w:tcPr>
            <w:tcW w:w="825" w:type="dxa"/>
            <w:vAlign w:val="center"/>
          </w:tcPr>
          <w:p w14:paraId="6B18111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15CEEE5A">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、糖精钠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以糖精计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、安赛蜜、合成着色剂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柠檬黄、胭脂红</w:t>
            </w:r>
            <w:r>
              <w:rPr>
                <w:rFonts w:hint="eastAsia" w:ascii="仿宋" w:hAnsi="仿宋" w:eastAsia="仿宋" w:cs="仿宋"/>
                <w:color w:val="auto"/>
                <w:sz w:val="24"/>
                <w:szCs w:val="24"/>
                <w:highlight w:val="none"/>
                <w:lang w:eastAsia="zh-CN"/>
              </w:rPr>
              <w:t>）</w:t>
            </w:r>
          </w:p>
        </w:tc>
        <w:tc>
          <w:tcPr>
            <w:tcW w:w="3395" w:type="dxa"/>
            <w:vAlign w:val="center"/>
          </w:tcPr>
          <w:p w14:paraId="3111FF4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菌落总数、大肠菌群</w:t>
            </w:r>
          </w:p>
        </w:tc>
      </w:tr>
      <w:tr w14:paraId="1B1A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4AB979E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5E3EEC5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24341B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1D1490A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079AE98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米粉制品</w:t>
            </w:r>
          </w:p>
        </w:tc>
        <w:tc>
          <w:tcPr>
            <w:tcW w:w="825" w:type="dxa"/>
            <w:vAlign w:val="center"/>
          </w:tcPr>
          <w:p w14:paraId="36B6C75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F9D4095">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、二氧化硫残留量、菌落总数、大肠菌群、甜蜜素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p>
        </w:tc>
        <w:tc>
          <w:tcPr>
            <w:tcW w:w="3395" w:type="dxa"/>
            <w:vAlign w:val="center"/>
          </w:tcPr>
          <w:p w14:paraId="09CDCE8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柠檬黄、日落黄、喹啉黄、亮蓝、靛蓝</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丙酸及其钠盐、钙盐（以丙酸计）</w:t>
            </w:r>
          </w:p>
        </w:tc>
      </w:tr>
      <w:tr w14:paraId="50BDE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7" w:hRule="atLeast"/>
        </w:trPr>
        <w:tc>
          <w:tcPr>
            <w:tcW w:w="438" w:type="dxa"/>
            <w:vMerge w:val="continue"/>
            <w:vAlign w:val="center"/>
          </w:tcPr>
          <w:p w14:paraId="4E98B2C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141FD40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D380FE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3CDBB22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4F4AE29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其他谷物粉类制成品</w:t>
            </w:r>
          </w:p>
        </w:tc>
        <w:tc>
          <w:tcPr>
            <w:tcW w:w="825" w:type="dxa"/>
            <w:vAlign w:val="center"/>
          </w:tcPr>
          <w:p w14:paraId="2086F59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4AEBAAEF">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黄曲霉毒素B</w:t>
            </w:r>
            <w:r>
              <w:rPr>
                <w:rFonts w:hint="eastAsia" w:ascii="仿宋" w:hAnsi="仿宋" w:eastAsia="仿宋" w:cs="仿宋"/>
                <w:color w:val="auto"/>
                <w:sz w:val="24"/>
                <w:szCs w:val="24"/>
                <w:highlight w:val="none"/>
                <w:vertAlign w:val="subscript"/>
              </w:rPr>
              <w:t>1</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、合成着色剂（柠檬黄、日落黄、胭脂红、苋菜红、亮蓝）、菌落总数、大肠菌群</w:t>
            </w:r>
          </w:p>
        </w:tc>
        <w:tc>
          <w:tcPr>
            <w:tcW w:w="3395" w:type="dxa"/>
            <w:vAlign w:val="center"/>
          </w:tcPr>
          <w:p w14:paraId="4D44CB9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丙酸及其钠盐、钙盐（以丙酸计）</w:t>
            </w:r>
          </w:p>
        </w:tc>
      </w:tr>
      <w:tr w14:paraId="723C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438" w:type="dxa"/>
            <w:vMerge w:val="restart"/>
            <w:vAlign w:val="center"/>
          </w:tcPr>
          <w:p w14:paraId="3E5A230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2</w:t>
            </w:r>
          </w:p>
        </w:tc>
        <w:tc>
          <w:tcPr>
            <w:tcW w:w="1064" w:type="dxa"/>
            <w:vMerge w:val="restart"/>
            <w:vAlign w:val="center"/>
          </w:tcPr>
          <w:p w14:paraId="0332605A">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食用油、油脂及其制品</w:t>
            </w:r>
          </w:p>
        </w:tc>
        <w:tc>
          <w:tcPr>
            <w:tcW w:w="1065" w:type="dxa"/>
            <w:vMerge w:val="restart"/>
            <w:vAlign w:val="center"/>
          </w:tcPr>
          <w:p w14:paraId="0ADB522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食用植物油</w:t>
            </w:r>
          </w:p>
        </w:tc>
        <w:tc>
          <w:tcPr>
            <w:tcW w:w="1356" w:type="dxa"/>
            <w:vMerge w:val="restart"/>
            <w:vAlign w:val="center"/>
          </w:tcPr>
          <w:p w14:paraId="40715D0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食用植物油</w:t>
            </w:r>
          </w:p>
        </w:tc>
        <w:tc>
          <w:tcPr>
            <w:tcW w:w="1733" w:type="dxa"/>
            <w:vAlign w:val="center"/>
          </w:tcPr>
          <w:p w14:paraId="1355F66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6"/>
                <w:kern w:val="0"/>
                <w:sz w:val="24"/>
                <w:szCs w:val="24"/>
                <w:highlight w:val="none"/>
              </w:rPr>
              <w:t>花生油</w:t>
            </w:r>
          </w:p>
        </w:tc>
        <w:tc>
          <w:tcPr>
            <w:tcW w:w="825" w:type="dxa"/>
            <w:vAlign w:val="center"/>
          </w:tcPr>
          <w:p w14:paraId="19CC347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高</w:t>
            </w:r>
          </w:p>
        </w:tc>
        <w:tc>
          <w:tcPr>
            <w:tcW w:w="4459" w:type="dxa"/>
            <w:vAlign w:val="center"/>
          </w:tcPr>
          <w:p w14:paraId="157954C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酸值/酸价、过氧化值</w:t>
            </w:r>
            <w:r>
              <w:rPr>
                <w:rFonts w:hint="eastAsia" w:ascii="仿宋" w:hAnsi="仿宋" w:eastAsia="仿宋" w:cs="仿宋"/>
                <w:color w:val="auto"/>
                <w:kern w:val="0"/>
                <w:sz w:val="24"/>
                <w:szCs w:val="24"/>
                <w:highlight w:val="none"/>
              </w:rPr>
              <w:t>、苯并[a]芘</w:t>
            </w:r>
            <w:r>
              <w:rPr>
                <w:rFonts w:hint="eastAsia" w:ascii="仿宋" w:hAnsi="仿宋" w:eastAsia="仿宋" w:cs="仿宋"/>
                <w:color w:val="auto"/>
                <w:spacing w:val="3"/>
                <w:kern w:val="0"/>
                <w:sz w:val="24"/>
                <w:szCs w:val="24"/>
                <w:highlight w:val="none"/>
              </w:rPr>
              <w:t>、黄曲霉毒素B</w:t>
            </w:r>
            <w:r>
              <w:rPr>
                <w:rFonts w:hint="eastAsia" w:ascii="仿宋" w:hAnsi="仿宋" w:eastAsia="仿宋" w:cs="仿宋"/>
                <w:color w:val="auto"/>
                <w:spacing w:val="3"/>
                <w:kern w:val="0"/>
                <w:sz w:val="24"/>
                <w:szCs w:val="24"/>
                <w:highlight w:val="none"/>
                <w:vertAlign w:val="subscript"/>
                <w:lang w:val="en-US" w:eastAsia="zh-CN"/>
              </w:rPr>
              <w:t>1</w:t>
            </w:r>
            <w:r>
              <w:rPr>
                <w:rFonts w:hint="eastAsia" w:ascii="仿宋" w:hAnsi="仿宋" w:eastAsia="仿宋" w:cs="仿宋"/>
                <w:color w:val="auto"/>
                <w:spacing w:val="3"/>
                <w:kern w:val="0"/>
                <w:sz w:val="24"/>
                <w:szCs w:val="24"/>
                <w:highlight w:val="none"/>
              </w:rPr>
              <w:t>、溶剂残</w:t>
            </w:r>
            <w:r>
              <w:rPr>
                <w:rFonts w:hint="eastAsia" w:ascii="仿宋" w:hAnsi="仿宋" w:eastAsia="仿宋" w:cs="仿宋"/>
                <w:color w:val="auto"/>
                <w:spacing w:val="2"/>
                <w:kern w:val="0"/>
                <w:sz w:val="24"/>
                <w:szCs w:val="24"/>
                <w:highlight w:val="none"/>
              </w:rPr>
              <w:t>留量、特丁基对苯二酚</w:t>
            </w:r>
            <w:r>
              <w:rPr>
                <w:rFonts w:hint="eastAsia" w:ascii="仿宋" w:hAnsi="仿宋" w:eastAsia="仿宋" w:cs="仿宋"/>
                <w:color w:val="auto"/>
                <w:spacing w:val="-7"/>
                <w:kern w:val="0"/>
                <w:sz w:val="24"/>
                <w:szCs w:val="24"/>
                <w:highlight w:val="none"/>
                <w:lang w:eastAsia="zh-CN"/>
              </w:rPr>
              <w:t>（</w:t>
            </w:r>
            <w:r>
              <w:rPr>
                <w:rFonts w:hint="eastAsia" w:ascii="仿宋" w:hAnsi="仿宋" w:eastAsia="仿宋" w:cs="仿宋"/>
                <w:color w:val="auto"/>
                <w:spacing w:val="-7"/>
                <w:kern w:val="0"/>
                <w:sz w:val="24"/>
                <w:szCs w:val="24"/>
                <w:highlight w:val="none"/>
              </w:rPr>
              <w:t>TBHQ</w:t>
            </w:r>
            <w:r>
              <w:rPr>
                <w:rFonts w:hint="eastAsia" w:ascii="仿宋" w:hAnsi="仿宋" w:eastAsia="仿宋" w:cs="仿宋"/>
                <w:color w:val="auto"/>
                <w:spacing w:val="-7"/>
                <w:kern w:val="0"/>
                <w:sz w:val="24"/>
                <w:szCs w:val="24"/>
                <w:highlight w:val="none"/>
                <w:lang w:eastAsia="zh-CN"/>
              </w:rPr>
              <w:t>）、</w:t>
            </w: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p>
        </w:tc>
        <w:tc>
          <w:tcPr>
            <w:tcW w:w="3395" w:type="dxa"/>
            <w:vAlign w:val="center"/>
          </w:tcPr>
          <w:p w14:paraId="793D055E">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6B71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438" w:type="dxa"/>
            <w:vMerge w:val="continue"/>
            <w:vAlign w:val="center"/>
          </w:tcPr>
          <w:p w14:paraId="2AF2D9E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D0280D1">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ABA13E7">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kern w:val="2"/>
                <w:sz w:val="24"/>
                <w:szCs w:val="24"/>
                <w:highlight w:val="none"/>
                <w:vertAlign w:val="baseline"/>
                <w:lang w:val="en-US" w:eastAsia="zh-CN" w:bidi="ar-SA"/>
              </w:rPr>
            </w:pPr>
          </w:p>
        </w:tc>
        <w:tc>
          <w:tcPr>
            <w:tcW w:w="1356" w:type="dxa"/>
            <w:vMerge w:val="continue"/>
            <w:vAlign w:val="center"/>
          </w:tcPr>
          <w:p w14:paraId="0C157194">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kern w:val="2"/>
                <w:sz w:val="24"/>
                <w:szCs w:val="24"/>
                <w:highlight w:val="none"/>
                <w:vertAlign w:val="baseline"/>
                <w:lang w:val="en-US" w:eastAsia="zh-CN" w:bidi="ar-SA"/>
              </w:rPr>
            </w:pPr>
          </w:p>
        </w:tc>
        <w:tc>
          <w:tcPr>
            <w:tcW w:w="1733" w:type="dxa"/>
            <w:vAlign w:val="center"/>
          </w:tcPr>
          <w:p w14:paraId="7EC2040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6"/>
                <w:kern w:val="0"/>
                <w:sz w:val="24"/>
                <w:szCs w:val="24"/>
                <w:highlight w:val="none"/>
              </w:rPr>
              <w:t>玉米油</w:t>
            </w:r>
          </w:p>
        </w:tc>
        <w:tc>
          <w:tcPr>
            <w:tcW w:w="825" w:type="dxa"/>
            <w:vAlign w:val="center"/>
          </w:tcPr>
          <w:p w14:paraId="7481EF4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高</w:t>
            </w:r>
          </w:p>
        </w:tc>
        <w:tc>
          <w:tcPr>
            <w:tcW w:w="4459" w:type="dxa"/>
            <w:vAlign w:val="center"/>
          </w:tcPr>
          <w:p w14:paraId="2F039B8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1"/>
                <w:kern w:val="0"/>
                <w:sz w:val="24"/>
                <w:szCs w:val="24"/>
                <w:highlight w:val="none"/>
              </w:rPr>
              <w:t>酸值/酸价、过氧化值、</w:t>
            </w:r>
            <w:r>
              <w:rPr>
                <w:rFonts w:hint="eastAsia" w:ascii="仿宋" w:hAnsi="仿宋" w:eastAsia="仿宋" w:cs="仿宋"/>
                <w:color w:val="auto"/>
                <w:spacing w:val="3"/>
                <w:kern w:val="0"/>
                <w:sz w:val="24"/>
                <w:szCs w:val="24"/>
                <w:highlight w:val="none"/>
              </w:rPr>
              <w:t>黄曲霉毒素B</w:t>
            </w:r>
            <w:r>
              <w:rPr>
                <w:rFonts w:hint="eastAsia" w:ascii="仿宋" w:hAnsi="仿宋" w:eastAsia="仿宋" w:cs="仿宋"/>
                <w:color w:val="auto"/>
                <w:spacing w:val="3"/>
                <w:kern w:val="0"/>
                <w:sz w:val="24"/>
                <w:szCs w:val="24"/>
                <w:highlight w:val="none"/>
                <w:vertAlign w:val="subscript"/>
                <w:lang w:val="en-US" w:eastAsia="zh-CN"/>
              </w:rPr>
              <w:t>1</w:t>
            </w:r>
            <w:r>
              <w:rPr>
                <w:rFonts w:hint="eastAsia" w:ascii="仿宋" w:hAnsi="仿宋" w:eastAsia="仿宋" w:cs="仿宋"/>
                <w:color w:val="auto"/>
                <w:spacing w:val="1"/>
                <w:kern w:val="0"/>
                <w:sz w:val="24"/>
                <w:szCs w:val="24"/>
                <w:highlight w:val="none"/>
              </w:rPr>
              <w:t>、特丁基对苯二酚</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TBHQ</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镉（以Cd计）</w:t>
            </w:r>
          </w:p>
        </w:tc>
        <w:tc>
          <w:tcPr>
            <w:tcW w:w="3395" w:type="dxa"/>
            <w:vAlign w:val="center"/>
          </w:tcPr>
          <w:p w14:paraId="728ED60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5F44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trPr>
        <w:tc>
          <w:tcPr>
            <w:tcW w:w="438" w:type="dxa"/>
            <w:vMerge w:val="continue"/>
            <w:vAlign w:val="center"/>
          </w:tcPr>
          <w:p w14:paraId="15BC14F7">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2D4FEB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5132074">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0FE90F1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79F3145A">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6"/>
                <w:kern w:val="0"/>
                <w:sz w:val="24"/>
                <w:szCs w:val="24"/>
                <w:highlight w:val="none"/>
              </w:rPr>
              <w:t>芝麻油</w:t>
            </w:r>
          </w:p>
        </w:tc>
        <w:tc>
          <w:tcPr>
            <w:tcW w:w="825" w:type="dxa"/>
            <w:vAlign w:val="center"/>
          </w:tcPr>
          <w:p w14:paraId="0C65049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高</w:t>
            </w:r>
          </w:p>
        </w:tc>
        <w:tc>
          <w:tcPr>
            <w:tcW w:w="4459" w:type="dxa"/>
            <w:vAlign w:val="center"/>
          </w:tcPr>
          <w:p w14:paraId="2A49D46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酸值/酸价、过氧化值、苯并[a]芘、溶剂</w:t>
            </w:r>
            <w:r>
              <w:rPr>
                <w:rFonts w:hint="eastAsia" w:ascii="仿宋" w:hAnsi="仿宋" w:eastAsia="仿宋" w:cs="仿宋"/>
                <w:color w:val="auto"/>
                <w:spacing w:val="-1"/>
                <w:kern w:val="0"/>
                <w:sz w:val="24"/>
                <w:szCs w:val="24"/>
                <w:highlight w:val="none"/>
              </w:rPr>
              <w:t>残留量、乙基麦芽酚</w:t>
            </w:r>
          </w:p>
        </w:tc>
        <w:tc>
          <w:tcPr>
            <w:tcW w:w="3395" w:type="dxa"/>
            <w:vAlign w:val="center"/>
          </w:tcPr>
          <w:p w14:paraId="676CFE3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1588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 w:hRule="atLeast"/>
        </w:trPr>
        <w:tc>
          <w:tcPr>
            <w:tcW w:w="438" w:type="dxa"/>
            <w:vMerge w:val="continue"/>
            <w:vAlign w:val="center"/>
          </w:tcPr>
          <w:p w14:paraId="0F2A6E7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6B275EA">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5A76C03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7691295D">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48E4D230">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橄榄油、油橄榄果渣油</w:t>
            </w:r>
          </w:p>
        </w:tc>
        <w:tc>
          <w:tcPr>
            <w:tcW w:w="825" w:type="dxa"/>
            <w:vAlign w:val="center"/>
          </w:tcPr>
          <w:p w14:paraId="46BED05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高</w:t>
            </w:r>
          </w:p>
        </w:tc>
        <w:tc>
          <w:tcPr>
            <w:tcW w:w="4459" w:type="dxa"/>
            <w:vAlign w:val="center"/>
          </w:tcPr>
          <w:p w14:paraId="176E1323">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1"/>
                <w:kern w:val="0"/>
                <w:sz w:val="24"/>
                <w:szCs w:val="24"/>
                <w:highlight w:val="none"/>
              </w:rPr>
              <w:t>酸值/酸价、过氧化值、溶剂残留量、特丁基对苯二酚</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TBHQ</w:t>
            </w:r>
            <w:r>
              <w:rPr>
                <w:rFonts w:hint="eastAsia" w:ascii="仿宋" w:hAnsi="仿宋" w:eastAsia="仿宋" w:cs="仿宋"/>
                <w:color w:val="auto"/>
                <w:spacing w:val="1"/>
                <w:kern w:val="0"/>
                <w:sz w:val="24"/>
                <w:szCs w:val="24"/>
                <w:highlight w:val="none"/>
                <w:lang w:eastAsia="zh-CN"/>
              </w:rPr>
              <w:t>）</w:t>
            </w:r>
          </w:p>
        </w:tc>
        <w:tc>
          <w:tcPr>
            <w:tcW w:w="3395" w:type="dxa"/>
            <w:vAlign w:val="center"/>
          </w:tcPr>
          <w:p w14:paraId="0789CF8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76B9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438" w:type="dxa"/>
            <w:vMerge w:val="continue"/>
            <w:vAlign w:val="center"/>
          </w:tcPr>
          <w:p w14:paraId="7DC97D2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3BD4DDD">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34E1E09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4EB8520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1AEF0A6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6"/>
                <w:kern w:val="0"/>
                <w:sz w:val="24"/>
                <w:szCs w:val="24"/>
                <w:highlight w:val="none"/>
              </w:rPr>
              <w:t>菜籽油</w:t>
            </w:r>
          </w:p>
        </w:tc>
        <w:tc>
          <w:tcPr>
            <w:tcW w:w="825" w:type="dxa"/>
            <w:vAlign w:val="center"/>
          </w:tcPr>
          <w:p w14:paraId="4B2A673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高</w:t>
            </w:r>
          </w:p>
        </w:tc>
        <w:tc>
          <w:tcPr>
            <w:tcW w:w="4459" w:type="dxa"/>
            <w:vAlign w:val="center"/>
          </w:tcPr>
          <w:p w14:paraId="16CEB6C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酸值/酸价、过氧化值、苯并[a]芘、溶剂残留</w:t>
            </w:r>
            <w:r>
              <w:rPr>
                <w:rFonts w:hint="eastAsia" w:ascii="仿宋" w:hAnsi="仿宋" w:eastAsia="仿宋" w:cs="仿宋"/>
                <w:color w:val="auto"/>
                <w:spacing w:val="-1"/>
                <w:kern w:val="0"/>
                <w:sz w:val="24"/>
                <w:szCs w:val="24"/>
                <w:highlight w:val="none"/>
              </w:rPr>
              <w:t>量、</w:t>
            </w:r>
            <w:r>
              <w:rPr>
                <w:rFonts w:hint="eastAsia" w:ascii="仿宋" w:hAnsi="仿宋" w:eastAsia="仿宋" w:cs="仿宋"/>
                <w:color w:val="auto"/>
                <w:spacing w:val="1"/>
                <w:kern w:val="0"/>
                <w:sz w:val="24"/>
                <w:szCs w:val="24"/>
                <w:highlight w:val="none"/>
              </w:rPr>
              <w:t>特丁基对苯二酚</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TBHQ</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乙基麦芽酚、铅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p>
        </w:tc>
        <w:tc>
          <w:tcPr>
            <w:tcW w:w="3395" w:type="dxa"/>
            <w:vAlign w:val="center"/>
          </w:tcPr>
          <w:p w14:paraId="305CA85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6C97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438" w:type="dxa"/>
            <w:vMerge w:val="continue"/>
            <w:vAlign w:val="center"/>
          </w:tcPr>
          <w:p w14:paraId="2BDC57BB">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272E06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37094320">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11E8230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p>
        </w:tc>
        <w:tc>
          <w:tcPr>
            <w:tcW w:w="1733" w:type="dxa"/>
            <w:vAlign w:val="center"/>
          </w:tcPr>
          <w:p w14:paraId="5D04858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6"/>
                <w:kern w:val="0"/>
                <w:sz w:val="24"/>
                <w:szCs w:val="24"/>
                <w:highlight w:val="none"/>
              </w:rPr>
              <w:t>大豆油</w:t>
            </w:r>
          </w:p>
        </w:tc>
        <w:tc>
          <w:tcPr>
            <w:tcW w:w="825" w:type="dxa"/>
            <w:vAlign w:val="center"/>
          </w:tcPr>
          <w:p w14:paraId="5CB4925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高</w:t>
            </w:r>
          </w:p>
        </w:tc>
        <w:tc>
          <w:tcPr>
            <w:tcW w:w="4459" w:type="dxa"/>
            <w:vAlign w:val="center"/>
          </w:tcPr>
          <w:p w14:paraId="3782CCE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1"/>
                <w:kern w:val="0"/>
                <w:sz w:val="24"/>
                <w:szCs w:val="24"/>
                <w:highlight w:val="none"/>
              </w:rPr>
              <w:t>酸值/酸价、过氧化值、苯并[a]芘、溶剂残留量</w:t>
            </w:r>
            <w:r>
              <w:rPr>
                <w:rFonts w:hint="eastAsia" w:ascii="仿宋" w:hAnsi="仿宋" w:eastAsia="仿宋" w:cs="仿宋"/>
                <w:color w:val="auto"/>
                <w:kern w:val="0"/>
                <w:sz w:val="24"/>
                <w:szCs w:val="24"/>
                <w:highlight w:val="none"/>
              </w:rPr>
              <w:t>、</w:t>
            </w:r>
            <w:r>
              <w:rPr>
                <w:rFonts w:hint="eastAsia" w:ascii="仿宋" w:hAnsi="仿宋" w:eastAsia="仿宋" w:cs="仿宋"/>
                <w:color w:val="auto"/>
                <w:spacing w:val="1"/>
                <w:kern w:val="0"/>
                <w:sz w:val="24"/>
                <w:szCs w:val="24"/>
                <w:highlight w:val="none"/>
              </w:rPr>
              <w:t>特丁基对苯二酚</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TBHQ</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镉（以Cd计）</w:t>
            </w:r>
          </w:p>
        </w:tc>
        <w:tc>
          <w:tcPr>
            <w:tcW w:w="3395" w:type="dxa"/>
            <w:vAlign w:val="center"/>
          </w:tcPr>
          <w:p w14:paraId="7754B59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4504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104471B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B8860A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65E34AE">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651EE58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1D78018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2"/>
                <w:kern w:val="0"/>
                <w:sz w:val="24"/>
                <w:szCs w:val="24"/>
                <w:highlight w:val="none"/>
              </w:rPr>
              <w:t>食用植物调</w:t>
            </w:r>
            <w:r>
              <w:rPr>
                <w:rFonts w:hint="eastAsia" w:ascii="仿宋" w:hAnsi="仿宋" w:eastAsia="仿宋" w:cs="仿宋"/>
                <w:color w:val="auto"/>
                <w:spacing w:val="9"/>
                <w:kern w:val="0"/>
                <w:sz w:val="24"/>
                <w:szCs w:val="24"/>
                <w:highlight w:val="none"/>
              </w:rPr>
              <w:t>和油</w:t>
            </w:r>
          </w:p>
        </w:tc>
        <w:tc>
          <w:tcPr>
            <w:tcW w:w="825" w:type="dxa"/>
            <w:vAlign w:val="center"/>
          </w:tcPr>
          <w:p w14:paraId="08E87AF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高</w:t>
            </w:r>
          </w:p>
        </w:tc>
        <w:tc>
          <w:tcPr>
            <w:tcW w:w="4459" w:type="dxa"/>
            <w:vAlign w:val="center"/>
          </w:tcPr>
          <w:p w14:paraId="48AE2D50">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酸价、过氧化值、溶剂残留量、特丁基对苯二酚</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TB</w:t>
            </w:r>
            <w:r>
              <w:rPr>
                <w:rFonts w:hint="eastAsia" w:ascii="仿宋" w:hAnsi="仿宋" w:eastAsia="仿宋" w:cs="仿宋"/>
                <w:color w:val="auto"/>
                <w:spacing w:val="-1"/>
                <w:kern w:val="0"/>
                <w:sz w:val="24"/>
                <w:szCs w:val="24"/>
                <w:highlight w:val="none"/>
              </w:rPr>
              <w:t>HQ</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乙基麦芽酚</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p>
        </w:tc>
        <w:tc>
          <w:tcPr>
            <w:tcW w:w="3395" w:type="dxa"/>
            <w:vAlign w:val="center"/>
          </w:tcPr>
          <w:p w14:paraId="5ACD32C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4700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1FA30EF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2E9D499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32987044">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0D0248C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2AA677A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4"/>
                <w:kern w:val="0"/>
                <w:sz w:val="24"/>
                <w:szCs w:val="24"/>
                <w:highlight w:val="none"/>
              </w:rPr>
              <w:t>油茶籽油</w:t>
            </w:r>
          </w:p>
        </w:tc>
        <w:tc>
          <w:tcPr>
            <w:tcW w:w="825" w:type="dxa"/>
            <w:vAlign w:val="center"/>
          </w:tcPr>
          <w:p w14:paraId="1E66FC43">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509C5A7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rPr>
              <w:t>酸值/酸价、过氧化值、苯并[a]芘、溶剂残留</w:t>
            </w:r>
            <w:r>
              <w:rPr>
                <w:rFonts w:hint="eastAsia" w:ascii="仿宋" w:hAnsi="仿宋" w:eastAsia="仿宋" w:cs="仿宋"/>
                <w:color w:val="auto"/>
                <w:spacing w:val="-1"/>
                <w:kern w:val="0"/>
                <w:sz w:val="24"/>
                <w:szCs w:val="24"/>
                <w:highlight w:val="none"/>
              </w:rPr>
              <w:t>量、</w:t>
            </w:r>
            <w:r>
              <w:rPr>
                <w:rFonts w:hint="eastAsia" w:ascii="仿宋" w:hAnsi="仿宋" w:eastAsia="仿宋" w:cs="仿宋"/>
                <w:color w:val="auto"/>
                <w:spacing w:val="1"/>
                <w:kern w:val="0"/>
                <w:sz w:val="24"/>
                <w:szCs w:val="24"/>
                <w:highlight w:val="none"/>
              </w:rPr>
              <w:t>特丁基对苯二酚</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TBHQ</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p>
        </w:tc>
        <w:tc>
          <w:tcPr>
            <w:tcW w:w="3395" w:type="dxa"/>
            <w:vAlign w:val="center"/>
          </w:tcPr>
          <w:p w14:paraId="4C66A25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w:t>
            </w:r>
          </w:p>
        </w:tc>
      </w:tr>
      <w:tr w14:paraId="60E6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65BD575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706796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073F067">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55E2588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079315E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2"/>
                <w:kern w:val="0"/>
                <w:sz w:val="24"/>
                <w:szCs w:val="24"/>
                <w:highlight w:val="none"/>
              </w:rPr>
              <w:t>其他食用植</w:t>
            </w:r>
            <w:r>
              <w:rPr>
                <w:rFonts w:hint="eastAsia" w:ascii="仿宋" w:hAnsi="仿宋" w:eastAsia="仿宋" w:cs="仿宋"/>
                <w:color w:val="auto"/>
                <w:spacing w:val="9"/>
                <w:kern w:val="0"/>
                <w:sz w:val="24"/>
                <w:szCs w:val="24"/>
                <w:highlight w:val="none"/>
              </w:rPr>
              <w:t>物油</w:t>
            </w:r>
          </w:p>
        </w:tc>
        <w:tc>
          <w:tcPr>
            <w:tcW w:w="825" w:type="dxa"/>
            <w:vAlign w:val="center"/>
          </w:tcPr>
          <w:p w14:paraId="070F301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4098E9E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1"/>
                <w:kern w:val="0"/>
                <w:sz w:val="24"/>
                <w:szCs w:val="24"/>
                <w:highlight w:val="none"/>
              </w:rPr>
              <w:t>酸值/酸价、过氧化值、溶剂残留量、特丁基对苯二酚</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rPr>
              <w:t>TBHQ</w:t>
            </w:r>
            <w:r>
              <w:rPr>
                <w:rFonts w:hint="eastAsia" w:ascii="仿宋" w:hAnsi="仿宋" w:eastAsia="仿宋" w:cs="仿宋"/>
                <w:color w:val="auto"/>
                <w:spacing w:val="1"/>
                <w:kern w:val="0"/>
                <w:sz w:val="24"/>
                <w:szCs w:val="24"/>
                <w:highlight w:val="none"/>
                <w:lang w:eastAsia="zh-CN"/>
              </w:rPr>
              <w:t>）</w:t>
            </w:r>
          </w:p>
        </w:tc>
        <w:tc>
          <w:tcPr>
            <w:tcW w:w="3395" w:type="dxa"/>
            <w:vAlign w:val="center"/>
          </w:tcPr>
          <w:p w14:paraId="3A244A8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i w:val="0"/>
                <w:iCs w:val="0"/>
                <w:color w:val="auto"/>
                <w:sz w:val="24"/>
                <w:szCs w:val="24"/>
                <w:highlight w:val="none"/>
                <w:lang w:eastAsia="zh-CN"/>
              </w:rPr>
              <w:t>总砷</w:t>
            </w:r>
            <w:r>
              <w:rPr>
                <w:rFonts w:hint="eastAsia" w:ascii="仿宋" w:hAnsi="仿宋" w:eastAsia="仿宋" w:cs="仿宋"/>
                <w:i w:val="0"/>
                <w:iCs w:val="0"/>
                <w:color w:val="auto"/>
                <w:sz w:val="24"/>
                <w:szCs w:val="24"/>
                <w:highlight w:val="none"/>
                <w:lang w:val="en" w:eastAsia="zh-CN"/>
              </w:rPr>
              <w:t>（以</w:t>
            </w:r>
            <w:r>
              <w:rPr>
                <w:rFonts w:hint="eastAsia" w:ascii="仿宋" w:hAnsi="仿宋" w:eastAsia="仿宋" w:cs="仿宋"/>
                <w:i w:val="0"/>
                <w:iCs w:val="0"/>
                <w:color w:val="auto"/>
                <w:sz w:val="24"/>
                <w:szCs w:val="24"/>
                <w:highlight w:val="none"/>
                <w:lang w:val="en-US" w:eastAsia="zh-CN"/>
              </w:rPr>
              <w:t>As计</w:t>
            </w:r>
            <w:r>
              <w:rPr>
                <w:rFonts w:hint="eastAsia" w:ascii="仿宋" w:hAnsi="仿宋" w:eastAsia="仿宋" w:cs="仿宋"/>
                <w:i w:val="0"/>
                <w:iCs w:val="0"/>
                <w:color w:val="auto"/>
                <w:sz w:val="24"/>
                <w:szCs w:val="24"/>
                <w:highlight w:val="none"/>
                <w:lang w:val="en" w:eastAsia="zh-CN"/>
              </w:rPr>
              <w:t>）</w:t>
            </w:r>
          </w:p>
        </w:tc>
      </w:tr>
      <w:tr w14:paraId="0B91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6FB2E064">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456858F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Align w:val="center"/>
          </w:tcPr>
          <w:p w14:paraId="1150369A">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食用动物油</w:t>
            </w:r>
            <w:r>
              <w:rPr>
                <w:rFonts w:hint="eastAsia" w:ascii="仿宋" w:hAnsi="仿宋" w:eastAsia="仿宋" w:cs="仿宋"/>
                <w:color w:val="auto"/>
                <w:kern w:val="0"/>
                <w:sz w:val="24"/>
                <w:szCs w:val="24"/>
                <w:highlight w:val="none"/>
              </w:rPr>
              <w:t>脂</w:t>
            </w:r>
          </w:p>
        </w:tc>
        <w:tc>
          <w:tcPr>
            <w:tcW w:w="1356" w:type="dxa"/>
            <w:vAlign w:val="center"/>
          </w:tcPr>
          <w:p w14:paraId="6C24424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食用动物油</w:t>
            </w:r>
            <w:r>
              <w:rPr>
                <w:rFonts w:hint="eastAsia" w:ascii="仿宋" w:hAnsi="仿宋" w:eastAsia="仿宋" w:cs="仿宋"/>
                <w:color w:val="auto"/>
                <w:kern w:val="0"/>
                <w:sz w:val="24"/>
                <w:szCs w:val="24"/>
                <w:highlight w:val="none"/>
              </w:rPr>
              <w:t>脂</w:t>
            </w:r>
          </w:p>
        </w:tc>
        <w:tc>
          <w:tcPr>
            <w:tcW w:w="1733" w:type="dxa"/>
            <w:vAlign w:val="center"/>
          </w:tcPr>
          <w:p w14:paraId="2601BED3">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rPr>
              <w:t>食用动物油</w:t>
            </w:r>
            <w:r>
              <w:rPr>
                <w:rFonts w:hint="eastAsia" w:ascii="仿宋" w:hAnsi="仿宋" w:eastAsia="仿宋" w:cs="仿宋"/>
                <w:color w:val="auto"/>
                <w:kern w:val="0"/>
                <w:sz w:val="24"/>
                <w:szCs w:val="24"/>
                <w:highlight w:val="none"/>
              </w:rPr>
              <w:t>脂</w:t>
            </w:r>
          </w:p>
        </w:tc>
        <w:tc>
          <w:tcPr>
            <w:tcW w:w="825" w:type="dxa"/>
            <w:vAlign w:val="center"/>
          </w:tcPr>
          <w:p w14:paraId="35240A1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2B68CE0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1"/>
                <w:kern w:val="0"/>
                <w:sz w:val="24"/>
                <w:szCs w:val="24"/>
                <w:highlight w:val="none"/>
              </w:rPr>
              <w:t>酸价、过氧化值、丙二醛、</w:t>
            </w: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p>
        </w:tc>
        <w:tc>
          <w:tcPr>
            <w:tcW w:w="3395" w:type="dxa"/>
            <w:vAlign w:val="center"/>
          </w:tcPr>
          <w:p w14:paraId="0FE3444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spacing w:val="-1"/>
                <w:kern w:val="0"/>
                <w:sz w:val="24"/>
                <w:szCs w:val="24"/>
                <w:highlight w:val="none"/>
              </w:rPr>
              <w:t>苯并[a]</w:t>
            </w:r>
            <w:r>
              <w:rPr>
                <w:rFonts w:hint="eastAsia" w:ascii="仿宋" w:hAnsi="仿宋" w:eastAsia="仿宋" w:cs="仿宋"/>
                <w:color w:val="auto"/>
                <w:kern w:val="0"/>
                <w:sz w:val="24"/>
                <w:szCs w:val="24"/>
                <w:highlight w:val="none"/>
              </w:rPr>
              <w:t>芘</w:t>
            </w:r>
            <w:r>
              <w:rPr>
                <w:rFonts w:hint="eastAsia" w:ascii="仿宋" w:hAnsi="仿宋" w:eastAsia="仿宋" w:cs="仿宋"/>
                <w:color w:val="auto"/>
                <w:kern w:val="0"/>
                <w:sz w:val="24"/>
                <w:szCs w:val="24"/>
                <w:highlight w:val="none"/>
                <w:lang w:eastAsia="zh-CN"/>
              </w:rPr>
              <w:t>、</w:t>
            </w:r>
            <w:r>
              <w:rPr>
                <w:rFonts w:hint="eastAsia" w:ascii="仿宋" w:hAnsi="仿宋" w:eastAsia="仿宋" w:cs="仿宋"/>
                <w:i w:val="0"/>
                <w:iCs w:val="0"/>
                <w:color w:val="auto"/>
                <w:sz w:val="24"/>
                <w:szCs w:val="24"/>
                <w:highlight w:val="none"/>
                <w:lang w:eastAsia="zh-CN"/>
              </w:rPr>
              <w:t>总砷</w:t>
            </w:r>
            <w:r>
              <w:rPr>
                <w:rFonts w:hint="eastAsia" w:ascii="仿宋" w:hAnsi="仿宋" w:eastAsia="仿宋" w:cs="仿宋"/>
                <w:i w:val="0"/>
                <w:iCs w:val="0"/>
                <w:color w:val="auto"/>
                <w:sz w:val="24"/>
                <w:szCs w:val="24"/>
                <w:highlight w:val="none"/>
                <w:lang w:val="en" w:eastAsia="zh-CN"/>
              </w:rPr>
              <w:t>（以</w:t>
            </w:r>
            <w:r>
              <w:rPr>
                <w:rFonts w:hint="eastAsia" w:ascii="仿宋" w:hAnsi="仿宋" w:eastAsia="仿宋" w:cs="仿宋"/>
                <w:i w:val="0"/>
                <w:iCs w:val="0"/>
                <w:color w:val="auto"/>
                <w:sz w:val="24"/>
                <w:szCs w:val="24"/>
                <w:highlight w:val="none"/>
                <w:lang w:val="en-US" w:eastAsia="zh-CN"/>
              </w:rPr>
              <w:t>As计</w:t>
            </w:r>
            <w:r>
              <w:rPr>
                <w:rFonts w:hint="eastAsia" w:ascii="仿宋" w:hAnsi="仿宋" w:eastAsia="仿宋" w:cs="仿宋"/>
                <w:i w:val="0"/>
                <w:iCs w:val="0"/>
                <w:color w:val="auto"/>
                <w:sz w:val="24"/>
                <w:szCs w:val="24"/>
                <w:highlight w:val="none"/>
                <w:lang w:val="en" w:eastAsia="zh-CN"/>
              </w:rPr>
              <w:t>）</w:t>
            </w:r>
          </w:p>
        </w:tc>
      </w:tr>
      <w:tr w14:paraId="4621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5DBCD67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D93796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Align w:val="center"/>
          </w:tcPr>
          <w:p w14:paraId="0FC4B52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lang w:eastAsia="zh-CN"/>
              </w:rPr>
              <w:t>食用油脂制品</w:t>
            </w:r>
          </w:p>
        </w:tc>
        <w:tc>
          <w:tcPr>
            <w:tcW w:w="1356" w:type="dxa"/>
            <w:vAlign w:val="center"/>
          </w:tcPr>
          <w:p w14:paraId="748C05F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lang w:eastAsia="zh-CN"/>
              </w:rPr>
              <w:t>食用油脂制品</w:t>
            </w:r>
          </w:p>
        </w:tc>
        <w:tc>
          <w:tcPr>
            <w:tcW w:w="1733" w:type="dxa"/>
            <w:vAlign w:val="center"/>
          </w:tcPr>
          <w:p w14:paraId="00DE44D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3"/>
                <w:kern w:val="0"/>
                <w:sz w:val="24"/>
                <w:szCs w:val="24"/>
                <w:highlight w:val="none"/>
                <w:lang w:eastAsia="zh-CN"/>
              </w:rPr>
              <w:t>食用油脂制品</w:t>
            </w:r>
          </w:p>
        </w:tc>
        <w:tc>
          <w:tcPr>
            <w:tcW w:w="825" w:type="dxa"/>
            <w:vAlign w:val="center"/>
          </w:tcPr>
          <w:p w14:paraId="0D7D5B4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lang w:eastAsia="zh-CN"/>
              </w:rPr>
              <w:t>较</w:t>
            </w:r>
            <w:r>
              <w:rPr>
                <w:rFonts w:hint="eastAsia" w:ascii="仿宋" w:hAnsi="仿宋" w:eastAsia="仿宋" w:cs="仿宋"/>
                <w:color w:val="auto"/>
                <w:kern w:val="0"/>
                <w:sz w:val="24"/>
                <w:szCs w:val="24"/>
                <w:highlight w:val="none"/>
              </w:rPr>
              <w:t>高</w:t>
            </w:r>
          </w:p>
        </w:tc>
        <w:tc>
          <w:tcPr>
            <w:tcW w:w="4459" w:type="dxa"/>
            <w:vAlign w:val="center"/>
          </w:tcPr>
          <w:p w14:paraId="1F698036">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1"/>
                <w:kern w:val="0"/>
                <w:sz w:val="24"/>
                <w:szCs w:val="24"/>
                <w:highlight w:val="none"/>
              </w:rPr>
              <w:t>酸价</w:t>
            </w:r>
            <w:r>
              <w:rPr>
                <w:rFonts w:hint="eastAsia" w:ascii="仿宋" w:hAnsi="仿宋" w:eastAsia="仿宋" w:cs="仿宋"/>
                <w:color w:val="auto"/>
                <w:spacing w:val="1"/>
                <w:kern w:val="0"/>
                <w:sz w:val="24"/>
                <w:szCs w:val="24"/>
                <w:highlight w:val="none"/>
                <w:lang w:eastAsia="zh-CN"/>
              </w:rPr>
              <w:t>（以脂肪计）</w:t>
            </w:r>
            <w:r>
              <w:rPr>
                <w:rFonts w:hint="eastAsia" w:ascii="仿宋" w:hAnsi="仿宋" w:eastAsia="仿宋" w:cs="仿宋"/>
                <w:color w:val="auto"/>
                <w:spacing w:val="1"/>
                <w:kern w:val="0"/>
                <w:sz w:val="24"/>
                <w:szCs w:val="24"/>
                <w:highlight w:val="none"/>
              </w:rPr>
              <w:t>、过氧化值</w:t>
            </w:r>
            <w:r>
              <w:rPr>
                <w:rFonts w:hint="eastAsia" w:ascii="仿宋" w:hAnsi="仿宋" w:eastAsia="仿宋" w:cs="仿宋"/>
                <w:color w:val="auto"/>
                <w:spacing w:val="1"/>
                <w:kern w:val="0"/>
                <w:sz w:val="24"/>
                <w:szCs w:val="24"/>
                <w:highlight w:val="none"/>
                <w:lang w:eastAsia="zh-CN"/>
              </w:rPr>
              <w:t>（以脂肪计）</w:t>
            </w:r>
            <w:r>
              <w:rPr>
                <w:rFonts w:hint="eastAsia" w:ascii="仿宋" w:hAnsi="仿宋" w:eastAsia="仿宋" w:cs="仿宋"/>
                <w:color w:val="auto"/>
                <w:spacing w:val="1"/>
                <w:kern w:val="0"/>
                <w:sz w:val="24"/>
                <w:szCs w:val="24"/>
                <w:highlight w:val="none"/>
              </w:rPr>
              <w:t>、</w:t>
            </w:r>
            <w:r>
              <w:rPr>
                <w:rFonts w:hint="eastAsia" w:ascii="仿宋" w:hAnsi="仿宋" w:eastAsia="仿宋" w:cs="仿宋"/>
                <w:color w:val="auto"/>
                <w:spacing w:val="1"/>
                <w:kern w:val="0"/>
                <w:sz w:val="24"/>
                <w:szCs w:val="24"/>
                <w:highlight w:val="none"/>
                <w:lang w:eastAsia="zh-CN"/>
              </w:rPr>
              <w:t>大肠菌群、霉菌</w:t>
            </w:r>
          </w:p>
        </w:tc>
        <w:tc>
          <w:tcPr>
            <w:tcW w:w="3395" w:type="dxa"/>
            <w:vAlign w:val="center"/>
          </w:tcPr>
          <w:p w14:paraId="0F11FAC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eastAsia="zh-CN"/>
              </w:rPr>
              <w:t>铅</w:t>
            </w:r>
            <w:r>
              <w:rPr>
                <w:rFonts w:hint="eastAsia" w:ascii="仿宋" w:hAnsi="仿宋" w:eastAsia="仿宋" w:cs="仿宋"/>
                <w:color w:val="auto"/>
                <w:kern w:val="0"/>
                <w:sz w:val="24"/>
                <w:szCs w:val="24"/>
                <w:highlight w:val="none"/>
                <w:lang w:val="en" w:eastAsia="zh-CN"/>
              </w:rPr>
              <w:t>（以</w:t>
            </w:r>
            <w:r>
              <w:rPr>
                <w:rFonts w:hint="eastAsia" w:ascii="仿宋" w:hAnsi="仿宋" w:eastAsia="仿宋" w:cs="仿宋"/>
                <w:color w:val="auto"/>
                <w:kern w:val="0"/>
                <w:sz w:val="24"/>
                <w:szCs w:val="24"/>
                <w:highlight w:val="none"/>
                <w:lang w:val="en-US" w:eastAsia="zh-CN"/>
              </w:rPr>
              <w:t>Pb计</w:t>
            </w:r>
            <w:r>
              <w:rPr>
                <w:rFonts w:hint="eastAsia" w:ascii="仿宋" w:hAnsi="仿宋" w:eastAsia="仿宋" w:cs="仿宋"/>
                <w:color w:val="auto"/>
                <w:kern w:val="0"/>
                <w:sz w:val="24"/>
                <w:szCs w:val="24"/>
                <w:highlight w:val="none"/>
                <w:lang w:val="en" w:eastAsia="zh-CN"/>
              </w:rPr>
              <w:t>）、</w:t>
            </w:r>
            <w:r>
              <w:rPr>
                <w:rFonts w:hint="eastAsia" w:ascii="仿宋" w:hAnsi="仿宋" w:eastAsia="仿宋" w:cs="仿宋"/>
                <w:color w:val="auto"/>
                <w:kern w:val="0"/>
                <w:sz w:val="24"/>
                <w:szCs w:val="24"/>
                <w:highlight w:val="none"/>
                <w:lang w:eastAsia="zh-CN"/>
              </w:rPr>
              <w:t>总砷</w:t>
            </w:r>
            <w:r>
              <w:rPr>
                <w:rFonts w:hint="eastAsia" w:ascii="仿宋" w:hAnsi="仿宋" w:eastAsia="仿宋" w:cs="仿宋"/>
                <w:color w:val="auto"/>
                <w:kern w:val="0"/>
                <w:sz w:val="24"/>
                <w:szCs w:val="24"/>
                <w:highlight w:val="none"/>
                <w:lang w:val="en" w:eastAsia="zh-CN"/>
              </w:rPr>
              <w:t>（以</w:t>
            </w:r>
            <w:r>
              <w:rPr>
                <w:rFonts w:hint="eastAsia" w:ascii="仿宋" w:hAnsi="仿宋" w:eastAsia="仿宋" w:cs="仿宋"/>
                <w:color w:val="auto"/>
                <w:kern w:val="0"/>
                <w:sz w:val="24"/>
                <w:szCs w:val="24"/>
                <w:highlight w:val="none"/>
                <w:lang w:val="en-US" w:eastAsia="zh-CN"/>
              </w:rPr>
              <w:t>As计</w:t>
            </w:r>
            <w:r>
              <w:rPr>
                <w:rFonts w:hint="eastAsia" w:ascii="仿宋" w:hAnsi="仿宋" w:eastAsia="仿宋" w:cs="仿宋"/>
                <w:color w:val="auto"/>
                <w:kern w:val="0"/>
                <w:sz w:val="24"/>
                <w:szCs w:val="24"/>
                <w:highlight w:val="none"/>
                <w:lang w:val="en" w:eastAsia="zh-CN"/>
              </w:rPr>
              <w:t>）</w:t>
            </w:r>
          </w:p>
        </w:tc>
      </w:tr>
      <w:tr w14:paraId="430DD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restart"/>
            <w:vAlign w:val="center"/>
          </w:tcPr>
          <w:p w14:paraId="43DD622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3</w:t>
            </w:r>
          </w:p>
        </w:tc>
        <w:tc>
          <w:tcPr>
            <w:tcW w:w="1064" w:type="dxa"/>
            <w:vMerge w:val="restart"/>
            <w:vAlign w:val="center"/>
          </w:tcPr>
          <w:p w14:paraId="0D92764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kern w:val="0"/>
                <w:sz w:val="24"/>
                <w:szCs w:val="24"/>
                <w:highlight w:val="none"/>
                <w:lang w:val="en-US" w:eastAsia="zh-CN"/>
              </w:rPr>
              <w:t>调味品</w:t>
            </w:r>
          </w:p>
        </w:tc>
        <w:tc>
          <w:tcPr>
            <w:tcW w:w="1065" w:type="dxa"/>
            <w:vAlign w:val="center"/>
          </w:tcPr>
          <w:p w14:paraId="6D6A561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酱油</w:t>
            </w:r>
          </w:p>
        </w:tc>
        <w:tc>
          <w:tcPr>
            <w:tcW w:w="1356" w:type="dxa"/>
            <w:vAlign w:val="center"/>
          </w:tcPr>
          <w:p w14:paraId="0424220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酱油</w:t>
            </w:r>
          </w:p>
        </w:tc>
        <w:tc>
          <w:tcPr>
            <w:tcW w:w="1733" w:type="dxa"/>
            <w:vAlign w:val="center"/>
          </w:tcPr>
          <w:p w14:paraId="1C408152">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酱油</w:t>
            </w:r>
          </w:p>
        </w:tc>
        <w:tc>
          <w:tcPr>
            <w:tcW w:w="825" w:type="dxa"/>
            <w:vAlign w:val="center"/>
          </w:tcPr>
          <w:p w14:paraId="61F4555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5A93A254">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氨基酸态氮、全氮（以氮计）、铵盐（以占氨基酸态氮的百分比计）、苯甲酸及其钠盐（以苯甲酸计）、山梨酸及其钾盐（以山梨酸计）、脱氢乙酸及其钠盐（以脱氢乙酸计）、对羟基苯甲酸酯类及其钠盐（以对羟基苯甲酸计）、防腐剂混合使用时各自用量占其最大使用量的比例之和</w:t>
            </w:r>
          </w:p>
        </w:tc>
        <w:tc>
          <w:tcPr>
            <w:tcW w:w="3395" w:type="dxa"/>
            <w:vAlign w:val="center"/>
          </w:tcPr>
          <w:p w14:paraId="27057DA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糖精钠（以糖精计）、三氯蔗糖、甜蜜素（以环己基氨基磺酸计）、菌落总数、大肠菌群</w:t>
            </w:r>
          </w:p>
        </w:tc>
      </w:tr>
      <w:tr w14:paraId="03808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 w:hRule="atLeast"/>
        </w:trPr>
        <w:tc>
          <w:tcPr>
            <w:tcW w:w="438" w:type="dxa"/>
            <w:vMerge w:val="continue"/>
            <w:vAlign w:val="center"/>
          </w:tcPr>
          <w:p w14:paraId="4E26015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DFE4B1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Align w:val="center"/>
          </w:tcPr>
          <w:p w14:paraId="3AD95CC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食醋</w:t>
            </w:r>
          </w:p>
        </w:tc>
        <w:tc>
          <w:tcPr>
            <w:tcW w:w="1356" w:type="dxa"/>
            <w:vAlign w:val="center"/>
          </w:tcPr>
          <w:p w14:paraId="64B162BD">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食醋</w:t>
            </w:r>
          </w:p>
        </w:tc>
        <w:tc>
          <w:tcPr>
            <w:tcW w:w="1733" w:type="dxa"/>
            <w:vAlign w:val="center"/>
          </w:tcPr>
          <w:p w14:paraId="4C9A3352">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食醋</w:t>
            </w:r>
          </w:p>
        </w:tc>
        <w:tc>
          <w:tcPr>
            <w:tcW w:w="825" w:type="dxa"/>
            <w:vAlign w:val="center"/>
          </w:tcPr>
          <w:p w14:paraId="059A80EF">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27AC7944">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总酸（以乙酸计）、不挥发酸（以乳酸计）、苯甲酸及其钠盐（以苯甲酸计）、山梨酸及其钾盐（以山梨酸计）、脱氢乙酸及其钠盐（以脱氢乙酸计）、防腐剂混合使用时各自用量占其最大使用量的比例之和、菌落总数</w:t>
            </w:r>
          </w:p>
        </w:tc>
        <w:tc>
          <w:tcPr>
            <w:tcW w:w="3395" w:type="dxa"/>
            <w:vAlign w:val="center"/>
          </w:tcPr>
          <w:p w14:paraId="167D387E">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对羟基苯甲酸酯类及其钠盐（以对羟基苯甲酸计）、糖精钠（以糖精计）、三氯蔗糖、甜蜜素（以环己基氨基磺酸计）</w:t>
            </w:r>
          </w:p>
        </w:tc>
      </w:tr>
      <w:tr w14:paraId="5105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66402A4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4945C4CD">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Align w:val="center"/>
          </w:tcPr>
          <w:p w14:paraId="5538A5D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酱类</w:t>
            </w:r>
          </w:p>
        </w:tc>
        <w:tc>
          <w:tcPr>
            <w:tcW w:w="1356" w:type="dxa"/>
            <w:vAlign w:val="center"/>
          </w:tcPr>
          <w:p w14:paraId="6C171FCB">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酱类</w:t>
            </w:r>
          </w:p>
        </w:tc>
        <w:tc>
          <w:tcPr>
            <w:tcW w:w="1733" w:type="dxa"/>
            <w:vAlign w:val="center"/>
          </w:tcPr>
          <w:p w14:paraId="277FBC53">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黄豆酱、甜面酱等</w:t>
            </w:r>
          </w:p>
        </w:tc>
        <w:tc>
          <w:tcPr>
            <w:tcW w:w="825" w:type="dxa"/>
            <w:vAlign w:val="center"/>
          </w:tcPr>
          <w:p w14:paraId="297C943A">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3AD7D667">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氨基酸态氮、</w:t>
            </w:r>
            <w:r>
              <w:rPr>
                <w:rFonts w:hint="eastAsia" w:ascii="仿宋" w:hAnsi="仿宋" w:eastAsia="仿宋" w:cs="仿宋"/>
                <w:color w:val="auto"/>
                <w:spacing w:val="3"/>
                <w:kern w:val="0"/>
                <w:sz w:val="24"/>
                <w:szCs w:val="24"/>
                <w:highlight w:val="none"/>
              </w:rPr>
              <w:t>黄曲霉毒素B</w:t>
            </w:r>
            <w:r>
              <w:rPr>
                <w:rFonts w:hint="eastAsia" w:ascii="仿宋" w:hAnsi="仿宋" w:eastAsia="仿宋" w:cs="仿宋"/>
                <w:color w:val="auto"/>
                <w:spacing w:val="3"/>
                <w:kern w:val="0"/>
                <w:sz w:val="24"/>
                <w:szCs w:val="24"/>
                <w:highlight w:val="none"/>
                <w:vertAlign w:val="subscript"/>
                <w:lang w:val="en-US" w:eastAsia="zh-CN"/>
              </w:rPr>
              <w:t>1</w:t>
            </w:r>
            <w:r>
              <w:rPr>
                <w:rFonts w:hint="eastAsia" w:ascii="仿宋" w:hAnsi="仿宋" w:eastAsia="仿宋" w:cs="仿宋"/>
                <w:color w:val="auto"/>
                <w:kern w:val="0"/>
                <w:sz w:val="24"/>
                <w:szCs w:val="24"/>
                <w:highlight w:val="none"/>
              </w:rPr>
              <w:t>、苯甲酸及其钠盐（以苯甲酸计）、山梨酸及其钾盐（以山梨酸计）、脱氢乙酸及其钠盐（以脱氢乙酸计）、防腐剂混合使用时各自用量占其最大使用量的比例之和</w:t>
            </w:r>
          </w:p>
        </w:tc>
        <w:tc>
          <w:tcPr>
            <w:tcW w:w="3395" w:type="dxa"/>
            <w:vAlign w:val="center"/>
          </w:tcPr>
          <w:p w14:paraId="277AB216">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糖精钠（以糖精计）、三氯蔗糖、甜蜜素（以环己基氨基磺酸计）、安赛蜜、大肠菌群</w:t>
            </w:r>
          </w:p>
        </w:tc>
      </w:tr>
      <w:tr w14:paraId="1F001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310DBDA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2A0A46D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Align w:val="center"/>
          </w:tcPr>
          <w:p w14:paraId="3F9B2F3D">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调味料酒</w:t>
            </w:r>
          </w:p>
        </w:tc>
        <w:tc>
          <w:tcPr>
            <w:tcW w:w="1356" w:type="dxa"/>
            <w:vAlign w:val="center"/>
          </w:tcPr>
          <w:p w14:paraId="54FA7447">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调味料酒</w:t>
            </w:r>
          </w:p>
        </w:tc>
        <w:tc>
          <w:tcPr>
            <w:tcW w:w="1733" w:type="dxa"/>
            <w:vAlign w:val="center"/>
          </w:tcPr>
          <w:p w14:paraId="553D9B74">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料酒</w:t>
            </w:r>
          </w:p>
        </w:tc>
        <w:tc>
          <w:tcPr>
            <w:tcW w:w="825" w:type="dxa"/>
            <w:vAlign w:val="center"/>
          </w:tcPr>
          <w:p w14:paraId="1268B430">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57D756C7">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氨基酸态氮（以氮计）、苯甲酸及其钠盐（以苯甲酸计）、山梨酸及其钾盐（以山梨酸计）、脱氢乙酸及其钠盐（以脱氢乙酸计）、甜蜜素（以环己基氨基磺酸计）、三氯蔗糖</w:t>
            </w:r>
          </w:p>
        </w:tc>
        <w:tc>
          <w:tcPr>
            <w:tcW w:w="3395" w:type="dxa"/>
            <w:vAlign w:val="center"/>
          </w:tcPr>
          <w:p w14:paraId="5846027F">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047F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6728259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71391DC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restart"/>
            <w:vAlign w:val="center"/>
          </w:tcPr>
          <w:p w14:paraId="460D1F8A">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香辛料类</w:t>
            </w:r>
          </w:p>
        </w:tc>
        <w:tc>
          <w:tcPr>
            <w:tcW w:w="1356" w:type="dxa"/>
            <w:vMerge w:val="restart"/>
            <w:vAlign w:val="center"/>
          </w:tcPr>
          <w:p w14:paraId="1268472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香辛料类</w:t>
            </w:r>
          </w:p>
        </w:tc>
        <w:tc>
          <w:tcPr>
            <w:tcW w:w="1733" w:type="dxa"/>
            <w:vAlign w:val="center"/>
          </w:tcPr>
          <w:p w14:paraId="39C48291">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香辛料调味油</w:t>
            </w:r>
          </w:p>
        </w:tc>
        <w:tc>
          <w:tcPr>
            <w:tcW w:w="825" w:type="dxa"/>
            <w:vAlign w:val="center"/>
          </w:tcPr>
          <w:p w14:paraId="5369A933">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141F317B">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酸价/酸值、过氧化值、铅（以Pb计）</w:t>
            </w:r>
          </w:p>
        </w:tc>
        <w:tc>
          <w:tcPr>
            <w:tcW w:w="3395" w:type="dxa"/>
            <w:vAlign w:val="center"/>
          </w:tcPr>
          <w:p w14:paraId="497F9FC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2165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3247E378">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50FD788">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AAC1CA3">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004811A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353752FD">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辣椒、花椒、辣椒粉、花椒粉</w:t>
            </w:r>
          </w:p>
        </w:tc>
        <w:tc>
          <w:tcPr>
            <w:tcW w:w="825" w:type="dxa"/>
            <w:vAlign w:val="center"/>
          </w:tcPr>
          <w:p w14:paraId="7C76C2CB">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较高</w:t>
            </w:r>
          </w:p>
        </w:tc>
        <w:tc>
          <w:tcPr>
            <w:tcW w:w="4459" w:type="dxa"/>
            <w:vAlign w:val="center"/>
          </w:tcPr>
          <w:p w14:paraId="3985CED1">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铅（以Pb计）、罗丹明B、苏丹红I、苏丹红II、苏丹红III、苏丹红IV、山梨酸及其钾盐（以山梨酸计）、二氧化硫残留量、合成着色剂（柠檬黄、日落黄、胭脂红）</w:t>
            </w:r>
          </w:p>
        </w:tc>
        <w:tc>
          <w:tcPr>
            <w:tcW w:w="3395" w:type="dxa"/>
            <w:vAlign w:val="center"/>
          </w:tcPr>
          <w:p w14:paraId="6543B98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脱氢乙酸及其钠盐（以脱氢乙酸计）、沙门氏菌</w:t>
            </w:r>
          </w:p>
        </w:tc>
      </w:tr>
      <w:tr w14:paraId="4ADF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2E513381">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4E33A0D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56A9B39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4CF33186">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1C5560C9">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其他香辛料调味品</w:t>
            </w:r>
          </w:p>
        </w:tc>
        <w:tc>
          <w:tcPr>
            <w:tcW w:w="825" w:type="dxa"/>
            <w:vAlign w:val="center"/>
          </w:tcPr>
          <w:p w14:paraId="4EA6FA13">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较高</w:t>
            </w:r>
          </w:p>
        </w:tc>
        <w:tc>
          <w:tcPr>
            <w:tcW w:w="4459" w:type="dxa"/>
            <w:vAlign w:val="center"/>
          </w:tcPr>
          <w:p w14:paraId="224C68D1">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铅（以Pb计）、氯氰菊酯和高效氯氰菊酯、二氧化硫残留量、合成着色剂（柠檬黄、日落黄、苋菜红、胭脂红、亮蓝）、多菌灵、克百威</w:t>
            </w:r>
          </w:p>
        </w:tc>
        <w:tc>
          <w:tcPr>
            <w:tcW w:w="3395" w:type="dxa"/>
            <w:vAlign w:val="center"/>
          </w:tcPr>
          <w:p w14:paraId="4BBE773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丙溴磷、甜蜜素（以环己基氨基磺酸计）、脱氢乙酸及其钠盐（以脱氢乙酸计）、毒死蜱、沙门氏菌</w:t>
            </w:r>
          </w:p>
        </w:tc>
      </w:tr>
      <w:tr w14:paraId="1F57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438" w:type="dxa"/>
            <w:vMerge w:val="continue"/>
            <w:vAlign w:val="center"/>
          </w:tcPr>
          <w:p w14:paraId="0EC696E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2801764B">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restart"/>
            <w:vAlign w:val="center"/>
          </w:tcPr>
          <w:p w14:paraId="36779E46">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调味料</w:t>
            </w:r>
          </w:p>
        </w:tc>
        <w:tc>
          <w:tcPr>
            <w:tcW w:w="1356" w:type="dxa"/>
            <w:vMerge w:val="restart"/>
            <w:vAlign w:val="center"/>
          </w:tcPr>
          <w:p w14:paraId="08249EA6">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固体复合调味料</w:t>
            </w:r>
          </w:p>
        </w:tc>
        <w:tc>
          <w:tcPr>
            <w:tcW w:w="1733" w:type="dxa"/>
            <w:vAlign w:val="center"/>
          </w:tcPr>
          <w:p w14:paraId="09CC6EE2">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鸡粉、鸡精调味料</w:t>
            </w:r>
          </w:p>
        </w:tc>
        <w:tc>
          <w:tcPr>
            <w:tcW w:w="825" w:type="dxa"/>
            <w:vAlign w:val="center"/>
          </w:tcPr>
          <w:p w14:paraId="5AAECD3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62E49071">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谷氨酸钠、呈味核苷酸二钠、铅（以Pb计）、糖精钠（以糖精计）、甜蜜素（以环己基氨基磺酸计）、总氮（以N计）</w:t>
            </w:r>
          </w:p>
        </w:tc>
        <w:tc>
          <w:tcPr>
            <w:tcW w:w="3395" w:type="dxa"/>
            <w:vAlign w:val="center"/>
          </w:tcPr>
          <w:p w14:paraId="2B21448E">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安赛蜜、菌落总数、大肠菌群</w:t>
            </w:r>
          </w:p>
        </w:tc>
      </w:tr>
      <w:tr w14:paraId="38D51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4" w:hRule="atLeast"/>
        </w:trPr>
        <w:tc>
          <w:tcPr>
            <w:tcW w:w="438" w:type="dxa"/>
            <w:vMerge w:val="continue"/>
            <w:vAlign w:val="center"/>
          </w:tcPr>
          <w:p w14:paraId="0F5F111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4AB7AF5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A1F0F6E">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37E8EB10">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59B77190">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其他固体调味料</w:t>
            </w:r>
          </w:p>
        </w:tc>
        <w:tc>
          <w:tcPr>
            <w:tcW w:w="825" w:type="dxa"/>
            <w:vAlign w:val="center"/>
          </w:tcPr>
          <w:p w14:paraId="7C3B256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5C9E9388">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铅（以Pb计）、苏丹红I、苏丹红II、苏丹红III、苏丹红IV、罂粟碱、糖精钠（以糖精计）、甜蜜素（以环己基氨基磺酸计）、二氧化硫残留量</w:t>
            </w:r>
          </w:p>
        </w:tc>
        <w:tc>
          <w:tcPr>
            <w:tcW w:w="3395" w:type="dxa"/>
            <w:vAlign w:val="center"/>
          </w:tcPr>
          <w:p w14:paraId="4EC5B944">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吗啡、可待因、那可丁、苯甲酸及其钠盐（以苯甲酸计）、山梨酸及其钾盐（以山梨酸计）、脱氢乙酸及其钠盐（以脱氢乙酸计）、防腐剂混合使用时各自用量占其最大使用量的比例之和、安赛蜜、阿斯巴甜</w:t>
            </w:r>
          </w:p>
        </w:tc>
      </w:tr>
      <w:tr w14:paraId="1E0F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 w:hRule="atLeast"/>
        </w:trPr>
        <w:tc>
          <w:tcPr>
            <w:tcW w:w="438" w:type="dxa"/>
            <w:vMerge w:val="continue"/>
            <w:vAlign w:val="center"/>
          </w:tcPr>
          <w:p w14:paraId="6EBEB797">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3A3C33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42ECF326">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restart"/>
            <w:vAlign w:val="center"/>
          </w:tcPr>
          <w:p w14:paraId="7BF5819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半固体复合调味料</w:t>
            </w:r>
          </w:p>
        </w:tc>
        <w:tc>
          <w:tcPr>
            <w:tcW w:w="1733" w:type="dxa"/>
            <w:vAlign w:val="center"/>
          </w:tcPr>
          <w:p w14:paraId="3C3E70F2">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蛋黄酱、沙拉酱</w:t>
            </w:r>
          </w:p>
        </w:tc>
        <w:tc>
          <w:tcPr>
            <w:tcW w:w="825" w:type="dxa"/>
            <w:vAlign w:val="center"/>
          </w:tcPr>
          <w:p w14:paraId="3C0BBFC5">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35202948">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二氧化钛、合成着色剂（柠檬黄、日落黄）</w:t>
            </w:r>
          </w:p>
        </w:tc>
        <w:tc>
          <w:tcPr>
            <w:tcW w:w="3395" w:type="dxa"/>
            <w:vAlign w:val="center"/>
          </w:tcPr>
          <w:p w14:paraId="4A6C668D">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7DC69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0EF8A47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4CE4718">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5FABC76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3282E51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4308CFC8">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坚果与籽类的泥（酱）</w:t>
            </w:r>
          </w:p>
        </w:tc>
        <w:tc>
          <w:tcPr>
            <w:tcW w:w="825" w:type="dxa"/>
            <w:vAlign w:val="center"/>
          </w:tcPr>
          <w:p w14:paraId="6FF228A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453C88A4">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酸价/酸值、过氧化值、铅（以Pb计）、黄曲霉毒素B</w:t>
            </w:r>
            <w:r>
              <w:rPr>
                <w:rFonts w:hint="eastAsia" w:ascii="仿宋" w:hAnsi="仿宋" w:eastAsia="仿宋" w:cs="仿宋"/>
                <w:color w:val="auto"/>
                <w:kern w:val="0"/>
                <w:sz w:val="24"/>
                <w:szCs w:val="24"/>
                <w:highlight w:val="none"/>
                <w:vertAlign w:val="subscript"/>
              </w:rPr>
              <w:t>1</w:t>
            </w:r>
          </w:p>
        </w:tc>
        <w:tc>
          <w:tcPr>
            <w:tcW w:w="3395" w:type="dxa"/>
            <w:vAlign w:val="center"/>
          </w:tcPr>
          <w:p w14:paraId="087CDA6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6712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0B5B524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196ECE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558DC2B3">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459E79F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70C2A788">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辣椒酱</w:t>
            </w:r>
          </w:p>
        </w:tc>
        <w:tc>
          <w:tcPr>
            <w:tcW w:w="825" w:type="dxa"/>
            <w:vAlign w:val="center"/>
          </w:tcPr>
          <w:p w14:paraId="529A836B">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38D72CD2">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苯甲酸及其钠盐（以苯甲酸计）、山梨酸及其钾盐（以山梨酸计）、脱氢乙酸及其钠盐（以脱氢乙酸计）、防腐剂混合使用时各自用量占其最大使用量的比例之和、甜蜜素（以环己基氨基磺酸计）、二氧化硫残留量</w:t>
            </w:r>
          </w:p>
        </w:tc>
        <w:tc>
          <w:tcPr>
            <w:tcW w:w="3395" w:type="dxa"/>
            <w:vAlign w:val="center"/>
          </w:tcPr>
          <w:p w14:paraId="6ADB8647">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5A3F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280EE5DE">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5394A0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67F415F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59C4F0B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7DEF4155">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火锅底料、麻辣烫底料</w:t>
            </w:r>
          </w:p>
        </w:tc>
        <w:tc>
          <w:tcPr>
            <w:tcW w:w="825" w:type="dxa"/>
            <w:vAlign w:val="center"/>
          </w:tcPr>
          <w:p w14:paraId="4918ECD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268F9936">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罂粟碱、吗啡、可待因、那可丁、苏丹红I、苏丹红II、苏丹红III、苏丹红IV、苯甲酸及其钠盐（以苯甲酸计）、山梨酸及其钾盐（以山梨酸计）、防腐剂混合使用时各自用量占其最大使用量的比例之和</w:t>
            </w:r>
          </w:p>
        </w:tc>
        <w:tc>
          <w:tcPr>
            <w:tcW w:w="3395" w:type="dxa"/>
            <w:vAlign w:val="center"/>
          </w:tcPr>
          <w:p w14:paraId="052671CF">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脱氢乙酸及其钠盐（以脱氢乙酸计）</w:t>
            </w:r>
          </w:p>
        </w:tc>
      </w:tr>
      <w:tr w14:paraId="7612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7B504594">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7F72A32A">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26C13E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70CA6EA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51DB76DC">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其他半固体调味料</w:t>
            </w:r>
          </w:p>
        </w:tc>
        <w:tc>
          <w:tcPr>
            <w:tcW w:w="825" w:type="dxa"/>
            <w:vAlign w:val="center"/>
          </w:tcPr>
          <w:p w14:paraId="0004450B">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279303DE">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铅（以Pb计）、苯甲酸及其钠盐（以苯甲酸计）、山梨酸及其钾盐（以山梨酸计）、脱氢乙酸及其钠盐（以脱氢乙酸计）、防腐剂混合使用时各自用量占其最大使用量的比例之和、安赛蜜</w:t>
            </w:r>
          </w:p>
        </w:tc>
        <w:tc>
          <w:tcPr>
            <w:tcW w:w="3395" w:type="dxa"/>
            <w:vAlign w:val="center"/>
          </w:tcPr>
          <w:p w14:paraId="0FB60542">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罗丹明B、罂粟碱、吗啡、可待因、那可丁、甜蜜素（以环己基氨基磺酸计）</w:t>
            </w:r>
          </w:p>
        </w:tc>
      </w:tr>
      <w:tr w14:paraId="0555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0D2FAB8B">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705D8BA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6E71A15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restart"/>
            <w:vAlign w:val="center"/>
          </w:tcPr>
          <w:p w14:paraId="0F66503A">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液体复合调味料</w:t>
            </w:r>
          </w:p>
        </w:tc>
        <w:tc>
          <w:tcPr>
            <w:tcW w:w="1733" w:type="dxa"/>
            <w:vAlign w:val="center"/>
          </w:tcPr>
          <w:p w14:paraId="5CC3A2BA">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蚝油、虾油、鱼露</w:t>
            </w:r>
          </w:p>
        </w:tc>
        <w:tc>
          <w:tcPr>
            <w:tcW w:w="825" w:type="dxa"/>
            <w:vAlign w:val="center"/>
          </w:tcPr>
          <w:p w14:paraId="19028CE5">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230B36C9">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氨基酸态氮、苯甲酸及其钠盐（以苯甲酸计）、山梨酸及其钾盐（以山梨酸计）、脱氢乙酸及其钠盐（以脱氢乙酸计）、防腐剂混合使用时各自用量占其最大使用量的比例之和、菌落总数</w:t>
            </w:r>
          </w:p>
        </w:tc>
        <w:tc>
          <w:tcPr>
            <w:tcW w:w="3395" w:type="dxa"/>
            <w:vAlign w:val="center"/>
          </w:tcPr>
          <w:p w14:paraId="76F304B7">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大肠菌群</w:t>
            </w:r>
          </w:p>
        </w:tc>
      </w:tr>
      <w:tr w14:paraId="777DC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2" w:hRule="atLeast"/>
        </w:trPr>
        <w:tc>
          <w:tcPr>
            <w:tcW w:w="438" w:type="dxa"/>
            <w:vMerge w:val="continue"/>
            <w:vAlign w:val="center"/>
          </w:tcPr>
          <w:p w14:paraId="69D7D4E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47EF9E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3E82F65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35DF82D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796E6E73">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其他液体调味料</w:t>
            </w:r>
          </w:p>
        </w:tc>
        <w:tc>
          <w:tcPr>
            <w:tcW w:w="825" w:type="dxa"/>
            <w:vAlign w:val="center"/>
          </w:tcPr>
          <w:p w14:paraId="7D5D6F6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3741B7D2">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苯甲酸及其钠盐（以苯甲酸计）、山梨酸及其钾盐（以山梨酸计）、脱氢乙酸及其钠盐（以脱氢乙酸计）、防腐剂混合使用时各自用量占其最大使用量的比例之和、糖精钠（以糖精计）、甜蜜素（以环己基氨基磺酸计）</w:t>
            </w:r>
          </w:p>
        </w:tc>
        <w:tc>
          <w:tcPr>
            <w:tcW w:w="3395" w:type="dxa"/>
            <w:vAlign w:val="center"/>
          </w:tcPr>
          <w:p w14:paraId="6FC2715E">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合成着色剂（柠檬黄、日落黄、胭脂红、诱惑红）、相同色泽着色剂混合使用时各自用量占其最大使用量的比例之和、菌落总数</w:t>
            </w:r>
          </w:p>
        </w:tc>
      </w:tr>
      <w:tr w14:paraId="6A91B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 w:hRule="atLeast"/>
        </w:trPr>
        <w:tc>
          <w:tcPr>
            <w:tcW w:w="438" w:type="dxa"/>
            <w:vMerge w:val="continue"/>
            <w:vAlign w:val="center"/>
          </w:tcPr>
          <w:p w14:paraId="0C0AF251">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6D86FE7">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Align w:val="center"/>
          </w:tcPr>
          <w:p w14:paraId="415AD718">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味精</w:t>
            </w:r>
          </w:p>
        </w:tc>
        <w:tc>
          <w:tcPr>
            <w:tcW w:w="1356" w:type="dxa"/>
            <w:vAlign w:val="center"/>
          </w:tcPr>
          <w:p w14:paraId="63D66231">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味精</w:t>
            </w:r>
          </w:p>
        </w:tc>
        <w:tc>
          <w:tcPr>
            <w:tcW w:w="1733" w:type="dxa"/>
            <w:vAlign w:val="center"/>
          </w:tcPr>
          <w:p w14:paraId="5C808723">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味精</w:t>
            </w:r>
          </w:p>
        </w:tc>
        <w:tc>
          <w:tcPr>
            <w:tcW w:w="825" w:type="dxa"/>
            <w:vAlign w:val="center"/>
          </w:tcPr>
          <w:p w14:paraId="39E80C40">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7F572EF7">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谷氨酸钠</w:t>
            </w:r>
          </w:p>
        </w:tc>
        <w:tc>
          <w:tcPr>
            <w:tcW w:w="3395" w:type="dxa"/>
            <w:vAlign w:val="center"/>
          </w:tcPr>
          <w:p w14:paraId="43D512D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1037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05C95B0A">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30F349B">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restart"/>
            <w:vAlign w:val="center"/>
          </w:tcPr>
          <w:p w14:paraId="7E0638B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食盐</w:t>
            </w:r>
          </w:p>
        </w:tc>
        <w:tc>
          <w:tcPr>
            <w:tcW w:w="1356" w:type="dxa"/>
            <w:vMerge w:val="restart"/>
            <w:vAlign w:val="center"/>
          </w:tcPr>
          <w:p w14:paraId="326868D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食用盐</w:t>
            </w:r>
          </w:p>
        </w:tc>
        <w:tc>
          <w:tcPr>
            <w:tcW w:w="1733" w:type="dxa"/>
            <w:vAlign w:val="center"/>
          </w:tcPr>
          <w:p w14:paraId="2A4A5FFE">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普通食用盐</w:t>
            </w:r>
          </w:p>
        </w:tc>
        <w:tc>
          <w:tcPr>
            <w:tcW w:w="825" w:type="dxa"/>
            <w:vAlign w:val="center"/>
          </w:tcPr>
          <w:p w14:paraId="79B983A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3483B9E8">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氯化钠、钡（以Ba计）、碘（以I计）、铅（以Pb计）、总砷（以As计）、镉（以Cd计）</w:t>
            </w:r>
          </w:p>
        </w:tc>
        <w:tc>
          <w:tcPr>
            <w:tcW w:w="3395" w:type="dxa"/>
            <w:vAlign w:val="center"/>
          </w:tcPr>
          <w:p w14:paraId="4377B1DB">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总汞（以Hg计）、亚铁氰化钾/亚铁氰化钠（以亚铁氰根计）</w:t>
            </w:r>
          </w:p>
        </w:tc>
      </w:tr>
      <w:tr w14:paraId="71A3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5DCB369E">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A26A261">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B92C52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4C89E71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0B997D94">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低钠食用盐</w:t>
            </w:r>
          </w:p>
        </w:tc>
        <w:tc>
          <w:tcPr>
            <w:tcW w:w="825" w:type="dxa"/>
            <w:vAlign w:val="center"/>
          </w:tcPr>
          <w:p w14:paraId="1DDEF53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57BA2346">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氯化</w:t>
            </w:r>
            <w:r>
              <w:rPr>
                <w:rFonts w:hint="eastAsia" w:ascii="仿宋" w:hAnsi="仿宋" w:eastAsia="仿宋" w:cs="仿宋"/>
                <w:color w:val="auto"/>
                <w:kern w:val="0"/>
                <w:sz w:val="24"/>
                <w:szCs w:val="24"/>
                <w:highlight w:val="none"/>
                <w:lang w:eastAsia="zh-CN"/>
              </w:rPr>
              <w:t>钾</w:t>
            </w:r>
            <w:r>
              <w:rPr>
                <w:rFonts w:hint="eastAsia" w:ascii="仿宋" w:hAnsi="仿宋" w:eastAsia="仿宋" w:cs="仿宋"/>
                <w:color w:val="auto"/>
                <w:kern w:val="0"/>
                <w:sz w:val="24"/>
                <w:szCs w:val="24"/>
                <w:highlight w:val="none"/>
              </w:rPr>
              <w:t>、钡（以Ba计）、碘（以I计）、铅（以Pb计）、总砷（以As计）、镉（以Cd计）</w:t>
            </w:r>
          </w:p>
        </w:tc>
        <w:tc>
          <w:tcPr>
            <w:tcW w:w="3395" w:type="dxa"/>
            <w:vAlign w:val="center"/>
          </w:tcPr>
          <w:p w14:paraId="4CBA533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总汞（以Hg计）、亚铁氰化钾/亚铁氰化钠（以亚铁氰根计）</w:t>
            </w:r>
          </w:p>
        </w:tc>
      </w:tr>
      <w:tr w14:paraId="35BA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438" w:type="dxa"/>
            <w:vMerge w:val="continue"/>
            <w:vAlign w:val="center"/>
          </w:tcPr>
          <w:p w14:paraId="4677B42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82C3F01">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CFB3AA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74A00EE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14A31030">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风味食用盐</w:t>
            </w:r>
          </w:p>
        </w:tc>
        <w:tc>
          <w:tcPr>
            <w:tcW w:w="825" w:type="dxa"/>
            <w:vAlign w:val="center"/>
          </w:tcPr>
          <w:p w14:paraId="6A71CA0C">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6FAF0D74">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钡（以Ba计）、铅（以Pb计）、总砷（以As计）、镉（以Cd计）、总汞（以Hg计）、亚铁氰化钾/亚铁氰化钠（以亚铁氰根计）</w:t>
            </w:r>
          </w:p>
        </w:tc>
        <w:tc>
          <w:tcPr>
            <w:tcW w:w="3395" w:type="dxa"/>
            <w:vAlign w:val="center"/>
          </w:tcPr>
          <w:p w14:paraId="4A03174C">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2C05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32ED9ABB">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79FA2E7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66D5B48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2687122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733" w:type="dxa"/>
            <w:vAlign w:val="center"/>
          </w:tcPr>
          <w:p w14:paraId="7F9847F7">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特殊工艺食用盐</w:t>
            </w:r>
          </w:p>
        </w:tc>
        <w:tc>
          <w:tcPr>
            <w:tcW w:w="825" w:type="dxa"/>
            <w:vAlign w:val="center"/>
          </w:tcPr>
          <w:p w14:paraId="4418D8D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739FF1D3">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氯化钠、钡（以Ba计）、碘（以I计）、铅（以Pb计）、总砷（以As计）、镉（以Cd计）</w:t>
            </w:r>
          </w:p>
        </w:tc>
        <w:tc>
          <w:tcPr>
            <w:tcW w:w="3395" w:type="dxa"/>
            <w:vAlign w:val="center"/>
          </w:tcPr>
          <w:p w14:paraId="01D7FBCB">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总汞（以Hg计）、亚铁氰化钾/亚铁氰化钠（以亚铁氰根计）</w:t>
            </w:r>
          </w:p>
        </w:tc>
      </w:tr>
      <w:tr w14:paraId="10EA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438" w:type="dxa"/>
            <w:vMerge w:val="continue"/>
            <w:vAlign w:val="center"/>
          </w:tcPr>
          <w:p w14:paraId="0C375FE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A3BE20A">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4EA9A70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0847794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食品生产加工用盐</w:t>
            </w:r>
          </w:p>
        </w:tc>
        <w:tc>
          <w:tcPr>
            <w:tcW w:w="1733" w:type="dxa"/>
            <w:vAlign w:val="center"/>
          </w:tcPr>
          <w:p w14:paraId="7F08B3C9">
            <w:pPr>
              <w:pageBreakBefore w:val="0"/>
              <w:widowControl w:val="0"/>
              <w:wordWrap/>
              <w:overflowPunct/>
              <w:topLinePunct w:val="0"/>
              <w:bidi w:val="0"/>
              <w:spacing w:line="300" w:lineRule="exact"/>
              <w:jc w:val="center"/>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kern w:val="0"/>
                <w:sz w:val="24"/>
                <w:szCs w:val="24"/>
                <w:highlight w:val="none"/>
              </w:rPr>
              <w:t>食品生产加工用盐</w:t>
            </w:r>
          </w:p>
        </w:tc>
        <w:tc>
          <w:tcPr>
            <w:tcW w:w="825" w:type="dxa"/>
            <w:vAlign w:val="center"/>
          </w:tcPr>
          <w:p w14:paraId="6DE27BDA">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一般</w:t>
            </w:r>
          </w:p>
        </w:tc>
        <w:tc>
          <w:tcPr>
            <w:tcW w:w="4459" w:type="dxa"/>
            <w:vAlign w:val="center"/>
          </w:tcPr>
          <w:p w14:paraId="3141CDFE">
            <w:pPr>
              <w:pageBreakBefore w:val="0"/>
              <w:widowControl w:val="0"/>
              <w:wordWrap/>
              <w:overflowPunct/>
              <w:topLinePunct w:val="0"/>
              <w:bidi w:val="0"/>
              <w:spacing w:line="300" w:lineRule="exact"/>
              <w:jc w:val="left"/>
              <w:rPr>
                <w:rFonts w:hint="eastAsia" w:ascii="仿宋" w:hAnsi="仿宋" w:eastAsia="仿宋" w:cs="仿宋"/>
                <w:color w:val="auto"/>
                <w:spacing w:val="1"/>
                <w:kern w:val="0"/>
                <w:sz w:val="24"/>
                <w:szCs w:val="24"/>
                <w:highlight w:val="none"/>
              </w:rPr>
            </w:pPr>
            <w:r>
              <w:rPr>
                <w:rFonts w:hint="eastAsia" w:ascii="仿宋" w:hAnsi="仿宋" w:eastAsia="仿宋" w:cs="仿宋"/>
                <w:color w:val="auto"/>
                <w:kern w:val="0"/>
                <w:sz w:val="24"/>
                <w:szCs w:val="24"/>
                <w:highlight w:val="none"/>
              </w:rPr>
              <w:t>铅（以Pb计）、总砷（以As计）、镉（以Cd计）、总汞（以Hg计）、亚铁氰化钾/亚铁氰化钠（以亚铁氰根计）、亚硝酸盐（以NaNO</w:t>
            </w:r>
            <w:r>
              <w:rPr>
                <w:rFonts w:hint="eastAsia" w:ascii="仿宋" w:hAnsi="仿宋" w:eastAsia="仿宋" w:cs="仿宋"/>
                <w:color w:val="auto"/>
                <w:kern w:val="0"/>
                <w:sz w:val="24"/>
                <w:szCs w:val="24"/>
                <w:highlight w:val="none"/>
                <w:vertAlign w:val="subscript"/>
              </w:rPr>
              <w:t>2</w:t>
            </w:r>
            <w:r>
              <w:rPr>
                <w:rFonts w:hint="eastAsia" w:ascii="仿宋" w:hAnsi="仿宋" w:eastAsia="仿宋" w:cs="仿宋"/>
                <w:color w:val="auto"/>
                <w:kern w:val="0"/>
                <w:sz w:val="24"/>
                <w:szCs w:val="24"/>
                <w:highlight w:val="none"/>
              </w:rPr>
              <w:t>计）</w:t>
            </w:r>
          </w:p>
        </w:tc>
        <w:tc>
          <w:tcPr>
            <w:tcW w:w="3395" w:type="dxa"/>
            <w:vAlign w:val="center"/>
          </w:tcPr>
          <w:p w14:paraId="2F39E8FC">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rPr>
              <w:t>/</w:t>
            </w:r>
          </w:p>
        </w:tc>
      </w:tr>
      <w:tr w14:paraId="5F04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438" w:type="dxa"/>
            <w:vMerge w:val="restart"/>
            <w:vAlign w:val="center"/>
          </w:tcPr>
          <w:p w14:paraId="5B054DF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4</w:t>
            </w:r>
          </w:p>
        </w:tc>
        <w:tc>
          <w:tcPr>
            <w:tcW w:w="1064" w:type="dxa"/>
            <w:vMerge w:val="restart"/>
            <w:vAlign w:val="center"/>
          </w:tcPr>
          <w:p w14:paraId="62A60C7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pacing w:val="7"/>
                <w:sz w:val="24"/>
                <w:szCs w:val="24"/>
                <w:highlight w:val="none"/>
              </w:rPr>
              <w:t>肉制品</w:t>
            </w:r>
          </w:p>
        </w:tc>
        <w:tc>
          <w:tcPr>
            <w:tcW w:w="1065" w:type="dxa"/>
            <w:vMerge w:val="restart"/>
            <w:vAlign w:val="center"/>
          </w:tcPr>
          <w:p w14:paraId="11BF82B0">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spacing w:val="4"/>
                <w:sz w:val="24"/>
                <w:szCs w:val="24"/>
                <w:highlight w:val="none"/>
              </w:rPr>
              <w:t>预制肉制</w:t>
            </w:r>
            <w:r>
              <w:rPr>
                <w:rFonts w:hint="eastAsia" w:ascii="仿宋" w:hAnsi="仿宋" w:eastAsia="仿宋" w:cs="仿宋"/>
                <w:color w:val="auto"/>
                <w:sz w:val="24"/>
                <w:szCs w:val="24"/>
                <w:highlight w:val="none"/>
              </w:rPr>
              <w:t>品</w:t>
            </w:r>
          </w:p>
        </w:tc>
        <w:tc>
          <w:tcPr>
            <w:tcW w:w="1356" w:type="dxa"/>
            <w:vAlign w:val="center"/>
          </w:tcPr>
          <w:p w14:paraId="6EA54BA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调理肉制品</w:t>
            </w:r>
          </w:p>
        </w:tc>
        <w:tc>
          <w:tcPr>
            <w:tcW w:w="1733" w:type="dxa"/>
            <w:vAlign w:val="center"/>
          </w:tcPr>
          <w:p w14:paraId="55E54B2A">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调理肉制品</w:t>
            </w:r>
            <w:r>
              <w:rPr>
                <w:rFonts w:hint="eastAsia" w:ascii="仿宋" w:hAnsi="仿宋" w:eastAsia="仿宋" w:cs="仿宋"/>
                <w:color w:val="auto"/>
                <w:spacing w:val="9"/>
                <w:sz w:val="24"/>
                <w:szCs w:val="24"/>
                <w:highlight w:val="none"/>
                <w:lang w:eastAsia="zh-CN"/>
              </w:rPr>
              <w:t>（</w:t>
            </w:r>
            <w:r>
              <w:rPr>
                <w:rFonts w:hint="eastAsia" w:ascii="仿宋" w:hAnsi="仿宋" w:eastAsia="仿宋" w:cs="仿宋"/>
                <w:color w:val="auto"/>
                <w:spacing w:val="9"/>
                <w:sz w:val="24"/>
                <w:szCs w:val="24"/>
                <w:highlight w:val="none"/>
              </w:rPr>
              <w:t>非速冻</w:t>
            </w:r>
            <w:r>
              <w:rPr>
                <w:rFonts w:hint="eastAsia" w:ascii="仿宋" w:hAnsi="仿宋" w:eastAsia="仿宋" w:cs="仿宋"/>
                <w:color w:val="auto"/>
                <w:spacing w:val="9"/>
                <w:sz w:val="24"/>
                <w:szCs w:val="24"/>
                <w:highlight w:val="none"/>
                <w:lang w:eastAsia="zh-CN"/>
              </w:rPr>
              <w:t>）</w:t>
            </w:r>
          </w:p>
        </w:tc>
        <w:tc>
          <w:tcPr>
            <w:tcW w:w="825" w:type="dxa"/>
            <w:vAlign w:val="center"/>
          </w:tcPr>
          <w:p w14:paraId="126F75C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1F217812">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苯甲酸及其钠盐（以苯甲酸计）、山梨酸及其钾盐（以山梨酸计）、脱氢乙酸及其钠盐（以脱氢乙酸计）</w:t>
            </w:r>
          </w:p>
        </w:tc>
        <w:tc>
          <w:tcPr>
            <w:tcW w:w="3395" w:type="dxa"/>
            <w:vAlign w:val="center"/>
          </w:tcPr>
          <w:p w14:paraId="66F043C6">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w:t>
            </w:r>
          </w:p>
        </w:tc>
      </w:tr>
      <w:tr w14:paraId="7A28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trPr>
        <w:tc>
          <w:tcPr>
            <w:tcW w:w="438" w:type="dxa"/>
            <w:vMerge w:val="continue"/>
            <w:vAlign w:val="center"/>
          </w:tcPr>
          <w:p w14:paraId="5AEE915E">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262FD19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48CD98A">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5638E4F1">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腌腊肉制品</w:t>
            </w:r>
          </w:p>
        </w:tc>
        <w:tc>
          <w:tcPr>
            <w:tcW w:w="1733" w:type="dxa"/>
            <w:vAlign w:val="center"/>
          </w:tcPr>
          <w:p w14:paraId="29DAB69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腌腊肉制品</w:t>
            </w:r>
          </w:p>
        </w:tc>
        <w:tc>
          <w:tcPr>
            <w:tcW w:w="825" w:type="dxa"/>
            <w:vAlign w:val="center"/>
          </w:tcPr>
          <w:p w14:paraId="73B11E4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4B02310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z w:val="24"/>
                <w:szCs w:val="24"/>
                <w:highlight w:val="none"/>
              </w:rPr>
              <w:t>过氧化值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柠檬黄、日落黄、胭脂红、诱惑红、苋菜红、酸性红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氯霉素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红2G</w:t>
            </w:r>
          </w:p>
        </w:tc>
        <w:tc>
          <w:tcPr>
            <w:tcW w:w="3395" w:type="dxa"/>
            <w:vAlign w:val="center"/>
          </w:tcPr>
          <w:p w14:paraId="6E93E18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亚硝酸盐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以亚硝酸钠计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p>
        </w:tc>
      </w:tr>
      <w:tr w14:paraId="3870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438" w:type="dxa"/>
            <w:vMerge w:val="continue"/>
            <w:vAlign w:val="center"/>
          </w:tcPr>
          <w:p w14:paraId="48F48C3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BEBE27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restart"/>
            <w:vAlign w:val="center"/>
          </w:tcPr>
          <w:p w14:paraId="4FF3B94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r>
              <w:rPr>
                <w:rFonts w:hint="eastAsia" w:ascii="仿宋" w:hAnsi="仿宋" w:eastAsia="仿宋" w:cs="仿宋"/>
                <w:color w:val="auto"/>
                <w:spacing w:val="5"/>
                <w:sz w:val="24"/>
                <w:szCs w:val="24"/>
                <w:highlight w:val="none"/>
              </w:rPr>
              <w:t>熟肉制品</w:t>
            </w:r>
          </w:p>
        </w:tc>
        <w:tc>
          <w:tcPr>
            <w:tcW w:w="1356" w:type="dxa"/>
            <w:vAlign w:val="center"/>
          </w:tcPr>
          <w:p w14:paraId="5658983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发酵肉制品</w:t>
            </w:r>
          </w:p>
        </w:tc>
        <w:tc>
          <w:tcPr>
            <w:tcW w:w="1733" w:type="dxa"/>
            <w:vAlign w:val="center"/>
          </w:tcPr>
          <w:p w14:paraId="76FA2EC0">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spacing w:val="4"/>
                <w:kern w:val="2"/>
                <w:sz w:val="24"/>
                <w:szCs w:val="24"/>
                <w:highlight w:val="none"/>
                <w:lang w:val="en-US" w:eastAsia="zh-CN" w:bidi="ar-SA"/>
              </w:rPr>
            </w:pPr>
            <w:r>
              <w:rPr>
                <w:rFonts w:hint="eastAsia" w:ascii="仿宋" w:hAnsi="仿宋" w:eastAsia="仿宋" w:cs="仿宋"/>
                <w:color w:val="auto"/>
                <w:spacing w:val="4"/>
                <w:sz w:val="24"/>
                <w:szCs w:val="24"/>
                <w:highlight w:val="none"/>
              </w:rPr>
              <w:t>发酵肉制品</w:t>
            </w:r>
          </w:p>
        </w:tc>
        <w:tc>
          <w:tcPr>
            <w:tcW w:w="825" w:type="dxa"/>
            <w:vAlign w:val="center"/>
          </w:tcPr>
          <w:p w14:paraId="01056D91">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5E7921C8">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亚硝酸盐（以亚硝酸钠计）、沙门氏菌、金黄色葡萄球菌</w:t>
            </w:r>
          </w:p>
        </w:tc>
        <w:tc>
          <w:tcPr>
            <w:tcW w:w="3395" w:type="dxa"/>
            <w:vAlign w:val="center"/>
          </w:tcPr>
          <w:p w14:paraId="1131290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单核细胞增生李斯特氏菌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致泻大肠埃希氏菌</w:t>
            </w:r>
          </w:p>
        </w:tc>
      </w:tr>
      <w:tr w14:paraId="71F0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trPr>
        <w:tc>
          <w:tcPr>
            <w:tcW w:w="438" w:type="dxa"/>
            <w:vMerge w:val="continue"/>
            <w:vAlign w:val="center"/>
          </w:tcPr>
          <w:p w14:paraId="0DE1EE71">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772ABC1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E5DF9CE">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7411B65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酱卤肉制品</w:t>
            </w:r>
          </w:p>
        </w:tc>
        <w:tc>
          <w:tcPr>
            <w:tcW w:w="1733" w:type="dxa"/>
            <w:vAlign w:val="center"/>
          </w:tcPr>
          <w:p w14:paraId="74085EC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酱卤肉制品</w:t>
            </w:r>
          </w:p>
        </w:tc>
        <w:tc>
          <w:tcPr>
            <w:tcW w:w="825" w:type="dxa"/>
            <w:vAlign w:val="center"/>
          </w:tcPr>
          <w:p w14:paraId="27CF6E3F">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27D1FF1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z w:val="24"/>
                <w:szCs w:val="24"/>
                <w:highlight w:val="none"/>
              </w:rPr>
              <w:t>苯甲酸及其钠盐（以苯甲酸计）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防腐剂混合使用时各自用量占其最大使用量的比例之和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合成着色剂（柠檬黄、日落黄、胭脂红、诱惑红）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氯霉素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菌落总数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大肠菌群</w:t>
            </w:r>
          </w:p>
        </w:tc>
        <w:tc>
          <w:tcPr>
            <w:tcW w:w="3395" w:type="dxa"/>
            <w:vAlign w:val="center"/>
          </w:tcPr>
          <w:p w14:paraId="47E893F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spacing w:val="1"/>
                <w:kern w:val="2"/>
                <w:sz w:val="24"/>
                <w:szCs w:val="24"/>
                <w:highlight w:val="none"/>
                <w:lang w:val="en-US" w:eastAsia="zh-CN" w:bidi="ar-SA"/>
              </w:rPr>
            </w:pPr>
            <w:r>
              <w:rPr>
                <w:rFonts w:hint="eastAsia" w:ascii="仿宋" w:hAnsi="仿宋" w:eastAsia="仿宋" w:cs="仿宋"/>
                <w:color w:val="auto"/>
                <w:spacing w:val="1"/>
                <w:sz w:val="24"/>
                <w:szCs w:val="24"/>
                <w:highlight w:val="none"/>
                <w:lang w:val="en-US" w:eastAsia="zh-CN"/>
              </w:rPr>
              <w:t>沙门氏菌、金黄色葡萄球菌、纳他霉素、糖精钠（以糖精计）、N-二甲基亚硝胺、亚硝酸盐（以亚硝酸钠计）</w:t>
            </w:r>
          </w:p>
        </w:tc>
      </w:tr>
      <w:tr w14:paraId="0399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438" w:type="dxa"/>
            <w:vMerge w:val="continue"/>
            <w:vAlign w:val="center"/>
          </w:tcPr>
          <w:p w14:paraId="5EDD0E9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E205BB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6BC2746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16711179">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油炸肉制品</w:t>
            </w:r>
          </w:p>
        </w:tc>
        <w:tc>
          <w:tcPr>
            <w:tcW w:w="1733" w:type="dxa"/>
            <w:vAlign w:val="center"/>
          </w:tcPr>
          <w:p w14:paraId="4352611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油炸肉制品</w:t>
            </w:r>
          </w:p>
        </w:tc>
        <w:tc>
          <w:tcPr>
            <w:tcW w:w="825" w:type="dxa"/>
            <w:vAlign w:val="center"/>
          </w:tcPr>
          <w:p w14:paraId="0816BBC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78F5EBF5">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z w:val="24"/>
                <w:szCs w:val="24"/>
                <w:highlight w:val="none"/>
              </w:rPr>
              <w:t>亚硝酸盐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以亚硝酸钠计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N-二甲基亚硝胺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沙门氏菌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金黄色葡萄球菌</w:t>
            </w:r>
          </w:p>
        </w:tc>
        <w:tc>
          <w:tcPr>
            <w:tcW w:w="3395" w:type="dxa"/>
            <w:vAlign w:val="center"/>
          </w:tcPr>
          <w:p w14:paraId="509FBAD0">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spacing w:val="2"/>
                <w:kern w:val="2"/>
                <w:sz w:val="24"/>
                <w:szCs w:val="24"/>
                <w:highlight w:val="none"/>
                <w:lang w:val="en-US" w:eastAsia="zh-CN" w:bidi="ar-SA"/>
              </w:rPr>
            </w:pPr>
            <w:r>
              <w:rPr>
                <w:rFonts w:hint="eastAsia" w:ascii="仿宋" w:hAnsi="仿宋" w:eastAsia="仿宋" w:cs="仿宋"/>
                <w:color w:val="auto"/>
                <w:spacing w:val="2"/>
                <w:sz w:val="24"/>
                <w:szCs w:val="24"/>
                <w:highlight w:val="none"/>
              </w:rPr>
              <w:t>单核细胞增生李斯特氏菌</w:t>
            </w:r>
            <w:r>
              <w:rPr>
                <w:rFonts w:hint="eastAsia" w:ascii="仿宋" w:hAnsi="仿宋" w:eastAsia="仿宋" w:cs="仿宋"/>
                <w:color w:val="auto"/>
                <w:spacing w:val="2"/>
                <w:sz w:val="24"/>
                <w:szCs w:val="24"/>
                <w:highlight w:val="none"/>
                <w:lang w:eastAsia="zh-CN"/>
              </w:rPr>
              <w:t>、</w:t>
            </w:r>
            <w:r>
              <w:rPr>
                <w:rFonts w:hint="eastAsia" w:ascii="仿宋" w:hAnsi="仿宋" w:eastAsia="仿宋" w:cs="仿宋"/>
                <w:color w:val="auto"/>
                <w:spacing w:val="2"/>
                <w:sz w:val="24"/>
                <w:szCs w:val="24"/>
                <w:highlight w:val="none"/>
              </w:rPr>
              <w:t>致泻大肠埃希氏菌</w:t>
            </w:r>
          </w:p>
        </w:tc>
      </w:tr>
      <w:tr w14:paraId="74B5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trPr>
        <w:tc>
          <w:tcPr>
            <w:tcW w:w="438" w:type="dxa"/>
            <w:vMerge w:val="continue"/>
            <w:vAlign w:val="center"/>
          </w:tcPr>
          <w:p w14:paraId="2021183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64CB561">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2F52B8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4C7B3EEA">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熟肉干制品</w:t>
            </w:r>
          </w:p>
        </w:tc>
        <w:tc>
          <w:tcPr>
            <w:tcW w:w="1733" w:type="dxa"/>
            <w:vAlign w:val="center"/>
          </w:tcPr>
          <w:p w14:paraId="22240B10">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熟肉干制品</w:t>
            </w:r>
          </w:p>
        </w:tc>
        <w:tc>
          <w:tcPr>
            <w:tcW w:w="825" w:type="dxa"/>
            <w:vAlign w:val="center"/>
          </w:tcPr>
          <w:p w14:paraId="6FD950FB">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2C9BAA27">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N-二甲基亚硝胺、苯甲酸及其钠盐（以苯甲酸计）、山梨酸及其钾盐（以山梨酸计）、脱氢乙酸及其钠盐（以脱氢乙酸计）、防腐剂混合使用时各自用量占其最大使用量的比例之和、氯霉素、菌落总数</w:t>
            </w:r>
          </w:p>
        </w:tc>
        <w:tc>
          <w:tcPr>
            <w:tcW w:w="3395" w:type="dxa"/>
            <w:vAlign w:val="center"/>
          </w:tcPr>
          <w:p w14:paraId="7CEE8AA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spacing w:val="1"/>
                <w:kern w:val="2"/>
                <w:sz w:val="24"/>
                <w:szCs w:val="24"/>
                <w:highlight w:val="none"/>
                <w:lang w:val="en-US" w:eastAsia="zh-CN" w:bidi="ar-SA"/>
              </w:rPr>
            </w:pPr>
            <w:r>
              <w:rPr>
                <w:rFonts w:hint="eastAsia" w:ascii="仿宋" w:hAnsi="仿宋" w:eastAsia="仿宋" w:cs="仿宋"/>
                <w:color w:val="auto"/>
                <w:spacing w:val="1"/>
                <w:sz w:val="24"/>
                <w:szCs w:val="24"/>
                <w:highlight w:val="none"/>
                <w:lang w:val="en-US" w:eastAsia="zh-CN"/>
              </w:rPr>
              <w:t>铅（以Pb计）、合成着色剂（胭脂红、诱惑红）、大肠菌群、沙门氏菌、金黄色葡萄球菌</w:t>
            </w:r>
          </w:p>
        </w:tc>
      </w:tr>
      <w:tr w14:paraId="011E9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trPr>
        <w:tc>
          <w:tcPr>
            <w:tcW w:w="438" w:type="dxa"/>
            <w:vMerge w:val="continue"/>
            <w:vAlign w:val="center"/>
          </w:tcPr>
          <w:p w14:paraId="5E77B2BB">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D95D37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31B0844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690A1BF5">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3"/>
                <w:sz w:val="24"/>
                <w:szCs w:val="24"/>
                <w:highlight w:val="none"/>
              </w:rPr>
              <w:t>熏烧烤肉制品</w:t>
            </w:r>
          </w:p>
        </w:tc>
        <w:tc>
          <w:tcPr>
            <w:tcW w:w="1733" w:type="dxa"/>
            <w:vAlign w:val="center"/>
          </w:tcPr>
          <w:p w14:paraId="03DE24A8">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3"/>
                <w:sz w:val="24"/>
                <w:szCs w:val="24"/>
                <w:highlight w:val="none"/>
              </w:rPr>
              <w:t>熏烧烤肉制品</w:t>
            </w:r>
          </w:p>
        </w:tc>
        <w:tc>
          <w:tcPr>
            <w:tcW w:w="825" w:type="dxa"/>
            <w:vAlign w:val="center"/>
          </w:tcPr>
          <w:p w14:paraId="7B5863E5">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5F607930">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苯甲酸及其钠盐（以苯甲酸计）、山梨酸及其钾盐（以山梨酸计）、合成着色剂（柠檬黄、日落黄、胭脂红）、氯霉素、菌落总数、大肠菌群</w:t>
            </w:r>
          </w:p>
        </w:tc>
        <w:tc>
          <w:tcPr>
            <w:tcW w:w="3395" w:type="dxa"/>
            <w:vAlign w:val="center"/>
          </w:tcPr>
          <w:p w14:paraId="0F89AE01">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spacing w:val="1"/>
                <w:kern w:val="2"/>
                <w:sz w:val="24"/>
                <w:szCs w:val="24"/>
                <w:highlight w:val="none"/>
                <w:lang w:val="en-US" w:eastAsia="zh-CN" w:bidi="ar-SA"/>
              </w:rPr>
            </w:pPr>
            <w:r>
              <w:rPr>
                <w:rFonts w:hint="eastAsia" w:ascii="仿宋" w:hAnsi="仿宋" w:eastAsia="仿宋" w:cs="仿宋"/>
                <w:color w:val="auto"/>
                <w:spacing w:val="1"/>
                <w:sz w:val="24"/>
                <w:szCs w:val="24"/>
                <w:highlight w:val="none"/>
                <w:lang w:val="en-US" w:eastAsia="zh-CN"/>
              </w:rPr>
              <w:t>纳他霉素、苯并[a]芘、N-二甲基亚硝胺、亚硝酸盐（以亚硝酸钠计）、沙门氏菌、金黄色葡萄球菌</w:t>
            </w:r>
          </w:p>
        </w:tc>
      </w:tr>
      <w:tr w14:paraId="0B3D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9" w:hRule="atLeast"/>
        </w:trPr>
        <w:tc>
          <w:tcPr>
            <w:tcW w:w="438" w:type="dxa"/>
            <w:vMerge w:val="continue"/>
            <w:vAlign w:val="center"/>
          </w:tcPr>
          <w:p w14:paraId="3B7E534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2C0320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1024E4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1AAE65CF">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1"/>
                <w:sz w:val="24"/>
                <w:szCs w:val="24"/>
                <w:highlight w:val="none"/>
              </w:rPr>
              <w:t>熏煮香肠火腿</w:t>
            </w:r>
            <w:r>
              <w:rPr>
                <w:rFonts w:hint="eastAsia" w:ascii="仿宋" w:hAnsi="仿宋" w:eastAsia="仿宋" w:cs="仿宋"/>
                <w:color w:val="auto"/>
                <w:spacing w:val="10"/>
                <w:sz w:val="24"/>
                <w:szCs w:val="24"/>
                <w:highlight w:val="none"/>
              </w:rPr>
              <w:t>制品</w:t>
            </w:r>
          </w:p>
        </w:tc>
        <w:tc>
          <w:tcPr>
            <w:tcW w:w="1733" w:type="dxa"/>
            <w:vAlign w:val="center"/>
          </w:tcPr>
          <w:p w14:paraId="112F5F8A">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2"/>
                <w:sz w:val="24"/>
                <w:szCs w:val="24"/>
                <w:highlight w:val="none"/>
              </w:rPr>
              <w:t>熏煮香肠火腿制</w:t>
            </w:r>
            <w:r>
              <w:rPr>
                <w:rFonts w:hint="eastAsia" w:ascii="仿宋" w:hAnsi="仿宋" w:eastAsia="仿宋" w:cs="仿宋"/>
                <w:color w:val="auto"/>
                <w:sz w:val="24"/>
                <w:szCs w:val="24"/>
                <w:highlight w:val="none"/>
              </w:rPr>
              <w:t>品</w:t>
            </w:r>
          </w:p>
        </w:tc>
        <w:tc>
          <w:tcPr>
            <w:tcW w:w="825" w:type="dxa"/>
            <w:vAlign w:val="center"/>
          </w:tcPr>
          <w:p w14:paraId="26048CA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高</w:t>
            </w:r>
          </w:p>
        </w:tc>
        <w:tc>
          <w:tcPr>
            <w:tcW w:w="4459" w:type="dxa"/>
            <w:vAlign w:val="center"/>
          </w:tcPr>
          <w:p w14:paraId="1083CAB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亚硝酸盐（以亚硝酸钠计）、苯甲酸及其钠盐（以苯甲酸计）、山梨酸及其钾盐（以山梨酸计）、脱氢乙酸及其钠盐（以脱氢乙酸计）、防腐剂混合使用时各自用量占其最大使用量的比例之和、</w:t>
            </w:r>
            <w:r>
              <w:rPr>
                <w:rFonts w:hint="eastAsia" w:ascii="仿宋" w:hAnsi="仿宋" w:eastAsia="仿宋" w:cs="仿宋"/>
                <w:color w:val="auto"/>
                <w:sz w:val="24"/>
                <w:szCs w:val="24"/>
                <w:highlight w:val="none"/>
                <w:lang w:val="en-US" w:eastAsia="zh-CN"/>
              </w:rPr>
              <w:t>氯霉素、</w:t>
            </w:r>
            <w:r>
              <w:rPr>
                <w:rFonts w:hint="eastAsia" w:ascii="仿宋" w:hAnsi="仿宋" w:eastAsia="仿宋" w:cs="仿宋"/>
                <w:color w:val="auto"/>
                <w:sz w:val="24"/>
                <w:szCs w:val="24"/>
                <w:highlight w:val="none"/>
                <w:lang w:eastAsia="zh-CN"/>
              </w:rPr>
              <w:t>菌落总数、大肠菌群</w:t>
            </w:r>
          </w:p>
        </w:tc>
        <w:tc>
          <w:tcPr>
            <w:tcW w:w="3395" w:type="dxa"/>
            <w:vAlign w:val="center"/>
          </w:tcPr>
          <w:p w14:paraId="7E18668B">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合成着色剂（胭脂红、诱惑红）、沙门氏菌、金黄色葡萄球菌</w:t>
            </w:r>
          </w:p>
        </w:tc>
      </w:tr>
      <w:tr w14:paraId="71920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restart"/>
            <w:vAlign w:val="center"/>
          </w:tcPr>
          <w:p w14:paraId="077153A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5</w:t>
            </w:r>
          </w:p>
        </w:tc>
        <w:tc>
          <w:tcPr>
            <w:tcW w:w="1064" w:type="dxa"/>
            <w:vMerge w:val="restart"/>
            <w:vAlign w:val="center"/>
          </w:tcPr>
          <w:p w14:paraId="479DA26C">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乳制品</w:t>
            </w:r>
          </w:p>
        </w:tc>
        <w:tc>
          <w:tcPr>
            <w:tcW w:w="1065" w:type="dxa"/>
            <w:vMerge w:val="restart"/>
            <w:vAlign w:val="center"/>
          </w:tcPr>
          <w:p w14:paraId="559C259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乳制品</w:t>
            </w:r>
          </w:p>
        </w:tc>
        <w:tc>
          <w:tcPr>
            <w:tcW w:w="1356" w:type="dxa"/>
            <w:vMerge w:val="restart"/>
            <w:vAlign w:val="center"/>
          </w:tcPr>
          <w:p w14:paraId="68A0CEBE">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液体乳</w:t>
            </w:r>
          </w:p>
        </w:tc>
        <w:tc>
          <w:tcPr>
            <w:tcW w:w="1733" w:type="dxa"/>
            <w:vAlign w:val="center"/>
          </w:tcPr>
          <w:p w14:paraId="6D66B06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灭菌乳</w:t>
            </w:r>
          </w:p>
        </w:tc>
        <w:tc>
          <w:tcPr>
            <w:tcW w:w="825" w:type="dxa"/>
            <w:vAlign w:val="center"/>
          </w:tcPr>
          <w:p w14:paraId="2C9A6A6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088886E2">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蛋白质、非脂乳固体、酸度、脂肪、三聚氰胺、铅（以Pb计）、黄曲霉毒素M</w:t>
            </w:r>
            <w:r>
              <w:rPr>
                <w:rFonts w:hint="eastAsia" w:ascii="仿宋" w:hAnsi="仿宋" w:eastAsia="仿宋" w:cs="仿宋"/>
                <w:color w:val="auto"/>
                <w:kern w:val="0"/>
                <w:sz w:val="24"/>
                <w:szCs w:val="24"/>
                <w:highlight w:val="none"/>
                <w:vertAlign w:val="subscript"/>
              </w:rPr>
              <w:t>1</w:t>
            </w:r>
          </w:p>
        </w:tc>
        <w:tc>
          <w:tcPr>
            <w:tcW w:w="3395" w:type="dxa"/>
            <w:vAlign w:val="center"/>
          </w:tcPr>
          <w:p w14:paraId="32A734CB">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丙二醇、商业无菌</w:t>
            </w:r>
          </w:p>
        </w:tc>
      </w:tr>
      <w:tr w14:paraId="0979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2BA7DDD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7E6043D6">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B3FC63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7DE5A225">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spacing w:val="1"/>
                <w:sz w:val="24"/>
                <w:szCs w:val="24"/>
                <w:highlight w:val="none"/>
              </w:rPr>
            </w:pPr>
          </w:p>
        </w:tc>
        <w:tc>
          <w:tcPr>
            <w:tcW w:w="1733" w:type="dxa"/>
            <w:vAlign w:val="center"/>
          </w:tcPr>
          <w:p w14:paraId="28294DF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巴氏杀菌乳</w:t>
            </w:r>
          </w:p>
        </w:tc>
        <w:tc>
          <w:tcPr>
            <w:tcW w:w="825" w:type="dxa"/>
            <w:vAlign w:val="center"/>
          </w:tcPr>
          <w:p w14:paraId="2BEDCB4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0FF24499">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蛋白质、酸度、三聚氰胺、铅（以Pb计）、黄曲霉毒素M</w:t>
            </w:r>
            <w:r>
              <w:rPr>
                <w:rFonts w:hint="eastAsia" w:ascii="仿宋" w:hAnsi="仿宋" w:eastAsia="仿宋" w:cs="仿宋"/>
                <w:color w:val="auto"/>
                <w:kern w:val="0"/>
                <w:sz w:val="24"/>
                <w:szCs w:val="24"/>
                <w:highlight w:val="none"/>
                <w:vertAlign w:val="subscript"/>
              </w:rPr>
              <w:t>1</w:t>
            </w:r>
            <w:r>
              <w:rPr>
                <w:rFonts w:hint="eastAsia" w:ascii="仿宋" w:hAnsi="仿宋" w:eastAsia="仿宋" w:cs="仿宋"/>
                <w:color w:val="auto"/>
                <w:kern w:val="0"/>
                <w:sz w:val="24"/>
                <w:szCs w:val="24"/>
                <w:highlight w:val="none"/>
              </w:rPr>
              <w:t>、丙二醇</w:t>
            </w:r>
          </w:p>
        </w:tc>
        <w:tc>
          <w:tcPr>
            <w:tcW w:w="3395" w:type="dxa"/>
            <w:vAlign w:val="center"/>
          </w:tcPr>
          <w:p w14:paraId="72FA2EF8">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沙门氏菌、金黄色葡萄球菌、菌落总数、大肠菌群</w:t>
            </w:r>
          </w:p>
        </w:tc>
      </w:tr>
      <w:tr w14:paraId="7BAB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4B35A14E">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4D066CD">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4FBB7859">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377B078A">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spacing w:val="1"/>
                <w:sz w:val="24"/>
                <w:szCs w:val="24"/>
                <w:highlight w:val="none"/>
              </w:rPr>
            </w:pPr>
          </w:p>
        </w:tc>
        <w:tc>
          <w:tcPr>
            <w:tcW w:w="1733" w:type="dxa"/>
            <w:vAlign w:val="center"/>
          </w:tcPr>
          <w:p w14:paraId="1A96028D">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调制乳</w:t>
            </w:r>
          </w:p>
        </w:tc>
        <w:tc>
          <w:tcPr>
            <w:tcW w:w="825" w:type="dxa"/>
            <w:vAlign w:val="center"/>
          </w:tcPr>
          <w:p w14:paraId="3341DB0F">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203C5CC1">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蛋白质、三聚氰胺、铅（以Pb计）、黄曲霉毒素M</w:t>
            </w:r>
            <w:r>
              <w:rPr>
                <w:rFonts w:hint="eastAsia" w:ascii="仿宋" w:hAnsi="仿宋" w:eastAsia="仿宋" w:cs="仿宋"/>
                <w:color w:val="auto"/>
                <w:kern w:val="0"/>
                <w:sz w:val="24"/>
                <w:szCs w:val="24"/>
                <w:highlight w:val="none"/>
                <w:vertAlign w:val="subscript"/>
              </w:rPr>
              <w:t>1</w:t>
            </w:r>
            <w:r>
              <w:rPr>
                <w:rFonts w:hint="eastAsia" w:ascii="仿宋" w:hAnsi="仿宋" w:eastAsia="仿宋" w:cs="仿宋"/>
                <w:color w:val="auto"/>
                <w:kern w:val="0"/>
                <w:sz w:val="24"/>
                <w:szCs w:val="24"/>
                <w:highlight w:val="none"/>
              </w:rPr>
              <w:t>、商业无菌、菌落总数、大肠菌群</w:t>
            </w:r>
          </w:p>
        </w:tc>
        <w:tc>
          <w:tcPr>
            <w:tcW w:w="3395" w:type="dxa"/>
            <w:vAlign w:val="center"/>
          </w:tcPr>
          <w:p w14:paraId="5ACFDD1C">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72BF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2D52AA03">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CE6A1BE">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AD7E72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0BCCAF64">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spacing w:val="1"/>
                <w:sz w:val="24"/>
                <w:szCs w:val="24"/>
                <w:highlight w:val="none"/>
              </w:rPr>
            </w:pPr>
          </w:p>
        </w:tc>
        <w:tc>
          <w:tcPr>
            <w:tcW w:w="1733" w:type="dxa"/>
            <w:vAlign w:val="center"/>
          </w:tcPr>
          <w:p w14:paraId="686CFBD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发酵乳</w:t>
            </w:r>
          </w:p>
        </w:tc>
        <w:tc>
          <w:tcPr>
            <w:tcW w:w="825" w:type="dxa"/>
            <w:vAlign w:val="center"/>
          </w:tcPr>
          <w:p w14:paraId="2BCF772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3C548869">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脂肪、蛋白质、酸度、山梨酸及其钾盐（以山梨酸计）、甜蜜素（以环己基氨基磺酸计）、黄曲霉毒素M</w:t>
            </w:r>
            <w:r>
              <w:rPr>
                <w:rFonts w:hint="eastAsia" w:ascii="仿宋" w:hAnsi="仿宋" w:eastAsia="仿宋" w:cs="仿宋"/>
                <w:color w:val="auto"/>
                <w:kern w:val="0"/>
                <w:sz w:val="24"/>
                <w:szCs w:val="24"/>
                <w:highlight w:val="none"/>
                <w:vertAlign w:val="subscript"/>
              </w:rPr>
              <w:t>1</w:t>
            </w:r>
          </w:p>
        </w:tc>
        <w:tc>
          <w:tcPr>
            <w:tcW w:w="3395" w:type="dxa"/>
            <w:vAlign w:val="center"/>
          </w:tcPr>
          <w:p w14:paraId="5CBDEF6D">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阿斯巴甜、安赛蜜、三聚氰胺、铅（以Pb计）、金黄色葡萄球菌、沙门氏菌、大肠菌群、酵母、霉菌</w:t>
            </w:r>
          </w:p>
        </w:tc>
      </w:tr>
      <w:tr w14:paraId="6AB3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5CCC67E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3CCD01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51E54F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46415B83">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spacing w:val="1"/>
                <w:sz w:val="24"/>
                <w:szCs w:val="24"/>
                <w:highlight w:val="none"/>
              </w:rPr>
            </w:pPr>
          </w:p>
        </w:tc>
        <w:tc>
          <w:tcPr>
            <w:tcW w:w="1733" w:type="dxa"/>
            <w:vAlign w:val="center"/>
          </w:tcPr>
          <w:p w14:paraId="476B195B">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高温杀菌乳</w:t>
            </w:r>
          </w:p>
        </w:tc>
        <w:tc>
          <w:tcPr>
            <w:tcW w:w="825" w:type="dxa"/>
            <w:vAlign w:val="center"/>
          </w:tcPr>
          <w:p w14:paraId="239FFC1E">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3F060DDE">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蛋白质、酸度、三聚氰胺、铅（以Pb计）、黄曲霉毒素M</w:t>
            </w:r>
            <w:r>
              <w:rPr>
                <w:rFonts w:hint="eastAsia" w:ascii="仿宋" w:hAnsi="仿宋" w:eastAsia="仿宋" w:cs="仿宋"/>
                <w:color w:val="auto"/>
                <w:kern w:val="0"/>
                <w:sz w:val="24"/>
                <w:szCs w:val="24"/>
                <w:highlight w:val="none"/>
                <w:vertAlign w:val="subscript"/>
              </w:rPr>
              <w:t>1</w:t>
            </w:r>
            <w:r>
              <w:rPr>
                <w:rFonts w:hint="eastAsia" w:ascii="仿宋" w:hAnsi="仿宋" w:eastAsia="仿宋" w:cs="仿宋"/>
                <w:color w:val="auto"/>
                <w:kern w:val="0"/>
                <w:sz w:val="24"/>
                <w:szCs w:val="24"/>
                <w:highlight w:val="none"/>
              </w:rPr>
              <w:t>、沙门氏菌</w:t>
            </w:r>
          </w:p>
        </w:tc>
        <w:tc>
          <w:tcPr>
            <w:tcW w:w="3395" w:type="dxa"/>
            <w:vAlign w:val="center"/>
          </w:tcPr>
          <w:p w14:paraId="0049516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菌落总数、大肠菌群、丙二醇</w:t>
            </w:r>
          </w:p>
        </w:tc>
      </w:tr>
      <w:tr w14:paraId="4D3F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438" w:type="dxa"/>
            <w:vMerge w:val="continue"/>
            <w:vAlign w:val="center"/>
          </w:tcPr>
          <w:p w14:paraId="3B5CACB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1A53FD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2CCA7EA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084CC4AA">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乳清粉和乳清蛋白粉（企业原料）</w:t>
            </w:r>
          </w:p>
        </w:tc>
        <w:tc>
          <w:tcPr>
            <w:tcW w:w="1733" w:type="dxa"/>
            <w:vAlign w:val="center"/>
          </w:tcPr>
          <w:p w14:paraId="763BF72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脱盐乳清粉、非脱盐乳清粉、浓缩乳清蛋白粉、分离乳清蛋白粉</w:t>
            </w:r>
          </w:p>
        </w:tc>
        <w:tc>
          <w:tcPr>
            <w:tcW w:w="825" w:type="dxa"/>
            <w:vAlign w:val="center"/>
          </w:tcPr>
          <w:p w14:paraId="2D12547E">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629ED40D">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蛋白质、三聚氰胺</w:t>
            </w:r>
          </w:p>
        </w:tc>
        <w:tc>
          <w:tcPr>
            <w:tcW w:w="3395" w:type="dxa"/>
            <w:vAlign w:val="center"/>
          </w:tcPr>
          <w:p w14:paraId="4D08AE8D">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6F04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72E478D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45C5CA6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7F566F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Align w:val="center"/>
          </w:tcPr>
          <w:p w14:paraId="0C273B8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乳粉</w:t>
            </w:r>
          </w:p>
        </w:tc>
        <w:tc>
          <w:tcPr>
            <w:tcW w:w="1733" w:type="dxa"/>
            <w:vAlign w:val="center"/>
          </w:tcPr>
          <w:p w14:paraId="21517E3A">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乳粉（全脂、脱脂、部分脱脂和调制乳粉）</w:t>
            </w:r>
          </w:p>
        </w:tc>
        <w:tc>
          <w:tcPr>
            <w:tcW w:w="825" w:type="dxa"/>
            <w:vAlign w:val="center"/>
          </w:tcPr>
          <w:p w14:paraId="755D32D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4FA672A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蛋白质、脂肪、复原乳酸度、杂质度、水分、三聚氰胺</w:t>
            </w:r>
          </w:p>
        </w:tc>
        <w:tc>
          <w:tcPr>
            <w:tcW w:w="3395" w:type="dxa"/>
            <w:vAlign w:val="center"/>
          </w:tcPr>
          <w:p w14:paraId="59E2CA6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铅（以Pb计）、菌落总数、大肠菌群</w:t>
            </w:r>
          </w:p>
        </w:tc>
      </w:tr>
      <w:tr w14:paraId="3C90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4E012332">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2817163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A28615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restart"/>
            <w:vAlign w:val="center"/>
          </w:tcPr>
          <w:p w14:paraId="563DEB0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其他乳制品（炼乳、奶油、干酪、固态成型产品）</w:t>
            </w:r>
          </w:p>
        </w:tc>
        <w:tc>
          <w:tcPr>
            <w:tcW w:w="1733" w:type="dxa"/>
            <w:vAlign w:val="center"/>
          </w:tcPr>
          <w:p w14:paraId="7948C9DB">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浓缩乳制品</w:t>
            </w:r>
          </w:p>
        </w:tc>
        <w:tc>
          <w:tcPr>
            <w:tcW w:w="825" w:type="dxa"/>
            <w:vAlign w:val="center"/>
          </w:tcPr>
          <w:p w14:paraId="32BDAAE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760708AC">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蛋白质、三聚氰胺、商业无菌、大肠菌群、菌落总数</w:t>
            </w:r>
          </w:p>
        </w:tc>
        <w:tc>
          <w:tcPr>
            <w:tcW w:w="3395" w:type="dxa"/>
            <w:vAlign w:val="center"/>
          </w:tcPr>
          <w:p w14:paraId="450E3187">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p>
        </w:tc>
      </w:tr>
      <w:tr w14:paraId="2040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 w:hRule="atLeast"/>
        </w:trPr>
        <w:tc>
          <w:tcPr>
            <w:tcW w:w="438" w:type="dxa"/>
            <w:vMerge w:val="continue"/>
            <w:vAlign w:val="center"/>
          </w:tcPr>
          <w:p w14:paraId="7A3169DF">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07C5C10">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58874A1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5EC22FC2">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spacing w:val="1"/>
                <w:sz w:val="24"/>
                <w:szCs w:val="24"/>
                <w:highlight w:val="none"/>
              </w:rPr>
            </w:pPr>
          </w:p>
        </w:tc>
        <w:tc>
          <w:tcPr>
            <w:tcW w:w="1733" w:type="dxa"/>
            <w:vAlign w:val="center"/>
          </w:tcPr>
          <w:p w14:paraId="6428787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稀奶油、奶油和无水奶油</w:t>
            </w:r>
          </w:p>
        </w:tc>
        <w:tc>
          <w:tcPr>
            <w:tcW w:w="825" w:type="dxa"/>
            <w:vAlign w:val="center"/>
          </w:tcPr>
          <w:p w14:paraId="41A85D3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5750FE2D">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脂肪、酸度、三聚氰胺、脱氢乙酸及其钠盐（以脱氢乙酸计）、沙门氏菌、商业无菌</w:t>
            </w:r>
          </w:p>
        </w:tc>
        <w:tc>
          <w:tcPr>
            <w:tcW w:w="3395" w:type="dxa"/>
            <w:vAlign w:val="center"/>
          </w:tcPr>
          <w:p w14:paraId="01679FEB">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菌落总数、大肠菌群、霉菌</w:t>
            </w:r>
          </w:p>
        </w:tc>
      </w:tr>
      <w:tr w14:paraId="02E2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438" w:type="dxa"/>
            <w:vMerge w:val="continue"/>
            <w:vAlign w:val="center"/>
          </w:tcPr>
          <w:p w14:paraId="0484679C">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00A0A25">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597169B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4E8BDA95">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spacing w:val="1"/>
                <w:sz w:val="24"/>
                <w:szCs w:val="24"/>
                <w:highlight w:val="none"/>
              </w:rPr>
            </w:pPr>
          </w:p>
        </w:tc>
        <w:tc>
          <w:tcPr>
            <w:tcW w:w="1733" w:type="dxa"/>
            <w:vAlign w:val="center"/>
          </w:tcPr>
          <w:p w14:paraId="2668A4EA">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干酪、再制干酪、干酪制品</w:t>
            </w:r>
          </w:p>
        </w:tc>
        <w:tc>
          <w:tcPr>
            <w:tcW w:w="825" w:type="dxa"/>
            <w:vAlign w:val="center"/>
          </w:tcPr>
          <w:p w14:paraId="1957D58D">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65EB2C47">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三聚氰胺、金黄色葡萄球菌、沙门氏菌、单核细胞增生李斯特氏菌、菌落总数、大肠菌群、霉菌</w:t>
            </w:r>
          </w:p>
        </w:tc>
        <w:tc>
          <w:tcPr>
            <w:tcW w:w="3395" w:type="dxa"/>
            <w:vAlign w:val="center"/>
          </w:tcPr>
          <w:p w14:paraId="11AEBD17">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6A4D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38" w:type="dxa"/>
            <w:vMerge w:val="continue"/>
            <w:vAlign w:val="center"/>
          </w:tcPr>
          <w:p w14:paraId="0E12E7B8">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44AF1B29">
            <w:pPr>
              <w:pageBreakBefore w:val="0"/>
              <w:widowControl w:val="0"/>
              <w:pBdr>
                <w:top w:val="none" w:color="auto" w:sz="0" w:space="1"/>
                <w:left w:val="none" w:color="auto" w:sz="0" w:space="4"/>
                <w:bottom w:val="none" w:color="auto" w:sz="0" w:space="1"/>
                <w:right w:val="none" w:color="auto" w:sz="0" w:space="4"/>
                <w:between w:val="none" w:color="auto" w:sz="0" w:space="0"/>
              </w:pBdr>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321C2A6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spacing w:val="3"/>
                <w:kern w:val="0"/>
                <w:sz w:val="24"/>
                <w:szCs w:val="24"/>
                <w:highlight w:val="none"/>
                <w:lang w:eastAsia="zh-CN"/>
              </w:rPr>
            </w:pPr>
          </w:p>
        </w:tc>
        <w:tc>
          <w:tcPr>
            <w:tcW w:w="1356" w:type="dxa"/>
            <w:vMerge w:val="continue"/>
            <w:vAlign w:val="center"/>
          </w:tcPr>
          <w:p w14:paraId="4BF71F0E">
            <w:pPr>
              <w:pStyle w:val="36"/>
              <w:keepNext w:val="0"/>
              <w:keepLines w:val="0"/>
              <w:pageBreakBefore w:val="0"/>
              <w:widowControl w:val="0"/>
              <w:kinsoku/>
              <w:wordWrap/>
              <w:overflowPunct/>
              <w:topLinePunct w:val="0"/>
              <w:autoSpaceDE w:val="0"/>
              <w:autoSpaceDN w:val="0"/>
              <w:bidi w:val="0"/>
              <w:adjustRightInd w:val="0"/>
              <w:snapToGrid w:val="0"/>
              <w:spacing w:before="68" w:line="300" w:lineRule="exact"/>
              <w:ind w:left="0" w:leftChars="0" w:right="0" w:rightChars="0" w:firstLine="0" w:firstLineChars="0"/>
              <w:jc w:val="center"/>
              <w:textAlignment w:val="baseline"/>
              <w:rPr>
                <w:rFonts w:hint="eastAsia" w:ascii="仿宋" w:hAnsi="仿宋" w:eastAsia="仿宋" w:cs="仿宋"/>
                <w:color w:val="auto"/>
                <w:spacing w:val="1"/>
                <w:sz w:val="24"/>
                <w:szCs w:val="24"/>
                <w:highlight w:val="none"/>
              </w:rPr>
            </w:pPr>
          </w:p>
        </w:tc>
        <w:tc>
          <w:tcPr>
            <w:tcW w:w="1733" w:type="dxa"/>
            <w:vAlign w:val="center"/>
          </w:tcPr>
          <w:p w14:paraId="4ACBB41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奶片、奶条等固态成型产品</w:t>
            </w:r>
          </w:p>
        </w:tc>
        <w:tc>
          <w:tcPr>
            <w:tcW w:w="825" w:type="dxa"/>
            <w:vAlign w:val="center"/>
          </w:tcPr>
          <w:p w14:paraId="42C45EC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高</w:t>
            </w:r>
          </w:p>
        </w:tc>
        <w:tc>
          <w:tcPr>
            <w:tcW w:w="4459" w:type="dxa"/>
            <w:vAlign w:val="center"/>
          </w:tcPr>
          <w:p w14:paraId="0BF157A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蛋白质、脱氢乙酸及其钠盐（以脱氢乙酸计）、三聚氰胺、沙门氏菌</w:t>
            </w:r>
          </w:p>
        </w:tc>
        <w:tc>
          <w:tcPr>
            <w:tcW w:w="3395" w:type="dxa"/>
            <w:vAlign w:val="center"/>
          </w:tcPr>
          <w:p w14:paraId="6A174476">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7A15F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restart"/>
            <w:vAlign w:val="center"/>
          </w:tcPr>
          <w:p w14:paraId="70155B3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064" w:type="dxa"/>
            <w:vMerge w:val="restart"/>
            <w:vAlign w:val="center"/>
          </w:tcPr>
          <w:p w14:paraId="0387D41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饮料</w:t>
            </w:r>
          </w:p>
        </w:tc>
        <w:tc>
          <w:tcPr>
            <w:tcW w:w="1065" w:type="dxa"/>
            <w:vMerge w:val="restart"/>
            <w:vAlign w:val="center"/>
          </w:tcPr>
          <w:p w14:paraId="7DA0E47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饮料</w:t>
            </w:r>
          </w:p>
        </w:tc>
        <w:tc>
          <w:tcPr>
            <w:tcW w:w="1356" w:type="dxa"/>
            <w:vMerge w:val="restart"/>
            <w:vAlign w:val="center"/>
          </w:tcPr>
          <w:p w14:paraId="4C2E7FE4">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2"/>
                <w:kern w:val="0"/>
                <w:sz w:val="24"/>
                <w:szCs w:val="24"/>
                <w:highlight w:val="none"/>
              </w:rPr>
              <w:t>包装饮用水</w:t>
            </w:r>
          </w:p>
        </w:tc>
        <w:tc>
          <w:tcPr>
            <w:tcW w:w="1733" w:type="dxa"/>
            <w:vAlign w:val="center"/>
          </w:tcPr>
          <w:p w14:paraId="1351EC54">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2"/>
                <w:kern w:val="0"/>
                <w:sz w:val="24"/>
                <w:szCs w:val="24"/>
                <w:highlight w:val="none"/>
              </w:rPr>
              <w:t>饮用天然矿</w:t>
            </w:r>
            <w:r>
              <w:rPr>
                <w:rFonts w:hint="eastAsia" w:ascii="仿宋" w:hAnsi="仿宋" w:eastAsia="仿宋" w:cs="仿宋"/>
                <w:color w:val="auto"/>
                <w:spacing w:val="-3"/>
                <w:kern w:val="0"/>
                <w:sz w:val="24"/>
                <w:szCs w:val="24"/>
                <w:highlight w:val="none"/>
              </w:rPr>
              <w:t>泉水</w:t>
            </w:r>
          </w:p>
        </w:tc>
        <w:tc>
          <w:tcPr>
            <w:tcW w:w="825" w:type="dxa"/>
            <w:vAlign w:val="center"/>
          </w:tcPr>
          <w:p w14:paraId="39D21E3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73FC9EF1">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界限指标、总砷（以As计）、溴酸盐、硝酸盐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以NO</w:t>
            </w:r>
            <w:r>
              <w:rPr>
                <w:rFonts w:hint="eastAsia" w:ascii="仿宋" w:hAnsi="仿宋" w:eastAsia="仿宋" w:cs="仿宋"/>
                <w:color w:val="auto"/>
                <w:sz w:val="24"/>
                <w:szCs w:val="24"/>
                <w:highlight w:val="none"/>
                <w:vertAlign w:val="subscript"/>
              </w:rPr>
              <w:t>3</w:t>
            </w:r>
            <w:r>
              <w:rPr>
                <w:rFonts w:hint="eastAsia" w:ascii="仿宋" w:hAnsi="仿宋" w:eastAsia="仿宋" w:cs="仿宋"/>
                <w:color w:val="auto"/>
                <w:sz w:val="24"/>
                <w:szCs w:val="24"/>
                <w:highlight w:val="none"/>
                <w:vertAlign w:val="superscript"/>
              </w:rPr>
              <w:t>-</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、亚硝酸盐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以NO</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vertAlign w:val="superscript"/>
              </w:rPr>
              <w:t>-</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、大肠菌群、铜绿假单胞菌</w:t>
            </w:r>
          </w:p>
        </w:tc>
        <w:tc>
          <w:tcPr>
            <w:tcW w:w="3395" w:type="dxa"/>
            <w:vAlign w:val="center"/>
          </w:tcPr>
          <w:p w14:paraId="5279027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铅（以Pb计）、镉（以Cd计）</w:t>
            </w:r>
          </w:p>
        </w:tc>
      </w:tr>
      <w:tr w14:paraId="5C3D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4FC7190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F24E47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16D1EA8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5E7B7FCC">
            <w:pPr>
              <w:pageBreakBefore w:val="0"/>
              <w:widowControl w:val="0"/>
              <w:pBdr>
                <w:top w:val="none" w:color="auto" w:sz="0" w:space="1"/>
                <w:left w:val="none" w:color="auto" w:sz="0" w:space="4"/>
                <w:bottom w:val="none" w:color="auto" w:sz="0" w:space="1"/>
                <w:right w:val="none" w:color="auto" w:sz="0" w:space="4"/>
              </w:pBdr>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4C184496">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2"/>
                <w:kern w:val="0"/>
                <w:sz w:val="24"/>
                <w:szCs w:val="24"/>
                <w:highlight w:val="none"/>
              </w:rPr>
              <w:t>饮用纯净水</w:t>
            </w:r>
          </w:p>
        </w:tc>
        <w:tc>
          <w:tcPr>
            <w:tcW w:w="825" w:type="dxa"/>
            <w:vAlign w:val="center"/>
          </w:tcPr>
          <w:p w14:paraId="4716356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119DE5AD">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电导率、亚硝酸盐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以NO</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vertAlign w:val="superscript"/>
              </w:rPr>
              <w:t>-</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、余氯</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游离氯</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、溴酸盐、大肠菌群、铜绿假单胞菌</w:t>
            </w:r>
          </w:p>
        </w:tc>
        <w:tc>
          <w:tcPr>
            <w:tcW w:w="3395" w:type="dxa"/>
            <w:vAlign w:val="center"/>
          </w:tcPr>
          <w:p w14:paraId="3209DAAB">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耗氧量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以O</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、三氯甲烷</w:t>
            </w:r>
          </w:p>
          <w:p w14:paraId="7C5B9211">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2AF2F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5EFF5BB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163AF26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18C00B5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66869EF2">
            <w:pPr>
              <w:pageBreakBefore w:val="0"/>
              <w:widowControl w:val="0"/>
              <w:pBdr>
                <w:top w:val="none" w:color="auto" w:sz="0" w:space="1"/>
                <w:left w:val="none" w:color="auto" w:sz="0" w:space="4"/>
                <w:bottom w:val="none" w:color="auto" w:sz="0" w:space="1"/>
                <w:right w:val="none" w:color="auto" w:sz="0" w:space="4"/>
              </w:pBdr>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0EF78A07">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4"/>
                <w:kern w:val="0"/>
                <w:sz w:val="24"/>
                <w:szCs w:val="24"/>
                <w:highlight w:val="none"/>
              </w:rPr>
              <w:t>其他类饮用</w:t>
            </w:r>
            <w:r>
              <w:rPr>
                <w:rFonts w:hint="eastAsia" w:ascii="仿宋" w:hAnsi="仿宋" w:eastAsia="仿宋" w:cs="仿宋"/>
                <w:color w:val="auto"/>
                <w:kern w:val="0"/>
                <w:sz w:val="24"/>
                <w:szCs w:val="24"/>
                <w:highlight w:val="none"/>
              </w:rPr>
              <w:t>水</w:t>
            </w:r>
          </w:p>
        </w:tc>
        <w:tc>
          <w:tcPr>
            <w:tcW w:w="825" w:type="dxa"/>
            <w:vAlign w:val="center"/>
          </w:tcPr>
          <w:p w14:paraId="4FB6E8A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42E1FDF6">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亚硝酸盐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以NO</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vertAlign w:val="superscript"/>
              </w:rPr>
              <w:t>-</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、余氯</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游离氯</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、溴酸盐、大肠菌群、铜绿假单胞菌、总砷（以As计）</w:t>
            </w:r>
          </w:p>
        </w:tc>
        <w:tc>
          <w:tcPr>
            <w:tcW w:w="3395" w:type="dxa"/>
            <w:vAlign w:val="center"/>
          </w:tcPr>
          <w:p w14:paraId="7705D7A2">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耗氧量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以O</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、三氯甲烷</w:t>
            </w:r>
          </w:p>
          <w:p w14:paraId="764E0D2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2089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438" w:type="dxa"/>
            <w:vMerge w:val="continue"/>
            <w:vAlign w:val="center"/>
          </w:tcPr>
          <w:p w14:paraId="0721C74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F759CD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BD6946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006D30D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rPr>
              <w:t>果蔬汁类及</w:t>
            </w:r>
            <w:r>
              <w:rPr>
                <w:rFonts w:hint="eastAsia" w:ascii="仿宋" w:hAnsi="仿宋" w:eastAsia="仿宋" w:cs="仿宋"/>
                <w:color w:val="auto"/>
                <w:spacing w:val="-2"/>
                <w:kern w:val="0"/>
                <w:sz w:val="24"/>
                <w:szCs w:val="24"/>
                <w:highlight w:val="none"/>
              </w:rPr>
              <w:t>其饮料</w:t>
            </w:r>
          </w:p>
        </w:tc>
        <w:tc>
          <w:tcPr>
            <w:tcW w:w="1733" w:type="dxa"/>
            <w:vAlign w:val="center"/>
          </w:tcPr>
          <w:p w14:paraId="2FF1706E">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rPr>
              <w:t>果蔬汁类及</w:t>
            </w:r>
            <w:r>
              <w:rPr>
                <w:rFonts w:hint="eastAsia" w:ascii="仿宋" w:hAnsi="仿宋" w:eastAsia="仿宋" w:cs="仿宋"/>
                <w:color w:val="auto"/>
                <w:spacing w:val="-2"/>
                <w:kern w:val="0"/>
                <w:sz w:val="24"/>
                <w:szCs w:val="24"/>
                <w:highlight w:val="none"/>
              </w:rPr>
              <w:t>其饮料</w:t>
            </w:r>
          </w:p>
        </w:tc>
        <w:tc>
          <w:tcPr>
            <w:tcW w:w="825" w:type="dxa"/>
            <w:vAlign w:val="center"/>
          </w:tcPr>
          <w:p w14:paraId="661D93D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3A485C84">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、展青霉素、阿斯巴甜、合成着色剂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柠檬黄、新红、苋菜红、靛蓝、胭脂红、日落黄、诱惑红、亮蓝、酸性红、喹啉黄、赤藓红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、菌落总数、大肠菌群、霉菌、酵母</w:t>
            </w:r>
          </w:p>
        </w:tc>
        <w:tc>
          <w:tcPr>
            <w:tcW w:w="3395" w:type="dxa"/>
            <w:vAlign w:val="center"/>
          </w:tcPr>
          <w:p w14:paraId="728A9C73">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苯甲酸及其钠盐（以苯甲酸计）、山梨酸及其钾盐（以山梨酸计）、防腐剂混合使用时各自用量占其最大使用量的比例之和</w:t>
            </w:r>
          </w:p>
          <w:p w14:paraId="41AC20CE">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p>
        </w:tc>
      </w:tr>
      <w:tr w14:paraId="02E4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6547A3D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5C4888E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D37201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2185A38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3"/>
                <w:kern w:val="0"/>
                <w:sz w:val="24"/>
                <w:szCs w:val="24"/>
                <w:highlight w:val="none"/>
              </w:rPr>
              <w:t>蛋白饮料</w:t>
            </w:r>
          </w:p>
        </w:tc>
        <w:tc>
          <w:tcPr>
            <w:tcW w:w="1733" w:type="dxa"/>
            <w:vAlign w:val="center"/>
          </w:tcPr>
          <w:p w14:paraId="3C753CBB">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3"/>
                <w:kern w:val="0"/>
                <w:sz w:val="24"/>
                <w:szCs w:val="24"/>
                <w:highlight w:val="none"/>
              </w:rPr>
              <w:t>蛋白饮料</w:t>
            </w:r>
          </w:p>
        </w:tc>
        <w:tc>
          <w:tcPr>
            <w:tcW w:w="825" w:type="dxa"/>
            <w:vAlign w:val="center"/>
          </w:tcPr>
          <w:p w14:paraId="37CC7EF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5B3AE7C9">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蛋白质、乳酸菌数、氰化物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以HCN计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、三聚氰胺、脱氢乙酸及其钠盐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、安赛蜜、甜蜜素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、阿斯巴甜、菌落总数、大肠菌群、商业无菌</w:t>
            </w:r>
          </w:p>
        </w:tc>
        <w:tc>
          <w:tcPr>
            <w:tcW w:w="3395" w:type="dxa"/>
            <w:vAlign w:val="center"/>
          </w:tcPr>
          <w:p w14:paraId="71D67F76">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霉菌、酵母</w:t>
            </w:r>
          </w:p>
        </w:tc>
      </w:tr>
      <w:tr w14:paraId="25A8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0CA0695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811569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DF104D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45BA69E9">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pacing w:val="-2"/>
                <w:kern w:val="0"/>
                <w:sz w:val="24"/>
                <w:szCs w:val="24"/>
                <w:highlight w:val="none"/>
              </w:rPr>
            </w:pPr>
            <w:r>
              <w:rPr>
                <w:rFonts w:hint="eastAsia" w:ascii="仿宋" w:hAnsi="仿宋" w:eastAsia="仿宋" w:cs="仿宋"/>
                <w:color w:val="auto"/>
                <w:spacing w:val="-2"/>
                <w:kern w:val="0"/>
                <w:sz w:val="24"/>
                <w:szCs w:val="24"/>
                <w:highlight w:val="none"/>
              </w:rPr>
              <w:t>碳酸饮料</w:t>
            </w:r>
          </w:p>
          <w:p w14:paraId="63CA931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9"/>
                <w:kern w:val="0"/>
                <w:sz w:val="24"/>
                <w:szCs w:val="24"/>
                <w:highlight w:val="none"/>
              </w:rPr>
              <w:t>（汽水）</w:t>
            </w:r>
          </w:p>
        </w:tc>
        <w:tc>
          <w:tcPr>
            <w:tcW w:w="1733" w:type="dxa"/>
            <w:vAlign w:val="center"/>
          </w:tcPr>
          <w:p w14:paraId="7EF07ECF">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pacing w:val="-2"/>
                <w:kern w:val="0"/>
                <w:sz w:val="24"/>
                <w:szCs w:val="24"/>
                <w:highlight w:val="none"/>
              </w:rPr>
            </w:pPr>
            <w:r>
              <w:rPr>
                <w:rFonts w:hint="eastAsia" w:ascii="仿宋" w:hAnsi="仿宋" w:eastAsia="仿宋" w:cs="仿宋"/>
                <w:color w:val="auto"/>
                <w:spacing w:val="-2"/>
                <w:kern w:val="0"/>
                <w:sz w:val="24"/>
                <w:szCs w:val="24"/>
                <w:highlight w:val="none"/>
              </w:rPr>
              <w:t>碳酸饮料</w:t>
            </w:r>
          </w:p>
          <w:p w14:paraId="1A6175F7">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9"/>
                <w:kern w:val="0"/>
                <w:sz w:val="24"/>
                <w:szCs w:val="24"/>
                <w:highlight w:val="none"/>
              </w:rPr>
              <w:t>（汽水）</w:t>
            </w:r>
          </w:p>
        </w:tc>
        <w:tc>
          <w:tcPr>
            <w:tcW w:w="825" w:type="dxa"/>
            <w:vAlign w:val="center"/>
          </w:tcPr>
          <w:p w14:paraId="4C83628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1F76CD40">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二氧化碳气容量、苯甲酸及其钠盐（以苯甲酸计）、山梨酸及其钾盐（以山梨酸计）、防腐剂混合使用时各自用量占其最大使用量的比例之和、菌落总数、霉菌、酵母</w:t>
            </w:r>
          </w:p>
        </w:tc>
        <w:tc>
          <w:tcPr>
            <w:tcW w:w="3395" w:type="dxa"/>
            <w:vAlign w:val="center"/>
          </w:tcPr>
          <w:p w14:paraId="624657B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安赛蜜、阿斯巴甜、甜蜜素（以环己基氨基磺酸计）</w:t>
            </w:r>
          </w:p>
        </w:tc>
      </w:tr>
      <w:tr w14:paraId="5CEC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 w:hRule="atLeast"/>
        </w:trPr>
        <w:tc>
          <w:tcPr>
            <w:tcW w:w="438" w:type="dxa"/>
            <w:vMerge w:val="continue"/>
            <w:vAlign w:val="center"/>
          </w:tcPr>
          <w:p w14:paraId="4A0A943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CA9D08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AFDB1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6F9E1E1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3"/>
                <w:kern w:val="0"/>
                <w:sz w:val="24"/>
                <w:szCs w:val="24"/>
                <w:highlight w:val="none"/>
              </w:rPr>
              <w:t>茶饮料</w:t>
            </w:r>
          </w:p>
        </w:tc>
        <w:tc>
          <w:tcPr>
            <w:tcW w:w="1733" w:type="dxa"/>
            <w:vAlign w:val="center"/>
          </w:tcPr>
          <w:p w14:paraId="2B944197">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3"/>
                <w:kern w:val="0"/>
                <w:sz w:val="24"/>
                <w:szCs w:val="24"/>
                <w:highlight w:val="none"/>
              </w:rPr>
              <w:t>茶饮料</w:t>
            </w:r>
          </w:p>
        </w:tc>
        <w:tc>
          <w:tcPr>
            <w:tcW w:w="825" w:type="dxa"/>
            <w:vAlign w:val="center"/>
          </w:tcPr>
          <w:p w14:paraId="039547C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52CB9C91">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茶多酚、咖啡因、安赛蜜、甜蜜素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、阿斯巴甜、菌落总数</w:t>
            </w:r>
          </w:p>
        </w:tc>
        <w:tc>
          <w:tcPr>
            <w:tcW w:w="3395" w:type="dxa"/>
            <w:vAlign w:val="center"/>
          </w:tcPr>
          <w:p w14:paraId="577B06A8">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p>
          <w:p w14:paraId="3F4BB8A7">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p>
        </w:tc>
      </w:tr>
      <w:tr w14:paraId="0610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0" w:hRule="atLeast"/>
        </w:trPr>
        <w:tc>
          <w:tcPr>
            <w:tcW w:w="438" w:type="dxa"/>
            <w:vMerge w:val="continue"/>
            <w:vAlign w:val="center"/>
          </w:tcPr>
          <w:p w14:paraId="4DF7017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864770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33C989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60AC763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rPr>
              <w:t>固体饮料</w:t>
            </w:r>
          </w:p>
        </w:tc>
        <w:tc>
          <w:tcPr>
            <w:tcW w:w="1733" w:type="dxa"/>
            <w:vAlign w:val="center"/>
          </w:tcPr>
          <w:p w14:paraId="6372CF9C">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kern w:val="0"/>
                <w:sz w:val="24"/>
                <w:szCs w:val="24"/>
                <w:highlight w:val="none"/>
              </w:rPr>
              <w:t>固体饮料</w:t>
            </w:r>
          </w:p>
        </w:tc>
        <w:tc>
          <w:tcPr>
            <w:tcW w:w="825" w:type="dxa"/>
            <w:vAlign w:val="center"/>
          </w:tcPr>
          <w:p w14:paraId="3BBA9DD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5E4F680A">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蛋白质、西地那非、他达拉非、西布曲明、比沙可啶、氰化物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以HCN计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、糖精钠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以糖精计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、安赛蜜、甜蜜素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、阿斯巴甜、合成着色剂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柠檬黄、新红、苋菜红、靛蓝、胭脂红、日落黄、诱惑红、亮蓝、酸性红、喹啉黄、赤藓红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、相同色泽着色剂混合使用时各自用量占其最大使用量的比例之和、菌落总数、大肠菌群、霉菌</w:t>
            </w:r>
          </w:p>
        </w:tc>
        <w:tc>
          <w:tcPr>
            <w:tcW w:w="3395" w:type="dxa"/>
            <w:vAlign w:val="center"/>
          </w:tcPr>
          <w:p w14:paraId="40AEF565">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、苯甲酸及其钠盐（以苯甲酸计）、山梨酸及其钾盐（以山梨酸计）、防腐剂混合使用时各自用量占其最大使用量的比例之和</w:t>
            </w:r>
          </w:p>
        </w:tc>
      </w:tr>
      <w:tr w14:paraId="33AB3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9" w:hRule="atLeast"/>
        </w:trPr>
        <w:tc>
          <w:tcPr>
            <w:tcW w:w="438" w:type="dxa"/>
            <w:vMerge w:val="continue"/>
            <w:vAlign w:val="center"/>
          </w:tcPr>
          <w:p w14:paraId="14D4482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C26070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E17D3A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1A73236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2"/>
                <w:kern w:val="0"/>
                <w:sz w:val="24"/>
                <w:szCs w:val="24"/>
                <w:highlight w:val="none"/>
              </w:rPr>
              <w:t>其他饮料</w:t>
            </w:r>
          </w:p>
        </w:tc>
        <w:tc>
          <w:tcPr>
            <w:tcW w:w="1733" w:type="dxa"/>
            <w:vAlign w:val="center"/>
          </w:tcPr>
          <w:p w14:paraId="56EC028E">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2"/>
                <w:kern w:val="0"/>
                <w:sz w:val="24"/>
                <w:szCs w:val="24"/>
                <w:highlight w:val="none"/>
              </w:rPr>
              <w:t>其他饮料</w:t>
            </w:r>
          </w:p>
        </w:tc>
        <w:tc>
          <w:tcPr>
            <w:tcW w:w="825" w:type="dxa"/>
            <w:vAlign w:val="center"/>
          </w:tcPr>
          <w:p w14:paraId="19EC816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4F9EBAA">
            <w:pPr>
              <w:pageBreakBefore w:val="0"/>
              <w:widowControl w:val="0"/>
              <w:pBdr>
                <w:top w:val="none" w:color="auto" w:sz="0" w:space="1"/>
                <w:left w:val="none" w:color="auto" w:sz="0" w:space="4"/>
                <w:bottom w:val="none" w:color="auto" w:sz="0" w:space="1"/>
                <w:right w:val="none" w:color="auto" w:sz="0" w:space="4"/>
              </w:pBdr>
              <w:wordWrap/>
              <w:overflowPunct/>
              <w:topLinePunct w:val="0"/>
              <w:autoSpaceDE w:val="0"/>
              <w:autoSpaceDN w:val="0"/>
              <w:bidi w:val="0"/>
              <w:adjustRightInd w:val="0"/>
              <w:snapToGrid w:val="0"/>
              <w:spacing w:line="30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、山梨酸及其钾盐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、防腐剂混合使用时各自用量占其最大使用量的比例之和、糖精钠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以糖精计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柠檬黄、新红、苋菜红、靛蓝、胭脂红、日落黄、诱惑红、亮蓝、酸性红、喹啉黄、赤藓红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、菌落总数、大肠菌群、霉菌、酵母、</w:t>
            </w:r>
          </w:p>
        </w:tc>
        <w:tc>
          <w:tcPr>
            <w:tcW w:w="3395" w:type="dxa"/>
            <w:vAlign w:val="center"/>
          </w:tcPr>
          <w:p w14:paraId="775657C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安赛蜜、甜蜜素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p>
        </w:tc>
      </w:tr>
      <w:tr w14:paraId="56C7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restart"/>
            <w:vAlign w:val="center"/>
          </w:tcPr>
          <w:p w14:paraId="7AF232B0">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7</w:t>
            </w:r>
          </w:p>
        </w:tc>
        <w:tc>
          <w:tcPr>
            <w:tcW w:w="1064" w:type="dxa"/>
            <w:vMerge w:val="restart"/>
            <w:vAlign w:val="center"/>
          </w:tcPr>
          <w:p w14:paraId="020B6A6D">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方便食品</w:t>
            </w:r>
          </w:p>
        </w:tc>
        <w:tc>
          <w:tcPr>
            <w:tcW w:w="1065" w:type="dxa"/>
            <w:vMerge w:val="restart"/>
            <w:vAlign w:val="center"/>
          </w:tcPr>
          <w:p w14:paraId="546E7457">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方便食品</w:t>
            </w:r>
          </w:p>
        </w:tc>
        <w:tc>
          <w:tcPr>
            <w:tcW w:w="1356" w:type="dxa"/>
            <w:vAlign w:val="center"/>
          </w:tcPr>
          <w:p w14:paraId="3363AE1A">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方便面</w:t>
            </w:r>
          </w:p>
        </w:tc>
        <w:tc>
          <w:tcPr>
            <w:tcW w:w="1733" w:type="dxa"/>
            <w:vAlign w:val="center"/>
          </w:tcPr>
          <w:p w14:paraId="256CFAA7">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油炸面、非油炸面</w:t>
            </w:r>
          </w:p>
        </w:tc>
        <w:tc>
          <w:tcPr>
            <w:tcW w:w="825" w:type="dxa"/>
            <w:vAlign w:val="center"/>
          </w:tcPr>
          <w:p w14:paraId="3CA44274">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较高</w:t>
            </w:r>
          </w:p>
          <w:p w14:paraId="1F79BAE0">
            <w:pPr>
              <w:pageBreakBefore w:val="0"/>
              <w:widowControl w:val="0"/>
              <w:wordWrap/>
              <w:overflowPunct/>
              <w:topLinePunct w:val="0"/>
              <w:bidi w:val="0"/>
              <w:spacing w:line="300" w:lineRule="exact"/>
              <w:jc w:val="center"/>
              <w:rPr>
                <w:rFonts w:hint="eastAsia" w:ascii="仿宋" w:hAnsi="仿宋" w:eastAsia="仿宋" w:cs="仿宋"/>
                <w:strike/>
                <w:color w:val="auto"/>
                <w:spacing w:val="5"/>
                <w:kern w:val="2"/>
                <w:sz w:val="24"/>
                <w:szCs w:val="24"/>
                <w:highlight w:val="none"/>
                <w:lang w:val="en-US" w:eastAsia="zh-CN" w:bidi="ar-SA"/>
              </w:rPr>
            </w:pPr>
          </w:p>
        </w:tc>
        <w:tc>
          <w:tcPr>
            <w:tcW w:w="4459" w:type="dxa"/>
            <w:vAlign w:val="center"/>
          </w:tcPr>
          <w:p w14:paraId="25752CBC">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水分、酸价（以脂肪计）（KOH）、过氧化值（以脂肪计）、菌落总数、大肠菌群、霉菌</w:t>
            </w:r>
          </w:p>
        </w:tc>
        <w:tc>
          <w:tcPr>
            <w:tcW w:w="3395" w:type="dxa"/>
            <w:vAlign w:val="center"/>
          </w:tcPr>
          <w:p w14:paraId="008C80D1">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5BC2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6FC3282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10FA116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281518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47995AA0">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方便面</w:t>
            </w:r>
          </w:p>
        </w:tc>
        <w:tc>
          <w:tcPr>
            <w:tcW w:w="1733" w:type="dxa"/>
            <w:vAlign w:val="center"/>
          </w:tcPr>
          <w:p w14:paraId="78875384">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方便米粉</w:t>
            </w:r>
          </w:p>
          <w:p w14:paraId="1310B1E8">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（米线）</w:t>
            </w:r>
          </w:p>
        </w:tc>
        <w:tc>
          <w:tcPr>
            <w:tcW w:w="825" w:type="dxa"/>
            <w:vAlign w:val="center"/>
          </w:tcPr>
          <w:p w14:paraId="796C4B05">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6D8A9BC4">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水分、酸价（以脂肪计）（KOH）、过氧化值（以脂肪计）、菌落总数、大肠菌群、霉菌</w:t>
            </w:r>
          </w:p>
        </w:tc>
        <w:tc>
          <w:tcPr>
            <w:tcW w:w="3395" w:type="dxa"/>
            <w:vAlign w:val="center"/>
          </w:tcPr>
          <w:p w14:paraId="7D19D377">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5F2DF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4AAC5C5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FC2823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C49849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3272D11F">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方便面</w:t>
            </w:r>
          </w:p>
        </w:tc>
        <w:tc>
          <w:tcPr>
            <w:tcW w:w="1733" w:type="dxa"/>
            <w:vAlign w:val="center"/>
          </w:tcPr>
          <w:p w14:paraId="60F11B53">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方便粉丝</w:t>
            </w:r>
          </w:p>
        </w:tc>
        <w:tc>
          <w:tcPr>
            <w:tcW w:w="825" w:type="dxa"/>
            <w:vAlign w:val="center"/>
          </w:tcPr>
          <w:p w14:paraId="26ED90AF">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69EE57E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水分、酸价（以脂肪计）（KOH）、过氧化值（以脂肪计）、菌落总数、大肠菌群、霉菌</w:t>
            </w:r>
          </w:p>
        </w:tc>
        <w:tc>
          <w:tcPr>
            <w:tcW w:w="3395" w:type="dxa"/>
            <w:vAlign w:val="center"/>
          </w:tcPr>
          <w:p w14:paraId="0F889A7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5AF8A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3D5FF0A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08AEAD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617057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65EA3B55">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方便面</w:t>
            </w:r>
          </w:p>
        </w:tc>
        <w:tc>
          <w:tcPr>
            <w:tcW w:w="1733" w:type="dxa"/>
            <w:vAlign w:val="center"/>
          </w:tcPr>
          <w:p w14:paraId="79855DE2">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其他方便面</w:t>
            </w:r>
          </w:p>
        </w:tc>
        <w:tc>
          <w:tcPr>
            <w:tcW w:w="825" w:type="dxa"/>
            <w:vAlign w:val="center"/>
          </w:tcPr>
          <w:p w14:paraId="5552B723">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8F02822">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水分、酸价（以脂肪计）（KOH）、过氧化值（以脂肪计）、菌落总数、大肠菌群、霉菌</w:t>
            </w:r>
          </w:p>
        </w:tc>
        <w:tc>
          <w:tcPr>
            <w:tcW w:w="3395" w:type="dxa"/>
            <w:vAlign w:val="center"/>
          </w:tcPr>
          <w:p w14:paraId="26D3BF3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32DF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438" w:type="dxa"/>
            <w:vMerge w:val="continue"/>
            <w:vAlign w:val="center"/>
          </w:tcPr>
          <w:p w14:paraId="4F58B35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5BFDECA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7F8351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0662173A">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调味面制品</w:t>
            </w:r>
          </w:p>
        </w:tc>
        <w:tc>
          <w:tcPr>
            <w:tcW w:w="1733" w:type="dxa"/>
            <w:vAlign w:val="center"/>
          </w:tcPr>
          <w:p w14:paraId="3537DF54">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调味面制品</w:t>
            </w:r>
          </w:p>
        </w:tc>
        <w:tc>
          <w:tcPr>
            <w:tcW w:w="825" w:type="dxa"/>
            <w:vAlign w:val="center"/>
          </w:tcPr>
          <w:p w14:paraId="3F35EE47">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5E3001A5">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酸价（以脂肪计）（KOH）、过氧化值（以脂肪计）、甜蜜素（以环己基氨基磺酸计）、三氯蔗糖、菌落总数、大肠菌群</w:t>
            </w:r>
          </w:p>
        </w:tc>
        <w:tc>
          <w:tcPr>
            <w:tcW w:w="3395" w:type="dxa"/>
            <w:vAlign w:val="center"/>
          </w:tcPr>
          <w:p w14:paraId="6E058FF8">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苯甲酸及其钠盐（以苯甲酸计）、山梨酸及其钾盐（以山梨酸计）</w:t>
            </w:r>
          </w:p>
          <w:p w14:paraId="0EBEC60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p>
        </w:tc>
      </w:tr>
      <w:tr w14:paraId="2AEA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1E7D8A5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0A3F5C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F0C24F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04B5E31F">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其他方便食品</w:t>
            </w:r>
          </w:p>
        </w:tc>
        <w:tc>
          <w:tcPr>
            <w:tcW w:w="1733" w:type="dxa"/>
            <w:vAlign w:val="center"/>
          </w:tcPr>
          <w:p w14:paraId="378B1701">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冲调类方便食品</w:t>
            </w:r>
          </w:p>
        </w:tc>
        <w:tc>
          <w:tcPr>
            <w:tcW w:w="825" w:type="dxa"/>
            <w:vAlign w:val="center"/>
          </w:tcPr>
          <w:p w14:paraId="32B7219E">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719EEAE4">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菌落总数、大肠菌群、霉菌、糖精钠（以糖精计）、黄曲霉毒素B</w:t>
            </w:r>
            <w:r>
              <w:rPr>
                <w:rFonts w:hint="eastAsia" w:ascii="仿宋" w:hAnsi="仿宋" w:eastAsia="仿宋" w:cs="仿宋"/>
                <w:color w:val="auto"/>
                <w:spacing w:val="5"/>
                <w:sz w:val="24"/>
                <w:szCs w:val="24"/>
                <w:highlight w:val="none"/>
                <w:vertAlign w:val="subscript"/>
                <w:lang w:eastAsia="zh-CN"/>
              </w:rPr>
              <w:t>1</w:t>
            </w:r>
            <w:r>
              <w:rPr>
                <w:rFonts w:hint="eastAsia" w:ascii="仿宋" w:hAnsi="仿宋" w:eastAsia="仿宋" w:cs="仿宋"/>
                <w:color w:val="auto"/>
                <w:spacing w:val="5"/>
                <w:sz w:val="24"/>
                <w:szCs w:val="24"/>
                <w:highlight w:val="none"/>
                <w:lang w:eastAsia="zh-CN"/>
              </w:rPr>
              <w:t>、铅（以Pb计）</w:t>
            </w:r>
          </w:p>
        </w:tc>
        <w:tc>
          <w:tcPr>
            <w:tcW w:w="3395" w:type="dxa"/>
            <w:vAlign w:val="center"/>
          </w:tcPr>
          <w:p w14:paraId="0423DD2D">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w:t>
            </w:r>
          </w:p>
        </w:tc>
      </w:tr>
      <w:tr w14:paraId="5E99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7445B04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C4976D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694593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52F4327A">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其他方便食品</w:t>
            </w:r>
          </w:p>
        </w:tc>
        <w:tc>
          <w:tcPr>
            <w:tcW w:w="1733" w:type="dxa"/>
            <w:vAlign w:val="center"/>
          </w:tcPr>
          <w:p w14:paraId="64DF4A33">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主食类方便食品</w:t>
            </w:r>
          </w:p>
        </w:tc>
        <w:tc>
          <w:tcPr>
            <w:tcW w:w="825" w:type="dxa"/>
            <w:vAlign w:val="center"/>
          </w:tcPr>
          <w:p w14:paraId="2C53603E">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2846FF03">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酸价（以脂肪计）（KOH）、过氧化值（以脂肪计）、苯甲酸及其钠盐（以苯甲酸计）、山梨酸及其钾盐（以山梨酸计）、霉菌、菌落总数</w:t>
            </w:r>
          </w:p>
        </w:tc>
        <w:tc>
          <w:tcPr>
            <w:tcW w:w="3395" w:type="dxa"/>
            <w:vAlign w:val="center"/>
          </w:tcPr>
          <w:p w14:paraId="0C66180C">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大肠菌群、糖精钠（以糖精计）、纽甜、三氯蔗糖、安赛蜜、甜蜜素（以环己基氨基磺酸计）</w:t>
            </w:r>
          </w:p>
        </w:tc>
      </w:tr>
      <w:tr w14:paraId="043D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2B0A5840">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064" w:type="dxa"/>
            <w:vMerge w:val="continue"/>
            <w:vAlign w:val="center"/>
          </w:tcPr>
          <w:p w14:paraId="6DAC0330">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065" w:type="dxa"/>
            <w:vMerge w:val="continue"/>
            <w:vAlign w:val="center"/>
          </w:tcPr>
          <w:p w14:paraId="1E8C74CF">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356" w:type="dxa"/>
            <w:vAlign w:val="center"/>
          </w:tcPr>
          <w:p w14:paraId="1B40B40E">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其他</w:t>
            </w:r>
            <w:r>
              <w:rPr>
                <w:rFonts w:hint="eastAsia" w:ascii="仿宋" w:hAnsi="仿宋" w:eastAsia="仿宋" w:cs="仿宋"/>
                <w:b w:val="0"/>
                <w:bCs w:val="0"/>
                <w:color w:val="auto"/>
                <w:spacing w:val="5"/>
                <w:sz w:val="24"/>
                <w:szCs w:val="24"/>
                <w:highlight w:val="none"/>
                <w:lang w:val="en-US" w:eastAsia="zh-CN"/>
              </w:rPr>
              <w:t>类</w:t>
            </w:r>
            <w:r>
              <w:rPr>
                <w:rFonts w:hint="eastAsia" w:ascii="仿宋" w:hAnsi="仿宋" w:eastAsia="仿宋" w:cs="仿宋"/>
                <w:b w:val="0"/>
                <w:bCs w:val="0"/>
                <w:color w:val="auto"/>
                <w:spacing w:val="5"/>
                <w:sz w:val="24"/>
                <w:szCs w:val="24"/>
                <w:highlight w:val="none"/>
                <w:lang w:eastAsia="zh-CN"/>
              </w:rPr>
              <w:t>方便食品</w:t>
            </w:r>
          </w:p>
        </w:tc>
        <w:tc>
          <w:tcPr>
            <w:tcW w:w="1733" w:type="dxa"/>
            <w:vAlign w:val="center"/>
          </w:tcPr>
          <w:p w14:paraId="3F583C05">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其他方便食品</w:t>
            </w:r>
          </w:p>
        </w:tc>
        <w:tc>
          <w:tcPr>
            <w:tcW w:w="825" w:type="dxa"/>
            <w:vAlign w:val="center"/>
          </w:tcPr>
          <w:p w14:paraId="3F6F4652">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较高</w:t>
            </w:r>
          </w:p>
        </w:tc>
        <w:tc>
          <w:tcPr>
            <w:tcW w:w="4459" w:type="dxa"/>
            <w:vAlign w:val="center"/>
          </w:tcPr>
          <w:p w14:paraId="356466E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酸价（以脂肪计）（KOH）、过氧化值（以脂肪计）、苯甲酸及其钠盐（以苯甲酸计）、山梨酸及其钾盐（以山梨酸计）、霉菌、菌落总数</w:t>
            </w:r>
          </w:p>
        </w:tc>
        <w:tc>
          <w:tcPr>
            <w:tcW w:w="3395" w:type="dxa"/>
            <w:vAlign w:val="center"/>
          </w:tcPr>
          <w:p w14:paraId="19D7781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大肠菌群、糖精钠（以糖精计）</w:t>
            </w:r>
          </w:p>
        </w:tc>
      </w:tr>
      <w:tr w14:paraId="15D9C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Align w:val="center"/>
          </w:tcPr>
          <w:p w14:paraId="7781DEEF">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r>
              <w:rPr>
                <w:rFonts w:hint="eastAsia" w:ascii="仿宋" w:hAnsi="仿宋" w:eastAsia="仿宋" w:cs="仿宋"/>
                <w:b/>
                <w:bCs/>
                <w:color w:val="auto"/>
                <w:spacing w:val="5"/>
                <w:kern w:val="2"/>
                <w:sz w:val="24"/>
                <w:szCs w:val="24"/>
                <w:highlight w:val="none"/>
                <w:lang w:val="en-US" w:eastAsia="zh-CN" w:bidi="ar-SA"/>
              </w:rPr>
              <w:t>8</w:t>
            </w:r>
          </w:p>
        </w:tc>
        <w:tc>
          <w:tcPr>
            <w:tcW w:w="1064" w:type="dxa"/>
            <w:vAlign w:val="center"/>
          </w:tcPr>
          <w:p w14:paraId="6E5C602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b/>
                <w:bCs/>
                <w:color w:val="auto"/>
                <w:spacing w:val="5"/>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饼干</w:t>
            </w:r>
          </w:p>
        </w:tc>
        <w:tc>
          <w:tcPr>
            <w:tcW w:w="1065" w:type="dxa"/>
            <w:vAlign w:val="center"/>
          </w:tcPr>
          <w:p w14:paraId="201C519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b/>
                <w:bCs/>
                <w:color w:val="auto"/>
                <w:spacing w:val="5"/>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饼干</w:t>
            </w:r>
          </w:p>
        </w:tc>
        <w:tc>
          <w:tcPr>
            <w:tcW w:w="1356" w:type="dxa"/>
            <w:vAlign w:val="center"/>
          </w:tcPr>
          <w:p w14:paraId="1E08D4E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i w:val="0"/>
                <w:iCs w:val="0"/>
                <w:color w:val="auto"/>
                <w:kern w:val="0"/>
                <w:sz w:val="24"/>
                <w:szCs w:val="24"/>
                <w:highlight w:val="none"/>
                <w:u w:val="none"/>
                <w:lang w:val="en-US" w:eastAsia="zh-CN" w:bidi="ar"/>
              </w:rPr>
              <w:t>饼干</w:t>
            </w:r>
          </w:p>
        </w:tc>
        <w:tc>
          <w:tcPr>
            <w:tcW w:w="1733" w:type="dxa"/>
            <w:vAlign w:val="center"/>
          </w:tcPr>
          <w:p w14:paraId="4844697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i w:val="0"/>
                <w:iCs w:val="0"/>
                <w:color w:val="auto"/>
                <w:kern w:val="0"/>
                <w:sz w:val="24"/>
                <w:szCs w:val="24"/>
                <w:highlight w:val="none"/>
                <w:u w:val="none"/>
                <w:lang w:val="en-US" w:eastAsia="zh-CN" w:bidi="ar"/>
              </w:rPr>
              <w:t>饼干</w:t>
            </w:r>
          </w:p>
        </w:tc>
        <w:tc>
          <w:tcPr>
            <w:tcW w:w="825" w:type="dxa"/>
            <w:vAlign w:val="center"/>
          </w:tcPr>
          <w:p w14:paraId="7FE6D75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color w:val="auto"/>
                <w:spacing w:val="5"/>
                <w:sz w:val="24"/>
                <w:szCs w:val="24"/>
                <w:highlight w:val="none"/>
                <w:lang w:val="en-US" w:eastAsia="zh-CN"/>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702781B8">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pacing w:val="5"/>
                <w:sz w:val="24"/>
                <w:szCs w:val="24"/>
                <w:highlight w:val="none"/>
                <w:lang w:eastAsia="zh-CN"/>
              </w:rPr>
            </w:pPr>
            <w:r>
              <w:rPr>
                <w:rFonts w:hint="eastAsia" w:ascii="仿宋" w:hAnsi="仿宋" w:eastAsia="仿宋" w:cs="仿宋"/>
                <w:i w:val="0"/>
                <w:iCs w:val="0"/>
                <w:color w:val="auto"/>
                <w:kern w:val="0"/>
                <w:sz w:val="24"/>
                <w:szCs w:val="24"/>
                <w:highlight w:val="none"/>
                <w:u w:val="none"/>
                <w:lang w:val="en-US" w:eastAsia="zh-CN" w:bidi="ar"/>
              </w:rPr>
              <w:t>酸价（以脂肪计）（KOH）、过氧化值（以脂肪计）、山梨酸及其钾盐（以山梨酸计）、二氧化硫残留量、合成着色剂（柠檬黄、日落黄、胭脂红、苋菜红、亮蓝、靛蓝、诱惑红）、霉菌</w:t>
            </w:r>
          </w:p>
        </w:tc>
        <w:tc>
          <w:tcPr>
            <w:tcW w:w="3395" w:type="dxa"/>
            <w:vAlign w:val="center"/>
          </w:tcPr>
          <w:p w14:paraId="491519EA">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pacing w:val="5"/>
                <w:sz w:val="24"/>
                <w:szCs w:val="24"/>
                <w:highlight w:val="none"/>
                <w:lang w:eastAsia="zh-CN"/>
              </w:rPr>
            </w:pPr>
            <w:r>
              <w:rPr>
                <w:rStyle w:val="37"/>
                <w:rFonts w:hint="eastAsia" w:ascii="仿宋" w:hAnsi="仿宋" w:eastAsia="仿宋" w:cs="仿宋"/>
                <w:color w:val="auto"/>
                <w:sz w:val="24"/>
                <w:szCs w:val="24"/>
                <w:highlight w:val="none"/>
                <w:lang w:val="en-US" w:eastAsia="zh-CN" w:bidi="ar"/>
              </w:rPr>
              <w:t>铝的残留量（干样品，以Al计）、脱氢乙酸及其钠盐（以脱氢乙酸计）、甜蜜素（以环己基氨基磺酸计）、糖精钠（以糖精计）、苯甲酸及其钠盐（以苯甲酸计）、</w:t>
            </w:r>
            <w:r>
              <w:rPr>
                <w:rStyle w:val="38"/>
                <w:rFonts w:hint="eastAsia" w:ascii="仿宋" w:hAnsi="仿宋" w:eastAsia="仿宋" w:cs="仿宋"/>
                <w:color w:val="auto"/>
                <w:sz w:val="24"/>
                <w:szCs w:val="24"/>
                <w:highlight w:val="none"/>
                <w:lang w:val="en-US" w:eastAsia="zh-CN" w:bidi="ar"/>
              </w:rPr>
              <w:t>丙酸及其钠盐、钙盐（以丙酸计）</w:t>
            </w:r>
          </w:p>
        </w:tc>
      </w:tr>
      <w:tr w14:paraId="65A5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restart"/>
            <w:vAlign w:val="center"/>
          </w:tcPr>
          <w:p w14:paraId="575A2225">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r>
              <w:rPr>
                <w:rFonts w:hint="eastAsia" w:ascii="仿宋" w:hAnsi="仿宋" w:eastAsia="仿宋" w:cs="仿宋"/>
                <w:b/>
                <w:bCs/>
                <w:color w:val="auto"/>
                <w:spacing w:val="5"/>
                <w:kern w:val="2"/>
                <w:sz w:val="24"/>
                <w:szCs w:val="24"/>
                <w:highlight w:val="none"/>
                <w:lang w:val="en-US" w:eastAsia="zh-CN" w:bidi="ar-SA"/>
              </w:rPr>
              <w:t>9</w:t>
            </w:r>
          </w:p>
        </w:tc>
        <w:tc>
          <w:tcPr>
            <w:tcW w:w="1064" w:type="dxa"/>
            <w:vMerge w:val="restart"/>
            <w:vAlign w:val="center"/>
          </w:tcPr>
          <w:p w14:paraId="75A18E5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罐头</w:t>
            </w:r>
          </w:p>
        </w:tc>
        <w:tc>
          <w:tcPr>
            <w:tcW w:w="1065" w:type="dxa"/>
            <w:vMerge w:val="restart"/>
            <w:vAlign w:val="center"/>
          </w:tcPr>
          <w:p w14:paraId="23BD202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罐头</w:t>
            </w:r>
          </w:p>
        </w:tc>
        <w:tc>
          <w:tcPr>
            <w:tcW w:w="1356" w:type="dxa"/>
            <w:vMerge w:val="restart"/>
            <w:vAlign w:val="center"/>
          </w:tcPr>
          <w:p w14:paraId="26ECA7B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畜禽水产罐头</w:t>
            </w:r>
          </w:p>
        </w:tc>
        <w:tc>
          <w:tcPr>
            <w:tcW w:w="1733" w:type="dxa"/>
            <w:vAlign w:val="center"/>
          </w:tcPr>
          <w:p w14:paraId="58B6BBA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畜禽肉类罐头</w:t>
            </w:r>
          </w:p>
        </w:tc>
        <w:tc>
          <w:tcPr>
            <w:tcW w:w="825" w:type="dxa"/>
            <w:vAlign w:val="center"/>
          </w:tcPr>
          <w:p w14:paraId="1EAB13C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2EAC5AE8">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铅（以Pb计）、镉（以Cd计）、脱氢乙酸及其钠盐（以脱氢乙酸计）、苯甲酸及其钠盐（以苯甲酸计）、山梨酸及其钾盐（以山梨酸计）、商业无菌</w:t>
            </w:r>
          </w:p>
        </w:tc>
        <w:tc>
          <w:tcPr>
            <w:tcW w:w="3395" w:type="dxa"/>
            <w:vAlign w:val="center"/>
          </w:tcPr>
          <w:p w14:paraId="3768C38F">
            <w:pPr>
              <w:keepNext w:val="0"/>
              <w:keepLines w:val="0"/>
              <w:pageBreakBefore w:val="0"/>
              <w:widowControl w:val="0"/>
              <w:suppressLineNumbers w:val="0"/>
              <w:wordWrap/>
              <w:overflowPunct/>
              <w:topLinePunct w:val="0"/>
              <w:bidi w:val="0"/>
              <w:spacing w:line="300" w:lineRule="exact"/>
              <w:jc w:val="left"/>
              <w:textAlignment w:val="center"/>
              <w:rPr>
                <w:rStyle w:val="37"/>
                <w:rFonts w:hint="eastAsia" w:ascii="仿宋" w:hAnsi="仿宋" w:eastAsia="仿宋" w:cs="仿宋"/>
                <w:color w:val="auto"/>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41E53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438" w:type="dxa"/>
            <w:vMerge w:val="continue"/>
            <w:vAlign w:val="center"/>
          </w:tcPr>
          <w:p w14:paraId="427022BE">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064" w:type="dxa"/>
            <w:vMerge w:val="continue"/>
            <w:vAlign w:val="center"/>
          </w:tcPr>
          <w:p w14:paraId="3A66A13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2606815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79F395B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04B77B8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水产动物类罐头</w:t>
            </w:r>
          </w:p>
        </w:tc>
        <w:tc>
          <w:tcPr>
            <w:tcW w:w="825" w:type="dxa"/>
            <w:vAlign w:val="center"/>
          </w:tcPr>
          <w:p w14:paraId="484CE80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40603410">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组胺、铅（以Pb计）、无机砷（以As计）、脱氢乙酸及其钠盐（以脱氢乙酸计）、甜蜜素（以环己基氨基磺酸计）、商业无菌</w:t>
            </w:r>
          </w:p>
        </w:tc>
        <w:tc>
          <w:tcPr>
            <w:tcW w:w="3395" w:type="dxa"/>
            <w:vAlign w:val="center"/>
          </w:tcPr>
          <w:p w14:paraId="494FB992">
            <w:pPr>
              <w:keepNext w:val="0"/>
              <w:keepLines w:val="0"/>
              <w:pageBreakBefore w:val="0"/>
              <w:widowControl w:val="0"/>
              <w:suppressLineNumbers w:val="0"/>
              <w:wordWrap/>
              <w:overflowPunct/>
              <w:topLinePunct w:val="0"/>
              <w:bidi w:val="0"/>
              <w:spacing w:line="300" w:lineRule="exact"/>
              <w:jc w:val="left"/>
              <w:textAlignment w:val="center"/>
              <w:rPr>
                <w:rStyle w:val="37"/>
                <w:rFonts w:hint="eastAsia" w:ascii="仿宋" w:hAnsi="仿宋" w:eastAsia="仿宋" w:cs="仿宋"/>
                <w:color w:val="auto"/>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苯甲酸及其钠盐（以苯甲酸计）、山梨酸及其钾盐（以山梨酸计）、糖精钠（以糖精计）</w:t>
            </w:r>
          </w:p>
        </w:tc>
      </w:tr>
      <w:tr w14:paraId="26A6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19B5576F">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064" w:type="dxa"/>
            <w:vMerge w:val="continue"/>
            <w:vAlign w:val="center"/>
          </w:tcPr>
          <w:p w14:paraId="4B9A8B7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133B78E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restart"/>
            <w:vAlign w:val="center"/>
          </w:tcPr>
          <w:p w14:paraId="0761787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果蔬罐头</w:t>
            </w:r>
          </w:p>
        </w:tc>
        <w:tc>
          <w:tcPr>
            <w:tcW w:w="1733" w:type="dxa"/>
            <w:vAlign w:val="center"/>
          </w:tcPr>
          <w:p w14:paraId="4D3820D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水果类罐头</w:t>
            </w:r>
          </w:p>
        </w:tc>
        <w:tc>
          <w:tcPr>
            <w:tcW w:w="825" w:type="dxa"/>
            <w:vAlign w:val="center"/>
          </w:tcPr>
          <w:p w14:paraId="44727F1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较高</w:t>
            </w:r>
          </w:p>
        </w:tc>
        <w:tc>
          <w:tcPr>
            <w:tcW w:w="4459" w:type="dxa"/>
            <w:vAlign w:val="center"/>
          </w:tcPr>
          <w:p w14:paraId="190BC3F8">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铅（以Pb计）、合成着色剂（柠檬黄、日落黄、苋菜红、胭脂红、赤藓红、诱惑红、亮蓝）、脱氢乙酸及其钠盐（以脱氢乙酸计）、甜蜜素（以环己基氨基磺酸计）、二氧化硫残留量、商业无菌</w:t>
            </w:r>
          </w:p>
        </w:tc>
        <w:tc>
          <w:tcPr>
            <w:tcW w:w="3395" w:type="dxa"/>
            <w:vAlign w:val="center"/>
          </w:tcPr>
          <w:p w14:paraId="004DA09A">
            <w:pPr>
              <w:keepNext w:val="0"/>
              <w:keepLines w:val="0"/>
              <w:pageBreakBefore w:val="0"/>
              <w:widowControl w:val="0"/>
              <w:suppressLineNumbers w:val="0"/>
              <w:wordWrap/>
              <w:overflowPunct/>
              <w:topLinePunct w:val="0"/>
              <w:bidi w:val="0"/>
              <w:spacing w:line="300" w:lineRule="exact"/>
              <w:jc w:val="left"/>
              <w:textAlignment w:val="center"/>
              <w:rPr>
                <w:rStyle w:val="37"/>
                <w:rFonts w:hint="eastAsia" w:ascii="仿宋" w:hAnsi="仿宋" w:eastAsia="仿宋" w:cs="仿宋"/>
                <w:color w:val="auto"/>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苯甲酸及其钠盐（以苯甲酸计）、山梨酸及其钾盐（以山梨酸计）、糖精钠（以糖精计）</w:t>
            </w:r>
          </w:p>
        </w:tc>
      </w:tr>
      <w:tr w14:paraId="37BC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07658084">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064" w:type="dxa"/>
            <w:vMerge w:val="continue"/>
            <w:vAlign w:val="center"/>
          </w:tcPr>
          <w:p w14:paraId="1951C8F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41FB0F1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4322039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02BEE32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蔬菜类罐头</w:t>
            </w:r>
          </w:p>
        </w:tc>
        <w:tc>
          <w:tcPr>
            <w:tcW w:w="825" w:type="dxa"/>
            <w:vAlign w:val="center"/>
          </w:tcPr>
          <w:p w14:paraId="6D7F5CD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较高</w:t>
            </w:r>
          </w:p>
        </w:tc>
        <w:tc>
          <w:tcPr>
            <w:tcW w:w="4459" w:type="dxa"/>
            <w:vAlign w:val="center"/>
          </w:tcPr>
          <w:p w14:paraId="75E6429E">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铅（以Pb计）、合成着色剂（柠檬黄、日落黄）、脱氢乙酸及其钠盐（以脱氢乙酸计）、苯甲酸及其钠盐（以苯甲酸计）、山梨酸及其钾盐（以山梨酸计）、商业无菌</w:t>
            </w:r>
          </w:p>
        </w:tc>
        <w:tc>
          <w:tcPr>
            <w:tcW w:w="3395" w:type="dxa"/>
            <w:vAlign w:val="center"/>
          </w:tcPr>
          <w:p w14:paraId="47E9E897">
            <w:pPr>
              <w:keepNext w:val="0"/>
              <w:keepLines w:val="0"/>
              <w:pageBreakBefore w:val="0"/>
              <w:widowControl w:val="0"/>
              <w:suppressLineNumbers w:val="0"/>
              <w:wordWrap/>
              <w:overflowPunct/>
              <w:topLinePunct w:val="0"/>
              <w:bidi w:val="0"/>
              <w:spacing w:line="300" w:lineRule="exact"/>
              <w:jc w:val="left"/>
              <w:textAlignment w:val="center"/>
              <w:rPr>
                <w:rStyle w:val="37"/>
                <w:rFonts w:hint="eastAsia" w:ascii="仿宋" w:hAnsi="仿宋" w:eastAsia="仿宋" w:cs="仿宋"/>
                <w:color w:val="auto"/>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乙二胺四乙酸二钠、二氧化硫残留量</w:t>
            </w:r>
          </w:p>
        </w:tc>
      </w:tr>
      <w:tr w14:paraId="05A8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633FA209">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064" w:type="dxa"/>
            <w:vMerge w:val="continue"/>
            <w:vAlign w:val="center"/>
          </w:tcPr>
          <w:p w14:paraId="7B0BBC9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C7F27F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498C433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1C5F6B2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食用菌罐头</w:t>
            </w:r>
          </w:p>
        </w:tc>
        <w:tc>
          <w:tcPr>
            <w:tcW w:w="825" w:type="dxa"/>
            <w:vAlign w:val="center"/>
          </w:tcPr>
          <w:p w14:paraId="28D1023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较高</w:t>
            </w:r>
          </w:p>
        </w:tc>
        <w:tc>
          <w:tcPr>
            <w:tcW w:w="4459" w:type="dxa"/>
            <w:vAlign w:val="center"/>
          </w:tcPr>
          <w:p w14:paraId="5E52A2F2">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铅（以Pb计）、脱氢乙酸及其钠盐（以脱氢乙酸计）、苯甲酸及其钠盐（以苯甲酸计）、山梨酸及其钾盐（以山梨酸计）、乙二胺四乙酸二钠、商业无菌</w:t>
            </w:r>
          </w:p>
        </w:tc>
        <w:tc>
          <w:tcPr>
            <w:tcW w:w="3395" w:type="dxa"/>
            <w:vAlign w:val="center"/>
          </w:tcPr>
          <w:p w14:paraId="31316340">
            <w:pPr>
              <w:keepNext w:val="0"/>
              <w:keepLines w:val="0"/>
              <w:pageBreakBefore w:val="0"/>
              <w:widowControl w:val="0"/>
              <w:suppressLineNumbers w:val="0"/>
              <w:wordWrap/>
              <w:overflowPunct/>
              <w:topLinePunct w:val="0"/>
              <w:bidi w:val="0"/>
              <w:spacing w:line="300" w:lineRule="exact"/>
              <w:jc w:val="left"/>
              <w:textAlignment w:val="center"/>
              <w:rPr>
                <w:rStyle w:val="37"/>
                <w:rFonts w:hint="eastAsia" w:ascii="仿宋" w:hAnsi="仿宋" w:eastAsia="仿宋" w:cs="仿宋"/>
                <w:color w:val="auto"/>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二氧化硫残留量</w:t>
            </w:r>
          </w:p>
        </w:tc>
      </w:tr>
      <w:tr w14:paraId="64A7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1DC18A49">
            <w:pPr>
              <w:pageBreakBefore w:val="0"/>
              <w:widowControl w:val="0"/>
              <w:wordWrap/>
              <w:overflowPunct/>
              <w:topLinePunct w:val="0"/>
              <w:bidi w:val="0"/>
              <w:spacing w:line="300" w:lineRule="exact"/>
              <w:jc w:val="center"/>
              <w:rPr>
                <w:rFonts w:hint="eastAsia" w:ascii="仿宋" w:hAnsi="仿宋" w:eastAsia="仿宋" w:cs="仿宋"/>
                <w:b/>
                <w:bCs/>
                <w:color w:val="auto"/>
                <w:spacing w:val="5"/>
                <w:kern w:val="2"/>
                <w:sz w:val="24"/>
                <w:szCs w:val="24"/>
                <w:highlight w:val="none"/>
                <w:lang w:val="en-US" w:eastAsia="zh-CN" w:bidi="ar-SA"/>
              </w:rPr>
            </w:pPr>
          </w:p>
        </w:tc>
        <w:tc>
          <w:tcPr>
            <w:tcW w:w="1064" w:type="dxa"/>
            <w:vMerge w:val="continue"/>
            <w:vAlign w:val="center"/>
          </w:tcPr>
          <w:p w14:paraId="538C6B5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6A6CB09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4B366AD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其他罐头</w:t>
            </w:r>
          </w:p>
        </w:tc>
        <w:tc>
          <w:tcPr>
            <w:tcW w:w="1733" w:type="dxa"/>
            <w:vAlign w:val="center"/>
          </w:tcPr>
          <w:p w14:paraId="11E6EC1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其他罐头</w:t>
            </w:r>
          </w:p>
        </w:tc>
        <w:tc>
          <w:tcPr>
            <w:tcW w:w="825" w:type="dxa"/>
            <w:vAlign w:val="center"/>
          </w:tcPr>
          <w:p w14:paraId="78F2443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03E7CFE8">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黄曲霉毒素B1、脱氢乙酸及其钠盐（以脱氢乙酸计）、苯甲酸及其钠盐（以苯甲酸计）、山梨酸及其钾盐（以山梨酸计）、乙二胺四乙酸二钠、商业无菌</w:t>
            </w:r>
          </w:p>
        </w:tc>
        <w:tc>
          <w:tcPr>
            <w:tcW w:w="3395" w:type="dxa"/>
            <w:vAlign w:val="center"/>
          </w:tcPr>
          <w:p w14:paraId="3684FC2E">
            <w:pPr>
              <w:keepNext w:val="0"/>
              <w:keepLines w:val="0"/>
              <w:pageBreakBefore w:val="0"/>
              <w:widowControl w:val="0"/>
              <w:suppressLineNumbers w:val="0"/>
              <w:wordWrap/>
              <w:overflowPunct/>
              <w:topLinePunct w:val="0"/>
              <w:bidi w:val="0"/>
              <w:spacing w:line="300" w:lineRule="exact"/>
              <w:jc w:val="left"/>
              <w:textAlignment w:val="center"/>
              <w:rPr>
                <w:rStyle w:val="37"/>
                <w:rFonts w:hint="eastAsia" w:ascii="仿宋" w:hAnsi="仿宋" w:eastAsia="仿宋" w:cs="仿宋"/>
                <w:color w:val="auto"/>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05F2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Align w:val="center"/>
          </w:tcPr>
          <w:p w14:paraId="3FBBC76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b/>
                <w:bCs/>
                <w:color w:val="auto"/>
                <w:spacing w:val="5"/>
                <w:kern w:val="2"/>
                <w:sz w:val="24"/>
                <w:szCs w:val="24"/>
                <w:highlight w:val="none"/>
                <w:lang w:val="en-US" w:eastAsia="zh-CN" w:bidi="ar-SA"/>
              </w:rPr>
            </w:pPr>
            <w:r>
              <w:rPr>
                <w:rFonts w:hint="eastAsia" w:ascii="仿宋" w:hAnsi="仿宋" w:eastAsia="仿宋" w:cs="仿宋"/>
                <w:i w:val="0"/>
                <w:iCs w:val="0"/>
                <w:color w:val="auto"/>
                <w:kern w:val="0"/>
                <w:sz w:val="24"/>
                <w:szCs w:val="24"/>
                <w:highlight w:val="none"/>
                <w:u w:val="none"/>
                <w:lang w:val="en-US" w:eastAsia="zh-CN" w:bidi="ar"/>
              </w:rPr>
              <w:t>10</w:t>
            </w:r>
          </w:p>
        </w:tc>
        <w:tc>
          <w:tcPr>
            <w:tcW w:w="1064" w:type="dxa"/>
            <w:vAlign w:val="center"/>
          </w:tcPr>
          <w:p w14:paraId="30C386D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冷冻饮品</w:t>
            </w:r>
          </w:p>
        </w:tc>
        <w:tc>
          <w:tcPr>
            <w:tcW w:w="1065" w:type="dxa"/>
            <w:vAlign w:val="center"/>
          </w:tcPr>
          <w:p w14:paraId="404E3DC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冷冻饮品</w:t>
            </w:r>
          </w:p>
        </w:tc>
        <w:tc>
          <w:tcPr>
            <w:tcW w:w="1356" w:type="dxa"/>
            <w:vAlign w:val="center"/>
          </w:tcPr>
          <w:p w14:paraId="5285DDA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冷冻饮品</w:t>
            </w:r>
          </w:p>
        </w:tc>
        <w:tc>
          <w:tcPr>
            <w:tcW w:w="1733" w:type="dxa"/>
            <w:vAlign w:val="center"/>
          </w:tcPr>
          <w:p w14:paraId="6BDC4E9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冰淇淋、雪糕、雪泥、冰棍、食用冰、甜味冰、其他类</w:t>
            </w:r>
          </w:p>
        </w:tc>
        <w:tc>
          <w:tcPr>
            <w:tcW w:w="825" w:type="dxa"/>
            <w:vAlign w:val="center"/>
          </w:tcPr>
          <w:p w14:paraId="7C87C2B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17E20485">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甜蜜素（以环己基氨基磺酸计）、三氯蔗糖、合成着色剂（柠檬黄、日落黄、新红、苋菜红、靛蓝、胭脂红、诱惑红、亮蓝、酸性红、喹啉黄、赤藓红）、相同色泽着色剂混合使用时各自用量占其最大使用量的比例之和、菌落总数、大肠菌群</w:t>
            </w:r>
          </w:p>
        </w:tc>
        <w:tc>
          <w:tcPr>
            <w:tcW w:w="3395" w:type="dxa"/>
            <w:vAlign w:val="center"/>
          </w:tcPr>
          <w:p w14:paraId="5EC76306">
            <w:pPr>
              <w:keepNext w:val="0"/>
              <w:keepLines w:val="0"/>
              <w:pageBreakBefore w:val="0"/>
              <w:widowControl w:val="0"/>
              <w:suppressLineNumbers w:val="0"/>
              <w:wordWrap/>
              <w:overflowPunct/>
              <w:topLinePunct w:val="0"/>
              <w:bidi w:val="0"/>
              <w:spacing w:line="300" w:lineRule="exact"/>
              <w:jc w:val="left"/>
              <w:textAlignment w:val="center"/>
              <w:rPr>
                <w:rStyle w:val="37"/>
                <w:rFonts w:hint="eastAsia" w:ascii="仿宋" w:hAnsi="仿宋" w:eastAsia="仿宋" w:cs="仿宋"/>
                <w:color w:val="auto"/>
                <w:sz w:val="24"/>
                <w:szCs w:val="24"/>
                <w:highlight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糖精钠（以糖精计）、安赛蜜</w:t>
            </w:r>
          </w:p>
        </w:tc>
      </w:tr>
      <w:tr w14:paraId="67C8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restart"/>
            <w:vAlign w:val="center"/>
          </w:tcPr>
          <w:p w14:paraId="1BE6494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11</w:t>
            </w:r>
          </w:p>
        </w:tc>
        <w:tc>
          <w:tcPr>
            <w:tcW w:w="1064" w:type="dxa"/>
            <w:vMerge w:val="restart"/>
            <w:vAlign w:val="center"/>
          </w:tcPr>
          <w:p w14:paraId="14433D1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速冻食品</w:t>
            </w:r>
          </w:p>
        </w:tc>
        <w:tc>
          <w:tcPr>
            <w:tcW w:w="1065" w:type="dxa"/>
            <w:vMerge w:val="restart"/>
            <w:vAlign w:val="center"/>
          </w:tcPr>
          <w:p w14:paraId="293175C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速冻面米食品</w:t>
            </w:r>
          </w:p>
        </w:tc>
        <w:tc>
          <w:tcPr>
            <w:tcW w:w="1356" w:type="dxa"/>
            <w:vMerge w:val="restart"/>
            <w:vAlign w:val="center"/>
          </w:tcPr>
          <w:p w14:paraId="1C04FA3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速冻面米食品</w:t>
            </w:r>
          </w:p>
        </w:tc>
        <w:tc>
          <w:tcPr>
            <w:tcW w:w="1733" w:type="dxa"/>
            <w:vAlign w:val="center"/>
          </w:tcPr>
          <w:p w14:paraId="6F372E0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速冻面米生制品</w:t>
            </w:r>
          </w:p>
        </w:tc>
        <w:tc>
          <w:tcPr>
            <w:tcW w:w="825" w:type="dxa"/>
            <w:vAlign w:val="center"/>
          </w:tcPr>
          <w:p w14:paraId="01C9C5F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较高</w:t>
            </w:r>
          </w:p>
        </w:tc>
        <w:tc>
          <w:tcPr>
            <w:tcW w:w="4459" w:type="dxa"/>
            <w:vAlign w:val="center"/>
          </w:tcPr>
          <w:p w14:paraId="55FE88EC">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过氧化值（以脂肪计）、铅（以Pb计）、糖精钠（以糖精计）、甜蜜素（以环己基氨基磺酸计）、合成着色剂（柠檬黄、日落黄、苋菜红、亮蓝、胭脂红）</w:t>
            </w:r>
          </w:p>
        </w:tc>
        <w:tc>
          <w:tcPr>
            <w:tcW w:w="3395" w:type="dxa"/>
            <w:vAlign w:val="center"/>
          </w:tcPr>
          <w:p w14:paraId="4FB7C6D1">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7523D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09757CE2">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52016C68">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797FABC1">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27FB3389">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50A874A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速冻面米熟制品</w:t>
            </w:r>
          </w:p>
        </w:tc>
        <w:tc>
          <w:tcPr>
            <w:tcW w:w="825" w:type="dxa"/>
            <w:vAlign w:val="center"/>
          </w:tcPr>
          <w:p w14:paraId="79654F2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较高</w:t>
            </w:r>
          </w:p>
        </w:tc>
        <w:tc>
          <w:tcPr>
            <w:tcW w:w="4459" w:type="dxa"/>
            <w:vAlign w:val="center"/>
          </w:tcPr>
          <w:p w14:paraId="136F41BE">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过氧化值（以脂肪计）、铅（以Pb计）、糖精钠（以糖精计）、甜蜜素（以环己基氨基磺酸计）、合成着色剂（柠檬黄、日落黄、苋菜红、亮蓝、胭脂红）</w:t>
            </w:r>
          </w:p>
        </w:tc>
        <w:tc>
          <w:tcPr>
            <w:tcW w:w="3395" w:type="dxa"/>
            <w:vAlign w:val="center"/>
          </w:tcPr>
          <w:p w14:paraId="23FC618A">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菌落总数、大肠菌群、沙门氏菌、金黄色葡萄球菌</w:t>
            </w:r>
          </w:p>
        </w:tc>
      </w:tr>
      <w:tr w14:paraId="4C2AC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7BACCA9A">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474720B">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2A8C6E3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速冻调制食品</w:t>
            </w:r>
          </w:p>
        </w:tc>
        <w:tc>
          <w:tcPr>
            <w:tcW w:w="1356" w:type="dxa"/>
            <w:vAlign w:val="center"/>
          </w:tcPr>
          <w:p w14:paraId="2FAADC2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Style w:val="39"/>
                <w:rFonts w:hint="eastAsia" w:ascii="仿宋" w:hAnsi="仿宋" w:eastAsia="仿宋" w:cs="仿宋"/>
                <w:color w:val="auto"/>
                <w:sz w:val="24"/>
                <w:szCs w:val="24"/>
                <w:highlight w:val="none"/>
                <w:lang w:val="en-US" w:eastAsia="zh-CN" w:bidi="ar"/>
              </w:rPr>
              <w:t>速冻调理肉制</w:t>
            </w:r>
            <w:r>
              <w:rPr>
                <w:rStyle w:val="40"/>
                <w:rFonts w:hint="eastAsia" w:ascii="仿宋" w:hAnsi="仿宋" w:eastAsia="仿宋" w:cs="仿宋"/>
                <w:color w:val="auto"/>
                <w:sz w:val="24"/>
                <w:szCs w:val="24"/>
                <w:highlight w:val="none"/>
                <w:lang w:val="en-US" w:eastAsia="zh-CN" w:bidi="ar"/>
              </w:rPr>
              <w:t>品</w:t>
            </w:r>
          </w:p>
        </w:tc>
        <w:tc>
          <w:tcPr>
            <w:tcW w:w="1733" w:type="dxa"/>
            <w:vAlign w:val="center"/>
          </w:tcPr>
          <w:p w14:paraId="32D7C77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速冻调理肉制品</w:t>
            </w:r>
          </w:p>
        </w:tc>
        <w:tc>
          <w:tcPr>
            <w:tcW w:w="825" w:type="dxa"/>
            <w:vAlign w:val="center"/>
          </w:tcPr>
          <w:p w14:paraId="4CA7C05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5F8B67CD">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过氧化值（以脂肪计）、铬（以Cr计）、合成着色剂（胭脂红、柠檬黄、日落黄、诱惑红）、亚硝酸盐（以亚硝酸钠计）、苯甲酸及其钠盐（以苯甲酸计）、山梨酸及其钾盐（以山梨酸计）、沙门氏菌</w:t>
            </w:r>
          </w:p>
        </w:tc>
        <w:tc>
          <w:tcPr>
            <w:tcW w:w="3395" w:type="dxa"/>
            <w:vAlign w:val="center"/>
          </w:tcPr>
          <w:p w14:paraId="59DB2051">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铅（以Pb计）、氯霉素</w:t>
            </w:r>
          </w:p>
        </w:tc>
      </w:tr>
      <w:tr w14:paraId="00B6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5" w:hRule="atLeast"/>
        </w:trPr>
        <w:tc>
          <w:tcPr>
            <w:tcW w:w="438" w:type="dxa"/>
            <w:vMerge w:val="continue"/>
            <w:vAlign w:val="center"/>
          </w:tcPr>
          <w:p w14:paraId="2AFF98CB">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4B7268EE">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47780ACB">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0529F7E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速冻调制水产制品</w:t>
            </w:r>
          </w:p>
        </w:tc>
        <w:tc>
          <w:tcPr>
            <w:tcW w:w="1733" w:type="dxa"/>
            <w:vAlign w:val="center"/>
          </w:tcPr>
          <w:p w14:paraId="0F725CF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速冻调制水产制品</w:t>
            </w:r>
          </w:p>
        </w:tc>
        <w:tc>
          <w:tcPr>
            <w:tcW w:w="825" w:type="dxa"/>
            <w:vAlign w:val="center"/>
          </w:tcPr>
          <w:p w14:paraId="2937564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1231EB91">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挥发性盐基氮、苯甲酸及其钠盐（以苯甲酸计）、山梨酸及其钾盐（以山梨酸计）、二氧化硫残留量、沙门氏菌、单核细胞增生李斯特氏菌</w:t>
            </w:r>
          </w:p>
        </w:tc>
        <w:tc>
          <w:tcPr>
            <w:tcW w:w="3395" w:type="dxa"/>
            <w:vAlign w:val="center"/>
          </w:tcPr>
          <w:p w14:paraId="33DB9A40">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菌落总数、大肠菌群、副溶血性弧菌</w:t>
            </w:r>
          </w:p>
        </w:tc>
      </w:tr>
      <w:tr w14:paraId="53E7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010149E4">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B66A476">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6921071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速冻其他食品</w:t>
            </w:r>
          </w:p>
        </w:tc>
        <w:tc>
          <w:tcPr>
            <w:tcW w:w="1356" w:type="dxa"/>
            <w:vAlign w:val="center"/>
          </w:tcPr>
          <w:p w14:paraId="2F8E551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速冻谷物食品</w:t>
            </w:r>
          </w:p>
        </w:tc>
        <w:tc>
          <w:tcPr>
            <w:tcW w:w="1733" w:type="dxa"/>
            <w:vAlign w:val="center"/>
          </w:tcPr>
          <w:p w14:paraId="0AFFD07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速冻谷物食品</w:t>
            </w:r>
          </w:p>
        </w:tc>
        <w:tc>
          <w:tcPr>
            <w:tcW w:w="825" w:type="dxa"/>
            <w:vAlign w:val="center"/>
          </w:tcPr>
          <w:p w14:paraId="4DA26AF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57D1838F">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p>
        </w:tc>
        <w:tc>
          <w:tcPr>
            <w:tcW w:w="3395" w:type="dxa"/>
            <w:vAlign w:val="center"/>
          </w:tcPr>
          <w:p w14:paraId="06B9AD3D">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7F78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32BFE751">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7C3B1550">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2F3B94B2">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2EFF852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速冻蔬菜制品</w:t>
            </w:r>
          </w:p>
        </w:tc>
        <w:tc>
          <w:tcPr>
            <w:tcW w:w="1733" w:type="dxa"/>
            <w:vAlign w:val="center"/>
          </w:tcPr>
          <w:p w14:paraId="50BF1E1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速冻蔬菜制品</w:t>
            </w:r>
          </w:p>
        </w:tc>
        <w:tc>
          <w:tcPr>
            <w:tcW w:w="825" w:type="dxa"/>
            <w:vAlign w:val="center"/>
          </w:tcPr>
          <w:p w14:paraId="62C0166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4F8449F0">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铅（以Pb计）、镉（以Cd计）、糖精钠（以糖精计）</w:t>
            </w:r>
          </w:p>
        </w:tc>
        <w:tc>
          <w:tcPr>
            <w:tcW w:w="3395" w:type="dxa"/>
            <w:vAlign w:val="center"/>
          </w:tcPr>
          <w:p w14:paraId="0017804B">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w:t>
            </w:r>
          </w:p>
        </w:tc>
      </w:tr>
      <w:tr w14:paraId="5122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69437F7B">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6DBDEBCC">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6E15516F">
            <w:pPr>
              <w:pageBreakBefore w:val="0"/>
              <w:widowControl w:val="0"/>
              <w:wordWrap/>
              <w:overflowPunct/>
              <w:topLinePunct w:val="0"/>
              <w:bidi w:val="0"/>
              <w:spacing w:line="300" w:lineRule="exact"/>
              <w:jc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0630053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速冻水果制品</w:t>
            </w:r>
          </w:p>
        </w:tc>
        <w:tc>
          <w:tcPr>
            <w:tcW w:w="1733" w:type="dxa"/>
            <w:vAlign w:val="center"/>
          </w:tcPr>
          <w:p w14:paraId="74063DE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速冻水果制品</w:t>
            </w:r>
          </w:p>
        </w:tc>
        <w:tc>
          <w:tcPr>
            <w:tcW w:w="825" w:type="dxa"/>
            <w:vAlign w:val="center"/>
          </w:tcPr>
          <w:p w14:paraId="14D6864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一般</w:t>
            </w:r>
          </w:p>
        </w:tc>
        <w:tc>
          <w:tcPr>
            <w:tcW w:w="4459" w:type="dxa"/>
            <w:vAlign w:val="center"/>
          </w:tcPr>
          <w:p w14:paraId="2A531FEB">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铅（以Pb计）、菌落总数、大肠菌群、霉菌、沙门氏菌、金黄色葡萄球菌</w:t>
            </w:r>
          </w:p>
        </w:tc>
        <w:tc>
          <w:tcPr>
            <w:tcW w:w="3395" w:type="dxa"/>
            <w:vAlign w:val="center"/>
          </w:tcPr>
          <w:p w14:paraId="67E5E126">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镉（以Cd计）</w:t>
            </w:r>
          </w:p>
        </w:tc>
      </w:tr>
      <w:tr w14:paraId="56C3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 w:hRule="atLeast"/>
        </w:trPr>
        <w:tc>
          <w:tcPr>
            <w:tcW w:w="438" w:type="dxa"/>
            <w:vMerge w:val="restart"/>
            <w:vAlign w:val="center"/>
          </w:tcPr>
          <w:p w14:paraId="463CD783">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12</w:t>
            </w:r>
          </w:p>
        </w:tc>
        <w:tc>
          <w:tcPr>
            <w:tcW w:w="1064" w:type="dxa"/>
            <w:vMerge w:val="restart"/>
            <w:vAlign w:val="center"/>
          </w:tcPr>
          <w:p w14:paraId="53607D75">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薯类和膨化食品</w:t>
            </w:r>
          </w:p>
        </w:tc>
        <w:tc>
          <w:tcPr>
            <w:tcW w:w="1065" w:type="dxa"/>
            <w:vMerge w:val="restart"/>
            <w:vAlign w:val="center"/>
          </w:tcPr>
          <w:p w14:paraId="139E8F2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薯类和膨化食品</w:t>
            </w:r>
          </w:p>
        </w:tc>
        <w:tc>
          <w:tcPr>
            <w:tcW w:w="1356" w:type="dxa"/>
            <w:vAlign w:val="center"/>
          </w:tcPr>
          <w:p w14:paraId="6D5A740C">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膨化食品</w:t>
            </w:r>
          </w:p>
        </w:tc>
        <w:tc>
          <w:tcPr>
            <w:tcW w:w="1733" w:type="dxa"/>
            <w:vAlign w:val="center"/>
          </w:tcPr>
          <w:p w14:paraId="3A96A6F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含油型膨化食品和非含油型膨化食品</w:t>
            </w:r>
          </w:p>
        </w:tc>
        <w:tc>
          <w:tcPr>
            <w:tcW w:w="825" w:type="dxa"/>
            <w:vAlign w:val="center"/>
          </w:tcPr>
          <w:p w14:paraId="31173450">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较高</w:t>
            </w:r>
          </w:p>
        </w:tc>
        <w:tc>
          <w:tcPr>
            <w:tcW w:w="4459" w:type="dxa"/>
            <w:vAlign w:val="center"/>
          </w:tcPr>
          <w:p w14:paraId="20B445A1">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水分、酸价（以脂肪计）（KOH）、过氧化值（以脂肪计）、糖精钠（以糖精计）、纽甜、三氯蔗糖、合成着色剂（新红、苋菜红、酸性红、喹啉黄）</w:t>
            </w:r>
          </w:p>
        </w:tc>
        <w:tc>
          <w:tcPr>
            <w:tcW w:w="3395" w:type="dxa"/>
            <w:vAlign w:val="center"/>
          </w:tcPr>
          <w:p w14:paraId="74F088A7">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菌落总数、苯甲酸及其钠盐（以苯甲酸计）、山梨酸及其钾盐（以山梨酸计）、甜蜜素（以环己基氨基磺酸计）、黄曲霉毒素B1、大肠菌群、沙门氏菌、金黄色葡萄球菌</w:t>
            </w:r>
          </w:p>
        </w:tc>
      </w:tr>
      <w:tr w14:paraId="3B56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4D3B779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6D2B850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3BB63A2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restart"/>
            <w:vAlign w:val="center"/>
          </w:tcPr>
          <w:p w14:paraId="7677E3B0">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薯类食品</w:t>
            </w:r>
          </w:p>
        </w:tc>
        <w:tc>
          <w:tcPr>
            <w:tcW w:w="1733" w:type="dxa"/>
            <w:vAlign w:val="center"/>
          </w:tcPr>
          <w:p w14:paraId="2380F12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干制薯类</w:t>
            </w:r>
          </w:p>
        </w:tc>
        <w:tc>
          <w:tcPr>
            <w:tcW w:w="825" w:type="dxa"/>
            <w:vAlign w:val="center"/>
          </w:tcPr>
          <w:p w14:paraId="01C3A27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39EB71B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酸价（以脂肪计）（KOH）、过氧化值（以脂肪计）、铅（以Pb计）、二氧化硫残留量、菌落总数、大肠菌群</w:t>
            </w:r>
          </w:p>
        </w:tc>
        <w:tc>
          <w:tcPr>
            <w:tcW w:w="3395" w:type="dxa"/>
            <w:vAlign w:val="center"/>
          </w:tcPr>
          <w:p w14:paraId="78B23EC9">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沙门氏菌、金黄色葡萄球菌</w:t>
            </w:r>
          </w:p>
        </w:tc>
      </w:tr>
      <w:tr w14:paraId="7AEB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39F4C59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8D4B89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4521735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32D02B7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7075DD93">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冷冻薯类</w:t>
            </w:r>
          </w:p>
        </w:tc>
        <w:tc>
          <w:tcPr>
            <w:tcW w:w="825" w:type="dxa"/>
            <w:vAlign w:val="center"/>
          </w:tcPr>
          <w:p w14:paraId="2AAFE7B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188B653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w:t>
            </w:r>
          </w:p>
        </w:tc>
        <w:tc>
          <w:tcPr>
            <w:tcW w:w="3395" w:type="dxa"/>
            <w:vAlign w:val="center"/>
          </w:tcPr>
          <w:p w14:paraId="4438F5D1">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6F09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438" w:type="dxa"/>
            <w:vMerge w:val="continue"/>
            <w:vAlign w:val="center"/>
          </w:tcPr>
          <w:p w14:paraId="74C8DB8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7A22B52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4CFBFFD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67FE7BE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7027E0B5">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薯泥（酱）类</w:t>
            </w:r>
          </w:p>
        </w:tc>
        <w:tc>
          <w:tcPr>
            <w:tcW w:w="825" w:type="dxa"/>
            <w:vAlign w:val="center"/>
          </w:tcPr>
          <w:p w14:paraId="29202A6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12E4E89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铅（以Pb计）、苯甲酸及其钠盐（以苯甲酸计）、山梨酸及其钾盐（以山梨酸计）、商业无菌、沙门氏菌、金黄色葡萄球菌</w:t>
            </w:r>
          </w:p>
        </w:tc>
        <w:tc>
          <w:tcPr>
            <w:tcW w:w="3395" w:type="dxa"/>
            <w:vAlign w:val="center"/>
          </w:tcPr>
          <w:p w14:paraId="36D65F52">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58F2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3F2DB9C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A3A66A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133CC8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375765B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5F20512C">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薯粉类</w:t>
            </w:r>
          </w:p>
        </w:tc>
        <w:tc>
          <w:tcPr>
            <w:tcW w:w="825" w:type="dxa"/>
            <w:vAlign w:val="center"/>
          </w:tcPr>
          <w:p w14:paraId="7A539C7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506ED24A">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铅（以Pb计）、二氧化硫残留量</w:t>
            </w:r>
          </w:p>
        </w:tc>
        <w:tc>
          <w:tcPr>
            <w:tcW w:w="3395" w:type="dxa"/>
            <w:vAlign w:val="center"/>
          </w:tcPr>
          <w:p w14:paraId="523FB305">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2129D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1738A64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A845F8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25CA9C6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3DD743F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47960B8C">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其他薯类食品</w:t>
            </w:r>
          </w:p>
        </w:tc>
        <w:tc>
          <w:tcPr>
            <w:tcW w:w="825" w:type="dxa"/>
            <w:vAlign w:val="center"/>
          </w:tcPr>
          <w:p w14:paraId="1A2D37B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07D42A3E">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铅（以Pb计）、沙门氏菌、金黄色葡萄球菌</w:t>
            </w:r>
          </w:p>
        </w:tc>
        <w:tc>
          <w:tcPr>
            <w:tcW w:w="3395" w:type="dxa"/>
            <w:vAlign w:val="center"/>
          </w:tcPr>
          <w:p w14:paraId="46CBCCD1">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48CBC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2" w:hRule="atLeast"/>
        </w:trPr>
        <w:tc>
          <w:tcPr>
            <w:tcW w:w="438" w:type="dxa"/>
            <w:vMerge w:val="restart"/>
            <w:vAlign w:val="center"/>
          </w:tcPr>
          <w:p w14:paraId="13E5463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13</w:t>
            </w:r>
          </w:p>
        </w:tc>
        <w:tc>
          <w:tcPr>
            <w:tcW w:w="1064" w:type="dxa"/>
            <w:vMerge w:val="restart"/>
            <w:vAlign w:val="center"/>
          </w:tcPr>
          <w:p w14:paraId="0C8FBE7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糖果制品</w:t>
            </w:r>
          </w:p>
        </w:tc>
        <w:tc>
          <w:tcPr>
            <w:tcW w:w="1065" w:type="dxa"/>
            <w:vMerge w:val="restart"/>
            <w:vAlign w:val="center"/>
          </w:tcPr>
          <w:p w14:paraId="53A1BFAB">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糖果制品</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含巧克力及制品</w:t>
            </w:r>
            <w:r>
              <w:rPr>
                <w:rFonts w:hint="eastAsia" w:ascii="仿宋" w:hAnsi="仿宋" w:eastAsia="仿宋" w:cs="仿宋"/>
                <w:color w:val="auto"/>
                <w:kern w:val="0"/>
                <w:sz w:val="24"/>
                <w:szCs w:val="24"/>
                <w:highlight w:val="none"/>
                <w:lang w:eastAsia="zh-CN"/>
              </w:rPr>
              <w:t>）</w:t>
            </w:r>
          </w:p>
        </w:tc>
        <w:tc>
          <w:tcPr>
            <w:tcW w:w="1356" w:type="dxa"/>
            <w:vAlign w:val="center"/>
          </w:tcPr>
          <w:p w14:paraId="1C57C52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糖果</w:t>
            </w:r>
          </w:p>
        </w:tc>
        <w:tc>
          <w:tcPr>
            <w:tcW w:w="1733" w:type="dxa"/>
            <w:vAlign w:val="center"/>
          </w:tcPr>
          <w:p w14:paraId="5948E66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糖果</w:t>
            </w:r>
          </w:p>
        </w:tc>
        <w:tc>
          <w:tcPr>
            <w:tcW w:w="825" w:type="dxa"/>
            <w:vAlign w:val="center"/>
          </w:tcPr>
          <w:p w14:paraId="2A9EBD0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1B86957F">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糖精钠（以糖精计）、甜蜜素（以环己基氨基磺酸计）、合成着色剂（柠檬黄、新红、苋菜红、靛蓝、胭脂红、日落黄、诱惑红、亮蓝、酸性红、喹啉黄、赤藓红）、相同色泽着色剂混合使用时各自用量占其最大使用量的比例之和、二氧化硫残留量、菌落总数、大肠菌群</w:t>
            </w:r>
            <w:r>
              <w:rPr>
                <w:rFonts w:hint="eastAsia" w:ascii="仿宋" w:hAnsi="仿宋" w:eastAsia="仿宋" w:cs="仿宋"/>
                <w:color w:val="auto"/>
                <w:kern w:val="0"/>
                <w:sz w:val="24"/>
                <w:szCs w:val="24"/>
                <w:highlight w:val="none"/>
                <w:lang w:eastAsia="zh-CN"/>
              </w:rPr>
              <w:t>、西地那非、他达拉非、酚丁、双酚沙丁、双丙酚丁、脱乙酰比沙可啶</w:t>
            </w:r>
          </w:p>
        </w:tc>
        <w:tc>
          <w:tcPr>
            <w:tcW w:w="3395" w:type="dxa"/>
            <w:vAlign w:val="center"/>
          </w:tcPr>
          <w:p w14:paraId="7376F913">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w:t>
            </w:r>
          </w:p>
        </w:tc>
      </w:tr>
      <w:tr w14:paraId="7CEB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4E643B4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E9D97C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37E992D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064D4A45">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巧克力及巧克力制品</w:t>
            </w:r>
          </w:p>
        </w:tc>
        <w:tc>
          <w:tcPr>
            <w:tcW w:w="1733" w:type="dxa"/>
            <w:vAlign w:val="center"/>
          </w:tcPr>
          <w:p w14:paraId="5B9C719A">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巧克力、巧克力制品、代可可脂巧克力及代可可脂巧克力制品</w:t>
            </w:r>
          </w:p>
        </w:tc>
        <w:tc>
          <w:tcPr>
            <w:tcW w:w="825" w:type="dxa"/>
            <w:vAlign w:val="center"/>
          </w:tcPr>
          <w:p w14:paraId="29A3BC7F">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60C2A9AB">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铅（以Pb计）、沙门氏菌</w:t>
            </w:r>
          </w:p>
        </w:tc>
        <w:tc>
          <w:tcPr>
            <w:tcW w:w="3395" w:type="dxa"/>
            <w:vAlign w:val="center"/>
          </w:tcPr>
          <w:p w14:paraId="1D202081">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w:t>
            </w:r>
          </w:p>
        </w:tc>
      </w:tr>
      <w:tr w14:paraId="1EA5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2" w:hRule="atLeast"/>
        </w:trPr>
        <w:tc>
          <w:tcPr>
            <w:tcW w:w="438" w:type="dxa"/>
            <w:vMerge w:val="continue"/>
            <w:vAlign w:val="center"/>
          </w:tcPr>
          <w:p w14:paraId="1A78D30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549F80E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24CDFA1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197091FE">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果冻</w:t>
            </w:r>
          </w:p>
        </w:tc>
        <w:tc>
          <w:tcPr>
            <w:tcW w:w="1733" w:type="dxa"/>
            <w:vAlign w:val="center"/>
          </w:tcPr>
          <w:p w14:paraId="2AB9D1EE">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果冻</w:t>
            </w:r>
          </w:p>
        </w:tc>
        <w:tc>
          <w:tcPr>
            <w:tcW w:w="825" w:type="dxa"/>
            <w:vAlign w:val="center"/>
          </w:tcPr>
          <w:p w14:paraId="4A86837E">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02C6088D">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合成着色剂（柠檬黄、新红、苋菜红、靛蓝、胭脂红、日落黄、诱惑红、亮蓝、酸性红、喹啉黄、赤藓红）、相同色泽着色剂混合使用时各自用量占其最大使用量的比例之和、安赛蜜、甜蜜素（以环己基氨基磺酸计）、菌落总数、霉菌</w:t>
            </w:r>
            <w:r>
              <w:rPr>
                <w:rFonts w:hint="eastAsia" w:ascii="仿宋" w:hAnsi="仿宋" w:eastAsia="仿宋" w:cs="仿宋"/>
                <w:color w:val="auto"/>
                <w:kern w:val="0"/>
                <w:sz w:val="24"/>
                <w:szCs w:val="24"/>
                <w:highlight w:val="none"/>
                <w:lang w:eastAsia="zh-CN"/>
              </w:rPr>
              <w:t>、双丙酚丁、脱乙酰比沙可啶</w:t>
            </w:r>
          </w:p>
        </w:tc>
        <w:tc>
          <w:tcPr>
            <w:tcW w:w="3395" w:type="dxa"/>
            <w:vAlign w:val="center"/>
          </w:tcPr>
          <w:p w14:paraId="2542D34E">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山梨酸及其钾盐（以山梨酸计）、苯甲酸及其钠盐（以苯甲酸计）、糖精钠（以糖精计）、大肠菌群、酵母</w:t>
            </w:r>
          </w:p>
        </w:tc>
      </w:tr>
      <w:tr w14:paraId="6954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7" w:hRule="atLeast"/>
        </w:trPr>
        <w:tc>
          <w:tcPr>
            <w:tcW w:w="438" w:type="dxa"/>
            <w:vMerge w:val="restart"/>
            <w:vAlign w:val="center"/>
          </w:tcPr>
          <w:p w14:paraId="694109F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6"/>
                <w:kern w:val="0"/>
                <w:sz w:val="24"/>
                <w:szCs w:val="24"/>
                <w:highlight w:val="none"/>
              </w:rPr>
              <w:t>14</w:t>
            </w:r>
          </w:p>
        </w:tc>
        <w:tc>
          <w:tcPr>
            <w:tcW w:w="1064" w:type="dxa"/>
            <w:vMerge w:val="restart"/>
            <w:vAlign w:val="center"/>
          </w:tcPr>
          <w:p w14:paraId="406BEEC1">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rPr>
              <w:t>茶叶及相关</w:t>
            </w:r>
            <w:r>
              <w:rPr>
                <w:rFonts w:hint="eastAsia" w:ascii="仿宋" w:hAnsi="仿宋" w:eastAsia="仿宋" w:cs="仿宋"/>
                <w:color w:val="auto"/>
                <w:kern w:val="0"/>
                <w:sz w:val="24"/>
                <w:szCs w:val="24"/>
                <w:highlight w:val="none"/>
              </w:rPr>
              <w:t xml:space="preserve"> </w:t>
            </w:r>
            <w:r>
              <w:rPr>
                <w:rFonts w:hint="eastAsia" w:ascii="仿宋" w:hAnsi="仿宋" w:eastAsia="仿宋" w:cs="仿宋"/>
                <w:color w:val="auto"/>
                <w:spacing w:val="9"/>
                <w:kern w:val="0"/>
                <w:sz w:val="24"/>
                <w:szCs w:val="24"/>
                <w:highlight w:val="none"/>
              </w:rPr>
              <w:t>制品</w:t>
            </w:r>
          </w:p>
        </w:tc>
        <w:tc>
          <w:tcPr>
            <w:tcW w:w="1065" w:type="dxa"/>
            <w:vAlign w:val="center"/>
          </w:tcPr>
          <w:p w14:paraId="60229B8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3"/>
                <w:kern w:val="0"/>
                <w:sz w:val="24"/>
                <w:szCs w:val="24"/>
                <w:highlight w:val="none"/>
              </w:rPr>
              <w:t>茶叶</w:t>
            </w:r>
          </w:p>
        </w:tc>
        <w:tc>
          <w:tcPr>
            <w:tcW w:w="1356" w:type="dxa"/>
            <w:vAlign w:val="center"/>
          </w:tcPr>
          <w:p w14:paraId="0BDC009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3"/>
                <w:kern w:val="0"/>
                <w:sz w:val="24"/>
                <w:szCs w:val="24"/>
                <w:highlight w:val="none"/>
              </w:rPr>
              <w:t>茶叶</w:t>
            </w:r>
          </w:p>
        </w:tc>
        <w:tc>
          <w:tcPr>
            <w:tcW w:w="1733" w:type="dxa"/>
            <w:vAlign w:val="center"/>
          </w:tcPr>
          <w:p w14:paraId="775F108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rPr>
              <w:t>绿茶、红茶</w:t>
            </w:r>
            <w:r>
              <w:rPr>
                <w:rFonts w:hint="eastAsia" w:ascii="仿宋" w:hAnsi="仿宋" w:eastAsia="仿宋" w:cs="仿宋"/>
                <w:color w:val="auto"/>
                <w:spacing w:val="17"/>
                <w:kern w:val="0"/>
                <w:sz w:val="24"/>
                <w:szCs w:val="24"/>
                <w:highlight w:val="none"/>
              </w:rPr>
              <w:t>、乌龙茶、</w:t>
            </w:r>
            <w:r>
              <w:rPr>
                <w:rFonts w:hint="eastAsia" w:ascii="仿宋" w:hAnsi="仿宋" w:eastAsia="仿宋" w:cs="仿宋"/>
                <w:color w:val="auto"/>
                <w:spacing w:val="-2"/>
                <w:kern w:val="0"/>
                <w:sz w:val="24"/>
                <w:szCs w:val="24"/>
                <w:highlight w:val="none"/>
              </w:rPr>
              <w:t>黄茶、白茶</w:t>
            </w:r>
            <w:r>
              <w:rPr>
                <w:rFonts w:hint="eastAsia" w:ascii="仿宋" w:hAnsi="仿宋" w:eastAsia="仿宋" w:cs="仿宋"/>
                <w:color w:val="auto"/>
                <w:spacing w:val="-1"/>
                <w:kern w:val="0"/>
                <w:sz w:val="24"/>
                <w:szCs w:val="24"/>
                <w:highlight w:val="none"/>
              </w:rPr>
              <w:t>、黑茶、花</w:t>
            </w:r>
            <w:r>
              <w:rPr>
                <w:rFonts w:hint="eastAsia" w:ascii="仿宋" w:hAnsi="仿宋" w:eastAsia="仿宋" w:cs="仿宋"/>
                <w:color w:val="auto"/>
                <w:spacing w:val="-2"/>
                <w:kern w:val="0"/>
                <w:sz w:val="24"/>
                <w:szCs w:val="24"/>
                <w:highlight w:val="none"/>
              </w:rPr>
              <w:t>茶、袋泡茶</w:t>
            </w:r>
            <w:r>
              <w:rPr>
                <w:rFonts w:hint="eastAsia" w:ascii="仿宋" w:hAnsi="仿宋" w:eastAsia="仿宋" w:cs="仿宋"/>
                <w:color w:val="auto"/>
                <w:kern w:val="0"/>
                <w:sz w:val="24"/>
                <w:szCs w:val="24"/>
                <w:highlight w:val="none"/>
              </w:rPr>
              <w:t>、紧压茶</w:t>
            </w:r>
          </w:p>
        </w:tc>
        <w:tc>
          <w:tcPr>
            <w:tcW w:w="825" w:type="dxa"/>
            <w:vAlign w:val="center"/>
          </w:tcPr>
          <w:p w14:paraId="4375108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5"/>
                <w:kern w:val="0"/>
                <w:sz w:val="24"/>
                <w:szCs w:val="24"/>
                <w:highlight w:val="none"/>
              </w:rPr>
              <w:t>一般</w:t>
            </w:r>
          </w:p>
        </w:tc>
        <w:tc>
          <w:tcPr>
            <w:tcW w:w="4459" w:type="dxa"/>
            <w:vAlign w:val="center"/>
          </w:tcPr>
          <w:p w14:paraId="0664A58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lang w:eastAsia="zh-CN"/>
              </w:rPr>
              <w:t>草甘膦</w:t>
            </w:r>
            <w:r>
              <w:rPr>
                <w:rFonts w:hint="eastAsia" w:ascii="仿宋" w:hAnsi="仿宋" w:eastAsia="仿宋" w:cs="仿宋"/>
                <w:color w:val="auto"/>
                <w:kern w:val="0"/>
                <w:sz w:val="24"/>
                <w:szCs w:val="24"/>
                <w:highlight w:val="none"/>
              </w:rPr>
              <w:t>、吡虫啉、乙酰甲胺磷、联苯菊酯、灭多威</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三氯杀螨醇</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水胺硫磷</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合成着色剂</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柠檬黄、日落黄、胭脂红、亮蓝</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kern w:val="0"/>
                <w:sz w:val="24"/>
                <w:szCs w:val="24"/>
                <w:highlight w:val="none"/>
                <w:lang w:val="en" w:eastAsia="zh-CN"/>
              </w:rPr>
              <w:t>糖精钠、</w:t>
            </w:r>
            <w:r>
              <w:rPr>
                <w:rFonts w:hint="eastAsia" w:ascii="仿宋" w:hAnsi="仿宋" w:eastAsia="仿宋" w:cs="仿宋"/>
                <w:color w:val="auto"/>
                <w:kern w:val="0"/>
                <w:sz w:val="24"/>
                <w:szCs w:val="24"/>
                <w:highlight w:val="none"/>
              </w:rPr>
              <w:t>甜蜜素（以环己基氨基磺酸计）</w:t>
            </w:r>
          </w:p>
        </w:tc>
        <w:tc>
          <w:tcPr>
            <w:tcW w:w="3395" w:type="dxa"/>
            <w:vAlign w:val="center"/>
          </w:tcPr>
          <w:p w14:paraId="762261C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val="en-US" w:eastAsia="zh-CN"/>
              </w:rPr>
              <w:t>啶虫脒</w:t>
            </w:r>
          </w:p>
        </w:tc>
      </w:tr>
      <w:tr w14:paraId="526DE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438" w:type="dxa"/>
            <w:vMerge w:val="continue"/>
            <w:vAlign w:val="center"/>
          </w:tcPr>
          <w:p w14:paraId="3C2A010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1D62A5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7F9DD06C">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rPr>
              <w:t>含茶制品和</w:t>
            </w:r>
            <w:r>
              <w:rPr>
                <w:rFonts w:hint="eastAsia" w:ascii="仿宋" w:hAnsi="仿宋" w:eastAsia="仿宋" w:cs="仿宋"/>
                <w:color w:val="auto"/>
                <w:spacing w:val="-2"/>
                <w:kern w:val="0"/>
                <w:sz w:val="24"/>
                <w:szCs w:val="24"/>
                <w:highlight w:val="none"/>
              </w:rPr>
              <w:t>代用茶</w:t>
            </w:r>
          </w:p>
        </w:tc>
        <w:tc>
          <w:tcPr>
            <w:tcW w:w="1356" w:type="dxa"/>
            <w:vAlign w:val="center"/>
          </w:tcPr>
          <w:p w14:paraId="2D07D236">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4"/>
                <w:kern w:val="0"/>
                <w:sz w:val="24"/>
                <w:szCs w:val="24"/>
                <w:highlight w:val="none"/>
              </w:rPr>
              <w:t>含茶制品</w:t>
            </w:r>
          </w:p>
        </w:tc>
        <w:tc>
          <w:tcPr>
            <w:tcW w:w="1733" w:type="dxa"/>
            <w:vAlign w:val="center"/>
          </w:tcPr>
          <w:p w14:paraId="0E78B8E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17"/>
                <w:kern w:val="0"/>
                <w:sz w:val="24"/>
                <w:szCs w:val="24"/>
                <w:highlight w:val="none"/>
              </w:rPr>
              <w:t>速溶茶类、</w:t>
            </w:r>
            <w:r>
              <w:rPr>
                <w:rFonts w:hint="eastAsia" w:ascii="仿宋" w:hAnsi="仿宋" w:eastAsia="仿宋" w:cs="仿宋"/>
                <w:color w:val="auto"/>
                <w:spacing w:val="3"/>
                <w:kern w:val="0"/>
                <w:sz w:val="24"/>
                <w:szCs w:val="24"/>
                <w:highlight w:val="none"/>
              </w:rPr>
              <w:t>其他含茶制</w:t>
            </w:r>
            <w:r>
              <w:rPr>
                <w:rFonts w:hint="eastAsia" w:ascii="仿宋" w:hAnsi="仿宋" w:eastAsia="仿宋" w:cs="仿宋"/>
                <w:color w:val="auto"/>
                <w:kern w:val="0"/>
                <w:sz w:val="24"/>
                <w:szCs w:val="24"/>
                <w:highlight w:val="none"/>
              </w:rPr>
              <w:t>品</w:t>
            </w:r>
          </w:p>
        </w:tc>
        <w:tc>
          <w:tcPr>
            <w:tcW w:w="825" w:type="dxa"/>
            <w:vAlign w:val="center"/>
          </w:tcPr>
          <w:p w14:paraId="0884E253">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5"/>
                <w:kern w:val="0"/>
                <w:sz w:val="24"/>
                <w:szCs w:val="24"/>
                <w:highlight w:val="none"/>
              </w:rPr>
              <w:t>一般</w:t>
            </w:r>
          </w:p>
        </w:tc>
        <w:tc>
          <w:tcPr>
            <w:tcW w:w="4459" w:type="dxa"/>
            <w:vAlign w:val="center"/>
          </w:tcPr>
          <w:p w14:paraId="35BD0485">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left"/>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1"/>
                <w:kern w:val="0"/>
                <w:sz w:val="24"/>
                <w:szCs w:val="24"/>
                <w:highlight w:val="none"/>
              </w:rPr>
              <w:t>铅</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spacing w:val="-1"/>
                <w:kern w:val="0"/>
                <w:sz w:val="24"/>
                <w:szCs w:val="24"/>
                <w:highlight w:val="none"/>
              </w:rPr>
              <w:t>以Pb计</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spacing w:val="-1"/>
                <w:kern w:val="0"/>
                <w:sz w:val="24"/>
                <w:szCs w:val="24"/>
                <w:highlight w:val="none"/>
              </w:rPr>
              <w:t>、菌落总数</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spacing w:val="-1"/>
                <w:kern w:val="0"/>
                <w:sz w:val="24"/>
                <w:szCs w:val="24"/>
                <w:highlight w:val="none"/>
              </w:rPr>
              <w:t>霉菌、霉菌及酵母</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spacing w:val="-1"/>
                <w:kern w:val="0"/>
                <w:sz w:val="24"/>
                <w:szCs w:val="24"/>
                <w:highlight w:val="none"/>
              </w:rPr>
              <w:t>合成着色剂</w:t>
            </w:r>
            <w:r>
              <w:rPr>
                <w:rFonts w:hint="eastAsia" w:ascii="仿宋" w:hAnsi="仿宋" w:eastAsia="仿宋" w:cs="仿宋"/>
                <w:color w:val="auto"/>
                <w:spacing w:val="-1"/>
                <w:kern w:val="0"/>
                <w:sz w:val="24"/>
                <w:szCs w:val="24"/>
                <w:highlight w:val="none"/>
                <w:lang w:eastAsia="zh-CN"/>
              </w:rPr>
              <w:t>（</w:t>
            </w:r>
            <w:r>
              <w:rPr>
                <w:rFonts w:hint="eastAsia" w:ascii="仿宋" w:hAnsi="仿宋" w:eastAsia="仿宋" w:cs="仿宋"/>
                <w:color w:val="auto"/>
                <w:spacing w:val="-1"/>
                <w:kern w:val="0"/>
                <w:sz w:val="24"/>
                <w:szCs w:val="24"/>
                <w:highlight w:val="none"/>
              </w:rPr>
              <w:t>柠檬黄、日落黄、胭脂红、亮蓝</w:t>
            </w:r>
            <w:r>
              <w:rPr>
                <w:rFonts w:hint="eastAsia" w:ascii="仿宋" w:hAnsi="仿宋" w:eastAsia="仿宋" w:cs="仿宋"/>
                <w:color w:val="auto"/>
                <w:spacing w:val="-1"/>
                <w:kern w:val="0"/>
                <w:sz w:val="24"/>
                <w:szCs w:val="24"/>
                <w:highlight w:val="none"/>
                <w:lang w:eastAsia="zh-CN"/>
              </w:rPr>
              <w:t>）</w:t>
            </w:r>
          </w:p>
        </w:tc>
        <w:tc>
          <w:tcPr>
            <w:tcW w:w="3395" w:type="dxa"/>
            <w:vAlign w:val="center"/>
          </w:tcPr>
          <w:p w14:paraId="738BAAC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 w:eastAsia="zh-CN"/>
              </w:rPr>
              <w:t>糖精钠、</w:t>
            </w:r>
            <w:r>
              <w:rPr>
                <w:rFonts w:hint="eastAsia" w:ascii="仿宋" w:hAnsi="仿宋" w:eastAsia="仿宋" w:cs="仿宋"/>
                <w:color w:val="auto"/>
                <w:kern w:val="0"/>
                <w:sz w:val="24"/>
                <w:szCs w:val="24"/>
                <w:highlight w:val="none"/>
              </w:rPr>
              <w:t>甜蜜素（以环己基氨基磺酸计）</w:t>
            </w:r>
          </w:p>
        </w:tc>
      </w:tr>
      <w:tr w14:paraId="7D851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 w:hRule="atLeast"/>
        </w:trPr>
        <w:tc>
          <w:tcPr>
            <w:tcW w:w="438" w:type="dxa"/>
            <w:vMerge w:val="continue"/>
            <w:vAlign w:val="center"/>
          </w:tcPr>
          <w:p w14:paraId="0EFF8B9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528A13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A54645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restart"/>
            <w:vAlign w:val="center"/>
          </w:tcPr>
          <w:p w14:paraId="1F8DAD3F">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rPr>
              <w:t>代用茶</w:t>
            </w:r>
          </w:p>
        </w:tc>
        <w:tc>
          <w:tcPr>
            <w:tcW w:w="1733" w:type="dxa"/>
            <w:vAlign w:val="center"/>
          </w:tcPr>
          <w:p w14:paraId="549EAB8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lang w:eastAsia="zh-CN"/>
              </w:rPr>
              <w:t>枸杞（干）</w:t>
            </w:r>
          </w:p>
        </w:tc>
        <w:tc>
          <w:tcPr>
            <w:tcW w:w="825" w:type="dxa"/>
            <w:vAlign w:val="center"/>
          </w:tcPr>
          <w:p w14:paraId="5714C89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5"/>
                <w:kern w:val="0"/>
                <w:sz w:val="24"/>
                <w:szCs w:val="24"/>
                <w:highlight w:val="none"/>
              </w:rPr>
              <w:t>一般</w:t>
            </w:r>
          </w:p>
        </w:tc>
        <w:tc>
          <w:tcPr>
            <w:tcW w:w="4459" w:type="dxa"/>
            <w:vAlign w:val="center"/>
          </w:tcPr>
          <w:p w14:paraId="4693553E">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、二氧化硫残留量、</w:t>
            </w:r>
            <w:r>
              <w:rPr>
                <w:rFonts w:hint="eastAsia" w:ascii="仿宋" w:hAnsi="仿宋" w:eastAsia="仿宋" w:cs="仿宋"/>
                <w:color w:val="auto"/>
                <w:kern w:val="0"/>
                <w:sz w:val="24"/>
                <w:szCs w:val="24"/>
                <w:highlight w:val="none"/>
                <w:lang w:eastAsia="zh-CN"/>
              </w:rPr>
              <w:t>克百威、</w:t>
            </w:r>
            <w:r>
              <w:rPr>
                <w:rFonts w:hint="eastAsia" w:ascii="仿宋" w:hAnsi="仿宋" w:eastAsia="仿宋" w:cs="仿宋"/>
                <w:color w:val="auto"/>
                <w:spacing w:val="-5"/>
                <w:kern w:val="0"/>
                <w:sz w:val="24"/>
                <w:szCs w:val="24"/>
                <w:highlight w:val="none"/>
                <w:lang w:eastAsia="zh-CN"/>
              </w:rPr>
              <w:t>啶虫脒</w:t>
            </w:r>
            <w:r>
              <w:rPr>
                <w:rFonts w:hint="eastAsia" w:ascii="仿宋" w:hAnsi="仿宋" w:eastAsia="仿宋" w:cs="仿宋"/>
                <w:color w:val="auto"/>
                <w:kern w:val="0"/>
                <w:sz w:val="24"/>
                <w:szCs w:val="24"/>
                <w:highlight w:val="none"/>
              </w:rPr>
              <w:t>、氯氟氰菊酯和高效氯氟氰菊酯、三唑磷、霉菌</w:t>
            </w:r>
          </w:p>
        </w:tc>
        <w:tc>
          <w:tcPr>
            <w:tcW w:w="3395" w:type="dxa"/>
            <w:vAlign w:val="center"/>
          </w:tcPr>
          <w:p w14:paraId="4034BAB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eastAsia="zh-CN"/>
              </w:rPr>
              <w:t>毒死蜱、</w:t>
            </w:r>
            <w:r>
              <w:rPr>
                <w:rFonts w:hint="eastAsia" w:ascii="仿宋" w:hAnsi="仿宋" w:eastAsia="仿宋" w:cs="仿宋"/>
                <w:color w:val="auto"/>
                <w:kern w:val="0"/>
                <w:sz w:val="24"/>
                <w:szCs w:val="24"/>
                <w:highlight w:val="none"/>
              </w:rPr>
              <w:t>吡虫啉</w:t>
            </w:r>
          </w:p>
        </w:tc>
      </w:tr>
      <w:tr w14:paraId="3669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438" w:type="dxa"/>
            <w:vMerge w:val="continue"/>
            <w:vAlign w:val="center"/>
          </w:tcPr>
          <w:p w14:paraId="0D284C9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4F47CF2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18A076F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735CE18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rPr>
            </w:pPr>
          </w:p>
        </w:tc>
        <w:tc>
          <w:tcPr>
            <w:tcW w:w="1733" w:type="dxa"/>
            <w:vAlign w:val="center"/>
          </w:tcPr>
          <w:p w14:paraId="01118E5A">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lang w:eastAsia="zh-CN"/>
              </w:rPr>
              <w:t>菊花（干）</w:t>
            </w:r>
          </w:p>
        </w:tc>
        <w:tc>
          <w:tcPr>
            <w:tcW w:w="825" w:type="dxa"/>
            <w:vAlign w:val="center"/>
          </w:tcPr>
          <w:p w14:paraId="10CC4E6A">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5"/>
                <w:kern w:val="0"/>
                <w:sz w:val="24"/>
                <w:szCs w:val="24"/>
                <w:highlight w:val="none"/>
              </w:rPr>
              <w:t>一般</w:t>
            </w:r>
          </w:p>
        </w:tc>
        <w:tc>
          <w:tcPr>
            <w:tcW w:w="4459" w:type="dxa"/>
            <w:vAlign w:val="center"/>
          </w:tcPr>
          <w:p w14:paraId="58F124E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、二氧化硫残留量、</w:t>
            </w:r>
            <w:r>
              <w:rPr>
                <w:rFonts w:hint="eastAsia" w:ascii="仿宋" w:hAnsi="仿宋" w:eastAsia="仿宋" w:cs="仿宋"/>
                <w:color w:val="auto"/>
                <w:kern w:val="0"/>
                <w:sz w:val="24"/>
                <w:szCs w:val="24"/>
                <w:highlight w:val="none"/>
                <w:lang w:eastAsia="zh-CN"/>
              </w:rPr>
              <w:t>克百威、</w:t>
            </w:r>
            <w:r>
              <w:rPr>
                <w:rFonts w:hint="eastAsia" w:ascii="仿宋" w:hAnsi="仿宋" w:eastAsia="仿宋" w:cs="仿宋"/>
                <w:color w:val="auto"/>
                <w:kern w:val="0"/>
                <w:sz w:val="24"/>
                <w:szCs w:val="24"/>
                <w:highlight w:val="none"/>
              </w:rPr>
              <w:t>氯氟氰菊酯和高效氯氟氰菊酯、三唑磷、霉菌</w:t>
            </w:r>
          </w:p>
        </w:tc>
        <w:tc>
          <w:tcPr>
            <w:tcW w:w="3395" w:type="dxa"/>
            <w:vAlign w:val="center"/>
          </w:tcPr>
          <w:p w14:paraId="36DE260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eastAsia="zh-CN"/>
              </w:rPr>
              <w:t>毒死蜱、</w:t>
            </w:r>
            <w:r>
              <w:rPr>
                <w:rFonts w:hint="eastAsia" w:ascii="仿宋" w:hAnsi="仿宋" w:eastAsia="仿宋" w:cs="仿宋"/>
                <w:color w:val="auto"/>
                <w:kern w:val="0"/>
                <w:sz w:val="24"/>
                <w:szCs w:val="24"/>
                <w:highlight w:val="none"/>
              </w:rPr>
              <w:t>吡虫啉</w:t>
            </w:r>
          </w:p>
        </w:tc>
      </w:tr>
      <w:tr w14:paraId="6378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438" w:type="dxa"/>
            <w:vMerge w:val="continue"/>
            <w:vAlign w:val="center"/>
          </w:tcPr>
          <w:p w14:paraId="19D5BBC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69E8B2E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1695B7E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0CCCA86C">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rPr>
            </w:pPr>
          </w:p>
        </w:tc>
        <w:tc>
          <w:tcPr>
            <w:tcW w:w="1733" w:type="dxa"/>
            <w:vAlign w:val="center"/>
          </w:tcPr>
          <w:p w14:paraId="5590EDA0">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lang w:eastAsia="zh-CN"/>
              </w:rPr>
              <w:t>金银花（干）</w:t>
            </w:r>
          </w:p>
        </w:tc>
        <w:tc>
          <w:tcPr>
            <w:tcW w:w="825" w:type="dxa"/>
            <w:vAlign w:val="center"/>
          </w:tcPr>
          <w:p w14:paraId="676C0C78">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5"/>
                <w:kern w:val="0"/>
                <w:sz w:val="24"/>
                <w:szCs w:val="24"/>
                <w:highlight w:val="none"/>
              </w:rPr>
              <w:t>一般</w:t>
            </w:r>
          </w:p>
        </w:tc>
        <w:tc>
          <w:tcPr>
            <w:tcW w:w="4459" w:type="dxa"/>
            <w:vAlign w:val="center"/>
          </w:tcPr>
          <w:p w14:paraId="49F79DB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、二氧化硫残留量、</w:t>
            </w:r>
            <w:r>
              <w:rPr>
                <w:rFonts w:hint="eastAsia" w:ascii="仿宋" w:hAnsi="仿宋" w:eastAsia="仿宋" w:cs="仿宋"/>
                <w:color w:val="auto"/>
                <w:kern w:val="0"/>
                <w:sz w:val="24"/>
                <w:szCs w:val="24"/>
                <w:highlight w:val="none"/>
                <w:lang w:eastAsia="zh-CN"/>
              </w:rPr>
              <w:t>克百威、</w:t>
            </w:r>
            <w:r>
              <w:rPr>
                <w:rFonts w:hint="eastAsia" w:ascii="仿宋" w:hAnsi="仿宋" w:eastAsia="仿宋" w:cs="仿宋"/>
                <w:color w:val="auto"/>
                <w:spacing w:val="-5"/>
                <w:kern w:val="0"/>
                <w:sz w:val="24"/>
                <w:szCs w:val="24"/>
                <w:highlight w:val="none"/>
                <w:lang w:eastAsia="zh-CN"/>
              </w:rPr>
              <w:t>啶虫脒</w:t>
            </w:r>
            <w:r>
              <w:rPr>
                <w:rFonts w:hint="eastAsia" w:ascii="仿宋" w:hAnsi="仿宋" w:eastAsia="仿宋" w:cs="仿宋"/>
                <w:color w:val="auto"/>
                <w:kern w:val="0"/>
                <w:sz w:val="24"/>
                <w:szCs w:val="24"/>
                <w:highlight w:val="none"/>
              </w:rPr>
              <w:t>、氯氟氰菊酯和高效氯氟氰菊酯、三唑磷、霉菌</w:t>
            </w:r>
          </w:p>
        </w:tc>
        <w:tc>
          <w:tcPr>
            <w:tcW w:w="3395" w:type="dxa"/>
            <w:vAlign w:val="center"/>
          </w:tcPr>
          <w:p w14:paraId="6DACF8E6">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eastAsia="zh-CN"/>
              </w:rPr>
              <w:t>毒死蜱、</w:t>
            </w:r>
            <w:r>
              <w:rPr>
                <w:rFonts w:hint="eastAsia" w:ascii="仿宋" w:hAnsi="仿宋" w:eastAsia="仿宋" w:cs="仿宋"/>
                <w:color w:val="auto"/>
                <w:kern w:val="0"/>
                <w:sz w:val="24"/>
                <w:szCs w:val="24"/>
                <w:highlight w:val="none"/>
              </w:rPr>
              <w:t>吡虫啉</w:t>
            </w:r>
          </w:p>
        </w:tc>
      </w:tr>
      <w:tr w14:paraId="6192B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438" w:type="dxa"/>
            <w:vMerge w:val="continue"/>
            <w:vAlign w:val="center"/>
          </w:tcPr>
          <w:p w14:paraId="716E815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2B7E7E4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6CB845E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31EB821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rPr>
            </w:pPr>
          </w:p>
        </w:tc>
        <w:tc>
          <w:tcPr>
            <w:tcW w:w="1733" w:type="dxa"/>
            <w:vAlign w:val="center"/>
          </w:tcPr>
          <w:p w14:paraId="15EFC76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lang w:eastAsia="zh-CN"/>
              </w:rPr>
              <w:t>苦丁茶</w:t>
            </w:r>
          </w:p>
        </w:tc>
        <w:tc>
          <w:tcPr>
            <w:tcW w:w="825" w:type="dxa"/>
            <w:vAlign w:val="center"/>
          </w:tcPr>
          <w:p w14:paraId="1853614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5"/>
                <w:kern w:val="0"/>
                <w:sz w:val="24"/>
                <w:szCs w:val="24"/>
                <w:highlight w:val="none"/>
              </w:rPr>
              <w:t>一般</w:t>
            </w:r>
          </w:p>
        </w:tc>
        <w:tc>
          <w:tcPr>
            <w:tcW w:w="4459" w:type="dxa"/>
            <w:vAlign w:val="center"/>
          </w:tcPr>
          <w:p w14:paraId="4F3133F4">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、二氧化硫残留量、</w:t>
            </w:r>
            <w:r>
              <w:rPr>
                <w:rFonts w:hint="eastAsia" w:ascii="仿宋" w:hAnsi="仿宋" w:eastAsia="仿宋" w:cs="仿宋"/>
                <w:color w:val="auto"/>
                <w:kern w:val="0"/>
                <w:sz w:val="24"/>
                <w:szCs w:val="24"/>
                <w:highlight w:val="none"/>
                <w:lang w:eastAsia="zh-CN"/>
              </w:rPr>
              <w:t>克百威、</w:t>
            </w:r>
            <w:r>
              <w:rPr>
                <w:rFonts w:hint="eastAsia" w:ascii="仿宋" w:hAnsi="仿宋" w:eastAsia="仿宋" w:cs="仿宋"/>
                <w:color w:val="auto"/>
                <w:spacing w:val="-5"/>
                <w:kern w:val="0"/>
                <w:sz w:val="24"/>
                <w:szCs w:val="24"/>
                <w:highlight w:val="none"/>
                <w:lang w:eastAsia="zh-CN"/>
              </w:rPr>
              <w:t>啶虫脒</w:t>
            </w:r>
            <w:r>
              <w:rPr>
                <w:rFonts w:hint="eastAsia" w:ascii="仿宋" w:hAnsi="仿宋" w:eastAsia="仿宋" w:cs="仿宋"/>
                <w:color w:val="auto"/>
                <w:kern w:val="0"/>
                <w:sz w:val="24"/>
                <w:szCs w:val="24"/>
                <w:highlight w:val="none"/>
              </w:rPr>
              <w:t>、氯氟氰菊酯和高效氯氟氰菊酯、三唑磷、霉菌</w:t>
            </w:r>
          </w:p>
        </w:tc>
        <w:tc>
          <w:tcPr>
            <w:tcW w:w="3395" w:type="dxa"/>
            <w:vAlign w:val="center"/>
          </w:tcPr>
          <w:p w14:paraId="70823A62">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eastAsia="zh-CN"/>
              </w:rPr>
              <w:t>毒死蜱、</w:t>
            </w:r>
            <w:r>
              <w:rPr>
                <w:rFonts w:hint="eastAsia" w:ascii="仿宋" w:hAnsi="仿宋" w:eastAsia="仿宋" w:cs="仿宋"/>
                <w:color w:val="auto"/>
                <w:kern w:val="0"/>
                <w:sz w:val="24"/>
                <w:szCs w:val="24"/>
                <w:highlight w:val="none"/>
              </w:rPr>
              <w:t>吡虫啉</w:t>
            </w:r>
          </w:p>
        </w:tc>
      </w:tr>
      <w:tr w14:paraId="5958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trPr>
        <w:tc>
          <w:tcPr>
            <w:tcW w:w="438" w:type="dxa"/>
            <w:vMerge w:val="continue"/>
            <w:vAlign w:val="center"/>
          </w:tcPr>
          <w:p w14:paraId="07425BD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40A674F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39DEFCF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1D8A90E3">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rPr>
            </w:pPr>
          </w:p>
        </w:tc>
        <w:tc>
          <w:tcPr>
            <w:tcW w:w="1733" w:type="dxa"/>
            <w:vAlign w:val="center"/>
          </w:tcPr>
          <w:p w14:paraId="7F7EED7B">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2"/>
                <w:kern w:val="0"/>
                <w:sz w:val="24"/>
                <w:szCs w:val="24"/>
                <w:highlight w:val="none"/>
                <w:lang w:eastAsia="zh-CN"/>
              </w:rPr>
              <w:t>其他代用茶</w:t>
            </w:r>
          </w:p>
        </w:tc>
        <w:tc>
          <w:tcPr>
            <w:tcW w:w="825" w:type="dxa"/>
            <w:vAlign w:val="center"/>
          </w:tcPr>
          <w:p w14:paraId="4623CCA0">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jc w:val="center"/>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spacing w:val="-5"/>
                <w:kern w:val="0"/>
                <w:sz w:val="24"/>
                <w:szCs w:val="24"/>
                <w:highlight w:val="none"/>
              </w:rPr>
              <w:t>一般</w:t>
            </w:r>
          </w:p>
        </w:tc>
        <w:tc>
          <w:tcPr>
            <w:tcW w:w="4459" w:type="dxa"/>
            <w:vAlign w:val="center"/>
          </w:tcPr>
          <w:p w14:paraId="55B3C15D">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color w:val="auto"/>
                <w:kern w:val="0"/>
                <w:sz w:val="24"/>
                <w:szCs w:val="24"/>
                <w:highlight w:val="none"/>
              </w:rPr>
              <w:t>铅</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以Pb计</w:t>
            </w:r>
            <w:r>
              <w:rPr>
                <w:rFonts w:hint="eastAsia" w:ascii="仿宋" w:hAnsi="仿宋" w:eastAsia="仿宋" w:cs="仿宋"/>
                <w:color w:val="auto"/>
                <w:kern w:val="0"/>
                <w:sz w:val="24"/>
                <w:szCs w:val="24"/>
                <w:highlight w:val="none"/>
                <w:lang w:eastAsia="zh-CN"/>
              </w:rPr>
              <w:t>）</w:t>
            </w:r>
            <w:r>
              <w:rPr>
                <w:rFonts w:hint="eastAsia" w:ascii="仿宋" w:hAnsi="仿宋" w:eastAsia="仿宋" w:cs="仿宋"/>
                <w:color w:val="auto"/>
                <w:kern w:val="0"/>
                <w:sz w:val="24"/>
                <w:szCs w:val="24"/>
                <w:highlight w:val="none"/>
              </w:rPr>
              <w:t>、二氧化硫残留量、</w:t>
            </w:r>
            <w:r>
              <w:rPr>
                <w:rFonts w:hint="eastAsia" w:ascii="仿宋" w:hAnsi="仿宋" w:eastAsia="仿宋" w:cs="仿宋"/>
                <w:color w:val="auto"/>
                <w:kern w:val="0"/>
                <w:sz w:val="24"/>
                <w:szCs w:val="24"/>
                <w:highlight w:val="none"/>
                <w:lang w:eastAsia="zh-CN"/>
              </w:rPr>
              <w:t>克百威、</w:t>
            </w:r>
            <w:r>
              <w:rPr>
                <w:rFonts w:hint="eastAsia" w:ascii="仿宋" w:hAnsi="仿宋" w:eastAsia="仿宋" w:cs="仿宋"/>
                <w:color w:val="auto"/>
                <w:spacing w:val="-5"/>
                <w:kern w:val="0"/>
                <w:sz w:val="24"/>
                <w:szCs w:val="24"/>
                <w:highlight w:val="none"/>
                <w:lang w:eastAsia="zh-CN"/>
              </w:rPr>
              <w:t>啶虫脒</w:t>
            </w:r>
            <w:r>
              <w:rPr>
                <w:rFonts w:hint="eastAsia" w:ascii="仿宋" w:hAnsi="仿宋" w:eastAsia="仿宋" w:cs="仿宋"/>
                <w:color w:val="auto"/>
                <w:kern w:val="0"/>
                <w:sz w:val="24"/>
                <w:szCs w:val="24"/>
                <w:highlight w:val="none"/>
              </w:rPr>
              <w:t>、氯氟氰菊酯和高效氯氟氰菊酯、三唑磷、霉菌</w:t>
            </w:r>
          </w:p>
        </w:tc>
        <w:tc>
          <w:tcPr>
            <w:tcW w:w="3395" w:type="dxa"/>
            <w:vAlign w:val="center"/>
          </w:tcPr>
          <w:p w14:paraId="3FFF3517">
            <w:pPr>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val="0"/>
              <w:autoSpaceDN w:val="0"/>
              <w:bidi w:val="0"/>
              <w:adjustRightInd w:val="0"/>
              <w:snapToGrid w:val="0"/>
              <w:spacing w:before="0" w:line="300" w:lineRule="exact"/>
              <w:ind w:right="0" w:rightChars="0"/>
              <w:jc w:val="left"/>
              <w:textAlignment w:val="baseline"/>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eastAsia="zh-CN"/>
              </w:rPr>
              <w:t>毒死蜱、</w:t>
            </w:r>
            <w:r>
              <w:rPr>
                <w:rFonts w:hint="eastAsia" w:ascii="仿宋" w:hAnsi="仿宋" w:eastAsia="仿宋" w:cs="仿宋"/>
                <w:color w:val="auto"/>
                <w:kern w:val="0"/>
                <w:sz w:val="24"/>
                <w:szCs w:val="24"/>
                <w:highlight w:val="none"/>
              </w:rPr>
              <w:t>吡虫啉</w:t>
            </w:r>
          </w:p>
        </w:tc>
      </w:tr>
      <w:tr w14:paraId="67D4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restart"/>
            <w:vAlign w:val="center"/>
          </w:tcPr>
          <w:p w14:paraId="0F08FAC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c>
          <w:tcPr>
            <w:tcW w:w="1064" w:type="dxa"/>
            <w:vMerge w:val="restart"/>
            <w:vAlign w:val="center"/>
          </w:tcPr>
          <w:p w14:paraId="559403A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酒类</w:t>
            </w:r>
          </w:p>
        </w:tc>
        <w:tc>
          <w:tcPr>
            <w:tcW w:w="1065" w:type="dxa"/>
            <w:vAlign w:val="center"/>
          </w:tcPr>
          <w:p w14:paraId="7AB69AD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蒸馏酒</w:t>
            </w:r>
          </w:p>
        </w:tc>
        <w:tc>
          <w:tcPr>
            <w:tcW w:w="1356" w:type="dxa"/>
            <w:vAlign w:val="center"/>
          </w:tcPr>
          <w:p w14:paraId="7F5EEB7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白酒</w:t>
            </w:r>
          </w:p>
        </w:tc>
        <w:tc>
          <w:tcPr>
            <w:tcW w:w="1733" w:type="dxa"/>
            <w:vAlign w:val="center"/>
          </w:tcPr>
          <w:p w14:paraId="303CB5D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白酒、白酒（液态）、白酒（原酒）</w:t>
            </w:r>
          </w:p>
        </w:tc>
        <w:tc>
          <w:tcPr>
            <w:tcW w:w="825" w:type="dxa"/>
            <w:vAlign w:val="center"/>
          </w:tcPr>
          <w:p w14:paraId="5C0C5B6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w:t>
            </w:r>
          </w:p>
        </w:tc>
        <w:tc>
          <w:tcPr>
            <w:tcW w:w="4459" w:type="dxa"/>
            <w:vAlign w:val="center"/>
          </w:tcPr>
          <w:p w14:paraId="3F911F8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酒精度、甲醇、糖精钠（以糖精计）、甜蜜素（以环己基氨基磺酸计）、三氯蔗糖、安赛蜜、纽甜</w:t>
            </w:r>
          </w:p>
        </w:tc>
        <w:tc>
          <w:tcPr>
            <w:tcW w:w="3395" w:type="dxa"/>
            <w:vAlign w:val="center"/>
          </w:tcPr>
          <w:p w14:paraId="711B1DF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氰化物（以HCN计）、铅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r>
      <w:tr w14:paraId="6A00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16A8994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555CFE3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restart"/>
            <w:vAlign w:val="center"/>
          </w:tcPr>
          <w:p w14:paraId="32C3BF1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发酵酒</w:t>
            </w:r>
          </w:p>
        </w:tc>
        <w:tc>
          <w:tcPr>
            <w:tcW w:w="1356" w:type="dxa"/>
            <w:vAlign w:val="center"/>
          </w:tcPr>
          <w:p w14:paraId="73EFA5A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黄酒</w:t>
            </w:r>
          </w:p>
        </w:tc>
        <w:tc>
          <w:tcPr>
            <w:tcW w:w="1733" w:type="dxa"/>
            <w:vAlign w:val="center"/>
          </w:tcPr>
          <w:p w14:paraId="13E0C0B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黄酒</w:t>
            </w:r>
          </w:p>
        </w:tc>
        <w:tc>
          <w:tcPr>
            <w:tcW w:w="825" w:type="dxa"/>
            <w:vAlign w:val="center"/>
          </w:tcPr>
          <w:p w14:paraId="04D313C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EE6025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酒精度、氨基酸态氮、苯甲酸及其钠盐（以苯甲酸计）、山梨酸及其钾盐 （以山梨酸计）、糖精钠（以糖精计）、甜蜜素（以环己基氨基磺酸计）</w:t>
            </w:r>
          </w:p>
        </w:tc>
        <w:tc>
          <w:tcPr>
            <w:tcW w:w="3395" w:type="dxa"/>
            <w:vAlign w:val="center"/>
          </w:tcPr>
          <w:p w14:paraId="126E086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3948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029F389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53419F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1677B73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5806B8A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啤酒</w:t>
            </w:r>
          </w:p>
        </w:tc>
        <w:tc>
          <w:tcPr>
            <w:tcW w:w="1733" w:type="dxa"/>
            <w:vAlign w:val="center"/>
          </w:tcPr>
          <w:p w14:paraId="043C044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啤酒</w:t>
            </w:r>
          </w:p>
        </w:tc>
        <w:tc>
          <w:tcPr>
            <w:tcW w:w="825" w:type="dxa"/>
            <w:vAlign w:val="center"/>
          </w:tcPr>
          <w:p w14:paraId="2617E8D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3537E9E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酒精度、甲醛</w:t>
            </w:r>
          </w:p>
        </w:tc>
        <w:tc>
          <w:tcPr>
            <w:tcW w:w="3395" w:type="dxa"/>
            <w:vAlign w:val="center"/>
          </w:tcPr>
          <w:p w14:paraId="79B4163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1753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4A1FF29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49A421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344AF87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6234999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葡萄酒</w:t>
            </w:r>
          </w:p>
        </w:tc>
        <w:tc>
          <w:tcPr>
            <w:tcW w:w="1733" w:type="dxa"/>
            <w:vAlign w:val="center"/>
          </w:tcPr>
          <w:p w14:paraId="66BFF60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葡萄酒</w:t>
            </w:r>
          </w:p>
        </w:tc>
        <w:tc>
          <w:tcPr>
            <w:tcW w:w="825" w:type="dxa"/>
            <w:vAlign w:val="center"/>
          </w:tcPr>
          <w:p w14:paraId="008361C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455A6891">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酒精度、甲醇、苯甲酸及其钠盐（以苯甲酸计）、山梨酸及其钾盐（以山梨酸计）、糖精钠（以糖精计）、二氧化硫残留量、甜蜜素（以环己基氨基磺酸计）、三氯蔗糖</w:t>
            </w:r>
          </w:p>
        </w:tc>
        <w:tc>
          <w:tcPr>
            <w:tcW w:w="3395" w:type="dxa"/>
            <w:vAlign w:val="center"/>
          </w:tcPr>
          <w:p w14:paraId="55467CFD">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合成着色剂（柠檬黄、日落黄、新红、胭脂红、赤藓红、苋菜红、诱惑红、酸性红、亮蓝）</w:t>
            </w:r>
          </w:p>
        </w:tc>
      </w:tr>
      <w:tr w14:paraId="2A5A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4F65186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3F29C1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DCF719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5789B0D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果酒</w:t>
            </w:r>
          </w:p>
        </w:tc>
        <w:tc>
          <w:tcPr>
            <w:tcW w:w="1733" w:type="dxa"/>
            <w:vAlign w:val="center"/>
          </w:tcPr>
          <w:p w14:paraId="64F5044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果酒</w:t>
            </w:r>
          </w:p>
        </w:tc>
        <w:tc>
          <w:tcPr>
            <w:tcW w:w="825" w:type="dxa"/>
            <w:vAlign w:val="center"/>
          </w:tcPr>
          <w:p w14:paraId="12BE3E5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60CCD4D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酒精度、展青霉素、糖精钠（以糖精计）、甜蜜素（以环己基氨基磺酸计）、安赛蜜、二氧化硫残留量</w:t>
            </w:r>
          </w:p>
        </w:tc>
        <w:tc>
          <w:tcPr>
            <w:tcW w:w="3395" w:type="dxa"/>
            <w:vAlign w:val="center"/>
          </w:tcPr>
          <w:p w14:paraId="65F2FDF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酸性红</w:t>
            </w:r>
          </w:p>
        </w:tc>
      </w:tr>
      <w:tr w14:paraId="0982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66ACAA8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181A7D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restart"/>
            <w:vAlign w:val="center"/>
          </w:tcPr>
          <w:p w14:paraId="5ED4DFB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其他酒</w:t>
            </w:r>
          </w:p>
        </w:tc>
        <w:tc>
          <w:tcPr>
            <w:tcW w:w="1356" w:type="dxa"/>
            <w:vMerge w:val="restart"/>
            <w:vAlign w:val="center"/>
          </w:tcPr>
          <w:p w14:paraId="7EEAB3F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配制酒</w:t>
            </w:r>
          </w:p>
        </w:tc>
        <w:tc>
          <w:tcPr>
            <w:tcW w:w="1733" w:type="dxa"/>
            <w:vAlign w:val="center"/>
          </w:tcPr>
          <w:p w14:paraId="145BCB9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以蒸馏酒及食用酒精为酒基的配制酒</w:t>
            </w:r>
          </w:p>
        </w:tc>
        <w:tc>
          <w:tcPr>
            <w:tcW w:w="825" w:type="dxa"/>
            <w:vAlign w:val="center"/>
          </w:tcPr>
          <w:p w14:paraId="18D30D9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07BC407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酒精度、西地那非、豪莫西地那非、硫代艾地那非、他达拉非、二硫代去甲基卡巴地那非、那非乙酰酸、去甲基卡巴地那非、去甲基他达拉非、羟基豪莫西地那非、伐地那非、育亨宾、</w:t>
            </w:r>
          </w:p>
          <w:p w14:paraId="09F84BC2">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甜蜜素（以环己基氨基磺酸计）、安赛蜜、纽甜</w:t>
            </w:r>
          </w:p>
        </w:tc>
        <w:tc>
          <w:tcPr>
            <w:tcW w:w="3395" w:type="dxa"/>
            <w:vAlign w:val="center"/>
          </w:tcPr>
          <w:p w14:paraId="408B932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甲醇、氰化物（以HCN计）</w:t>
            </w:r>
          </w:p>
        </w:tc>
      </w:tr>
      <w:tr w14:paraId="0ED6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9" w:hRule="atLeast"/>
        </w:trPr>
        <w:tc>
          <w:tcPr>
            <w:tcW w:w="438" w:type="dxa"/>
            <w:vMerge w:val="continue"/>
            <w:vAlign w:val="center"/>
          </w:tcPr>
          <w:p w14:paraId="22C46CA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C023A8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18CB37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73CABDA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1573D8F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以发酵酒为</w:t>
            </w:r>
          </w:p>
          <w:p w14:paraId="3EDB5EF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酒基的配制酒</w:t>
            </w:r>
          </w:p>
        </w:tc>
        <w:tc>
          <w:tcPr>
            <w:tcW w:w="825" w:type="dxa"/>
            <w:vAlign w:val="center"/>
          </w:tcPr>
          <w:p w14:paraId="4F2B71F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38CC93F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酒精度、苯甲酸及其钠盐（以苯甲酸计）、山梨酸及其钾盐（以山梨酸计）、甜蜜素（以环己基氨基磺酸计）、防腐剂混合使用时各自用量占其最大使用量的比例之和、安赛蜜</w:t>
            </w:r>
          </w:p>
        </w:tc>
        <w:tc>
          <w:tcPr>
            <w:tcW w:w="3395" w:type="dxa"/>
            <w:vAlign w:val="center"/>
          </w:tcPr>
          <w:p w14:paraId="48A0FEF2">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5925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6211ACE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1776F0E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AF8F25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197DED3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其他蒸馏酒</w:t>
            </w:r>
          </w:p>
        </w:tc>
        <w:tc>
          <w:tcPr>
            <w:tcW w:w="1733" w:type="dxa"/>
            <w:vAlign w:val="center"/>
          </w:tcPr>
          <w:p w14:paraId="79536EA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其他蒸馏酒</w:t>
            </w:r>
          </w:p>
        </w:tc>
        <w:tc>
          <w:tcPr>
            <w:tcW w:w="825" w:type="dxa"/>
            <w:vAlign w:val="center"/>
          </w:tcPr>
          <w:p w14:paraId="690C1CA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084985C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酒精度、铅（以Pb计）、甲醇、氰化物（以HCN计）、甜蜜素（以环己基氨基磺酸计）、三氯蔗糖</w:t>
            </w:r>
          </w:p>
        </w:tc>
        <w:tc>
          <w:tcPr>
            <w:tcW w:w="3395" w:type="dxa"/>
            <w:vAlign w:val="center"/>
          </w:tcPr>
          <w:p w14:paraId="2360A15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7A7D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070D833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56A2EDA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038675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779651B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其他发酵酒</w:t>
            </w:r>
          </w:p>
        </w:tc>
        <w:tc>
          <w:tcPr>
            <w:tcW w:w="1733" w:type="dxa"/>
            <w:vAlign w:val="center"/>
          </w:tcPr>
          <w:p w14:paraId="124BBF0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其他发酵酒</w:t>
            </w:r>
          </w:p>
        </w:tc>
        <w:tc>
          <w:tcPr>
            <w:tcW w:w="825" w:type="dxa"/>
            <w:vAlign w:val="center"/>
          </w:tcPr>
          <w:p w14:paraId="1B91734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12B7039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酒精度、苯甲酸及其钠盐（以苯甲酸计）、山梨酸及其钾盐（以山梨酸计）、糖精钠（以糖精计）、甜蜜素（以环己基氨基磺酸计）、安赛蜜</w:t>
            </w:r>
          </w:p>
        </w:tc>
        <w:tc>
          <w:tcPr>
            <w:tcW w:w="3395" w:type="dxa"/>
            <w:vAlign w:val="center"/>
          </w:tcPr>
          <w:p w14:paraId="51028F0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0582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86" w:hRule="atLeast"/>
        </w:trPr>
        <w:tc>
          <w:tcPr>
            <w:tcW w:w="438" w:type="dxa"/>
            <w:vMerge w:val="restart"/>
            <w:vAlign w:val="center"/>
          </w:tcPr>
          <w:p w14:paraId="4A2D517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16</w:t>
            </w:r>
          </w:p>
        </w:tc>
        <w:tc>
          <w:tcPr>
            <w:tcW w:w="1064" w:type="dxa"/>
            <w:vMerge w:val="restart"/>
            <w:vAlign w:val="center"/>
          </w:tcPr>
          <w:p w14:paraId="10974BE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蔬菜制品</w:t>
            </w:r>
          </w:p>
        </w:tc>
        <w:tc>
          <w:tcPr>
            <w:tcW w:w="1065" w:type="dxa"/>
            <w:vMerge w:val="restart"/>
            <w:vAlign w:val="center"/>
          </w:tcPr>
          <w:p w14:paraId="2566F3E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蔬菜制品</w:t>
            </w:r>
          </w:p>
        </w:tc>
        <w:tc>
          <w:tcPr>
            <w:tcW w:w="1356" w:type="dxa"/>
            <w:vAlign w:val="center"/>
          </w:tcPr>
          <w:p w14:paraId="01BF350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酱腌菜</w:t>
            </w:r>
          </w:p>
        </w:tc>
        <w:tc>
          <w:tcPr>
            <w:tcW w:w="1733" w:type="dxa"/>
            <w:vAlign w:val="center"/>
          </w:tcPr>
          <w:p w14:paraId="39B3980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酱腌菜</w:t>
            </w:r>
          </w:p>
        </w:tc>
        <w:tc>
          <w:tcPr>
            <w:tcW w:w="825" w:type="dxa"/>
            <w:vAlign w:val="center"/>
          </w:tcPr>
          <w:p w14:paraId="75BCE0E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较高</w:t>
            </w:r>
          </w:p>
        </w:tc>
        <w:tc>
          <w:tcPr>
            <w:tcW w:w="4459" w:type="dxa"/>
            <w:vAlign w:val="center"/>
          </w:tcPr>
          <w:p w14:paraId="0132F2E2">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铅（以Pb计）、</w:t>
            </w:r>
            <w:r>
              <w:rPr>
                <w:rFonts w:hint="eastAsia" w:ascii="仿宋" w:hAnsi="仿宋" w:eastAsia="仿宋" w:cs="仿宋"/>
                <w:i w:val="0"/>
                <w:iCs w:val="0"/>
                <w:color w:val="auto"/>
                <w:sz w:val="24"/>
                <w:szCs w:val="24"/>
                <w:highlight w:val="none"/>
              </w:rPr>
              <w:t>苯甲酸及其钠盐（以苯甲酸计）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山梨酸及其钾盐（以山梨酸计）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脱氢乙酸及其钠盐（以脱氢乙酸计）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糖精钠（以糖精计）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甜蜜素（以环己基氨基磺酸计）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安赛蜜</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lang w:val="en-US" w:eastAsia="zh-CN"/>
              </w:rPr>
              <w:t>阿斯巴甜、纽甜、三氯蔗糖、</w:t>
            </w:r>
            <w:r>
              <w:rPr>
                <w:rFonts w:hint="eastAsia" w:ascii="仿宋" w:hAnsi="仿宋" w:eastAsia="仿宋" w:cs="仿宋"/>
                <w:i w:val="0"/>
                <w:iCs w:val="0"/>
                <w:color w:val="auto"/>
                <w:sz w:val="24"/>
                <w:szCs w:val="24"/>
                <w:highlight w:val="none"/>
              </w:rPr>
              <w:t>二氧化硫残留量</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防腐剂混合使用时各自用量占其最大使用量的比例之和</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合成着色剂（柠檬黄、日落黄、</w:t>
            </w:r>
            <w:r>
              <w:rPr>
                <w:rFonts w:hint="eastAsia" w:ascii="仿宋" w:hAnsi="仿宋" w:eastAsia="仿宋" w:cs="仿宋"/>
                <w:i w:val="0"/>
                <w:iCs w:val="0"/>
                <w:color w:val="auto"/>
                <w:sz w:val="24"/>
                <w:szCs w:val="24"/>
                <w:highlight w:val="none"/>
                <w:lang w:val="en-US" w:eastAsia="zh-CN"/>
              </w:rPr>
              <w:t>胭脂红、</w:t>
            </w:r>
            <w:r>
              <w:rPr>
                <w:rFonts w:hint="eastAsia" w:ascii="仿宋" w:hAnsi="仿宋" w:eastAsia="仿宋" w:cs="仿宋"/>
                <w:i w:val="0"/>
                <w:iCs w:val="0"/>
                <w:color w:val="auto"/>
                <w:sz w:val="24"/>
                <w:szCs w:val="24"/>
                <w:highlight w:val="none"/>
              </w:rPr>
              <w:t>诱惑红）</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大肠菌群</w:t>
            </w:r>
          </w:p>
        </w:tc>
        <w:tc>
          <w:tcPr>
            <w:tcW w:w="3395" w:type="dxa"/>
            <w:vAlign w:val="center"/>
          </w:tcPr>
          <w:p w14:paraId="07B40F6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rPr>
              <w:t>亚硝酸盐（以NaNO</w:t>
            </w:r>
            <w:r>
              <w:rPr>
                <w:rFonts w:hint="eastAsia" w:ascii="仿宋" w:hAnsi="仿宋" w:eastAsia="仿宋" w:cs="仿宋"/>
                <w:i w:val="0"/>
                <w:iCs w:val="0"/>
                <w:color w:val="auto"/>
                <w:sz w:val="24"/>
                <w:szCs w:val="24"/>
                <w:highlight w:val="none"/>
                <w:vertAlign w:val="subscript"/>
              </w:rPr>
              <w:t>2</w:t>
            </w:r>
            <w:r>
              <w:rPr>
                <w:rFonts w:hint="eastAsia" w:ascii="仿宋" w:hAnsi="仿宋" w:eastAsia="仿宋" w:cs="仿宋"/>
                <w:i w:val="0"/>
                <w:iCs w:val="0"/>
                <w:color w:val="auto"/>
                <w:sz w:val="24"/>
                <w:szCs w:val="24"/>
                <w:highlight w:val="none"/>
              </w:rPr>
              <w:t>计）</w:t>
            </w:r>
          </w:p>
        </w:tc>
      </w:tr>
      <w:tr w14:paraId="4DE6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4" w:hRule="atLeast"/>
        </w:trPr>
        <w:tc>
          <w:tcPr>
            <w:tcW w:w="438" w:type="dxa"/>
            <w:vMerge w:val="continue"/>
            <w:vAlign w:val="center"/>
          </w:tcPr>
          <w:p w14:paraId="3501B05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2A8FE6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26E6FC7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76286F6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蔬菜干制品</w:t>
            </w:r>
          </w:p>
        </w:tc>
        <w:tc>
          <w:tcPr>
            <w:tcW w:w="1733" w:type="dxa"/>
            <w:vAlign w:val="center"/>
          </w:tcPr>
          <w:p w14:paraId="52D484D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蔬菜干制品</w:t>
            </w:r>
          </w:p>
        </w:tc>
        <w:tc>
          <w:tcPr>
            <w:tcW w:w="825" w:type="dxa"/>
            <w:vAlign w:val="center"/>
          </w:tcPr>
          <w:p w14:paraId="24715FA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较高</w:t>
            </w:r>
          </w:p>
        </w:tc>
        <w:tc>
          <w:tcPr>
            <w:tcW w:w="4459" w:type="dxa"/>
            <w:vAlign w:val="center"/>
          </w:tcPr>
          <w:p w14:paraId="46335D22">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铅（以Pb计）、</w:t>
            </w:r>
            <w:r>
              <w:rPr>
                <w:rFonts w:hint="eastAsia" w:ascii="仿宋" w:hAnsi="仿宋" w:eastAsia="仿宋" w:cs="仿宋"/>
                <w:i w:val="0"/>
                <w:iCs w:val="0"/>
                <w:color w:val="auto"/>
                <w:sz w:val="24"/>
                <w:szCs w:val="24"/>
                <w:highlight w:val="none"/>
              </w:rPr>
              <w:t>苯甲酸及其钠盐（以苯甲酸计）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山梨酸及其钾盐（以山梨酸计）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二氧化硫残留量</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合成着色剂（柠檬黄、日落黄、</w:t>
            </w:r>
            <w:r>
              <w:rPr>
                <w:rFonts w:hint="eastAsia" w:ascii="仿宋" w:hAnsi="仿宋" w:eastAsia="仿宋" w:cs="仿宋"/>
                <w:i w:val="0"/>
                <w:iCs w:val="0"/>
                <w:color w:val="auto"/>
                <w:sz w:val="24"/>
                <w:szCs w:val="24"/>
                <w:highlight w:val="none"/>
                <w:lang w:val="en-US" w:eastAsia="zh-CN"/>
              </w:rPr>
              <w:t>胭脂红、苋菜红、亮蓝</w:t>
            </w:r>
            <w:r>
              <w:rPr>
                <w:rFonts w:hint="eastAsia" w:ascii="仿宋" w:hAnsi="仿宋" w:eastAsia="仿宋" w:cs="仿宋"/>
                <w:i w:val="0"/>
                <w:iCs w:val="0"/>
                <w:color w:val="auto"/>
                <w:sz w:val="24"/>
                <w:szCs w:val="24"/>
                <w:highlight w:val="none"/>
              </w:rPr>
              <w:t>）</w:t>
            </w:r>
          </w:p>
        </w:tc>
        <w:tc>
          <w:tcPr>
            <w:tcW w:w="3395" w:type="dxa"/>
            <w:vAlign w:val="center"/>
          </w:tcPr>
          <w:p w14:paraId="5FC1EAE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lang w:val="en-US" w:eastAsia="zh-CN"/>
              </w:rPr>
              <w:t>酸价（以脂肪计）、过氧化值（以脂肪计）、阿斯巴甜、</w:t>
            </w:r>
            <w:r>
              <w:rPr>
                <w:rFonts w:hint="eastAsia" w:ascii="仿宋" w:hAnsi="仿宋" w:eastAsia="仿宋" w:cs="仿宋"/>
                <w:i w:val="0"/>
                <w:iCs w:val="0"/>
                <w:color w:val="auto"/>
                <w:sz w:val="24"/>
                <w:szCs w:val="24"/>
                <w:highlight w:val="none"/>
              </w:rPr>
              <w:t>糖精钠（以糖精计）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lang w:val="en-US" w:eastAsia="zh-CN"/>
              </w:rPr>
              <w:t>三氯蔗糖</w:t>
            </w:r>
          </w:p>
        </w:tc>
      </w:tr>
      <w:tr w14:paraId="489B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trPr>
        <w:tc>
          <w:tcPr>
            <w:tcW w:w="438" w:type="dxa"/>
            <w:vMerge w:val="continue"/>
            <w:vAlign w:val="center"/>
          </w:tcPr>
          <w:p w14:paraId="2B82F27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107488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53BF607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307B1EB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其他蔬菜制品</w:t>
            </w:r>
          </w:p>
        </w:tc>
        <w:tc>
          <w:tcPr>
            <w:tcW w:w="1733" w:type="dxa"/>
            <w:vAlign w:val="center"/>
          </w:tcPr>
          <w:p w14:paraId="71AE1BE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其他蔬菜制品</w:t>
            </w:r>
          </w:p>
        </w:tc>
        <w:tc>
          <w:tcPr>
            <w:tcW w:w="825" w:type="dxa"/>
            <w:vAlign w:val="center"/>
          </w:tcPr>
          <w:p w14:paraId="549C377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一般</w:t>
            </w:r>
          </w:p>
        </w:tc>
        <w:tc>
          <w:tcPr>
            <w:tcW w:w="4459" w:type="dxa"/>
            <w:vAlign w:val="center"/>
          </w:tcPr>
          <w:p w14:paraId="29D5FAA1">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铅（以Pb计）、</w:t>
            </w:r>
            <w:r>
              <w:rPr>
                <w:rFonts w:hint="eastAsia" w:ascii="仿宋" w:hAnsi="仿宋" w:eastAsia="仿宋" w:cs="仿宋"/>
                <w:i w:val="0"/>
                <w:iCs w:val="0"/>
                <w:color w:val="auto"/>
                <w:sz w:val="24"/>
                <w:szCs w:val="24"/>
                <w:highlight w:val="none"/>
              </w:rPr>
              <w:t>苯甲酸及其钠盐（以苯甲酸计）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山梨酸及其钾盐（以山梨酸计）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脱氢乙酸及其钠盐（以脱氢乙酸计）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二氧化硫残留量</w:t>
            </w:r>
          </w:p>
        </w:tc>
        <w:tc>
          <w:tcPr>
            <w:tcW w:w="3395" w:type="dxa"/>
            <w:vAlign w:val="center"/>
          </w:tcPr>
          <w:p w14:paraId="6CCB37D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lang w:val="en-US" w:eastAsia="zh-CN"/>
              </w:rPr>
              <w:t>酸价（以脂肪计）、过氧化值（以脂肪计）</w:t>
            </w:r>
          </w:p>
        </w:tc>
      </w:tr>
      <w:tr w14:paraId="1910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438" w:type="dxa"/>
            <w:vMerge w:val="continue"/>
            <w:vAlign w:val="center"/>
          </w:tcPr>
          <w:p w14:paraId="6A8BF71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954A12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492D8EB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414A042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食用菌制品</w:t>
            </w:r>
          </w:p>
        </w:tc>
        <w:tc>
          <w:tcPr>
            <w:tcW w:w="1733" w:type="dxa"/>
            <w:vAlign w:val="center"/>
          </w:tcPr>
          <w:p w14:paraId="5554816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干制食用菌</w:t>
            </w:r>
          </w:p>
        </w:tc>
        <w:tc>
          <w:tcPr>
            <w:tcW w:w="825" w:type="dxa"/>
            <w:vAlign w:val="center"/>
          </w:tcPr>
          <w:p w14:paraId="7C9E99C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一般</w:t>
            </w:r>
          </w:p>
        </w:tc>
        <w:tc>
          <w:tcPr>
            <w:tcW w:w="4459" w:type="dxa"/>
            <w:vAlign w:val="center"/>
          </w:tcPr>
          <w:p w14:paraId="79AE8B12">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rPr>
              <w:t>铅（以Pb计）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镉（以Cd计）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甲基汞（以Hg计）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无机砷（以As计）</w:t>
            </w:r>
          </w:p>
        </w:tc>
        <w:tc>
          <w:tcPr>
            <w:tcW w:w="3395" w:type="dxa"/>
            <w:vAlign w:val="center"/>
          </w:tcPr>
          <w:p w14:paraId="36F66E8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w:t>
            </w:r>
          </w:p>
        </w:tc>
      </w:tr>
      <w:tr w14:paraId="3A1F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438" w:type="dxa"/>
            <w:vMerge w:val="continue"/>
            <w:vAlign w:val="center"/>
          </w:tcPr>
          <w:p w14:paraId="1CC76F1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2E934CE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4307BDA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1193D14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食用菌制品</w:t>
            </w:r>
          </w:p>
        </w:tc>
        <w:tc>
          <w:tcPr>
            <w:tcW w:w="1733" w:type="dxa"/>
            <w:vAlign w:val="center"/>
          </w:tcPr>
          <w:p w14:paraId="3BA40ED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腌渍食用菌</w:t>
            </w:r>
          </w:p>
        </w:tc>
        <w:tc>
          <w:tcPr>
            <w:tcW w:w="825" w:type="dxa"/>
            <w:vAlign w:val="center"/>
          </w:tcPr>
          <w:p w14:paraId="4BB16BE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一般</w:t>
            </w:r>
          </w:p>
        </w:tc>
        <w:tc>
          <w:tcPr>
            <w:tcW w:w="4459" w:type="dxa"/>
            <w:vAlign w:val="center"/>
          </w:tcPr>
          <w:p w14:paraId="4504FF9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rPr>
              <w:t>苯甲酸及其钠盐（以苯甲酸计）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山梨酸及其钾盐（以山梨酸计）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脱氢乙酸及其钠盐（以脱氢乙酸计）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防腐剂混合使用时各自用量占其最大使用量的比例之和</w:t>
            </w:r>
          </w:p>
        </w:tc>
        <w:tc>
          <w:tcPr>
            <w:tcW w:w="3395" w:type="dxa"/>
            <w:vAlign w:val="center"/>
          </w:tcPr>
          <w:p w14:paraId="4191E33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w:t>
            </w:r>
          </w:p>
        </w:tc>
      </w:tr>
      <w:tr w14:paraId="7C07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438" w:type="dxa"/>
            <w:vMerge w:val="restart"/>
            <w:vAlign w:val="center"/>
          </w:tcPr>
          <w:p w14:paraId="4A53058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17</w:t>
            </w:r>
          </w:p>
        </w:tc>
        <w:tc>
          <w:tcPr>
            <w:tcW w:w="1064" w:type="dxa"/>
            <w:vMerge w:val="restart"/>
            <w:vAlign w:val="center"/>
          </w:tcPr>
          <w:p w14:paraId="023E6DC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水果制品</w:t>
            </w:r>
          </w:p>
        </w:tc>
        <w:tc>
          <w:tcPr>
            <w:tcW w:w="1065" w:type="dxa"/>
            <w:vMerge w:val="restart"/>
            <w:vAlign w:val="center"/>
          </w:tcPr>
          <w:p w14:paraId="66469EF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水果制品</w:t>
            </w:r>
          </w:p>
        </w:tc>
        <w:tc>
          <w:tcPr>
            <w:tcW w:w="1356" w:type="dxa"/>
            <w:vAlign w:val="center"/>
          </w:tcPr>
          <w:p w14:paraId="4209C69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蜜饯</w:t>
            </w:r>
          </w:p>
        </w:tc>
        <w:tc>
          <w:tcPr>
            <w:tcW w:w="1733" w:type="dxa"/>
            <w:vAlign w:val="center"/>
          </w:tcPr>
          <w:p w14:paraId="5E5207B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蜜饯类、凉果类、果脯类、话化类、果糕类</w:t>
            </w:r>
          </w:p>
        </w:tc>
        <w:tc>
          <w:tcPr>
            <w:tcW w:w="825" w:type="dxa"/>
            <w:vAlign w:val="center"/>
          </w:tcPr>
          <w:p w14:paraId="3DC7BFA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较高</w:t>
            </w:r>
          </w:p>
        </w:tc>
        <w:tc>
          <w:tcPr>
            <w:tcW w:w="4459" w:type="dxa"/>
            <w:vAlign w:val="center"/>
          </w:tcPr>
          <w:p w14:paraId="20333B11">
            <w:pPr>
              <w:pStyle w:val="41"/>
              <w:keepNext w:val="0"/>
              <w:keepLines w:val="0"/>
              <w:pageBreakBefore w:val="0"/>
              <w:widowControl w:val="0"/>
              <w:kinsoku/>
              <w:wordWrap/>
              <w:overflowPunct/>
              <w:topLinePunct w:val="0"/>
              <w:autoSpaceDE/>
              <w:autoSpaceDN/>
              <w:bidi w:val="0"/>
              <w:adjustRightInd/>
              <w:snapToGrid w:val="0"/>
              <w:spacing w:before="0" w:after="0" w:line="300" w:lineRule="exact"/>
              <w:ind w:firstLine="0" w:firstLineChars="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铅（以Pb计）、</w:t>
            </w:r>
            <w:r>
              <w:rPr>
                <w:rFonts w:hint="eastAsia" w:ascii="仿宋" w:hAnsi="仿宋" w:eastAsia="仿宋" w:cs="仿宋"/>
                <w:i w:val="0"/>
                <w:iCs w:val="0"/>
                <w:color w:val="auto"/>
                <w:sz w:val="24"/>
                <w:szCs w:val="24"/>
                <w:highlight w:val="none"/>
              </w:rPr>
              <w:t>苯甲酸及其钠盐（以苯甲酸计）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山梨酸及其钾盐（以山梨酸计）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脱氢乙酸及其钠盐（以脱氢乙酸计）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防腐剂混合使用时各自用量占其最大使用量的比例之和</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糖精钠（以糖精计）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甜蜜素（以环己基氨基磺酸计）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安赛蜜</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二氧化硫残留量</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合成着色剂（亮蓝、柠檬黄、日落黄、苋菜红、胭脂红、诱惑红、喹啉黄</w:t>
            </w:r>
            <w:r>
              <w:rPr>
                <w:rFonts w:hint="eastAsia" w:ascii="仿宋" w:hAnsi="仿宋" w:eastAsia="仿宋" w:cs="仿宋"/>
                <w:i w:val="0"/>
                <w:iCs w:val="0"/>
                <w:color w:val="auto"/>
                <w:sz w:val="24"/>
                <w:szCs w:val="24"/>
                <w:highlight w:val="none"/>
                <w:lang w:eastAsia="zh-CN"/>
              </w:rPr>
              <w:t>、赤藓红</w:t>
            </w:r>
            <w:r>
              <w:rPr>
                <w:rFonts w:hint="eastAsia" w:ascii="仿宋" w:hAnsi="仿宋" w:eastAsia="仿宋" w:cs="仿宋"/>
                <w:i w:val="0"/>
                <w:iCs w:val="0"/>
                <w:color w:val="auto"/>
                <w:sz w:val="24"/>
                <w:szCs w:val="24"/>
                <w:highlight w:val="none"/>
              </w:rPr>
              <w:t>）</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相同色泽着色剂混合使用时各自用量占其最大使用量的比例之和</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乙二胺四乙酸二钠</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lang w:val="en-US" w:eastAsia="zh-CN"/>
              </w:rPr>
              <w:t>菌落总数、大肠菌群、霉菌</w:t>
            </w:r>
          </w:p>
        </w:tc>
        <w:tc>
          <w:tcPr>
            <w:tcW w:w="3395" w:type="dxa"/>
            <w:vAlign w:val="center"/>
          </w:tcPr>
          <w:p w14:paraId="15ED2F1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lang w:val="en-US" w:eastAsia="zh-CN"/>
              </w:rPr>
              <w:t>二氧化钛</w:t>
            </w:r>
          </w:p>
        </w:tc>
      </w:tr>
      <w:tr w14:paraId="24CC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1C95613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21C5BA1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6C69C4E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4AAD3CA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水果干制品</w:t>
            </w:r>
          </w:p>
        </w:tc>
        <w:tc>
          <w:tcPr>
            <w:tcW w:w="1733" w:type="dxa"/>
            <w:vAlign w:val="center"/>
          </w:tcPr>
          <w:p w14:paraId="2BA1A4D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水果干制品（含干枸杞）</w:t>
            </w:r>
          </w:p>
        </w:tc>
        <w:tc>
          <w:tcPr>
            <w:tcW w:w="825" w:type="dxa"/>
            <w:vAlign w:val="center"/>
          </w:tcPr>
          <w:p w14:paraId="460312A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一般</w:t>
            </w:r>
          </w:p>
        </w:tc>
        <w:tc>
          <w:tcPr>
            <w:tcW w:w="4459" w:type="dxa"/>
            <w:vAlign w:val="center"/>
          </w:tcPr>
          <w:p w14:paraId="69AD3B9A">
            <w:pPr>
              <w:pStyle w:val="41"/>
              <w:keepNext w:val="0"/>
              <w:keepLines w:val="0"/>
              <w:pageBreakBefore w:val="0"/>
              <w:widowControl w:val="0"/>
              <w:kinsoku/>
              <w:wordWrap/>
              <w:overflowPunct/>
              <w:topLinePunct w:val="0"/>
              <w:autoSpaceDE/>
              <w:autoSpaceDN/>
              <w:bidi w:val="0"/>
              <w:adjustRightInd/>
              <w:snapToGrid w:val="0"/>
              <w:spacing w:before="0" w:after="0" w:line="300" w:lineRule="exact"/>
              <w:ind w:firstLine="0" w:firstLineChars="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铅（以Pb计）、啶虫脒、吡虫啉、克百威、氯氟氰菊酯和高效氯氟氰菊酯、氯氰菊酯和高效氯氰菊酯、苯甲酸及其钠盐（以苯甲酸计）、山梨酸及其钾盐（以山梨酸计）、脱氢乙酸及其钠盐（以脱氢乙酸计）、糖精钠（以糖精计）、二氧化硫残留量、合成着色剂（亮蓝、柠檬黄、日落黄、苋菜红、胭脂红、诱惑红、喹啉黄、赤藓红）、</w:t>
            </w:r>
            <w:r>
              <w:rPr>
                <w:rFonts w:hint="eastAsia" w:ascii="仿宋" w:hAnsi="仿宋" w:eastAsia="仿宋" w:cs="仿宋"/>
                <w:i w:val="0"/>
                <w:iCs w:val="0"/>
                <w:color w:val="auto"/>
                <w:sz w:val="24"/>
                <w:szCs w:val="24"/>
                <w:highlight w:val="none"/>
              </w:rPr>
              <w:t>相同色泽着色剂混合使用时各自用量占其最大使用量的比例之和</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color w:val="auto"/>
                <w:sz w:val="24"/>
                <w:szCs w:val="24"/>
                <w:highlight w:val="none"/>
                <w:vertAlign w:val="baseline"/>
                <w:lang w:val="en-US" w:eastAsia="zh-CN"/>
              </w:rPr>
              <w:t>菌落总数、大肠菌群</w:t>
            </w:r>
          </w:p>
        </w:tc>
        <w:tc>
          <w:tcPr>
            <w:tcW w:w="3395" w:type="dxa"/>
            <w:vAlign w:val="center"/>
          </w:tcPr>
          <w:p w14:paraId="25AA8A3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霉菌、展青霉素</w:t>
            </w:r>
          </w:p>
        </w:tc>
      </w:tr>
      <w:tr w14:paraId="5FE1B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438" w:type="dxa"/>
            <w:vMerge w:val="continue"/>
            <w:vAlign w:val="center"/>
          </w:tcPr>
          <w:p w14:paraId="205EFD3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15C200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5FFE9C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52A4583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果酱</w:t>
            </w:r>
          </w:p>
        </w:tc>
        <w:tc>
          <w:tcPr>
            <w:tcW w:w="1733" w:type="dxa"/>
            <w:vAlign w:val="center"/>
          </w:tcPr>
          <w:p w14:paraId="0415438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果酱</w:t>
            </w:r>
          </w:p>
        </w:tc>
        <w:tc>
          <w:tcPr>
            <w:tcW w:w="825" w:type="dxa"/>
            <w:vAlign w:val="center"/>
          </w:tcPr>
          <w:p w14:paraId="59781FA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color w:val="auto"/>
                <w:sz w:val="24"/>
                <w:szCs w:val="24"/>
                <w:highlight w:val="none"/>
                <w:vertAlign w:val="baseline"/>
                <w:lang w:val="en-US" w:eastAsia="zh-CN"/>
              </w:rPr>
              <w:t>一般</w:t>
            </w:r>
          </w:p>
        </w:tc>
        <w:tc>
          <w:tcPr>
            <w:tcW w:w="4459" w:type="dxa"/>
            <w:vAlign w:val="center"/>
          </w:tcPr>
          <w:p w14:paraId="0596530D">
            <w:pPr>
              <w:pStyle w:val="41"/>
              <w:keepNext w:val="0"/>
              <w:keepLines w:val="0"/>
              <w:pageBreakBefore w:val="0"/>
              <w:widowControl w:val="0"/>
              <w:kinsoku/>
              <w:wordWrap/>
              <w:overflowPunct/>
              <w:topLinePunct w:val="0"/>
              <w:autoSpaceDE/>
              <w:autoSpaceDN/>
              <w:bidi w:val="0"/>
              <w:adjustRightInd/>
              <w:snapToGrid w:val="0"/>
              <w:spacing w:before="0" w:after="0" w:line="300" w:lineRule="exact"/>
              <w:ind w:firstLine="0" w:firstLineChars="0"/>
              <w:jc w:val="left"/>
              <w:textAlignment w:val="auto"/>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rPr>
              <w:t>脱氢乙酸及其钠盐（以脱氢乙酸计）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二氧化硫残留量</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菌落总数</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大肠菌群</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霉菌</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sz w:val="24"/>
                <w:szCs w:val="24"/>
                <w:highlight w:val="none"/>
              </w:rPr>
              <w:t>商业无菌</w:t>
            </w:r>
          </w:p>
        </w:tc>
        <w:tc>
          <w:tcPr>
            <w:tcW w:w="3395" w:type="dxa"/>
            <w:vAlign w:val="center"/>
          </w:tcPr>
          <w:p w14:paraId="45AB156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auto"/>
                <w:sz w:val="24"/>
                <w:szCs w:val="24"/>
                <w:highlight w:val="none"/>
              </w:rPr>
              <w:t>山梨酸及其钾盐（以山梨酸计）</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i w:val="0"/>
                <w:iCs w:val="0"/>
                <w:color w:val="auto"/>
                <w:kern w:val="0"/>
                <w:sz w:val="24"/>
                <w:szCs w:val="24"/>
                <w:highlight w:val="none"/>
                <w:u w:val="none"/>
                <w:lang w:val="en-US" w:eastAsia="zh-CN" w:bidi="ar"/>
              </w:rPr>
              <w:t>三氯蔗糖、</w:t>
            </w:r>
            <w:r>
              <w:rPr>
                <w:rFonts w:hint="eastAsia" w:ascii="仿宋" w:hAnsi="仿宋" w:eastAsia="仿宋" w:cs="仿宋"/>
                <w:i w:val="0"/>
                <w:iCs w:val="0"/>
                <w:color w:val="auto"/>
                <w:sz w:val="24"/>
                <w:szCs w:val="24"/>
                <w:highlight w:val="none"/>
              </w:rPr>
              <w:t>合成着色剂（亮蓝、柠檬黄、日落黄、苋菜红、胭脂红、诱惑红、喹啉黄</w:t>
            </w:r>
            <w:r>
              <w:rPr>
                <w:rFonts w:hint="eastAsia" w:ascii="仿宋" w:hAnsi="仿宋" w:eastAsia="仿宋" w:cs="仿宋"/>
                <w:i w:val="0"/>
                <w:iCs w:val="0"/>
                <w:color w:val="auto"/>
                <w:sz w:val="24"/>
                <w:szCs w:val="24"/>
                <w:highlight w:val="none"/>
                <w:lang w:eastAsia="zh-CN"/>
              </w:rPr>
              <w:t>、赤藓红</w:t>
            </w:r>
            <w:r>
              <w:rPr>
                <w:rFonts w:hint="eastAsia" w:ascii="仿宋" w:hAnsi="仿宋" w:eastAsia="仿宋" w:cs="仿宋"/>
                <w:i w:val="0"/>
                <w:iCs w:val="0"/>
                <w:color w:val="auto"/>
                <w:sz w:val="24"/>
                <w:szCs w:val="24"/>
                <w:highlight w:val="none"/>
              </w:rPr>
              <w:t>）</w:t>
            </w:r>
          </w:p>
        </w:tc>
      </w:tr>
      <w:tr w14:paraId="0ADF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restart"/>
            <w:vAlign w:val="center"/>
          </w:tcPr>
          <w:p w14:paraId="4241047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18</w:t>
            </w:r>
          </w:p>
        </w:tc>
        <w:tc>
          <w:tcPr>
            <w:tcW w:w="1064" w:type="dxa"/>
            <w:vMerge w:val="restart"/>
            <w:vAlign w:val="center"/>
          </w:tcPr>
          <w:p w14:paraId="4EB97F9D">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炒货食品及坚果制品</w:t>
            </w:r>
          </w:p>
        </w:tc>
        <w:tc>
          <w:tcPr>
            <w:tcW w:w="1065" w:type="dxa"/>
            <w:vMerge w:val="restart"/>
            <w:vAlign w:val="center"/>
          </w:tcPr>
          <w:p w14:paraId="31F89A1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炒货食品及坚果制品</w:t>
            </w:r>
          </w:p>
        </w:tc>
        <w:tc>
          <w:tcPr>
            <w:tcW w:w="1356" w:type="dxa"/>
            <w:vMerge w:val="restart"/>
            <w:vAlign w:val="center"/>
          </w:tcPr>
          <w:p w14:paraId="359D42A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炒货食品及坚果制品（烘炒类、油炸类、其他类）</w:t>
            </w:r>
          </w:p>
        </w:tc>
        <w:tc>
          <w:tcPr>
            <w:tcW w:w="1733" w:type="dxa"/>
            <w:vAlign w:val="center"/>
          </w:tcPr>
          <w:p w14:paraId="1ED2A02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瓜子</w:t>
            </w:r>
          </w:p>
        </w:tc>
        <w:tc>
          <w:tcPr>
            <w:tcW w:w="825" w:type="dxa"/>
            <w:vAlign w:val="center"/>
          </w:tcPr>
          <w:p w14:paraId="423DA74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282DA376">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酸价（以脂肪计）（KOH）、过氧化值（以脂肪计）、黄曲霉毒素B</w:t>
            </w:r>
            <w:r>
              <w:rPr>
                <w:rFonts w:hint="eastAsia" w:ascii="仿宋" w:hAnsi="仿宋" w:eastAsia="仿宋" w:cs="仿宋"/>
                <w:color w:val="auto"/>
                <w:kern w:val="0"/>
                <w:sz w:val="24"/>
                <w:szCs w:val="24"/>
                <w:highlight w:val="none"/>
                <w:vertAlign w:val="subscript"/>
              </w:rPr>
              <w:t>1</w:t>
            </w:r>
            <w:r>
              <w:rPr>
                <w:rFonts w:hint="eastAsia" w:ascii="仿宋" w:hAnsi="仿宋" w:eastAsia="仿宋" w:cs="仿宋"/>
                <w:color w:val="auto"/>
                <w:kern w:val="0"/>
                <w:sz w:val="24"/>
                <w:szCs w:val="24"/>
                <w:highlight w:val="none"/>
              </w:rPr>
              <w:t>、苯甲酸及其钠盐（以苯甲酸计）、山梨酸及其钾盐（以山梨酸计）、二氧化硫残留量、大肠菌群、霉菌</w:t>
            </w:r>
          </w:p>
        </w:tc>
        <w:tc>
          <w:tcPr>
            <w:tcW w:w="3395" w:type="dxa"/>
            <w:vAlign w:val="center"/>
          </w:tcPr>
          <w:p w14:paraId="7F30394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铅（以Pb计）、脱氢乙酸及其钠盐（以脱氢乙酸计）、糖精钠（以糖精计）、甜蜜素（以环己基氨基磺酸计）、安赛蜜</w:t>
            </w:r>
          </w:p>
        </w:tc>
      </w:tr>
      <w:tr w14:paraId="134D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trPr>
        <w:tc>
          <w:tcPr>
            <w:tcW w:w="438" w:type="dxa"/>
            <w:vMerge w:val="continue"/>
            <w:vAlign w:val="center"/>
          </w:tcPr>
          <w:p w14:paraId="7F04C15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BB48C1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CD6385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39257F7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5B57CE91">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花生制品</w:t>
            </w:r>
          </w:p>
        </w:tc>
        <w:tc>
          <w:tcPr>
            <w:tcW w:w="825" w:type="dxa"/>
            <w:vAlign w:val="center"/>
          </w:tcPr>
          <w:p w14:paraId="627C711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5A6BAC0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酸价（以脂肪计）（KOH）、过氧化值（以脂肪计）、黄曲霉毒素B</w:t>
            </w:r>
            <w:r>
              <w:rPr>
                <w:rFonts w:hint="eastAsia" w:ascii="仿宋" w:hAnsi="仿宋" w:eastAsia="仿宋" w:cs="仿宋"/>
                <w:color w:val="auto"/>
                <w:kern w:val="0"/>
                <w:sz w:val="24"/>
                <w:szCs w:val="24"/>
                <w:highlight w:val="none"/>
                <w:vertAlign w:val="subscript"/>
              </w:rPr>
              <w:t>1</w:t>
            </w:r>
            <w:r>
              <w:rPr>
                <w:rFonts w:hint="eastAsia" w:ascii="仿宋" w:hAnsi="仿宋" w:eastAsia="仿宋" w:cs="仿宋"/>
                <w:color w:val="auto"/>
                <w:kern w:val="0"/>
                <w:sz w:val="24"/>
                <w:szCs w:val="24"/>
                <w:highlight w:val="none"/>
              </w:rPr>
              <w:t>、苯甲酸及其钠盐（以苯甲酸计）、山梨酸及其钾盐（以山梨酸计）、二氧化硫残留量、大肠菌群、霉菌</w:t>
            </w:r>
          </w:p>
        </w:tc>
        <w:tc>
          <w:tcPr>
            <w:tcW w:w="3395" w:type="dxa"/>
            <w:vAlign w:val="center"/>
          </w:tcPr>
          <w:p w14:paraId="426783D8">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铅（以Pb计）、脱氢乙酸及其钠盐（以脱氢乙酸计）、糖精钠（以糖精计）、甜蜜素（以环己基氨基磺酸计）、安赛蜜</w:t>
            </w:r>
          </w:p>
        </w:tc>
      </w:tr>
      <w:tr w14:paraId="6384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3656B0A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1EFD05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11A522A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Merge w:val="continue"/>
            <w:vAlign w:val="center"/>
          </w:tcPr>
          <w:p w14:paraId="41520F7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733" w:type="dxa"/>
            <w:vAlign w:val="center"/>
          </w:tcPr>
          <w:p w14:paraId="62EE616E">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其他炒货食品及坚果制品</w:t>
            </w:r>
          </w:p>
        </w:tc>
        <w:tc>
          <w:tcPr>
            <w:tcW w:w="825" w:type="dxa"/>
            <w:vAlign w:val="center"/>
          </w:tcPr>
          <w:p w14:paraId="0CD52199">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1B5618CD">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酸价（以脂肪计）（KOH）、过氧化值（以脂肪计）、黄曲霉毒素B</w:t>
            </w:r>
            <w:r>
              <w:rPr>
                <w:rFonts w:hint="eastAsia" w:ascii="仿宋" w:hAnsi="仿宋" w:eastAsia="仿宋" w:cs="仿宋"/>
                <w:color w:val="auto"/>
                <w:kern w:val="0"/>
                <w:sz w:val="24"/>
                <w:szCs w:val="24"/>
                <w:highlight w:val="none"/>
                <w:vertAlign w:val="subscript"/>
              </w:rPr>
              <w:t>1</w:t>
            </w:r>
            <w:r>
              <w:rPr>
                <w:rFonts w:hint="eastAsia" w:ascii="仿宋" w:hAnsi="仿宋" w:eastAsia="仿宋" w:cs="仿宋"/>
                <w:color w:val="auto"/>
                <w:kern w:val="0"/>
                <w:sz w:val="24"/>
                <w:szCs w:val="24"/>
                <w:highlight w:val="none"/>
              </w:rPr>
              <w:t>、二氧化硫残留量、大肠菌群、霉菌</w:t>
            </w:r>
          </w:p>
        </w:tc>
        <w:tc>
          <w:tcPr>
            <w:tcW w:w="3395" w:type="dxa"/>
            <w:vAlign w:val="center"/>
          </w:tcPr>
          <w:p w14:paraId="5C2190E2">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铅（以Pb计）、脱氢乙酸及其钠盐（以脱氢乙酸计）、糖精钠（以糖精计）、甜蜜素（以环己基氨基磺酸计）、安赛蜜</w:t>
            </w:r>
          </w:p>
        </w:tc>
      </w:tr>
      <w:tr w14:paraId="172D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438" w:type="dxa"/>
            <w:vMerge w:val="restart"/>
            <w:vAlign w:val="center"/>
          </w:tcPr>
          <w:p w14:paraId="4497ACD7">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7"/>
                <w:sz w:val="24"/>
                <w:szCs w:val="24"/>
                <w:highlight w:val="none"/>
              </w:rPr>
              <w:t>19</w:t>
            </w:r>
          </w:p>
        </w:tc>
        <w:tc>
          <w:tcPr>
            <w:tcW w:w="1064" w:type="dxa"/>
            <w:vMerge w:val="restart"/>
            <w:vAlign w:val="center"/>
          </w:tcPr>
          <w:p w14:paraId="1E23AE9F">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7"/>
                <w:sz w:val="24"/>
                <w:szCs w:val="24"/>
                <w:highlight w:val="none"/>
              </w:rPr>
              <w:t>蛋制品</w:t>
            </w:r>
          </w:p>
        </w:tc>
        <w:tc>
          <w:tcPr>
            <w:tcW w:w="1065" w:type="dxa"/>
            <w:vMerge w:val="restart"/>
            <w:vAlign w:val="center"/>
          </w:tcPr>
          <w:p w14:paraId="3E6BF645">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7"/>
                <w:sz w:val="24"/>
                <w:szCs w:val="24"/>
                <w:highlight w:val="none"/>
              </w:rPr>
              <w:t>蛋制品</w:t>
            </w:r>
          </w:p>
        </w:tc>
        <w:tc>
          <w:tcPr>
            <w:tcW w:w="1356" w:type="dxa"/>
            <w:vAlign w:val="center"/>
          </w:tcPr>
          <w:p w14:paraId="261F2B8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3"/>
                <w:sz w:val="24"/>
                <w:szCs w:val="24"/>
                <w:highlight w:val="none"/>
              </w:rPr>
              <w:t>再制蛋</w:t>
            </w:r>
          </w:p>
        </w:tc>
        <w:tc>
          <w:tcPr>
            <w:tcW w:w="1733" w:type="dxa"/>
            <w:vAlign w:val="center"/>
          </w:tcPr>
          <w:p w14:paraId="64D7AC7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再制蛋</w:t>
            </w:r>
          </w:p>
        </w:tc>
        <w:tc>
          <w:tcPr>
            <w:tcW w:w="825" w:type="dxa"/>
            <w:vAlign w:val="center"/>
          </w:tcPr>
          <w:p w14:paraId="108596F3">
            <w:pPr>
              <w:pStyle w:val="36"/>
              <w:pageBreakBefore w:val="0"/>
              <w:widowControl w:val="0"/>
              <w:wordWrap/>
              <w:overflowPunct/>
              <w:topLinePunct w:val="0"/>
              <w:bidi w:val="0"/>
              <w:spacing w:before="183" w:line="300" w:lineRule="exact"/>
              <w:ind w:left="124" w:leftChars="0"/>
              <w:jc w:val="center"/>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3DA6B97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铅（以Pb计）、苯甲酸及其钠盐（以苯甲酸计）、山梨酸及其钾盐（以山梨酸计）、菌落总数、大肠菌群、沙门氏菌</w:t>
            </w:r>
          </w:p>
        </w:tc>
        <w:tc>
          <w:tcPr>
            <w:tcW w:w="3395" w:type="dxa"/>
            <w:vAlign w:val="center"/>
          </w:tcPr>
          <w:p w14:paraId="025BF25F">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p>
        </w:tc>
      </w:tr>
      <w:tr w14:paraId="1908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trPr>
        <w:tc>
          <w:tcPr>
            <w:tcW w:w="438" w:type="dxa"/>
            <w:vMerge w:val="continue"/>
            <w:vAlign w:val="center"/>
          </w:tcPr>
          <w:p w14:paraId="05F39E2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6D4433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0D4765E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37F0CB86">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2"/>
                <w:sz w:val="24"/>
                <w:szCs w:val="24"/>
                <w:highlight w:val="none"/>
              </w:rPr>
              <w:t>干蛋类</w:t>
            </w:r>
          </w:p>
        </w:tc>
        <w:tc>
          <w:tcPr>
            <w:tcW w:w="1733" w:type="dxa"/>
            <w:vAlign w:val="center"/>
          </w:tcPr>
          <w:p w14:paraId="3C225B7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2"/>
                <w:sz w:val="24"/>
                <w:szCs w:val="24"/>
                <w:highlight w:val="none"/>
              </w:rPr>
              <w:t>干蛋类</w:t>
            </w:r>
          </w:p>
        </w:tc>
        <w:tc>
          <w:tcPr>
            <w:tcW w:w="825" w:type="dxa"/>
            <w:vAlign w:val="center"/>
          </w:tcPr>
          <w:p w14:paraId="29E98682">
            <w:pPr>
              <w:pStyle w:val="36"/>
              <w:pageBreakBefore w:val="0"/>
              <w:widowControl w:val="0"/>
              <w:wordWrap/>
              <w:overflowPunct/>
              <w:topLinePunct w:val="0"/>
              <w:bidi w:val="0"/>
              <w:spacing w:before="214" w:line="300" w:lineRule="exact"/>
              <w:ind w:left="124" w:leftChars="0"/>
              <w:jc w:val="center"/>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371CBB0A">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z w:val="24"/>
                <w:szCs w:val="24"/>
                <w:highlight w:val="none"/>
              </w:rPr>
              <w:t>菌落总数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大肠菌群</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沙门氏菌</w:t>
            </w:r>
          </w:p>
        </w:tc>
        <w:tc>
          <w:tcPr>
            <w:tcW w:w="3395" w:type="dxa"/>
            <w:vAlign w:val="center"/>
          </w:tcPr>
          <w:p w14:paraId="4C2A6489">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p>
        </w:tc>
      </w:tr>
      <w:tr w14:paraId="37A5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438" w:type="dxa"/>
            <w:vMerge w:val="continue"/>
            <w:vAlign w:val="center"/>
          </w:tcPr>
          <w:p w14:paraId="4A86C57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F15A1B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A5AAF3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12229BE7">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2"/>
                <w:sz w:val="24"/>
                <w:szCs w:val="24"/>
                <w:highlight w:val="none"/>
              </w:rPr>
              <w:t>冰蛋类</w:t>
            </w:r>
          </w:p>
        </w:tc>
        <w:tc>
          <w:tcPr>
            <w:tcW w:w="1733" w:type="dxa"/>
            <w:vAlign w:val="center"/>
          </w:tcPr>
          <w:p w14:paraId="23433AA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2"/>
                <w:sz w:val="24"/>
                <w:szCs w:val="24"/>
                <w:highlight w:val="none"/>
              </w:rPr>
              <w:t>冰蛋类</w:t>
            </w:r>
          </w:p>
        </w:tc>
        <w:tc>
          <w:tcPr>
            <w:tcW w:w="825" w:type="dxa"/>
            <w:vAlign w:val="center"/>
          </w:tcPr>
          <w:p w14:paraId="0618D228">
            <w:pPr>
              <w:pStyle w:val="36"/>
              <w:pageBreakBefore w:val="0"/>
              <w:widowControl w:val="0"/>
              <w:wordWrap/>
              <w:overflowPunct/>
              <w:topLinePunct w:val="0"/>
              <w:bidi w:val="0"/>
              <w:spacing w:before="255" w:line="300" w:lineRule="exact"/>
              <w:ind w:left="124" w:leftChars="0"/>
              <w:jc w:val="center"/>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5769E4B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z w:val="24"/>
                <w:szCs w:val="24"/>
                <w:highlight w:val="none"/>
              </w:rPr>
              <w:t>菌落总数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大肠菌群</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沙门氏菌</w:t>
            </w:r>
          </w:p>
        </w:tc>
        <w:tc>
          <w:tcPr>
            <w:tcW w:w="3395" w:type="dxa"/>
            <w:vAlign w:val="center"/>
          </w:tcPr>
          <w:p w14:paraId="069141F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p>
        </w:tc>
      </w:tr>
      <w:tr w14:paraId="6D1A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7213CD1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105CE6B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51809C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5BB36F1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spacing w:val="-3"/>
                <w:kern w:val="2"/>
                <w:sz w:val="24"/>
                <w:szCs w:val="24"/>
                <w:highlight w:val="none"/>
                <w:lang w:val="en-US" w:eastAsia="zh-CN" w:bidi="ar-SA"/>
              </w:rPr>
            </w:pPr>
            <w:r>
              <w:rPr>
                <w:rFonts w:hint="eastAsia" w:ascii="仿宋" w:hAnsi="仿宋" w:eastAsia="仿宋" w:cs="仿宋"/>
                <w:color w:val="auto"/>
                <w:spacing w:val="-3"/>
                <w:sz w:val="24"/>
                <w:szCs w:val="24"/>
                <w:highlight w:val="none"/>
                <w:lang w:val="en-US" w:eastAsia="zh-CN"/>
              </w:rPr>
              <w:t>液蛋制品</w:t>
            </w:r>
          </w:p>
        </w:tc>
        <w:tc>
          <w:tcPr>
            <w:tcW w:w="1733" w:type="dxa"/>
            <w:vAlign w:val="center"/>
          </w:tcPr>
          <w:p w14:paraId="73183B9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spacing w:val="-3"/>
                <w:kern w:val="2"/>
                <w:sz w:val="24"/>
                <w:szCs w:val="24"/>
                <w:highlight w:val="none"/>
                <w:lang w:val="en-US" w:eastAsia="en-US" w:bidi="ar-SA"/>
              </w:rPr>
            </w:pPr>
            <w:r>
              <w:rPr>
                <w:rFonts w:hint="eastAsia" w:ascii="仿宋" w:hAnsi="仿宋" w:eastAsia="仿宋" w:cs="仿宋"/>
                <w:color w:val="auto"/>
                <w:spacing w:val="-3"/>
                <w:sz w:val="24"/>
                <w:szCs w:val="24"/>
                <w:highlight w:val="none"/>
                <w:lang w:val="en-US" w:eastAsia="zh-CN"/>
              </w:rPr>
              <w:t>液蛋制品</w:t>
            </w:r>
          </w:p>
        </w:tc>
        <w:tc>
          <w:tcPr>
            <w:tcW w:w="825" w:type="dxa"/>
            <w:vAlign w:val="center"/>
          </w:tcPr>
          <w:p w14:paraId="07764CD1">
            <w:pPr>
              <w:pStyle w:val="36"/>
              <w:pageBreakBefore w:val="0"/>
              <w:widowControl w:val="0"/>
              <w:wordWrap/>
              <w:overflowPunct/>
              <w:topLinePunct w:val="0"/>
              <w:bidi w:val="0"/>
              <w:spacing w:before="196" w:line="300" w:lineRule="exact"/>
              <w:ind w:left="124" w:leftChars="0"/>
              <w:jc w:val="center"/>
              <w:rPr>
                <w:rFonts w:hint="eastAsia" w:ascii="仿宋" w:hAnsi="仿宋" w:eastAsia="仿宋" w:cs="仿宋"/>
                <w:color w:val="auto"/>
                <w:spacing w:val="-3"/>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458F3D3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铅（以Pb计）、苯甲酸及其钠盐（以苯甲酸计）、山梨酸及其钾盐（以山梨酸计）、脱氢乙酸及其钠盐（以脱氢乙酸计）、菌落总数、大肠菌群</w:t>
            </w:r>
          </w:p>
        </w:tc>
        <w:tc>
          <w:tcPr>
            <w:tcW w:w="3395" w:type="dxa"/>
            <w:vAlign w:val="center"/>
          </w:tcPr>
          <w:p w14:paraId="539605C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沙门氏菌</w:t>
            </w:r>
          </w:p>
        </w:tc>
      </w:tr>
      <w:tr w14:paraId="0DAD9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63A62B4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065C181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63396BF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3A662E7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spacing w:val="-3"/>
                <w:kern w:val="2"/>
                <w:sz w:val="24"/>
                <w:szCs w:val="24"/>
                <w:highlight w:val="none"/>
                <w:lang w:val="en-US" w:eastAsia="zh-CN" w:bidi="ar-SA"/>
              </w:rPr>
            </w:pPr>
            <w:r>
              <w:rPr>
                <w:rFonts w:hint="eastAsia" w:ascii="仿宋" w:hAnsi="仿宋" w:eastAsia="仿宋" w:cs="仿宋"/>
                <w:color w:val="auto"/>
                <w:spacing w:val="-3"/>
                <w:sz w:val="24"/>
                <w:szCs w:val="24"/>
                <w:highlight w:val="none"/>
                <w:lang w:val="en-US" w:eastAsia="zh-CN"/>
              </w:rPr>
              <w:t>热凝固蛋制品</w:t>
            </w:r>
          </w:p>
        </w:tc>
        <w:tc>
          <w:tcPr>
            <w:tcW w:w="1733" w:type="dxa"/>
            <w:vAlign w:val="center"/>
          </w:tcPr>
          <w:p w14:paraId="56DA1849">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spacing w:val="-3"/>
                <w:kern w:val="2"/>
                <w:sz w:val="24"/>
                <w:szCs w:val="24"/>
                <w:highlight w:val="none"/>
                <w:lang w:val="en-US" w:eastAsia="en-US" w:bidi="ar-SA"/>
              </w:rPr>
            </w:pPr>
            <w:r>
              <w:rPr>
                <w:rFonts w:hint="eastAsia" w:ascii="仿宋" w:hAnsi="仿宋" w:eastAsia="仿宋" w:cs="仿宋"/>
                <w:color w:val="auto"/>
                <w:spacing w:val="-3"/>
                <w:sz w:val="24"/>
                <w:szCs w:val="24"/>
                <w:highlight w:val="none"/>
                <w:lang w:val="en-US" w:eastAsia="zh-CN"/>
              </w:rPr>
              <w:t>热凝固蛋制品</w:t>
            </w:r>
          </w:p>
        </w:tc>
        <w:tc>
          <w:tcPr>
            <w:tcW w:w="825" w:type="dxa"/>
            <w:vAlign w:val="center"/>
          </w:tcPr>
          <w:p w14:paraId="64B50EFE">
            <w:pPr>
              <w:pStyle w:val="36"/>
              <w:pageBreakBefore w:val="0"/>
              <w:widowControl w:val="0"/>
              <w:wordWrap/>
              <w:overflowPunct/>
              <w:topLinePunct w:val="0"/>
              <w:bidi w:val="0"/>
              <w:spacing w:before="196" w:line="300" w:lineRule="exact"/>
              <w:ind w:left="124" w:leftChars="0"/>
              <w:jc w:val="center"/>
              <w:rPr>
                <w:rFonts w:hint="eastAsia" w:ascii="仿宋" w:hAnsi="仿宋" w:eastAsia="仿宋" w:cs="仿宋"/>
                <w:color w:val="auto"/>
                <w:spacing w:val="-3"/>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2D56D217">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铅（以Pb计）、苯甲酸及其钠盐（以苯甲酸计）、山梨酸及其钾盐（以山梨酸计）、脱氢乙酸及其钠盐（以脱氢乙酸计）、菌落总数、大肠菌群</w:t>
            </w:r>
          </w:p>
        </w:tc>
        <w:tc>
          <w:tcPr>
            <w:tcW w:w="3395" w:type="dxa"/>
            <w:vAlign w:val="center"/>
          </w:tcPr>
          <w:p w14:paraId="27B90190">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沙门氏菌</w:t>
            </w:r>
          </w:p>
        </w:tc>
      </w:tr>
      <w:tr w14:paraId="0C1A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trPr>
        <w:tc>
          <w:tcPr>
            <w:tcW w:w="438" w:type="dxa"/>
            <w:vMerge w:val="continue"/>
            <w:vAlign w:val="center"/>
          </w:tcPr>
          <w:p w14:paraId="2744601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3066DE6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Merge w:val="continue"/>
            <w:vAlign w:val="center"/>
          </w:tcPr>
          <w:p w14:paraId="7CEF0A7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356" w:type="dxa"/>
            <w:vAlign w:val="center"/>
          </w:tcPr>
          <w:p w14:paraId="3BCE5E5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3"/>
                <w:sz w:val="24"/>
                <w:szCs w:val="24"/>
                <w:highlight w:val="none"/>
              </w:rPr>
              <w:t>其他类</w:t>
            </w:r>
          </w:p>
        </w:tc>
        <w:tc>
          <w:tcPr>
            <w:tcW w:w="1733" w:type="dxa"/>
            <w:vAlign w:val="center"/>
          </w:tcPr>
          <w:p w14:paraId="17BF2B5A">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其他类</w:t>
            </w:r>
          </w:p>
        </w:tc>
        <w:tc>
          <w:tcPr>
            <w:tcW w:w="825" w:type="dxa"/>
            <w:vAlign w:val="center"/>
          </w:tcPr>
          <w:p w14:paraId="2D8F64A3">
            <w:pPr>
              <w:pStyle w:val="36"/>
              <w:pageBreakBefore w:val="0"/>
              <w:widowControl w:val="0"/>
              <w:wordWrap/>
              <w:overflowPunct/>
              <w:topLinePunct w:val="0"/>
              <w:bidi w:val="0"/>
              <w:spacing w:before="196" w:line="300" w:lineRule="exact"/>
              <w:ind w:left="124" w:leftChars="0"/>
              <w:jc w:val="center"/>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50F1A32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铅（以Pb计）、苯甲酸及其钠盐（以苯甲酸计）、山梨酸及其钾盐（以山梨酸计）、脱氢乙酸及其钠盐（以脱氢乙酸计）、菌落总数、大肠菌群</w:t>
            </w:r>
          </w:p>
        </w:tc>
        <w:tc>
          <w:tcPr>
            <w:tcW w:w="3395" w:type="dxa"/>
            <w:vAlign w:val="center"/>
          </w:tcPr>
          <w:p w14:paraId="33C141C7">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沙门氏菌</w:t>
            </w:r>
          </w:p>
        </w:tc>
      </w:tr>
      <w:tr w14:paraId="469C6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trPr>
        <w:tc>
          <w:tcPr>
            <w:tcW w:w="438" w:type="dxa"/>
            <w:vMerge w:val="restart"/>
            <w:vAlign w:val="center"/>
          </w:tcPr>
          <w:p w14:paraId="5D635CF5">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20</w:t>
            </w:r>
          </w:p>
        </w:tc>
        <w:tc>
          <w:tcPr>
            <w:tcW w:w="1064" w:type="dxa"/>
            <w:vMerge w:val="restart"/>
            <w:vAlign w:val="center"/>
          </w:tcPr>
          <w:p w14:paraId="528BF4A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可可及焙烤咖啡产品</w:t>
            </w:r>
          </w:p>
        </w:tc>
        <w:tc>
          <w:tcPr>
            <w:tcW w:w="1065" w:type="dxa"/>
            <w:vAlign w:val="center"/>
          </w:tcPr>
          <w:p w14:paraId="49E58BEC">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焙炒咖啡</w:t>
            </w:r>
          </w:p>
        </w:tc>
        <w:tc>
          <w:tcPr>
            <w:tcW w:w="1356" w:type="dxa"/>
            <w:vAlign w:val="center"/>
          </w:tcPr>
          <w:p w14:paraId="71A470C7">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焙炒咖啡</w:t>
            </w:r>
          </w:p>
        </w:tc>
        <w:tc>
          <w:tcPr>
            <w:tcW w:w="1733" w:type="dxa"/>
            <w:vAlign w:val="center"/>
          </w:tcPr>
          <w:p w14:paraId="3C392F8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焙炒咖啡</w:t>
            </w:r>
          </w:p>
        </w:tc>
        <w:tc>
          <w:tcPr>
            <w:tcW w:w="825" w:type="dxa"/>
            <w:vAlign w:val="center"/>
          </w:tcPr>
          <w:p w14:paraId="2873F676">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36022D5F">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咖啡因、铅（以Pb计）、赭曲霉毒素A</w:t>
            </w:r>
          </w:p>
        </w:tc>
        <w:tc>
          <w:tcPr>
            <w:tcW w:w="3395" w:type="dxa"/>
            <w:vAlign w:val="center"/>
          </w:tcPr>
          <w:p w14:paraId="73ECBB56">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21F7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trPr>
        <w:tc>
          <w:tcPr>
            <w:tcW w:w="438" w:type="dxa"/>
            <w:vMerge w:val="continue"/>
            <w:vAlign w:val="center"/>
          </w:tcPr>
          <w:p w14:paraId="7600688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4" w:type="dxa"/>
            <w:vMerge w:val="continue"/>
            <w:vAlign w:val="center"/>
          </w:tcPr>
          <w:p w14:paraId="5DB37D6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vertAlign w:val="baseline"/>
                <w:lang w:val="en-US" w:eastAsia="zh-CN"/>
              </w:rPr>
            </w:pPr>
          </w:p>
        </w:tc>
        <w:tc>
          <w:tcPr>
            <w:tcW w:w="1065" w:type="dxa"/>
            <w:vAlign w:val="center"/>
          </w:tcPr>
          <w:p w14:paraId="757967E8">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可可制品</w:t>
            </w:r>
          </w:p>
        </w:tc>
        <w:tc>
          <w:tcPr>
            <w:tcW w:w="1356" w:type="dxa"/>
            <w:vAlign w:val="center"/>
          </w:tcPr>
          <w:p w14:paraId="1E8226F4">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可可制品</w:t>
            </w:r>
          </w:p>
        </w:tc>
        <w:tc>
          <w:tcPr>
            <w:tcW w:w="1733" w:type="dxa"/>
            <w:vAlign w:val="center"/>
          </w:tcPr>
          <w:p w14:paraId="000EED53">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可可制品</w:t>
            </w:r>
          </w:p>
        </w:tc>
        <w:tc>
          <w:tcPr>
            <w:tcW w:w="825" w:type="dxa"/>
            <w:vAlign w:val="center"/>
          </w:tcPr>
          <w:p w14:paraId="407CC8E2">
            <w:pPr>
              <w:pageBreakBefore w:val="0"/>
              <w:widowControl w:val="0"/>
              <w:wordWrap/>
              <w:overflowPunct/>
              <w:topLinePunct w:val="0"/>
              <w:bidi w:val="0"/>
              <w:spacing w:line="300" w:lineRule="exact"/>
              <w:jc w:val="center"/>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一般</w:t>
            </w:r>
          </w:p>
        </w:tc>
        <w:tc>
          <w:tcPr>
            <w:tcW w:w="4459" w:type="dxa"/>
            <w:vAlign w:val="center"/>
          </w:tcPr>
          <w:p w14:paraId="75B7708E">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铅（以Pb计）、沙门氏菌</w:t>
            </w:r>
          </w:p>
        </w:tc>
        <w:tc>
          <w:tcPr>
            <w:tcW w:w="3395" w:type="dxa"/>
            <w:vAlign w:val="center"/>
          </w:tcPr>
          <w:p w14:paraId="105CB750">
            <w:pPr>
              <w:pageBreakBefore w:val="0"/>
              <w:widowControl w:val="0"/>
              <w:wordWrap/>
              <w:overflowPunct/>
              <w:topLinePunct w:val="0"/>
              <w:bidi w:val="0"/>
              <w:spacing w:line="300" w:lineRule="exact"/>
              <w:jc w:val="left"/>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rPr>
              <w:t>/</w:t>
            </w:r>
          </w:p>
        </w:tc>
      </w:tr>
      <w:tr w14:paraId="1916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0A9560B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w:t>
            </w:r>
          </w:p>
        </w:tc>
        <w:tc>
          <w:tcPr>
            <w:tcW w:w="1064" w:type="dxa"/>
            <w:vMerge w:val="restart"/>
            <w:vAlign w:val="center"/>
          </w:tcPr>
          <w:p w14:paraId="5AB9851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食糖</w:t>
            </w:r>
          </w:p>
        </w:tc>
        <w:tc>
          <w:tcPr>
            <w:tcW w:w="1065" w:type="dxa"/>
            <w:vMerge w:val="restart"/>
            <w:vAlign w:val="center"/>
          </w:tcPr>
          <w:p w14:paraId="24AAEFC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食糖</w:t>
            </w:r>
          </w:p>
        </w:tc>
        <w:tc>
          <w:tcPr>
            <w:tcW w:w="1356" w:type="dxa"/>
            <w:vMerge w:val="restart"/>
            <w:vAlign w:val="center"/>
          </w:tcPr>
          <w:p w14:paraId="5E3A247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食糖</w:t>
            </w:r>
          </w:p>
        </w:tc>
        <w:tc>
          <w:tcPr>
            <w:tcW w:w="1733" w:type="dxa"/>
            <w:vAlign w:val="center"/>
          </w:tcPr>
          <w:p w14:paraId="4858F68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白砂糖</w:t>
            </w:r>
          </w:p>
        </w:tc>
        <w:tc>
          <w:tcPr>
            <w:tcW w:w="825" w:type="dxa"/>
            <w:vAlign w:val="center"/>
          </w:tcPr>
          <w:p w14:paraId="503D8DC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32DBF02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蔗糖分、还原糖分、色值、干燥失重、二氧化硫残留量、螨</w:t>
            </w:r>
          </w:p>
        </w:tc>
        <w:tc>
          <w:tcPr>
            <w:tcW w:w="3395" w:type="dxa"/>
            <w:vAlign w:val="center"/>
          </w:tcPr>
          <w:p w14:paraId="7F65EA0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362B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1765EA3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2AA4B5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4048EE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2465ED9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28A464C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绵白糖</w:t>
            </w:r>
          </w:p>
        </w:tc>
        <w:tc>
          <w:tcPr>
            <w:tcW w:w="825" w:type="dxa"/>
            <w:vAlign w:val="center"/>
          </w:tcPr>
          <w:p w14:paraId="6691DC9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48C2714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总糖分、还原糖分、色值、干燥失重、二氧化硫残留量、螨</w:t>
            </w:r>
          </w:p>
        </w:tc>
        <w:tc>
          <w:tcPr>
            <w:tcW w:w="3395" w:type="dxa"/>
            <w:vAlign w:val="center"/>
          </w:tcPr>
          <w:p w14:paraId="0EE5E44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432C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72720EA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C3ED0D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6651A1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526A2D1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5AD6273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赤砂糖</w:t>
            </w:r>
          </w:p>
        </w:tc>
        <w:tc>
          <w:tcPr>
            <w:tcW w:w="825" w:type="dxa"/>
            <w:vAlign w:val="center"/>
          </w:tcPr>
          <w:p w14:paraId="5B00F0F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0D37A761">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总糖分、不溶于水杂质、干燥失重、二氧化硫残留量、螨、合成着色剂（柠檬黄、新红、苋菜红、胭脂红、日落黄、诱惑红、酸性红、喹啉黄、赤藓红）</w:t>
            </w:r>
          </w:p>
        </w:tc>
        <w:tc>
          <w:tcPr>
            <w:tcW w:w="3395" w:type="dxa"/>
            <w:vAlign w:val="center"/>
          </w:tcPr>
          <w:p w14:paraId="42C6355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332B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101ECF3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D765F0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E33130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04D7ACC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6F55336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红糖</w:t>
            </w:r>
          </w:p>
        </w:tc>
        <w:tc>
          <w:tcPr>
            <w:tcW w:w="825" w:type="dxa"/>
            <w:vAlign w:val="center"/>
          </w:tcPr>
          <w:p w14:paraId="58FEB5B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24E6794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总糖分、不溶于水杂质、干燥失重、二氧化硫残留量、螨、合成着色剂（柠檬黄、新红、苋菜红、胭脂红、日落黄、诱惑红、酸性红、喹啉黄、赤藓红）</w:t>
            </w:r>
          </w:p>
        </w:tc>
        <w:tc>
          <w:tcPr>
            <w:tcW w:w="3395" w:type="dxa"/>
            <w:vAlign w:val="center"/>
          </w:tcPr>
          <w:p w14:paraId="0C97CC5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56BB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5F36918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39F887C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ECF712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5139455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4F2556E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冰糖</w:t>
            </w:r>
          </w:p>
        </w:tc>
        <w:tc>
          <w:tcPr>
            <w:tcW w:w="825" w:type="dxa"/>
            <w:vAlign w:val="center"/>
          </w:tcPr>
          <w:p w14:paraId="5E0684E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4ED9606D">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蔗糖分、还原糖分、色值、干燥失重、二氧化硫残留量、螨</w:t>
            </w:r>
          </w:p>
        </w:tc>
        <w:tc>
          <w:tcPr>
            <w:tcW w:w="3395" w:type="dxa"/>
            <w:vAlign w:val="center"/>
          </w:tcPr>
          <w:p w14:paraId="00D51265">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合成着色剂（柠檬黄、新红、苋菜红、胭脂红、日落黄、诱惑红、酸性红、喹啉黄、赤藓红）</w:t>
            </w:r>
          </w:p>
        </w:tc>
      </w:tr>
      <w:tr w14:paraId="41C3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03F8C80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5DA1840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D0CC8C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3623AF2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3A69FAD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冰片糖</w:t>
            </w:r>
          </w:p>
        </w:tc>
        <w:tc>
          <w:tcPr>
            <w:tcW w:w="825" w:type="dxa"/>
            <w:vAlign w:val="center"/>
          </w:tcPr>
          <w:p w14:paraId="19F777F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3F8E995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总糖分、还原糖分、干燥失重、二氧化硫残留量、螨、合成着色剂（柠檬黄、新红、苋菜红、胭脂红、日落黄、诱惑红、酸性红、喹啉黄、赤藓红）</w:t>
            </w:r>
          </w:p>
        </w:tc>
        <w:tc>
          <w:tcPr>
            <w:tcW w:w="3395" w:type="dxa"/>
            <w:vAlign w:val="center"/>
          </w:tcPr>
          <w:p w14:paraId="29CE38B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1916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52827AF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06D250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CA8B2E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75DB213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4D96907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方糖</w:t>
            </w:r>
          </w:p>
        </w:tc>
        <w:tc>
          <w:tcPr>
            <w:tcW w:w="825" w:type="dxa"/>
            <w:vAlign w:val="center"/>
          </w:tcPr>
          <w:p w14:paraId="679975C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086DD04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蔗糖分、还原糖分、色值、干燥失重、二氧化硫残留量、螨</w:t>
            </w:r>
          </w:p>
        </w:tc>
        <w:tc>
          <w:tcPr>
            <w:tcW w:w="3395" w:type="dxa"/>
            <w:vAlign w:val="center"/>
          </w:tcPr>
          <w:p w14:paraId="3D240EE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2197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7F268E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92DE9E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6B3EB2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44EFA4A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1AB112A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其他糖</w:t>
            </w:r>
          </w:p>
        </w:tc>
        <w:tc>
          <w:tcPr>
            <w:tcW w:w="825" w:type="dxa"/>
            <w:vAlign w:val="center"/>
          </w:tcPr>
          <w:p w14:paraId="15BDEAF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622D510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蔗糖分、总糖分、色值、还原糖分、干燥失重、二氧化硫残留量、螨、合成着色剂（柠檬黄、新红、苋菜红、胭脂红、日落黄、诱惑红、酸性红、喹啉黄、赤藓红）、菌落总数、大肠菌群、霉菌、酵母菌</w:t>
            </w:r>
          </w:p>
        </w:tc>
        <w:tc>
          <w:tcPr>
            <w:tcW w:w="3395" w:type="dxa"/>
            <w:vAlign w:val="center"/>
          </w:tcPr>
          <w:p w14:paraId="762038E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1625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restart"/>
            <w:vAlign w:val="center"/>
          </w:tcPr>
          <w:p w14:paraId="3ADFFBF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w:t>
            </w:r>
          </w:p>
        </w:tc>
        <w:tc>
          <w:tcPr>
            <w:tcW w:w="1064" w:type="dxa"/>
            <w:vMerge w:val="restart"/>
            <w:vAlign w:val="center"/>
          </w:tcPr>
          <w:p w14:paraId="26121A4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水产制品</w:t>
            </w:r>
          </w:p>
        </w:tc>
        <w:tc>
          <w:tcPr>
            <w:tcW w:w="1065" w:type="dxa"/>
            <w:vMerge w:val="restart"/>
            <w:vAlign w:val="center"/>
          </w:tcPr>
          <w:p w14:paraId="693C932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水产制品</w:t>
            </w:r>
          </w:p>
        </w:tc>
        <w:tc>
          <w:tcPr>
            <w:tcW w:w="1356" w:type="dxa"/>
            <w:vMerge w:val="restart"/>
            <w:vAlign w:val="center"/>
          </w:tcPr>
          <w:p w14:paraId="034794A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干制水产品</w:t>
            </w:r>
          </w:p>
        </w:tc>
        <w:tc>
          <w:tcPr>
            <w:tcW w:w="1733" w:type="dxa"/>
            <w:vAlign w:val="center"/>
          </w:tcPr>
          <w:p w14:paraId="3ADF77F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藻类干制品</w:t>
            </w:r>
          </w:p>
        </w:tc>
        <w:tc>
          <w:tcPr>
            <w:tcW w:w="825" w:type="dxa"/>
            <w:vAlign w:val="center"/>
          </w:tcPr>
          <w:p w14:paraId="244805F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66C8A4F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铅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、菌落总数、大肠菌群</w:t>
            </w:r>
          </w:p>
        </w:tc>
        <w:tc>
          <w:tcPr>
            <w:tcW w:w="3395" w:type="dxa"/>
            <w:vAlign w:val="center"/>
          </w:tcPr>
          <w:p w14:paraId="1357A85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708B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4E85F2A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1FA4F7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3BC9EDD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37E7B39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6C46A03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预制动物性水产干制品</w:t>
            </w:r>
          </w:p>
        </w:tc>
        <w:tc>
          <w:tcPr>
            <w:tcW w:w="825" w:type="dxa"/>
            <w:vAlign w:val="center"/>
          </w:tcPr>
          <w:p w14:paraId="4F0E9B5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0B06714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过氧化值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以Cd计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柠檬黄、胭脂红、日落黄、诱惑红</w:t>
            </w:r>
            <w:r>
              <w:rPr>
                <w:rFonts w:hint="eastAsia" w:ascii="仿宋" w:hAnsi="仿宋" w:eastAsia="仿宋" w:cs="仿宋"/>
                <w:color w:val="auto"/>
                <w:sz w:val="24"/>
                <w:szCs w:val="24"/>
                <w:highlight w:val="none"/>
                <w:lang w:eastAsia="zh-CN"/>
              </w:rPr>
              <w:t>）</w:t>
            </w:r>
          </w:p>
        </w:tc>
        <w:tc>
          <w:tcPr>
            <w:tcW w:w="3395" w:type="dxa"/>
            <w:vAlign w:val="center"/>
          </w:tcPr>
          <w:p w14:paraId="3B40018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51A3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7E48438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35C3434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361DAEF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restart"/>
            <w:vAlign w:val="center"/>
          </w:tcPr>
          <w:p w14:paraId="189C46C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盐渍水产品</w:t>
            </w:r>
          </w:p>
        </w:tc>
        <w:tc>
          <w:tcPr>
            <w:tcW w:w="1733" w:type="dxa"/>
            <w:vAlign w:val="center"/>
          </w:tcPr>
          <w:p w14:paraId="20D2E1F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盐渍鱼</w:t>
            </w:r>
          </w:p>
        </w:tc>
        <w:tc>
          <w:tcPr>
            <w:tcW w:w="825" w:type="dxa"/>
            <w:vAlign w:val="center"/>
          </w:tcPr>
          <w:p w14:paraId="1C0C98B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3E0CF28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过氧化值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、组胺、镉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以Cd计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p>
        </w:tc>
        <w:tc>
          <w:tcPr>
            <w:tcW w:w="3395" w:type="dxa"/>
            <w:vAlign w:val="center"/>
          </w:tcPr>
          <w:p w14:paraId="31E0772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2D1A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555B4FF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439A5F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1E1B15B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184EE6E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7294CA2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盐渍藻</w:t>
            </w:r>
          </w:p>
        </w:tc>
        <w:tc>
          <w:tcPr>
            <w:tcW w:w="825" w:type="dxa"/>
            <w:vAlign w:val="center"/>
          </w:tcPr>
          <w:p w14:paraId="6F32032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2C7D1BF5">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p>
        </w:tc>
        <w:tc>
          <w:tcPr>
            <w:tcW w:w="3395" w:type="dxa"/>
            <w:vAlign w:val="center"/>
          </w:tcPr>
          <w:p w14:paraId="2891ED4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053FE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44CABB4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764AD3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39B654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4D4981B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22F69A4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其他盐渍水产品</w:t>
            </w:r>
          </w:p>
        </w:tc>
        <w:tc>
          <w:tcPr>
            <w:tcW w:w="825" w:type="dxa"/>
            <w:vAlign w:val="center"/>
          </w:tcPr>
          <w:p w14:paraId="6770D6C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979295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p>
        </w:tc>
        <w:tc>
          <w:tcPr>
            <w:tcW w:w="3395" w:type="dxa"/>
            <w:vAlign w:val="center"/>
          </w:tcPr>
          <w:p w14:paraId="2FE326A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2F63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3951053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1376ADA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0E2F43D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0DED2DB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鱼糜制品</w:t>
            </w:r>
          </w:p>
        </w:tc>
        <w:tc>
          <w:tcPr>
            <w:tcW w:w="1733" w:type="dxa"/>
            <w:vAlign w:val="center"/>
          </w:tcPr>
          <w:p w14:paraId="5A88497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预制鱼糜制品</w:t>
            </w:r>
          </w:p>
        </w:tc>
        <w:tc>
          <w:tcPr>
            <w:tcW w:w="825" w:type="dxa"/>
            <w:vAlign w:val="center"/>
          </w:tcPr>
          <w:p w14:paraId="31E1AC7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23BFFB3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诱惑红、柠檬黄、日落黄</w:t>
            </w:r>
            <w:r>
              <w:rPr>
                <w:rFonts w:hint="eastAsia" w:ascii="仿宋" w:hAnsi="仿宋" w:eastAsia="仿宋" w:cs="仿宋"/>
                <w:color w:val="auto"/>
                <w:sz w:val="24"/>
                <w:szCs w:val="24"/>
                <w:highlight w:val="none"/>
                <w:lang w:eastAsia="zh-CN"/>
              </w:rPr>
              <w:t>）</w:t>
            </w:r>
          </w:p>
        </w:tc>
        <w:tc>
          <w:tcPr>
            <w:tcW w:w="3395" w:type="dxa"/>
            <w:vAlign w:val="center"/>
          </w:tcPr>
          <w:p w14:paraId="06DFC43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1F0E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71F15A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CE5BB2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EE5FFB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1C70D99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熟制动物性水产制品</w:t>
            </w:r>
          </w:p>
        </w:tc>
        <w:tc>
          <w:tcPr>
            <w:tcW w:w="1733" w:type="dxa"/>
            <w:vAlign w:val="center"/>
          </w:tcPr>
          <w:p w14:paraId="72B6255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熟制动物性水产制品</w:t>
            </w:r>
          </w:p>
        </w:tc>
        <w:tc>
          <w:tcPr>
            <w:tcW w:w="825" w:type="dxa"/>
            <w:vAlign w:val="center"/>
          </w:tcPr>
          <w:p w14:paraId="6EEC4B0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w:t>
            </w:r>
          </w:p>
        </w:tc>
        <w:tc>
          <w:tcPr>
            <w:tcW w:w="4459" w:type="dxa"/>
            <w:vAlign w:val="center"/>
          </w:tcPr>
          <w:p w14:paraId="1021823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以Cd计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vertAlign w:val="superscript"/>
              </w:rPr>
              <w:t xml:space="preserve"> </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、山梨酸及其钾盐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p>
        </w:tc>
        <w:tc>
          <w:tcPr>
            <w:tcW w:w="3395" w:type="dxa"/>
            <w:vAlign w:val="center"/>
          </w:tcPr>
          <w:p w14:paraId="48E7DB4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3DA9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53B3D01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543137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0E563A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25EF9DD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生食水产品</w:t>
            </w:r>
          </w:p>
        </w:tc>
        <w:tc>
          <w:tcPr>
            <w:tcW w:w="1733" w:type="dxa"/>
            <w:vAlign w:val="center"/>
          </w:tcPr>
          <w:p w14:paraId="560EC45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生食动物性水产品</w:t>
            </w:r>
          </w:p>
        </w:tc>
        <w:tc>
          <w:tcPr>
            <w:tcW w:w="825" w:type="dxa"/>
            <w:vAlign w:val="center"/>
          </w:tcPr>
          <w:p w14:paraId="41C5CC9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w:t>
            </w:r>
          </w:p>
        </w:tc>
        <w:tc>
          <w:tcPr>
            <w:tcW w:w="4459" w:type="dxa"/>
            <w:vAlign w:val="center"/>
          </w:tcPr>
          <w:p w14:paraId="4B0AE09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挥发性盐基氮、苯甲酸及其钠盐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、山梨酸及其钾盐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、铝的残留量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以即食海蜇中Al计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、菌落总数、大肠菌群、沙门氏菌、副溶血性弧菌、单核细胞增生李斯特氏菌</w:t>
            </w:r>
          </w:p>
        </w:tc>
        <w:tc>
          <w:tcPr>
            <w:tcW w:w="3395" w:type="dxa"/>
            <w:vAlign w:val="center"/>
          </w:tcPr>
          <w:p w14:paraId="36216BE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5A19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42ADFBD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63853B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53267B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4AA9A49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其他水产制品</w:t>
            </w:r>
          </w:p>
        </w:tc>
        <w:tc>
          <w:tcPr>
            <w:tcW w:w="1733" w:type="dxa"/>
            <w:vAlign w:val="center"/>
          </w:tcPr>
          <w:p w14:paraId="2A2E20B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其他水产制品</w:t>
            </w:r>
          </w:p>
        </w:tc>
        <w:tc>
          <w:tcPr>
            <w:tcW w:w="825" w:type="dxa"/>
            <w:vAlign w:val="center"/>
          </w:tcPr>
          <w:p w14:paraId="3C0B348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71932DFF">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、山梨酸及其钾盐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、糖精钠（以糖精计）、脱氢乙酸及其钠盐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、防腐剂混合使用时各自用量占其最大使用量的比例之和、菌落总数</w:t>
            </w:r>
          </w:p>
        </w:tc>
        <w:tc>
          <w:tcPr>
            <w:tcW w:w="3395" w:type="dxa"/>
            <w:vAlign w:val="center"/>
          </w:tcPr>
          <w:p w14:paraId="699509D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bookmarkStart w:id="39" w:name="OLE_LINK1"/>
            <w:r>
              <w:rPr>
                <w:rFonts w:hint="eastAsia" w:ascii="仿宋" w:hAnsi="仿宋" w:eastAsia="仿宋" w:cs="仿宋"/>
                <w:color w:val="auto"/>
                <w:sz w:val="24"/>
                <w:szCs w:val="24"/>
                <w:highlight w:val="none"/>
              </w:rPr>
              <w:t>合成着色剂（柠檬黄）</w:t>
            </w:r>
            <w:bookmarkEnd w:id="39"/>
          </w:p>
        </w:tc>
      </w:tr>
      <w:tr w14:paraId="6E7B3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restart"/>
            <w:vAlign w:val="center"/>
          </w:tcPr>
          <w:p w14:paraId="1B2BECC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w:t>
            </w:r>
          </w:p>
        </w:tc>
        <w:tc>
          <w:tcPr>
            <w:tcW w:w="1064" w:type="dxa"/>
            <w:vMerge w:val="restart"/>
            <w:vAlign w:val="center"/>
          </w:tcPr>
          <w:p w14:paraId="374EB7B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淀粉及淀粉制品</w:t>
            </w:r>
          </w:p>
        </w:tc>
        <w:tc>
          <w:tcPr>
            <w:tcW w:w="1065" w:type="dxa"/>
            <w:vMerge w:val="restart"/>
            <w:vAlign w:val="center"/>
          </w:tcPr>
          <w:p w14:paraId="1565A69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淀粉及淀粉制品</w:t>
            </w:r>
          </w:p>
        </w:tc>
        <w:tc>
          <w:tcPr>
            <w:tcW w:w="1356" w:type="dxa"/>
            <w:vAlign w:val="center"/>
          </w:tcPr>
          <w:p w14:paraId="74751F7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淀粉</w:t>
            </w:r>
          </w:p>
        </w:tc>
        <w:tc>
          <w:tcPr>
            <w:tcW w:w="1733" w:type="dxa"/>
            <w:vAlign w:val="center"/>
          </w:tcPr>
          <w:p w14:paraId="7C021AC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淀粉</w:t>
            </w:r>
          </w:p>
        </w:tc>
        <w:tc>
          <w:tcPr>
            <w:tcW w:w="825" w:type="dxa"/>
            <w:vAlign w:val="center"/>
          </w:tcPr>
          <w:p w14:paraId="4721A6E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7A76E82D">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铅（以Pb计）、霉菌和酵母、二氧化硫残留量、脱氢乙酸及其钠盐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、葛根素、氢氰酸</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水分</w:t>
            </w:r>
          </w:p>
        </w:tc>
        <w:tc>
          <w:tcPr>
            <w:tcW w:w="3395" w:type="dxa"/>
            <w:vAlign w:val="center"/>
          </w:tcPr>
          <w:p w14:paraId="52E19DE5">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1E33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45BBC1D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141D1DC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B118F4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restart"/>
            <w:vAlign w:val="center"/>
          </w:tcPr>
          <w:p w14:paraId="28141D5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淀粉制品</w:t>
            </w:r>
          </w:p>
        </w:tc>
        <w:tc>
          <w:tcPr>
            <w:tcW w:w="1733" w:type="dxa"/>
            <w:vAlign w:val="center"/>
          </w:tcPr>
          <w:p w14:paraId="7D57D6A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粉丝粉条</w:t>
            </w:r>
          </w:p>
        </w:tc>
        <w:tc>
          <w:tcPr>
            <w:tcW w:w="825" w:type="dxa"/>
            <w:vAlign w:val="center"/>
          </w:tcPr>
          <w:p w14:paraId="6892417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3051353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、铝的残留量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干样品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以Al计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、二氧化硫残留量、合成着色剂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柠檬黄、新红、苋菜红、靛蓝、胭脂红、日落黄、诱惑红、亮蓝、酸性红、喹啉黄、赤藓红</w:t>
            </w:r>
            <w:r>
              <w:rPr>
                <w:rFonts w:hint="eastAsia" w:ascii="仿宋" w:hAnsi="仿宋" w:eastAsia="仿宋" w:cs="仿宋"/>
                <w:color w:val="auto"/>
                <w:sz w:val="24"/>
                <w:szCs w:val="24"/>
                <w:highlight w:val="none"/>
                <w:lang w:eastAsia="zh-CN"/>
              </w:rPr>
              <w:t>）</w:t>
            </w:r>
          </w:p>
        </w:tc>
        <w:tc>
          <w:tcPr>
            <w:tcW w:w="3395" w:type="dxa"/>
            <w:vAlign w:val="center"/>
          </w:tcPr>
          <w:p w14:paraId="507B50D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铅（以Pb计）</w:t>
            </w:r>
          </w:p>
        </w:tc>
      </w:tr>
      <w:tr w14:paraId="178B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21247F6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3CE653F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1A5D810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60B6A83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5FE21D5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其他淀粉制品</w:t>
            </w:r>
          </w:p>
        </w:tc>
        <w:tc>
          <w:tcPr>
            <w:tcW w:w="825" w:type="dxa"/>
            <w:vAlign w:val="center"/>
          </w:tcPr>
          <w:p w14:paraId="4909B83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2FA84ED1">
            <w:pPr>
              <w:pStyle w:val="41"/>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、铝的残留量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干样品，以Al计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、二氧化硫残留量、合成着色剂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柠檬黄、新红、苋菜红、靛蓝、胭脂红、日落黄、诱惑红、亮蓝、酸性红、喹啉黄、赤藓红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、相同色泽着色剂混合使用时各自用量占其最大使用量的比例之和</w:t>
            </w:r>
          </w:p>
        </w:tc>
        <w:tc>
          <w:tcPr>
            <w:tcW w:w="3395" w:type="dxa"/>
            <w:vAlign w:val="center"/>
          </w:tcPr>
          <w:p w14:paraId="5CBC8BA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40EF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 w:hRule="atLeast"/>
        </w:trPr>
        <w:tc>
          <w:tcPr>
            <w:tcW w:w="438" w:type="dxa"/>
            <w:vMerge w:val="continue"/>
            <w:vAlign w:val="center"/>
          </w:tcPr>
          <w:p w14:paraId="644DBCF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97DF6D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75740D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4476E09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淀粉糖</w:t>
            </w:r>
          </w:p>
        </w:tc>
        <w:tc>
          <w:tcPr>
            <w:tcW w:w="1733" w:type="dxa"/>
            <w:vAlign w:val="center"/>
          </w:tcPr>
          <w:p w14:paraId="2A32995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淀粉糖</w:t>
            </w:r>
          </w:p>
        </w:tc>
        <w:tc>
          <w:tcPr>
            <w:tcW w:w="825" w:type="dxa"/>
            <w:vAlign w:val="center"/>
          </w:tcPr>
          <w:p w14:paraId="1F00032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3F50E8E3">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葡萄糖含量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以干基计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质量分数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、IMO含量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占干物质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质量分数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、IG</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rPr>
              <w:t>+P+IG</w:t>
            </w:r>
            <w:r>
              <w:rPr>
                <w:rFonts w:hint="eastAsia" w:ascii="仿宋" w:hAnsi="仿宋" w:eastAsia="仿宋" w:cs="仿宋"/>
                <w:color w:val="auto"/>
                <w:sz w:val="24"/>
                <w:szCs w:val="24"/>
                <w:highlight w:val="none"/>
                <w:vertAlign w:val="subscript"/>
              </w:rPr>
              <w:t>3</w:t>
            </w:r>
            <w:r>
              <w:rPr>
                <w:rFonts w:hint="eastAsia" w:ascii="仿宋" w:hAnsi="仿宋" w:eastAsia="仿宋" w:cs="仿宋"/>
                <w:color w:val="auto"/>
                <w:sz w:val="24"/>
                <w:szCs w:val="24"/>
                <w:highlight w:val="none"/>
              </w:rPr>
              <w:t>含量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占干物质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质量分数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、果糖</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占干基比</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、果糖+葡萄糖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占干基比</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、5-羟甲基糠醛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以吸光度计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、果糖+葡萄糖含量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以干物质计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、果糖含量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以干物质计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、麦芽糖含量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以干物质计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质量分数</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、干物质（固形物）、硫酸灰分</w:t>
            </w:r>
          </w:p>
        </w:tc>
        <w:tc>
          <w:tcPr>
            <w:tcW w:w="3395" w:type="dxa"/>
            <w:vAlign w:val="center"/>
          </w:tcPr>
          <w:p w14:paraId="51F349A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铅（以Pb计）、总砷（以As计）</w:t>
            </w:r>
          </w:p>
        </w:tc>
      </w:tr>
      <w:tr w14:paraId="2C58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1A48596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w:t>
            </w:r>
          </w:p>
        </w:tc>
        <w:tc>
          <w:tcPr>
            <w:tcW w:w="1064" w:type="dxa"/>
            <w:vMerge w:val="restart"/>
            <w:vAlign w:val="center"/>
          </w:tcPr>
          <w:p w14:paraId="0E1771A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糕点</w:t>
            </w:r>
          </w:p>
        </w:tc>
        <w:tc>
          <w:tcPr>
            <w:tcW w:w="1065" w:type="dxa"/>
            <w:vMerge w:val="restart"/>
            <w:vAlign w:val="center"/>
          </w:tcPr>
          <w:p w14:paraId="3F90386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糕点</w:t>
            </w:r>
          </w:p>
        </w:tc>
        <w:tc>
          <w:tcPr>
            <w:tcW w:w="1356" w:type="dxa"/>
            <w:vAlign w:val="center"/>
          </w:tcPr>
          <w:p w14:paraId="79AA144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面包</w:t>
            </w:r>
          </w:p>
        </w:tc>
        <w:tc>
          <w:tcPr>
            <w:tcW w:w="1733" w:type="dxa"/>
            <w:vAlign w:val="center"/>
          </w:tcPr>
          <w:p w14:paraId="69215B6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面包</w:t>
            </w:r>
          </w:p>
        </w:tc>
        <w:tc>
          <w:tcPr>
            <w:tcW w:w="825" w:type="dxa"/>
            <w:vAlign w:val="center"/>
          </w:tcPr>
          <w:p w14:paraId="57A0F16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10C144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酸价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KOH</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、过氧化值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、富马酸二甲酯、脱氢乙酸及其钠盐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柠檬黄、日落黄、胭脂红、苋菜红、亮蓝、诱惑红</w:t>
            </w:r>
            <w:r>
              <w:rPr>
                <w:rFonts w:hint="eastAsia" w:ascii="仿宋" w:hAnsi="仿宋" w:eastAsia="仿宋" w:cs="仿宋"/>
                <w:color w:val="auto"/>
                <w:sz w:val="24"/>
                <w:szCs w:val="24"/>
                <w:highlight w:val="none"/>
                <w:lang w:eastAsia="zh-CN"/>
              </w:rPr>
              <w:t>、酸性红）</w:t>
            </w:r>
            <w:r>
              <w:rPr>
                <w:rFonts w:hint="eastAsia" w:ascii="仿宋" w:hAnsi="仿宋" w:eastAsia="仿宋" w:cs="仿宋"/>
                <w:color w:val="auto"/>
                <w:sz w:val="24"/>
                <w:szCs w:val="24"/>
                <w:highlight w:val="none"/>
              </w:rPr>
              <w:t>、菌落总数、霉菌、大肠菌群、金黄色葡萄球菌、沙门氏菌</w:t>
            </w:r>
          </w:p>
        </w:tc>
        <w:tc>
          <w:tcPr>
            <w:tcW w:w="3395" w:type="dxa"/>
            <w:vAlign w:val="center"/>
          </w:tcPr>
          <w:p w14:paraId="02AE28BF">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苯甲酸及其钠盐（以苯甲酸计）、山梨酸及其钾盐（以山梨酸计）、糖精钠（以糖精计）</w:t>
            </w:r>
          </w:p>
        </w:tc>
      </w:tr>
      <w:tr w14:paraId="36C3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1798E9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EA9385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960AF4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3F6B85D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月饼</w:t>
            </w:r>
          </w:p>
        </w:tc>
        <w:tc>
          <w:tcPr>
            <w:tcW w:w="1733" w:type="dxa"/>
            <w:vAlign w:val="center"/>
          </w:tcPr>
          <w:p w14:paraId="19A1324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月饼</w:t>
            </w:r>
          </w:p>
        </w:tc>
        <w:tc>
          <w:tcPr>
            <w:tcW w:w="825" w:type="dxa"/>
            <w:vAlign w:val="center"/>
          </w:tcPr>
          <w:p w14:paraId="10FF355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6C7BA42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酸价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KOH</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、过氧化值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、富马酸二甲酯、苯甲酸及其钠盐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、丙酸及其钠盐、钙盐（以丙酸计）、纳他霉素、合成着色剂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柠檬黄、日落黄、胭脂红、苋菜红、亮蓝、赤藓红、诱惑红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、防腐剂混合使用时各自用量占其最大使用量的比例之和、菌落总数、大肠菌群、霉菌、金黄色葡萄球菌、沙门氏菌</w:t>
            </w:r>
          </w:p>
        </w:tc>
        <w:tc>
          <w:tcPr>
            <w:tcW w:w="3395" w:type="dxa"/>
            <w:vAlign w:val="center"/>
          </w:tcPr>
          <w:p w14:paraId="7A3243BF">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糖精钠（以糖精计）、铝的残留量（干样品，以Al计）</w:t>
            </w:r>
          </w:p>
        </w:tc>
      </w:tr>
      <w:tr w14:paraId="4151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39BD44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1FE525D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A4A69D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696EE72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粽子</w:t>
            </w:r>
          </w:p>
        </w:tc>
        <w:tc>
          <w:tcPr>
            <w:tcW w:w="1733" w:type="dxa"/>
            <w:vAlign w:val="center"/>
          </w:tcPr>
          <w:p w14:paraId="121B06B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粽子</w:t>
            </w:r>
          </w:p>
        </w:tc>
        <w:tc>
          <w:tcPr>
            <w:tcW w:w="825" w:type="dxa"/>
            <w:vAlign w:val="center"/>
          </w:tcPr>
          <w:p w14:paraId="450C78E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1B49DD9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、糖精钠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以糖精计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、安赛蜜、菌落总数、大肠菌群、金黄色葡萄球菌、沙门氏菌、霉菌、商业无菌</w:t>
            </w:r>
          </w:p>
        </w:tc>
        <w:tc>
          <w:tcPr>
            <w:tcW w:w="3395" w:type="dxa"/>
            <w:vAlign w:val="center"/>
          </w:tcPr>
          <w:p w14:paraId="0D36485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过氧化值（以脂肪计）</w:t>
            </w:r>
          </w:p>
        </w:tc>
      </w:tr>
      <w:tr w14:paraId="003A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73B31C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937AEC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77A445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27899D8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糕点</w:t>
            </w:r>
          </w:p>
        </w:tc>
        <w:tc>
          <w:tcPr>
            <w:tcW w:w="1733" w:type="dxa"/>
            <w:vAlign w:val="center"/>
          </w:tcPr>
          <w:p w14:paraId="520121E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糕点</w:t>
            </w:r>
          </w:p>
        </w:tc>
        <w:tc>
          <w:tcPr>
            <w:tcW w:w="825" w:type="dxa"/>
            <w:vAlign w:val="center"/>
          </w:tcPr>
          <w:p w14:paraId="427B455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727A34D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酸价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KOH</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 、过氧化值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以脂肪计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、富马酸二甲酯、苯甲酸及其钠盐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以苯甲酸计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、糖精钠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以糖精计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、甜蜜素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以环己基氨基磺酸计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、铝的残留量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干样品</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以Al计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、脱氢乙酸及其钠盐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以脱氢乙酸计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、丙酸及其钠盐、钙盐（以丙酸计）、纳他霉素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三氯蔗糖、合成着色剂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柠檬黄、日落黄、胭脂红、苋菜红、亮蓝、赤藓红、诱惑红</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、防腐剂混合使用时各自用量占其最大使用量的比例之和、菌落总数 、大肠菌群、霉菌、金黄色葡萄球菌、沙门氏菌</w:t>
            </w:r>
          </w:p>
        </w:tc>
        <w:tc>
          <w:tcPr>
            <w:tcW w:w="3395" w:type="dxa"/>
            <w:vAlign w:val="center"/>
          </w:tcPr>
          <w:p w14:paraId="7CBE191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丙二醇、安赛蜜</w:t>
            </w:r>
          </w:p>
        </w:tc>
      </w:tr>
      <w:tr w14:paraId="561B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60B5FD7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25</w:t>
            </w:r>
          </w:p>
        </w:tc>
        <w:tc>
          <w:tcPr>
            <w:tcW w:w="1064" w:type="dxa"/>
            <w:vMerge w:val="restart"/>
            <w:vAlign w:val="center"/>
          </w:tcPr>
          <w:p w14:paraId="50A466C7">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7"/>
                <w:sz w:val="24"/>
                <w:szCs w:val="24"/>
                <w:highlight w:val="none"/>
              </w:rPr>
              <w:t>豆制品</w:t>
            </w:r>
          </w:p>
        </w:tc>
        <w:tc>
          <w:tcPr>
            <w:tcW w:w="1065" w:type="dxa"/>
            <w:vMerge w:val="restart"/>
            <w:vAlign w:val="center"/>
          </w:tcPr>
          <w:p w14:paraId="786173E8">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7"/>
                <w:sz w:val="24"/>
                <w:szCs w:val="24"/>
                <w:highlight w:val="none"/>
              </w:rPr>
              <w:t>豆制品</w:t>
            </w:r>
          </w:p>
        </w:tc>
        <w:tc>
          <w:tcPr>
            <w:tcW w:w="1356" w:type="dxa"/>
            <w:vAlign w:val="center"/>
          </w:tcPr>
          <w:p w14:paraId="0C3A03C4">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发酵性豆制品</w:t>
            </w:r>
          </w:p>
        </w:tc>
        <w:tc>
          <w:tcPr>
            <w:tcW w:w="1733" w:type="dxa"/>
            <w:vAlign w:val="center"/>
          </w:tcPr>
          <w:p w14:paraId="0DA25556">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hanging="717" w:firstLine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11"/>
                <w:sz w:val="24"/>
                <w:szCs w:val="24"/>
                <w:highlight w:val="none"/>
              </w:rPr>
              <w:t>腐乳</w:t>
            </w:r>
            <w:r>
              <w:rPr>
                <w:rFonts w:hint="eastAsia" w:ascii="仿宋" w:hAnsi="仿宋" w:eastAsia="仿宋" w:cs="仿宋"/>
                <w:color w:val="auto"/>
                <w:spacing w:val="-11"/>
                <w:sz w:val="24"/>
                <w:szCs w:val="24"/>
                <w:highlight w:val="none"/>
                <w:lang w:val="en-US" w:eastAsia="zh-CN"/>
              </w:rPr>
              <w:t xml:space="preserve">   </w:t>
            </w:r>
            <w:r>
              <w:rPr>
                <w:rFonts w:hint="eastAsia" w:ascii="仿宋" w:hAnsi="仿宋" w:eastAsia="仿宋" w:cs="仿宋"/>
                <w:color w:val="auto"/>
                <w:spacing w:val="-11"/>
                <w:sz w:val="24"/>
                <w:szCs w:val="24"/>
                <w:highlight w:val="none"/>
                <w:lang w:eastAsia="zh-CN"/>
              </w:rPr>
              <w:t>腐乳</w:t>
            </w:r>
            <w:r>
              <w:rPr>
                <w:rFonts w:hint="eastAsia" w:ascii="仿宋" w:hAnsi="仿宋" w:eastAsia="仿宋" w:cs="仿宋"/>
                <w:color w:val="auto"/>
                <w:spacing w:val="-11"/>
                <w:sz w:val="24"/>
                <w:szCs w:val="24"/>
                <w:highlight w:val="none"/>
                <w:lang w:val="en-US" w:eastAsia="zh-CN"/>
              </w:rPr>
              <w:t>、</w:t>
            </w:r>
            <w:r>
              <w:rPr>
                <w:rFonts w:hint="eastAsia" w:ascii="仿宋" w:hAnsi="仿宋" w:eastAsia="仿宋" w:cs="仿宋"/>
                <w:color w:val="auto"/>
                <w:spacing w:val="-11"/>
                <w:sz w:val="24"/>
                <w:szCs w:val="24"/>
                <w:highlight w:val="none"/>
              </w:rPr>
              <w:t>豆豉、纳豆</w:t>
            </w:r>
            <w:r>
              <w:rPr>
                <w:rFonts w:hint="eastAsia" w:ascii="仿宋" w:hAnsi="仿宋" w:eastAsia="仿宋" w:cs="仿宋"/>
                <w:color w:val="auto"/>
                <w:sz w:val="24"/>
                <w:szCs w:val="24"/>
                <w:highlight w:val="none"/>
              </w:rPr>
              <w:t>等</w:t>
            </w:r>
          </w:p>
        </w:tc>
        <w:tc>
          <w:tcPr>
            <w:tcW w:w="825" w:type="dxa"/>
            <w:vAlign w:val="center"/>
          </w:tcPr>
          <w:p w14:paraId="79B915F5">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622FCC0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苯甲酸及其钠盐（以苯甲酸计）、山梨酸及其钾盐（以山梨酸计）、脱氢乙酸及其钠盐（以脱氢乙酸计）、糖精钠（以糖精计）、甜蜜素（以环己基氨基磺酸计）、大肠菌群、铅（以Pb计）</w:t>
            </w:r>
          </w:p>
        </w:tc>
        <w:tc>
          <w:tcPr>
            <w:tcW w:w="3395" w:type="dxa"/>
            <w:vAlign w:val="center"/>
          </w:tcPr>
          <w:p w14:paraId="3B01F2C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黄曲霉毒素B</w:t>
            </w:r>
            <w:r>
              <w:rPr>
                <w:rFonts w:hint="eastAsia" w:ascii="仿宋" w:hAnsi="仿宋" w:eastAsia="仿宋" w:cs="仿宋"/>
                <w:color w:val="auto"/>
                <w:sz w:val="24"/>
                <w:szCs w:val="24"/>
                <w:highlight w:val="none"/>
                <w:vertAlign w:val="subscript"/>
                <w:lang w:val="en-US" w:eastAsia="zh-CN"/>
              </w:rPr>
              <w:t>1</w:t>
            </w:r>
            <w:r>
              <w:rPr>
                <w:rFonts w:hint="eastAsia" w:ascii="仿宋" w:hAnsi="仿宋" w:eastAsia="仿宋" w:cs="仿宋"/>
                <w:color w:val="auto"/>
                <w:sz w:val="24"/>
                <w:szCs w:val="24"/>
                <w:highlight w:val="none"/>
                <w:lang w:val="en-US" w:eastAsia="zh-CN"/>
              </w:rPr>
              <w:t>、铝的残留量（干样品，以Al计）</w:t>
            </w:r>
          </w:p>
        </w:tc>
      </w:tr>
      <w:tr w14:paraId="684F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B423F3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859B2D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85A509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4F70ADBA">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非发酵性豆制</w:t>
            </w:r>
            <w:r>
              <w:rPr>
                <w:rFonts w:hint="eastAsia" w:ascii="仿宋" w:hAnsi="仿宋" w:eastAsia="仿宋" w:cs="仿宋"/>
                <w:color w:val="auto"/>
                <w:sz w:val="24"/>
                <w:szCs w:val="24"/>
                <w:highlight w:val="none"/>
              </w:rPr>
              <w:t>品</w:t>
            </w:r>
          </w:p>
        </w:tc>
        <w:tc>
          <w:tcPr>
            <w:tcW w:w="1733" w:type="dxa"/>
            <w:vAlign w:val="center"/>
          </w:tcPr>
          <w:p w14:paraId="30E4C2C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hanging="608" w:firstLine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12"/>
                <w:sz w:val="24"/>
                <w:szCs w:val="24"/>
                <w:highlight w:val="none"/>
              </w:rPr>
              <w:t>腐</w:t>
            </w:r>
            <w:r>
              <w:rPr>
                <w:rFonts w:hint="eastAsia" w:ascii="仿宋" w:hAnsi="仿宋" w:eastAsia="仿宋" w:cs="仿宋"/>
                <w:color w:val="auto"/>
                <w:spacing w:val="-11"/>
                <w:sz w:val="24"/>
                <w:szCs w:val="24"/>
                <w:highlight w:val="none"/>
              </w:rPr>
              <w:t>竹、</w:t>
            </w:r>
            <w:r>
              <w:rPr>
                <w:rFonts w:hint="eastAsia" w:ascii="仿宋" w:hAnsi="仿宋" w:eastAsia="仿宋" w:cs="仿宋"/>
                <w:color w:val="auto"/>
                <w:spacing w:val="-11"/>
                <w:sz w:val="24"/>
                <w:szCs w:val="24"/>
                <w:highlight w:val="none"/>
                <w:lang w:val="en-US" w:eastAsia="zh-CN"/>
              </w:rPr>
              <w:t>腐竹、</w:t>
            </w:r>
            <w:r>
              <w:rPr>
                <w:rFonts w:hint="eastAsia" w:ascii="仿宋" w:hAnsi="仿宋" w:eastAsia="仿宋" w:cs="仿宋"/>
                <w:color w:val="auto"/>
                <w:spacing w:val="-11"/>
                <w:sz w:val="24"/>
                <w:szCs w:val="24"/>
                <w:highlight w:val="none"/>
              </w:rPr>
              <w:t>油皮及其</w:t>
            </w:r>
            <w:r>
              <w:rPr>
                <w:rFonts w:hint="eastAsia" w:ascii="仿宋" w:hAnsi="仿宋" w:eastAsia="仿宋" w:cs="仿宋"/>
                <w:color w:val="auto"/>
                <w:spacing w:val="-10"/>
                <w:sz w:val="24"/>
                <w:szCs w:val="24"/>
                <w:highlight w:val="none"/>
              </w:rPr>
              <w:t>再</w:t>
            </w:r>
            <w:r>
              <w:rPr>
                <w:rFonts w:hint="eastAsia" w:ascii="仿宋" w:hAnsi="仿宋" w:eastAsia="仿宋" w:cs="仿宋"/>
                <w:color w:val="auto"/>
                <w:spacing w:val="10"/>
                <w:sz w:val="24"/>
                <w:szCs w:val="24"/>
                <w:highlight w:val="none"/>
              </w:rPr>
              <w:t>制品</w:t>
            </w:r>
          </w:p>
        </w:tc>
        <w:tc>
          <w:tcPr>
            <w:tcW w:w="825" w:type="dxa"/>
            <w:vAlign w:val="center"/>
          </w:tcPr>
          <w:p w14:paraId="5BBD241F">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3A9E8ACF">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蛋白质、苯甲酸及其钠盐（以苯甲酸计）、山梨酸及其钾盐（以山梨酸计）、脱氢乙酸及其钠盐（以脱氢乙酸计）、二氧化硫残留量、铝的残留量（干样品，以Al计）</w:t>
            </w:r>
          </w:p>
        </w:tc>
        <w:tc>
          <w:tcPr>
            <w:tcW w:w="3395" w:type="dxa"/>
            <w:vAlign w:val="center"/>
          </w:tcPr>
          <w:p w14:paraId="1358F52B">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spacing w:val="1"/>
                <w:kern w:val="2"/>
                <w:sz w:val="24"/>
                <w:szCs w:val="24"/>
                <w:highlight w:val="none"/>
                <w:lang w:val="en-US" w:eastAsia="zh-CN" w:bidi="ar-SA"/>
              </w:rPr>
            </w:pPr>
            <w:r>
              <w:rPr>
                <w:rFonts w:hint="eastAsia" w:ascii="仿宋" w:hAnsi="仿宋" w:eastAsia="仿宋" w:cs="仿宋"/>
                <w:color w:val="auto"/>
                <w:spacing w:val="1"/>
                <w:sz w:val="24"/>
                <w:szCs w:val="24"/>
                <w:highlight w:val="none"/>
                <w:lang w:val="en-US" w:eastAsia="zh-CN"/>
              </w:rPr>
              <w:t>铅（以Pb计）、合成着色剂（柠檬黄、日落黄）、二甲基黄、二乙基黄</w:t>
            </w:r>
          </w:p>
        </w:tc>
      </w:tr>
      <w:tr w14:paraId="3FE1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7BFB677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02D483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30BB25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1D00EA19">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非发酵性豆制</w:t>
            </w:r>
            <w:r>
              <w:rPr>
                <w:rFonts w:hint="eastAsia" w:ascii="仿宋" w:hAnsi="仿宋" w:eastAsia="仿宋" w:cs="仿宋"/>
                <w:color w:val="auto"/>
                <w:sz w:val="24"/>
                <w:szCs w:val="24"/>
                <w:highlight w:val="none"/>
              </w:rPr>
              <w:t>品</w:t>
            </w:r>
          </w:p>
        </w:tc>
        <w:tc>
          <w:tcPr>
            <w:tcW w:w="1733" w:type="dxa"/>
            <w:vAlign w:val="center"/>
          </w:tcPr>
          <w:p w14:paraId="4CEB0FF8">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2"/>
                <w:sz w:val="24"/>
                <w:szCs w:val="24"/>
                <w:highlight w:val="none"/>
              </w:rPr>
              <w:t>豆干、豆腐</w:t>
            </w:r>
            <w:r>
              <w:rPr>
                <w:rFonts w:hint="eastAsia" w:ascii="仿宋" w:hAnsi="仿宋" w:eastAsia="仿宋" w:cs="仿宋"/>
                <w:color w:val="auto"/>
                <w:sz w:val="24"/>
                <w:szCs w:val="24"/>
                <w:highlight w:val="none"/>
              </w:rPr>
              <w:t>、豆皮等</w:t>
            </w:r>
          </w:p>
        </w:tc>
        <w:tc>
          <w:tcPr>
            <w:tcW w:w="825" w:type="dxa"/>
            <w:vAlign w:val="center"/>
          </w:tcPr>
          <w:p w14:paraId="6B6877C7">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793A0F2D">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苯甲酸及其钠盐（以苯甲酸计）、山梨酸及其钾盐（以山梨酸计）、脱氢乙酸及其钠盐（以脱氢乙酸计）、防腐剂混合使用时各自用量占其最大使用量的比例之和、铝的残留量（干样品，以Al计）、合成着色剂（柠檬黄、日落黄）、大肠菌群</w:t>
            </w:r>
          </w:p>
        </w:tc>
        <w:tc>
          <w:tcPr>
            <w:tcW w:w="3395" w:type="dxa"/>
            <w:vAlign w:val="center"/>
          </w:tcPr>
          <w:p w14:paraId="4C1B842C">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铅（以Pb计）、丙酸及其钠盐、钙盐（以丙酸计）、糖精钠（以糖精计）、三氯蔗糖、甜蜜素（以环己基氨基磺酸计）</w:t>
            </w:r>
          </w:p>
        </w:tc>
      </w:tr>
      <w:tr w14:paraId="10C8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5CA2DE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202CF6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891DA9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672DA042">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4"/>
                <w:sz w:val="24"/>
                <w:szCs w:val="24"/>
                <w:highlight w:val="none"/>
              </w:rPr>
              <w:t>其他豆制品</w:t>
            </w:r>
          </w:p>
        </w:tc>
        <w:tc>
          <w:tcPr>
            <w:tcW w:w="1733" w:type="dxa"/>
            <w:vAlign w:val="center"/>
          </w:tcPr>
          <w:p w14:paraId="6815BC02">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11"/>
                <w:sz w:val="24"/>
                <w:szCs w:val="24"/>
                <w:highlight w:val="none"/>
              </w:rPr>
              <w:t>大豆蛋白类制品等</w:t>
            </w:r>
          </w:p>
        </w:tc>
        <w:tc>
          <w:tcPr>
            <w:tcW w:w="825" w:type="dxa"/>
            <w:vAlign w:val="center"/>
          </w:tcPr>
          <w:p w14:paraId="2807C1D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jc w:val="center"/>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pacing w:val="-3"/>
                <w:sz w:val="24"/>
                <w:szCs w:val="24"/>
                <w:highlight w:val="none"/>
              </w:rPr>
              <w:t>较高</w:t>
            </w:r>
          </w:p>
        </w:tc>
        <w:tc>
          <w:tcPr>
            <w:tcW w:w="4459" w:type="dxa"/>
            <w:vAlign w:val="center"/>
          </w:tcPr>
          <w:p w14:paraId="622C6EEE">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eastAsia="zh-CN"/>
              </w:rPr>
              <w:t>苯甲酸及其钠盐（以苯甲酸计）、山梨酸及其钾盐（以山梨酸计）、脱氢乙酸及其钠盐（以脱氢乙酸计）、糖精钠（以糖精计）、三氯蔗糖、铝的残留量（干样品，以Al计）、大肠菌群</w:t>
            </w:r>
          </w:p>
        </w:tc>
        <w:tc>
          <w:tcPr>
            <w:tcW w:w="3395" w:type="dxa"/>
            <w:vAlign w:val="center"/>
          </w:tcPr>
          <w:p w14:paraId="0119A3E8">
            <w:pPr>
              <w:pStyle w:val="36"/>
              <w:keepNext w:val="0"/>
              <w:keepLines w:val="0"/>
              <w:pageBreakBefore w:val="0"/>
              <w:widowControl w:val="0"/>
              <w:kinsoku/>
              <w:wordWrap/>
              <w:overflowPunct/>
              <w:topLinePunct w:val="0"/>
              <w:autoSpaceDE w:val="0"/>
              <w:autoSpaceDN w:val="0"/>
              <w:bidi w:val="0"/>
              <w:adjustRightInd w:val="0"/>
              <w:snapToGrid w:val="0"/>
              <w:spacing w:line="300" w:lineRule="exact"/>
              <w:ind w:left="0" w:leftChars="0" w:right="0" w:rightChars="0" w:firstLine="0" w:firstLineChars="0"/>
              <w:jc w:val="left"/>
              <w:textAlignment w:val="baseline"/>
              <w:rPr>
                <w:rFonts w:hint="eastAsia" w:ascii="仿宋" w:hAnsi="仿宋" w:eastAsia="仿宋" w:cs="仿宋"/>
                <w:color w:val="auto"/>
                <w:kern w:val="2"/>
                <w:sz w:val="24"/>
                <w:szCs w:val="24"/>
                <w:highlight w:val="none"/>
                <w:lang w:val="en-US" w:eastAsia="en-US" w:bidi="ar-SA"/>
              </w:rPr>
            </w:pPr>
            <w:r>
              <w:rPr>
                <w:rFonts w:hint="eastAsia" w:ascii="仿宋" w:hAnsi="仿宋" w:eastAsia="仿宋" w:cs="仿宋"/>
                <w:color w:val="auto"/>
                <w:sz w:val="24"/>
                <w:szCs w:val="24"/>
                <w:highlight w:val="none"/>
              </w:rPr>
              <w:t>铅（以Pb计）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合成着色剂（柠檬黄、日落黄）</w:t>
            </w:r>
          </w:p>
        </w:tc>
      </w:tr>
      <w:tr w14:paraId="7629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6B7784C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w:t>
            </w:r>
          </w:p>
        </w:tc>
        <w:tc>
          <w:tcPr>
            <w:tcW w:w="1064" w:type="dxa"/>
            <w:vMerge w:val="restart"/>
            <w:vAlign w:val="center"/>
          </w:tcPr>
          <w:p w14:paraId="2828B61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蜂产品</w:t>
            </w:r>
          </w:p>
        </w:tc>
        <w:tc>
          <w:tcPr>
            <w:tcW w:w="1065" w:type="dxa"/>
            <w:vMerge w:val="restart"/>
            <w:vAlign w:val="center"/>
          </w:tcPr>
          <w:p w14:paraId="7538772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蜂产品</w:t>
            </w:r>
          </w:p>
        </w:tc>
        <w:tc>
          <w:tcPr>
            <w:tcW w:w="1356" w:type="dxa"/>
            <w:vAlign w:val="center"/>
          </w:tcPr>
          <w:p w14:paraId="3F7AB17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蜂蜜</w:t>
            </w:r>
          </w:p>
        </w:tc>
        <w:tc>
          <w:tcPr>
            <w:tcW w:w="1733" w:type="dxa"/>
            <w:vAlign w:val="center"/>
          </w:tcPr>
          <w:p w14:paraId="199C916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蜂蜜</w:t>
            </w:r>
          </w:p>
        </w:tc>
        <w:tc>
          <w:tcPr>
            <w:tcW w:w="825" w:type="dxa"/>
            <w:vAlign w:val="center"/>
          </w:tcPr>
          <w:p w14:paraId="510C792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高</w:t>
            </w:r>
          </w:p>
        </w:tc>
        <w:tc>
          <w:tcPr>
            <w:tcW w:w="4459" w:type="dxa"/>
            <w:vAlign w:val="center"/>
          </w:tcPr>
          <w:p w14:paraId="5F68E025">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果糖和葡萄糖、呋喃西林代谢物、菌落总数、嗜渗酵母计数、蔗糖、呋喃唑酮代谢物、甲硝唑</w:t>
            </w:r>
            <w:r>
              <w:rPr>
                <w:rFonts w:hint="eastAsia" w:ascii="仿宋" w:hAnsi="仿宋" w:eastAsia="仿宋" w:cs="仿宋"/>
                <w:color w:val="auto"/>
                <w:sz w:val="24"/>
                <w:szCs w:val="24"/>
                <w:highlight w:val="none"/>
                <w:lang w:eastAsia="zh-CN"/>
              </w:rPr>
              <w:t>、氟胺氰菊酯</w:t>
            </w:r>
          </w:p>
        </w:tc>
        <w:tc>
          <w:tcPr>
            <w:tcW w:w="3395" w:type="dxa"/>
            <w:vAlign w:val="center"/>
          </w:tcPr>
          <w:p w14:paraId="6DA22B6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霉菌计数、氯霉素</w:t>
            </w:r>
          </w:p>
        </w:tc>
      </w:tr>
      <w:tr w14:paraId="214EF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4DA6B8E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396B72B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4366D5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4158147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蜂王浆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含蜂王浆冻干品</w:t>
            </w:r>
            <w:r>
              <w:rPr>
                <w:rFonts w:hint="eastAsia" w:ascii="仿宋" w:hAnsi="仿宋" w:eastAsia="仿宋" w:cs="仿宋"/>
                <w:color w:val="auto"/>
                <w:sz w:val="24"/>
                <w:szCs w:val="24"/>
                <w:highlight w:val="none"/>
                <w:lang w:eastAsia="zh-CN"/>
              </w:rPr>
              <w:t>）</w:t>
            </w:r>
          </w:p>
        </w:tc>
        <w:tc>
          <w:tcPr>
            <w:tcW w:w="1733" w:type="dxa"/>
            <w:vAlign w:val="center"/>
          </w:tcPr>
          <w:p w14:paraId="3B2B45B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蜂王浆</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含蜂王浆冻干品</w:t>
            </w:r>
            <w:r>
              <w:rPr>
                <w:rFonts w:hint="eastAsia" w:ascii="仿宋" w:hAnsi="仿宋" w:eastAsia="仿宋" w:cs="仿宋"/>
                <w:color w:val="auto"/>
                <w:sz w:val="24"/>
                <w:szCs w:val="24"/>
                <w:highlight w:val="none"/>
                <w:lang w:eastAsia="zh-CN"/>
              </w:rPr>
              <w:t>）</w:t>
            </w:r>
          </w:p>
        </w:tc>
        <w:tc>
          <w:tcPr>
            <w:tcW w:w="825" w:type="dxa"/>
            <w:vAlign w:val="center"/>
          </w:tcPr>
          <w:p w14:paraId="3F73C76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1F88FA9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10-羟基-2-癸烯酸、酸度、蛋白质、呋喃西林代谢物</w:t>
            </w:r>
          </w:p>
        </w:tc>
        <w:tc>
          <w:tcPr>
            <w:tcW w:w="3395" w:type="dxa"/>
            <w:vAlign w:val="center"/>
          </w:tcPr>
          <w:p w14:paraId="7CB148B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672D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7258EF1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EC76AF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D8F754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7186633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蜂花粉</w:t>
            </w:r>
          </w:p>
        </w:tc>
        <w:tc>
          <w:tcPr>
            <w:tcW w:w="1733" w:type="dxa"/>
            <w:vAlign w:val="center"/>
          </w:tcPr>
          <w:p w14:paraId="5EE4CAF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蜂花粉</w:t>
            </w:r>
          </w:p>
        </w:tc>
        <w:tc>
          <w:tcPr>
            <w:tcW w:w="825" w:type="dxa"/>
            <w:vAlign w:val="center"/>
          </w:tcPr>
          <w:p w14:paraId="5BF59CA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7FFEFE5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菌落总数、大肠菌群、霉菌、铅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p>
        </w:tc>
        <w:tc>
          <w:tcPr>
            <w:tcW w:w="3395" w:type="dxa"/>
            <w:vAlign w:val="center"/>
          </w:tcPr>
          <w:p w14:paraId="09AFCC7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0FD0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EEBD98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728941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1BB7887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6DD9CD3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蜂产品制品</w:t>
            </w:r>
          </w:p>
        </w:tc>
        <w:tc>
          <w:tcPr>
            <w:tcW w:w="1733" w:type="dxa"/>
            <w:vAlign w:val="center"/>
          </w:tcPr>
          <w:p w14:paraId="32520B7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蜂产品制品</w:t>
            </w:r>
          </w:p>
        </w:tc>
        <w:tc>
          <w:tcPr>
            <w:tcW w:w="825" w:type="dxa"/>
            <w:vAlign w:val="center"/>
          </w:tcPr>
          <w:p w14:paraId="74401C6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18A5488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山梨酸及其钾盐</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以山梨酸计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、合成着色剂</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柠檬黄、日落黄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、菌落总数</w:t>
            </w:r>
          </w:p>
        </w:tc>
        <w:tc>
          <w:tcPr>
            <w:tcW w:w="3395" w:type="dxa"/>
            <w:vAlign w:val="center"/>
          </w:tcPr>
          <w:p w14:paraId="6360235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57F7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Align w:val="center"/>
          </w:tcPr>
          <w:p w14:paraId="41551DF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27</w:t>
            </w:r>
          </w:p>
        </w:tc>
        <w:tc>
          <w:tcPr>
            <w:tcW w:w="1064" w:type="dxa"/>
            <w:vAlign w:val="center"/>
          </w:tcPr>
          <w:p w14:paraId="216C825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保健食品</w:t>
            </w:r>
          </w:p>
        </w:tc>
        <w:tc>
          <w:tcPr>
            <w:tcW w:w="1065" w:type="dxa"/>
            <w:vAlign w:val="center"/>
          </w:tcPr>
          <w:p w14:paraId="3D1FE9F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保健食品</w:t>
            </w:r>
          </w:p>
        </w:tc>
        <w:tc>
          <w:tcPr>
            <w:tcW w:w="1356" w:type="dxa"/>
            <w:vAlign w:val="center"/>
          </w:tcPr>
          <w:p w14:paraId="5387FA6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保健食品</w:t>
            </w:r>
          </w:p>
        </w:tc>
        <w:tc>
          <w:tcPr>
            <w:tcW w:w="1733" w:type="dxa"/>
            <w:vAlign w:val="center"/>
          </w:tcPr>
          <w:p w14:paraId="7FDFC59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保健食品</w:t>
            </w:r>
          </w:p>
        </w:tc>
        <w:tc>
          <w:tcPr>
            <w:tcW w:w="825" w:type="dxa"/>
            <w:vAlign w:val="center"/>
          </w:tcPr>
          <w:p w14:paraId="6CB3176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较高</w:t>
            </w:r>
          </w:p>
        </w:tc>
        <w:tc>
          <w:tcPr>
            <w:tcW w:w="4459" w:type="dxa"/>
            <w:vAlign w:val="center"/>
          </w:tcPr>
          <w:p w14:paraId="5D1256D3">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氨基酸、10-羟基-2-癸烯酸、蛋白质、二十二碳六烯酸、二十碳五烯酸、泛酸、钙、还原糖、肌醇、赖氨酸、绿原酸、铁、维生素A、维生素B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w:t>
            </w:r>
          </w:p>
          <w:p w14:paraId="18092C0B">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生素C、维生素D、维生素D</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、维生素E、硒、锌、烟酰胺、叶酸、免疫球蛋白IgG、总黄酮</w:t>
            </w:r>
          </w:p>
          <w:p w14:paraId="2E17E7B3">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、总皂苷、总蒽醒、吡啶甲酸铬、芦荟苷、总三萜、嗜酸乳杆菌、双歧杆菌、水分、可溶性</w:t>
            </w:r>
          </w:p>
          <w:p w14:paraId="3E227026">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r>
              <w:rPr>
                <w:rFonts w:hint="eastAsia" w:ascii="仿宋" w:hAnsi="仿宋" w:eastAsia="仿宋" w:cs="仿宋"/>
                <w:i w:val="0"/>
                <w:iCs w:val="0"/>
                <w:color w:val="auto"/>
                <w:kern w:val="0"/>
                <w:sz w:val="24"/>
                <w:szCs w:val="24"/>
                <w:highlight w:val="none"/>
                <w:u w:val="none"/>
                <w:lang w:val="en-US" w:eastAsia="zh-CN" w:bidi="ar"/>
              </w:rPr>
              <w:t>固形物、酸价、过氧化值、崩解时限、灰分、铅（Pb）、总砷（As）、总汞（Hg）、硬胶囊壳中的铬、菌落总数、大肠菌群、霉菌和酵母、金黄色葡萄球菌、沙门氏菌、褪黑素、甘草酸、咖啡因、淫羊藿苷、葛根素、辅酶Q</w:t>
            </w:r>
            <w:r>
              <w:rPr>
                <w:rFonts w:hint="eastAsia" w:ascii="仿宋" w:hAnsi="仿宋" w:eastAsia="仿宋" w:cs="仿宋"/>
                <w:i w:val="0"/>
                <w:iCs w:val="0"/>
                <w:color w:val="auto"/>
                <w:kern w:val="0"/>
                <w:sz w:val="24"/>
                <w:szCs w:val="24"/>
                <w:highlight w:val="none"/>
                <w:u w:val="none"/>
                <w:vertAlign w:val="subscript"/>
                <w:lang w:val="en-US" w:eastAsia="zh-CN" w:bidi="ar"/>
              </w:rPr>
              <w:t>10</w:t>
            </w:r>
            <w:r>
              <w:rPr>
                <w:rFonts w:hint="eastAsia" w:ascii="仿宋" w:hAnsi="仿宋" w:eastAsia="仿宋" w:cs="仿宋"/>
                <w:i w:val="0"/>
                <w:iCs w:val="0"/>
                <w:color w:val="auto"/>
                <w:kern w:val="0"/>
                <w:sz w:val="24"/>
                <w:szCs w:val="24"/>
                <w:highlight w:val="none"/>
                <w:u w:val="none"/>
                <w:lang w:val="en-US" w:eastAsia="zh-CN" w:bidi="ar"/>
              </w:rPr>
              <w:t>、番茄红素、那红地那非、红地那非、伐地那非、羟基豪莫西地那非、西地那非、豪莫西地那非、氨基他达拉非、他达拉非、硫代艾地那非、伪伐地那非、那莫西地那非、去甲基他达拉非、育亨宾、西布曲明、N-单去甲基西布曲明、N，N-双去甲基西布曲明</w:t>
            </w:r>
          </w:p>
        </w:tc>
        <w:tc>
          <w:tcPr>
            <w:tcW w:w="3395" w:type="dxa"/>
            <w:vAlign w:val="center"/>
          </w:tcPr>
          <w:p w14:paraId="3531CC0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p>
        </w:tc>
      </w:tr>
      <w:tr w14:paraId="65A4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5D1DF76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28</w:t>
            </w:r>
          </w:p>
        </w:tc>
        <w:tc>
          <w:tcPr>
            <w:tcW w:w="1064" w:type="dxa"/>
            <w:vMerge w:val="restart"/>
            <w:vAlign w:val="center"/>
          </w:tcPr>
          <w:p w14:paraId="25EA1FB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特殊膳食食品</w:t>
            </w:r>
          </w:p>
        </w:tc>
        <w:tc>
          <w:tcPr>
            <w:tcW w:w="1065" w:type="dxa"/>
            <w:vMerge w:val="restart"/>
            <w:vAlign w:val="center"/>
          </w:tcPr>
          <w:p w14:paraId="3BE828C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婴幼儿辅助食品</w:t>
            </w:r>
          </w:p>
          <w:p w14:paraId="7A09B70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47B425F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婴幼儿谷类辅助食品</w:t>
            </w:r>
          </w:p>
        </w:tc>
        <w:tc>
          <w:tcPr>
            <w:tcW w:w="1733" w:type="dxa"/>
            <w:vAlign w:val="center"/>
          </w:tcPr>
          <w:p w14:paraId="40685AA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婴幼儿谷物辅助食品、婴幼儿高蛋白谷物辅助食品、婴幼儿生制类谷物辅助食品、其他婴幼儿谷物辅助食品</w:t>
            </w:r>
          </w:p>
        </w:tc>
        <w:tc>
          <w:tcPr>
            <w:tcW w:w="825" w:type="dxa"/>
            <w:vAlign w:val="center"/>
          </w:tcPr>
          <w:p w14:paraId="70D25CE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3A20AA5B">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能量、蛋白质、脂肪、亚油酸、月桂酸占总脂肪的比值、肉豆蔻酸占总脂肪的比值、维生素A、维生素D、维生素B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、钙、铁、锌、钠、维生素E、维生素B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、烟酸/烟酰胺、叶酸、泛酸、维生素 C、生物素、磷、碘、钾、镁、水分、不溶性膳食纤维、二十二碳六烯酸、花生四烯酸、脲酶活性定性测定、铅（以Pb计）、无机砷（以As计）、锡（以Sn计）、镉（以Cd计）、黄曲霉毒素B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计）、菌落总数、大肠菌群、商业无菌、沙门氏菌、金黄色葡萄球菌</w:t>
            </w:r>
          </w:p>
        </w:tc>
        <w:tc>
          <w:tcPr>
            <w:tcW w:w="3395" w:type="dxa"/>
            <w:vAlign w:val="center"/>
          </w:tcPr>
          <w:p w14:paraId="2E64E417">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3EB6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2FF3A18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5594D40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5A7CC80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745912E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婴幼儿罐装辅助食品</w:t>
            </w:r>
          </w:p>
        </w:tc>
        <w:tc>
          <w:tcPr>
            <w:tcW w:w="1733" w:type="dxa"/>
            <w:vAlign w:val="center"/>
          </w:tcPr>
          <w:p w14:paraId="4B45DCC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婴幼儿泥（糊）状罐装辅助食品、婴幼儿颗粒、片（块）状罐装辅助食品、婴幼儿汁类罐装辅助食品</w:t>
            </w:r>
          </w:p>
        </w:tc>
        <w:tc>
          <w:tcPr>
            <w:tcW w:w="825" w:type="dxa"/>
            <w:vAlign w:val="center"/>
          </w:tcPr>
          <w:p w14:paraId="7D8AC46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7F511A2D">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蛋白质、脂肪、总钠/钠、组胺、铅（以Pb计）、无机砷（以As计）、总汞（以Hg计）、锡（以Sn计）、硝酸盐（以NaNO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计）、商业无菌、霉菌</w:t>
            </w:r>
          </w:p>
        </w:tc>
        <w:tc>
          <w:tcPr>
            <w:tcW w:w="3395" w:type="dxa"/>
            <w:vAlign w:val="center"/>
          </w:tcPr>
          <w:p w14:paraId="46E94D31">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6E24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24DFB84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0A5DCD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415E3FA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营养补充品</w:t>
            </w:r>
          </w:p>
        </w:tc>
        <w:tc>
          <w:tcPr>
            <w:tcW w:w="1356" w:type="dxa"/>
            <w:vAlign w:val="center"/>
          </w:tcPr>
          <w:p w14:paraId="523A385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营养补充品</w:t>
            </w:r>
          </w:p>
        </w:tc>
        <w:tc>
          <w:tcPr>
            <w:tcW w:w="1733" w:type="dxa"/>
            <w:vAlign w:val="center"/>
          </w:tcPr>
          <w:p w14:paraId="51C6DAE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辅食营养素补充食品、辅食营养素补充片、辅食营养素撒剂</w:t>
            </w:r>
          </w:p>
        </w:tc>
        <w:tc>
          <w:tcPr>
            <w:tcW w:w="825" w:type="dxa"/>
            <w:vAlign w:val="center"/>
          </w:tcPr>
          <w:p w14:paraId="7B0F208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5BA67515">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蛋白质、钙、铁、锌、维生素A、维生素D、维生素B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、维生素K</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、烟酸（烟酰胺）、维生素B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、叶酸、维生素B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、泛酸、胆碱、生物素、维生素C、二十二碳六烯酸、脲酶活性定性、铅（以Pb计）、总砷（以As计）、黄曲霉毒素M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计）、菌落总数、大肠菌群、沙门氏菌、金黄色葡萄球菌</w:t>
            </w:r>
          </w:p>
        </w:tc>
        <w:tc>
          <w:tcPr>
            <w:tcW w:w="3395" w:type="dxa"/>
            <w:vAlign w:val="center"/>
          </w:tcPr>
          <w:p w14:paraId="3C188CE1">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5A57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6B960DF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7AEDEE2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2E5379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38B1334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孕妇及乳母营养补充食品</w:t>
            </w:r>
          </w:p>
        </w:tc>
        <w:tc>
          <w:tcPr>
            <w:tcW w:w="1733" w:type="dxa"/>
            <w:vAlign w:val="center"/>
          </w:tcPr>
          <w:p w14:paraId="665F0D2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孕妇及乳母营养补充食品</w:t>
            </w:r>
          </w:p>
        </w:tc>
        <w:tc>
          <w:tcPr>
            <w:tcW w:w="825" w:type="dxa"/>
            <w:vAlign w:val="center"/>
          </w:tcPr>
          <w:p w14:paraId="3652E7F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26956F7F">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铁、维生素A、维生素D、叶酸、维生素B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、钙、镁、锌、硒、维生素E、维生素K、维生素B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、烟酸（烟酰胺）、泛酸、胆碱、生物素、维生素C、二十二碳六烯酸、脲酶活性定性、铅（以Pb计）、总砷（以As计）、硝酸盐（以NaNO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计）、黄曲霉毒素 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、黄曲霉毒素 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、大肠菌群、沙门氏菌、金黄色葡萄球菌</w:t>
            </w:r>
          </w:p>
        </w:tc>
        <w:tc>
          <w:tcPr>
            <w:tcW w:w="3395" w:type="dxa"/>
            <w:vAlign w:val="center"/>
          </w:tcPr>
          <w:p w14:paraId="32BFE23D">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6364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F7FCCC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D2EF8D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E89403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182ED32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运动营养食品</w:t>
            </w:r>
          </w:p>
        </w:tc>
        <w:tc>
          <w:tcPr>
            <w:tcW w:w="1733" w:type="dxa"/>
            <w:vAlign w:val="center"/>
          </w:tcPr>
          <w:p w14:paraId="54E72DC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运动营养食品</w:t>
            </w:r>
          </w:p>
        </w:tc>
        <w:tc>
          <w:tcPr>
            <w:tcW w:w="825" w:type="dxa"/>
            <w:vAlign w:val="center"/>
          </w:tcPr>
          <w:p w14:paraId="5319874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66D2AC8A">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咖啡因、肌酸、肽类、维生素 A、维生素D、维生素E、维生素B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、维生素C、叶酸、烟酸、生物素、泛酸、钙、钠、钾、镁、铁、锌、硒、铜、碘、锰、磷、钼、铬、左旋肉碱、牛磺酸、铅（以Pb计）、总砷（以As计）、黄曲霉毒素M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、沙门氏菌、金黄色葡萄球菌</w:t>
            </w:r>
          </w:p>
        </w:tc>
        <w:tc>
          <w:tcPr>
            <w:tcW w:w="3395" w:type="dxa"/>
            <w:vAlign w:val="center"/>
          </w:tcPr>
          <w:p w14:paraId="12E084A7">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0D0A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24969E2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29</w:t>
            </w:r>
          </w:p>
        </w:tc>
        <w:tc>
          <w:tcPr>
            <w:tcW w:w="1064" w:type="dxa"/>
            <w:vMerge w:val="restart"/>
            <w:vAlign w:val="center"/>
          </w:tcPr>
          <w:p w14:paraId="7B35435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特殊医学用途配方食品</w:t>
            </w:r>
          </w:p>
        </w:tc>
        <w:tc>
          <w:tcPr>
            <w:tcW w:w="1065" w:type="dxa"/>
            <w:vMerge w:val="restart"/>
            <w:vAlign w:val="center"/>
          </w:tcPr>
          <w:p w14:paraId="1D9D431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特殊医学用途配方食品</w:t>
            </w:r>
          </w:p>
        </w:tc>
        <w:tc>
          <w:tcPr>
            <w:tcW w:w="1356" w:type="dxa"/>
            <w:vAlign w:val="center"/>
          </w:tcPr>
          <w:p w14:paraId="7B8CA76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特殊医学用途婴儿配方食品</w:t>
            </w:r>
          </w:p>
        </w:tc>
        <w:tc>
          <w:tcPr>
            <w:tcW w:w="1733" w:type="dxa"/>
            <w:vAlign w:val="center"/>
          </w:tcPr>
          <w:p w14:paraId="605D86A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特殊医学用途婴儿配方食品</w:t>
            </w:r>
          </w:p>
        </w:tc>
        <w:tc>
          <w:tcPr>
            <w:tcW w:w="825" w:type="dxa"/>
            <w:vAlign w:val="center"/>
          </w:tcPr>
          <w:p w14:paraId="258752D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495A9833">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脂肪、亚油酸、α-亚麻酸、亚油酸与α-亚麻酸比值、终产品脂肪中月桂酸和肉豆蔻酸（十四烷酸）总量占总脂肪酸的比值、芥酸与总脂肪酸比值、反式脂肪酸与总脂肪酸比值、碳水化合物、维生素A、维生素D、维生素E、维生素K</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烟酸（烟酰胺）、叶酸、泛酸、维生素C、生物素、钠、钾、铜、镁、铁、锌、锰、钙、磷、钙磷比值、碘、氯、硒、铬、钼、胆碱、肌醇、牛磺酸、左旋肉碱、二十二碳六烯酸与总脂肪酸比、二十碳四烯酸与总脂肪酸比、二十二碳六烯酸（22:6 n-3）与二十碳四烯酸（20:4 n-6）的比、长链不饱和脂肪酸中二十碳五烯酸（20:5 n-3）的量与二十二碳六烯酸的量的比、二十二碳六烯酸、二十碳四烯酸、水分、灰分、杂质度、脲酶活性定性测定、核苷酸、叶黄素、铅（以Pb）、锡（以Sn计）、黄曲霉毒素 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计）、三聚氰胺、菌落总数、大肠菌群、沙门氏菌、金黄色葡萄球菌、克罗诺杆菌属（阪崎肠杆菌）、商业无菌、果聚糖、乳铁蛋白</w:t>
            </w:r>
          </w:p>
        </w:tc>
        <w:tc>
          <w:tcPr>
            <w:tcW w:w="3395" w:type="dxa"/>
            <w:vAlign w:val="center"/>
          </w:tcPr>
          <w:p w14:paraId="4077B497">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1268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ACFD74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21EF818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70656F5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6A315FA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全营养配方食品</w:t>
            </w:r>
          </w:p>
        </w:tc>
        <w:tc>
          <w:tcPr>
            <w:tcW w:w="1733" w:type="dxa"/>
            <w:vAlign w:val="center"/>
          </w:tcPr>
          <w:p w14:paraId="55BCBB4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全营养配方食品</w:t>
            </w:r>
          </w:p>
        </w:tc>
        <w:tc>
          <w:tcPr>
            <w:tcW w:w="825" w:type="dxa"/>
            <w:vAlign w:val="center"/>
          </w:tcPr>
          <w:p w14:paraId="6CC9B0F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11A6D519">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蛋白质、亚油酸供能比、α-亚麻酸供能比、维生素A、维生素D、维生素E、维生素K</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烟酸（烟酰胺）、叶酸、泛酸、维生素C、生物素、钠、钾、铜、镁、铁、锌、锰、钙、磷、碘、氯、硒、铬、钼、氟、胆碱、肌醇、牛磺酸、左旋肉碱、二十二碳六烯酸与总脂肪酸比、二十碳四烯酸与总脂肪酸比、二十二碳六烯酸、二十碳四烯酸、核苷酸、铅（以Pb计）、锡（以Sn计）、黄曲霉毒素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计）、三聚氰胺、菌落总数、大肠菌群、沙门氏菌、金黄色葡萄球菌、商业无菌</w:t>
            </w:r>
          </w:p>
        </w:tc>
        <w:tc>
          <w:tcPr>
            <w:tcW w:w="3395" w:type="dxa"/>
            <w:vAlign w:val="center"/>
          </w:tcPr>
          <w:p w14:paraId="0F0D0171">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42991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2D59670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FAE956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42BBC98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553ADCE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非全营养配方食品</w:t>
            </w:r>
          </w:p>
        </w:tc>
        <w:tc>
          <w:tcPr>
            <w:tcW w:w="1733" w:type="dxa"/>
            <w:vAlign w:val="center"/>
          </w:tcPr>
          <w:p w14:paraId="7115106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非全营养配方食品</w:t>
            </w:r>
          </w:p>
        </w:tc>
        <w:tc>
          <w:tcPr>
            <w:tcW w:w="825" w:type="dxa"/>
            <w:vAlign w:val="center"/>
          </w:tcPr>
          <w:p w14:paraId="162DDE5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30FCFC64">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铅（以Pb计）、锡（以Sn计）、黄曲霉毒素 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计）、三聚氰胺、菌落总数、大肠菌群、沙门氏菌、金黄色葡萄球菌、商业无菌、企业标准/注册的产品技术要求中规定的质量指标</w:t>
            </w:r>
          </w:p>
        </w:tc>
        <w:tc>
          <w:tcPr>
            <w:tcW w:w="3395" w:type="dxa"/>
            <w:vAlign w:val="center"/>
          </w:tcPr>
          <w:p w14:paraId="400ED19B">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2B48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4811D6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07FF28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7C899F5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2209A79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特定全营养配方食品</w:t>
            </w:r>
          </w:p>
        </w:tc>
        <w:tc>
          <w:tcPr>
            <w:tcW w:w="1733" w:type="dxa"/>
            <w:vAlign w:val="center"/>
          </w:tcPr>
          <w:p w14:paraId="69AF2B9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特定全营养配方食品</w:t>
            </w:r>
          </w:p>
        </w:tc>
        <w:tc>
          <w:tcPr>
            <w:tcW w:w="825" w:type="dxa"/>
            <w:vAlign w:val="center"/>
          </w:tcPr>
          <w:p w14:paraId="2CFBF5C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13075EAE">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蛋白质、脂肪供能比、n-3脂肪酸（以EPA和DHA计）供能比、二十碳五烯酸（EPA）、亚油酸供能比、α-亚麻酸供能比、维生素A、维生素D、维生素E、维生素K</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烟酸（烟酰胺）、叶酸、泛酸、维生素C、生物素、钠、钾、铜、镁、铁、锌、锰、钙、磷、碘、氯、硒、铬、钼、氟、胆碱、肌醇、牛磺酸、左旋肉碱、核苷酸、精氨酸、亮氨酸、、铅（以Pb计）、锡（以Sn计）、黄曲霉毒素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计）、三聚氰胺、菌落总数、大肠菌群、沙门氏菌、金黄色葡萄球菌、商业无菌、企业标准/注册的产品技术要求中规定的质量指标</w:t>
            </w:r>
          </w:p>
        </w:tc>
        <w:tc>
          <w:tcPr>
            <w:tcW w:w="3395" w:type="dxa"/>
            <w:vAlign w:val="center"/>
          </w:tcPr>
          <w:p w14:paraId="102555C0">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66110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451BA7A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30</w:t>
            </w:r>
          </w:p>
        </w:tc>
        <w:tc>
          <w:tcPr>
            <w:tcW w:w="1064" w:type="dxa"/>
            <w:vMerge w:val="restart"/>
            <w:vAlign w:val="center"/>
          </w:tcPr>
          <w:p w14:paraId="1594E3D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婴幼儿配方食品</w:t>
            </w:r>
          </w:p>
        </w:tc>
        <w:tc>
          <w:tcPr>
            <w:tcW w:w="1065" w:type="dxa"/>
            <w:vMerge w:val="restart"/>
            <w:vAlign w:val="center"/>
          </w:tcPr>
          <w:p w14:paraId="6187C81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婴幼儿配方食品（湿法工艺、干法工艺、干湿法混合工艺）</w:t>
            </w:r>
          </w:p>
        </w:tc>
        <w:tc>
          <w:tcPr>
            <w:tcW w:w="1356" w:type="dxa"/>
            <w:vAlign w:val="center"/>
          </w:tcPr>
          <w:p w14:paraId="50A175E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婴儿配方食品</w:t>
            </w:r>
          </w:p>
        </w:tc>
        <w:tc>
          <w:tcPr>
            <w:tcW w:w="1733" w:type="dxa"/>
            <w:vAlign w:val="center"/>
          </w:tcPr>
          <w:p w14:paraId="7F4DE2E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乳基婴儿配方食品、豆基婴儿配方食品</w:t>
            </w:r>
          </w:p>
        </w:tc>
        <w:tc>
          <w:tcPr>
            <w:tcW w:w="825" w:type="dxa"/>
            <w:vAlign w:val="center"/>
          </w:tcPr>
          <w:p w14:paraId="38F2006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507ADFA1">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脂肪、碳水化合物、乳糖占碳水化合物总量、亚油酸、α-亚麻酸、亚油酸与α-亚麻酸比值、终产品脂肪中月桂酸和肉豆蔻酸（十四烷酸）总量占总脂肪酸的比值、芥酸与总脂肪酸比值、反式脂肪酸与总脂肪酸比值、维生素A、维生素D、维生素E、维生素K</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、烟酸（烟酰胺）、叶酸、泛酸、维生素C、生物素、钠、钾、铜、镁、铁、锌、锰、钙、磷、钙磷比值、碘、氯、硒、胆碱、肌醇、牛磺酸、左旋肉碱、二十二碳六烯酸（DHA）、二十二碳六烯酸（22:6 n-3）与总脂肪酸比、二十碳四烯酸（AA/ARA）、二十碳四烯酸与总脂肪酸比、二十二碳六烯酸（22:6 n-3）与二十碳四烯酸（20:4 n-6）的比、二十碳五烯酸（20:5 n-3）的量与二十二碳六烯酸（22:6 n-3）的量的比、果聚糖、水分、灰分、杂质度、叶黄素、核苷酸、脲酶活性定性测定、铅（以Pb计）、黄曲霉毒素B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或黄曲霉毒素M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计）、三聚氰胺、香兰素、乙基香兰素、菌落总数、大肠菌群、金黄色葡萄球菌、沙门氏菌、克罗诺杆菌属（阪崎肠杆菌）、锡、果糖、蔗糖、乳铁蛋白</w:t>
            </w:r>
          </w:p>
        </w:tc>
        <w:tc>
          <w:tcPr>
            <w:tcW w:w="3395" w:type="dxa"/>
            <w:vAlign w:val="center"/>
          </w:tcPr>
          <w:p w14:paraId="388CE445">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5F7C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10C900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5C8F916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92FC5C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12FB850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较大婴儿配方食品</w:t>
            </w:r>
          </w:p>
        </w:tc>
        <w:tc>
          <w:tcPr>
            <w:tcW w:w="1733" w:type="dxa"/>
            <w:vAlign w:val="center"/>
          </w:tcPr>
          <w:p w14:paraId="130001B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乳基较大婴儿配方食品、豆基较大婴儿配方食品</w:t>
            </w:r>
          </w:p>
        </w:tc>
        <w:tc>
          <w:tcPr>
            <w:tcW w:w="825" w:type="dxa"/>
            <w:vAlign w:val="center"/>
          </w:tcPr>
          <w:p w14:paraId="0F1757B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399E5202">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脂肪、亚油酸、α-亚麻酸、亚油酸与α-亚麻酸比值、终产品脂肪中月桂酸和肉豆蔻酸（十四烷酸）总量占总脂肪酸的比值、反式脂肪酸与总脂肪酸比值、芥酸与总脂肪酸比值、碳水化合物、乳糖占碳水化合物总量、维生素A、维生素D、维生素E、维生素K</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、烟酸（烟酰胺）、叶酸、泛酸、维生素C、生物素、钠、钾、铜、镁、铁、锌、钙、磷、钙磷比值、碘、氯、锰、硒、胆碱、肌醇、牛磺酸、左旋肉碱、二十二碳六烯酸（DHA）、二十二碳六烯酸（22:6 n-3）与总脂肪酸比、二十碳四烯酸（AA/ARA）、二十碳四烯酸与总脂肪酸比、二十二碳六烯酸（22:6 n-3）与二十碳四烯酸（20:4 n-6）的比、二十碳五烯酸（20:5 n-3）的量与二十二碳六烯酸（22:6 n-3）的量的比、水分、灰分、杂质度、叶黄素、核苷酸、果聚糖、三聚氰胺、铅（以Pb计）、硝酸盐（以NaNO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计）、脲酶活性定性测定、黄曲霉毒素B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或黄曲霉毒素 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、菌落总数、大肠菌群、沙门氏菌、金黄色葡萄球菌、锡、果糖、蔗糖、乳铁蛋白</w:t>
            </w:r>
          </w:p>
        </w:tc>
        <w:tc>
          <w:tcPr>
            <w:tcW w:w="3395" w:type="dxa"/>
            <w:vAlign w:val="center"/>
          </w:tcPr>
          <w:p w14:paraId="75F4B468">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31E2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564BB6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6FBE87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577C2A8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1B4F0E7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幼儿配方食品</w:t>
            </w:r>
          </w:p>
        </w:tc>
        <w:tc>
          <w:tcPr>
            <w:tcW w:w="1733" w:type="dxa"/>
            <w:vAlign w:val="center"/>
          </w:tcPr>
          <w:p w14:paraId="5631B7E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幼儿配方食品</w:t>
            </w:r>
          </w:p>
        </w:tc>
        <w:tc>
          <w:tcPr>
            <w:tcW w:w="825" w:type="dxa"/>
            <w:vAlign w:val="center"/>
          </w:tcPr>
          <w:p w14:paraId="0474244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高</w:t>
            </w:r>
          </w:p>
        </w:tc>
        <w:tc>
          <w:tcPr>
            <w:tcW w:w="4459" w:type="dxa"/>
            <w:vAlign w:val="center"/>
          </w:tcPr>
          <w:p w14:paraId="2A183FB2">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蛋白质、脂肪、亚油酸、α-亚麻酸、亚油酸与α-亚麻酸比值、乳糖占碳水化合物总量、反式脂肪酸与总脂肪酸比值、碳水化合物、维生素A、维生素D、维生素E、维生素K</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6</w:t>
            </w:r>
            <w:r>
              <w:rPr>
                <w:rFonts w:hint="eastAsia" w:ascii="仿宋" w:hAnsi="仿宋" w:eastAsia="仿宋" w:cs="仿宋"/>
                <w:i w:val="0"/>
                <w:iCs w:val="0"/>
                <w:color w:val="auto"/>
                <w:kern w:val="0"/>
                <w:sz w:val="24"/>
                <w:szCs w:val="24"/>
                <w:highlight w:val="none"/>
                <w:u w:val="none"/>
                <w:lang w:val="en-US" w:eastAsia="zh-CN" w:bidi="ar"/>
              </w:rPr>
              <w:t>、维生素B</w:t>
            </w:r>
            <w:r>
              <w:rPr>
                <w:rFonts w:hint="eastAsia" w:ascii="仿宋" w:hAnsi="仿宋" w:eastAsia="仿宋" w:cs="仿宋"/>
                <w:i w:val="0"/>
                <w:iCs w:val="0"/>
                <w:color w:val="auto"/>
                <w:kern w:val="0"/>
                <w:sz w:val="24"/>
                <w:szCs w:val="24"/>
                <w:highlight w:val="none"/>
                <w:u w:val="none"/>
                <w:vertAlign w:val="subscript"/>
                <w:lang w:val="en-US" w:eastAsia="zh-CN" w:bidi="ar"/>
              </w:rPr>
              <w:t>12</w:t>
            </w:r>
            <w:r>
              <w:rPr>
                <w:rFonts w:hint="eastAsia" w:ascii="仿宋" w:hAnsi="仿宋" w:eastAsia="仿宋" w:cs="仿宋"/>
                <w:i w:val="0"/>
                <w:iCs w:val="0"/>
                <w:color w:val="auto"/>
                <w:kern w:val="0"/>
                <w:sz w:val="24"/>
                <w:szCs w:val="24"/>
                <w:highlight w:val="none"/>
                <w:u w:val="none"/>
                <w:lang w:val="en-US" w:eastAsia="zh-CN" w:bidi="ar"/>
              </w:rPr>
              <w:t>、烟酸（烟酰胺）、叶酸、泛酸、维生素C、生物素、钠、钾、铜、镁、铁、锌、钙、磷、钙磷比值、碘、氯、锰、硒、胆碱、肌醇、牛磺酸、左旋肉碱、二十二碳六烯酸（DHA）、二十二碳六烯酸（22:6 n-3）与总脂肪酸比、二十碳四烯酸（AA/ARA）、二十碳四烯酸与总脂肪酸比、水分、灰分、杂质度、叶黄素、核苷酸、果聚糖、三聚氰胺、铅（以Pb计）、硝酸盐（以NaNO</w:t>
            </w:r>
            <w:r>
              <w:rPr>
                <w:rFonts w:hint="eastAsia" w:ascii="仿宋" w:hAnsi="仿宋" w:eastAsia="仿宋" w:cs="仿宋"/>
                <w:i w:val="0"/>
                <w:iCs w:val="0"/>
                <w:color w:val="auto"/>
                <w:kern w:val="0"/>
                <w:sz w:val="24"/>
                <w:szCs w:val="24"/>
                <w:highlight w:val="none"/>
                <w:u w:val="none"/>
                <w:vertAlign w:val="subscript"/>
                <w:lang w:val="en-US" w:eastAsia="zh-CN" w:bidi="ar"/>
              </w:rPr>
              <w:t>3</w:t>
            </w:r>
            <w:r>
              <w:rPr>
                <w:rFonts w:hint="eastAsia" w:ascii="仿宋" w:hAnsi="仿宋" w:eastAsia="仿宋" w:cs="仿宋"/>
                <w:i w:val="0"/>
                <w:iCs w:val="0"/>
                <w:color w:val="auto"/>
                <w:kern w:val="0"/>
                <w:sz w:val="24"/>
                <w:szCs w:val="24"/>
                <w:highlight w:val="none"/>
                <w:u w:val="none"/>
                <w:lang w:val="en-US" w:eastAsia="zh-CN" w:bidi="ar"/>
              </w:rPr>
              <w:t>计）、亚硝酸盐（以NaNO</w:t>
            </w:r>
            <w:r>
              <w:rPr>
                <w:rFonts w:hint="eastAsia" w:ascii="仿宋" w:hAnsi="仿宋" w:eastAsia="仿宋" w:cs="仿宋"/>
                <w:i w:val="0"/>
                <w:iCs w:val="0"/>
                <w:color w:val="auto"/>
                <w:kern w:val="0"/>
                <w:sz w:val="24"/>
                <w:szCs w:val="24"/>
                <w:highlight w:val="none"/>
                <w:u w:val="none"/>
                <w:vertAlign w:val="subscript"/>
                <w:lang w:val="en-US" w:eastAsia="zh-CN" w:bidi="ar"/>
              </w:rPr>
              <w:t>2</w:t>
            </w:r>
            <w:r>
              <w:rPr>
                <w:rFonts w:hint="eastAsia" w:ascii="仿宋" w:hAnsi="仿宋" w:eastAsia="仿宋" w:cs="仿宋"/>
                <w:i w:val="0"/>
                <w:iCs w:val="0"/>
                <w:color w:val="auto"/>
                <w:kern w:val="0"/>
                <w:sz w:val="24"/>
                <w:szCs w:val="24"/>
                <w:highlight w:val="none"/>
                <w:u w:val="none"/>
                <w:lang w:val="en-US" w:eastAsia="zh-CN" w:bidi="ar"/>
              </w:rPr>
              <w:t>计）、脲酶活性定性测定、黄曲霉毒素B</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或黄曲霉毒素 M</w:t>
            </w:r>
            <w:r>
              <w:rPr>
                <w:rFonts w:hint="eastAsia" w:ascii="仿宋" w:hAnsi="仿宋" w:eastAsia="仿宋" w:cs="仿宋"/>
                <w:i w:val="0"/>
                <w:iCs w:val="0"/>
                <w:color w:val="auto"/>
                <w:kern w:val="0"/>
                <w:sz w:val="24"/>
                <w:szCs w:val="24"/>
                <w:highlight w:val="none"/>
                <w:u w:val="none"/>
                <w:vertAlign w:val="subscript"/>
                <w:lang w:val="en-US" w:eastAsia="zh-CN" w:bidi="ar"/>
              </w:rPr>
              <w:t>1</w:t>
            </w:r>
            <w:r>
              <w:rPr>
                <w:rFonts w:hint="eastAsia" w:ascii="仿宋" w:hAnsi="仿宋" w:eastAsia="仿宋" w:cs="仿宋"/>
                <w:i w:val="0"/>
                <w:iCs w:val="0"/>
                <w:color w:val="auto"/>
                <w:kern w:val="0"/>
                <w:sz w:val="24"/>
                <w:szCs w:val="24"/>
                <w:highlight w:val="none"/>
                <w:u w:val="none"/>
                <w:lang w:val="en-US" w:eastAsia="zh-CN" w:bidi="ar"/>
              </w:rPr>
              <w:t>、菌落总数、大肠菌群、沙门氏菌、金黄色葡萄球菌、锡、乳铁蛋白</w:t>
            </w:r>
          </w:p>
        </w:tc>
        <w:tc>
          <w:tcPr>
            <w:tcW w:w="3395" w:type="dxa"/>
            <w:vAlign w:val="center"/>
          </w:tcPr>
          <w:p w14:paraId="524A3C88">
            <w:pPr>
              <w:keepNext w:val="0"/>
              <w:keepLines w:val="0"/>
              <w:pageBreakBefore w:val="0"/>
              <w:widowControl w:val="0"/>
              <w:suppressLineNumbers w:val="0"/>
              <w:wordWrap/>
              <w:overflowPunct/>
              <w:topLinePunct w:val="0"/>
              <w:bidi w:val="0"/>
              <w:spacing w:line="300" w:lineRule="exact"/>
              <w:jc w:val="left"/>
              <w:textAlignment w:val="center"/>
              <w:rPr>
                <w:rFonts w:hint="eastAsia" w:ascii="仿宋" w:hAnsi="仿宋" w:eastAsia="仿宋" w:cs="仿宋"/>
                <w:color w:val="auto"/>
                <w:sz w:val="24"/>
                <w:szCs w:val="24"/>
                <w:highlight w:val="none"/>
              </w:rPr>
            </w:pPr>
          </w:p>
        </w:tc>
      </w:tr>
      <w:tr w14:paraId="02E1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026658BD">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31</w:t>
            </w:r>
          </w:p>
        </w:tc>
        <w:tc>
          <w:tcPr>
            <w:tcW w:w="1064" w:type="dxa"/>
            <w:vMerge w:val="restart"/>
            <w:vAlign w:val="center"/>
          </w:tcPr>
          <w:p w14:paraId="5ECE5206">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餐饮食品</w:t>
            </w:r>
          </w:p>
        </w:tc>
        <w:tc>
          <w:tcPr>
            <w:tcW w:w="1065" w:type="dxa"/>
            <w:vMerge w:val="restart"/>
            <w:vAlign w:val="center"/>
          </w:tcPr>
          <w:p w14:paraId="578DB121">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米面及其制品（自制）</w:t>
            </w:r>
          </w:p>
        </w:tc>
        <w:tc>
          <w:tcPr>
            <w:tcW w:w="1356" w:type="dxa"/>
            <w:vMerge w:val="restart"/>
            <w:vAlign w:val="center"/>
          </w:tcPr>
          <w:p w14:paraId="4ED07253">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小麦粉制品（自制）</w:t>
            </w:r>
          </w:p>
        </w:tc>
        <w:tc>
          <w:tcPr>
            <w:tcW w:w="1733" w:type="dxa"/>
            <w:vAlign w:val="center"/>
          </w:tcPr>
          <w:p w14:paraId="143CD69F">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馒头花卷</w:t>
            </w:r>
          </w:p>
          <w:p w14:paraId="3418B1A9">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（自制）</w:t>
            </w:r>
          </w:p>
        </w:tc>
        <w:tc>
          <w:tcPr>
            <w:tcW w:w="825" w:type="dxa"/>
            <w:vAlign w:val="center"/>
          </w:tcPr>
          <w:p w14:paraId="38606489">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4375C0C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糖精钠（以糖精计）、脱氢乙酸及其钠盐（以脱氢乙酸计）、甜蜜素（以环己基氨基磺酸计）、合成着色剂（柠檬黄、日落黄、胭脂红、苋菜红、亮蓝）</w:t>
            </w:r>
          </w:p>
        </w:tc>
        <w:tc>
          <w:tcPr>
            <w:tcW w:w="3395" w:type="dxa"/>
            <w:vAlign w:val="center"/>
          </w:tcPr>
          <w:p w14:paraId="53CD16E1">
            <w:pPr>
              <w:widowControl w:val="0"/>
              <w:jc w:val="both"/>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铅（以Pb计）</w:t>
            </w:r>
          </w:p>
          <w:p w14:paraId="6B726E7C">
            <w:pPr>
              <w:widowControl w:val="0"/>
              <w:jc w:val="both"/>
              <w:rPr>
                <w:rFonts w:hint="eastAsia" w:ascii="仿宋" w:hAnsi="仿宋" w:eastAsia="仿宋" w:cs="仿宋"/>
                <w:color w:val="auto"/>
                <w:sz w:val="24"/>
                <w:szCs w:val="24"/>
                <w:highlight w:val="none"/>
              </w:rPr>
            </w:pPr>
          </w:p>
          <w:p w14:paraId="029266B4">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p>
        </w:tc>
      </w:tr>
      <w:tr w14:paraId="4AA6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58ABC19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2BF4583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5BCFA2D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5776B71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263D4E00">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包子（自制）</w:t>
            </w:r>
          </w:p>
        </w:tc>
        <w:tc>
          <w:tcPr>
            <w:tcW w:w="825" w:type="dxa"/>
            <w:vAlign w:val="center"/>
          </w:tcPr>
          <w:p w14:paraId="0EB66759">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4001CA79">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苯甲酸及其钠盐（以苯甲酸计）、山梨酸及其钾盐（以山梨酸计）、糖精钠（以糖精计）、脱氢乙酸及其钠盐（以脱氢乙酸计）、甜蜜素（以环己基氨基磺酸计）</w:t>
            </w:r>
          </w:p>
        </w:tc>
        <w:tc>
          <w:tcPr>
            <w:tcW w:w="3395" w:type="dxa"/>
            <w:vAlign w:val="center"/>
          </w:tcPr>
          <w:p w14:paraId="0574EF7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11CE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5F589A4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385AAB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0A0D97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53E8006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0D081377">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油饼油条</w:t>
            </w:r>
          </w:p>
          <w:p w14:paraId="3E9FCE95">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（自制）</w:t>
            </w:r>
          </w:p>
        </w:tc>
        <w:tc>
          <w:tcPr>
            <w:tcW w:w="825" w:type="dxa"/>
            <w:vAlign w:val="center"/>
          </w:tcPr>
          <w:p w14:paraId="0A3C9C89">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2027358A">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铝的残留量（干样品，以Al计）</w:t>
            </w:r>
          </w:p>
        </w:tc>
        <w:tc>
          <w:tcPr>
            <w:tcW w:w="3395" w:type="dxa"/>
            <w:vAlign w:val="center"/>
          </w:tcPr>
          <w:p w14:paraId="1C894A9F">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08BE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BAD289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7FFAC4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31C3BFC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34C43C9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4ECEEE30">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凉皮（自制）</w:t>
            </w:r>
          </w:p>
        </w:tc>
        <w:tc>
          <w:tcPr>
            <w:tcW w:w="825" w:type="dxa"/>
            <w:vAlign w:val="center"/>
          </w:tcPr>
          <w:p w14:paraId="56D22F15">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1E42C9F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脱氢乙酸及其钠盐（以脱氢乙酸计）、合成着色剂（柠檬黄、日落黄）</w:t>
            </w:r>
          </w:p>
        </w:tc>
        <w:tc>
          <w:tcPr>
            <w:tcW w:w="3395" w:type="dxa"/>
            <w:vAlign w:val="center"/>
          </w:tcPr>
          <w:p w14:paraId="25B88B5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p>
        </w:tc>
      </w:tr>
      <w:tr w14:paraId="7165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0E63E57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5402D0D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6489B00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7692650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134D4AB6">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其他油炸面制品（自制）</w:t>
            </w:r>
          </w:p>
        </w:tc>
        <w:tc>
          <w:tcPr>
            <w:tcW w:w="825" w:type="dxa"/>
            <w:vAlign w:val="center"/>
          </w:tcPr>
          <w:p w14:paraId="4C1ECA9B">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1F65E6A">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铝的残留量（干样品，以Al计）</w:t>
            </w:r>
          </w:p>
        </w:tc>
        <w:tc>
          <w:tcPr>
            <w:tcW w:w="3395" w:type="dxa"/>
            <w:vAlign w:val="center"/>
          </w:tcPr>
          <w:p w14:paraId="4ACA34EF">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587E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9A3878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282A711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1D111EA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71CB47E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13B1738A">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水饺馄饨</w:t>
            </w:r>
          </w:p>
          <w:p w14:paraId="4B897FD9">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（自制）</w:t>
            </w:r>
          </w:p>
        </w:tc>
        <w:tc>
          <w:tcPr>
            <w:tcW w:w="825" w:type="dxa"/>
            <w:vAlign w:val="center"/>
          </w:tcPr>
          <w:p w14:paraId="08B018BE">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3A1E2E9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苯甲酸及其钠盐（以苯甲酸计）、山梨酸及其钾盐（以山梨酸计）、脱氢乙酸及其钠盐（以脱氢乙酸计）、</w:t>
            </w:r>
            <w:r>
              <w:rPr>
                <w:rFonts w:hint="eastAsia" w:ascii="仿宋" w:hAnsi="仿宋" w:eastAsia="仿宋" w:cs="仿宋"/>
                <w:color w:val="auto"/>
                <w:spacing w:val="5"/>
                <w:sz w:val="24"/>
                <w:szCs w:val="24"/>
                <w:highlight w:val="none"/>
                <w:lang w:val="en-US" w:eastAsia="en-US"/>
              </w:rPr>
              <w:t>合成着色剂（柠檬黄、日落黄</w:t>
            </w:r>
            <w:r>
              <w:rPr>
                <w:rFonts w:hint="eastAsia" w:ascii="仿宋" w:hAnsi="仿宋" w:eastAsia="仿宋" w:cs="仿宋"/>
                <w:color w:val="auto"/>
                <w:spacing w:val="5"/>
                <w:sz w:val="24"/>
                <w:szCs w:val="24"/>
                <w:highlight w:val="none"/>
                <w:lang w:val="en-US" w:eastAsia="zh-CN"/>
              </w:rPr>
              <w:t>、胭脂红、苋菜红、亮蓝</w:t>
            </w:r>
            <w:r>
              <w:rPr>
                <w:rFonts w:hint="eastAsia" w:ascii="仿宋" w:hAnsi="仿宋" w:eastAsia="仿宋" w:cs="仿宋"/>
                <w:color w:val="auto"/>
                <w:spacing w:val="5"/>
                <w:sz w:val="24"/>
                <w:szCs w:val="24"/>
                <w:highlight w:val="none"/>
                <w:lang w:val="en-US" w:eastAsia="en-US"/>
              </w:rPr>
              <w:t>）</w:t>
            </w:r>
          </w:p>
        </w:tc>
        <w:tc>
          <w:tcPr>
            <w:tcW w:w="3395" w:type="dxa"/>
            <w:vAlign w:val="center"/>
          </w:tcPr>
          <w:p w14:paraId="39DFB1AE">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215E3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658251A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4EFC680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12100632">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p>
        </w:tc>
        <w:tc>
          <w:tcPr>
            <w:tcW w:w="1356" w:type="dxa"/>
            <w:vMerge w:val="continue"/>
            <w:vAlign w:val="center"/>
          </w:tcPr>
          <w:p w14:paraId="3B80BEFC">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p>
        </w:tc>
        <w:tc>
          <w:tcPr>
            <w:tcW w:w="1733" w:type="dxa"/>
            <w:vAlign w:val="center"/>
          </w:tcPr>
          <w:p w14:paraId="5884D385">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其他发酵面制品（自制）</w:t>
            </w:r>
          </w:p>
        </w:tc>
        <w:tc>
          <w:tcPr>
            <w:tcW w:w="825" w:type="dxa"/>
            <w:vAlign w:val="center"/>
          </w:tcPr>
          <w:p w14:paraId="6429D684">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426057D3">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苯甲酸及其钠盐（以苯甲酸计）、山梨酸及其钾盐（以山梨酸计）、糖精钠（以糖精计）、脱氢乙酸及其钠盐（以脱氢乙酸计）、甜蜜素（以环己基氨基磺酸计）、</w:t>
            </w:r>
            <w:r>
              <w:rPr>
                <w:rFonts w:hint="eastAsia" w:ascii="仿宋" w:hAnsi="仿宋" w:eastAsia="仿宋" w:cs="仿宋"/>
                <w:color w:val="auto"/>
                <w:spacing w:val="5"/>
                <w:sz w:val="24"/>
                <w:szCs w:val="24"/>
                <w:highlight w:val="none"/>
                <w:lang w:val="en-US" w:eastAsia="en-US"/>
              </w:rPr>
              <w:t>合成着色剂（柠檬黄、日落黄）</w:t>
            </w:r>
          </w:p>
        </w:tc>
        <w:tc>
          <w:tcPr>
            <w:tcW w:w="3395" w:type="dxa"/>
            <w:vAlign w:val="center"/>
          </w:tcPr>
          <w:p w14:paraId="44D2EF05">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3D35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AAF055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4663EB4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4901613C">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肉制品（自制）</w:t>
            </w:r>
          </w:p>
        </w:tc>
        <w:tc>
          <w:tcPr>
            <w:tcW w:w="1356" w:type="dxa"/>
            <w:vMerge w:val="restart"/>
            <w:vAlign w:val="center"/>
          </w:tcPr>
          <w:p w14:paraId="2BFC31F6">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熟肉制品（自制）</w:t>
            </w:r>
          </w:p>
        </w:tc>
        <w:tc>
          <w:tcPr>
            <w:tcW w:w="1733" w:type="dxa"/>
            <w:vAlign w:val="center"/>
          </w:tcPr>
          <w:p w14:paraId="2CA9B51E">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熏烧烤肉类</w:t>
            </w:r>
          </w:p>
          <w:p w14:paraId="0C49E3C4">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（自制）</w:t>
            </w:r>
          </w:p>
        </w:tc>
        <w:tc>
          <w:tcPr>
            <w:tcW w:w="825" w:type="dxa"/>
            <w:vAlign w:val="center"/>
          </w:tcPr>
          <w:p w14:paraId="6C9A23DA">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较高</w:t>
            </w:r>
          </w:p>
        </w:tc>
        <w:tc>
          <w:tcPr>
            <w:tcW w:w="4459" w:type="dxa"/>
            <w:vAlign w:val="center"/>
          </w:tcPr>
          <w:p w14:paraId="0EFCC54F">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苯甲酸及其钠盐（以苯甲酸计）、山梨酸及其钾盐（以山梨酸计）、糖精钠（以糖精计）、合成着色剂（柠檬黄、日落黄、胭脂红、</w:t>
            </w:r>
            <w:r>
              <w:rPr>
                <w:rFonts w:hint="eastAsia" w:ascii="仿宋" w:hAnsi="仿宋" w:eastAsia="仿宋" w:cs="仿宋"/>
                <w:color w:val="auto"/>
                <w:spacing w:val="5"/>
                <w:sz w:val="24"/>
                <w:szCs w:val="24"/>
                <w:highlight w:val="none"/>
                <w:lang w:val="en-US" w:eastAsia="zh-CN"/>
              </w:rPr>
              <w:t>苋菜红</w:t>
            </w:r>
            <w:r>
              <w:rPr>
                <w:rFonts w:hint="eastAsia" w:ascii="仿宋" w:hAnsi="仿宋" w:eastAsia="仿宋" w:cs="仿宋"/>
                <w:color w:val="auto"/>
                <w:spacing w:val="5"/>
                <w:sz w:val="24"/>
                <w:szCs w:val="24"/>
                <w:highlight w:val="none"/>
                <w:lang w:eastAsia="zh-CN"/>
              </w:rPr>
              <w:t>）、苯并[a]芘、</w:t>
            </w:r>
            <w:r>
              <w:rPr>
                <w:rFonts w:hint="eastAsia" w:ascii="仿宋" w:hAnsi="仿宋" w:eastAsia="仿宋" w:cs="仿宋"/>
                <w:color w:val="auto"/>
                <w:spacing w:val="5"/>
                <w:sz w:val="24"/>
                <w:szCs w:val="24"/>
                <w:highlight w:val="none"/>
                <w:lang w:val="en-US" w:eastAsia="zh-CN"/>
              </w:rPr>
              <w:t>N-二甲基亚硝胺</w:t>
            </w:r>
          </w:p>
        </w:tc>
        <w:tc>
          <w:tcPr>
            <w:tcW w:w="3395" w:type="dxa"/>
            <w:vAlign w:val="center"/>
          </w:tcPr>
          <w:p w14:paraId="68C8937B">
            <w:pPr>
              <w:widowControl w:val="0"/>
              <w:jc w:val="both"/>
              <w:rPr>
                <w:rFonts w:hint="eastAsia" w:ascii="仿宋" w:hAnsi="仿宋" w:eastAsia="仿宋" w:cs="仿宋"/>
                <w:color w:val="auto"/>
                <w:sz w:val="24"/>
                <w:szCs w:val="24"/>
                <w:highlight w:val="none"/>
              </w:rPr>
            </w:pPr>
          </w:p>
          <w:p w14:paraId="6505059A">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铅（以Pb计）</w:t>
            </w:r>
          </w:p>
        </w:tc>
      </w:tr>
      <w:tr w14:paraId="20B8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0033C60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439D1D6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41D055F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3E75855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005993A2">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酱卤肉制品</w:t>
            </w:r>
          </w:p>
          <w:p w14:paraId="43F2D12E">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（自制）</w:t>
            </w:r>
          </w:p>
        </w:tc>
        <w:tc>
          <w:tcPr>
            <w:tcW w:w="825" w:type="dxa"/>
            <w:vAlign w:val="center"/>
          </w:tcPr>
          <w:p w14:paraId="40BDDD4A">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较高</w:t>
            </w:r>
          </w:p>
        </w:tc>
        <w:tc>
          <w:tcPr>
            <w:tcW w:w="4459" w:type="dxa"/>
            <w:vAlign w:val="center"/>
          </w:tcPr>
          <w:p w14:paraId="3EE08EF7">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苯甲酸及其钠盐（以苯甲酸计）、山梨酸及其钾盐（以山梨酸计）、脱氢乙酸及其钠盐（以脱氢乙酸计）、</w:t>
            </w:r>
            <w:r>
              <w:rPr>
                <w:rFonts w:hint="eastAsia" w:ascii="仿宋" w:hAnsi="仿宋" w:eastAsia="仿宋" w:cs="仿宋"/>
                <w:color w:val="auto"/>
                <w:spacing w:val="5"/>
                <w:sz w:val="24"/>
                <w:szCs w:val="24"/>
                <w:highlight w:val="none"/>
                <w:lang w:val="en-US" w:eastAsia="en-US"/>
              </w:rPr>
              <w:t>防腐剂混合使用时各自用量占其最大使用量的比例之和</w:t>
            </w:r>
            <w:r>
              <w:rPr>
                <w:rFonts w:hint="eastAsia" w:ascii="仿宋" w:hAnsi="仿宋" w:eastAsia="仿宋" w:cs="仿宋"/>
                <w:color w:val="auto"/>
                <w:spacing w:val="5"/>
                <w:sz w:val="24"/>
                <w:szCs w:val="24"/>
                <w:highlight w:val="none"/>
                <w:lang w:val="en-US" w:eastAsia="zh-CN"/>
              </w:rPr>
              <w:t>、</w:t>
            </w:r>
            <w:r>
              <w:rPr>
                <w:rFonts w:hint="eastAsia" w:ascii="仿宋" w:hAnsi="仿宋" w:eastAsia="仿宋" w:cs="仿宋"/>
                <w:color w:val="auto"/>
                <w:spacing w:val="5"/>
                <w:sz w:val="24"/>
                <w:szCs w:val="24"/>
                <w:highlight w:val="none"/>
                <w:lang w:eastAsia="zh-CN"/>
              </w:rPr>
              <w:t>合成着色剂（柠檬黄、日落黄、胭脂红、</w:t>
            </w:r>
            <w:r>
              <w:rPr>
                <w:rFonts w:hint="eastAsia" w:ascii="仿宋" w:hAnsi="仿宋" w:eastAsia="仿宋" w:cs="仿宋"/>
                <w:color w:val="auto"/>
                <w:spacing w:val="5"/>
                <w:sz w:val="24"/>
                <w:szCs w:val="24"/>
                <w:highlight w:val="none"/>
                <w:lang w:val="en-US" w:eastAsia="zh-CN"/>
              </w:rPr>
              <w:t>苋菜红</w:t>
            </w:r>
            <w:r>
              <w:rPr>
                <w:rFonts w:hint="eastAsia" w:ascii="仿宋" w:hAnsi="仿宋" w:eastAsia="仿宋" w:cs="仿宋"/>
                <w:color w:val="auto"/>
                <w:spacing w:val="5"/>
                <w:sz w:val="24"/>
                <w:szCs w:val="24"/>
                <w:highlight w:val="none"/>
                <w:lang w:eastAsia="zh-CN"/>
              </w:rPr>
              <w:t>）</w:t>
            </w:r>
          </w:p>
        </w:tc>
        <w:tc>
          <w:tcPr>
            <w:tcW w:w="3395" w:type="dxa"/>
            <w:vAlign w:val="center"/>
          </w:tcPr>
          <w:p w14:paraId="0CCFA700">
            <w:pPr>
              <w:pageBreakBefore w:val="0"/>
              <w:widowControl w:val="0"/>
              <w:wordWrap/>
              <w:overflowPunct/>
              <w:topLinePunct w:val="0"/>
              <w:bidi w:val="0"/>
              <w:spacing w:before="49" w:line="300" w:lineRule="exact"/>
              <w:ind w:left="124" w:leftChars="0"/>
              <w:jc w:val="left"/>
              <w:rPr>
                <w:rFonts w:hint="eastAsia" w:ascii="仿宋" w:hAnsi="仿宋" w:eastAsia="仿宋" w:cs="仿宋"/>
                <w:b w:val="0"/>
                <w:bCs w:val="0"/>
                <w:color w:val="auto"/>
                <w:spacing w:val="1"/>
                <w:kern w:val="2"/>
                <w:sz w:val="24"/>
                <w:szCs w:val="24"/>
                <w:highlight w:val="none"/>
                <w:lang w:val="en-US" w:eastAsia="zh-CN" w:bidi="ar-SA"/>
              </w:rPr>
            </w:pPr>
            <w:r>
              <w:rPr>
                <w:rFonts w:hint="eastAsia" w:ascii="仿宋" w:hAnsi="仿宋" w:eastAsia="仿宋" w:cs="仿宋"/>
                <w:b w:val="0"/>
                <w:bCs w:val="0"/>
                <w:color w:val="auto"/>
                <w:spacing w:val="1"/>
                <w:sz w:val="24"/>
                <w:szCs w:val="24"/>
                <w:highlight w:val="none"/>
                <w:lang w:val="en-US" w:eastAsia="zh-CN"/>
              </w:rPr>
              <w:t>/</w:t>
            </w:r>
          </w:p>
        </w:tc>
      </w:tr>
      <w:tr w14:paraId="77E1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F144B5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07301D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058098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00049D7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1DC75D35">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油炸肉制品</w:t>
            </w:r>
          </w:p>
          <w:p w14:paraId="36DFC63D">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（自制）</w:t>
            </w:r>
          </w:p>
        </w:tc>
        <w:tc>
          <w:tcPr>
            <w:tcW w:w="825" w:type="dxa"/>
            <w:vAlign w:val="center"/>
          </w:tcPr>
          <w:p w14:paraId="4F168791">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较高</w:t>
            </w:r>
          </w:p>
        </w:tc>
        <w:tc>
          <w:tcPr>
            <w:tcW w:w="4459" w:type="dxa"/>
            <w:vAlign w:val="center"/>
          </w:tcPr>
          <w:p w14:paraId="500B075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苯甲酸及其钠盐（以苯甲酸计）、山梨酸及其钾盐（以山梨酸计）、脱氢乙酸及其钠盐（以脱氢乙酸计）、合成着色剂（柠檬黄、日落黄、胭脂红、</w:t>
            </w:r>
            <w:r>
              <w:rPr>
                <w:rFonts w:hint="eastAsia" w:ascii="仿宋" w:hAnsi="仿宋" w:eastAsia="仿宋" w:cs="仿宋"/>
                <w:color w:val="auto"/>
                <w:spacing w:val="5"/>
                <w:sz w:val="24"/>
                <w:szCs w:val="24"/>
                <w:highlight w:val="none"/>
                <w:lang w:val="en-US" w:eastAsia="zh-CN"/>
              </w:rPr>
              <w:t>苋菜红</w:t>
            </w:r>
            <w:r>
              <w:rPr>
                <w:rFonts w:hint="eastAsia" w:ascii="仿宋" w:hAnsi="仿宋" w:eastAsia="仿宋" w:cs="仿宋"/>
                <w:color w:val="auto"/>
                <w:spacing w:val="5"/>
                <w:sz w:val="24"/>
                <w:szCs w:val="24"/>
                <w:highlight w:val="none"/>
                <w:lang w:eastAsia="zh-CN"/>
              </w:rPr>
              <w:t>）</w:t>
            </w:r>
          </w:p>
        </w:tc>
        <w:tc>
          <w:tcPr>
            <w:tcW w:w="3395" w:type="dxa"/>
            <w:vAlign w:val="center"/>
          </w:tcPr>
          <w:p w14:paraId="1DEEE675">
            <w:pPr>
              <w:pageBreakBefore w:val="0"/>
              <w:widowControl w:val="0"/>
              <w:wordWrap/>
              <w:overflowPunct/>
              <w:topLinePunct w:val="0"/>
              <w:bidi w:val="0"/>
              <w:spacing w:before="54" w:line="300" w:lineRule="exact"/>
              <w:jc w:val="left"/>
              <w:rPr>
                <w:rFonts w:hint="eastAsia" w:ascii="仿宋" w:hAnsi="仿宋" w:eastAsia="仿宋" w:cs="仿宋"/>
                <w:b w:val="0"/>
                <w:bCs w:val="0"/>
                <w:color w:val="auto"/>
                <w:spacing w:val="6"/>
                <w:kern w:val="2"/>
                <w:position w:val="1"/>
                <w:sz w:val="24"/>
                <w:szCs w:val="24"/>
                <w:highlight w:val="none"/>
                <w:lang w:val="en-US" w:eastAsia="zh-CN" w:bidi="ar-SA"/>
              </w:rPr>
            </w:pPr>
            <w:r>
              <w:rPr>
                <w:rFonts w:hint="eastAsia" w:ascii="仿宋" w:hAnsi="仿宋" w:eastAsia="仿宋" w:cs="仿宋"/>
                <w:b w:val="0"/>
                <w:bCs w:val="0"/>
                <w:color w:val="auto"/>
                <w:spacing w:val="6"/>
                <w:position w:val="1"/>
                <w:sz w:val="24"/>
                <w:szCs w:val="24"/>
                <w:highlight w:val="none"/>
                <w:lang w:val="en-US" w:eastAsia="zh-CN"/>
              </w:rPr>
              <w:t>/</w:t>
            </w:r>
          </w:p>
        </w:tc>
      </w:tr>
      <w:tr w14:paraId="733B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696E51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F7D048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32BC9B6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3B93321F">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预制肉类（自制）</w:t>
            </w:r>
          </w:p>
        </w:tc>
        <w:tc>
          <w:tcPr>
            <w:tcW w:w="1733" w:type="dxa"/>
            <w:vAlign w:val="center"/>
          </w:tcPr>
          <w:p w14:paraId="7A1BBD19">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en-US"/>
              </w:rPr>
            </w:pPr>
            <w:r>
              <w:rPr>
                <w:rFonts w:hint="eastAsia" w:ascii="仿宋" w:hAnsi="仿宋" w:eastAsia="仿宋" w:cs="仿宋"/>
                <w:b w:val="0"/>
                <w:bCs w:val="0"/>
                <w:color w:val="auto"/>
                <w:spacing w:val="5"/>
                <w:sz w:val="24"/>
                <w:szCs w:val="24"/>
                <w:highlight w:val="none"/>
                <w:lang w:eastAsia="en-US"/>
              </w:rPr>
              <w:t>肉</w:t>
            </w:r>
            <w:r>
              <w:rPr>
                <w:rFonts w:hint="eastAsia" w:ascii="仿宋" w:hAnsi="仿宋" w:eastAsia="仿宋" w:cs="仿宋"/>
                <w:b w:val="0"/>
                <w:bCs w:val="0"/>
                <w:color w:val="auto"/>
                <w:spacing w:val="5"/>
                <w:sz w:val="24"/>
                <w:szCs w:val="24"/>
                <w:highlight w:val="none"/>
                <w:lang w:val="en-US" w:eastAsia="zh-CN"/>
              </w:rPr>
              <w:t>糜制品</w:t>
            </w:r>
          </w:p>
          <w:p w14:paraId="1806E9E9">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en-US"/>
              </w:rPr>
              <w:t>（自制）</w:t>
            </w:r>
          </w:p>
        </w:tc>
        <w:tc>
          <w:tcPr>
            <w:tcW w:w="825" w:type="dxa"/>
            <w:vAlign w:val="center"/>
          </w:tcPr>
          <w:p w14:paraId="7B7867CE">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较高</w:t>
            </w:r>
          </w:p>
        </w:tc>
        <w:tc>
          <w:tcPr>
            <w:tcW w:w="4459" w:type="dxa"/>
            <w:vAlign w:val="center"/>
          </w:tcPr>
          <w:p w14:paraId="73D9DCCF">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苯甲酸及其钠盐（以苯甲酸计）、山梨酸及其钾盐（以山梨酸计）、脱氢乙酸及其钠盐（以脱氢乙酸计）、</w:t>
            </w:r>
            <w:r>
              <w:rPr>
                <w:rFonts w:hint="eastAsia" w:ascii="仿宋" w:hAnsi="仿宋" w:eastAsia="仿宋" w:cs="仿宋"/>
                <w:color w:val="auto"/>
                <w:spacing w:val="5"/>
                <w:sz w:val="24"/>
                <w:szCs w:val="24"/>
                <w:highlight w:val="none"/>
                <w:lang w:val="en-US" w:eastAsia="en-US"/>
              </w:rPr>
              <w:t>防腐剂混合使用时各自用量占其最大使用量的比例之和</w:t>
            </w:r>
            <w:r>
              <w:rPr>
                <w:rFonts w:hint="eastAsia" w:ascii="仿宋" w:hAnsi="仿宋" w:eastAsia="仿宋" w:cs="仿宋"/>
                <w:color w:val="auto"/>
                <w:spacing w:val="5"/>
                <w:sz w:val="24"/>
                <w:szCs w:val="24"/>
                <w:highlight w:val="none"/>
                <w:lang w:val="en-US" w:eastAsia="zh-CN"/>
              </w:rPr>
              <w:t>、</w:t>
            </w:r>
            <w:r>
              <w:rPr>
                <w:rFonts w:hint="eastAsia" w:ascii="仿宋" w:hAnsi="仿宋" w:eastAsia="仿宋" w:cs="仿宋"/>
                <w:color w:val="auto"/>
                <w:spacing w:val="5"/>
                <w:sz w:val="24"/>
                <w:szCs w:val="24"/>
                <w:highlight w:val="none"/>
                <w:lang w:eastAsia="zh-CN"/>
              </w:rPr>
              <w:t>合成着色剂（柠檬黄 、日落黄、胭脂红）</w:t>
            </w:r>
          </w:p>
        </w:tc>
        <w:tc>
          <w:tcPr>
            <w:tcW w:w="3395" w:type="dxa"/>
            <w:vAlign w:val="center"/>
          </w:tcPr>
          <w:p w14:paraId="3146FB61">
            <w:pPr>
              <w:pageBreakBefore w:val="0"/>
              <w:widowControl w:val="0"/>
              <w:wordWrap/>
              <w:overflowPunct/>
              <w:topLinePunct w:val="0"/>
              <w:bidi w:val="0"/>
              <w:spacing w:before="54" w:line="300" w:lineRule="exact"/>
              <w:jc w:val="left"/>
              <w:rPr>
                <w:rFonts w:hint="eastAsia" w:ascii="仿宋" w:hAnsi="仿宋" w:eastAsia="仿宋" w:cs="仿宋"/>
                <w:b w:val="0"/>
                <w:bCs w:val="0"/>
                <w:color w:val="auto"/>
                <w:spacing w:val="6"/>
                <w:kern w:val="2"/>
                <w:position w:val="1"/>
                <w:sz w:val="24"/>
                <w:szCs w:val="24"/>
                <w:highlight w:val="none"/>
                <w:lang w:val="en-US" w:eastAsia="zh-CN" w:bidi="ar-SA"/>
              </w:rPr>
            </w:pPr>
            <w:r>
              <w:rPr>
                <w:rFonts w:hint="eastAsia" w:ascii="仿宋" w:hAnsi="仿宋" w:eastAsia="仿宋" w:cs="仿宋"/>
                <w:b w:val="0"/>
                <w:bCs w:val="0"/>
                <w:color w:val="auto"/>
                <w:spacing w:val="6"/>
                <w:kern w:val="2"/>
                <w:position w:val="1"/>
                <w:sz w:val="24"/>
                <w:szCs w:val="24"/>
                <w:highlight w:val="none"/>
                <w:lang w:val="en-US" w:eastAsia="zh-CN" w:bidi="ar-SA"/>
              </w:rPr>
              <w:t>/</w:t>
            </w:r>
          </w:p>
        </w:tc>
      </w:tr>
      <w:tr w14:paraId="4B328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056D885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77D38DE">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0585981F">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调味料</w:t>
            </w:r>
          </w:p>
          <w:p w14:paraId="204F902A">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（自制）</w:t>
            </w:r>
          </w:p>
        </w:tc>
        <w:tc>
          <w:tcPr>
            <w:tcW w:w="1356" w:type="dxa"/>
            <w:vMerge w:val="restart"/>
            <w:vAlign w:val="center"/>
          </w:tcPr>
          <w:p w14:paraId="1D7E0AF3">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调味料</w:t>
            </w:r>
          </w:p>
          <w:p w14:paraId="472ED225">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（自制）</w:t>
            </w:r>
          </w:p>
        </w:tc>
        <w:tc>
          <w:tcPr>
            <w:tcW w:w="1733" w:type="dxa"/>
            <w:vAlign w:val="center"/>
          </w:tcPr>
          <w:p w14:paraId="07199828">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火锅麻辣烫底料（自制）</w:t>
            </w:r>
          </w:p>
        </w:tc>
        <w:tc>
          <w:tcPr>
            <w:tcW w:w="825" w:type="dxa"/>
            <w:vAlign w:val="center"/>
          </w:tcPr>
          <w:p w14:paraId="056AC1A5">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27EAFBBE">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罂粟碱、吗啡、可待因、那可丁</w:t>
            </w:r>
          </w:p>
        </w:tc>
        <w:tc>
          <w:tcPr>
            <w:tcW w:w="3395" w:type="dxa"/>
            <w:vAlign w:val="center"/>
          </w:tcPr>
          <w:p w14:paraId="4267804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1FAF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D119BE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69F3145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62FB8EA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1F5F03C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74960807">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蘸料（自制）</w:t>
            </w:r>
          </w:p>
        </w:tc>
        <w:tc>
          <w:tcPr>
            <w:tcW w:w="825" w:type="dxa"/>
            <w:vAlign w:val="center"/>
          </w:tcPr>
          <w:p w14:paraId="5B48040D">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D44CCD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罂粟碱、吗啡、可待因、那可丁</w:t>
            </w:r>
          </w:p>
        </w:tc>
        <w:tc>
          <w:tcPr>
            <w:tcW w:w="3395" w:type="dxa"/>
            <w:vAlign w:val="center"/>
          </w:tcPr>
          <w:p w14:paraId="1FD88C48">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5D8D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7B5A197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8707BE4">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0A76781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5128DD21">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34582432">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其他调味料（自制）</w:t>
            </w:r>
          </w:p>
        </w:tc>
        <w:tc>
          <w:tcPr>
            <w:tcW w:w="825" w:type="dxa"/>
            <w:vAlign w:val="center"/>
          </w:tcPr>
          <w:p w14:paraId="04ABF0BF">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860752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罂粟碱、吗啡、可待因、那可丁</w:t>
            </w:r>
          </w:p>
        </w:tc>
        <w:tc>
          <w:tcPr>
            <w:tcW w:w="3395" w:type="dxa"/>
            <w:vAlign w:val="center"/>
          </w:tcPr>
          <w:p w14:paraId="2AF3C92D">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4B76B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BB315B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25D06A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Align w:val="center"/>
          </w:tcPr>
          <w:p w14:paraId="3CB5EE71">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预制水产制品</w:t>
            </w:r>
          </w:p>
          <w:p w14:paraId="22362E8B">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（自制）</w:t>
            </w:r>
          </w:p>
        </w:tc>
        <w:tc>
          <w:tcPr>
            <w:tcW w:w="1356" w:type="dxa"/>
            <w:vAlign w:val="center"/>
          </w:tcPr>
          <w:p w14:paraId="41FF626A">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预制水产制品</w:t>
            </w:r>
          </w:p>
          <w:p w14:paraId="048681C7">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（自制）</w:t>
            </w:r>
          </w:p>
        </w:tc>
        <w:tc>
          <w:tcPr>
            <w:tcW w:w="1733" w:type="dxa"/>
            <w:vAlign w:val="center"/>
          </w:tcPr>
          <w:p w14:paraId="7891C6A0">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生食动物性水产品（自制）</w:t>
            </w:r>
          </w:p>
        </w:tc>
        <w:tc>
          <w:tcPr>
            <w:tcW w:w="825" w:type="dxa"/>
            <w:vAlign w:val="center"/>
          </w:tcPr>
          <w:p w14:paraId="7D88B451">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77D176C">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铝的残留量（以即食海蜇中Al计）</w:t>
            </w:r>
          </w:p>
        </w:tc>
        <w:tc>
          <w:tcPr>
            <w:tcW w:w="3395" w:type="dxa"/>
            <w:vAlign w:val="center"/>
          </w:tcPr>
          <w:p w14:paraId="5A4F558B">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04DB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7859FAE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6773833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Align w:val="center"/>
          </w:tcPr>
          <w:p w14:paraId="1AE3D80A">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坚果及籽类食品</w:t>
            </w:r>
          </w:p>
          <w:p w14:paraId="7A25FA2E">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（自制）</w:t>
            </w:r>
          </w:p>
        </w:tc>
        <w:tc>
          <w:tcPr>
            <w:tcW w:w="1356" w:type="dxa"/>
            <w:vAlign w:val="center"/>
          </w:tcPr>
          <w:p w14:paraId="36642B93">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坚果及籽类食品</w:t>
            </w:r>
          </w:p>
          <w:p w14:paraId="4B43C148">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（自制）</w:t>
            </w:r>
          </w:p>
        </w:tc>
        <w:tc>
          <w:tcPr>
            <w:tcW w:w="1733" w:type="dxa"/>
            <w:vAlign w:val="center"/>
          </w:tcPr>
          <w:p w14:paraId="1E9E9C6B">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花生制品</w:t>
            </w:r>
          </w:p>
          <w:p w14:paraId="3317F523">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（自制）</w:t>
            </w:r>
          </w:p>
        </w:tc>
        <w:tc>
          <w:tcPr>
            <w:tcW w:w="825" w:type="dxa"/>
            <w:vAlign w:val="center"/>
          </w:tcPr>
          <w:p w14:paraId="61FDDABA">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53281B8E">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黄曲霉毒素B</w:t>
            </w:r>
            <w:r>
              <w:rPr>
                <w:rFonts w:hint="eastAsia" w:ascii="仿宋" w:hAnsi="仿宋" w:eastAsia="仿宋" w:cs="仿宋"/>
                <w:color w:val="auto"/>
                <w:spacing w:val="5"/>
                <w:sz w:val="24"/>
                <w:szCs w:val="24"/>
                <w:highlight w:val="none"/>
                <w:vertAlign w:val="subscript"/>
                <w:lang w:eastAsia="zh-CN"/>
              </w:rPr>
              <w:t>1</w:t>
            </w:r>
            <w:r>
              <w:rPr>
                <w:rFonts w:hint="eastAsia" w:ascii="仿宋" w:hAnsi="仿宋" w:eastAsia="仿宋" w:cs="仿宋"/>
                <w:color w:val="auto"/>
                <w:spacing w:val="5"/>
                <w:sz w:val="24"/>
                <w:szCs w:val="24"/>
                <w:highlight w:val="none"/>
                <w:lang w:eastAsia="zh-CN"/>
              </w:rPr>
              <w:t>、苯甲酸及其钠盐（以苯甲酸计）、山梨酸及其钾盐（以山梨酸计）、脱氢乙酸及其钠盐（以脱氢乙酸计）</w:t>
            </w:r>
          </w:p>
        </w:tc>
        <w:tc>
          <w:tcPr>
            <w:tcW w:w="3395" w:type="dxa"/>
            <w:vAlign w:val="center"/>
          </w:tcPr>
          <w:p w14:paraId="4FDEA2FA">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3B7E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A2E4FF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E98EFF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Align w:val="center"/>
          </w:tcPr>
          <w:p w14:paraId="6CF717E6">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焙烤食品（自制）</w:t>
            </w:r>
          </w:p>
        </w:tc>
        <w:tc>
          <w:tcPr>
            <w:tcW w:w="1356" w:type="dxa"/>
            <w:vAlign w:val="center"/>
          </w:tcPr>
          <w:p w14:paraId="0FD672B3">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焙烤食品（自制）</w:t>
            </w:r>
          </w:p>
        </w:tc>
        <w:tc>
          <w:tcPr>
            <w:tcW w:w="1733" w:type="dxa"/>
            <w:vAlign w:val="center"/>
          </w:tcPr>
          <w:p w14:paraId="7DE09E11">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糕点（自制）</w:t>
            </w:r>
          </w:p>
        </w:tc>
        <w:tc>
          <w:tcPr>
            <w:tcW w:w="825" w:type="dxa"/>
            <w:vAlign w:val="center"/>
          </w:tcPr>
          <w:p w14:paraId="65AF4A18">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6DA40087">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酸价（以脂肪计）（KOH）、过氧化值（以脂肪计）、山梨酸及其钾盐（以山梨酸计）、脱氢乙酸及其钠盐（以脱氢乙酸计）、铝的残留量（干样品，以AI计）、防腐剂混合使用时各自用量占其最大使用量的比例之和</w:t>
            </w:r>
          </w:p>
        </w:tc>
        <w:tc>
          <w:tcPr>
            <w:tcW w:w="3395" w:type="dxa"/>
            <w:vAlign w:val="center"/>
          </w:tcPr>
          <w:p w14:paraId="5FA36E42">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糖精钠（以糖精计）</w:t>
            </w:r>
          </w:p>
        </w:tc>
      </w:tr>
      <w:tr w14:paraId="7EE3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B4CE917">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4FC73E1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Align w:val="center"/>
          </w:tcPr>
          <w:p w14:paraId="63065F75">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食用油、油脂及其制品（自制）</w:t>
            </w:r>
          </w:p>
        </w:tc>
        <w:tc>
          <w:tcPr>
            <w:tcW w:w="1356" w:type="dxa"/>
            <w:vAlign w:val="center"/>
          </w:tcPr>
          <w:p w14:paraId="3E5AAD21">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食用油、油脂及其制品（自制）</w:t>
            </w:r>
          </w:p>
        </w:tc>
        <w:tc>
          <w:tcPr>
            <w:tcW w:w="1733" w:type="dxa"/>
            <w:vAlign w:val="center"/>
          </w:tcPr>
          <w:p w14:paraId="5BD66B93">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煎炸过程用油</w:t>
            </w:r>
          </w:p>
        </w:tc>
        <w:tc>
          <w:tcPr>
            <w:tcW w:w="825" w:type="dxa"/>
            <w:vAlign w:val="center"/>
          </w:tcPr>
          <w:p w14:paraId="002F9612">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6A75C6A7">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极性组分、酸价（以脂肪计）（KOH）</w:t>
            </w:r>
          </w:p>
        </w:tc>
        <w:tc>
          <w:tcPr>
            <w:tcW w:w="3395" w:type="dxa"/>
            <w:vAlign w:val="center"/>
          </w:tcPr>
          <w:p w14:paraId="20687419">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32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54E605D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70AF5E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Align w:val="center"/>
          </w:tcPr>
          <w:p w14:paraId="06F4FB0C">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淀粉制品（自制）</w:t>
            </w:r>
          </w:p>
        </w:tc>
        <w:tc>
          <w:tcPr>
            <w:tcW w:w="1356" w:type="dxa"/>
            <w:vAlign w:val="center"/>
          </w:tcPr>
          <w:p w14:paraId="27BA553A">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粉丝粉条（自制）</w:t>
            </w:r>
          </w:p>
        </w:tc>
        <w:tc>
          <w:tcPr>
            <w:tcW w:w="1733" w:type="dxa"/>
            <w:vAlign w:val="center"/>
          </w:tcPr>
          <w:p w14:paraId="78F086D5">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粉丝粉条（自制）</w:t>
            </w:r>
          </w:p>
        </w:tc>
        <w:tc>
          <w:tcPr>
            <w:tcW w:w="825" w:type="dxa"/>
            <w:vAlign w:val="center"/>
          </w:tcPr>
          <w:p w14:paraId="3243E9EA">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1337B125">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铝的残留量（干样品，以Al计）、脱氢乙酸及其钠盐（以脱氢乙酸计）</w:t>
            </w:r>
          </w:p>
        </w:tc>
        <w:tc>
          <w:tcPr>
            <w:tcW w:w="3395" w:type="dxa"/>
            <w:vAlign w:val="center"/>
          </w:tcPr>
          <w:p w14:paraId="7A125429">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6C5C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5055F1F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5BCE3188">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2EAA7999">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饮料（自制）</w:t>
            </w:r>
          </w:p>
        </w:tc>
        <w:tc>
          <w:tcPr>
            <w:tcW w:w="1356" w:type="dxa"/>
            <w:vMerge w:val="restart"/>
            <w:vAlign w:val="center"/>
          </w:tcPr>
          <w:p w14:paraId="414418B1">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饮料（自制）</w:t>
            </w:r>
          </w:p>
        </w:tc>
        <w:tc>
          <w:tcPr>
            <w:tcW w:w="1733" w:type="dxa"/>
            <w:vAlign w:val="center"/>
          </w:tcPr>
          <w:p w14:paraId="18F483C6">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sz w:val="24"/>
                <w:szCs w:val="24"/>
                <w:highlight w:val="none"/>
                <w:lang w:eastAsia="zh-CN"/>
              </w:rPr>
            </w:pPr>
            <w:r>
              <w:rPr>
                <w:rFonts w:hint="eastAsia" w:ascii="仿宋" w:hAnsi="仿宋" w:eastAsia="仿宋" w:cs="仿宋"/>
                <w:b w:val="0"/>
                <w:bCs w:val="0"/>
                <w:color w:val="auto"/>
                <w:spacing w:val="5"/>
                <w:sz w:val="24"/>
                <w:szCs w:val="24"/>
                <w:highlight w:val="none"/>
                <w:lang w:eastAsia="zh-CN"/>
              </w:rPr>
              <w:t>奶茶（自制）</w:t>
            </w:r>
          </w:p>
          <w:p w14:paraId="5106C194">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p>
        </w:tc>
        <w:tc>
          <w:tcPr>
            <w:tcW w:w="825" w:type="dxa"/>
            <w:vAlign w:val="center"/>
          </w:tcPr>
          <w:p w14:paraId="145E9C9A">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CD8B003">
            <w:pPr>
              <w:pStyle w:val="36"/>
              <w:pageBreakBefore w:val="0"/>
              <w:widowControl w:val="0"/>
              <w:wordWrap/>
              <w:overflowPunct/>
              <w:topLinePunct w:val="0"/>
              <w:bidi w:val="0"/>
              <w:spacing w:before="84"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脱氢乙酸及其钠盐（以脱氢乙酸计）、糖精钠（以糖精计）、合成着色剂</w:t>
            </w:r>
            <w:r>
              <w:rPr>
                <w:rFonts w:hint="eastAsia" w:ascii="仿宋" w:hAnsi="仿宋" w:eastAsia="仿宋" w:cs="仿宋"/>
                <w:i w:val="0"/>
                <w:iCs w:val="0"/>
                <w:color w:val="auto"/>
                <w:sz w:val="24"/>
                <w:szCs w:val="24"/>
                <w:highlight w:val="none"/>
              </w:rPr>
              <w:t>（苋菜红、胭脂红、柠檬黄、日落黄、亮蓝）</w:t>
            </w:r>
          </w:p>
        </w:tc>
        <w:tc>
          <w:tcPr>
            <w:tcW w:w="3395" w:type="dxa"/>
            <w:vAlign w:val="center"/>
          </w:tcPr>
          <w:p w14:paraId="0F3C7F47">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5B8F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0F3CB96A">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7C6030E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7380002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6F155B4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67313468">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豆浆（自制）</w:t>
            </w:r>
          </w:p>
        </w:tc>
        <w:tc>
          <w:tcPr>
            <w:tcW w:w="825" w:type="dxa"/>
            <w:vAlign w:val="center"/>
          </w:tcPr>
          <w:p w14:paraId="2C3C0357">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159E6D29">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糖精钠（以糖精计）、甜蜜素（以环己基氨基磺酸计）、</w:t>
            </w:r>
            <w:r>
              <w:rPr>
                <w:rFonts w:hint="eastAsia" w:ascii="仿宋" w:hAnsi="仿宋" w:eastAsia="仿宋" w:cs="仿宋"/>
                <w:i w:val="0"/>
                <w:iCs w:val="0"/>
                <w:color w:val="auto"/>
                <w:sz w:val="24"/>
                <w:szCs w:val="24"/>
                <w:highlight w:val="none"/>
                <w:lang w:val="en-US" w:eastAsia="zh-CN"/>
              </w:rPr>
              <w:t>安赛蜜、</w:t>
            </w:r>
            <w:r>
              <w:rPr>
                <w:rFonts w:hint="eastAsia" w:ascii="仿宋" w:hAnsi="仿宋" w:eastAsia="仿宋" w:cs="仿宋"/>
                <w:i w:val="0"/>
                <w:iCs w:val="0"/>
                <w:color w:val="auto"/>
                <w:sz w:val="24"/>
                <w:szCs w:val="24"/>
                <w:highlight w:val="none"/>
              </w:rPr>
              <w:t>三氯蔗糖</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color w:val="auto"/>
                <w:spacing w:val="5"/>
                <w:sz w:val="24"/>
                <w:szCs w:val="24"/>
                <w:highlight w:val="none"/>
                <w:lang w:eastAsia="zh-CN"/>
              </w:rPr>
              <w:t>苯甲酸及其钠盐（以苯甲酸计）、山梨酸及其钾盐（以山梨酸计）</w:t>
            </w:r>
          </w:p>
        </w:tc>
        <w:tc>
          <w:tcPr>
            <w:tcW w:w="3395" w:type="dxa"/>
            <w:vAlign w:val="center"/>
          </w:tcPr>
          <w:p w14:paraId="21DF572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60BD3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7F47CD3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50BFBD4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2AE119D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1C94601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7CEA3129">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果蔬汁类及其饮料（自制）</w:t>
            </w:r>
          </w:p>
        </w:tc>
        <w:tc>
          <w:tcPr>
            <w:tcW w:w="825" w:type="dxa"/>
            <w:vAlign w:val="center"/>
          </w:tcPr>
          <w:p w14:paraId="1D5925C8">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3100E919">
            <w:pPr>
              <w:pageBreakBefore w:val="0"/>
              <w:widowControl w:val="0"/>
              <w:wordWrap/>
              <w:overflowPunct/>
              <w:topLinePunct w:val="0"/>
              <w:bidi w:val="0"/>
              <w:spacing w:line="300" w:lineRule="exact"/>
              <w:jc w:val="left"/>
              <w:rPr>
                <w:rFonts w:hint="eastAsia" w:ascii="仿宋" w:hAnsi="仿宋" w:eastAsia="仿宋" w:cs="仿宋"/>
                <w:i w:val="0"/>
                <w:iCs w:val="0"/>
                <w:color w:val="auto"/>
                <w:kern w:val="2"/>
                <w:sz w:val="24"/>
                <w:szCs w:val="24"/>
                <w:highlight w:val="none"/>
                <w:lang w:val="en-US" w:eastAsia="zh-CN" w:bidi="ar-SA"/>
              </w:rPr>
            </w:pPr>
            <w:r>
              <w:rPr>
                <w:rFonts w:hint="eastAsia" w:ascii="仿宋" w:hAnsi="仿宋" w:eastAsia="仿宋" w:cs="仿宋"/>
                <w:i w:val="0"/>
                <w:iCs w:val="0"/>
                <w:color w:val="auto"/>
                <w:sz w:val="24"/>
                <w:szCs w:val="24"/>
                <w:highlight w:val="none"/>
                <w:lang w:val="en-US" w:eastAsia="zh-CN"/>
              </w:rPr>
              <w:t>安赛蜜、</w:t>
            </w:r>
            <w:r>
              <w:rPr>
                <w:rFonts w:hint="eastAsia" w:ascii="仿宋" w:hAnsi="仿宋" w:eastAsia="仿宋" w:cs="仿宋"/>
                <w:i w:val="0"/>
                <w:iCs w:val="0"/>
                <w:color w:val="auto"/>
                <w:sz w:val="24"/>
                <w:szCs w:val="24"/>
                <w:highlight w:val="none"/>
              </w:rPr>
              <w:t>三氯蔗糖</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color w:val="auto"/>
                <w:spacing w:val="5"/>
                <w:sz w:val="24"/>
                <w:szCs w:val="24"/>
                <w:highlight w:val="none"/>
                <w:lang w:eastAsia="zh-CN"/>
              </w:rPr>
              <w:t>糖精钠（以糖精计）、甜蜜素（以环己基氨基磺酸计）、合成着色剂</w:t>
            </w:r>
            <w:r>
              <w:rPr>
                <w:rFonts w:hint="eastAsia" w:ascii="仿宋" w:hAnsi="仿宋" w:eastAsia="仿宋" w:cs="仿宋"/>
                <w:i w:val="0"/>
                <w:iCs w:val="0"/>
                <w:color w:val="auto"/>
                <w:sz w:val="24"/>
                <w:szCs w:val="24"/>
                <w:highlight w:val="none"/>
              </w:rPr>
              <w:t>（苋菜红、胭脂红、柠檬黄、日落黄、亮蓝）</w:t>
            </w:r>
          </w:p>
        </w:tc>
        <w:tc>
          <w:tcPr>
            <w:tcW w:w="3395" w:type="dxa"/>
            <w:vAlign w:val="center"/>
          </w:tcPr>
          <w:p w14:paraId="56F08421">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3E46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65B816A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64095BB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2286D9D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5AA27C56">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5C937A40">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其他饮料（自制）</w:t>
            </w:r>
          </w:p>
        </w:tc>
        <w:tc>
          <w:tcPr>
            <w:tcW w:w="825" w:type="dxa"/>
            <w:vAlign w:val="center"/>
          </w:tcPr>
          <w:p w14:paraId="5BC74BCE">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006D302">
            <w:pPr>
              <w:pageBreakBefore w:val="0"/>
              <w:widowControl w:val="0"/>
              <w:wordWrap/>
              <w:overflowPunct/>
              <w:topLinePunct w:val="0"/>
              <w:bidi w:val="0"/>
              <w:spacing w:line="300" w:lineRule="exact"/>
              <w:jc w:val="left"/>
              <w:rPr>
                <w:rFonts w:hint="eastAsia" w:ascii="仿宋" w:hAnsi="仿宋" w:eastAsia="仿宋" w:cs="仿宋"/>
                <w:i w:val="0"/>
                <w:iCs w:val="0"/>
                <w:color w:val="auto"/>
                <w:kern w:val="2"/>
                <w:sz w:val="24"/>
                <w:szCs w:val="24"/>
                <w:highlight w:val="none"/>
                <w:lang w:val="en-US" w:eastAsia="zh-CN" w:bidi="ar-SA"/>
              </w:rPr>
            </w:pPr>
            <w:r>
              <w:rPr>
                <w:rFonts w:hint="eastAsia" w:ascii="仿宋" w:hAnsi="仿宋" w:eastAsia="仿宋" w:cs="仿宋"/>
                <w:i w:val="0"/>
                <w:iCs w:val="0"/>
                <w:color w:val="auto"/>
                <w:sz w:val="24"/>
                <w:szCs w:val="24"/>
                <w:highlight w:val="none"/>
                <w:lang w:val="en-US" w:eastAsia="zh-CN"/>
              </w:rPr>
              <w:t>安赛蜜、</w:t>
            </w:r>
            <w:r>
              <w:rPr>
                <w:rFonts w:hint="eastAsia" w:ascii="仿宋" w:hAnsi="仿宋" w:eastAsia="仿宋" w:cs="仿宋"/>
                <w:i w:val="0"/>
                <w:iCs w:val="0"/>
                <w:color w:val="auto"/>
                <w:sz w:val="24"/>
                <w:szCs w:val="24"/>
                <w:highlight w:val="none"/>
              </w:rPr>
              <w:t>三氯蔗糖</w:t>
            </w:r>
            <w:r>
              <w:rPr>
                <w:rFonts w:hint="eastAsia" w:ascii="仿宋" w:hAnsi="仿宋" w:eastAsia="仿宋" w:cs="仿宋"/>
                <w:i w:val="0"/>
                <w:iCs w:val="0"/>
                <w:color w:val="auto"/>
                <w:sz w:val="24"/>
                <w:szCs w:val="24"/>
                <w:highlight w:val="none"/>
                <w:lang w:eastAsia="zh-CN"/>
              </w:rPr>
              <w:t>、</w:t>
            </w:r>
            <w:r>
              <w:rPr>
                <w:rFonts w:hint="eastAsia" w:ascii="仿宋" w:hAnsi="仿宋" w:eastAsia="仿宋" w:cs="仿宋"/>
                <w:color w:val="auto"/>
                <w:spacing w:val="5"/>
                <w:sz w:val="24"/>
                <w:szCs w:val="24"/>
                <w:highlight w:val="none"/>
                <w:lang w:eastAsia="zh-CN"/>
              </w:rPr>
              <w:t>糖精钠（以糖精计）、甜蜜素（以环己基氨基磺酸计）、合成着色剂</w:t>
            </w:r>
            <w:r>
              <w:rPr>
                <w:rFonts w:hint="eastAsia" w:ascii="仿宋" w:hAnsi="仿宋" w:eastAsia="仿宋" w:cs="仿宋"/>
                <w:i w:val="0"/>
                <w:iCs w:val="0"/>
                <w:color w:val="auto"/>
                <w:sz w:val="24"/>
                <w:szCs w:val="24"/>
                <w:highlight w:val="none"/>
              </w:rPr>
              <w:t>（苋菜红、胭脂红、柠檬黄、日落黄、亮蓝）</w:t>
            </w:r>
          </w:p>
        </w:tc>
        <w:tc>
          <w:tcPr>
            <w:tcW w:w="3395" w:type="dxa"/>
            <w:vAlign w:val="center"/>
          </w:tcPr>
          <w:p w14:paraId="061C94EA">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091CD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5DC3167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3ED18EE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7B3691F8">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eastAsia="zh-CN"/>
              </w:rPr>
            </w:pPr>
            <w:r>
              <w:rPr>
                <w:rFonts w:hint="eastAsia" w:ascii="仿宋" w:hAnsi="仿宋" w:eastAsia="仿宋" w:cs="仿宋"/>
                <w:color w:val="auto"/>
                <w:spacing w:val="5"/>
                <w:sz w:val="24"/>
                <w:szCs w:val="24"/>
                <w:highlight w:val="none"/>
                <w:lang w:eastAsia="zh-CN"/>
              </w:rPr>
              <w:t>餐饮具</w:t>
            </w:r>
          </w:p>
          <w:p w14:paraId="540A8495">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p>
        </w:tc>
        <w:tc>
          <w:tcPr>
            <w:tcW w:w="1356" w:type="dxa"/>
            <w:vMerge w:val="restart"/>
            <w:vAlign w:val="center"/>
          </w:tcPr>
          <w:p w14:paraId="28FA3356">
            <w:pPr>
              <w:pageBreakBefore w:val="0"/>
              <w:widowControl w:val="0"/>
              <w:wordWrap/>
              <w:overflowPunct/>
              <w:topLinePunct w:val="0"/>
              <w:bidi w:val="0"/>
              <w:spacing w:line="300" w:lineRule="exact"/>
              <w:jc w:val="center"/>
              <w:rPr>
                <w:rFonts w:hint="eastAsia" w:ascii="仿宋" w:hAnsi="仿宋" w:eastAsia="仿宋" w:cs="仿宋"/>
                <w:color w:val="auto"/>
                <w:spacing w:val="5"/>
                <w:sz w:val="24"/>
                <w:szCs w:val="24"/>
                <w:highlight w:val="none"/>
                <w:lang w:val="en-US" w:eastAsia="zh-CN"/>
              </w:rPr>
            </w:pPr>
            <w:r>
              <w:rPr>
                <w:rFonts w:hint="eastAsia" w:ascii="仿宋" w:hAnsi="仿宋" w:eastAsia="仿宋" w:cs="仿宋"/>
                <w:color w:val="auto"/>
                <w:spacing w:val="5"/>
                <w:sz w:val="24"/>
                <w:szCs w:val="24"/>
                <w:highlight w:val="none"/>
                <w:lang w:val="en-US" w:eastAsia="zh-CN"/>
              </w:rPr>
              <w:t>复用餐饮具</w:t>
            </w:r>
          </w:p>
          <w:p w14:paraId="361F4169">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p>
        </w:tc>
        <w:tc>
          <w:tcPr>
            <w:tcW w:w="1733" w:type="dxa"/>
            <w:vAlign w:val="center"/>
          </w:tcPr>
          <w:p w14:paraId="6E73106A">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复用餐饮具（餐馆自行消毒）</w:t>
            </w:r>
          </w:p>
        </w:tc>
        <w:tc>
          <w:tcPr>
            <w:tcW w:w="825" w:type="dxa"/>
            <w:vAlign w:val="center"/>
          </w:tcPr>
          <w:p w14:paraId="47090459">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较高</w:t>
            </w:r>
          </w:p>
        </w:tc>
        <w:tc>
          <w:tcPr>
            <w:tcW w:w="4459" w:type="dxa"/>
            <w:vAlign w:val="center"/>
          </w:tcPr>
          <w:p w14:paraId="4D39A4D5">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阴离子合成洗涤剂（以十二烷基苯酸钠计）、大肠菌群</w:t>
            </w:r>
          </w:p>
        </w:tc>
        <w:tc>
          <w:tcPr>
            <w:tcW w:w="3395" w:type="dxa"/>
            <w:vAlign w:val="center"/>
          </w:tcPr>
          <w:p w14:paraId="72B78EA3">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0637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67E89A9">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0338910D">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1C8EB743">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Merge w:val="continue"/>
            <w:vAlign w:val="center"/>
          </w:tcPr>
          <w:p w14:paraId="7112DDB0">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733" w:type="dxa"/>
            <w:vAlign w:val="center"/>
          </w:tcPr>
          <w:p w14:paraId="5A50EBF1">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复用餐饮具（集中清洗消毒服务单位消毒）</w:t>
            </w:r>
          </w:p>
        </w:tc>
        <w:tc>
          <w:tcPr>
            <w:tcW w:w="825" w:type="dxa"/>
            <w:vAlign w:val="center"/>
          </w:tcPr>
          <w:p w14:paraId="27C5DFC9">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较高</w:t>
            </w:r>
          </w:p>
        </w:tc>
        <w:tc>
          <w:tcPr>
            <w:tcW w:w="4459" w:type="dxa"/>
            <w:vAlign w:val="center"/>
          </w:tcPr>
          <w:p w14:paraId="4E7905B0">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阴离子合成洗涤剂（以十二烷基苯酸钠计）、大肠菌群</w:t>
            </w:r>
          </w:p>
        </w:tc>
        <w:tc>
          <w:tcPr>
            <w:tcW w:w="3395" w:type="dxa"/>
            <w:vAlign w:val="center"/>
          </w:tcPr>
          <w:p w14:paraId="361C83F6">
            <w:pPr>
              <w:pageBreakBefore w:val="0"/>
              <w:widowControl w:val="0"/>
              <w:wordWrap/>
              <w:overflowPunct/>
              <w:topLinePunct w:val="0"/>
              <w:bidi w:val="0"/>
              <w:spacing w:line="300" w:lineRule="exact"/>
              <w:jc w:val="left"/>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val="en-US" w:eastAsia="zh-CN"/>
              </w:rPr>
              <w:t>/</w:t>
            </w:r>
          </w:p>
        </w:tc>
      </w:tr>
      <w:tr w14:paraId="0923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 w:hRule="atLeast"/>
        </w:trPr>
        <w:tc>
          <w:tcPr>
            <w:tcW w:w="438" w:type="dxa"/>
            <w:vMerge w:val="continue"/>
            <w:vAlign w:val="center"/>
          </w:tcPr>
          <w:p w14:paraId="22B8496C">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Merge w:val="continue"/>
            <w:vAlign w:val="center"/>
          </w:tcPr>
          <w:p w14:paraId="19CEB902">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restart"/>
            <w:vAlign w:val="center"/>
          </w:tcPr>
          <w:p w14:paraId="6C85C94C">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果蔬类</w:t>
            </w:r>
            <w:r>
              <w:rPr>
                <w:rFonts w:hint="eastAsia" w:ascii="仿宋" w:hAnsi="仿宋" w:eastAsia="仿宋" w:cs="仿宋"/>
                <w:color w:val="auto"/>
                <w:spacing w:val="5"/>
                <w:sz w:val="24"/>
                <w:szCs w:val="24"/>
                <w:highlight w:val="none"/>
                <w:lang w:val="en-US" w:eastAsia="zh-CN"/>
              </w:rPr>
              <w:t>制品</w:t>
            </w:r>
            <w:r>
              <w:rPr>
                <w:rFonts w:hint="eastAsia" w:ascii="仿宋" w:hAnsi="仿宋" w:eastAsia="仿宋" w:cs="仿宋"/>
                <w:color w:val="auto"/>
                <w:spacing w:val="5"/>
                <w:sz w:val="24"/>
                <w:szCs w:val="24"/>
                <w:highlight w:val="none"/>
                <w:lang w:eastAsia="zh-CN"/>
              </w:rPr>
              <w:t>（自制）</w:t>
            </w:r>
          </w:p>
        </w:tc>
        <w:tc>
          <w:tcPr>
            <w:tcW w:w="1356" w:type="dxa"/>
            <w:vAlign w:val="center"/>
          </w:tcPr>
          <w:p w14:paraId="0985DCDB">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蔬菜类制品（自制）</w:t>
            </w:r>
          </w:p>
        </w:tc>
        <w:tc>
          <w:tcPr>
            <w:tcW w:w="1733" w:type="dxa"/>
            <w:vAlign w:val="center"/>
          </w:tcPr>
          <w:p w14:paraId="2C8D68F4">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eastAsia="zh-CN"/>
              </w:rPr>
              <w:t>酱腌菜（自制）</w:t>
            </w:r>
          </w:p>
        </w:tc>
        <w:tc>
          <w:tcPr>
            <w:tcW w:w="825" w:type="dxa"/>
            <w:vAlign w:val="center"/>
          </w:tcPr>
          <w:p w14:paraId="7794CAB3">
            <w:pPr>
              <w:pageBreakBefore w:val="0"/>
              <w:widowControl w:val="0"/>
              <w:wordWrap/>
              <w:overflowPunct/>
              <w:topLinePunct w:val="0"/>
              <w:bidi w:val="0"/>
              <w:spacing w:line="300" w:lineRule="exact"/>
              <w:jc w:val="center"/>
              <w:rPr>
                <w:rFonts w:hint="eastAsia" w:ascii="仿宋" w:hAnsi="仿宋" w:eastAsia="仿宋" w:cs="仿宋"/>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0897AC7D">
            <w:pPr>
              <w:pageBreakBefore w:val="0"/>
              <w:widowControl w:val="0"/>
              <w:wordWrap/>
              <w:overflowPunct/>
              <w:topLinePunct w:val="0"/>
              <w:bidi w:val="0"/>
              <w:spacing w:line="300" w:lineRule="exact"/>
              <w:jc w:val="left"/>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color w:val="auto"/>
                <w:spacing w:val="5"/>
                <w:sz w:val="24"/>
                <w:szCs w:val="24"/>
                <w:highlight w:val="none"/>
                <w:lang w:eastAsia="zh-CN"/>
              </w:rPr>
              <w:t>二氧化硫残留量、甜蜜素（以环己基氨基磺酸计）、糖精钠（以糖精计）、苯甲酸及其钠盐（以苯甲酸计）、山梨酸及其钾盐（以山梨酸计）、</w:t>
            </w:r>
            <w:r>
              <w:rPr>
                <w:rFonts w:hint="eastAsia" w:ascii="仿宋" w:hAnsi="仿宋" w:eastAsia="仿宋" w:cs="仿宋"/>
                <w:b w:val="0"/>
                <w:bCs w:val="0"/>
                <w:color w:val="auto"/>
                <w:spacing w:val="5"/>
                <w:sz w:val="24"/>
                <w:szCs w:val="24"/>
                <w:highlight w:val="none"/>
                <w:lang w:eastAsia="zh-CN"/>
              </w:rPr>
              <w:t>脱氢乙酸及其钠盐（以脱氢乙酸计）</w:t>
            </w:r>
          </w:p>
        </w:tc>
        <w:tc>
          <w:tcPr>
            <w:tcW w:w="3395" w:type="dxa"/>
            <w:vAlign w:val="center"/>
          </w:tcPr>
          <w:p w14:paraId="53E165A3">
            <w:pPr>
              <w:pageBreakBefore w:val="0"/>
              <w:widowControl w:val="0"/>
              <w:wordWrap/>
              <w:overflowPunct/>
              <w:topLinePunct w:val="0"/>
              <w:bidi w:val="0"/>
              <w:spacing w:line="300" w:lineRule="exact"/>
              <w:jc w:val="left"/>
              <w:rPr>
                <w:rFonts w:hint="eastAsia" w:ascii="仿宋" w:hAnsi="仿宋" w:eastAsia="仿宋" w:cs="仿宋"/>
                <w:color w:val="auto"/>
                <w:spacing w:val="2"/>
                <w:kern w:val="2"/>
                <w:sz w:val="24"/>
                <w:szCs w:val="24"/>
                <w:highlight w:val="none"/>
                <w:lang w:val="en-US" w:eastAsia="zh-CN" w:bidi="ar-SA"/>
              </w:rPr>
            </w:pPr>
          </w:p>
        </w:tc>
      </w:tr>
      <w:tr w14:paraId="6899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Align w:val="center"/>
          </w:tcPr>
          <w:p w14:paraId="4CBF15EB">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4" w:type="dxa"/>
            <w:vAlign w:val="center"/>
          </w:tcPr>
          <w:p w14:paraId="728080D5">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065" w:type="dxa"/>
            <w:vMerge w:val="continue"/>
            <w:vAlign w:val="center"/>
          </w:tcPr>
          <w:p w14:paraId="480CA8EF">
            <w:pPr>
              <w:keepNext w:val="0"/>
              <w:keepLines w:val="0"/>
              <w:pageBreakBefore w:val="0"/>
              <w:widowControl w:val="0"/>
              <w:suppressLineNumbers w:val="0"/>
              <w:wordWrap/>
              <w:overflowPunct/>
              <w:topLinePunct w:val="0"/>
              <w:bidi w:val="0"/>
              <w:spacing w:line="300" w:lineRule="exact"/>
              <w:jc w:val="center"/>
              <w:textAlignment w:val="center"/>
              <w:rPr>
                <w:rFonts w:hint="eastAsia" w:ascii="仿宋" w:hAnsi="仿宋" w:eastAsia="仿宋" w:cs="仿宋"/>
                <w:i w:val="0"/>
                <w:iCs w:val="0"/>
                <w:color w:val="auto"/>
                <w:kern w:val="0"/>
                <w:sz w:val="24"/>
                <w:szCs w:val="24"/>
                <w:highlight w:val="none"/>
                <w:u w:val="none"/>
                <w:lang w:val="en-US" w:eastAsia="zh-CN" w:bidi="ar"/>
              </w:rPr>
            </w:pPr>
          </w:p>
        </w:tc>
        <w:tc>
          <w:tcPr>
            <w:tcW w:w="1356" w:type="dxa"/>
            <w:vAlign w:val="center"/>
          </w:tcPr>
          <w:p w14:paraId="320803AF">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水果类食品（自制）</w:t>
            </w:r>
          </w:p>
        </w:tc>
        <w:tc>
          <w:tcPr>
            <w:tcW w:w="1733" w:type="dxa"/>
            <w:vAlign w:val="center"/>
          </w:tcPr>
          <w:p w14:paraId="5714EDE8">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即食鲜切水果（自制）</w:t>
            </w:r>
          </w:p>
        </w:tc>
        <w:tc>
          <w:tcPr>
            <w:tcW w:w="825" w:type="dxa"/>
            <w:vAlign w:val="center"/>
          </w:tcPr>
          <w:p w14:paraId="6A8210C3">
            <w:pPr>
              <w:pageBreakBefore w:val="0"/>
              <w:widowControl w:val="0"/>
              <w:wordWrap/>
              <w:overflowPunct/>
              <w:topLinePunct w:val="0"/>
              <w:bidi w:val="0"/>
              <w:spacing w:line="300" w:lineRule="exact"/>
              <w:jc w:val="center"/>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较高</w:t>
            </w:r>
          </w:p>
        </w:tc>
        <w:tc>
          <w:tcPr>
            <w:tcW w:w="4459" w:type="dxa"/>
            <w:vAlign w:val="center"/>
          </w:tcPr>
          <w:p w14:paraId="1C8C418C">
            <w:pPr>
              <w:pageBreakBefore w:val="0"/>
              <w:widowControl w:val="0"/>
              <w:wordWrap/>
              <w:overflowPunct/>
              <w:topLinePunct w:val="0"/>
              <w:bidi w:val="0"/>
              <w:spacing w:line="300" w:lineRule="exact"/>
              <w:jc w:val="left"/>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苯甲酸及其钠盐（以苯甲酸计）、山梨酸及其钾盐（以山梨酸计）、脱氢乙酸及其钠盐（以脱氢乙酸计）、糖精钠（以糖精计）、甜蜜素（以环己基氨基磺酸计）、合成着色剂（苋菜红、胭脂红、柠檬黄、日落黄、亮蓝）</w:t>
            </w:r>
          </w:p>
        </w:tc>
        <w:tc>
          <w:tcPr>
            <w:tcW w:w="3395" w:type="dxa"/>
            <w:vAlign w:val="center"/>
          </w:tcPr>
          <w:p w14:paraId="18DFCD60">
            <w:pPr>
              <w:pageBreakBefore w:val="0"/>
              <w:widowControl w:val="0"/>
              <w:wordWrap/>
              <w:overflowPunct/>
              <w:topLinePunct w:val="0"/>
              <w:bidi w:val="0"/>
              <w:spacing w:line="300" w:lineRule="exact"/>
              <w:jc w:val="left"/>
              <w:rPr>
                <w:rFonts w:hint="eastAsia" w:ascii="仿宋" w:hAnsi="仿宋" w:eastAsia="仿宋" w:cs="仿宋"/>
                <w:b w:val="0"/>
                <w:bCs w:val="0"/>
                <w:color w:val="auto"/>
                <w:spacing w:val="5"/>
                <w:kern w:val="2"/>
                <w:sz w:val="24"/>
                <w:szCs w:val="24"/>
                <w:highlight w:val="none"/>
                <w:lang w:val="en-US" w:eastAsia="zh-CN" w:bidi="ar-SA"/>
              </w:rPr>
            </w:pPr>
            <w:r>
              <w:rPr>
                <w:rFonts w:hint="eastAsia" w:ascii="仿宋" w:hAnsi="仿宋" w:eastAsia="仿宋" w:cs="仿宋"/>
                <w:b w:val="0"/>
                <w:bCs w:val="0"/>
                <w:color w:val="auto"/>
                <w:spacing w:val="5"/>
                <w:sz w:val="24"/>
                <w:szCs w:val="24"/>
                <w:highlight w:val="none"/>
                <w:lang w:val="en-US" w:eastAsia="zh-CN"/>
              </w:rPr>
              <w:t>/</w:t>
            </w:r>
          </w:p>
        </w:tc>
      </w:tr>
      <w:tr w14:paraId="7C28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restart"/>
            <w:vAlign w:val="center"/>
          </w:tcPr>
          <w:p w14:paraId="33AF2CE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w:t>
            </w:r>
          </w:p>
        </w:tc>
        <w:tc>
          <w:tcPr>
            <w:tcW w:w="1064" w:type="dxa"/>
            <w:vMerge w:val="restart"/>
            <w:vAlign w:val="center"/>
          </w:tcPr>
          <w:p w14:paraId="7B3BDF9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食品添加剂</w:t>
            </w:r>
          </w:p>
        </w:tc>
        <w:tc>
          <w:tcPr>
            <w:tcW w:w="1065" w:type="dxa"/>
            <w:vMerge w:val="restart"/>
            <w:vAlign w:val="center"/>
          </w:tcPr>
          <w:p w14:paraId="0846B34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食品添加剂</w:t>
            </w:r>
          </w:p>
        </w:tc>
        <w:tc>
          <w:tcPr>
            <w:tcW w:w="1356" w:type="dxa"/>
            <w:vAlign w:val="center"/>
          </w:tcPr>
          <w:p w14:paraId="24DEA97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单一食品添加剂</w:t>
            </w:r>
          </w:p>
        </w:tc>
        <w:tc>
          <w:tcPr>
            <w:tcW w:w="1733" w:type="dxa"/>
            <w:vAlign w:val="center"/>
          </w:tcPr>
          <w:p w14:paraId="6A01ACB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明胶</w:t>
            </w:r>
          </w:p>
        </w:tc>
        <w:tc>
          <w:tcPr>
            <w:tcW w:w="825" w:type="dxa"/>
            <w:vAlign w:val="center"/>
          </w:tcPr>
          <w:p w14:paraId="682C4ED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62C7E3E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铬</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Cr</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As</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、二氧化硫、过氧化物</w:t>
            </w:r>
          </w:p>
        </w:tc>
        <w:tc>
          <w:tcPr>
            <w:tcW w:w="3395" w:type="dxa"/>
            <w:vAlign w:val="center"/>
          </w:tcPr>
          <w:p w14:paraId="485ECBF2">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35C8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18F907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98A199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63385B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477BC24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复配食品添加剂</w:t>
            </w:r>
          </w:p>
        </w:tc>
        <w:tc>
          <w:tcPr>
            <w:tcW w:w="1733" w:type="dxa"/>
            <w:vAlign w:val="center"/>
          </w:tcPr>
          <w:p w14:paraId="58EC87F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复配食品添加剂</w:t>
            </w:r>
          </w:p>
        </w:tc>
        <w:tc>
          <w:tcPr>
            <w:tcW w:w="825" w:type="dxa"/>
            <w:vAlign w:val="center"/>
          </w:tcPr>
          <w:p w14:paraId="1AAD39A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较高</w:t>
            </w:r>
          </w:p>
        </w:tc>
        <w:tc>
          <w:tcPr>
            <w:tcW w:w="4459" w:type="dxa"/>
            <w:vAlign w:val="center"/>
          </w:tcPr>
          <w:p w14:paraId="4767336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、致病性微生物</w:t>
            </w:r>
          </w:p>
        </w:tc>
        <w:tc>
          <w:tcPr>
            <w:tcW w:w="3395" w:type="dxa"/>
            <w:vAlign w:val="center"/>
          </w:tcPr>
          <w:p w14:paraId="737E1F5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705E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5D9093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0C8E5F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832315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Align w:val="center"/>
          </w:tcPr>
          <w:p w14:paraId="2C45CAC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食品用香精</w:t>
            </w:r>
          </w:p>
        </w:tc>
        <w:tc>
          <w:tcPr>
            <w:tcW w:w="1733" w:type="dxa"/>
            <w:vAlign w:val="center"/>
          </w:tcPr>
          <w:p w14:paraId="26E5D06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食品用香精</w:t>
            </w:r>
          </w:p>
        </w:tc>
        <w:tc>
          <w:tcPr>
            <w:tcW w:w="825" w:type="dxa"/>
            <w:vAlign w:val="center"/>
          </w:tcPr>
          <w:p w14:paraId="37BA2B9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69A1531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含量/无机砷含量、菌落总数</w:t>
            </w:r>
          </w:p>
        </w:tc>
        <w:tc>
          <w:tcPr>
            <w:tcW w:w="3395" w:type="dxa"/>
            <w:vAlign w:val="center"/>
          </w:tcPr>
          <w:p w14:paraId="4F58D46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4ABD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0F2B43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9A154B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BEFBDA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restart"/>
            <w:vAlign w:val="center"/>
          </w:tcPr>
          <w:p w14:paraId="5CBD3F1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单一食品添加剂</w:t>
            </w:r>
          </w:p>
          <w:p w14:paraId="102D4D0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5A19BC7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糖精钠</w:t>
            </w:r>
          </w:p>
        </w:tc>
        <w:tc>
          <w:tcPr>
            <w:tcW w:w="825" w:type="dxa"/>
            <w:vAlign w:val="center"/>
          </w:tcPr>
          <w:p w14:paraId="1485383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0F68235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糖精钠含量、干燥失重、总砷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、酸度和碱度、苯甲酸盐和水杨酸盐</w:t>
            </w:r>
          </w:p>
        </w:tc>
        <w:tc>
          <w:tcPr>
            <w:tcW w:w="3395" w:type="dxa"/>
            <w:vAlign w:val="center"/>
          </w:tcPr>
          <w:p w14:paraId="6FA46BC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7080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438" w:type="dxa"/>
            <w:vMerge w:val="continue"/>
            <w:vAlign w:val="center"/>
          </w:tcPr>
          <w:p w14:paraId="5316DC1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3BA9DFE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06D3C33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660B2502">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0E795CD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环己基氨基磺酸钠</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又名甜蜜素</w:t>
            </w:r>
            <w:r>
              <w:rPr>
                <w:rFonts w:hint="eastAsia" w:ascii="仿宋" w:hAnsi="仿宋" w:eastAsia="仿宋" w:cs="仿宋"/>
                <w:color w:val="auto"/>
                <w:sz w:val="24"/>
                <w:szCs w:val="24"/>
                <w:highlight w:val="none"/>
                <w:lang w:eastAsia="zh-CN"/>
              </w:rPr>
              <w:t>）</w:t>
            </w:r>
          </w:p>
        </w:tc>
        <w:tc>
          <w:tcPr>
            <w:tcW w:w="825" w:type="dxa"/>
            <w:vAlign w:val="center"/>
          </w:tcPr>
          <w:p w14:paraId="65EB603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5477AF3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环己基氨基磺酸钠含量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以干基计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、硫酸盐（以SO</w:t>
            </w:r>
            <w:r>
              <w:rPr>
                <w:rFonts w:hint="eastAsia" w:ascii="仿宋" w:hAnsi="仿宋" w:eastAsia="仿宋" w:cs="仿宋"/>
                <w:color w:val="auto"/>
                <w:sz w:val="24"/>
                <w:szCs w:val="24"/>
                <w:highlight w:val="none"/>
                <w:vertAlign w:val="subscript"/>
              </w:rPr>
              <w:t>4</w:t>
            </w:r>
            <w:r>
              <w:rPr>
                <w:rFonts w:hint="eastAsia" w:ascii="仿宋" w:hAnsi="仿宋" w:eastAsia="仿宋" w:cs="仿宋"/>
                <w:color w:val="auto"/>
                <w:sz w:val="24"/>
                <w:szCs w:val="24"/>
                <w:highlight w:val="none"/>
              </w:rPr>
              <w:t>计）、干燥减量、重金属</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As</w:t>
            </w:r>
            <w:r>
              <w:rPr>
                <w:rFonts w:hint="eastAsia" w:ascii="仿宋" w:hAnsi="仿宋" w:eastAsia="仿宋" w:cs="仿宋"/>
                <w:color w:val="auto"/>
                <w:sz w:val="24"/>
                <w:szCs w:val="24"/>
                <w:highlight w:val="none"/>
                <w:lang w:eastAsia="zh-CN"/>
              </w:rPr>
              <w:t>）</w:t>
            </w:r>
          </w:p>
        </w:tc>
        <w:tc>
          <w:tcPr>
            <w:tcW w:w="3395" w:type="dxa"/>
            <w:vAlign w:val="center"/>
          </w:tcPr>
          <w:p w14:paraId="56F82418">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w:t>
            </w:r>
          </w:p>
        </w:tc>
      </w:tr>
      <w:tr w14:paraId="183D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D547D6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7EF0DA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98448D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303A104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2F809EE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碳酸钠</w:t>
            </w:r>
          </w:p>
        </w:tc>
        <w:tc>
          <w:tcPr>
            <w:tcW w:w="825" w:type="dxa"/>
            <w:vAlign w:val="center"/>
          </w:tcPr>
          <w:p w14:paraId="3E59820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0DE00D7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总碱量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以Na</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rPr>
              <w:t>CO</w:t>
            </w:r>
            <w:r>
              <w:rPr>
                <w:rFonts w:hint="eastAsia" w:ascii="仿宋" w:hAnsi="仿宋" w:eastAsia="仿宋" w:cs="仿宋"/>
                <w:color w:val="auto"/>
                <w:sz w:val="24"/>
                <w:szCs w:val="24"/>
                <w:highlight w:val="none"/>
                <w:vertAlign w:val="subscript"/>
              </w:rPr>
              <w:t>3</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以干基计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、总碱量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以Na</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rPr>
              <w:t>CO</w:t>
            </w:r>
            <w:r>
              <w:rPr>
                <w:rFonts w:hint="eastAsia" w:ascii="仿宋" w:hAnsi="仿宋" w:eastAsia="仿宋" w:cs="仿宋"/>
                <w:color w:val="auto"/>
                <w:sz w:val="24"/>
                <w:szCs w:val="24"/>
                <w:highlight w:val="none"/>
                <w:vertAlign w:val="subscript"/>
              </w:rPr>
              <w:t>3</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以湿基计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、水不溶物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以干基计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、氯化物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以NaCl计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以干基计</w:t>
            </w:r>
            <w:r>
              <w:rPr>
                <w:rFonts w:hint="eastAsia" w:ascii="仿宋" w:hAnsi="仿宋" w:eastAsia="仿宋" w:cs="仿宋"/>
                <w:color w:val="auto"/>
                <w:sz w:val="24"/>
                <w:szCs w:val="24"/>
                <w:highlight w:val="none"/>
                <w:lang w:eastAsia="zh-CN"/>
              </w:rPr>
              <w:t>）</w:t>
            </w:r>
          </w:p>
        </w:tc>
        <w:tc>
          <w:tcPr>
            <w:tcW w:w="3395" w:type="dxa"/>
            <w:vAlign w:val="center"/>
          </w:tcPr>
          <w:p w14:paraId="18A2AF3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以干基计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As</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以干基计</w:t>
            </w:r>
            <w:r>
              <w:rPr>
                <w:rFonts w:hint="eastAsia" w:ascii="仿宋" w:hAnsi="仿宋" w:eastAsia="仿宋" w:cs="仿宋"/>
                <w:color w:val="auto"/>
                <w:sz w:val="24"/>
                <w:szCs w:val="24"/>
                <w:highlight w:val="none"/>
                <w:lang w:eastAsia="zh-CN"/>
              </w:rPr>
              <w:t>）</w:t>
            </w:r>
          </w:p>
        </w:tc>
      </w:tr>
      <w:tr w14:paraId="70E1B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2001A75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FDCBE9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0EA870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15EBB4F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55EDAD0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碳酸氢钠</w:t>
            </w:r>
          </w:p>
        </w:tc>
        <w:tc>
          <w:tcPr>
            <w:tcW w:w="825" w:type="dxa"/>
            <w:vAlign w:val="center"/>
          </w:tcPr>
          <w:p w14:paraId="69F1900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335BC3C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总碱量</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以NaHCO</w:t>
            </w:r>
            <w:r>
              <w:rPr>
                <w:rFonts w:hint="eastAsia" w:ascii="仿宋" w:hAnsi="仿宋" w:eastAsia="仿宋" w:cs="仿宋"/>
                <w:color w:val="auto"/>
                <w:sz w:val="24"/>
                <w:szCs w:val="24"/>
                <w:highlight w:val="none"/>
                <w:vertAlign w:val="subscript"/>
              </w:rPr>
              <w:t>3</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、干燥减量、pH</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10g/L水溶液</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、铵盐、澄清度、氯化物</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以Cl计</w:t>
            </w:r>
            <w:r>
              <w:rPr>
                <w:rFonts w:hint="eastAsia" w:ascii="仿宋" w:hAnsi="仿宋" w:eastAsia="仿宋" w:cs="仿宋"/>
                <w:color w:val="auto"/>
                <w:sz w:val="24"/>
                <w:szCs w:val="24"/>
                <w:highlight w:val="none"/>
                <w:lang w:eastAsia="zh-CN"/>
              </w:rPr>
              <w:t>）</w:t>
            </w:r>
          </w:p>
        </w:tc>
        <w:tc>
          <w:tcPr>
            <w:tcW w:w="3395" w:type="dxa"/>
            <w:vAlign w:val="center"/>
          </w:tcPr>
          <w:p w14:paraId="3213CA5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白度、砷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As</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、重金属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p>
        </w:tc>
      </w:tr>
      <w:tr w14:paraId="3DE5C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3AC12673">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36F1BB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0F9BB7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6E8B2EE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5B2F072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焦糖色</w:t>
            </w:r>
          </w:p>
        </w:tc>
        <w:tc>
          <w:tcPr>
            <w:tcW w:w="825" w:type="dxa"/>
            <w:vAlign w:val="center"/>
          </w:tcPr>
          <w:p w14:paraId="7CEB2AD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3609735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吸光度 </w:t>
            </w:r>
            <m:oMath>
              <m:sSubSup>
                <m:sSubSupPr>
                  <m:ctrlPr>
                    <w:rPr>
                      <w:rFonts w:hint="eastAsia" w:ascii="Cambria Math" w:hAnsi="Cambria Math" w:eastAsia="仿宋" w:cs="仿宋"/>
                      <w:color w:val="auto"/>
                      <w:sz w:val="24"/>
                      <w:szCs w:val="24"/>
                      <w:highlight w:val="none"/>
                    </w:rPr>
                  </m:ctrlPr>
                </m:sSubSupPr>
                <m:e>
                  <m:r>
                    <m:rPr>
                      <m:nor/>
                      <m:sty m:val="p"/>
                    </m:rPr>
                    <w:rPr>
                      <w:rFonts w:hint="eastAsia" w:ascii="Cambria Math" w:hAnsi="Cambria Math" w:eastAsia="仿宋" w:cs="仿宋"/>
                      <w:b w:val="0"/>
                      <w:i w:val="0"/>
                      <w:color w:val="auto"/>
                      <w:sz w:val="24"/>
                      <w:szCs w:val="24"/>
                      <w:highlight w:val="none"/>
                    </w:rPr>
                    <m:t>E</m:t>
                  </m:r>
                  <m:ctrlPr>
                    <w:rPr>
                      <w:rFonts w:hint="eastAsia" w:ascii="Cambria Math" w:hAnsi="Cambria Math" w:eastAsia="仿宋" w:cs="仿宋"/>
                      <w:color w:val="auto"/>
                      <w:sz w:val="24"/>
                      <w:szCs w:val="24"/>
                      <w:highlight w:val="none"/>
                    </w:rPr>
                  </m:ctrlPr>
                </m:e>
                <m:sub>
                  <m:r>
                    <m:rPr>
                      <m:nor/>
                      <m:sty m:val="p"/>
                    </m:rPr>
                    <w:rPr>
                      <w:rFonts w:hint="eastAsia" w:ascii="Cambria Math" w:hAnsi="Cambria Math" w:eastAsia="仿宋" w:cs="仿宋"/>
                      <w:b w:val="0"/>
                      <w:i w:val="0"/>
                      <w:color w:val="auto"/>
                      <w:sz w:val="24"/>
                      <w:szCs w:val="24"/>
                      <w:highlight w:val="none"/>
                    </w:rPr>
                    <m:t>lcm</m:t>
                  </m:r>
                  <m:ctrlPr>
                    <w:rPr>
                      <w:rFonts w:hint="eastAsia" w:ascii="Cambria Math" w:hAnsi="Cambria Math" w:eastAsia="仿宋" w:cs="仿宋"/>
                      <w:color w:val="auto"/>
                      <w:sz w:val="24"/>
                      <w:szCs w:val="24"/>
                      <w:highlight w:val="none"/>
                    </w:rPr>
                  </m:ctrlPr>
                </m:sub>
                <m:sup>
                  <m:r>
                    <m:rPr>
                      <m:nor/>
                      <m:sty m:val="p"/>
                    </m:rPr>
                    <w:rPr>
                      <w:rFonts w:hint="eastAsia" w:ascii="Cambria Math" w:hAnsi="Cambria Math" w:eastAsia="仿宋" w:cs="仿宋"/>
                      <w:b w:val="0"/>
                      <w:i w:val="0"/>
                      <w:color w:val="auto"/>
                      <w:sz w:val="24"/>
                      <w:szCs w:val="24"/>
                      <w:highlight w:val="none"/>
                    </w:rPr>
                    <m:t>0.1%</m:t>
                  </m:r>
                  <m:ctrlPr>
                    <w:rPr>
                      <w:rFonts w:hint="eastAsia" w:ascii="Cambria Math" w:hAnsi="Cambria Math" w:eastAsia="仿宋" w:cs="仿宋"/>
                      <w:color w:val="auto"/>
                      <w:sz w:val="24"/>
                      <w:szCs w:val="24"/>
                      <w:highlight w:val="none"/>
                    </w:rPr>
                  </m:ctrlPr>
                </m:sup>
              </m:sSubSup>
              <m:d>
                <m:dPr>
                  <m:ctrlPr>
                    <w:rPr>
                      <w:rFonts w:hint="eastAsia" w:ascii="Cambria Math" w:hAnsi="Cambria Math" w:eastAsia="仿宋" w:cs="仿宋"/>
                      <w:color w:val="auto"/>
                      <w:sz w:val="24"/>
                      <w:szCs w:val="24"/>
                      <w:highlight w:val="none"/>
                    </w:rPr>
                  </m:ctrlPr>
                </m:dPr>
                <m:e>
                  <m:r>
                    <m:rPr>
                      <m:nor/>
                      <m:sty m:val="p"/>
                    </m:rPr>
                    <w:rPr>
                      <w:rFonts w:hint="eastAsia" w:ascii="Cambria Math" w:hAnsi="Cambria Math" w:eastAsia="仿宋" w:cs="仿宋"/>
                      <w:b w:val="0"/>
                      <w:i w:val="0"/>
                      <w:color w:val="auto"/>
                      <w:sz w:val="24"/>
                      <w:szCs w:val="24"/>
                      <w:highlight w:val="none"/>
                    </w:rPr>
                    <m:t>610 nm</m:t>
                  </m:r>
                  <m:ctrlPr>
                    <w:rPr>
                      <w:rFonts w:hint="eastAsia" w:ascii="Cambria Math" w:hAnsi="Cambria Math" w:eastAsia="仿宋" w:cs="仿宋"/>
                      <w:color w:val="auto"/>
                      <w:sz w:val="24"/>
                      <w:szCs w:val="24"/>
                      <w:highlight w:val="none"/>
                    </w:rPr>
                  </m:ctrlPr>
                </m:e>
              </m:d>
            </m:oMath>
            <w:r>
              <w:rPr>
                <w:rFonts w:hint="eastAsia" w:ascii="仿宋" w:hAnsi="仿宋" w:eastAsia="仿宋" w:cs="仿宋"/>
                <w:color w:val="auto"/>
                <w:sz w:val="24"/>
                <w:szCs w:val="24"/>
                <w:highlight w:val="none"/>
              </w:rPr>
              <w:t>、氨氮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、二氧化硫</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以SO</w:t>
            </w:r>
            <w:r>
              <w:rPr>
                <w:rFonts w:hint="eastAsia" w:ascii="仿宋" w:hAnsi="仿宋" w:eastAsia="仿宋" w:cs="仿宋"/>
                <w:color w:val="auto"/>
                <w:sz w:val="24"/>
                <w:szCs w:val="24"/>
                <w:highlight w:val="none"/>
                <w:vertAlign w:val="subscript"/>
              </w:rPr>
              <w:t>2</w:t>
            </w:r>
            <w:r>
              <w:rPr>
                <w:rFonts w:hint="eastAsia" w:ascii="仿宋" w:hAnsi="仿宋" w:eastAsia="仿宋" w:cs="仿宋"/>
                <w:color w:val="auto"/>
                <w:sz w:val="24"/>
                <w:szCs w:val="24"/>
                <w:highlight w:val="none"/>
              </w:rPr>
              <w:t>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、4-甲基咪唑、总氮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以N计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、总硫</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以S计</w:t>
            </w:r>
            <w:r>
              <w:rPr>
                <w:rFonts w:hint="eastAsia" w:ascii="仿宋" w:hAnsi="仿宋" w:eastAsia="仿宋" w:cs="仿宋"/>
                <w:color w:val="auto"/>
                <w:sz w:val="24"/>
                <w:szCs w:val="24"/>
                <w:highlight w:val="none"/>
                <w:lang w:eastAsia="zh-CN"/>
              </w:rPr>
              <w:t>）</w:t>
            </w:r>
          </w:p>
        </w:tc>
        <w:tc>
          <w:tcPr>
            <w:tcW w:w="3395" w:type="dxa"/>
            <w:vAlign w:val="center"/>
          </w:tcPr>
          <w:p w14:paraId="1A58AB2A">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p>
          <w:p w14:paraId="5B7663F2">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、总汞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以Hg计</w:t>
            </w:r>
            <w:r>
              <w:rPr>
                <w:rFonts w:hint="eastAsia" w:ascii="仿宋" w:hAnsi="仿宋" w:eastAsia="仿宋" w:cs="仿宋"/>
                <w:color w:val="auto"/>
                <w:sz w:val="24"/>
                <w:szCs w:val="24"/>
                <w:highlight w:val="none"/>
                <w:lang w:eastAsia="zh-CN"/>
              </w:rPr>
              <w:t>）</w:t>
            </w:r>
          </w:p>
        </w:tc>
      </w:tr>
      <w:tr w14:paraId="5A48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65AD04A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2B2DF9C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47CD493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4AC14DC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792332A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蜂蜡</w:t>
            </w:r>
          </w:p>
        </w:tc>
        <w:tc>
          <w:tcPr>
            <w:tcW w:w="825" w:type="dxa"/>
            <w:vAlign w:val="center"/>
          </w:tcPr>
          <w:p w14:paraId="10F7C7C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1BD9E39F">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过氧化值、酸值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以KOH计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、皂化值</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以KOH计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、熔程、甘油和其他多元醇、巴西棕榈蜡、纯白地蜡、石蜡及其他蜡、脂肪、日本蜡、松脂和皂质</w:t>
            </w:r>
          </w:p>
        </w:tc>
        <w:tc>
          <w:tcPr>
            <w:tcW w:w="3395" w:type="dxa"/>
            <w:vAlign w:val="center"/>
          </w:tcPr>
          <w:p w14:paraId="1C0043C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p>
        </w:tc>
      </w:tr>
      <w:tr w14:paraId="628B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6F4D78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491757D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17FD26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0A61A92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6015E5B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红曲米</w:t>
            </w:r>
          </w:p>
        </w:tc>
        <w:tc>
          <w:tcPr>
            <w:tcW w:w="825" w:type="dxa"/>
            <w:vAlign w:val="center"/>
          </w:tcPr>
          <w:p w14:paraId="0537DA2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137C175C">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水分、黄曲霉毒素B</w:t>
            </w:r>
            <w:r>
              <w:rPr>
                <w:rFonts w:hint="eastAsia" w:ascii="仿宋" w:hAnsi="仿宋" w:eastAsia="仿宋" w:cs="仿宋"/>
                <w:color w:val="auto"/>
                <w:sz w:val="24"/>
                <w:szCs w:val="24"/>
                <w:highlight w:val="none"/>
                <w:vertAlign w:val="subscript"/>
              </w:rPr>
              <w:t>1</w:t>
            </w:r>
            <w:r>
              <w:rPr>
                <w:rFonts w:hint="eastAsia" w:ascii="仿宋" w:hAnsi="仿宋" w:eastAsia="仿宋" w:cs="仿宋"/>
                <w:color w:val="auto"/>
                <w:sz w:val="24"/>
                <w:szCs w:val="24"/>
                <w:highlight w:val="none"/>
              </w:rPr>
              <w:t>、色价、细度150μm</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100目</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通过率、大肠菌群、沙门氏菌、志贺氏菌、金黄色葡萄球菌</w:t>
            </w:r>
          </w:p>
        </w:tc>
        <w:tc>
          <w:tcPr>
            <w:tcW w:w="3395" w:type="dxa"/>
            <w:vAlign w:val="center"/>
          </w:tcPr>
          <w:p w14:paraId="7EB56504">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、重金属</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以Pb计</w:t>
            </w:r>
            <w:r>
              <w:rPr>
                <w:rFonts w:hint="eastAsia" w:ascii="仿宋" w:hAnsi="仿宋" w:eastAsia="仿宋" w:cs="仿宋"/>
                <w:color w:val="auto"/>
                <w:sz w:val="24"/>
                <w:szCs w:val="24"/>
                <w:highlight w:val="none"/>
                <w:lang w:eastAsia="zh-CN"/>
              </w:rPr>
              <w:t>）</w:t>
            </w:r>
          </w:p>
        </w:tc>
      </w:tr>
      <w:tr w14:paraId="2F4E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616550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5E875E4">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7572DCB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1112D28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7359324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红曲红</w:t>
            </w:r>
          </w:p>
        </w:tc>
        <w:tc>
          <w:tcPr>
            <w:tcW w:w="825" w:type="dxa"/>
            <w:vAlign w:val="center"/>
          </w:tcPr>
          <w:p w14:paraId="27ED687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2E90F47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色价</w:t>
            </w:r>
            <m:oMath>
              <m:sSubSup>
                <m:sSubSupPr>
                  <m:ctrlPr>
                    <w:rPr>
                      <w:rFonts w:hint="eastAsia" w:ascii="Cambria Math" w:hAnsi="Cambria Math" w:eastAsia="仿宋" w:cs="仿宋"/>
                      <w:color w:val="auto"/>
                      <w:sz w:val="24"/>
                      <w:szCs w:val="24"/>
                      <w:highlight w:val="none"/>
                    </w:rPr>
                  </m:ctrlPr>
                </m:sSubSupPr>
                <m:e>
                  <m:r>
                    <m:rPr>
                      <m:nor/>
                      <m:sty m:val="p"/>
                    </m:rPr>
                    <w:rPr>
                      <w:rFonts w:hint="eastAsia" w:ascii="Cambria Math" w:hAnsi="Cambria Math" w:eastAsia="仿宋" w:cs="仿宋"/>
                      <w:b w:val="0"/>
                      <w:i w:val="0"/>
                      <w:color w:val="auto"/>
                      <w:sz w:val="24"/>
                      <w:szCs w:val="24"/>
                      <w:highlight w:val="none"/>
                    </w:rPr>
                    <m:t>E</m:t>
                  </m:r>
                  <m:ctrlPr>
                    <w:rPr>
                      <w:rFonts w:hint="eastAsia" w:ascii="Cambria Math" w:hAnsi="Cambria Math" w:eastAsia="仿宋" w:cs="仿宋"/>
                      <w:color w:val="auto"/>
                      <w:sz w:val="24"/>
                      <w:szCs w:val="24"/>
                      <w:highlight w:val="none"/>
                    </w:rPr>
                  </m:ctrlPr>
                </m:e>
                <m:sub>
                  <m:r>
                    <m:rPr>
                      <m:nor/>
                      <m:sty m:val="p"/>
                    </m:rPr>
                    <w:rPr>
                      <w:rFonts w:hint="eastAsia" w:ascii="Cambria Math" w:hAnsi="Cambria Math" w:eastAsia="仿宋" w:cs="仿宋"/>
                      <w:b w:val="0"/>
                      <w:i w:val="0"/>
                      <w:color w:val="auto"/>
                      <w:sz w:val="24"/>
                      <w:szCs w:val="24"/>
                      <w:highlight w:val="none"/>
                    </w:rPr>
                    <m:t>1 cm</m:t>
                  </m:r>
                  <m:ctrlPr>
                    <w:rPr>
                      <w:rFonts w:hint="eastAsia" w:ascii="Cambria Math" w:hAnsi="Cambria Math" w:eastAsia="仿宋" w:cs="仿宋"/>
                      <w:color w:val="auto"/>
                      <w:sz w:val="24"/>
                      <w:szCs w:val="24"/>
                      <w:highlight w:val="none"/>
                    </w:rPr>
                  </m:ctrlPr>
                </m:sub>
                <m:sup>
                  <m:r>
                    <m:rPr>
                      <m:nor/>
                      <m:sty m:val="p"/>
                    </m:rPr>
                    <w:rPr>
                      <w:rFonts w:hint="eastAsia" w:ascii="Cambria Math" w:hAnsi="Cambria Math" w:eastAsia="仿宋" w:cs="仿宋"/>
                      <w:b w:val="0"/>
                      <w:i w:val="0"/>
                      <w:color w:val="auto"/>
                      <w:sz w:val="24"/>
                      <w:szCs w:val="24"/>
                      <w:highlight w:val="none"/>
                    </w:rPr>
                    <m:t>1%</m:t>
                  </m:r>
                  <m:ctrlPr>
                    <w:rPr>
                      <w:rFonts w:hint="eastAsia" w:ascii="Cambria Math" w:hAnsi="Cambria Math" w:eastAsia="仿宋" w:cs="仿宋"/>
                      <w:color w:val="auto"/>
                      <w:sz w:val="24"/>
                      <w:szCs w:val="24"/>
                      <w:highlight w:val="none"/>
                    </w:rPr>
                  </m:ctrlPr>
                </m:sup>
              </m:sSubSup>
              <m:d>
                <m:dPr>
                  <m:ctrlPr>
                    <w:rPr>
                      <w:rFonts w:hint="eastAsia" w:ascii="Cambria Math" w:hAnsi="Cambria Math" w:eastAsia="仿宋" w:cs="仿宋"/>
                      <w:color w:val="auto"/>
                      <w:sz w:val="24"/>
                      <w:szCs w:val="24"/>
                      <w:highlight w:val="none"/>
                    </w:rPr>
                  </m:ctrlPr>
                </m:dPr>
                <m:e>
                  <m:r>
                    <m:rPr>
                      <m:nor/>
                      <m:sty m:val="p"/>
                    </m:rPr>
                    <w:rPr>
                      <w:rFonts w:hint="eastAsia" w:ascii="Cambria Math" w:hAnsi="Cambria Math" w:eastAsia="仿宋" w:cs="仿宋"/>
                      <w:b w:val="0"/>
                      <w:i w:val="0"/>
                      <w:color w:val="auto"/>
                      <w:sz w:val="24"/>
                      <w:szCs w:val="24"/>
                      <w:highlight w:val="none"/>
                    </w:rPr>
                    <m:t>495±10</m:t>
                  </m:r>
                  <m:ctrlPr>
                    <w:rPr>
                      <w:rFonts w:hint="eastAsia" w:ascii="Cambria Math" w:hAnsi="Cambria Math" w:eastAsia="仿宋" w:cs="仿宋"/>
                      <w:color w:val="auto"/>
                      <w:sz w:val="24"/>
                      <w:szCs w:val="24"/>
                      <w:highlight w:val="none"/>
                    </w:rPr>
                  </m:ctrlPr>
                </m:e>
              </m:d>
              <m:r>
                <m:rPr>
                  <m:nor/>
                  <m:sty m:val="p"/>
                </m:rPr>
                <w:rPr>
                  <w:rFonts w:hint="eastAsia" w:ascii="Cambria Math" w:hAnsi="Cambria Math" w:eastAsia="仿宋" w:cs="仿宋"/>
                  <w:b w:val="0"/>
                  <w:i w:val="0"/>
                  <w:color w:val="auto"/>
                  <w:sz w:val="24"/>
                  <w:szCs w:val="24"/>
                  <w:highlight w:val="none"/>
                </w:rPr>
                <m:t>nm</m:t>
              </m:r>
            </m:oMath>
            <w:r>
              <w:rPr>
                <w:rFonts w:hint="eastAsia" w:ascii="仿宋" w:hAnsi="仿宋" w:eastAsia="仿宋" w:cs="仿宋"/>
                <w:color w:val="auto"/>
                <w:sz w:val="24"/>
                <w:szCs w:val="24"/>
                <w:highlight w:val="none"/>
              </w:rPr>
              <w:t>、干燥减量、铅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As</w:t>
            </w:r>
            <w:r>
              <w:rPr>
                <w:rFonts w:hint="eastAsia" w:ascii="仿宋" w:hAnsi="仿宋" w:eastAsia="仿宋" w:cs="仿宋"/>
                <w:color w:val="auto"/>
                <w:sz w:val="24"/>
                <w:szCs w:val="24"/>
                <w:highlight w:val="none"/>
                <w:lang w:eastAsia="zh-CN"/>
              </w:rPr>
              <w:t>）</w:t>
            </w:r>
          </w:p>
        </w:tc>
        <w:tc>
          <w:tcPr>
            <w:tcW w:w="3395" w:type="dxa"/>
            <w:vAlign w:val="center"/>
          </w:tcPr>
          <w:p w14:paraId="3915C2E9">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56D2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4430427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38221C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20C19CA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3943334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3AA820A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红曲黄色素</w:t>
            </w:r>
          </w:p>
        </w:tc>
        <w:tc>
          <w:tcPr>
            <w:tcW w:w="825" w:type="dxa"/>
            <w:vAlign w:val="center"/>
          </w:tcPr>
          <w:p w14:paraId="589C10C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040C4ABE">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色价</w:t>
            </w:r>
            <m:oMath>
              <m:sSubSup>
                <m:sSubSupPr>
                  <m:ctrlPr>
                    <w:rPr>
                      <w:rFonts w:hint="eastAsia" w:ascii="Cambria Math" w:hAnsi="Cambria Math" w:eastAsia="仿宋" w:cs="仿宋"/>
                      <w:color w:val="auto"/>
                      <w:sz w:val="24"/>
                      <w:szCs w:val="24"/>
                      <w:highlight w:val="none"/>
                    </w:rPr>
                  </m:ctrlPr>
                </m:sSubSupPr>
                <m:e>
                  <m:r>
                    <m:rPr>
                      <m:nor/>
                      <m:sty m:val="p"/>
                    </m:rPr>
                    <w:rPr>
                      <w:rFonts w:hint="eastAsia" w:ascii="Cambria Math" w:hAnsi="Cambria Math" w:eastAsia="仿宋" w:cs="仿宋"/>
                      <w:b w:val="0"/>
                      <w:i w:val="0"/>
                      <w:color w:val="auto"/>
                      <w:sz w:val="24"/>
                      <w:szCs w:val="24"/>
                      <w:highlight w:val="none"/>
                    </w:rPr>
                    <m:t>E</m:t>
                  </m:r>
                  <m:ctrlPr>
                    <w:rPr>
                      <w:rFonts w:hint="eastAsia" w:ascii="Cambria Math" w:hAnsi="Cambria Math" w:eastAsia="仿宋" w:cs="仿宋"/>
                      <w:color w:val="auto"/>
                      <w:sz w:val="24"/>
                      <w:szCs w:val="24"/>
                      <w:highlight w:val="none"/>
                    </w:rPr>
                  </m:ctrlPr>
                </m:e>
                <m:sub>
                  <m:r>
                    <m:rPr>
                      <m:nor/>
                      <m:sty m:val="p"/>
                    </m:rPr>
                    <w:rPr>
                      <w:rFonts w:hint="eastAsia" w:ascii="Cambria Math" w:hAnsi="Cambria Math" w:eastAsia="仿宋" w:cs="仿宋"/>
                      <w:b w:val="0"/>
                      <w:i w:val="0"/>
                      <w:color w:val="auto"/>
                      <w:sz w:val="24"/>
                      <w:szCs w:val="24"/>
                      <w:highlight w:val="none"/>
                    </w:rPr>
                    <m:t>1 cm</m:t>
                  </m:r>
                  <m:ctrlPr>
                    <w:rPr>
                      <w:rFonts w:hint="eastAsia" w:ascii="Cambria Math" w:hAnsi="Cambria Math" w:eastAsia="仿宋" w:cs="仿宋"/>
                      <w:color w:val="auto"/>
                      <w:sz w:val="24"/>
                      <w:szCs w:val="24"/>
                      <w:highlight w:val="none"/>
                    </w:rPr>
                  </m:ctrlPr>
                </m:sub>
                <m:sup>
                  <m:r>
                    <m:rPr>
                      <m:nor/>
                      <m:sty m:val="p"/>
                    </m:rPr>
                    <w:rPr>
                      <w:rFonts w:hint="eastAsia" w:ascii="Cambria Math" w:hAnsi="Cambria Math" w:eastAsia="仿宋" w:cs="仿宋"/>
                      <w:b w:val="0"/>
                      <w:i w:val="0"/>
                      <w:color w:val="auto"/>
                      <w:sz w:val="24"/>
                      <w:szCs w:val="24"/>
                      <w:highlight w:val="none"/>
                    </w:rPr>
                    <m:t>1%</m:t>
                  </m:r>
                  <m:ctrlPr>
                    <w:rPr>
                      <w:rFonts w:hint="eastAsia" w:ascii="Cambria Math" w:hAnsi="Cambria Math" w:eastAsia="仿宋" w:cs="仿宋"/>
                      <w:color w:val="auto"/>
                      <w:sz w:val="24"/>
                      <w:szCs w:val="24"/>
                      <w:highlight w:val="none"/>
                    </w:rPr>
                  </m:ctrlPr>
                </m:sup>
              </m:sSubSup>
              <m:d>
                <m:dPr>
                  <m:ctrlPr>
                    <w:rPr>
                      <w:rFonts w:hint="eastAsia" w:ascii="Cambria Math" w:hAnsi="Cambria Math" w:eastAsia="仿宋" w:cs="仿宋"/>
                      <w:color w:val="auto"/>
                      <w:sz w:val="24"/>
                      <w:szCs w:val="24"/>
                      <w:highlight w:val="none"/>
                    </w:rPr>
                  </m:ctrlPr>
                </m:dPr>
                <m:e>
                  <m:r>
                    <m:rPr>
                      <m:nor/>
                      <m:sty m:val="p"/>
                    </m:rPr>
                    <w:rPr>
                      <w:rFonts w:hint="eastAsia" w:ascii="Cambria Math" w:hAnsi="Cambria Math" w:eastAsia="仿宋" w:cs="仿宋"/>
                      <w:b w:val="0"/>
                      <w:i w:val="0"/>
                      <w:color w:val="auto"/>
                      <w:sz w:val="24"/>
                      <w:szCs w:val="24"/>
                      <w:highlight w:val="none"/>
                    </w:rPr>
                    <m:t>476±10</m:t>
                  </m:r>
                  <m:ctrlPr>
                    <w:rPr>
                      <w:rFonts w:hint="eastAsia" w:ascii="Cambria Math" w:hAnsi="Cambria Math" w:eastAsia="仿宋" w:cs="仿宋"/>
                      <w:color w:val="auto"/>
                      <w:sz w:val="24"/>
                      <w:szCs w:val="24"/>
                      <w:highlight w:val="none"/>
                    </w:rPr>
                  </m:ctrlPr>
                </m:e>
              </m:d>
              <m:r>
                <m:rPr>
                  <m:nor/>
                  <m:sty m:val="p"/>
                </m:rPr>
                <w:rPr>
                  <w:rFonts w:hint="eastAsia" w:ascii="Cambria Math" w:hAnsi="Cambria Math" w:eastAsia="仿宋" w:cs="仿宋"/>
                  <w:b w:val="0"/>
                  <w:i w:val="0"/>
                  <w:color w:val="auto"/>
                  <w:sz w:val="24"/>
                  <w:szCs w:val="24"/>
                  <w:highlight w:val="none"/>
                </w:rPr>
                <m:t>nm</m:t>
              </m:r>
            </m:oMath>
            <w:r>
              <w:rPr>
                <w:rFonts w:hint="eastAsia" w:ascii="仿宋" w:hAnsi="仿宋" w:eastAsia="仿宋" w:cs="仿宋"/>
                <w:color w:val="auto"/>
                <w:sz w:val="24"/>
                <w:szCs w:val="24"/>
                <w:highlight w:val="none"/>
              </w:rPr>
              <w:t>、干燥减量、灼烧残渣、铅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p>
        </w:tc>
        <w:tc>
          <w:tcPr>
            <w:tcW w:w="3395" w:type="dxa"/>
            <w:vAlign w:val="center"/>
          </w:tcPr>
          <w:p w14:paraId="6BF83F3B">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71397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58E6657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67A3E81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0DCFE8A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3ED4AC3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71B56920">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胶基</w:t>
            </w:r>
          </w:p>
        </w:tc>
        <w:tc>
          <w:tcPr>
            <w:tcW w:w="825" w:type="dxa"/>
            <w:vAlign w:val="center"/>
          </w:tcPr>
          <w:p w14:paraId="65885E18">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7813D01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p>
        </w:tc>
        <w:tc>
          <w:tcPr>
            <w:tcW w:w="3395" w:type="dxa"/>
            <w:vAlign w:val="center"/>
          </w:tcPr>
          <w:p w14:paraId="44E83091">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0AA2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6F21B591">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057A9EF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684F2B3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608BD975">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0A956F0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食品工业用酶制剂</w:t>
            </w:r>
          </w:p>
          <w:p w14:paraId="0DD91D2F">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825" w:type="dxa"/>
            <w:vAlign w:val="center"/>
          </w:tcPr>
          <w:p w14:paraId="1B1C84A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2C5D956F">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菌落总数、大肠菌群、大肠埃希氏菌、沙门氏菌、抗菌活性</w:t>
            </w:r>
          </w:p>
        </w:tc>
        <w:tc>
          <w:tcPr>
            <w:tcW w:w="3395" w:type="dxa"/>
            <w:vAlign w:val="center"/>
          </w:tcPr>
          <w:p w14:paraId="1748517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铅</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Pb</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、总砷</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以As计</w:t>
            </w:r>
            <w:r>
              <w:rPr>
                <w:rFonts w:hint="eastAsia" w:ascii="仿宋" w:hAnsi="仿宋" w:eastAsia="仿宋" w:cs="仿宋"/>
                <w:color w:val="auto"/>
                <w:sz w:val="24"/>
                <w:szCs w:val="24"/>
                <w:highlight w:val="none"/>
                <w:lang w:eastAsia="zh-CN"/>
              </w:rPr>
              <w:t>）</w:t>
            </w:r>
          </w:p>
        </w:tc>
      </w:tr>
      <w:tr w14:paraId="231DD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Merge w:val="continue"/>
            <w:vAlign w:val="center"/>
          </w:tcPr>
          <w:p w14:paraId="1B3AF89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4" w:type="dxa"/>
            <w:vMerge w:val="continue"/>
            <w:vAlign w:val="center"/>
          </w:tcPr>
          <w:p w14:paraId="756F5E7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065" w:type="dxa"/>
            <w:vMerge w:val="continue"/>
            <w:vAlign w:val="center"/>
          </w:tcPr>
          <w:p w14:paraId="56A14307">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356" w:type="dxa"/>
            <w:vMerge w:val="continue"/>
            <w:vAlign w:val="center"/>
          </w:tcPr>
          <w:p w14:paraId="660047D6">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p>
        </w:tc>
        <w:tc>
          <w:tcPr>
            <w:tcW w:w="1733" w:type="dxa"/>
            <w:vAlign w:val="center"/>
          </w:tcPr>
          <w:p w14:paraId="123F13F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碳酸钙（包括轻质和重质碳酸钙）</w:t>
            </w:r>
          </w:p>
        </w:tc>
        <w:tc>
          <w:tcPr>
            <w:tcW w:w="825" w:type="dxa"/>
            <w:vAlign w:val="center"/>
          </w:tcPr>
          <w:p w14:paraId="1BC8993A">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一般</w:t>
            </w:r>
          </w:p>
        </w:tc>
        <w:tc>
          <w:tcPr>
            <w:tcW w:w="4459" w:type="dxa"/>
            <w:vAlign w:val="center"/>
          </w:tcPr>
          <w:p w14:paraId="1F34B601">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碳酸钙（CaCO</w:t>
            </w:r>
            <w:r>
              <w:rPr>
                <w:rFonts w:hint="eastAsia" w:ascii="仿宋" w:hAnsi="仿宋" w:eastAsia="仿宋" w:cs="仿宋"/>
                <w:color w:val="auto"/>
                <w:sz w:val="24"/>
                <w:szCs w:val="24"/>
                <w:highlight w:val="none"/>
                <w:vertAlign w:val="subscript"/>
              </w:rPr>
              <w:t>3</w:t>
            </w:r>
            <w:r>
              <w:rPr>
                <w:rFonts w:hint="eastAsia" w:ascii="仿宋" w:hAnsi="仿宋" w:eastAsia="仿宋" w:cs="仿宋"/>
                <w:color w:val="auto"/>
                <w:sz w:val="24"/>
                <w:szCs w:val="24"/>
                <w:highlight w:val="none"/>
              </w:rPr>
              <w:t>）含量（以干基计）、盐酸不溶物、游离碱、镁和碱金属、干燥减量</w:t>
            </w:r>
          </w:p>
        </w:tc>
        <w:tc>
          <w:tcPr>
            <w:tcW w:w="3395" w:type="dxa"/>
            <w:vAlign w:val="center"/>
          </w:tcPr>
          <w:p w14:paraId="199E0396">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tc>
      </w:tr>
      <w:tr w14:paraId="23A2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38" w:type="dxa"/>
            <w:vAlign w:val="center"/>
          </w:tcPr>
          <w:p w14:paraId="7CC0693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33</w:t>
            </w:r>
          </w:p>
        </w:tc>
        <w:tc>
          <w:tcPr>
            <w:tcW w:w="1064" w:type="dxa"/>
            <w:vAlign w:val="center"/>
          </w:tcPr>
          <w:p w14:paraId="1628C3AB">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其他食品</w:t>
            </w:r>
          </w:p>
        </w:tc>
        <w:tc>
          <w:tcPr>
            <w:tcW w:w="1065" w:type="dxa"/>
            <w:vAlign w:val="center"/>
          </w:tcPr>
          <w:p w14:paraId="0512961E">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其他食品</w:t>
            </w:r>
          </w:p>
        </w:tc>
        <w:tc>
          <w:tcPr>
            <w:tcW w:w="1356" w:type="dxa"/>
            <w:vAlign w:val="center"/>
          </w:tcPr>
          <w:p w14:paraId="001E77FC">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其他食品</w:t>
            </w:r>
          </w:p>
        </w:tc>
        <w:tc>
          <w:tcPr>
            <w:tcW w:w="1733" w:type="dxa"/>
            <w:vAlign w:val="center"/>
          </w:tcPr>
          <w:p w14:paraId="546A26B9">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5"/>
                <w:sz w:val="24"/>
                <w:szCs w:val="24"/>
                <w:highlight w:val="none"/>
                <w:lang w:val="en-US" w:eastAsia="en-US"/>
              </w:rPr>
              <w:t>螺蛳粉、老友粉、桂林米粉</w:t>
            </w:r>
            <w:r>
              <w:rPr>
                <w:rFonts w:hint="eastAsia" w:ascii="仿宋" w:hAnsi="仿宋" w:eastAsia="仿宋" w:cs="仿宋"/>
                <w:b w:val="0"/>
                <w:bCs w:val="0"/>
                <w:color w:val="auto"/>
                <w:spacing w:val="5"/>
                <w:sz w:val="24"/>
                <w:szCs w:val="24"/>
                <w:highlight w:val="none"/>
                <w:lang w:val="en-US" w:eastAsia="zh-CN"/>
              </w:rPr>
              <w:t>等地方特色粉类</w:t>
            </w:r>
          </w:p>
        </w:tc>
        <w:tc>
          <w:tcPr>
            <w:tcW w:w="825" w:type="dxa"/>
            <w:vAlign w:val="center"/>
          </w:tcPr>
          <w:p w14:paraId="58A03AED">
            <w:pPr>
              <w:pageBreakBefore w:val="0"/>
              <w:widowControl w:val="0"/>
              <w:wordWrap/>
              <w:overflowPunct/>
              <w:topLinePunct w:val="0"/>
              <w:bidi w:val="0"/>
              <w:spacing w:line="3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lang w:eastAsia="zh-CN"/>
              </w:rPr>
              <w:t>较高</w:t>
            </w:r>
          </w:p>
        </w:tc>
        <w:tc>
          <w:tcPr>
            <w:tcW w:w="4459" w:type="dxa"/>
            <w:vAlign w:val="center"/>
          </w:tcPr>
          <w:p w14:paraId="53DCCF57">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5"/>
                <w:sz w:val="24"/>
                <w:szCs w:val="24"/>
                <w:highlight w:val="none"/>
                <w:lang w:val="en-US" w:eastAsia="zh-CN"/>
              </w:rPr>
              <w:t>过氧化值（以脂肪计）、苯甲酸及其钠盐（以苯甲酸计）、山梨酸及其钾盐（以山梨酸计）、脱氢乙酸及其钠盐（以脱氢乙酸计）、霉菌、菌落总数</w:t>
            </w:r>
          </w:p>
        </w:tc>
        <w:tc>
          <w:tcPr>
            <w:tcW w:w="3395" w:type="dxa"/>
            <w:vAlign w:val="center"/>
          </w:tcPr>
          <w:p w14:paraId="5ABE0570">
            <w:pPr>
              <w:pageBreakBefore w:val="0"/>
              <w:widowControl w:val="0"/>
              <w:wordWrap/>
              <w:overflowPunct/>
              <w:topLinePunct w:val="0"/>
              <w:bidi w:val="0"/>
              <w:spacing w:line="300" w:lineRule="exact"/>
              <w:jc w:val="left"/>
              <w:rPr>
                <w:rFonts w:hint="eastAsia" w:ascii="仿宋" w:hAnsi="仿宋" w:eastAsia="仿宋" w:cs="仿宋"/>
                <w:color w:val="auto"/>
                <w:sz w:val="24"/>
                <w:szCs w:val="24"/>
                <w:highlight w:val="none"/>
              </w:rPr>
            </w:pPr>
            <w:r>
              <w:rPr>
                <w:rFonts w:hint="eastAsia" w:ascii="仿宋" w:hAnsi="仿宋" w:eastAsia="仿宋" w:cs="仿宋"/>
                <w:b w:val="0"/>
                <w:bCs w:val="0"/>
                <w:color w:val="auto"/>
                <w:spacing w:val="5"/>
                <w:sz w:val="24"/>
                <w:szCs w:val="24"/>
                <w:highlight w:val="none"/>
                <w:lang w:val="en-US" w:eastAsia="zh-CN"/>
              </w:rPr>
              <w:t>大肠菌群、黄曲霉毒素B</w:t>
            </w:r>
            <w:r>
              <w:rPr>
                <w:rFonts w:hint="eastAsia" w:ascii="仿宋" w:hAnsi="仿宋" w:eastAsia="仿宋" w:cs="仿宋"/>
                <w:b w:val="0"/>
                <w:bCs w:val="0"/>
                <w:color w:val="auto"/>
                <w:spacing w:val="5"/>
                <w:sz w:val="24"/>
                <w:szCs w:val="24"/>
                <w:highlight w:val="none"/>
                <w:vertAlign w:val="subscript"/>
                <w:lang w:val="en-US" w:eastAsia="zh-CN"/>
              </w:rPr>
              <w:t>1</w:t>
            </w:r>
          </w:p>
        </w:tc>
      </w:tr>
      <w:tr w14:paraId="74EC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4335" w:type="dxa"/>
            <w:gridSpan w:val="8"/>
            <w:vAlign w:val="center"/>
          </w:tcPr>
          <w:p w14:paraId="34FB00D0">
            <w:pPr>
              <w:pageBreakBefore w:val="0"/>
              <w:widowControl w:val="0"/>
              <w:wordWrap/>
              <w:overflowPunct/>
              <w:topLinePunct w:val="0"/>
              <w:bidi w:val="0"/>
              <w:spacing w:line="300" w:lineRule="exact"/>
              <w:jc w:val="left"/>
              <w:rPr>
                <w:rFonts w:hint="eastAsia" w:ascii="仿宋" w:hAnsi="仿宋" w:eastAsia="仿宋" w:cs="仿宋"/>
                <w:b w:val="0"/>
                <w:bCs w:val="0"/>
                <w:color w:val="auto"/>
                <w:spacing w:val="5"/>
                <w:sz w:val="24"/>
                <w:szCs w:val="24"/>
                <w:highlight w:val="none"/>
                <w:lang w:val="en-US" w:eastAsia="zh-CN"/>
              </w:rPr>
            </w:pPr>
            <w:r>
              <w:rPr>
                <w:rFonts w:hint="eastAsia" w:ascii="仿宋" w:hAnsi="仿宋" w:eastAsia="仿宋" w:cs="仿宋"/>
                <w:b/>
                <w:bCs/>
                <w:color w:val="auto"/>
                <w:kern w:val="1"/>
                <w:sz w:val="24"/>
                <w:szCs w:val="24"/>
                <w:highlight w:val="none"/>
                <w:lang w:val="en-US" w:eastAsia="zh-CN"/>
              </w:rPr>
              <w:t>注：延伸项目不做强制检验要求。</w:t>
            </w:r>
          </w:p>
        </w:tc>
      </w:tr>
    </w:tbl>
    <w:p w14:paraId="378FFBD8">
      <w:pPr>
        <w:pStyle w:val="34"/>
        <w:rPr>
          <w:rFonts w:hint="eastAsia" w:ascii="仿宋" w:hAnsi="仿宋" w:eastAsia="仿宋" w:cs="仿宋"/>
          <w:color w:val="auto"/>
          <w:szCs w:val="21"/>
          <w:highlight w:val="none"/>
        </w:rPr>
        <w:sectPr>
          <w:pgSz w:w="16838" w:h="11911" w:orient="landscape"/>
          <w:pgMar w:top="1417" w:right="1417" w:bottom="1417" w:left="1417" w:header="720" w:footer="720" w:gutter="0"/>
          <w:cols w:space="720" w:num="1"/>
          <w:docGrid w:linePitch="331" w:charSpace="0"/>
        </w:sectPr>
      </w:pPr>
    </w:p>
    <w:p w14:paraId="08E66938">
      <w:pPr>
        <w:pStyle w:val="2"/>
        <w:jc w:val="center"/>
        <w:rPr>
          <w:rFonts w:hint="eastAsia" w:ascii="仿宋" w:hAnsi="仿宋" w:eastAsia="仿宋" w:cs="仿宋"/>
          <w:color w:val="auto"/>
          <w:highlight w:val="none"/>
        </w:rPr>
      </w:pPr>
      <w:bookmarkStart w:id="40" w:name="_Toc32033"/>
      <w:bookmarkStart w:id="41" w:name="_Toc19987"/>
      <w:r>
        <w:rPr>
          <w:rFonts w:hint="eastAsia" w:ascii="仿宋" w:hAnsi="仿宋" w:eastAsia="仿宋" w:cs="仿宋"/>
          <w:bCs w:val="0"/>
          <w:color w:val="auto"/>
          <w:sz w:val="32"/>
          <w:szCs w:val="32"/>
          <w:highlight w:val="none"/>
        </w:rPr>
        <w:t>第三章 供应商须知</w:t>
      </w:r>
      <w:bookmarkEnd w:id="40"/>
      <w:bookmarkEnd w:id="41"/>
    </w:p>
    <w:p w14:paraId="231F4E54">
      <w:pPr>
        <w:pStyle w:val="3"/>
        <w:jc w:val="center"/>
        <w:rPr>
          <w:rFonts w:hint="eastAsia" w:ascii="仿宋" w:hAnsi="仿宋" w:eastAsia="仿宋" w:cs="仿宋"/>
          <w:b w:val="0"/>
          <w:color w:val="auto"/>
          <w:highlight w:val="none"/>
        </w:rPr>
      </w:pPr>
      <w:bookmarkStart w:id="42" w:name="_Toc18569"/>
      <w:bookmarkStart w:id="43" w:name="_Toc30751"/>
      <w:r>
        <w:rPr>
          <w:rFonts w:hint="eastAsia" w:ascii="仿宋" w:hAnsi="仿宋" w:eastAsia="仿宋" w:cs="仿宋"/>
          <w:b w:val="0"/>
          <w:color w:val="auto"/>
          <w:highlight w:val="none"/>
        </w:rPr>
        <w:t>第一节 供应商须知前附表</w:t>
      </w:r>
      <w:bookmarkEnd w:id="42"/>
      <w:bookmarkEnd w:id="43"/>
    </w:p>
    <w:p w14:paraId="4F6DA859">
      <w:pPr>
        <w:spacing w:line="400" w:lineRule="exact"/>
        <w:jc w:val="center"/>
        <w:rPr>
          <w:rFonts w:hint="eastAsia" w:ascii="仿宋" w:hAnsi="仿宋" w:eastAsia="仿宋" w:cs="仿宋"/>
          <w:b/>
          <w:color w:val="auto"/>
          <w:sz w:val="32"/>
          <w:szCs w:val="32"/>
          <w:highlight w:val="none"/>
        </w:rPr>
      </w:pPr>
    </w:p>
    <w:tbl>
      <w:tblPr>
        <w:tblStyle w:val="22"/>
        <w:tblW w:w="100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5"/>
        <w:gridCol w:w="2255"/>
        <w:gridCol w:w="7031"/>
      </w:tblGrid>
      <w:tr w14:paraId="4E8E2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725" w:type="dxa"/>
            <w:tcBorders>
              <w:top w:val="single" w:color="000000" w:sz="4" w:space="0"/>
              <w:left w:val="single" w:color="000000" w:sz="4" w:space="0"/>
              <w:bottom w:val="single" w:color="000000" w:sz="4" w:space="0"/>
              <w:right w:val="single" w:color="000000" w:sz="4" w:space="0"/>
            </w:tcBorders>
            <w:vAlign w:val="top"/>
          </w:tcPr>
          <w:p w14:paraId="3B3D91B3">
            <w:pPr>
              <w:spacing w:line="46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条款号</w:t>
            </w:r>
          </w:p>
        </w:tc>
        <w:tc>
          <w:tcPr>
            <w:tcW w:w="2255" w:type="dxa"/>
            <w:tcBorders>
              <w:top w:val="single" w:color="000000" w:sz="4" w:space="0"/>
              <w:left w:val="single" w:color="000000" w:sz="4" w:space="0"/>
              <w:bottom w:val="single" w:color="000000" w:sz="4" w:space="0"/>
              <w:right w:val="single" w:color="000000" w:sz="4" w:space="0"/>
            </w:tcBorders>
            <w:vAlign w:val="center"/>
          </w:tcPr>
          <w:p w14:paraId="08167D4E">
            <w:pPr>
              <w:spacing w:line="46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条款内容</w:t>
            </w:r>
          </w:p>
        </w:tc>
        <w:tc>
          <w:tcPr>
            <w:tcW w:w="7031" w:type="dxa"/>
            <w:tcBorders>
              <w:top w:val="single" w:color="000000" w:sz="4" w:space="0"/>
              <w:left w:val="single" w:color="000000" w:sz="4" w:space="0"/>
              <w:bottom w:val="single" w:color="000000" w:sz="4" w:space="0"/>
              <w:right w:val="single" w:color="000000" w:sz="4" w:space="0"/>
            </w:tcBorders>
            <w:vAlign w:val="top"/>
          </w:tcPr>
          <w:p w14:paraId="43632D2E">
            <w:pPr>
              <w:spacing w:line="46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具体要求</w:t>
            </w:r>
          </w:p>
        </w:tc>
      </w:tr>
      <w:tr w14:paraId="0492A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35C9268">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w:t>
            </w:r>
          </w:p>
        </w:tc>
        <w:tc>
          <w:tcPr>
            <w:tcW w:w="2255" w:type="dxa"/>
            <w:tcBorders>
              <w:top w:val="single" w:color="000000" w:sz="4" w:space="0"/>
              <w:left w:val="single" w:color="000000" w:sz="4" w:space="0"/>
              <w:bottom w:val="single" w:color="000000" w:sz="4" w:space="0"/>
              <w:right w:val="single" w:color="000000" w:sz="4" w:space="0"/>
            </w:tcBorders>
            <w:vAlign w:val="center"/>
          </w:tcPr>
          <w:p w14:paraId="0F750F6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供应商资格条件</w:t>
            </w:r>
          </w:p>
        </w:tc>
        <w:tc>
          <w:tcPr>
            <w:tcW w:w="7031" w:type="dxa"/>
            <w:tcBorders>
              <w:top w:val="single" w:color="000000" w:sz="4" w:space="0"/>
              <w:left w:val="single" w:color="000000" w:sz="4" w:space="0"/>
              <w:bottom w:val="single" w:color="000000" w:sz="4" w:space="0"/>
              <w:right w:val="single" w:color="000000" w:sz="4" w:space="0"/>
            </w:tcBorders>
            <w:vAlign w:val="top"/>
          </w:tcPr>
          <w:p w14:paraId="68D62200">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详见公告。</w:t>
            </w:r>
          </w:p>
        </w:tc>
      </w:tr>
      <w:tr w14:paraId="25511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7B598B3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5.1</w:t>
            </w:r>
          </w:p>
        </w:tc>
        <w:tc>
          <w:tcPr>
            <w:tcW w:w="2255" w:type="dxa"/>
            <w:tcBorders>
              <w:top w:val="single" w:color="000000" w:sz="4" w:space="0"/>
              <w:left w:val="single" w:color="000000" w:sz="4" w:space="0"/>
              <w:bottom w:val="single" w:color="000000" w:sz="4" w:space="0"/>
              <w:right w:val="single" w:color="000000" w:sz="4" w:space="0"/>
            </w:tcBorders>
            <w:vAlign w:val="center"/>
          </w:tcPr>
          <w:p w14:paraId="3C66E7F7">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是否接受联合体竞标</w:t>
            </w:r>
          </w:p>
        </w:tc>
        <w:tc>
          <w:tcPr>
            <w:tcW w:w="7031" w:type="dxa"/>
            <w:tcBorders>
              <w:top w:val="single" w:color="000000" w:sz="4" w:space="0"/>
              <w:left w:val="single" w:color="000000" w:sz="4" w:space="0"/>
              <w:bottom w:val="single" w:color="000000" w:sz="4" w:space="0"/>
              <w:right w:val="single" w:color="000000" w:sz="4" w:space="0"/>
            </w:tcBorders>
            <w:vAlign w:val="center"/>
          </w:tcPr>
          <w:p w14:paraId="1DA3476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详见公告。</w:t>
            </w:r>
          </w:p>
        </w:tc>
      </w:tr>
      <w:tr w14:paraId="3754B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692D811">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5.2</w:t>
            </w:r>
          </w:p>
        </w:tc>
        <w:tc>
          <w:tcPr>
            <w:tcW w:w="2255" w:type="dxa"/>
            <w:tcBorders>
              <w:top w:val="single" w:color="000000" w:sz="4" w:space="0"/>
              <w:left w:val="single" w:color="000000" w:sz="4" w:space="0"/>
              <w:bottom w:val="single" w:color="000000" w:sz="4" w:space="0"/>
              <w:right w:val="single" w:color="000000" w:sz="4" w:space="0"/>
            </w:tcBorders>
            <w:vAlign w:val="center"/>
          </w:tcPr>
          <w:p w14:paraId="4C521FE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联合体竞标要求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3544EF1C">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1.两个以上竞标人可以组成一个竞标联合体，以一个竞标人的身份共同参加竞标，联合体竞标人的名称应统一按“XXX公司与XXX公司的联合体”的规则填写。</w:t>
            </w:r>
          </w:p>
          <w:p w14:paraId="18BF0D9B">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以联合体形式参加竞标的，联合体各方均必须具备《中华人民共和国政府采购法》第二十二条第一款规定的基本条件（涉及行政许可范围的内容，联合体各方均应具备相应资质）。本项目有特殊要求规定竞标人特定资格的，联合体各方中至少有一方必须符合采购公告中“3. 本项目的特定资格要求”。</w:t>
            </w:r>
          </w:p>
          <w:p w14:paraId="39D797ED">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3F6F8A9E">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4.以联合体形式参加政府采购活动的，联合体各方不得再单独参加或者与其他竞标人另外组成联合体参加同一合同项下的政府采购活动，否则与之相关的响应文件作废。</w:t>
            </w:r>
          </w:p>
          <w:p w14:paraId="133EABFB">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5.联合体中有同类资质的竞标人按照联合体分工承担相同工作的，应当按照资质等级较低的竞标人确定资质等级。</w:t>
            </w:r>
          </w:p>
          <w:p w14:paraId="77C2D00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6.联合体竞标业绩、履约能力按照联合体各方提供均可计算。</w:t>
            </w:r>
          </w:p>
          <w:p w14:paraId="2BD3C493">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7.联合体各方均应按照采购文件的规定提交资格证明文件。</w:t>
            </w:r>
          </w:p>
          <w:p w14:paraId="20A4CA3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lang w:bidi="ar"/>
              </w:rPr>
              <w:t>8、除</w:t>
            </w:r>
            <w:r>
              <w:rPr>
                <w:rFonts w:hint="eastAsia" w:ascii="仿宋" w:hAnsi="仿宋" w:eastAsia="仿宋" w:cs="仿宋"/>
                <w:color w:val="auto"/>
                <w:szCs w:val="21"/>
                <w:highlight w:val="none"/>
                <w:lang w:eastAsia="zh-CN" w:bidi="ar"/>
              </w:rPr>
              <w:t>采购</w:t>
            </w:r>
            <w:r>
              <w:rPr>
                <w:rFonts w:hint="eastAsia" w:ascii="仿宋" w:hAnsi="仿宋" w:eastAsia="仿宋" w:cs="仿宋"/>
                <w:color w:val="auto"/>
                <w:szCs w:val="21"/>
                <w:highlight w:val="none"/>
                <w:lang w:bidi="ar"/>
              </w:rPr>
              <w:t>文件规定联合体各方必须分别提供的材料外，</w:t>
            </w:r>
            <w:r>
              <w:rPr>
                <w:rFonts w:hint="eastAsia" w:ascii="仿宋" w:hAnsi="仿宋" w:eastAsia="仿宋" w:cs="仿宋"/>
                <w:color w:val="auto"/>
                <w:szCs w:val="21"/>
                <w:highlight w:val="none"/>
                <w:lang w:eastAsia="zh-CN" w:bidi="ar"/>
              </w:rPr>
              <w:t>采购</w:t>
            </w:r>
            <w:r>
              <w:rPr>
                <w:rFonts w:hint="eastAsia" w:ascii="仿宋" w:hAnsi="仿宋" w:eastAsia="仿宋" w:cs="仿宋"/>
                <w:color w:val="auto"/>
                <w:szCs w:val="21"/>
                <w:highlight w:val="none"/>
                <w:lang w:bidi="ar"/>
              </w:rPr>
              <w:t>文件要求提供的其他材料由联合体牵头单位提供即可。</w:t>
            </w:r>
            <w:r>
              <w:rPr>
                <w:rFonts w:hint="eastAsia" w:ascii="仿宋" w:hAnsi="仿宋" w:eastAsia="仿宋" w:cs="仿宋"/>
                <w:color w:val="auto"/>
                <w:szCs w:val="21"/>
                <w:highlight w:val="none"/>
                <w:lang w:eastAsia="zh-CN" w:bidi="ar"/>
              </w:rPr>
              <w:t>采购</w:t>
            </w:r>
            <w:r>
              <w:rPr>
                <w:rFonts w:hint="eastAsia" w:ascii="仿宋" w:hAnsi="仿宋" w:eastAsia="仿宋" w:cs="仿宋"/>
                <w:color w:val="auto"/>
                <w:szCs w:val="21"/>
                <w:highlight w:val="none"/>
                <w:lang w:bidi="ar"/>
              </w:rPr>
              <w:t>文件要求提供的材料复印件，加盖联合体牵头人公章即可。</w:t>
            </w:r>
          </w:p>
        </w:tc>
      </w:tr>
      <w:tr w14:paraId="3D7AB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F0F10E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6.1</w:t>
            </w:r>
          </w:p>
        </w:tc>
        <w:tc>
          <w:tcPr>
            <w:tcW w:w="2255" w:type="dxa"/>
            <w:tcBorders>
              <w:top w:val="single" w:color="000000" w:sz="4" w:space="0"/>
              <w:left w:val="single" w:color="000000" w:sz="4" w:space="0"/>
              <w:bottom w:val="single" w:color="000000" w:sz="4" w:space="0"/>
              <w:right w:val="single" w:color="000000" w:sz="4" w:space="0"/>
            </w:tcBorders>
            <w:vAlign w:val="center"/>
          </w:tcPr>
          <w:p w14:paraId="72F6133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是否允许分包</w:t>
            </w:r>
          </w:p>
        </w:tc>
        <w:tc>
          <w:tcPr>
            <w:tcW w:w="7031" w:type="dxa"/>
            <w:tcBorders>
              <w:top w:val="single" w:color="000000" w:sz="4" w:space="0"/>
              <w:left w:val="single" w:color="000000" w:sz="4" w:space="0"/>
              <w:bottom w:val="single" w:color="000000" w:sz="4" w:space="0"/>
              <w:right w:val="single" w:color="000000" w:sz="4" w:space="0"/>
            </w:tcBorders>
            <w:vAlign w:val="center"/>
          </w:tcPr>
          <w:p w14:paraId="3ECD8DA1">
            <w:pPr>
              <w:pStyle w:val="9"/>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不允许转包/分包</w:t>
            </w:r>
          </w:p>
          <w:p w14:paraId="76DB3CE5">
            <w:pPr>
              <w:pStyle w:val="9"/>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允许转包</w:t>
            </w:r>
          </w:p>
          <w:p w14:paraId="168512F9">
            <w:pPr>
              <w:pStyle w:val="9"/>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允许分包</w:t>
            </w:r>
          </w:p>
          <w:p w14:paraId="62E42109">
            <w:pPr>
              <w:pStyle w:val="9"/>
              <w:shd w:val="clear"/>
              <w:spacing w:line="460" w:lineRule="exact"/>
              <w:rPr>
                <w:rFonts w:hint="eastAsia" w:ascii="仿宋" w:hAnsi="仿宋" w:eastAsia="仿宋" w:cs="仿宋"/>
                <w:color w:val="auto"/>
                <w:szCs w:val="21"/>
                <w:highlight w:val="none"/>
                <w:u w:val="single"/>
                <w:lang w:eastAsia="zh-CN"/>
              </w:rPr>
            </w:pPr>
            <w:r>
              <w:rPr>
                <w:rFonts w:hint="eastAsia" w:ascii="仿宋" w:hAnsi="仿宋" w:eastAsia="仿宋" w:cs="仿宋"/>
                <w:color w:val="auto"/>
                <w:szCs w:val="21"/>
                <w:highlight w:val="none"/>
              </w:rPr>
              <w:t>分包内容：</w:t>
            </w:r>
            <w:r>
              <w:rPr>
                <w:rFonts w:hint="eastAsia" w:ascii="仿宋" w:hAnsi="仿宋" w:eastAsia="仿宋" w:cs="仿宋"/>
                <w:color w:val="auto"/>
                <w:szCs w:val="21"/>
                <w:highlight w:val="none"/>
                <w:u w:val="single"/>
              </w:rPr>
              <w:t>本项目检测范围内的“保健食品”、“特殊膳食食品”、“特殊医学用途配方食品”、“婴幼儿配方食品”部分的检验项目</w:t>
            </w:r>
            <w:r>
              <w:rPr>
                <w:rFonts w:hint="eastAsia" w:ascii="仿宋" w:hAnsi="仿宋" w:eastAsia="仿宋" w:cs="仿宋"/>
                <w:color w:val="auto"/>
                <w:szCs w:val="21"/>
                <w:highlight w:val="none"/>
                <w:u w:val="single"/>
                <w:lang w:eastAsia="zh-CN"/>
              </w:rPr>
              <w:t>。</w:t>
            </w:r>
          </w:p>
          <w:p w14:paraId="3F7D0016">
            <w:pPr>
              <w:pStyle w:val="9"/>
              <w:shd w:val="clea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分包金额或者比例：</w:t>
            </w:r>
            <w:r>
              <w:rPr>
                <w:rFonts w:hint="eastAsia" w:ascii="仿宋" w:hAnsi="仿宋" w:eastAsia="仿宋" w:cs="仿宋"/>
                <w:color w:val="auto"/>
                <w:szCs w:val="21"/>
                <w:highlight w:val="none"/>
                <w:u w:val="single"/>
              </w:rPr>
              <w:t>本项目检测范围内的“保健食品”、“特殊膳食食品”、“特殊医学用途配方食品”、“婴幼儿配方食品”如供应商不具备相应检测资质的，经采购人同意可以分包给具备相应检测资质的单位实施，以保障项目按时顺利完成。在项目进行过程中，由于</w:t>
            </w:r>
            <w:r>
              <w:rPr>
                <w:rFonts w:hint="eastAsia" w:ascii="仿宋" w:hAnsi="仿宋" w:eastAsia="仿宋" w:cs="仿宋"/>
                <w:color w:val="auto"/>
                <w:szCs w:val="21"/>
                <w:highlight w:val="none"/>
                <w:u w:val="single"/>
                <w:lang w:val="en-US" w:eastAsia="zh-CN"/>
              </w:rPr>
              <w:t>成交供应商</w:t>
            </w:r>
            <w:r>
              <w:rPr>
                <w:rFonts w:hint="eastAsia" w:ascii="仿宋" w:hAnsi="仿宋" w:eastAsia="仿宋" w:cs="仿宋"/>
                <w:color w:val="auto"/>
                <w:szCs w:val="21"/>
                <w:highlight w:val="none"/>
                <w:u w:val="single"/>
              </w:rPr>
              <w:t>分包给不具备相应检验资质的分包单位进行检验以及分包单位未按照国家相关法律法规和规章制度进行检验而产生的所有事故责任及后果全部由</w:t>
            </w:r>
            <w:r>
              <w:rPr>
                <w:rFonts w:hint="eastAsia" w:ascii="仿宋" w:hAnsi="仿宋" w:eastAsia="仿宋" w:cs="仿宋"/>
                <w:color w:val="auto"/>
                <w:szCs w:val="21"/>
                <w:highlight w:val="none"/>
                <w:u w:val="single"/>
                <w:lang w:val="en-US" w:eastAsia="zh-CN"/>
              </w:rPr>
              <w:t>成交供应商</w:t>
            </w:r>
            <w:r>
              <w:rPr>
                <w:rFonts w:hint="eastAsia" w:ascii="仿宋" w:hAnsi="仿宋" w:eastAsia="仿宋" w:cs="仿宋"/>
                <w:color w:val="auto"/>
                <w:szCs w:val="21"/>
                <w:highlight w:val="none"/>
                <w:u w:val="single"/>
              </w:rPr>
              <w:t>及其分包单位承担。</w:t>
            </w:r>
          </w:p>
        </w:tc>
      </w:tr>
      <w:tr w14:paraId="0D1BD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7069151C">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11.4</w:t>
            </w:r>
          </w:p>
        </w:tc>
        <w:tc>
          <w:tcPr>
            <w:tcW w:w="2255" w:type="dxa"/>
            <w:tcBorders>
              <w:top w:val="single" w:color="000000" w:sz="4" w:space="0"/>
              <w:left w:val="single" w:color="000000" w:sz="4" w:space="0"/>
              <w:bottom w:val="single" w:color="000000" w:sz="4" w:space="0"/>
              <w:right w:val="single" w:color="000000" w:sz="4" w:space="0"/>
            </w:tcBorders>
            <w:vAlign w:val="center"/>
          </w:tcPr>
          <w:p w14:paraId="3786A91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媒体发布渠道</w:t>
            </w:r>
          </w:p>
        </w:tc>
        <w:tc>
          <w:tcPr>
            <w:tcW w:w="7031" w:type="dxa"/>
            <w:tcBorders>
              <w:top w:val="single" w:color="000000" w:sz="4" w:space="0"/>
              <w:left w:val="single" w:color="000000" w:sz="4" w:space="0"/>
              <w:bottom w:val="single" w:color="000000" w:sz="4" w:space="0"/>
              <w:right w:val="single" w:color="000000" w:sz="4" w:space="0"/>
            </w:tcBorders>
            <w:vAlign w:val="center"/>
          </w:tcPr>
          <w:p w14:paraId="0B1E1AD9">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与本项目相关的政府采购业务澄清、更正及与之相关的事项将在采购公告中“七、其他补充事宜”中网上查询地址上发布</w:t>
            </w:r>
            <w:r>
              <w:rPr>
                <w:rFonts w:hint="eastAsia" w:ascii="仿宋" w:hAnsi="仿宋" w:eastAsia="仿宋" w:cs="仿宋"/>
                <w:color w:val="auto"/>
                <w:kern w:val="0"/>
                <w:szCs w:val="21"/>
                <w:highlight w:val="none"/>
              </w:rPr>
              <w:t>。</w:t>
            </w:r>
          </w:p>
        </w:tc>
      </w:tr>
      <w:tr w14:paraId="60D79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AF744B7">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w:t>
            </w:r>
          </w:p>
        </w:tc>
        <w:tc>
          <w:tcPr>
            <w:tcW w:w="2255" w:type="dxa"/>
            <w:tcBorders>
              <w:top w:val="single" w:color="000000" w:sz="4" w:space="0"/>
              <w:left w:val="single" w:color="000000" w:sz="4" w:space="0"/>
              <w:bottom w:val="single" w:color="000000" w:sz="4" w:space="0"/>
              <w:right w:val="single" w:color="000000" w:sz="4" w:space="0"/>
            </w:tcBorders>
            <w:vAlign w:val="center"/>
          </w:tcPr>
          <w:p w14:paraId="755FA723">
            <w:pPr>
              <w:snapToGrid w:val="0"/>
              <w:spacing w:line="460" w:lineRule="exact"/>
              <w:jc w:val="center"/>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资格证明文件组成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272DC382">
            <w:pPr>
              <w:pStyle w:val="9"/>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1.供应商为法人或者其他组织的提供其营业执照等证明文件（如营业执照或者事业单位法人证书或者执业许可证等），供应商为自然人的提供其身份证复印件；（</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2E9DABCA">
            <w:pPr>
              <w:snapToGrid w:val="0"/>
              <w:spacing w:line="460" w:lineRule="exact"/>
              <w:jc w:val="left"/>
              <w:rPr>
                <w:rFonts w:hint="eastAsia" w:ascii="仿宋" w:hAnsi="仿宋" w:eastAsia="仿宋" w:cs="仿宋"/>
                <w:color w:val="auto"/>
                <w:szCs w:val="21"/>
                <w:highlight w:val="none"/>
                <w:u w:val="none"/>
              </w:rPr>
            </w:pPr>
            <w:r>
              <w:rPr>
                <w:rFonts w:hint="eastAsia" w:ascii="仿宋" w:hAnsi="仿宋" w:eastAsia="仿宋" w:cs="仿宋"/>
                <w:color w:val="auto"/>
                <w:szCs w:val="21"/>
                <w:highlight w:val="none"/>
              </w:rPr>
              <w:t>2.供应商依法缴纳</w:t>
            </w:r>
            <w:r>
              <w:rPr>
                <w:rFonts w:hint="eastAsia" w:ascii="仿宋" w:hAnsi="仿宋" w:eastAsia="仿宋" w:cs="仿宋"/>
                <w:color w:val="auto"/>
                <w:szCs w:val="21"/>
                <w:highlight w:val="none"/>
                <w:u w:val="none"/>
              </w:rPr>
              <w:t>税收的相关材料：提供磋商截止日期前半年内</w:t>
            </w:r>
            <w:r>
              <w:rPr>
                <w:rFonts w:hint="eastAsia" w:ascii="仿宋" w:hAnsi="仿宋" w:eastAsia="仿宋" w:cs="仿宋"/>
                <w:color w:val="auto"/>
                <w:szCs w:val="21"/>
                <w:highlight w:val="none"/>
                <w:u w:val="none"/>
                <w:lang w:val="en-US" w:eastAsia="zh-CN"/>
              </w:rPr>
              <w:t>连续3</w:t>
            </w:r>
            <w:r>
              <w:rPr>
                <w:rFonts w:hint="eastAsia" w:ascii="仿宋" w:hAnsi="仿宋" w:eastAsia="仿宋" w:cs="仿宋"/>
                <w:color w:val="auto"/>
                <w:szCs w:val="21"/>
                <w:highlight w:val="none"/>
                <w:u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仿宋" w:hAnsi="仿宋" w:eastAsia="仿宋" w:cs="仿宋"/>
                <w:b/>
                <w:color w:val="auto"/>
                <w:szCs w:val="21"/>
                <w:highlight w:val="none"/>
                <w:u w:val="none"/>
              </w:rPr>
              <w:t>必须提供，否则作无效响应处理</w:t>
            </w:r>
            <w:r>
              <w:rPr>
                <w:rFonts w:hint="eastAsia" w:ascii="仿宋" w:hAnsi="仿宋" w:eastAsia="仿宋" w:cs="仿宋"/>
                <w:color w:val="auto"/>
                <w:szCs w:val="21"/>
                <w:highlight w:val="none"/>
                <w:u w:val="none"/>
              </w:rPr>
              <w:t>）</w:t>
            </w:r>
          </w:p>
          <w:p w14:paraId="3F5F71A4">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rPr>
              <w:t>3.供应商依法缴纳社会保障资金的相关材料：提供磋商截止日期前半年内</w:t>
            </w:r>
            <w:r>
              <w:rPr>
                <w:rFonts w:hint="eastAsia" w:ascii="仿宋" w:hAnsi="仿宋" w:eastAsia="仿宋" w:cs="仿宋"/>
                <w:color w:val="auto"/>
                <w:szCs w:val="21"/>
                <w:highlight w:val="none"/>
                <w:u w:val="none"/>
                <w:lang w:val="en-US" w:eastAsia="zh-CN"/>
              </w:rPr>
              <w:t>连续3</w:t>
            </w:r>
            <w:r>
              <w:rPr>
                <w:rFonts w:hint="eastAsia" w:ascii="仿宋" w:hAnsi="仿宋" w:eastAsia="仿宋" w:cs="仿宋"/>
                <w:color w:val="auto"/>
                <w:szCs w:val="21"/>
                <w:highlight w:val="none"/>
                <w:u w:val="none"/>
              </w:rPr>
              <w:t>个月的依</w:t>
            </w:r>
            <w:r>
              <w:rPr>
                <w:rFonts w:hint="eastAsia" w:ascii="仿宋" w:hAnsi="仿宋" w:eastAsia="仿宋" w:cs="仿宋"/>
                <w:color w:val="auto"/>
                <w:szCs w:val="21"/>
                <w:highlight w:val="none"/>
              </w:rPr>
              <w:t>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0A4ECB55">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4.供应商财务状况报告：提</w:t>
            </w:r>
            <w:r>
              <w:rPr>
                <w:rFonts w:hint="eastAsia" w:ascii="仿宋" w:hAnsi="仿宋" w:eastAsia="仿宋" w:cs="仿宋"/>
                <w:color w:val="auto"/>
                <w:szCs w:val="21"/>
                <w:highlight w:val="none"/>
                <w:lang w:val="en-US" w:eastAsia="zh-CN"/>
              </w:rPr>
              <w:t>供</w:t>
            </w:r>
            <w:r>
              <w:rPr>
                <w:rFonts w:hint="eastAsia" w:ascii="仿宋" w:hAnsi="仿宋" w:eastAsia="仿宋" w:cs="仿宋"/>
                <w:color w:val="auto"/>
                <w:szCs w:val="21"/>
                <w:highlight w:val="none"/>
              </w:rPr>
              <w:t>2025年财务状况报告复印件，供应商成立不满一年的应按提供首次响应文件提交截止时间上一个月的财务状况报告复印件；（上述财务状况报告包括：①供应商执行《企业会计准则》的，提供资产负债表、利润表、现金流量表、所有者权益变动表（如有）、附注，以下称“四表一注”；②供应商执行《小企业会计准则》的，提供资产负债表、利润表、现金流量表、附注，以下称“三表一注”）；③供应商执行《政府会计制度》的，提供资产负债表、收入费用表、净资产变动表、附注]；（</w:t>
            </w:r>
            <w:r>
              <w:rPr>
                <w:rFonts w:hint="eastAsia" w:ascii="仿宋" w:hAnsi="仿宋" w:eastAsia="仿宋" w:cs="仿宋"/>
                <w:b/>
                <w:color w:val="auto"/>
                <w:szCs w:val="21"/>
                <w:highlight w:val="none"/>
              </w:rPr>
              <w:t>必须提供，未提供或提供不全的均作无效响应处理</w:t>
            </w:r>
            <w:r>
              <w:rPr>
                <w:rFonts w:hint="eastAsia" w:ascii="仿宋" w:hAnsi="仿宋" w:eastAsia="仿宋" w:cs="仿宋"/>
                <w:color w:val="auto"/>
                <w:szCs w:val="21"/>
                <w:highlight w:val="none"/>
              </w:rPr>
              <w:t>）</w:t>
            </w:r>
          </w:p>
          <w:p w14:paraId="5650ADDE">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5.供应商直接控股、管理关系信息表（格式附后）；（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0E59FD8">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6.资格声明函（格式附后）；（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4A3AAFD2">
            <w:pPr>
              <w:snapToGrid w:val="0"/>
              <w:spacing w:line="460" w:lineRule="exact"/>
              <w:jc w:val="lef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7.供应商符合本项目的特定资格要求：</w:t>
            </w:r>
            <w:r>
              <w:rPr>
                <w:rFonts w:hint="eastAsia" w:ascii="仿宋" w:hAnsi="仿宋" w:eastAsia="仿宋" w:cs="仿宋"/>
                <w:b/>
                <w:bCs/>
                <w:color w:val="auto"/>
                <w:szCs w:val="21"/>
                <w:highlight w:val="none"/>
                <w:lang w:val="en-US" w:eastAsia="zh-CN"/>
              </w:rPr>
              <w:t>供应商具有食品检验机构资质认定证书或检验检测机构资质认定证书；</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0C3C8780">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8.《中小企业声明函》或《残疾人福利性单位声明函》或监狱企业证明（由省级以上监狱管理局、戒毒管理局（含新疆生产建设兵团）出具的属于监狱企业的证明文件）。</w:t>
            </w:r>
            <w:r>
              <w:rPr>
                <w:rFonts w:hint="eastAsia" w:ascii="仿宋" w:hAnsi="仿宋" w:eastAsia="仿宋" w:cs="仿宋"/>
                <w:color w:val="auto"/>
                <w:szCs w:val="21"/>
                <w:highlight w:val="none"/>
              </w:rPr>
              <w:t>（</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E72CEC6">
            <w:pPr>
              <w:snapToGrid w:val="0"/>
              <w:spacing w:line="460" w:lineRule="exact"/>
              <w:jc w:val="left"/>
              <w:rPr>
                <w:rFonts w:hint="eastAsia" w:ascii="仿宋" w:hAnsi="仿宋" w:eastAsia="仿宋" w:cs="仿宋"/>
                <w:b/>
                <w:bCs/>
                <w:color w:val="auto"/>
                <w:szCs w:val="21"/>
                <w:highlight w:val="none"/>
                <w:lang w:val="en-US" w:eastAsia="zh-CN"/>
              </w:rPr>
            </w:pPr>
            <w:r>
              <w:rPr>
                <w:rFonts w:hint="eastAsia" w:ascii="仿宋" w:hAnsi="仿宋" w:eastAsia="仿宋" w:cs="仿宋"/>
                <w:color w:val="auto"/>
                <w:szCs w:val="21"/>
                <w:highlight w:val="none"/>
                <w:lang w:val="en-US" w:eastAsia="zh-CN"/>
              </w:rPr>
              <w:t>9.分包承诺书</w:t>
            </w:r>
            <w:r>
              <w:rPr>
                <w:rFonts w:hint="eastAsia" w:ascii="仿宋" w:hAnsi="仿宋" w:eastAsia="仿宋" w:cs="仿宋"/>
                <w:b/>
                <w:bCs/>
                <w:color w:val="auto"/>
                <w:szCs w:val="21"/>
                <w:highlight w:val="none"/>
                <w:lang w:val="en-US" w:eastAsia="zh-CN"/>
              </w:rPr>
              <w:t>（如有分包时，必须提供，否则响应文件按无效响应处理）</w:t>
            </w:r>
          </w:p>
          <w:p w14:paraId="7DC0F14F">
            <w:pPr>
              <w:snapToGrid w:val="0"/>
              <w:spacing w:line="460" w:lineRule="exact"/>
              <w:jc w:val="left"/>
              <w:rPr>
                <w:rFonts w:hint="eastAsia" w:ascii="仿宋" w:hAnsi="仿宋" w:eastAsia="仿宋" w:cs="仿宋"/>
                <w:b/>
                <w:bCs/>
                <w:color w:val="auto"/>
                <w:szCs w:val="21"/>
                <w:highlight w:val="none"/>
                <w:lang w:val="en-US" w:eastAsia="zh-CN"/>
              </w:rPr>
            </w:pPr>
            <w:r>
              <w:rPr>
                <w:rFonts w:hint="eastAsia" w:ascii="仿宋" w:hAnsi="仿宋" w:eastAsia="仿宋" w:cs="仿宋"/>
                <w:color w:val="auto"/>
                <w:szCs w:val="21"/>
                <w:highlight w:val="none"/>
                <w:lang w:val="en-US" w:eastAsia="zh-CN"/>
              </w:rPr>
              <w:t>10.承诺书</w:t>
            </w:r>
            <w:r>
              <w:rPr>
                <w:rFonts w:hint="eastAsia" w:ascii="仿宋" w:hAnsi="仿宋" w:eastAsia="仿宋" w:cs="仿宋"/>
                <w:b/>
                <w:bCs/>
                <w:color w:val="auto"/>
                <w:szCs w:val="21"/>
                <w:highlight w:val="none"/>
                <w:lang w:val="en-US" w:eastAsia="zh-CN"/>
              </w:rPr>
              <w:t>（如没有分包时，必须提供，否则响应文件按无效响应处理）</w:t>
            </w:r>
          </w:p>
          <w:p w14:paraId="692FC086">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11.</w:t>
            </w:r>
            <w:r>
              <w:rPr>
                <w:rFonts w:hint="eastAsia" w:ascii="仿宋" w:hAnsi="仿宋" w:eastAsia="仿宋" w:cs="仿宋"/>
                <w:color w:val="auto"/>
                <w:szCs w:val="21"/>
                <w:highlight w:val="none"/>
              </w:rPr>
              <w:t>除磋商文件规定必须提供以外，供应商认为需要提供的其他证明材料；</w:t>
            </w:r>
          </w:p>
          <w:p w14:paraId="4DC45318">
            <w:pPr>
              <w:snapToGrid w:val="0"/>
              <w:spacing w:line="460" w:lineRule="exact"/>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注：</w:t>
            </w:r>
          </w:p>
          <w:p w14:paraId="72C0FB89">
            <w:pPr>
              <w:snapToGrid w:val="0"/>
              <w:spacing w:line="460" w:lineRule="exact"/>
              <w:ind w:firstLine="472" w:firstLineChars="196"/>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1.以上标明“必须提供”的材料属于复印件的扫描件的，必须加盖供应商电子公章，否则作无效响应处理。</w:t>
            </w:r>
          </w:p>
          <w:p w14:paraId="7C7AC803">
            <w:pPr>
              <w:pStyle w:val="9"/>
              <w:spacing w:line="460" w:lineRule="exact"/>
              <w:ind w:firstLine="48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2.联合体竞标时，第1-5项资格证明文件联合体各方均必须分别提供，联合体各方分别盖章和签字，否则作无效响应处理。</w:t>
            </w:r>
          </w:p>
        </w:tc>
      </w:tr>
      <w:tr w14:paraId="0461D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6E722751">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w:t>
            </w:r>
          </w:p>
        </w:tc>
        <w:tc>
          <w:tcPr>
            <w:tcW w:w="2255" w:type="dxa"/>
            <w:tcBorders>
              <w:top w:val="single" w:color="000000" w:sz="4" w:space="0"/>
              <w:left w:val="single" w:color="000000" w:sz="4" w:space="0"/>
              <w:bottom w:val="single" w:color="000000" w:sz="4" w:space="0"/>
              <w:right w:val="single" w:color="000000" w:sz="4" w:space="0"/>
            </w:tcBorders>
            <w:vAlign w:val="center"/>
          </w:tcPr>
          <w:p w14:paraId="1248FCAA">
            <w:pPr>
              <w:spacing w:line="46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商务文件组成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6C9E5934">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1.无串通竞标行为的承诺函（格式附后）；（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A63F3D8">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2.法定代表人身份证明书及法定代表人有效身份证正反面复印件（格式附后）；（</w:t>
            </w:r>
            <w:r>
              <w:rPr>
                <w:rFonts w:hint="eastAsia" w:ascii="仿宋" w:hAnsi="仿宋" w:eastAsia="仿宋" w:cs="仿宋"/>
                <w:b/>
                <w:bCs/>
                <w:color w:val="auto"/>
                <w:szCs w:val="21"/>
                <w:highlight w:val="none"/>
              </w:rPr>
              <w:t>除自然人竞标外</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63C1219F">
            <w:pPr>
              <w:spacing w:line="460" w:lineRule="exact"/>
              <w:rPr>
                <w:rFonts w:hint="eastAsia" w:ascii="仿宋" w:hAnsi="仿宋" w:eastAsia="仿宋" w:cs="仿宋"/>
                <w:b/>
                <w:color w:val="auto"/>
                <w:szCs w:val="21"/>
                <w:highlight w:val="none"/>
              </w:rPr>
            </w:pPr>
            <w:r>
              <w:rPr>
                <w:rFonts w:hint="eastAsia" w:ascii="仿宋" w:hAnsi="仿宋" w:eastAsia="仿宋" w:cs="仿宋"/>
                <w:color w:val="auto"/>
                <w:szCs w:val="21"/>
                <w:highlight w:val="none"/>
              </w:rPr>
              <w:t>3.法定代表人授权委托书及委托代理人有效身份证正反面复印件（格式附后）；（</w:t>
            </w:r>
            <w:r>
              <w:rPr>
                <w:rFonts w:hint="eastAsia" w:ascii="仿宋" w:hAnsi="仿宋" w:eastAsia="仿宋" w:cs="仿宋"/>
                <w:b/>
                <w:color w:val="auto"/>
                <w:szCs w:val="21"/>
                <w:highlight w:val="none"/>
              </w:rPr>
              <w:t>委托时必须提供，否则作无效响应处理</w:t>
            </w:r>
            <w:r>
              <w:rPr>
                <w:rFonts w:hint="eastAsia" w:ascii="仿宋" w:hAnsi="仿宋" w:eastAsia="仿宋" w:cs="仿宋"/>
                <w:color w:val="auto"/>
                <w:szCs w:val="21"/>
                <w:highlight w:val="none"/>
              </w:rPr>
              <w:t>）</w:t>
            </w:r>
          </w:p>
          <w:p w14:paraId="0DA1D5D4">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4.商务条款偏离表（格式附后）；（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745DDE5C">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5.竞标人情况介绍；</w:t>
            </w:r>
          </w:p>
          <w:p w14:paraId="4AC3BE12">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6.供应商认为需要提供的其他有关资料。</w:t>
            </w:r>
          </w:p>
          <w:p w14:paraId="4486D2EB">
            <w:pPr>
              <w:snapToGrid w:val="0"/>
              <w:spacing w:line="460" w:lineRule="exact"/>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 xml:space="preserve">注： </w:t>
            </w:r>
          </w:p>
          <w:p w14:paraId="73331128">
            <w:pPr>
              <w:snapToGrid w:val="0"/>
              <w:spacing w:line="460" w:lineRule="exact"/>
              <w:ind w:firstLine="472" w:firstLineChars="196"/>
              <w:jc w:val="lef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1.法定代表人授权委托书必须由法定代表人及委托代理人签字，并加盖供应商公章，否则作无效响应处理。</w:t>
            </w:r>
          </w:p>
          <w:p w14:paraId="04ED3F8D">
            <w:pPr>
              <w:spacing w:line="460" w:lineRule="exact"/>
              <w:ind w:firstLine="472" w:firstLineChars="196"/>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2.以上标明“必须提供”的材料属于复印件的扫描件的，必须加盖供应商电子公章，否则作无效响应处理。</w:t>
            </w:r>
          </w:p>
        </w:tc>
      </w:tr>
      <w:tr w14:paraId="358DC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7264B429">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103DEB26">
            <w:pPr>
              <w:spacing w:line="460" w:lineRule="exact"/>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7F86C9A5">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1.服务需求偏离表（格式附后）；（</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1CC5E62A">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2.服务方案；（</w:t>
            </w:r>
            <w:r>
              <w:rPr>
                <w:rFonts w:hint="eastAsia" w:ascii="仿宋" w:hAnsi="仿宋" w:eastAsia="仿宋" w:cs="仿宋"/>
                <w:b/>
                <w:color w:val="auto"/>
                <w:szCs w:val="21"/>
                <w:highlight w:val="none"/>
              </w:rPr>
              <w:t>必须提供，否则作无效响应处理</w:t>
            </w:r>
            <w:r>
              <w:rPr>
                <w:rFonts w:hint="eastAsia" w:ascii="仿宋" w:hAnsi="仿宋" w:eastAsia="仿宋" w:cs="仿宋"/>
                <w:color w:val="auto"/>
                <w:szCs w:val="21"/>
                <w:highlight w:val="none"/>
              </w:rPr>
              <w:t>）</w:t>
            </w:r>
          </w:p>
          <w:p w14:paraId="365880C7">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r>
              <w:rPr>
                <w:rFonts w:hint="eastAsia" w:ascii="仿宋" w:hAnsi="仿宋" w:eastAsia="仿宋" w:cs="仿宋"/>
                <w:color w:val="auto"/>
                <w:szCs w:val="21"/>
                <w:highlight w:val="none"/>
                <w:lang w:val="zh-CN"/>
              </w:rPr>
              <w:t>项目实施人员一览表（格式附后）</w:t>
            </w:r>
            <w:r>
              <w:rPr>
                <w:rFonts w:hint="eastAsia" w:ascii="仿宋" w:hAnsi="仿宋" w:eastAsia="仿宋" w:cs="仿宋"/>
                <w:color w:val="auto"/>
                <w:szCs w:val="21"/>
                <w:highlight w:val="none"/>
              </w:rPr>
              <w:t>；</w:t>
            </w:r>
            <w:r>
              <w:rPr>
                <w:rFonts w:hint="eastAsia" w:ascii="仿宋" w:hAnsi="仿宋" w:eastAsia="仿宋" w:cs="仿宋"/>
                <w:b/>
                <w:bCs/>
                <w:color w:val="auto"/>
                <w:szCs w:val="21"/>
                <w:highlight w:val="none"/>
              </w:rPr>
              <w:t>（必须提供， 否则响应文件按无效响应处理）</w:t>
            </w:r>
          </w:p>
          <w:p w14:paraId="4C77A02B">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.供应商认为需要提供的其他有关资料。</w:t>
            </w:r>
          </w:p>
          <w:p w14:paraId="74F287C8">
            <w:pPr>
              <w:spacing w:line="460" w:lineRule="exact"/>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注：1.以上标明“必须提供”的材料属于复印件的扫描件的，必须加盖供应商电子公章，否则作无效响应处理。</w:t>
            </w:r>
          </w:p>
        </w:tc>
      </w:tr>
      <w:tr w14:paraId="4DAAC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A5B6E3A">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w:t>
            </w:r>
          </w:p>
        </w:tc>
        <w:tc>
          <w:tcPr>
            <w:tcW w:w="2255" w:type="dxa"/>
            <w:tcBorders>
              <w:top w:val="single" w:color="000000" w:sz="4" w:space="0"/>
              <w:left w:val="single" w:color="000000" w:sz="4" w:space="0"/>
              <w:bottom w:val="single" w:color="000000" w:sz="4" w:space="0"/>
              <w:right w:val="single" w:color="000000" w:sz="4" w:space="0"/>
            </w:tcBorders>
            <w:vAlign w:val="center"/>
          </w:tcPr>
          <w:p w14:paraId="581EBEE6">
            <w:pPr>
              <w:spacing w:line="460" w:lineRule="exact"/>
              <w:jc w:val="center"/>
              <w:rPr>
                <w:rFonts w:hint="eastAsia" w:ascii="仿宋" w:hAnsi="仿宋" w:eastAsia="仿宋" w:cs="仿宋"/>
                <w:color w:val="auto"/>
                <w:szCs w:val="21"/>
                <w:highlight w:val="none"/>
              </w:rPr>
            </w:pPr>
            <w:r>
              <w:rPr>
                <w:rFonts w:hint="eastAsia" w:ascii="仿宋" w:hAnsi="仿宋" w:eastAsia="仿宋" w:cs="仿宋"/>
                <w:b/>
                <w:bCs/>
                <w:color w:val="auto"/>
                <w:szCs w:val="21"/>
                <w:highlight w:val="none"/>
              </w:rPr>
              <w:t>报价文件组成</w:t>
            </w:r>
          </w:p>
        </w:tc>
        <w:tc>
          <w:tcPr>
            <w:tcW w:w="7031" w:type="dxa"/>
            <w:tcBorders>
              <w:top w:val="single" w:color="000000" w:sz="4" w:space="0"/>
              <w:left w:val="single" w:color="000000" w:sz="4" w:space="0"/>
              <w:bottom w:val="single" w:color="000000" w:sz="4" w:space="0"/>
              <w:right w:val="single" w:color="000000" w:sz="4" w:space="0"/>
            </w:tcBorders>
            <w:vAlign w:val="center"/>
          </w:tcPr>
          <w:p w14:paraId="2EDCF02E">
            <w:pPr>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1.响应函（格式附后）；</w:t>
            </w:r>
            <w:r>
              <w:rPr>
                <w:rFonts w:hint="eastAsia" w:ascii="仿宋" w:hAnsi="仿宋" w:eastAsia="仿宋" w:cs="仿宋"/>
                <w:b/>
                <w:bCs/>
                <w:color w:val="auto"/>
                <w:szCs w:val="21"/>
                <w:highlight w:val="none"/>
              </w:rPr>
              <w:t>（必须提供，否则作无效响应处理）</w:t>
            </w:r>
          </w:p>
          <w:p w14:paraId="0FD8F8D9">
            <w:pPr>
              <w:snapToGrid w:val="0"/>
              <w:spacing w:line="460" w:lineRule="exact"/>
              <w:jc w:val="left"/>
              <w:rPr>
                <w:rFonts w:hint="eastAsia" w:ascii="仿宋" w:hAnsi="仿宋" w:eastAsia="仿宋" w:cs="仿宋"/>
                <w:b/>
                <w:bCs/>
                <w:color w:val="auto"/>
                <w:szCs w:val="21"/>
                <w:highlight w:val="none"/>
              </w:rPr>
            </w:pPr>
            <w:r>
              <w:rPr>
                <w:rFonts w:hint="eastAsia" w:ascii="仿宋" w:hAnsi="仿宋" w:eastAsia="仿宋" w:cs="仿宋"/>
                <w:color w:val="auto"/>
                <w:szCs w:val="21"/>
                <w:highlight w:val="none"/>
              </w:rPr>
              <w:t>2.响应报价表（格式附后）；</w:t>
            </w:r>
            <w:r>
              <w:rPr>
                <w:rFonts w:hint="eastAsia" w:ascii="仿宋" w:hAnsi="仿宋" w:eastAsia="仿宋" w:cs="仿宋"/>
                <w:b/>
                <w:bCs/>
                <w:color w:val="auto"/>
                <w:szCs w:val="21"/>
                <w:highlight w:val="none"/>
              </w:rPr>
              <w:t>（必须提供，否则作无效响应处理）</w:t>
            </w:r>
          </w:p>
          <w:p w14:paraId="08C8746A">
            <w:pPr>
              <w:snapToGrid w:val="0"/>
              <w:spacing w:line="460" w:lineRule="exact"/>
              <w:jc w:val="left"/>
              <w:rPr>
                <w:rFonts w:hint="eastAsia" w:ascii="仿宋" w:hAnsi="仿宋" w:eastAsia="仿宋" w:cs="仿宋"/>
                <w:b/>
                <w:bCs/>
                <w:color w:val="auto"/>
                <w:szCs w:val="21"/>
                <w:highlight w:val="none"/>
              </w:rPr>
            </w:pPr>
            <w:r>
              <w:rPr>
                <w:rFonts w:hint="eastAsia" w:ascii="仿宋" w:hAnsi="仿宋" w:eastAsia="仿宋" w:cs="仿宋"/>
                <w:b w:val="0"/>
                <w:bCs w:val="0"/>
                <w:color w:val="auto"/>
                <w:szCs w:val="21"/>
                <w:highlight w:val="none"/>
                <w:lang w:val="en-US" w:eastAsia="zh-CN"/>
              </w:rPr>
              <w:t>3.</w:t>
            </w:r>
            <w:r>
              <w:rPr>
                <w:rFonts w:hint="eastAsia" w:ascii="仿宋" w:hAnsi="仿宋" w:eastAsia="仿宋" w:cs="仿宋"/>
                <w:b w:val="0"/>
                <w:bCs w:val="0"/>
                <w:color w:val="auto"/>
                <w:szCs w:val="21"/>
                <w:highlight w:val="none"/>
              </w:rPr>
              <w:t>投标人针对报价需要说明的其他文件和说明。</w:t>
            </w:r>
          </w:p>
        </w:tc>
      </w:tr>
      <w:tr w14:paraId="1C0BC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2A9AD773">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w:t>
            </w:r>
          </w:p>
        </w:tc>
        <w:tc>
          <w:tcPr>
            <w:tcW w:w="2255" w:type="dxa"/>
            <w:tcBorders>
              <w:top w:val="single" w:color="000000" w:sz="4" w:space="0"/>
              <w:left w:val="single" w:color="000000" w:sz="4" w:space="0"/>
              <w:bottom w:val="single" w:color="000000" w:sz="4" w:space="0"/>
              <w:right w:val="single" w:color="000000" w:sz="4" w:space="0"/>
            </w:tcBorders>
            <w:vAlign w:val="center"/>
          </w:tcPr>
          <w:p w14:paraId="6116CA5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响应文件电子版要求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73A132A1">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1.响应文件电子版要求：按照本采购文件“第五章 响应文件格式”编写（第五章未附格式的，由供应商自行拟定），不可涂改并在规定加盖公章处加盖电子公章，</w:t>
            </w:r>
            <w:r>
              <w:rPr>
                <w:rFonts w:hint="eastAsia" w:ascii="仿宋" w:hAnsi="仿宋" w:eastAsia="仿宋" w:cs="仿宋"/>
                <w:b/>
                <w:color w:val="auto"/>
                <w:szCs w:val="21"/>
                <w:highlight w:val="none"/>
              </w:rPr>
              <w:t>否则作无效响应处理</w:t>
            </w:r>
            <w:r>
              <w:rPr>
                <w:rFonts w:hint="eastAsia" w:ascii="仿宋" w:hAnsi="仿宋" w:eastAsia="仿宋" w:cs="仿宋"/>
                <w:color w:val="auto"/>
                <w:szCs w:val="21"/>
                <w:highlight w:val="none"/>
              </w:rPr>
              <w:t>。</w:t>
            </w:r>
          </w:p>
          <w:p w14:paraId="4CA45AA1">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2.响应文件电子版密封方式：电子响应文件通过平台有效CA加密后在广西政府采购云平台投送。（操作方式见公告附件“电子响应文件制作与投送教程”）</w:t>
            </w:r>
          </w:p>
        </w:tc>
      </w:tr>
      <w:tr w14:paraId="7B95D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681C082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w:t>
            </w:r>
          </w:p>
        </w:tc>
        <w:tc>
          <w:tcPr>
            <w:tcW w:w="2255" w:type="dxa"/>
            <w:tcBorders>
              <w:top w:val="single" w:color="000000" w:sz="4" w:space="0"/>
              <w:left w:val="single" w:color="000000" w:sz="4" w:space="0"/>
              <w:bottom w:val="single" w:color="000000" w:sz="4" w:space="0"/>
              <w:right w:val="single" w:color="000000" w:sz="4" w:space="0"/>
            </w:tcBorders>
            <w:vAlign w:val="center"/>
          </w:tcPr>
          <w:p w14:paraId="4AB38798">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响应报价要求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2CF4CAEF">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报价必须包含满足本次竞标全部采购需求所应提供的服务，以及伴随的货物和工程（如有）的价格；包含竞标服务、货物、工程的成本、运输（含保险）、安装（如有）、调试、检验、技术服务、培训、税费等所有费用。</w:t>
            </w:r>
            <w:r>
              <w:rPr>
                <w:rFonts w:hint="eastAsia" w:ascii="仿宋" w:hAnsi="仿宋" w:eastAsia="仿宋" w:cs="仿宋"/>
                <w:b/>
                <w:color w:val="auto"/>
                <w:szCs w:val="21"/>
                <w:highlight w:val="none"/>
              </w:rPr>
              <w:t>（采购需求另有约定的，从其约定。）</w:t>
            </w:r>
          </w:p>
        </w:tc>
      </w:tr>
      <w:tr w14:paraId="42C3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376503E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w:t>
            </w:r>
          </w:p>
        </w:tc>
        <w:tc>
          <w:tcPr>
            <w:tcW w:w="2255" w:type="dxa"/>
            <w:tcBorders>
              <w:top w:val="single" w:color="000000" w:sz="4" w:space="0"/>
              <w:left w:val="single" w:color="000000" w:sz="4" w:space="0"/>
              <w:bottom w:val="single" w:color="000000" w:sz="4" w:space="0"/>
              <w:right w:val="single" w:color="000000" w:sz="4" w:space="0"/>
            </w:tcBorders>
            <w:vAlign w:val="center"/>
          </w:tcPr>
          <w:p w14:paraId="4E5DEAE6">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竞标有效期</w:t>
            </w:r>
          </w:p>
        </w:tc>
        <w:tc>
          <w:tcPr>
            <w:tcW w:w="7031" w:type="dxa"/>
            <w:tcBorders>
              <w:top w:val="single" w:color="000000" w:sz="4" w:space="0"/>
              <w:left w:val="single" w:color="000000" w:sz="4" w:space="0"/>
              <w:bottom w:val="single" w:color="000000" w:sz="4" w:space="0"/>
              <w:right w:val="single" w:color="000000" w:sz="4" w:space="0"/>
            </w:tcBorders>
            <w:vAlign w:val="center"/>
          </w:tcPr>
          <w:p w14:paraId="5F1C2186">
            <w:pPr>
              <w:pStyle w:val="7"/>
              <w:numPr>
                <w:ilvl w:val="0"/>
                <w:numId w:val="0"/>
              </w:numPr>
              <w:tabs>
                <w:tab w:val="left" w:pos="720"/>
                <w:tab w:val="left" w:pos="840"/>
              </w:tabs>
              <w:snapToGrid w:val="0"/>
              <w:spacing w:line="460" w:lineRule="exact"/>
              <w:ind w:left="283" w:hanging="324" w:hangingChars="135"/>
              <w:rPr>
                <w:rFonts w:hint="eastAsia" w:ascii="仿宋" w:hAnsi="仿宋" w:eastAsia="仿宋" w:cs="仿宋"/>
                <w:color w:val="auto"/>
                <w:szCs w:val="21"/>
                <w:highlight w:val="none"/>
              </w:rPr>
            </w:pPr>
            <w:r>
              <w:rPr>
                <w:rFonts w:hint="eastAsia" w:ascii="仿宋" w:hAnsi="仿宋" w:eastAsia="仿宋" w:cs="仿宋"/>
                <w:color w:val="auto"/>
                <w:szCs w:val="21"/>
                <w:highlight w:val="none"/>
              </w:rPr>
              <w:t>自首次响应文件提交截止之日起</w:t>
            </w:r>
            <w:r>
              <w:rPr>
                <w:rFonts w:hint="eastAsia" w:ascii="仿宋" w:hAnsi="仿宋" w:eastAsia="仿宋" w:cs="仿宋"/>
                <w:color w:val="auto"/>
                <w:szCs w:val="21"/>
                <w:highlight w:val="none"/>
                <w:u w:val="none"/>
              </w:rPr>
              <w:t>90日</w:t>
            </w:r>
            <w:r>
              <w:rPr>
                <w:rFonts w:hint="eastAsia" w:ascii="仿宋" w:hAnsi="仿宋" w:eastAsia="仿宋" w:cs="仿宋"/>
                <w:color w:val="auto"/>
                <w:szCs w:val="21"/>
                <w:highlight w:val="none"/>
              </w:rPr>
              <w:t>。</w:t>
            </w:r>
          </w:p>
        </w:tc>
      </w:tr>
      <w:tr w14:paraId="457F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72CE589D">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17.1</w:t>
            </w:r>
          </w:p>
        </w:tc>
        <w:tc>
          <w:tcPr>
            <w:tcW w:w="2255" w:type="dxa"/>
            <w:tcBorders>
              <w:top w:val="single" w:color="000000" w:sz="4" w:space="0"/>
              <w:left w:val="single" w:color="000000" w:sz="4" w:space="0"/>
              <w:bottom w:val="single" w:color="000000" w:sz="4" w:space="0"/>
              <w:right w:val="single" w:color="000000" w:sz="4" w:space="0"/>
            </w:tcBorders>
            <w:vAlign w:val="center"/>
          </w:tcPr>
          <w:p w14:paraId="13E3B0C2">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磋商保证金</w:t>
            </w:r>
          </w:p>
        </w:tc>
        <w:tc>
          <w:tcPr>
            <w:tcW w:w="7031" w:type="dxa"/>
            <w:tcBorders>
              <w:top w:val="single" w:color="000000" w:sz="4" w:space="0"/>
              <w:left w:val="single" w:color="000000" w:sz="4" w:space="0"/>
              <w:bottom w:val="single" w:color="000000" w:sz="4" w:space="0"/>
              <w:right w:val="single" w:color="000000" w:sz="4" w:space="0"/>
            </w:tcBorders>
            <w:vAlign w:val="center"/>
          </w:tcPr>
          <w:p w14:paraId="19F743F9">
            <w:pPr>
              <w:autoSpaceDE w:val="0"/>
              <w:autoSpaceDN w:val="0"/>
              <w:snapToGrid w:val="0"/>
              <w:spacing w:line="460" w:lineRule="exact"/>
              <w:textAlignment w:val="bottom"/>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本项目不收取磋商保证金。</w:t>
            </w:r>
          </w:p>
        </w:tc>
      </w:tr>
      <w:tr w14:paraId="06CB0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28F125A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20.1</w:t>
            </w:r>
          </w:p>
        </w:tc>
        <w:tc>
          <w:tcPr>
            <w:tcW w:w="2255" w:type="dxa"/>
            <w:tcBorders>
              <w:top w:val="single" w:color="000000" w:sz="4" w:space="0"/>
              <w:left w:val="single" w:color="000000" w:sz="4" w:space="0"/>
              <w:bottom w:val="single" w:color="000000" w:sz="4" w:space="0"/>
              <w:right w:val="single" w:color="000000" w:sz="4" w:space="0"/>
            </w:tcBorders>
            <w:vAlign w:val="center"/>
          </w:tcPr>
          <w:p w14:paraId="49C15BF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首次响应文件提交截止时间</w:t>
            </w:r>
          </w:p>
        </w:tc>
        <w:tc>
          <w:tcPr>
            <w:tcW w:w="7031" w:type="dxa"/>
            <w:tcBorders>
              <w:top w:val="single" w:color="000000" w:sz="4" w:space="0"/>
              <w:left w:val="single" w:color="000000" w:sz="4" w:space="0"/>
              <w:bottom w:val="single" w:color="000000" w:sz="4" w:space="0"/>
              <w:right w:val="single" w:color="000000" w:sz="4" w:space="0"/>
            </w:tcBorders>
            <w:vAlign w:val="center"/>
          </w:tcPr>
          <w:p w14:paraId="2BF71A68">
            <w:pPr>
              <w:snapToGrid w:val="0"/>
              <w:spacing w:line="46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详见竞争性磋商公告。</w:t>
            </w:r>
          </w:p>
        </w:tc>
      </w:tr>
      <w:tr w14:paraId="1D60A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53EEAA30">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0A637AC3">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首次响应文件提交地点</w:t>
            </w:r>
          </w:p>
        </w:tc>
        <w:tc>
          <w:tcPr>
            <w:tcW w:w="7031" w:type="dxa"/>
            <w:tcBorders>
              <w:top w:val="single" w:color="000000" w:sz="4" w:space="0"/>
              <w:left w:val="single" w:color="000000" w:sz="4" w:space="0"/>
              <w:bottom w:val="single" w:color="000000" w:sz="4" w:space="0"/>
              <w:right w:val="single" w:color="000000" w:sz="4" w:space="0"/>
            </w:tcBorders>
            <w:vAlign w:val="center"/>
          </w:tcPr>
          <w:p w14:paraId="6F8D8354">
            <w:pPr>
              <w:snapToGrid w:val="0"/>
              <w:spacing w:line="46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详见竞争性磋商公告。</w:t>
            </w:r>
          </w:p>
        </w:tc>
      </w:tr>
      <w:tr w14:paraId="7054C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24D104D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20.6</w:t>
            </w:r>
          </w:p>
        </w:tc>
        <w:tc>
          <w:tcPr>
            <w:tcW w:w="2255" w:type="dxa"/>
            <w:tcBorders>
              <w:top w:val="single" w:color="000000" w:sz="4" w:space="0"/>
              <w:left w:val="single" w:color="000000" w:sz="4" w:space="0"/>
              <w:bottom w:val="single" w:color="000000" w:sz="4" w:space="0"/>
              <w:right w:val="single" w:color="000000" w:sz="4" w:space="0"/>
            </w:tcBorders>
            <w:vAlign w:val="center"/>
          </w:tcPr>
          <w:p w14:paraId="03F3F8DB">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备份响应文件</w:t>
            </w:r>
          </w:p>
        </w:tc>
        <w:tc>
          <w:tcPr>
            <w:tcW w:w="7031" w:type="dxa"/>
            <w:tcBorders>
              <w:top w:val="single" w:color="000000" w:sz="4" w:space="0"/>
              <w:left w:val="single" w:color="000000" w:sz="4" w:space="0"/>
              <w:bottom w:val="single" w:color="000000" w:sz="4" w:space="0"/>
              <w:right w:val="single" w:color="000000" w:sz="4" w:space="0"/>
            </w:tcBorders>
            <w:vAlign w:val="center"/>
          </w:tcPr>
          <w:p w14:paraId="33467DDC">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本项目不接受备份响应文件。</w:t>
            </w:r>
          </w:p>
        </w:tc>
      </w:tr>
      <w:tr w14:paraId="37A97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B3626D6">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21</w:t>
            </w:r>
          </w:p>
        </w:tc>
        <w:tc>
          <w:tcPr>
            <w:tcW w:w="2255" w:type="dxa"/>
            <w:tcBorders>
              <w:top w:val="single" w:color="000000" w:sz="4" w:space="0"/>
              <w:left w:val="single" w:color="000000" w:sz="4" w:space="0"/>
              <w:bottom w:val="single" w:color="000000" w:sz="4" w:space="0"/>
              <w:right w:val="single" w:color="000000" w:sz="4" w:space="0"/>
            </w:tcBorders>
            <w:vAlign w:val="center"/>
          </w:tcPr>
          <w:p w14:paraId="160E71B9">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首次响应文件的退回</w:t>
            </w:r>
          </w:p>
        </w:tc>
        <w:tc>
          <w:tcPr>
            <w:tcW w:w="7031" w:type="dxa"/>
            <w:tcBorders>
              <w:top w:val="single" w:color="000000" w:sz="4" w:space="0"/>
              <w:left w:val="single" w:color="000000" w:sz="4" w:space="0"/>
              <w:bottom w:val="single" w:color="000000" w:sz="4" w:space="0"/>
              <w:right w:val="single" w:color="000000" w:sz="4" w:space="0"/>
            </w:tcBorders>
            <w:vAlign w:val="center"/>
          </w:tcPr>
          <w:p w14:paraId="2EBD737A">
            <w:pPr>
              <w:snapToGrid w:val="0"/>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tc>
      </w:tr>
      <w:tr w14:paraId="6EE4F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233CDAC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26</w:t>
            </w:r>
          </w:p>
        </w:tc>
        <w:tc>
          <w:tcPr>
            <w:tcW w:w="2255" w:type="dxa"/>
            <w:tcBorders>
              <w:top w:val="single" w:color="000000" w:sz="4" w:space="0"/>
              <w:left w:val="single" w:color="000000" w:sz="4" w:space="0"/>
              <w:bottom w:val="single" w:color="000000" w:sz="4" w:space="0"/>
              <w:right w:val="single" w:color="000000" w:sz="4" w:space="0"/>
            </w:tcBorders>
            <w:vAlign w:val="center"/>
          </w:tcPr>
          <w:p w14:paraId="49CE71AD">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负偏离要求</w:t>
            </w:r>
          </w:p>
        </w:tc>
        <w:tc>
          <w:tcPr>
            <w:tcW w:w="7031" w:type="dxa"/>
            <w:tcBorders>
              <w:top w:val="single" w:color="000000" w:sz="4" w:space="0"/>
              <w:left w:val="single" w:color="000000" w:sz="4" w:space="0"/>
              <w:bottom w:val="single" w:color="000000" w:sz="4" w:space="0"/>
              <w:right w:val="single" w:color="000000" w:sz="4" w:space="0"/>
            </w:tcBorders>
            <w:vAlign w:val="center"/>
          </w:tcPr>
          <w:p w14:paraId="3BC42C47">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商务条款评审中允许负偏离的条款数为</w:t>
            </w:r>
            <w:r>
              <w:rPr>
                <w:rFonts w:hint="eastAsia" w:ascii="仿宋" w:hAnsi="仿宋" w:eastAsia="仿宋" w:cs="仿宋"/>
                <w:color w:val="auto"/>
                <w:szCs w:val="21"/>
                <w:highlight w:val="none"/>
                <w:u w:val="single"/>
              </w:rPr>
              <w:t xml:space="preserve"> 0 </w:t>
            </w:r>
            <w:r>
              <w:rPr>
                <w:rFonts w:hint="eastAsia" w:ascii="仿宋" w:hAnsi="仿宋" w:eastAsia="仿宋" w:cs="仿宋"/>
                <w:color w:val="auto"/>
                <w:szCs w:val="21"/>
                <w:highlight w:val="none"/>
              </w:rPr>
              <w:t>项。</w:t>
            </w:r>
          </w:p>
          <w:p w14:paraId="59A7ABD4">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服务需求评审中允许负偏离的条款数为</w:t>
            </w:r>
            <w:r>
              <w:rPr>
                <w:rFonts w:hint="eastAsia" w:ascii="仿宋" w:hAnsi="仿宋" w:eastAsia="仿宋" w:cs="仿宋"/>
                <w:color w:val="auto"/>
                <w:szCs w:val="21"/>
                <w:highlight w:val="none"/>
                <w:u w:val="single"/>
              </w:rPr>
              <w:t xml:space="preserve"> 0 </w:t>
            </w:r>
            <w:r>
              <w:rPr>
                <w:rFonts w:hint="eastAsia" w:ascii="仿宋" w:hAnsi="仿宋" w:eastAsia="仿宋" w:cs="仿宋"/>
                <w:color w:val="auto"/>
                <w:szCs w:val="21"/>
                <w:highlight w:val="none"/>
              </w:rPr>
              <w:t>项。</w:t>
            </w:r>
          </w:p>
        </w:tc>
      </w:tr>
      <w:tr w14:paraId="72730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5504BA17">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108C8904">
            <w:pPr>
              <w:snapToGrid w:val="0"/>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磋商的顺序</w:t>
            </w:r>
          </w:p>
          <w:p w14:paraId="59B79F3D">
            <w:pPr>
              <w:spacing w:line="460" w:lineRule="exact"/>
              <w:jc w:val="center"/>
              <w:rPr>
                <w:rFonts w:hint="eastAsia" w:ascii="仿宋" w:hAnsi="仿宋" w:eastAsia="仿宋" w:cs="仿宋"/>
                <w:color w:val="auto"/>
                <w:szCs w:val="21"/>
                <w:highlight w:val="none"/>
              </w:rPr>
            </w:pPr>
          </w:p>
        </w:tc>
        <w:tc>
          <w:tcPr>
            <w:tcW w:w="7031" w:type="dxa"/>
            <w:tcBorders>
              <w:top w:val="single" w:color="000000" w:sz="4" w:space="0"/>
              <w:left w:val="single" w:color="000000" w:sz="4" w:space="0"/>
              <w:bottom w:val="single" w:color="000000" w:sz="4" w:space="0"/>
              <w:right w:val="single" w:color="000000" w:sz="4" w:space="0"/>
            </w:tcBorders>
            <w:vAlign w:val="center"/>
          </w:tcPr>
          <w:p w14:paraId="647E736C">
            <w:pPr>
              <w:pStyle w:val="9"/>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☑按照提交首次响应文件的顺序，通知磋商时，若某供应商不在通知现场时，该供应商排序到最后磋商，按照签到的顺序由其下一位供应商先参与磋商。</w:t>
            </w:r>
          </w:p>
          <w:p w14:paraId="697765C2">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□随机排序。</w:t>
            </w:r>
          </w:p>
          <w:p w14:paraId="476E0C43">
            <w:pPr>
              <w:pStyle w:val="9"/>
              <w:spacing w:line="460" w:lineRule="exact"/>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参与磋商前，供应商法定代表人或者委托代理人必须向磋商小组出示本人有效证件原件[有效证件可以是身份证（含临时身份证明）、机动车驾驶证、社会保障卡或者护照的其中一项]，若参与磋商的委托代理人不是响应文件中授权的委托代理人时，必须同时出示有效的法定代表人授权委托书原件，否则磋商小组将拒绝其参与磋商。</w:t>
            </w:r>
          </w:p>
        </w:tc>
      </w:tr>
      <w:tr w14:paraId="7BD57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07E361E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28</w:t>
            </w:r>
          </w:p>
        </w:tc>
        <w:tc>
          <w:tcPr>
            <w:tcW w:w="2255" w:type="dxa"/>
            <w:tcBorders>
              <w:top w:val="single" w:color="000000" w:sz="4" w:space="0"/>
              <w:left w:val="single" w:color="000000" w:sz="4" w:space="0"/>
              <w:bottom w:val="single" w:color="000000" w:sz="4" w:space="0"/>
              <w:right w:val="single" w:color="000000" w:sz="4" w:space="0"/>
            </w:tcBorders>
            <w:vAlign w:val="center"/>
          </w:tcPr>
          <w:p w14:paraId="147C01E7">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履约保证金</w:t>
            </w:r>
          </w:p>
        </w:tc>
        <w:tc>
          <w:tcPr>
            <w:tcW w:w="7031" w:type="dxa"/>
            <w:tcBorders>
              <w:top w:val="single" w:color="000000" w:sz="4" w:space="0"/>
              <w:left w:val="single" w:color="000000" w:sz="4" w:space="0"/>
              <w:bottom w:val="single" w:color="000000" w:sz="4" w:space="0"/>
              <w:right w:val="single" w:color="000000" w:sz="4" w:space="0"/>
            </w:tcBorders>
            <w:vAlign w:val="center"/>
          </w:tcPr>
          <w:p w14:paraId="0350F993">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本项目不收取履约保证金。</w:t>
            </w:r>
          </w:p>
        </w:tc>
      </w:tr>
      <w:tr w14:paraId="0A5F4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3604223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29.5</w:t>
            </w:r>
          </w:p>
        </w:tc>
        <w:tc>
          <w:tcPr>
            <w:tcW w:w="2255" w:type="dxa"/>
            <w:tcBorders>
              <w:top w:val="single" w:color="000000" w:sz="4" w:space="0"/>
              <w:left w:val="single" w:color="000000" w:sz="4" w:space="0"/>
              <w:bottom w:val="single" w:color="000000" w:sz="4" w:space="0"/>
              <w:right w:val="single" w:color="000000" w:sz="4" w:space="0"/>
            </w:tcBorders>
            <w:vAlign w:val="center"/>
          </w:tcPr>
          <w:p w14:paraId="03035FD5">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签订合同携带的材料</w:t>
            </w:r>
          </w:p>
        </w:tc>
        <w:tc>
          <w:tcPr>
            <w:tcW w:w="7031" w:type="dxa"/>
            <w:tcBorders>
              <w:top w:val="single" w:color="000000" w:sz="4" w:space="0"/>
              <w:left w:val="single" w:color="000000" w:sz="4" w:space="0"/>
              <w:bottom w:val="single" w:color="000000" w:sz="4" w:space="0"/>
              <w:right w:val="single" w:color="000000" w:sz="4" w:space="0"/>
            </w:tcBorders>
            <w:vAlign w:val="center"/>
          </w:tcPr>
          <w:p w14:paraId="2E773781">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使用的有效CA证书加盖单位电子公章。</w:t>
            </w:r>
          </w:p>
        </w:tc>
      </w:tr>
      <w:tr w14:paraId="215CF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restart"/>
            <w:tcBorders>
              <w:top w:val="single" w:color="000000" w:sz="4" w:space="0"/>
              <w:left w:val="single" w:color="000000" w:sz="4" w:space="0"/>
              <w:bottom w:val="single" w:color="000000" w:sz="4" w:space="0"/>
              <w:right w:val="single" w:color="000000" w:sz="4" w:space="0"/>
            </w:tcBorders>
            <w:vAlign w:val="center"/>
          </w:tcPr>
          <w:p w14:paraId="2389A2B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31.2</w:t>
            </w:r>
          </w:p>
        </w:tc>
        <w:tc>
          <w:tcPr>
            <w:tcW w:w="2255" w:type="dxa"/>
            <w:tcBorders>
              <w:top w:val="single" w:color="000000" w:sz="4" w:space="0"/>
              <w:left w:val="single" w:color="000000" w:sz="4" w:space="0"/>
              <w:bottom w:val="single" w:color="000000" w:sz="4" w:space="0"/>
              <w:right w:val="single" w:color="000000" w:sz="4" w:space="0"/>
            </w:tcBorders>
            <w:vAlign w:val="center"/>
          </w:tcPr>
          <w:p w14:paraId="32D5F6E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接收质疑函方式</w:t>
            </w:r>
          </w:p>
        </w:tc>
        <w:tc>
          <w:tcPr>
            <w:tcW w:w="7031" w:type="dxa"/>
            <w:tcBorders>
              <w:top w:val="single" w:color="000000" w:sz="4" w:space="0"/>
              <w:left w:val="single" w:color="000000" w:sz="4" w:space="0"/>
              <w:bottom w:val="single" w:color="000000" w:sz="4" w:space="0"/>
              <w:right w:val="single" w:color="000000" w:sz="4" w:space="0"/>
            </w:tcBorders>
            <w:vAlign w:val="center"/>
          </w:tcPr>
          <w:p w14:paraId="1810CE3A">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以书面形式</w:t>
            </w:r>
          </w:p>
        </w:tc>
      </w:tr>
      <w:tr w14:paraId="6005E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10F710AD">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0E30A8A8">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质疑联系部门及联系方式</w:t>
            </w:r>
          </w:p>
        </w:tc>
        <w:tc>
          <w:tcPr>
            <w:tcW w:w="7031" w:type="dxa"/>
            <w:tcBorders>
              <w:top w:val="single" w:color="000000" w:sz="4" w:space="0"/>
              <w:left w:val="single" w:color="000000" w:sz="4" w:space="0"/>
              <w:bottom w:val="single" w:color="000000" w:sz="4" w:space="0"/>
              <w:right w:val="single" w:color="000000" w:sz="4" w:space="0"/>
            </w:tcBorders>
            <w:vAlign w:val="center"/>
          </w:tcPr>
          <w:p w14:paraId="2335C6E1">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u w:val="single"/>
              </w:rPr>
              <w:t>广西科文招标有限公司</w:t>
            </w:r>
          </w:p>
          <w:p w14:paraId="4A16E2E0">
            <w:pPr>
              <w:snapToGrid w:val="0"/>
              <w:spacing w:line="460" w:lineRule="exac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联系人：</w:t>
            </w:r>
            <w:r>
              <w:rPr>
                <w:rFonts w:hint="eastAsia" w:ascii="仿宋" w:hAnsi="仿宋" w:eastAsia="仿宋" w:cs="仿宋"/>
                <w:color w:val="auto"/>
                <w:szCs w:val="21"/>
                <w:highlight w:val="none"/>
                <w:u w:val="single"/>
                <w:lang w:val="en-US" w:eastAsia="zh-CN"/>
              </w:rPr>
              <w:t>梁栩菁、梁伟贞</w:t>
            </w:r>
          </w:p>
          <w:p w14:paraId="490AE316">
            <w:pPr>
              <w:snapToGrid w:val="0"/>
              <w:spacing w:line="460" w:lineRule="exact"/>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u w:val="single"/>
              </w:rPr>
              <w:t>0771-2023</w:t>
            </w:r>
            <w:r>
              <w:rPr>
                <w:rFonts w:hint="eastAsia" w:ascii="仿宋" w:hAnsi="仿宋" w:eastAsia="仿宋" w:cs="仿宋"/>
                <w:color w:val="auto"/>
                <w:szCs w:val="21"/>
                <w:highlight w:val="none"/>
                <w:u w:val="single"/>
                <w:lang w:val="en-US" w:eastAsia="zh-CN"/>
              </w:rPr>
              <w:t>835</w:t>
            </w:r>
          </w:p>
          <w:p w14:paraId="52FAD279">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通讯地址：</w:t>
            </w:r>
            <w:r>
              <w:rPr>
                <w:rFonts w:hint="eastAsia" w:ascii="仿宋" w:hAnsi="仿宋" w:eastAsia="仿宋" w:cs="仿宋"/>
                <w:color w:val="auto"/>
                <w:szCs w:val="21"/>
                <w:highlight w:val="none"/>
                <w:u w:val="single"/>
              </w:rPr>
              <w:t>广西南宁市民族大道141号中鼎万象东方D区五层</w:t>
            </w:r>
            <w:r>
              <w:rPr>
                <w:rFonts w:hint="eastAsia" w:ascii="仿宋" w:hAnsi="仿宋" w:eastAsia="仿宋" w:cs="仿宋"/>
                <w:color w:val="auto"/>
                <w:szCs w:val="21"/>
                <w:highlight w:val="none"/>
              </w:rPr>
              <w:t xml:space="preserve"> </w:t>
            </w:r>
          </w:p>
          <w:p w14:paraId="769BF728">
            <w:pPr>
              <w:snapToGrid w:val="0"/>
              <w:spacing w:line="46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u w:val="single"/>
                <w:lang w:eastAsia="zh-CN"/>
              </w:rPr>
              <w:t>南宁市市场监督管理局经济技术开发区分局</w:t>
            </w:r>
          </w:p>
          <w:p w14:paraId="7008741C">
            <w:pPr>
              <w:snapToGrid w:val="0"/>
              <w:spacing w:line="460" w:lineRule="exact"/>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联系人：</w:t>
            </w:r>
            <w:r>
              <w:rPr>
                <w:rFonts w:hint="eastAsia" w:ascii="仿宋" w:hAnsi="仿宋" w:eastAsia="仿宋" w:cs="仿宋"/>
                <w:color w:val="auto"/>
                <w:szCs w:val="21"/>
                <w:highlight w:val="none"/>
                <w:u w:val="single"/>
                <w:lang w:val="en-US" w:eastAsia="zh-CN"/>
              </w:rPr>
              <w:t>郑春宁</w:t>
            </w:r>
          </w:p>
          <w:p w14:paraId="3272A192">
            <w:pPr>
              <w:snapToGrid w:val="0"/>
              <w:spacing w:line="460" w:lineRule="exact"/>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rPr>
              <w:t>联系电话：</w:t>
            </w:r>
            <w:r>
              <w:rPr>
                <w:rFonts w:hint="eastAsia" w:ascii="仿宋" w:hAnsi="仿宋" w:eastAsia="仿宋" w:cs="仿宋"/>
                <w:color w:val="auto"/>
                <w:szCs w:val="21"/>
                <w:highlight w:val="none"/>
                <w:u w:val="single"/>
                <w:lang w:eastAsia="zh-CN"/>
              </w:rPr>
              <w:t>0771-</w:t>
            </w:r>
            <w:r>
              <w:rPr>
                <w:rFonts w:hint="eastAsia" w:ascii="仿宋" w:hAnsi="仿宋" w:eastAsia="仿宋" w:cs="仿宋"/>
                <w:color w:val="auto"/>
                <w:szCs w:val="21"/>
                <w:highlight w:val="none"/>
                <w:u w:val="single"/>
                <w:lang w:val="en-US" w:eastAsia="zh-CN"/>
              </w:rPr>
              <w:t>5612331</w:t>
            </w:r>
          </w:p>
          <w:p w14:paraId="6D012C1F">
            <w:pPr>
              <w:snapToGrid w:val="0"/>
              <w:spacing w:line="460" w:lineRule="exact"/>
              <w:rPr>
                <w:rFonts w:hint="default" w:ascii="仿宋" w:hAnsi="仿宋" w:eastAsia="仿宋" w:cs="仿宋"/>
                <w:color w:val="auto"/>
                <w:szCs w:val="21"/>
                <w:highlight w:val="none"/>
                <w:lang w:val="en-US"/>
              </w:rPr>
            </w:pPr>
            <w:r>
              <w:rPr>
                <w:rFonts w:hint="eastAsia" w:ascii="仿宋" w:hAnsi="仿宋" w:eastAsia="仿宋" w:cs="仿宋"/>
                <w:color w:val="auto"/>
                <w:szCs w:val="21"/>
                <w:highlight w:val="none"/>
              </w:rPr>
              <w:t>通讯地址：</w:t>
            </w:r>
            <w:r>
              <w:rPr>
                <w:rFonts w:hint="eastAsia" w:ascii="仿宋" w:hAnsi="仿宋" w:eastAsia="仿宋" w:cs="仿宋"/>
                <w:color w:val="auto"/>
                <w:szCs w:val="21"/>
                <w:highlight w:val="none"/>
                <w:u w:val="single"/>
                <w:lang w:eastAsia="zh-CN"/>
              </w:rPr>
              <w:t>南宁市壮锦大道 39 号绿港国际中心 B4 栋 9 楼</w:t>
            </w:r>
            <w:r>
              <w:rPr>
                <w:rFonts w:hint="eastAsia" w:ascii="仿宋" w:hAnsi="仿宋" w:eastAsia="仿宋" w:cs="仿宋"/>
                <w:color w:val="auto"/>
                <w:szCs w:val="21"/>
                <w:highlight w:val="none"/>
                <w:u w:val="single"/>
                <w:lang w:val="en-US" w:eastAsia="zh-CN"/>
              </w:rPr>
              <w:t>902室</w:t>
            </w:r>
          </w:p>
        </w:tc>
      </w:tr>
      <w:tr w14:paraId="30E1F5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vMerge w:val="continue"/>
            <w:tcBorders>
              <w:top w:val="single" w:color="000000" w:sz="4" w:space="0"/>
              <w:left w:val="single" w:color="000000" w:sz="4" w:space="0"/>
              <w:bottom w:val="single" w:color="000000" w:sz="4" w:space="0"/>
              <w:right w:val="single" w:color="000000" w:sz="4" w:space="0"/>
            </w:tcBorders>
            <w:vAlign w:val="center"/>
          </w:tcPr>
          <w:p w14:paraId="2E31CB33">
            <w:pPr>
              <w:widowControl/>
              <w:spacing w:line="460" w:lineRule="exact"/>
              <w:jc w:val="left"/>
              <w:rPr>
                <w:rFonts w:hint="eastAsia" w:ascii="仿宋" w:hAnsi="仿宋" w:eastAsia="仿宋" w:cs="仿宋"/>
                <w:color w:val="auto"/>
                <w:szCs w:val="21"/>
                <w:highlight w:val="none"/>
              </w:rPr>
            </w:pPr>
          </w:p>
        </w:tc>
        <w:tc>
          <w:tcPr>
            <w:tcW w:w="2255" w:type="dxa"/>
            <w:tcBorders>
              <w:top w:val="single" w:color="000000" w:sz="4" w:space="0"/>
              <w:left w:val="single" w:color="000000" w:sz="4" w:space="0"/>
              <w:bottom w:val="single" w:color="000000" w:sz="4" w:space="0"/>
              <w:right w:val="single" w:color="000000" w:sz="4" w:space="0"/>
            </w:tcBorders>
            <w:vAlign w:val="center"/>
          </w:tcPr>
          <w:p w14:paraId="10A42A0D">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highlight w:val="none"/>
              </w:rPr>
              <w:t>现场提交质疑办理业务时间</w:t>
            </w:r>
          </w:p>
        </w:tc>
        <w:tc>
          <w:tcPr>
            <w:tcW w:w="7031" w:type="dxa"/>
            <w:tcBorders>
              <w:top w:val="single" w:color="000000" w:sz="4" w:space="0"/>
              <w:left w:val="single" w:color="000000" w:sz="4" w:space="0"/>
              <w:bottom w:val="single" w:color="000000" w:sz="4" w:space="0"/>
              <w:right w:val="single" w:color="000000" w:sz="4" w:space="0"/>
            </w:tcBorders>
            <w:vAlign w:val="center"/>
          </w:tcPr>
          <w:p w14:paraId="2004D4B7">
            <w:pPr>
              <w:snapToGrid w:val="0"/>
              <w:spacing w:line="460" w:lineRule="exact"/>
              <w:rPr>
                <w:rFonts w:hint="eastAsia" w:ascii="仿宋" w:hAnsi="仿宋" w:eastAsia="仿宋" w:cs="仿宋"/>
                <w:color w:val="auto"/>
                <w:szCs w:val="21"/>
                <w:highlight w:val="none"/>
              </w:rPr>
            </w:pPr>
            <w:r>
              <w:rPr>
                <w:rFonts w:hint="eastAsia" w:ascii="仿宋" w:hAnsi="仿宋" w:eastAsia="仿宋" w:cs="仿宋"/>
                <w:color w:val="auto"/>
                <w:highlight w:val="none"/>
              </w:rPr>
              <w:t>质疑期内每个工作日</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8</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分到</w:t>
            </w:r>
            <w:r>
              <w:rPr>
                <w:rFonts w:hint="eastAsia" w:ascii="仿宋" w:hAnsi="仿宋" w:eastAsia="仿宋" w:cs="仿宋"/>
                <w:color w:val="auto"/>
                <w:highlight w:val="none"/>
                <w:u w:val="single"/>
              </w:rPr>
              <w:t xml:space="preserve"> 12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15</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u w:val="single"/>
                <w:lang w:val="en-US" w:eastAsia="zh-CN"/>
              </w:rPr>
              <w:t>18</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时</w:t>
            </w:r>
            <w:r>
              <w:rPr>
                <w:rFonts w:hint="eastAsia" w:ascii="仿宋" w:hAnsi="仿宋" w:eastAsia="仿宋" w:cs="仿宋"/>
                <w:color w:val="auto"/>
                <w:highlight w:val="none"/>
                <w:u w:val="single"/>
              </w:rPr>
              <w:t xml:space="preserve"> 0 </w:t>
            </w:r>
            <w:r>
              <w:rPr>
                <w:rFonts w:hint="eastAsia" w:ascii="仿宋" w:hAnsi="仿宋" w:eastAsia="仿宋" w:cs="仿宋"/>
                <w:color w:val="auto"/>
                <w:highlight w:val="none"/>
              </w:rPr>
              <w:t>分</w:t>
            </w:r>
          </w:p>
        </w:tc>
      </w:tr>
      <w:tr w14:paraId="7EEA4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63BF1FB">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31.6</w:t>
            </w:r>
          </w:p>
        </w:tc>
        <w:tc>
          <w:tcPr>
            <w:tcW w:w="2255" w:type="dxa"/>
            <w:tcBorders>
              <w:top w:val="single" w:color="000000" w:sz="4" w:space="0"/>
              <w:left w:val="single" w:color="000000" w:sz="4" w:space="0"/>
              <w:bottom w:val="single" w:color="000000" w:sz="4" w:space="0"/>
              <w:right w:val="single" w:color="000000" w:sz="4" w:space="0"/>
            </w:tcBorders>
            <w:vAlign w:val="center"/>
          </w:tcPr>
          <w:p w14:paraId="0983CA3F">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受理投诉方式</w:t>
            </w:r>
          </w:p>
        </w:tc>
        <w:tc>
          <w:tcPr>
            <w:tcW w:w="7031" w:type="dxa"/>
            <w:tcBorders>
              <w:top w:val="single" w:color="000000" w:sz="4" w:space="0"/>
              <w:left w:val="single" w:color="000000" w:sz="4" w:space="0"/>
              <w:bottom w:val="single" w:color="000000" w:sz="4" w:space="0"/>
              <w:right w:val="single" w:color="000000" w:sz="4" w:space="0"/>
            </w:tcBorders>
            <w:vAlign w:val="center"/>
          </w:tcPr>
          <w:p w14:paraId="76B376E4">
            <w:pPr>
              <w:snapToGrid w:val="0"/>
              <w:spacing w:line="460" w:lineRule="exact"/>
              <w:rPr>
                <w:rFonts w:hint="eastAsia" w:ascii="仿宋" w:hAnsi="仿宋" w:eastAsia="仿宋" w:cs="仿宋"/>
                <w:color w:val="auto"/>
                <w:highlight w:val="none"/>
              </w:rPr>
            </w:pPr>
            <w:r>
              <w:rPr>
                <w:rFonts w:hint="eastAsia" w:ascii="仿宋" w:hAnsi="仿宋" w:eastAsia="仿宋" w:cs="仿宋"/>
                <w:color w:val="auto"/>
                <w:highlight w:val="none"/>
              </w:rPr>
              <w:t>1、受理方式：纸质方式受理，投诉书正、副本（经过质疑的事项才可投诉）。</w:t>
            </w:r>
          </w:p>
          <w:p w14:paraId="6AC7758D">
            <w:pPr>
              <w:snapToGrid w:val="0"/>
              <w:spacing w:line="460" w:lineRule="exact"/>
              <w:rPr>
                <w:rFonts w:hint="eastAsia" w:ascii="仿宋" w:hAnsi="仿宋" w:eastAsia="仿宋" w:cs="仿宋"/>
                <w:color w:val="auto"/>
                <w:highlight w:val="none"/>
              </w:rPr>
            </w:pPr>
            <w:r>
              <w:rPr>
                <w:rFonts w:hint="eastAsia" w:ascii="仿宋" w:hAnsi="仿宋" w:eastAsia="仿宋" w:cs="仿宋"/>
                <w:color w:val="auto"/>
                <w:highlight w:val="none"/>
              </w:rPr>
              <w:t>2、邮寄地址：</w:t>
            </w:r>
          </w:p>
          <w:p w14:paraId="53B43F44">
            <w:pPr>
              <w:snapToGrid w:val="0"/>
              <w:spacing w:line="46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名称：</w:t>
            </w:r>
            <w:r>
              <w:rPr>
                <w:rFonts w:hint="eastAsia" w:ascii="仿宋" w:hAnsi="仿宋" w:eastAsia="仿宋" w:cs="仿宋"/>
                <w:color w:val="auto"/>
                <w:highlight w:val="none"/>
                <w:u w:val="single"/>
                <w:lang w:eastAsia="zh-CN"/>
              </w:rPr>
              <w:t>南宁经济技术开发区财政局</w:t>
            </w:r>
          </w:p>
          <w:p w14:paraId="6EF6C855">
            <w:pPr>
              <w:snapToGrid w:val="0"/>
              <w:spacing w:line="460" w:lineRule="exac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地址：</w:t>
            </w:r>
            <w:r>
              <w:rPr>
                <w:rFonts w:hint="eastAsia" w:ascii="仿宋" w:hAnsi="仿宋" w:eastAsia="仿宋" w:cs="仿宋"/>
                <w:color w:val="auto"/>
                <w:highlight w:val="none"/>
                <w:u w:val="single"/>
                <w:lang w:eastAsia="zh-CN"/>
              </w:rPr>
              <w:t>南宁市江南区星光大道230号</w:t>
            </w:r>
          </w:p>
          <w:p w14:paraId="0D1EC630">
            <w:pPr>
              <w:snapToGrid w:val="0"/>
              <w:spacing w:line="460" w:lineRule="exact"/>
              <w:rPr>
                <w:rFonts w:hint="default" w:ascii="仿宋" w:hAnsi="仿宋" w:eastAsia="仿宋" w:cs="仿宋"/>
                <w:color w:val="auto"/>
                <w:highlight w:val="none"/>
                <w:lang w:val="en-US" w:eastAsia="zh-CN"/>
              </w:rPr>
            </w:pPr>
            <w:r>
              <w:rPr>
                <w:rFonts w:hint="eastAsia" w:ascii="仿宋" w:hAnsi="仿宋" w:eastAsia="仿宋" w:cs="仿宋"/>
                <w:color w:val="auto"/>
                <w:highlight w:val="none"/>
                <w:lang w:eastAsia="zh-CN"/>
              </w:rPr>
              <w:t>联系电话：</w:t>
            </w:r>
            <w:r>
              <w:rPr>
                <w:rFonts w:hint="eastAsia" w:ascii="仿宋" w:hAnsi="仿宋" w:eastAsia="仿宋" w:cs="仿宋"/>
                <w:color w:val="auto"/>
                <w:highlight w:val="none"/>
                <w:u w:val="single"/>
                <w:lang w:eastAsia="zh-CN"/>
              </w:rPr>
              <w:t>0771—4259254</w:t>
            </w:r>
          </w:p>
        </w:tc>
      </w:tr>
      <w:tr w14:paraId="16DE6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4BEB50E6">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33</w:t>
            </w:r>
          </w:p>
        </w:tc>
        <w:tc>
          <w:tcPr>
            <w:tcW w:w="2255" w:type="dxa"/>
            <w:tcBorders>
              <w:top w:val="single" w:color="000000" w:sz="4" w:space="0"/>
              <w:left w:val="single" w:color="000000" w:sz="4" w:space="0"/>
              <w:bottom w:val="single" w:color="000000" w:sz="4" w:space="0"/>
              <w:right w:val="single" w:color="000000" w:sz="4" w:space="0"/>
            </w:tcBorders>
            <w:vAlign w:val="center"/>
          </w:tcPr>
          <w:p w14:paraId="55967A84">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采购代理费</w:t>
            </w:r>
          </w:p>
        </w:tc>
        <w:tc>
          <w:tcPr>
            <w:tcW w:w="7031" w:type="dxa"/>
            <w:tcBorders>
              <w:top w:val="single" w:color="000000" w:sz="4" w:space="0"/>
              <w:left w:val="single" w:color="000000" w:sz="4" w:space="0"/>
              <w:bottom w:val="single" w:color="000000" w:sz="4" w:space="0"/>
              <w:right w:val="single" w:color="000000" w:sz="4" w:space="0"/>
            </w:tcBorders>
            <w:vAlign w:val="center"/>
          </w:tcPr>
          <w:p w14:paraId="6C5CD3ED">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1.是否收取采购代理费：☑是    □ 否</w:t>
            </w:r>
          </w:p>
          <w:p w14:paraId="5DC709E9">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2.采购代理费由</w:t>
            </w:r>
            <w:r>
              <w:rPr>
                <w:rFonts w:hint="eastAsia" w:ascii="仿宋" w:hAnsi="仿宋" w:eastAsia="仿宋" w:cs="仿宋"/>
                <w:color w:val="auto"/>
                <w:sz w:val="24"/>
                <w:szCs w:val="24"/>
                <w:highlight w:val="none"/>
                <w:u w:val="single"/>
              </w:rPr>
              <w:t>成交供应商</w:t>
            </w:r>
            <w:r>
              <w:rPr>
                <w:rFonts w:hint="eastAsia" w:ascii="仿宋" w:hAnsi="仿宋" w:eastAsia="仿宋" w:cs="仿宋"/>
                <w:color w:val="auto"/>
                <w:sz w:val="24"/>
                <w:szCs w:val="24"/>
                <w:highlight w:val="none"/>
              </w:rPr>
              <w:t>领取成交通知书前，一次性向采购代理机构支付。</w:t>
            </w:r>
          </w:p>
          <w:p w14:paraId="0E9260A6">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3.采购代理费收取标准：参照原国家发展计划委员会计价格[2002]1980号《招标代理服务费管理暂行办法》收费标准（服务类型）向成交供应商收取。</w:t>
            </w:r>
          </w:p>
          <w:p w14:paraId="3991F26E">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4.采购代理费收取银行账户：</w:t>
            </w:r>
          </w:p>
          <w:p w14:paraId="2398963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开户名称：</w:t>
            </w:r>
            <w:r>
              <w:rPr>
                <w:rFonts w:hint="eastAsia" w:ascii="仿宋" w:hAnsi="仿宋" w:eastAsia="仿宋" w:cs="仿宋"/>
                <w:color w:val="auto"/>
                <w:sz w:val="24"/>
                <w:szCs w:val="24"/>
                <w:highlight w:val="none"/>
                <w:lang w:eastAsia="zh-CN"/>
              </w:rPr>
              <w:t>广西科文招标有限公司南宁咨询二分公司</w:t>
            </w:r>
            <w:r>
              <w:rPr>
                <w:rFonts w:hint="eastAsia" w:ascii="仿宋" w:hAnsi="仿宋" w:eastAsia="仿宋" w:cs="仿宋"/>
                <w:color w:val="auto"/>
                <w:sz w:val="24"/>
                <w:szCs w:val="24"/>
                <w:highlight w:val="none"/>
              </w:rPr>
              <w:t xml:space="preserve"> </w:t>
            </w:r>
          </w:p>
          <w:p w14:paraId="486D4AF3">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lang w:eastAsia="zh-CN"/>
              </w:rPr>
              <w:t>广西北部湾银行股份有限公司南宁市云景支行</w:t>
            </w:r>
            <w:r>
              <w:rPr>
                <w:rFonts w:hint="eastAsia" w:ascii="仿宋" w:hAnsi="仿宋" w:eastAsia="仿宋" w:cs="仿宋"/>
                <w:color w:val="auto"/>
                <w:sz w:val="24"/>
                <w:szCs w:val="24"/>
                <w:highlight w:val="none"/>
              </w:rPr>
              <w:t xml:space="preserve"> </w:t>
            </w:r>
          </w:p>
          <w:p w14:paraId="5F70A99E">
            <w:pPr>
              <w:pStyle w:val="14"/>
              <w:snapToGrid w:val="0"/>
              <w:spacing w:line="460" w:lineRule="exact"/>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银行账号：</w:t>
            </w:r>
            <w:r>
              <w:rPr>
                <w:rFonts w:hint="eastAsia" w:ascii="仿宋" w:hAnsi="仿宋" w:eastAsia="仿宋" w:cs="仿宋"/>
                <w:color w:val="auto"/>
                <w:sz w:val="24"/>
                <w:szCs w:val="24"/>
                <w:highlight w:val="none"/>
                <w:lang w:eastAsia="zh-CN"/>
              </w:rPr>
              <w:t>805030158300001</w:t>
            </w:r>
          </w:p>
        </w:tc>
      </w:tr>
      <w:tr w14:paraId="170A9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3774B2DE">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34.1</w:t>
            </w:r>
          </w:p>
        </w:tc>
        <w:tc>
          <w:tcPr>
            <w:tcW w:w="2255" w:type="dxa"/>
            <w:tcBorders>
              <w:top w:val="single" w:color="000000" w:sz="4" w:space="0"/>
              <w:left w:val="single" w:color="000000" w:sz="4" w:space="0"/>
              <w:bottom w:val="single" w:color="000000" w:sz="4" w:space="0"/>
              <w:right w:val="single" w:color="000000" w:sz="4" w:space="0"/>
            </w:tcBorders>
            <w:vAlign w:val="center"/>
          </w:tcPr>
          <w:p w14:paraId="66814090">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highlight w:val="none"/>
              </w:rPr>
              <w:t>解释</w:t>
            </w:r>
          </w:p>
        </w:tc>
        <w:tc>
          <w:tcPr>
            <w:tcW w:w="7031" w:type="dxa"/>
            <w:tcBorders>
              <w:top w:val="single" w:color="000000" w:sz="4" w:space="0"/>
              <w:left w:val="single" w:color="000000" w:sz="4" w:space="0"/>
              <w:bottom w:val="single" w:color="000000" w:sz="4" w:space="0"/>
              <w:right w:val="single" w:color="000000" w:sz="4" w:space="0"/>
            </w:tcBorders>
            <w:vAlign w:val="center"/>
          </w:tcPr>
          <w:p w14:paraId="24963597">
            <w:pPr>
              <w:pStyle w:val="14"/>
              <w:snapToGrid w:val="0"/>
              <w:spacing w:line="46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解释权：</w:t>
            </w:r>
            <w:r>
              <w:rPr>
                <w:rFonts w:hint="eastAsia" w:ascii="仿宋" w:hAnsi="仿宋" w:eastAsia="仿宋" w:cs="仿宋"/>
                <w:color w:val="auto"/>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仿宋" w:hAnsi="仿宋" w:eastAsia="仿宋" w:cs="仿宋"/>
                <w:b/>
                <w:color w:val="auto"/>
                <w:sz w:val="24"/>
                <w:szCs w:val="24"/>
                <w:highlight w:val="none"/>
              </w:rPr>
              <w:t>由采购人或者采购代理机构负责解释。</w:t>
            </w:r>
          </w:p>
          <w:p w14:paraId="59E9D599">
            <w:pPr>
              <w:pStyle w:val="14"/>
              <w:snapToGrid w:val="0"/>
              <w:spacing w:line="46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法律责任：</w:t>
            </w:r>
          </w:p>
          <w:p w14:paraId="48F2143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1.</w:t>
            </w:r>
            <w:r>
              <w:rPr>
                <w:rFonts w:hint="eastAsia" w:ascii="仿宋" w:hAnsi="仿宋" w:eastAsia="仿宋" w:cs="仿宋"/>
                <w:color w:val="auto"/>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76725EAD">
            <w:pPr>
              <w:spacing w:line="460" w:lineRule="exact"/>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6C90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25" w:type="dxa"/>
            <w:tcBorders>
              <w:top w:val="single" w:color="000000" w:sz="4" w:space="0"/>
              <w:left w:val="single" w:color="000000" w:sz="4" w:space="0"/>
              <w:bottom w:val="single" w:color="000000" w:sz="4" w:space="0"/>
              <w:right w:val="single" w:color="000000" w:sz="4" w:space="0"/>
            </w:tcBorders>
            <w:vAlign w:val="center"/>
          </w:tcPr>
          <w:p w14:paraId="5283AFD3">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34.2</w:t>
            </w:r>
          </w:p>
        </w:tc>
        <w:tc>
          <w:tcPr>
            <w:tcW w:w="2255" w:type="dxa"/>
            <w:tcBorders>
              <w:top w:val="single" w:color="000000" w:sz="4" w:space="0"/>
              <w:left w:val="single" w:color="000000" w:sz="4" w:space="0"/>
              <w:bottom w:val="single" w:color="000000" w:sz="4" w:space="0"/>
              <w:right w:val="single" w:color="000000" w:sz="4" w:space="0"/>
            </w:tcBorders>
            <w:vAlign w:val="center"/>
          </w:tcPr>
          <w:p w14:paraId="5AE6086C">
            <w:pPr>
              <w:spacing w:line="4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w:t>
            </w:r>
          </w:p>
        </w:tc>
        <w:tc>
          <w:tcPr>
            <w:tcW w:w="7031" w:type="dxa"/>
            <w:tcBorders>
              <w:top w:val="single" w:color="000000" w:sz="4" w:space="0"/>
              <w:left w:val="single" w:color="000000" w:sz="4" w:space="0"/>
              <w:bottom w:val="single" w:color="000000" w:sz="4" w:space="0"/>
              <w:right w:val="single" w:color="000000" w:sz="4" w:space="0"/>
            </w:tcBorders>
            <w:vAlign w:val="center"/>
          </w:tcPr>
          <w:p w14:paraId="7575F4AE">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54008A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5ADA6FB">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C9CA734">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4.自然人竞标的，磋商文件规定盖公章处由自然人摁手指指印。</w:t>
            </w:r>
          </w:p>
          <w:p w14:paraId="3F478532">
            <w:pPr>
              <w:pStyle w:val="14"/>
              <w:snapToGrid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5.本磋商文件所称的“以上”“以下”“以内”“届满”，包括本数；所称的“不满”“超过”“以外”，不包括本数。</w:t>
            </w:r>
          </w:p>
        </w:tc>
      </w:tr>
    </w:tbl>
    <w:p w14:paraId="5F03B789">
      <w:pPr>
        <w:pStyle w:val="3"/>
        <w:spacing w:line="420" w:lineRule="exact"/>
        <w:jc w:val="center"/>
        <w:rPr>
          <w:rFonts w:hint="eastAsia" w:ascii="仿宋" w:hAnsi="仿宋" w:eastAsia="仿宋" w:cs="仿宋"/>
          <w:b w:val="0"/>
          <w:color w:val="auto"/>
          <w:highlight w:val="none"/>
        </w:rPr>
      </w:pPr>
      <w:r>
        <w:rPr>
          <w:rFonts w:hint="eastAsia" w:ascii="仿宋" w:hAnsi="仿宋" w:eastAsia="仿宋" w:cs="仿宋"/>
          <w:bCs w:val="0"/>
          <w:color w:val="auto"/>
          <w:highlight w:val="none"/>
        </w:rPr>
        <w:br w:type="page"/>
      </w:r>
      <w:bookmarkStart w:id="44" w:name="_Toc18971"/>
      <w:bookmarkStart w:id="45" w:name="_Toc24493"/>
      <w:r>
        <w:rPr>
          <w:rFonts w:hint="eastAsia" w:ascii="仿宋" w:hAnsi="仿宋" w:eastAsia="仿宋" w:cs="仿宋"/>
          <w:b w:val="0"/>
          <w:color w:val="auto"/>
          <w:highlight w:val="none"/>
        </w:rPr>
        <w:t>第二节 供应商须知正文</w:t>
      </w:r>
      <w:bookmarkEnd w:id="44"/>
      <w:bookmarkEnd w:id="45"/>
    </w:p>
    <w:p w14:paraId="5FB95F7D">
      <w:pPr>
        <w:pStyle w:val="5"/>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color w:val="auto"/>
          <w:highlight w:val="none"/>
        </w:rPr>
      </w:pPr>
      <w:bookmarkStart w:id="46" w:name="_Toc12915"/>
      <w:r>
        <w:rPr>
          <w:rFonts w:hint="eastAsia" w:ascii="仿宋" w:hAnsi="仿宋" w:eastAsia="仿宋" w:cs="仿宋"/>
          <w:b w:val="0"/>
          <w:color w:val="auto"/>
          <w:highlight w:val="none"/>
        </w:rPr>
        <w:t>一、总则</w:t>
      </w:r>
      <w:bookmarkEnd w:id="46"/>
    </w:p>
    <w:p w14:paraId="2C44C25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1.适用范围</w:t>
      </w:r>
    </w:p>
    <w:p w14:paraId="2B00608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08B2B3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r>
        <w:rPr>
          <w:rFonts w:hint="eastAsia" w:ascii="仿宋" w:hAnsi="仿宋" w:eastAsia="仿宋" w:cs="仿宋"/>
          <w:color w:val="auto"/>
          <w:spacing w:val="-6"/>
          <w:sz w:val="24"/>
          <w:szCs w:val="24"/>
          <w:highlight w:val="none"/>
        </w:rPr>
        <w:t>本竞争性磋商文件（以下简称磋商文件）适用于本项目的所有采购程序和环节（法律法规另有规定的，从其规定）。</w:t>
      </w:r>
    </w:p>
    <w:p w14:paraId="5F5EB676">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2.定义</w:t>
      </w:r>
    </w:p>
    <w:p w14:paraId="35BD885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2.1“采购人”是指</w:t>
      </w:r>
      <w:r>
        <w:rPr>
          <w:rFonts w:hint="eastAsia" w:ascii="仿宋" w:hAnsi="仿宋" w:eastAsia="仿宋" w:cs="仿宋"/>
          <w:color w:val="auto"/>
          <w:sz w:val="24"/>
          <w:szCs w:val="24"/>
          <w:highlight w:val="none"/>
          <w:lang w:eastAsia="zh-CN"/>
        </w:rPr>
        <w:t>南宁市市场监督管理局经济技术开发区分局</w:t>
      </w:r>
      <w:r>
        <w:rPr>
          <w:rFonts w:hint="eastAsia" w:ascii="仿宋" w:hAnsi="仿宋" w:eastAsia="仿宋" w:cs="仿宋"/>
          <w:color w:val="auto"/>
          <w:sz w:val="24"/>
          <w:szCs w:val="24"/>
          <w:highlight w:val="none"/>
        </w:rPr>
        <w:t>。</w:t>
      </w:r>
    </w:p>
    <w:p w14:paraId="2099C9F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2.2“采购代理机构”是指广西科文招标有限公司。</w:t>
      </w:r>
    </w:p>
    <w:p w14:paraId="46DEFB5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2.3“供应商”是指向采购人提供货物、工程或者服务的法人、其他组织或者自然人。</w:t>
      </w:r>
    </w:p>
    <w:p w14:paraId="219059A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2.4“服务”是指除货物和工程以外的其他政府采购对象。</w:t>
      </w:r>
    </w:p>
    <w:p w14:paraId="1B9B841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2.5“竞标”是指供应商按照本项目竞争性磋商公告或者邀请函规定的方式获取磋商文件、提交响应文件并希望获得标的的行为。</w:t>
      </w:r>
    </w:p>
    <w:p w14:paraId="01AA29A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2.6“响应文件”</w:t>
      </w:r>
      <w:r>
        <w:rPr>
          <w:rFonts w:hint="eastAsia" w:ascii="仿宋" w:hAnsi="仿宋" w:eastAsia="仿宋" w:cs="仿宋"/>
          <w:color w:val="auto"/>
          <w:spacing w:val="-6"/>
          <w:sz w:val="24"/>
          <w:szCs w:val="24"/>
          <w:highlight w:val="none"/>
        </w:rPr>
        <w:t>是指：供应商根据本磋商文件要求，编制包含资格证明、报价商务技术等所有内容的文件。</w:t>
      </w:r>
    </w:p>
    <w:p w14:paraId="5BC56FC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2.7“实质性要求”是指磋商文件中已经指明不满足则响应文件按无效响应处理的条款，或者不能负偏离的条款，或者采购需求中带“▲”的条款。</w:t>
      </w:r>
    </w:p>
    <w:p w14:paraId="180B485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2.8“正偏离”，是指响应文件对磋商文件“采购需求”中有关条款作出的响应优于条款要求并有利于采购人的情形。</w:t>
      </w:r>
    </w:p>
    <w:p w14:paraId="33007A7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2.9“负偏离”，是指响应文件对磋商文件“采购需求”中有关条款作出的响应不满足条款要求，导致采购人要求不能得到满足的情形。</w:t>
      </w:r>
    </w:p>
    <w:p w14:paraId="70319A9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2.10“允许负偏离的条款”是指采购需求中的不属于“实质性要求”的条款。</w:t>
      </w:r>
    </w:p>
    <w:p w14:paraId="6C3A465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2.11“书面形式”是指合同书、信件和数据电文（包括电报、电传、传真、电子数据交换和电子邮件）等可以有形地表现所载内容的形式。</w:t>
      </w:r>
    </w:p>
    <w:p w14:paraId="1759272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2.12“首次报价”是指供应商提交的首次响应文件中的报价。</w:t>
      </w:r>
    </w:p>
    <w:p w14:paraId="35B5218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2.13“评审报价”是指供应商提交的最后报价并经修正（如有）和政策功能价格扣除（如有）后的价格。</w:t>
      </w:r>
    </w:p>
    <w:p w14:paraId="7491E03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3.供应商的资格条件</w:t>
      </w:r>
    </w:p>
    <w:p w14:paraId="1705DAF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供应商的资格条件详见“供应商须知前附表”。</w:t>
      </w:r>
    </w:p>
    <w:p w14:paraId="137A928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4.磋商费用</w:t>
      </w:r>
    </w:p>
    <w:p w14:paraId="1FEF52D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供应商应承担参与本次采购活动有关的所有费用，包括但不限于、勘查现场、编制和提交响应文件、参加磋商与应答、签订合同等，不论竞标结果如何，均应自行承担。</w:t>
      </w:r>
    </w:p>
    <w:p w14:paraId="17215524">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5.联合体竞标</w:t>
      </w:r>
    </w:p>
    <w:p w14:paraId="33D63E2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5.1本项目是否接受联合体竞标，详见“供应商须知前附表”。</w:t>
      </w:r>
    </w:p>
    <w:p w14:paraId="006EE89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5.2如接受联合体竞标，联合体竞标要求详见“供应商须知前附表”。</w:t>
      </w:r>
    </w:p>
    <w:p w14:paraId="7AC198E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5.3根据《政府采购促进中小企业发展管理办法》（财库[2020]46号）第九条规定，接受大中型企业与小微企业组成联合体的采购项目，对于联合协议约定小微企业的合同份额占到合同总金额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6D68BD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6.转包与分包             </w:t>
      </w:r>
    </w:p>
    <w:p w14:paraId="7069BFC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bookmarkStart w:id="47" w:name="_Toc254970673"/>
      <w:bookmarkStart w:id="48" w:name="_Toc254970532"/>
      <w:r>
        <w:rPr>
          <w:rFonts w:hint="eastAsia" w:ascii="仿宋" w:hAnsi="仿宋" w:eastAsia="仿宋" w:cs="仿宋"/>
          <w:color w:val="auto"/>
          <w:sz w:val="24"/>
          <w:szCs w:val="24"/>
          <w:highlight w:val="none"/>
        </w:rPr>
        <w:t>6.1本项目是否允许分包详见“供应商须知前附表”，本项目不允许违法分包。</w:t>
      </w:r>
    </w:p>
    <w:p w14:paraId="46A1DCEB">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根据《政府采购促进中小企业发展管理办法》（财库[2020]46号）第九条及《广西壮族自治区财政厅关于进一步发挥政府采购政策功能促进企业发展的通知》（桂财采〔2022〕30号）、《广西壮族自治区财政厅关于贯彻落实政府采购支持中小企业发展政策的通知》（桂财采〔2022〕31号）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p>
    <w:p w14:paraId="5720DD79">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7.特别说明</w:t>
      </w:r>
      <w:bookmarkEnd w:id="47"/>
      <w:bookmarkEnd w:id="48"/>
    </w:p>
    <w:p w14:paraId="40A2142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bookmarkStart w:id="49" w:name="_8.1提供相同品牌产品且通过资格审查、符合性审查的不同投标人参加同一合"/>
      <w:bookmarkEnd w:id="49"/>
      <w:r>
        <w:rPr>
          <w:rFonts w:hint="eastAsia" w:ascii="仿宋" w:hAnsi="仿宋" w:eastAsia="仿宋" w:cs="仿宋"/>
          <w:color w:val="auto"/>
          <w:sz w:val="24"/>
          <w:szCs w:val="24"/>
          <w:highlight w:val="none"/>
        </w:rPr>
        <w:t>7.1</w:t>
      </w:r>
      <w:bookmarkStart w:id="50" w:name="_Hlk65832145"/>
      <w:r>
        <w:rPr>
          <w:rFonts w:hint="eastAsia" w:ascii="仿宋" w:hAnsi="仿宋" w:eastAsia="仿宋" w:cs="仿宋"/>
          <w:color w:val="auto"/>
          <w:sz w:val="24"/>
          <w:szCs w:val="24"/>
          <w:highlight w:val="none"/>
        </w:rPr>
        <w:t>如果本磋商文件要求提供供应商或制造商的资格、信誉、荣誉、业绩与企业认证等材料的，资格、信誉、荣誉、业绩与企业认证等必须为供应商或者制造商所拥有或自身获得。</w:t>
      </w:r>
    </w:p>
    <w:bookmarkEnd w:id="50"/>
    <w:p w14:paraId="68F368F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7.2供应商应仔细阅读磋商文件的所有内容，按照磋商文件的要求提交响应文件，并对所提供的全部资料的真实性承担法律责任。</w:t>
      </w:r>
    </w:p>
    <w:p w14:paraId="1C9FA0A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B71CE9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7.4在政府采购活动中，采购人员及相关人员与供应商有下列利害关系之一的，应当回避：</w:t>
      </w:r>
    </w:p>
    <w:p w14:paraId="6664396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（1）参加采购活动前3年内与供应商存在劳动关系；</w:t>
      </w:r>
    </w:p>
    <w:p w14:paraId="13CA185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（2）参加采购活动前3年内担任供应商的董事、监事；</w:t>
      </w:r>
    </w:p>
    <w:p w14:paraId="3405A40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（3）参加采购活动前3年内是供应商的控股股东或者实际控制人；</w:t>
      </w:r>
    </w:p>
    <w:p w14:paraId="368D9B6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（4）与供应商的法定代表人或者负责人有夫妻、直系血亲、三代以内旁系血亲或者近姻亲关系；</w:t>
      </w:r>
    </w:p>
    <w:p w14:paraId="3110995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（5）与供应商有其他可能影响政府采购活动公平、公正进行的关系。</w:t>
      </w:r>
    </w:p>
    <w:p w14:paraId="21DEAE2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DEA15C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7.5有下列情形之一的视为供应商相互串通竞标，响应文件将被视为无效：</w:t>
      </w:r>
    </w:p>
    <w:p w14:paraId="6A4F8D0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（1）不同供应商的响应文件由同一单位或者个人编制；或者不同供应商报名的IP地址一致的；或者编制响应文件硬件设备CPU编号、硬盘编号、网卡地址一致的情况。 </w:t>
      </w:r>
    </w:p>
    <w:p w14:paraId="39109BD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（2）不同供应商委托同一单位或者个人办理竞标事宜；</w:t>
      </w:r>
    </w:p>
    <w:p w14:paraId="484F53E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（3）不同的供应商的响应文件载明的项目管理员为同一个人；</w:t>
      </w:r>
    </w:p>
    <w:p w14:paraId="24525C73">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（4）不同供应商的响应文件异常一致或者报价呈规律性差异；</w:t>
      </w:r>
    </w:p>
    <w:p w14:paraId="521FD71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（5）不同供应商的响应文件相互混装；</w:t>
      </w:r>
    </w:p>
    <w:p w14:paraId="28950900">
      <w:pPr>
        <w:pageBreakBefore w:val="0"/>
        <w:widowControl w:val="0"/>
        <w:tabs>
          <w:tab w:val="left" w:pos="6931"/>
        </w:tabs>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（6）不同供应商的磋商保证金从同一单位或者个人账户转出。</w:t>
      </w:r>
      <w:r>
        <w:rPr>
          <w:rFonts w:hint="eastAsia" w:ascii="仿宋" w:hAnsi="仿宋" w:eastAsia="仿宋" w:cs="仿宋"/>
          <w:b/>
          <w:bCs/>
          <w:color w:val="auto"/>
          <w:sz w:val="24"/>
          <w:szCs w:val="24"/>
          <w:highlight w:val="none"/>
        </w:rPr>
        <w:tab/>
      </w:r>
    </w:p>
    <w:p w14:paraId="2A751CF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7.6供应商有下列情形之一的，属于恶意串通行为，将报同级监督管理部门：</w:t>
      </w:r>
    </w:p>
    <w:p w14:paraId="01F7718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（1）供应商直接或者间接从采购人或者采购代理机构处获得其他供应商的相关信息并修改其响应文件；</w:t>
      </w:r>
    </w:p>
    <w:p w14:paraId="03B6D56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（2）供应商按照采购人或者采购代理机构的授意撤换、修改响应文件；</w:t>
      </w:r>
    </w:p>
    <w:p w14:paraId="124635AA">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（3）供应商之间协商报价、技术方案等响应文件或者响应文件的实质性内容；</w:t>
      </w:r>
    </w:p>
    <w:p w14:paraId="0C01A8FE">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（4）属于同一集团、协会、商会等组织成员的供应商按照该组织要求协同参加政府采购活动；</w:t>
      </w:r>
    </w:p>
    <w:p w14:paraId="3D59EF1E">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（5）供应商之间事先约定一致抬高或者压低报价，或者在政府采购活动中事先约定轮流以高价位或者低价位成交，或者事先约定由某一特定供应商成交，然后再参加竞标；</w:t>
      </w:r>
    </w:p>
    <w:p w14:paraId="4205435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（6）供应商之间商定部分供应商放弃参加政府采购活动或者放弃成交；</w:t>
      </w:r>
    </w:p>
    <w:p w14:paraId="207A803B">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（7）供应商与采购人或者采购代理机构之间、供应商相互之间，为谋求特定供应商成交或者排斥其他供应商的其他串通行为。</w:t>
      </w:r>
    </w:p>
    <w:p w14:paraId="09953502">
      <w:pPr>
        <w:pStyle w:val="5"/>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1" w:name="_Toc254970675"/>
      <w:bookmarkStart w:id="52" w:name="_Toc10483"/>
      <w:bookmarkStart w:id="53" w:name="_Toc254970534"/>
      <w:r>
        <w:rPr>
          <w:rFonts w:hint="eastAsia" w:ascii="仿宋" w:hAnsi="仿宋" w:eastAsia="仿宋" w:cs="仿宋"/>
          <w:b w:val="0"/>
          <w:bCs w:val="0"/>
          <w:color w:val="auto"/>
          <w:highlight w:val="none"/>
        </w:rPr>
        <w:t>二、磋商文件</w:t>
      </w:r>
      <w:bookmarkEnd w:id="51"/>
      <w:bookmarkEnd w:id="52"/>
      <w:bookmarkEnd w:id="53"/>
    </w:p>
    <w:p w14:paraId="2882271F">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8.磋商文件的构成</w:t>
      </w:r>
    </w:p>
    <w:p w14:paraId="4503FEDD">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第一章 竞争性磋商公告；</w:t>
      </w:r>
    </w:p>
    <w:p w14:paraId="02A743A6">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第二章 采购需求；</w:t>
      </w:r>
    </w:p>
    <w:p w14:paraId="1F0427CF">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第三章 供应商须知； </w:t>
      </w:r>
    </w:p>
    <w:p w14:paraId="61FB2695">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第四章 评审程序、评审方法和评审标准；</w:t>
      </w:r>
    </w:p>
    <w:p w14:paraId="56E9FE0E">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第五章 响应文件格式；</w:t>
      </w:r>
    </w:p>
    <w:p w14:paraId="3C7940C8">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第六章 合同文本；</w:t>
      </w:r>
    </w:p>
    <w:p w14:paraId="244AC056">
      <w:pPr>
        <w:pageBreakBefore w:val="0"/>
        <w:widowControl w:val="0"/>
        <w:kinsoku/>
        <w:wordWrap/>
        <w:overflowPunct/>
        <w:topLinePunct w:val="0"/>
        <w:autoSpaceDE/>
        <w:autoSpaceDN/>
        <w:bidi w:val="0"/>
        <w:spacing w:line="460" w:lineRule="exact"/>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第七章 质疑、投诉材料格式。</w:t>
      </w:r>
    </w:p>
    <w:p w14:paraId="16C16A1B">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9.供应商的询问</w:t>
      </w:r>
    </w:p>
    <w:p w14:paraId="3A8D0A0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供应商应认真阅读磋商文件的采购需求，如供应商对磋商文件有疑问的，如要求采购人作出澄清或者修改的，供应商应在提交首次响应文件截止之日前，以书面形式向采购人、采购代理机构提出。</w:t>
      </w:r>
    </w:p>
    <w:p w14:paraId="6D5BE65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10.磋商文件的澄清和修改</w:t>
      </w:r>
    </w:p>
    <w:p w14:paraId="6EFAD1A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3E57DFB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E649B2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48DCF90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10.4</w:t>
      </w:r>
      <w:r>
        <w:rPr>
          <w:rFonts w:hint="eastAsia" w:ascii="仿宋" w:hAnsi="仿宋" w:eastAsia="仿宋" w:cs="仿宋"/>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28A018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highlight w:val="none"/>
        </w:rPr>
        <w:t>10.5采购人和采购代理机构可以视采购具体情况，变更提交首次响应文件截止时间和磋商时间，将变更时间将在“采购文件公告”中“七、其他补充事宜3.网上查询地址</w:t>
      </w:r>
      <w:r>
        <w:rPr>
          <w:rFonts w:hint="eastAsia" w:ascii="仿宋" w:hAnsi="仿宋" w:eastAsia="仿宋" w:cs="仿宋"/>
          <w:color w:val="auto"/>
          <w:sz w:val="24"/>
          <w:szCs w:val="24"/>
          <w:highlight w:val="none"/>
        </w:rPr>
        <w:t>”规定的政府采购信息发布媒体上发布更正公告。</w:t>
      </w:r>
    </w:p>
    <w:p w14:paraId="3A3B19B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w:t>
      </w:r>
      <w:r>
        <w:rPr>
          <w:rFonts w:hint="eastAsia" w:ascii="仿宋" w:hAnsi="仿宋" w:eastAsia="仿宋" w:cs="仿宋"/>
          <w:b/>
          <w:color w:val="auto"/>
          <w:kern w:val="0"/>
          <w:sz w:val="24"/>
          <w:szCs w:val="24"/>
          <w:highlight w:val="none"/>
        </w:rPr>
        <w:t>响应文件未按磋商文件的澄清、修改的内容编制，又不符合实质性要求的，其响应文件作无效处理。</w:t>
      </w:r>
    </w:p>
    <w:p w14:paraId="5BA4B0CC">
      <w:pPr>
        <w:pStyle w:val="5"/>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4" w:name="_Toc4815"/>
      <w:r>
        <w:rPr>
          <w:rFonts w:hint="eastAsia" w:ascii="仿宋" w:hAnsi="仿宋" w:eastAsia="仿宋" w:cs="仿宋"/>
          <w:b w:val="0"/>
          <w:bCs w:val="0"/>
          <w:color w:val="auto"/>
          <w:highlight w:val="none"/>
        </w:rPr>
        <w:t>三、响应文件的编制</w:t>
      </w:r>
      <w:bookmarkEnd w:id="54"/>
    </w:p>
    <w:p w14:paraId="55333B91">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11.响应文件的编制原则</w:t>
      </w:r>
    </w:p>
    <w:p w14:paraId="6725F36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供应商必须按照磋商文件的要求编制响应文件，并对其提交的响应文件的真实性、合法性承担法律责任。响应文件必须对磋商文件作出实质性响应。</w:t>
      </w:r>
    </w:p>
    <w:p w14:paraId="0F673CB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12.响应文件的组成</w:t>
      </w:r>
    </w:p>
    <w:p w14:paraId="4E1B0E2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12.1响应文件由资格证明文件、报价文件、商务和技术文件三部分组成。</w:t>
      </w:r>
    </w:p>
    <w:p w14:paraId="22050DDD">
      <w:pPr>
        <w:pageBreakBefore w:val="0"/>
        <w:widowControl w:val="0"/>
        <w:kinsoku/>
        <w:wordWrap/>
        <w:overflowPunct/>
        <w:topLinePunct w:val="0"/>
        <w:autoSpaceDE/>
        <w:autoSpaceDN/>
        <w:bidi w:val="0"/>
        <w:spacing w:line="460" w:lineRule="exact"/>
        <w:ind w:left="480" w:leftChars="20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12.1.1资格证明文件：详见须知前附表。</w:t>
      </w:r>
    </w:p>
    <w:p w14:paraId="62CF1F94">
      <w:pPr>
        <w:pageBreakBefore w:val="0"/>
        <w:widowControl w:val="0"/>
        <w:kinsoku/>
        <w:wordWrap/>
        <w:overflowPunct/>
        <w:topLinePunct w:val="0"/>
        <w:autoSpaceDE/>
        <w:autoSpaceDN/>
        <w:bidi w:val="0"/>
        <w:spacing w:line="460" w:lineRule="exact"/>
        <w:ind w:left="480" w:leftChars="20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12.1.2商务技术文件：详见须知前附表。</w:t>
      </w:r>
    </w:p>
    <w:p w14:paraId="03AF892E">
      <w:pPr>
        <w:pageBreakBefore w:val="0"/>
        <w:widowControl w:val="0"/>
        <w:kinsoku/>
        <w:wordWrap/>
        <w:overflowPunct/>
        <w:topLinePunct w:val="0"/>
        <w:autoSpaceDE/>
        <w:autoSpaceDN/>
        <w:bidi w:val="0"/>
        <w:spacing w:line="460" w:lineRule="exact"/>
        <w:ind w:left="480" w:leftChars="200"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报价文件：详见须知前附表。</w:t>
      </w:r>
    </w:p>
    <w:p w14:paraId="32F3946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12.2响应文件电子版：详见须知前附表。</w:t>
      </w:r>
    </w:p>
    <w:p w14:paraId="1E6074D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13.计量单位</w:t>
      </w:r>
    </w:p>
    <w:p w14:paraId="7804DE0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磋商文件已有明确规定的，使用磋商文件规定的计量单位；磋商文件没有规定的，应采用中华人民共和国法定计量单位，货币种类为人民币，否则视同未响应。</w:t>
      </w:r>
    </w:p>
    <w:p w14:paraId="5A837D8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14.竞标的风险</w:t>
      </w:r>
    </w:p>
    <w:p w14:paraId="6D6C1BE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供应商没有按照磋商文件要求提供全部资料，或者供应商没有对磋商文件在各方面作出实质性响应可能导致其响应无效，是供应商应当考虑的风险。</w:t>
      </w:r>
    </w:p>
    <w:p w14:paraId="52D12C7F">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15.响应报价要求和构成</w:t>
      </w:r>
    </w:p>
    <w:p w14:paraId="615F5A40">
      <w:pPr>
        <w:pageBreakBefore w:val="0"/>
        <w:widowControl w:val="0"/>
        <w:tabs>
          <w:tab w:val="left" w:pos="2492"/>
        </w:tabs>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15.1响应报价应按“第五章 响应文件格式”中“响应报价表”格式填写。</w:t>
      </w:r>
    </w:p>
    <w:p w14:paraId="420AEF9B">
      <w:pPr>
        <w:pageBreakBefore w:val="0"/>
        <w:widowControl w:val="0"/>
        <w:tabs>
          <w:tab w:val="left" w:pos="2492"/>
        </w:tabs>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15.2响应报价的价格构成见“供应商须知前附表”。</w:t>
      </w:r>
    </w:p>
    <w:p w14:paraId="355D005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15.3响应报价要求</w:t>
      </w:r>
    </w:p>
    <w:p w14:paraId="0ABFAE1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15.3.1供应商的响应报价应符合以下要求，否则作无效响应处理：</w:t>
      </w:r>
    </w:p>
    <w:p w14:paraId="5A4156B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（1）供应商必须就“采购需求”中所竞标的每个分标的全部内容分别作完整唯一总价报价，不得存在漏项报价；</w:t>
      </w:r>
    </w:p>
    <w:p w14:paraId="5786D88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（2）供应商必须就所竞标的分标的单项内容作唯一报价。</w:t>
      </w:r>
    </w:p>
    <w:p w14:paraId="612E14AB">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15.3.2响应报价（包含首次报价、最后报价）超过所竞标分标规定的采购预算金额或者最高限价的，其响应文件将作无效处理。</w:t>
      </w:r>
    </w:p>
    <w:p w14:paraId="71A418C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15.3.3</w:t>
      </w:r>
      <w:bookmarkStart w:id="55" w:name="_Hlk42592874"/>
      <w:r>
        <w:rPr>
          <w:rFonts w:hint="eastAsia" w:ascii="仿宋" w:hAnsi="仿宋" w:eastAsia="仿宋" w:cs="仿宋"/>
          <w:color w:val="auto"/>
          <w:szCs w:val="21"/>
          <w:highlight w:val="none"/>
        </w:rPr>
        <w:t>响应报价（包含首次报价、最后报价）超过分项采购预算金额或者最高限价的，其响应文件将作无效处理。</w:t>
      </w:r>
    </w:p>
    <w:bookmarkEnd w:id="55"/>
    <w:p w14:paraId="7F0E1E8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16.竞标有效期</w:t>
      </w:r>
    </w:p>
    <w:p w14:paraId="144EE44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41016C0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16.2 竞标有效期应由供应商按“供应商须知前附表”规定的期限作出响应。</w:t>
      </w:r>
    </w:p>
    <w:p w14:paraId="106061F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16.3供应商的响应文件在竞标有效期内均保持有效。</w:t>
      </w:r>
    </w:p>
    <w:p w14:paraId="258158A9">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17.磋商保证金</w:t>
      </w:r>
    </w:p>
    <w:p w14:paraId="2C9BBB9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详见“供应商须知前附表”。</w:t>
      </w:r>
    </w:p>
    <w:p w14:paraId="27602AB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18.响应文件编制的要求</w:t>
      </w:r>
    </w:p>
    <w:p w14:paraId="6854DFB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7CE7A66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18.2响应文件应按资格证明、报价分别编制，商务技术文件合并编制，本磋商只接受电子版响应文件，要求见本章“12.2响应文件电子版要求”。</w:t>
      </w:r>
    </w:p>
    <w:p w14:paraId="56B2712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w:t>
      </w:r>
      <w:bookmarkStart w:id="56" w:name="_Hlk65832699"/>
      <w:r>
        <w:rPr>
          <w:rFonts w:hint="eastAsia" w:ascii="仿宋" w:hAnsi="仿宋" w:eastAsia="仿宋" w:cs="仿宋"/>
          <w:b/>
          <w:bCs/>
          <w:color w:val="auto"/>
          <w:sz w:val="24"/>
          <w:szCs w:val="24"/>
          <w:highlight w:val="none"/>
        </w:rPr>
        <w:t>3响应文件须由供应商在</w:t>
      </w:r>
      <w:r>
        <w:rPr>
          <w:rFonts w:hint="eastAsia" w:ascii="仿宋" w:hAnsi="仿宋" w:eastAsia="仿宋" w:cs="仿宋"/>
          <w:b/>
          <w:bCs/>
          <w:color w:val="auto"/>
          <w:kern w:val="0"/>
          <w:sz w:val="24"/>
          <w:szCs w:val="24"/>
          <w:highlight w:val="none"/>
          <w:lang w:val="zh-CN"/>
        </w:rPr>
        <w:t>“</w:t>
      </w:r>
      <w:r>
        <w:rPr>
          <w:rFonts w:hint="eastAsia" w:ascii="仿宋" w:hAnsi="仿宋" w:eastAsia="仿宋" w:cs="仿宋"/>
          <w:b/>
          <w:bCs/>
          <w:color w:val="auto"/>
          <w:sz w:val="24"/>
          <w:szCs w:val="24"/>
          <w:highlight w:val="none"/>
        </w:rPr>
        <w:t>第五章 响应文件格式</w:t>
      </w:r>
      <w:r>
        <w:rPr>
          <w:rFonts w:hint="eastAsia" w:ascii="仿宋" w:hAnsi="仿宋" w:eastAsia="仿宋" w:cs="仿宋"/>
          <w:b/>
          <w:bCs/>
          <w:color w:val="auto"/>
          <w:kern w:val="0"/>
          <w:sz w:val="24"/>
          <w:szCs w:val="24"/>
          <w:highlight w:val="none"/>
          <w:lang w:val="zh-CN"/>
        </w:rPr>
        <w:t>”</w:t>
      </w:r>
      <w:r>
        <w:rPr>
          <w:rFonts w:hint="eastAsia" w:ascii="仿宋" w:hAnsi="仿宋" w:eastAsia="仿宋" w:cs="仿宋"/>
          <w:b/>
          <w:bCs/>
          <w:color w:val="auto"/>
          <w:sz w:val="24"/>
          <w:szCs w:val="24"/>
          <w:highlight w:val="none"/>
        </w:rPr>
        <w:t>规定位置进行签署、盖章</w:t>
      </w:r>
      <w:bookmarkEnd w:id="56"/>
      <w:r>
        <w:rPr>
          <w:rFonts w:hint="eastAsia" w:ascii="仿宋" w:hAnsi="仿宋" w:eastAsia="仿宋" w:cs="仿宋"/>
          <w:b/>
          <w:bCs/>
          <w:color w:val="auto"/>
          <w:sz w:val="24"/>
          <w:szCs w:val="24"/>
          <w:highlight w:val="none"/>
        </w:rPr>
        <w:t>，否则其响应文件按无效响应处理。骑缝盖公章不视为在规定位置盖章。</w:t>
      </w:r>
    </w:p>
    <w:p w14:paraId="6B9340B4">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18.4响应文件中标注的供应商名称应与营业执照（事业单位法人证书、执业许可证、自然人身份证）及电子公章一致，否则其响应文件按无效响应处理。</w:t>
      </w:r>
    </w:p>
    <w:p w14:paraId="7592F06F">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18.5响应文件应避免涂改、行间插字或者删除，否则其响应文件按无效响应处理。</w:t>
      </w:r>
    </w:p>
    <w:p w14:paraId="225E6696">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19.响应文件的密封和标记</w:t>
      </w:r>
    </w:p>
    <w:p w14:paraId="17347A9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31B7B62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19.2使用“广西政府采购云平台电子交易客户端”需要提前申领CA数字证书，申领流程见该项目采购公告附件。</w:t>
      </w:r>
    </w:p>
    <w:p w14:paraId="581D09F5">
      <w:pPr>
        <w:pStyle w:val="14"/>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19.3为确保网上操作合法、有效和安全，供应商应当在响应文件提交截止时间前完成在“广西政府采购云平台”的身份认证，确保在电子交易过程中能够对相关数据电文进行加密和使用电子签名。</w:t>
      </w:r>
    </w:p>
    <w:p w14:paraId="1C978885">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20.响应文件的提交</w:t>
      </w:r>
    </w:p>
    <w:p w14:paraId="182ED0B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20.1供应商必须在“供应商须知前附表”规定的时间和地点提交响应文件。</w:t>
      </w:r>
    </w:p>
    <w:p w14:paraId="4AE2DAC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20.2 在响应文件提交截止时间以后，不能补充、修改响应文件。</w:t>
      </w:r>
    </w:p>
    <w:p w14:paraId="30AA7D5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20.3 在提交“最后报价”后，供应商不能退出磋商。</w:t>
      </w:r>
    </w:p>
    <w:p w14:paraId="04726EC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64455E3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20.5 采购机构不可视情况延长提交响应文件的截止时间。</w:t>
      </w:r>
    </w:p>
    <w:p w14:paraId="0B0C751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20.6备份响应文件。详见</w:t>
      </w:r>
      <w:r>
        <w:rPr>
          <w:rFonts w:hint="eastAsia" w:ascii="仿宋" w:hAnsi="仿宋" w:eastAsia="仿宋" w:cs="仿宋"/>
          <w:bCs/>
          <w:color w:val="auto"/>
          <w:sz w:val="24"/>
          <w:szCs w:val="24"/>
          <w:highlight w:val="none"/>
        </w:rPr>
        <w:t>“供应商须知前附表”。</w:t>
      </w:r>
    </w:p>
    <w:p w14:paraId="3676ECAB">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21.首次响应文件的补充、修改与撤回</w:t>
      </w:r>
    </w:p>
    <w:p w14:paraId="12039E2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详见“供应商须知前附表”。</w:t>
      </w:r>
    </w:p>
    <w:p w14:paraId="319E03C8">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bookmarkStart w:id="57" w:name="_Hlk45702405"/>
      <w:r>
        <w:rPr>
          <w:rFonts w:hint="eastAsia" w:ascii="仿宋" w:hAnsi="仿宋" w:eastAsia="仿宋" w:cs="仿宋"/>
          <w:b/>
          <w:bCs/>
          <w:color w:val="auto"/>
          <w:sz w:val="24"/>
          <w:szCs w:val="24"/>
          <w:highlight w:val="none"/>
        </w:rPr>
        <w:t>22. 首次响应文件的退回</w:t>
      </w:r>
    </w:p>
    <w:p w14:paraId="563102F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在首次响应文件提交截止时间止提交响应文件的供应商不足3家时电子响应文件由代理机构在广西政府采购云平台操作退回，除此之外采购人和采购代理机构对已提交的电子响应文件概不退回。</w:t>
      </w:r>
    </w:p>
    <w:p w14:paraId="7C22F50E">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23. 截止时间后的撤回</w:t>
      </w:r>
    </w:p>
    <w:p w14:paraId="4AAA68E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本项目不收取磋商保证金，供应商在首次响应文件提交截止时间后可向采购人、采购代理机构书面申请撤回电子响应文件。</w:t>
      </w:r>
      <w:bookmarkEnd w:id="57"/>
    </w:p>
    <w:p w14:paraId="69D3CA0F">
      <w:pPr>
        <w:pStyle w:val="5"/>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8" w:name="_Toc6482"/>
      <w:r>
        <w:rPr>
          <w:rFonts w:hint="eastAsia" w:ascii="仿宋" w:hAnsi="仿宋" w:eastAsia="仿宋" w:cs="仿宋"/>
          <w:b w:val="0"/>
          <w:bCs w:val="0"/>
          <w:color w:val="auto"/>
          <w:highlight w:val="none"/>
        </w:rPr>
        <w:t>四、评审及磋商</w:t>
      </w:r>
      <w:bookmarkEnd w:id="58"/>
    </w:p>
    <w:p w14:paraId="6982BD7C">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24.磋商小组成立</w:t>
      </w:r>
    </w:p>
    <w:p w14:paraId="7D2D5BE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2DC26F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77563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25.首次响应文件的开启</w:t>
      </w:r>
    </w:p>
    <w:p w14:paraId="69EEE1D5">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25.1首次响应文件由磋商小组或者采购代理机构在“供应商须知前附表”规定的时间开启。</w:t>
      </w:r>
    </w:p>
    <w:p w14:paraId="3C1C68C2">
      <w:pPr>
        <w:pStyle w:val="14"/>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 xml:space="preserve">25.2 </w:t>
      </w:r>
      <w:r>
        <w:rPr>
          <w:rFonts w:hint="eastAsia" w:ascii="仿宋" w:hAnsi="仿宋" w:eastAsia="仿宋" w:cs="仿宋"/>
          <w:bCs/>
          <w:color w:val="auto"/>
          <w:sz w:val="24"/>
          <w:szCs w:val="24"/>
          <w:highlight w:val="none"/>
        </w:rPr>
        <w:t>响应文件解密</w:t>
      </w:r>
    </w:p>
    <w:p w14:paraId="482D50EF">
      <w:pPr>
        <w:pStyle w:val="14"/>
        <w:pageBreakBefore w:val="0"/>
        <w:widowControl w:val="0"/>
        <w:kinsoku/>
        <w:wordWrap/>
        <w:overflowPunct/>
        <w:topLinePunct w:val="0"/>
        <w:autoSpaceDE/>
        <w:autoSpaceDN/>
        <w:bidi w:val="0"/>
        <w:snapToGrid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采购代理机构将在“供应商须知前附表”规定的时</w:t>
      </w:r>
      <w:r>
        <w:rPr>
          <w:rFonts w:hint="eastAsia" w:ascii="仿宋" w:hAnsi="仿宋" w:eastAsia="仿宋" w:cs="仿宋"/>
          <w:color w:val="auto"/>
          <w:sz w:val="24"/>
          <w:szCs w:val="24"/>
          <w:highlight w:val="none"/>
        </w:rPr>
        <w:t>间通过电子交易平台组织响应文件开启，采购机构依托电子交易平台发起开始解密指令，供应商的法定代表人或其委托代理人</w:t>
      </w:r>
      <w:r>
        <w:rPr>
          <w:rFonts w:hint="eastAsia" w:ascii="仿宋" w:hAnsi="仿宋" w:eastAsia="仿宋" w:cs="仿宋"/>
          <w:b/>
          <w:color w:val="auto"/>
          <w:sz w:val="24"/>
          <w:szCs w:val="24"/>
          <w:highlight w:val="none"/>
        </w:rPr>
        <w:t>须携带加密时所用的CA锁按平台提示和采购文件的规定登录到广西政府采购云平台电子开标大厅签到并在发起解密指令之时起30分钟内完成对电子响应文件在线解密</w:t>
      </w:r>
      <w:r>
        <w:rPr>
          <w:rFonts w:hint="eastAsia" w:ascii="仿宋" w:hAnsi="仿宋" w:eastAsia="仿宋" w:cs="仿宋"/>
          <w:color w:val="auto"/>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eastAsia" w:ascii="仿宋" w:hAnsi="仿宋" w:eastAsia="仿宋" w:cs="仿宋"/>
          <w:b/>
          <w:color w:val="auto"/>
          <w:sz w:val="24"/>
          <w:szCs w:val="24"/>
          <w:highlight w:val="none"/>
        </w:rPr>
        <w:t>视为响应文件无效。</w:t>
      </w:r>
      <w:r>
        <w:rPr>
          <w:rFonts w:hint="eastAsia" w:ascii="仿宋" w:hAnsi="仿宋" w:eastAsia="仿宋" w:cs="仿宋"/>
          <w:color w:val="auto"/>
          <w:sz w:val="24"/>
          <w:szCs w:val="24"/>
          <w:highlight w:val="none"/>
        </w:rPr>
        <w:t>（解密</w:t>
      </w:r>
      <w:r>
        <w:rPr>
          <w:rFonts w:hint="eastAsia" w:ascii="仿宋" w:hAnsi="仿宋" w:eastAsia="仿宋" w:cs="仿宋"/>
          <w:bCs/>
          <w:color w:val="auto"/>
          <w:sz w:val="24"/>
          <w:szCs w:val="24"/>
          <w:highlight w:val="none"/>
        </w:rPr>
        <w:t>异常情况处理：详见本章</w:t>
      </w:r>
      <w:r>
        <w:rPr>
          <w:rFonts w:hint="eastAsia" w:ascii="仿宋" w:hAnsi="仿宋" w:eastAsia="仿宋" w:cs="仿宋"/>
          <w:color w:val="auto"/>
          <w:sz w:val="24"/>
          <w:szCs w:val="24"/>
          <w:highlight w:val="none"/>
        </w:rPr>
        <w:t>26.3 电子交易活动的中止。）</w:t>
      </w:r>
    </w:p>
    <w:p w14:paraId="17FD968E">
      <w:pPr>
        <w:pStyle w:val="14"/>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w:t>
      </w:r>
      <w:r>
        <w:rPr>
          <w:rFonts w:hint="eastAsia" w:ascii="仿宋" w:hAnsi="仿宋" w:eastAsia="仿宋" w:cs="仿宋"/>
          <w:bCs/>
          <w:color w:val="auto"/>
          <w:sz w:val="24"/>
          <w:szCs w:val="24"/>
          <w:highlight w:val="none"/>
        </w:rPr>
        <w:t>供应商成功解密响应文件，但未在“广西政府采购云平台”电子开标大厅参加磋商的，视同认可磋商过程和结果，</w:t>
      </w:r>
      <w:r>
        <w:rPr>
          <w:rFonts w:hint="eastAsia" w:ascii="仿宋" w:hAnsi="仿宋" w:eastAsia="仿宋" w:cs="仿宋"/>
          <w:color w:val="auto"/>
          <w:sz w:val="24"/>
          <w:szCs w:val="24"/>
          <w:highlight w:val="none"/>
        </w:rPr>
        <w:t>由此产生的后果由供应商自行负责。 参与磋商的供应商不足3家的，不得磋商。</w:t>
      </w:r>
    </w:p>
    <w:p w14:paraId="4C1BA281">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26.评审程序、评审方法和评审标准</w:t>
      </w:r>
    </w:p>
    <w:p w14:paraId="4F8E429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26.1磋商小组按照“第四章 评审程序、评审方法和评审标准”规定的方法、评审因素、标准和程序对响应文件进行评审。</w:t>
      </w:r>
    </w:p>
    <w:p w14:paraId="43E8009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26.2 磋商文件内容违反国家有关强制性规定的，磋商小组应当停止评审并向采购人或者采购代理机构说明情况，并在评审报告中书面体现。</w:t>
      </w:r>
    </w:p>
    <w:p w14:paraId="245E81F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26.3 采购需求负偏离要求及磋商顺序详见 “ 供应商须知前附表”。</w:t>
      </w:r>
    </w:p>
    <w:p w14:paraId="1BF8008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26.4电子交易活动的中止。采购过程中出现以下情形，导致电子交易平台无法正常运行，或者无法保证电子交易的公平、公正和安全时，采购机构可中止电子交易活动：</w:t>
      </w:r>
    </w:p>
    <w:p w14:paraId="1E0D075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（1）电子交易平台发生故障而无法登录访问的； </w:t>
      </w:r>
    </w:p>
    <w:p w14:paraId="1D8C4F5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（2）电子交易平台应用或数据库出现错误，不能进行正常操作的；</w:t>
      </w:r>
    </w:p>
    <w:p w14:paraId="5F9C4AA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（3）电子交易平台发现严重安全漏洞，有潜在泄密危险的；</w:t>
      </w:r>
    </w:p>
    <w:p w14:paraId="6426D291">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（4）病毒发作导致不能进行正常操作的； </w:t>
      </w:r>
    </w:p>
    <w:p w14:paraId="41D0149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（5）其他无法保证电子交易的公平、公正和安全的情况。</w:t>
      </w:r>
    </w:p>
    <w:p w14:paraId="4C3054D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3C5DE83">
      <w:pPr>
        <w:pStyle w:val="5"/>
        <w:pageBreakBefore w:val="0"/>
        <w:widowControl w:val="0"/>
        <w:kinsoku/>
        <w:wordWrap/>
        <w:overflowPunct/>
        <w:topLinePunct w:val="0"/>
        <w:autoSpaceDE/>
        <w:autoSpaceDN/>
        <w:bidi w:val="0"/>
        <w:spacing w:before="0" w:after="0" w:line="460" w:lineRule="exact"/>
        <w:ind w:firstLine="640" w:firstLineChars="200"/>
        <w:rPr>
          <w:rFonts w:hint="eastAsia" w:ascii="仿宋" w:hAnsi="仿宋" w:eastAsia="仿宋" w:cs="仿宋"/>
          <w:b w:val="0"/>
          <w:bCs w:val="0"/>
          <w:color w:val="auto"/>
          <w:highlight w:val="none"/>
        </w:rPr>
      </w:pPr>
      <w:bookmarkStart w:id="59" w:name="_Toc29938"/>
      <w:r>
        <w:rPr>
          <w:rFonts w:hint="eastAsia" w:ascii="仿宋" w:hAnsi="仿宋" w:eastAsia="仿宋" w:cs="仿宋"/>
          <w:b w:val="0"/>
          <w:bCs w:val="0"/>
          <w:color w:val="auto"/>
          <w:highlight w:val="none"/>
        </w:rPr>
        <w:t>五、成交及合同</w:t>
      </w:r>
      <w:bookmarkEnd w:id="59"/>
    </w:p>
    <w:p w14:paraId="5792A4F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27.确定成交供应商及结果公告</w:t>
      </w:r>
    </w:p>
    <w:p w14:paraId="62B5F3C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27.1确定成交供应商。</w:t>
      </w:r>
      <w:r>
        <w:rPr>
          <w:rFonts w:hint="eastAsia" w:ascii="仿宋" w:hAnsi="仿宋" w:eastAsia="仿宋" w:cs="仿宋"/>
          <w:color w:val="auto"/>
          <w:kern w:val="0"/>
          <w:sz w:val="24"/>
          <w:szCs w:val="24"/>
          <w:highlight w:val="none"/>
          <w:u w:val="single"/>
        </w:rPr>
        <w:t>由采购人直接委托评审专家确定</w:t>
      </w:r>
      <w:r>
        <w:rPr>
          <w:rFonts w:hint="eastAsia" w:ascii="仿宋" w:hAnsi="仿宋" w:eastAsia="仿宋" w:cs="仿宋"/>
          <w:color w:val="auto"/>
          <w:sz w:val="24"/>
          <w:szCs w:val="24"/>
          <w:highlight w:val="none"/>
          <w:u w:val="single"/>
        </w:rPr>
        <w:t>，评审报告提出的排序第一的供应商为成交供应商。</w:t>
      </w:r>
    </w:p>
    <w:p w14:paraId="78DB6D8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27.2成交通知及成交结果公告。</w:t>
      </w:r>
      <w:r>
        <w:rPr>
          <w:rFonts w:hint="eastAsia" w:ascii="仿宋" w:hAnsi="仿宋" w:eastAsia="仿宋" w:cs="仿宋"/>
          <w:color w:val="auto"/>
          <w:kern w:val="0"/>
          <w:sz w:val="24"/>
          <w:szCs w:val="24"/>
          <w:highlight w:val="none"/>
        </w:rPr>
        <w:t>成交</w:t>
      </w:r>
      <w:r>
        <w:rPr>
          <w:rFonts w:hint="eastAsia" w:ascii="仿宋" w:hAnsi="仿宋" w:eastAsia="仿宋" w:cs="仿宋"/>
          <w:color w:val="auto"/>
          <w:sz w:val="24"/>
          <w:szCs w:val="24"/>
          <w:highlight w:val="none"/>
        </w:rPr>
        <w:t>供应商确定后2个工作日内，在省级以上财政部门指定的媒体上公</w:t>
      </w:r>
      <w:r>
        <w:rPr>
          <w:rFonts w:hint="eastAsia" w:ascii="仿宋" w:hAnsi="仿宋" w:eastAsia="仿宋" w:cs="仿宋"/>
          <w:color w:val="auto"/>
          <w:kern w:val="0"/>
          <w:sz w:val="24"/>
          <w:szCs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eastAsia" w:ascii="仿宋" w:hAnsi="仿宋" w:eastAsia="仿宋" w:cs="仿宋"/>
          <w:color w:val="auto"/>
          <w:sz w:val="24"/>
          <w:szCs w:val="24"/>
          <w:highlight w:val="none"/>
        </w:rPr>
        <w:t>同时向成交供应商发出成交通知书，成交通知书规定签订合同的时间不得超过25日。</w:t>
      </w:r>
    </w:p>
    <w:p w14:paraId="5BA620C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6E4F2AD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1ABBFFF">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27.5</w:t>
      </w:r>
      <w:r>
        <w:rPr>
          <w:rFonts w:hint="eastAsia" w:ascii="仿宋" w:hAnsi="仿宋" w:eastAsia="仿宋" w:cs="仿宋"/>
          <w:color w:val="auto"/>
          <w:sz w:val="24"/>
          <w:szCs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7A67D213">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28.履约保证金</w:t>
      </w:r>
    </w:p>
    <w:p w14:paraId="2B4330C2">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详见 “供应商须知前附表”。</w:t>
      </w:r>
    </w:p>
    <w:p w14:paraId="77AD0514">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29.签订合同</w:t>
      </w:r>
    </w:p>
    <w:p w14:paraId="22F465E6">
      <w:pPr>
        <w:pStyle w:val="27"/>
        <w:pageBreakBefore w:val="0"/>
        <w:widowControl w:val="0"/>
        <w:kinsoku/>
        <w:wordWrap/>
        <w:overflowPunct/>
        <w:topLinePunct w:val="0"/>
        <w:autoSpaceDE/>
        <w:autoSpaceDN/>
        <w:bidi w:val="0"/>
        <w:snapToGrid w:val="0"/>
        <w:spacing w:before="0" w:line="460" w:lineRule="exact"/>
        <w:ind w:firstLine="42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仿宋" w:hAnsi="仿宋" w:eastAsia="仿宋" w:cs="仿宋"/>
          <w:color w:val="auto"/>
          <w:sz w:val="24"/>
          <w:szCs w:val="24"/>
          <w:highlight w:val="none"/>
          <w:lang w:val="zh-CN"/>
        </w:rPr>
        <w:t>如成交供应商为联合体的，由联合体成员各方法定代表人或其授权代表与采购人代表签订合同。</w:t>
      </w:r>
    </w:p>
    <w:p w14:paraId="7BE39D6B">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7255365A">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556B17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29.4如签订合同并生效后，供应商无故拒绝或延期，除按照合同条款处理外，列入不良行为记录，并给予通报。</w:t>
      </w:r>
    </w:p>
    <w:p w14:paraId="2D82B622">
      <w:pPr>
        <w:pStyle w:val="27"/>
        <w:pageBreakBefore w:val="0"/>
        <w:widowControl w:val="0"/>
        <w:kinsoku/>
        <w:wordWrap/>
        <w:overflowPunct/>
        <w:topLinePunct w:val="0"/>
        <w:autoSpaceDE/>
        <w:autoSpaceDN/>
        <w:bidi w:val="0"/>
        <w:spacing w:before="0" w:line="460" w:lineRule="exact"/>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29.5采购合同由采购人与成交供应商根据磋商文件、响应文件等内容通过政府采购电子交易平台在线签订，自动备案，在线签订须携带的材料见“ 供应商须知前附表”。</w:t>
      </w:r>
    </w:p>
    <w:p w14:paraId="6BA37752">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30.政府采购合同公告</w:t>
      </w:r>
    </w:p>
    <w:p w14:paraId="3D12402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采购人或者受托采购代理机构应当自政府采购合同签订之日起2个工作日内，将政府采购合同</w:t>
      </w:r>
      <w:r>
        <w:rPr>
          <w:rFonts w:hint="eastAsia" w:ascii="仿宋" w:hAnsi="仿宋" w:eastAsia="仿宋" w:cs="仿宋"/>
          <w:bCs/>
          <w:color w:val="auto"/>
          <w:sz w:val="24"/>
          <w:szCs w:val="24"/>
          <w:highlight w:val="none"/>
        </w:rPr>
        <w:t>在以下媒体上发布</w:t>
      </w:r>
      <w:r>
        <w:rPr>
          <w:rFonts w:hint="eastAsia" w:ascii="仿宋" w:hAnsi="仿宋" w:eastAsia="仿宋" w:cs="仿宋"/>
          <w:color w:val="auto"/>
          <w:kern w:val="0"/>
          <w:sz w:val="24"/>
          <w:szCs w:val="24"/>
          <w:highlight w:val="none"/>
        </w:rPr>
        <w:t xml:space="preserve"> “广西政府采购网”（http://zfcg.gxzf.gov.cn）</w:t>
      </w:r>
      <w:r>
        <w:rPr>
          <w:rFonts w:hint="eastAsia" w:ascii="仿宋" w:hAnsi="仿宋" w:eastAsia="仿宋" w:cs="仿宋"/>
          <w:color w:val="auto"/>
          <w:sz w:val="24"/>
          <w:szCs w:val="24"/>
          <w:highlight w:val="none"/>
        </w:rPr>
        <w:t>上公告，但政府采购合同中涉及国家秘密、商业秘密的内容除外。</w:t>
      </w:r>
    </w:p>
    <w:p w14:paraId="242E0FC0">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31. 询问、质疑和投诉</w:t>
      </w:r>
    </w:p>
    <w:p w14:paraId="5148D25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31.1供应商对政府采购活动事项有疑问的，可以向采购人、采购代理机构提出询问，采购人或者采购代理机构应当在3个工作日内对供应商依法提出的询问作出答复。</w:t>
      </w:r>
    </w:p>
    <w:p w14:paraId="46352AF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仿宋" w:hAnsi="仿宋" w:eastAsia="仿宋" w:cs="仿宋"/>
          <w:color w:val="auto"/>
          <w:sz w:val="24"/>
          <w:szCs w:val="24"/>
          <w:highlight w:val="none"/>
          <w:shd w:val="clear" w:color="auto" w:fill="FFFFFF"/>
        </w:rPr>
        <w:t>接收质疑函的方式、联系部门、联系电话和通讯地址等信息详见</w:t>
      </w:r>
      <w:r>
        <w:rPr>
          <w:rFonts w:hint="eastAsia" w:ascii="仿宋" w:hAnsi="仿宋" w:eastAsia="仿宋" w:cs="仿宋"/>
          <w:color w:val="auto"/>
          <w:sz w:val="24"/>
          <w:szCs w:val="24"/>
          <w:highlight w:val="none"/>
        </w:rPr>
        <w:t>“供应商须知前附表”。</w:t>
      </w:r>
      <w:r>
        <w:rPr>
          <w:rFonts w:hint="eastAsia" w:ascii="仿宋" w:hAnsi="仿宋" w:eastAsia="仿宋" w:cs="仿宋"/>
          <w:b/>
          <w:color w:val="auto"/>
          <w:sz w:val="24"/>
          <w:szCs w:val="24"/>
          <w:highlight w:val="none"/>
        </w:rPr>
        <w:t xml:space="preserve">具体质疑起算时间及处理方式如下： </w:t>
      </w:r>
    </w:p>
    <w:p w14:paraId="48F0C40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（1）潜在供应商依法获取采购文件后，认为采购文件使自己的权益受到损害的，应当在竞争性磋商采购文件公告期限届满之日起7个工作日内提出质疑。</w:t>
      </w:r>
      <w:r>
        <w:rPr>
          <w:rFonts w:hint="eastAsia" w:ascii="仿宋" w:hAnsi="仿宋" w:eastAsia="仿宋" w:cs="仿宋"/>
          <w:color w:val="auto"/>
          <w:sz w:val="24"/>
          <w:szCs w:val="24"/>
          <w:highlight w:val="none"/>
        </w:rPr>
        <w:t>委托代理协议无特殊约定的，</w:t>
      </w:r>
      <w:r>
        <w:rPr>
          <w:rFonts w:hint="eastAsia" w:ascii="仿宋" w:hAnsi="仿宋" w:eastAsia="仿宋" w:cs="仿宋"/>
          <w:bCs/>
          <w:color w:val="auto"/>
          <w:sz w:val="24"/>
          <w:szCs w:val="24"/>
          <w:highlight w:val="none"/>
        </w:rPr>
        <w:t>对竞争性磋商文件中采购需求（含资格要求、采购预算和评分办法）的质疑由采购人受理并负责答复；对竞争性磋商文件中的采购执行程序的质疑由采购代理机构受理并负责答复。</w:t>
      </w:r>
    </w:p>
    <w:p w14:paraId="421932A8">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D8101AE">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（3）供应商认为成交结果使自己的权益受到损害的，应当在成交结果公告期限届满之日起7个工作日内提出质疑，由采购人受理并负责答复。</w:t>
      </w:r>
    </w:p>
    <w:p w14:paraId="6B4B90D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0857F6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31.4 供应商提出质疑应当提交质疑函和必要的证明材料，针对同一采购程序环节的质疑必须在法定质疑期内一次性提出。质疑函应当包括下列内容</w:t>
      </w:r>
      <w:r>
        <w:rPr>
          <w:rFonts w:hint="eastAsia" w:ascii="仿宋" w:hAnsi="仿宋" w:eastAsia="仿宋" w:cs="仿宋"/>
          <w:bCs/>
          <w:color w:val="auto"/>
          <w:sz w:val="24"/>
          <w:szCs w:val="24"/>
          <w:highlight w:val="none"/>
        </w:rPr>
        <w:t>（质疑函格式后附）</w:t>
      </w:r>
      <w:r>
        <w:rPr>
          <w:rFonts w:hint="eastAsia" w:ascii="仿宋" w:hAnsi="仿宋" w:eastAsia="仿宋" w:cs="仿宋"/>
          <w:color w:val="auto"/>
          <w:sz w:val="24"/>
          <w:szCs w:val="24"/>
          <w:highlight w:val="none"/>
        </w:rPr>
        <w:t>：</w:t>
      </w:r>
    </w:p>
    <w:p w14:paraId="22513C7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（1）供应商的姓名或者名称、地址、邮编、联系人及联系电话；</w:t>
      </w:r>
    </w:p>
    <w:p w14:paraId="5BAB3E0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（2）质疑项目的名称、编号；</w:t>
      </w:r>
    </w:p>
    <w:p w14:paraId="5AE95194">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（3）具体、明确的质疑事项和与质疑事项相关的请求；</w:t>
      </w:r>
    </w:p>
    <w:p w14:paraId="7C3C2CF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（4）事实依据；</w:t>
      </w:r>
    </w:p>
    <w:p w14:paraId="6688FB46">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（5）必要的法律依据；</w:t>
      </w:r>
    </w:p>
    <w:p w14:paraId="4B65416D">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（6）提出质疑的日期。</w:t>
      </w:r>
    </w:p>
    <w:p w14:paraId="0509B717">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供应商为自然人的，应当由本人签字；供应商为法人或者其他组织的，应当由法定代表人、主要负责人，或者其委托代理人签字或者盖章，并加盖公章。</w:t>
      </w:r>
    </w:p>
    <w:p w14:paraId="7801B57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2C9284A9">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（一）对采购文件提出的质疑，依法通过澄清或者修改可以继续开展采购活动的，澄清或者修改采购文件后继续开展采购活动；否则应当修改采购文件后重新开展采购活动。</w:t>
      </w:r>
    </w:p>
    <w:p w14:paraId="16221A00">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571421C3">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质疑答复导致成交结果改变的，采购人或者采购代理机构应当将有关情况书面报告本级财政部门。</w:t>
      </w:r>
    </w:p>
    <w:p w14:paraId="356E7FEC">
      <w:pPr>
        <w:pageBreakBefore w:val="0"/>
        <w:widowControl w:val="0"/>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0" w:name="_Toc80205930"/>
    </w:p>
    <w:p w14:paraId="1BFBE61A">
      <w:pPr>
        <w:pStyle w:val="5"/>
        <w:pageBreakBefore w:val="0"/>
        <w:widowControl w:val="0"/>
        <w:kinsoku/>
        <w:wordWrap/>
        <w:overflowPunct/>
        <w:topLinePunct w:val="0"/>
        <w:autoSpaceDE/>
        <w:autoSpaceDN/>
        <w:bidi w:val="0"/>
        <w:spacing w:before="0" w:after="0" w:line="460" w:lineRule="exact"/>
        <w:ind w:firstLine="315" w:firstLineChars="98"/>
        <w:rPr>
          <w:rFonts w:hint="eastAsia" w:ascii="仿宋" w:hAnsi="仿宋" w:eastAsia="仿宋" w:cs="仿宋"/>
          <w:b w:val="0"/>
          <w:color w:val="auto"/>
          <w:highlight w:val="none"/>
        </w:rPr>
      </w:pPr>
      <w:bookmarkStart w:id="61" w:name="_Toc8778"/>
      <w:r>
        <w:rPr>
          <w:rFonts w:hint="eastAsia" w:ascii="仿宋" w:hAnsi="仿宋" w:eastAsia="仿宋" w:cs="仿宋"/>
          <w:color w:val="auto"/>
          <w:highlight w:val="none"/>
        </w:rPr>
        <w:t>六</w:t>
      </w:r>
      <w:r>
        <w:rPr>
          <w:rFonts w:hint="eastAsia" w:ascii="仿宋" w:hAnsi="仿宋" w:eastAsia="仿宋" w:cs="仿宋"/>
          <w:b w:val="0"/>
          <w:color w:val="auto"/>
          <w:highlight w:val="none"/>
        </w:rPr>
        <w:t>、验收</w:t>
      </w:r>
      <w:bookmarkEnd w:id="60"/>
      <w:bookmarkEnd w:id="61"/>
    </w:p>
    <w:p w14:paraId="313EF316">
      <w:pPr>
        <w:pageBreakBefore w:val="0"/>
        <w:widowControl w:val="0"/>
        <w:tabs>
          <w:tab w:val="left" w:pos="0"/>
        </w:tabs>
        <w:kinsoku/>
        <w:wordWrap/>
        <w:overflowPunct/>
        <w:topLinePunct w:val="0"/>
        <w:autoSpaceDE/>
        <w:autoSpaceDN/>
        <w:bidi w:val="0"/>
        <w:spacing w:line="46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32.验收</w:t>
      </w:r>
    </w:p>
    <w:p w14:paraId="6724DE40">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1FFFB29">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32.2采购人可以邀请参加本项目的其他供应商或者第三方机构参与验收。参与验收的供应商或者第三方机构的意见作为验收书的参考资料一并存档。</w:t>
      </w:r>
    </w:p>
    <w:p w14:paraId="2F3DC77D">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6D332EA2">
      <w:pPr>
        <w:pageBreakBefore w:val="0"/>
        <w:widowControl w:val="0"/>
        <w:tabs>
          <w:tab w:val="left" w:pos="0"/>
        </w:tabs>
        <w:kinsoku/>
        <w:wordWrap/>
        <w:overflowPunct/>
        <w:topLinePunct w:val="0"/>
        <w:autoSpaceDE/>
        <w:autoSpaceDN/>
        <w:bidi w:val="0"/>
        <w:spacing w:line="460" w:lineRule="exact"/>
        <w:ind w:firstLine="480" w:firstLineChars="200"/>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3635289">
      <w:pPr>
        <w:pStyle w:val="5"/>
        <w:pageBreakBefore w:val="0"/>
        <w:widowControl w:val="0"/>
        <w:kinsoku/>
        <w:wordWrap/>
        <w:overflowPunct/>
        <w:topLinePunct w:val="0"/>
        <w:autoSpaceDE/>
        <w:autoSpaceDN/>
        <w:bidi w:val="0"/>
        <w:spacing w:before="0" w:after="0" w:line="460" w:lineRule="exact"/>
        <w:ind w:firstLine="320" w:firstLineChars="100"/>
        <w:rPr>
          <w:rFonts w:hint="eastAsia" w:ascii="仿宋" w:hAnsi="仿宋" w:eastAsia="仿宋" w:cs="仿宋"/>
          <w:b w:val="0"/>
          <w:bCs w:val="0"/>
          <w:color w:val="auto"/>
          <w:highlight w:val="none"/>
        </w:rPr>
      </w:pPr>
      <w:bookmarkStart w:id="62" w:name="_Toc28808"/>
      <w:r>
        <w:rPr>
          <w:rFonts w:hint="eastAsia" w:ascii="仿宋" w:hAnsi="仿宋" w:eastAsia="仿宋" w:cs="仿宋"/>
          <w:b w:val="0"/>
          <w:bCs w:val="0"/>
          <w:color w:val="auto"/>
          <w:highlight w:val="none"/>
        </w:rPr>
        <w:t>七、其他事项</w:t>
      </w:r>
      <w:bookmarkEnd w:id="62"/>
    </w:p>
    <w:p w14:paraId="7C4B9C9D">
      <w:pPr>
        <w:pageBreakBefore w:val="0"/>
        <w:widowControl w:val="0"/>
        <w:kinsoku/>
        <w:wordWrap/>
        <w:overflowPunct/>
        <w:topLinePunct w:val="0"/>
        <w:autoSpaceDE/>
        <w:autoSpaceDN/>
        <w:bidi w:val="0"/>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33.代理服务费</w:t>
      </w:r>
    </w:p>
    <w:p w14:paraId="5763DB32">
      <w:pPr>
        <w:pageBreakBefore w:val="0"/>
        <w:widowControl w:val="0"/>
        <w:tabs>
          <w:tab w:val="left" w:pos="2835"/>
        </w:tabs>
        <w:kinsoku/>
        <w:wordWrap/>
        <w:overflowPunct/>
        <w:topLinePunct w:val="0"/>
        <w:autoSpaceDE/>
        <w:autoSpaceDN/>
        <w:bidi w:val="0"/>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代理服务收费标准及缴费账户详见“供应商须知前附表”，供应商为联合体的，可以由联合体中的一方或者多方共同缴纳代理服务费。</w:t>
      </w:r>
    </w:p>
    <w:p w14:paraId="00903881">
      <w:pPr>
        <w:pageBreakBefore w:val="0"/>
        <w:widowControl w:val="0"/>
        <w:kinsoku/>
        <w:wordWrap/>
        <w:overflowPunct/>
        <w:topLinePunct w:val="0"/>
        <w:autoSpaceDE/>
        <w:autoSpaceDN/>
        <w:bidi w:val="0"/>
        <w:snapToGrid w:val="0"/>
        <w:spacing w:line="460" w:lineRule="exact"/>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bCs/>
          <w:color w:val="auto"/>
          <w:kern w:val="0"/>
          <w:sz w:val="24"/>
          <w:szCs w:val="24"/>
          <w:highlight w:val="none"/>
        </w:rPr>
        <w:t>代理</w:t>
      </w:r>
      <w:r>
        <w:rPr>
          <w:rFonts w:hint="eastAsia" w:ascii="仿宋" w:hAnsi="仿宋" w:eastAsia="仿宋" w:cs="仿宋"/>
          <w:color w:val="auto"/>
          <w:kern w:val="0"/>
          <w:sz w:val="24"/>
          <w:szCs w:val="24"/>
          <w:highlight w:val="none"/>
        </w:rPr>
        <w:t>服务收费标准：</w:t>
      </w:r>
    </w:p>
    <w:tbl>
      <w:tblPr>
        <w:tblStyle w:val="22"/>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5"/>
        <w:gridCol w:w="1655"/>
        <w:gridCol w:w="1683"/>
        <w:gridCol w:w="1655"/>
      </w:tblGrid>
      <w:tr w14:paraId="10757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3465" w:type="dxa"/>
            <w:tcBorders>
              <w:tl2br w:val="single" w:color="auto" w:sz="4" w:space="0"/>
            </w:tcBorders>
            <w:vAlign w:val="top"/>
          </w:tcPr>
          <w:p w14:paraId="57D50B2B">
            <w:pPr>
              <w:pageBreakBefore w:val="0"/>
              <w:widowControl w:val="0"/>
              <w:kinsoku/>
              <w:wordWrap/>
              <w:overflowPunct/>
              <w:topLinePunct w:val="0"/>
              <w:autoSpaceDE/>
              <w:autoSpaceDN/>
              <w:bidi w:val="0"/>
              <w:spacing w:line="460" w:lineRule="exact"/>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费率</w:t>
            </w:r>
          </w:p>
          <w:p w14:paraId="0119AA71">
            <w:pPr>
              <w:pageBreakBefore w:val="0"/>
              <w:widowControl w:val="0"/>
              <w:kinsoku/>
              <w:wordWrap/>
              <w:overflowPunct/>
              <w:topLinePunct w:val="0"/>
              <w:autoSpaceDE/>
              <w:autoSpaceDN/>
              <w:bidi w:val="0"/>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中标金额（人民币）</w:t>
            </w:r>
          </w:p>
        </w:tc>
        <w:tc>
          <w:tcPr>
            <w:tcW w:w="1655" w:type="dxa"/>
            <w:vAlign w:val="center"/>
          </w:tcPr>
          <w:p w14:paraId="4DEC608A">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货物招标</w:t>
            </w:r>
          </w:p>
        </w:tc>
        <w:tc>
          <w:tcPr>
            <w:tcW w:w="1683" w:type="dxa"/>
            <w:vAlign w:val="center"/>
          </w:tcPr>
          <w:p w14:paraId="7FC5311B">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服务招标</w:t>
            </w:r>
          </w:p>
        </w:tc>
        <w:tc>
          <w:tcPr>
            <w:tcW w:w="1655" w:type="dxa"/>
            <w:vAlign w:val="center"/>
          </w:tcPr>
          <w:p w14:paraId="4953F529">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工程招标</w:t>
            </w:r>
          </w:p>
        </w:tc>
      </w:tr>
      <w:tr w14:paraId="7573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vAlign w:val="top"/>
          </w:tcPr>
          <w:p w14:paraId="4080FB30">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100万元以下</w:t>
            </w:r>
          </w:p>
        </w:tc>
        <w:tc>
          <w:tcPr>
            <w:tcW w:w="1655" w:type="dxa"/>
            <w:vAlign w:val="top"/>
          </w:tcPr>
          <w:p w14:paraId="296E62FD">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c>
          <w:tcPr>
            <w:tcW w:w="1683" w:type="dxa"/>
            <w:vAlign w:val="top"/>
          </w:tcPr>
          <w:p w14:paraId="16BF31E5">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w:t>
            </w:r>
          </w:p>
        </w:tc>
        <w:tc>
          <w:tcPr>
            <w:tcW w:w="1655" w:type="dxa"/>
            <w:vAlign w:val="top"/>
          </w:tcPr>
          <w:p w14:paraId="7CB6CBCB">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w:t>
            </w:r>
          </w:p>
        </w:tc>
      </w:tr>
      <w:tr w14:paraId="1C6A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vAlign w:val="top"/>
          </w:tcPr>
          <w:p w14:paraId="24509901">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100～500万元</w:t>
            </w:r>
          </w:p>
        </w:tc>
        <w:tc>
          <w:tcPr>
            <w:tcW w:w="1655" w:type="dxa"/>
            <w:vAlign w:val="top"/>
          </w:tcPr>
          <w:p w14:paraId="10817458">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p>
        </w:tc>
        <w:tc>
          <w:tcPr>
            <w:tcW w:w="1683" w:type="dxa"/>
            <w:vAlign w:val="top"/>
          </w:tcPr>
          <w:p w14:paraId="717244EE">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0.8%</w:t>
            </w:r>
          </w:p>
        </w:tc>
        <w:tc>
          <w:tcPr>
            <w:tcW w:w="1655" w:type="dxa"/>
            <w:vAlign w:val="top"/>
          </w:tcPr>
          <w:p w14:paraId="52233F51">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0.7%</w:t>
            </w:r>
          </w:p>
        </w:tc>
      </w:tr>
      <w:tr w14:paraId="1470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465" w:type="dxa"/>
            <w:vAlign w:val="top"/>
          </w:tcPr>
          <w:p w14:paraId="24DE76F5">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500～1000万元</w:t>
            </w:r>
          </w:p>
        </w:tc>
        <w:tc>
          <w:tcPr>
            <w:tcW w:w="1655" w:type="dxa"/>
            <w:vAlign w:val="top"/>
          </w:tcPr>
          <w:p w14:paraId="409E5FB9">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0.8%</w:t>
            </w:r>
          </w:p>
        </w:tc>
        <w:tc>
          <w:tcPr>
            <w:tcW w:w="1683" w:type="dxa"/>
            <w:vAlign w:val="top"/>
          </w:tcPr>
          <w:p w14:paraId="4A03A8BE">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0.45%</w:t>
            </w:r>
          </w:p>
        </w:tc>
        <w:tc>
          <w:tcPr>
            <w:tcW w:w="1655" w:type="dxa"/>
            <w:vAlign w:val="top"/>
          </w:tcPr>
          <w:p w14:paraId="0286331B">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0.55%</w:t>
            </w:r>
          </w:p>
        </w:tc>
      </w:tr>
      <w:tr w14:paraId="2E97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465" w:type="dxa"/>
            <w:vAlign w:val="top"/>
          </w:tcPr>
          <w:p w14:paraId="05F06165">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1000～5000万元</w:t>
            </w:r>
          </w:p>
        </w:tc>
        <w:tc>
          <w:tcPr>
            <w:tcW w:w="1655" w:type="dxa"/>
            <w:vAlign w:val="top"/>
          </w:tcPr>
          <w:p w14:paraId="2560BB8D">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0.5%</w:t>
            </w:r>
          </w:p>
        </w:tc>
        <w:tc>
          <w:tcPr>
            <w:tcW w:w="1683" w:type="dxa"/>
            <w:vAlign w:val="top"/>
          </w:tcPr>
          <w:p w14:paraId="79F9E918">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0.25%</w:t>
            </w:r>
          </w:p>
        </w:tc>
        <w:tc>
          <w:tcPr>
            <w:tcW w:w="1655" w:type="dxa"/>
            <w:vAlign w:val="top"/>
          </w:tcPr>
          <w:p w14:paraId="168825A4">
            <w:pPr>
              <w:pageBreakBefore w:val="0"/>
              <w:widowControl w:val="0"/>
              <w:kinsoku/>
              <w:wordWrap/>
              <w:overflowPunct/>
              <w:topLinePunct w:val="0"/>
              <w:autoSpaceDE/>
              <w:autoSpaceDN/>
              <w:bidi w:val="0"/>
              <w:spacing w:line="46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0.35%</w:t>
            </w:r>
          </w:p>
        </w:tc>
      </w:tr>
    </w:tbl>
    <w:p w14:paraId="3933841E">
      <w:pPr>
        <w:keepNext w:val="0"/>
        <w:keepLines w:val="0"/>
        <w:pageBreakBefore w:val="0"/>
        <w:widowControl w:val="0"/>
        <w:kinsoku/>
        <w:wordWrap/>
        <w:overflowPunct/>
        <w:topLinePunct w:val="0"/>
        <w:autoSpaceDE/>
        <w:autoSpaceDN/>
        <w:bidi w:val="0"/>
        <w:adjustRightInd/>
        <w:snapToGrid/>
        <w:spacing w:line="46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注： </w:t>
      </w:r>
    </w:p>
    <w:p w14:paraId="38CFC8FB">
      <w:pPr>
        <w:keepNext w:val="0"/>
        <w:keepLines w:val="0"/>
        <w:pageBreakBefore w:val="0"/>
        <w:widowControl w:val="0"/>
        <w:kinsoku/>
        <w:wordWrap/>
        <w:overflowPunct/>
        <w:topLinePunct w:val="0"/>
        <w:autoSpaceDE/>
        <w:autoSpaceDN/>
        <w:bidi w:val="0"/>
        <w:adjustRightInd/>
        <w:snapToGrid/>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（1）按本表费率计算的收费标准（服务类型）为采购代理的收费基准价格；</w:t>
      </w:r>
    </w:p>
    <w:p w14:paraId="3D89EDB7">
      <w:pPr>
        <w:keepNext w:val="0"/>
        <w:keepLines w:val="0"/>
        <w:pageBreakBefore w:val="0"/>
        <w:widowControl w:val="0"/>
        <w:kinsoku/>
        <w:wordWrap/>
        <w:overflowPunct/>
        <w:topLinePunct w:val="0"/>
        <w:autoSpaceDE/>
        <w:autoSpaceDN/>
        <w:bidi w:val="0"/>
        <w:adjustRightInd/>
        <w:snapToGrid/>
        <w:spacing w:line="460" w:lineRule="exact"/>
        <w:ind w:firstLine="480" w:firstLineChars="200"/>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（2）采购代理收费按差额定率累进法计算。</w:t>
      </w:r>
    </w:p>
    <w:p w14:paraId="20A27660">
      <w:pPr>
        <w:keepNext w:val="0"/>
        <w:keepLines w:val="0"/>
        <w:pageBreakBefore w:val="0"/>
        <w:widowControl w:val="0"/>
        <w:kinsoku/>
        <w:wordWrap/>
        <w:overflowPunct/>
        <w:topLinePunct w:val="0"/>
        <w:autoSpaceDE/>
        <w:autoSpaceDN/>
        <w:bidi w:val="0"/>
        <w:adjustRightInd/>
        <w:snapToGrid/>
        <w:spacing w:line="460" w:lineRule="exact"/>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34.需要补充的其他内容</w:t>
      </w:r>
    </w:p>
    <w:p w14:paraId="50001F36">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34.1本磋商文件解释规则详见“供应商须知前附表”。</w:t>
      </w:r>
    </w:p>
    <w:p w14:paraId="6181C43D">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34.2 其他事项详见“供应商须知前附表”。</w:t>
      </w:r>
    </w:p>
    <w:p w14:paraId="14F5EEAD">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eastAsia" w:ascii="仿宋" w:hAnsi="仿宋" w:eastAsia="仿宋" w:cs="仿宋"/>
          <w:color w:val="auto"/>
          <w:sz w:val="24"/>
          <w:szCs w:val="24"/>
          <w:highlight w:val="none"/>
        </w:rPr>
        <w:t>服务由中小企业承接，即提供服务的人员为中小企业依照《中华人民共和国劳动合同法》订立劳动合同的从业人员，不对其中涉及的货物的制造商和工程承建商作出要求的</w:t>
      </w:r>
      <w:r>
        <w:rPr>
          <w:rFonts w:hint="eastAsia" w:ascii="仿宋" w:hAnsi="仿宋" w:eastAsia="仿宋" w:cs="仿宋"/>
          <w:color w:val="auto"/>
          <w:kern w:val="2"/>
          <w:sz w:val="24"/>
          <w:szCs w:val="24"/>
          <w:highlight w:val="none"/>
        </w:rPr>
        <w:t>，享受本文件规定的中小企业扶持政策。</w:t>
      </w:r>
    </w:p>
    <w:p w14:paraId="5C3D2A4F">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以联合体形式参加政府采购活动，联合体各方均为中小企业的，联合体视同中小企业。其中，联合体各方均为小微企业的，联合体视同小微企业。</w:t>
      </w:r>
    </w:p>
    <w:p w14:paraId="7F91DF60">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依据本文件规定享受扶持政策获得政府采购合同的，小微企业不得将合同分包给大中型企业，中型企业不得将合同分包给大型企业。</w:t>
      </w:r>
    </w:p>
    <w:p w14:paraId="6A07E6D7">
      <w:pPr>
        <w:keepNext w:val="0"/>
        <w:keepLines w:val="0"/>
        <w:pageBreakBefore w:val="0"/>
        <w:widowControl w:val="0"/>
        <w:kinsoku/>
        <w:wordWrap/>
        <w:overflowPunct/>
        <w:topLinePunct w:val="0"/>
        <w:autoSpaceDE/>
        <w:autoSpaceDN/>
        <w:bidi w:val="0"/>
        <w:adjustRightInd/>
        <w:snapToGrid/>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 政采贷相关说明</w:t>
      </w:r>
    </w:p>
    <w:p w14:paraId="59B56D97">
      <w:pPr>
        <w:pStyle w:val="14"/>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为优化政府采购营商环境，缓解供应商资金难题，南宁市政府采购试行政府采购信用融资制度，成交供应商如有融资需求，可凭政府采购合同通过以下方式申请政府采购信用融资贷款：</w:t>
      </w:r>
    </w:p>
    <w:p w14:paraId="444AA987">
      <w:pPr>
        <w:pStyle w:val="14"/>
        <w:keepNext w:val="0"/>
        <w:keepLines w:val="0"/>
        <w:pageBreakBefore w:val="0"/>
        <w:widowControl w:val="0"/>
        <w:numPr>
          <w:ilvl w:val="0"/>
          <w:numId w:val="2"/>
        </w:numPr>
        <w:kinsoku/>
        <w:wordWrap/>
        <w:overflowPunct/>
        <w:topLinePunct w:val="0"/>
        <w:autoSpaceDE/>
        <w:autoSpaceDN/>
        <w:bidi w:val="0"/>
        <w:adjustRightInd/>
        <w:snapToGrid/>
        <w:spacing w:line="460" w:lineRule="exact"/>
        <w:ind w:firstLine="480" w:firstLineChars="200"/>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在“南宁市公共资源交易中心”官网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"http://www.nnggzy.org.cn）" </w:instrText>
      </w:r>
      <w:r>
        <w:rPr>
          <w:rFonts w:hint="eastAsia" w:ascii="仿宋" w:hAnsi="仿宋" w:eastAsia="仿宋" w:cs="仿宋"/>
          <w:color w:val="auto"/>
          <w:sz w:val="24"/>
          <w:szCs w:val="24"/>
          <w:highlight w:val="none"/>
        </w:rPr>
        <w:fldChar w:fldCharType="separate"/>
      </w:r>
      <w:r>
        <w:rPr>
          <w:rFonts w:hint="eastAsia" w:ascii="仿宋" w:hAnsi="仿宋" w:eastAsia="仿宋" w:cs="仿宋"/>
          <w:color w:val="auto"/>
          <w:sz w:val="24"/>
          <w:szCs w:val="24"/>
          <w:highlight w:val="none"/>
        </w:rPr>
        <w:t>“交易信息-政府采购-政府采购信用融资”中融资银行和南宁市企业融资服务中心专栏信息申请政府采购信用融资。</w:t>
      </w:r>
      <w:r>
        <w:rPr>
          <w:rFonts w:hint="eastAsia" w:ascii="仿宋" w:hAnsi="仿宋" w:eastAsia="仿宋" w:cs="仿宋"/>
          <w:color w:val="auto"/>
          <w:sz w:val="24"/>
          <w:szCs w:val="24"/>
          <w:highlight w:val="none"/>
        </w:rPr>
        <w:fldChar w:fldCharType="end"/>
      </w:r>
    </w:p>
    <w:p w14:paraId="177CC83A">
      <w:pPr>
        <w:pStyle w:val="14"/>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center"/>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w:t>
      </w:r>
    </w:p>
    <w:p w14:paraId="112131B4">
      <w:pPr>
        <w:rPr>
          <w:rFonts w:hint="eastAsia" w:ascii="仿宋" w:hAnsi="仿宋" w:eastAsia="仿宋" w:cs="仿宋"/>
          <w:color w:val="auto"/>
          <w:highlight w:val="none"/>
        </w:rPr>
      </w:pPr>
      <w:bookmarkStart w:id="63" w:name="_Toc32304"/>
      <w:r>
        <w:rPr>
          <w:rFonts w:hint="eastAsia" w:ascii="仿宋" w:hAnsi="仿宋" w:eastAsia="仿宋" w:cs="仿宋"/>
          <w:color w:val="auto"/>
          <w:highlight w:val="none"/>
        </w:rPr>
        <w:br w:type="page"/>
      </w:r>
    </w:p>
    <w:p w14:paraId="21273404">
      <w:pPr>
        <w:pStyle w:val="2"/>
        <w:jc w:val="center"/>
        <w:rPr>
          <w:rFonts w:hint="eastAsia" w:ascii="仿宋" w:hAnsi="仿宋" w:eastAsia="仿宋" w:cs="仿宋"/>
          <w:color w:val="auto"/>
          <w:highlight w:val="none"/>
        </w:rPr>
      </w:pPr>
      <w:bookmarkStart w:id="64" w:name="_Toc25054"/>
      <w:r>
        <w:rPr>
          <w:rFonts w:hint="eastAsia" w:ascii="仿宋" w:hAnsi="仿宋" w:eastAsia="仿宋" w:cs="仿宋"/>
          <w:color w:val="auto"/>
          <w:highlight w:val="none"/>
        </w:rPr>
        <w:t>第四章 评审程序、评审方法和评审标准</w:t>
      </w:r>
      <w:bookmarkEnd w:id="63"/>
      <w:bookmarkEnd w:id="64"/>
    </w:p>
    <w:p w14:paraId="145ACFC7">
      <w:pPr>
        <w:pStyle w:val="3"/>
        <w:jc w:val="center"/>
        <w:rPr>
          <w:rFonts w:hint="eastAsia" w:ascii="仿宋" w:hAnsi="仿宋" w:eastAsia="仿宋" w:cs="仿宋"/>
          <w:b w:val="0"/>
          <w:color w:val="auto"/>
          <w:highlight w:val="none"/>
        </w:rPr>
      </w:pPr>
      <w:bookmarkStart w:id="65" w:name="_Toc14981"/>
      <w:bookmarkStart w:id="66" w:name="_Toc13035"/>
      <w:r>
        <w:rPr>
          <w:rFonts w:hint="eastAsia" w:ascii="仿宋" w:hAnsi="仿宋" w:eastAsia="仿宋" w:cs="仿宋"/>
          <w:b w:val="0"/>
          <w:color w:val="auto"/>
          <w:highlight w:val="none"/>
        </w:rPr>
        <w:t>第一节 评审程序和评审方法</w:t>
      </w:r>
      <w:bookmarkEnd w:id="65"/>
      <w:bookmarkEnd w:id="66"/>
    </w:p>
    <w:p w14:paraId="03DBCE33">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1.确认磋商文件</w:t>
      </w:r>
    </w:p>
    <w:p w14:paraId="7662046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由磋商小组确认磋商文件。</w:t>
      </w:r>
    </w:p>
    <w:p w14:paraId="5F4C75C5">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2.资格审查</w:t>
      </w:r>
    </w:p>
    <w:p w14:paraId="53D080A7">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2.1响应文件开启后，磋商小组依法对供应商的资格证明文件进行审查。</w:t>
      </w:r>
    </w:p>
    <w:p w14:paraId="1F333018">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注：采购人代表或者采购代理机构在资格审查结束前，对供应商进行信用查询。</w:t>
      </w:r>
    </w:p>
    <w:p w14:paraId="74877784">
      <w:p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（1）查询渠道：广西政府采购云平台“信用中国”网站(</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"http://www.creditchina.gov.cn" </w:instrText>
      </w:r>
      <w:r>
        <w:rPr>
          <w:rFonts w:hint="eastAsia" w:ascii="仿宋" w:hAnsi="仿宋" w:eastAsia="仿宋" w:cs="仿宋"/>
          <w:color w:val="auto"/>
          <w:sz w:val="24"/>
          <w:szCs w:val="24"/>
          <w:highlight w:val="none"/>
        </w:rPr>
        <w:fldChar w:fldCharType="separate"/>
      </w:r>
      <w:r>
        <w:rPr>
          <w:rStyle w:val="26"/>
          <w:rFonts w:hint="eastAsia" w:ascii="仿宋" w:hAnsi="仿宋" w:eastAsia="仿宋" w:cs="仿宋"/>
          <w:color w:val="auto"/>
          <w:sz w:val="24"/>
          <w:szCs w:val="24"/>
          <w:highlight w:val="none"/>
        </w:rPr>
        <w:t>www.creditchina.gov.cn</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)、中国政府采购网(</w:t>
      </w:r>
      <w:r>
        <w:rPr>
          <w:rFonts w:hint="eastAsia" w:ascii="仿宋" w:hAnsi="仿宋" w:eastAsia="仿宋" w:cs="仿宋"/>
          <w:color w:val="auto"/>
          <w:sz w:val="24"/>
          <w:szCs w:val="24"/>
          <w:highlight w:val="none"/>
        </w:rPr>
        <w:fldChar w:fldCharType="begin"/>
      </w:r>
      <w:r>
        <w:rPr>
          <w:rFonts w:hint="eastAsia" w:ascii="仿宋" w:hAnsi="仿宋" w:eastAsia="仿宋" w:cs="仿宋"/>
          <w:color w:val="auto"/>
          <w:sz w:val="24"/>
          <w:szCs w:val="24"/>
          <w:highlight w:val="none"/>
        </w:rPr>
        <w:instrText xml:space="preserve"> HYPERLINK "http://www.ccgp.gov.cn" </w:instrText>
      </w:r>
      <w:r>
        <w:rPr>
          <w:rFonts w:hint="eastAsia" w:ascii="仿宋" w:hAnsi="仿宋" w:eastAsia="仿宋" w:cs="仿宋"/>
          <w:color w:val="auto"/>
          <w:sz w:val="24"/>
          <w:szCs w:val="24"/>
          <w:highlight w:val="none"/>
        </w:rPr>
        <w:fldChar w:fldCharType="separate"/>
      </w:r>
      <w:r>
        <w:rPr>
          <w:rStyle w:val="26"/>
          <w:rFonts w:hint="eastAsia" w:ascii="仿宋" w:hAnsi="仿宋" w:eastAsia="仿宋" w:cs="仿宋"/>
          <w:color w:val="auto"/>
          <w:sz w:val="24"/>
          <w:szCs w:val="24"/>
          <w:highlight w:val="none"/>
        </w:rPr>
        <w:t>www.ccgp.gov.cn</w:t>
      </w:r>
      <w:r>
        <w:rPr>
          <w:rFonts w:hint="eastAsia" w:ascii="仿宋" w:hAnsi="仿宋" w:eastAsia="仿宋" w:cs="仿宋"/>
          <w:color w:val="auto"/>
          <w:sz w:val="24"/>
          <w:szCs w:val="24"/>
          <w:highlight w:val="none"/>
        </w:rPr>
        <w:fldChar w:fldCharType="end"/>
      </w:r>
      <w:r>
        <w:rPr>
          <w:rFonts w:hint="eastAsia" w:ascii="仿宋" w:hAnsi="仿宋" w:eastAsia="仿宋" w:cs="仿宋"/>
          <w:color w:val="auto"/>
          <w:sz w:val="24"/>
          <w:szCs w:val="24"/>
          <w:highlight w:val="none"/>
        </w:rPr>
        <w:t>)链接入口。</w:t>
      </w:r>
    </w:p>
    <w:p w14:paraId="35043BDB">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（2）信用查询截止时点：资格审查结束前。</w:t>
      </w:r>
    </w:p>
    <w:p w14:paraId="5ADAFC0A">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查询记录和证据留存方式：在查询网站中直接打印查询记录，截图另存为电子文档作为评审资料保存。</w:t>
      </w:r>
    </w:p>
    <w:p w14:paraId="1361769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1565B1C">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2.2资格审查标准为本磋商文件中载明对供应商资格要求的条件。资格审查采用合格制，凡符合磋商文件规定的供应商资格要求的响应文件均通过资格审查。</w:t>
      </w:r>
    </w:p>
    <w:p w14:paraId="479EA06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2.3供应商有下列情形之一的，资格审查不通过，其响应文件按无效响应处理：</w:t>
      </w:r>
    </w:p>
    <w:p w14:paraId="656304E5">
      <w:pPr>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（1）不具备磋商文件中规定的资格要求的；</w:t>
      </w:r>
    </w:p>
    <w:p w14:paraId="5DD4D69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（2）响应文件未提供任一项“供应商须知前附表”资格证明文件规定的“必须提供”的文件资料的；</w:t>
      </w:r>
    </w:p>
    <w:p w14:paraId="11951EA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（3）响应文件提供的资格证明文件出现任一项不符合“供应商须知前附表”资格证明文件规定的“必须提供”的文件资料要求或者无效的。</w:t>
      </w:r>
    </w:p>
    <w:p w14:paraId="48B6B322">
      <w:pPr>
        <w:spacing w:line="360" w:lineRule="auto"/>
        <w:ind w:firstLine="480" w:firstLineChars="200"/>
        <w:rPr>
          <w:rFonts w:hint="eastAsia" w:ascii="仿宋" w:hAnsi="仿宋" w:eastAsia="仿宋" w:cs="仿宋"/>
          <w:color w:val="auto"/>
          <w:sz w:val="24"/>
          <w:szCs w:val="24"/>
          <w:highlight w:val="none"/>
        </w:rPr>
      </w:pPr>
      <w:bookmarkStart w:id="67" w:name="_Hlk68601553"/>
      <w:r>
        <w:rPr>
          <w:rFonts w:hint="eastAsia" w:ascii="仿宋" w:hAnsi="仿宋" w:eastAsia="仿宋" w:cs="仿宋"/>
          <w:color w:val="auto"/>
          <w:sz w:val="24"/>
          <w:szCs w:val="24"/>
          <w:highlight w:val="none"/>
        </w:rPr>
        <w:t>（4）同一合同项下的不同供应商，单位负责人为同一人或者存在直接控股、管理关系的；为本项目提供过整体设计、规范编制或者项目管理、监理、检测等服务的。</w:t>
      </w:r>
      <w:bookmarkEnd w:id="67"/>
    </w:p>
    <w:p w14:paraId="33FF7F7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2.4通过资格审查的合格供应商不足3家的，不得进入符合性审查环节，采购人或者采购代理机构应当重新开展采购活动。</w:t>
      </w:r>
    </w:p>
    <w:p w14:paraId="7536AB87">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3.符合性审查</w:t>
      </w:r>
    </w:p>
    <w:p w14:paraId="6A0B8E1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3.1由磋商小组对通过资格审查的合格供应商的响应文件的响应报价、商务、技术等实质性要求进行符合性审查，以确定其是否满足磋商文件的实质性要求。</w:t>
      </w:r>
    </w:p>
    <w:p w14:paraId="3E9E02E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EE8739">
      <w:pPr>
        <w:spacing w:line="360" w:lineRule="auto"/>
        <w:ind w:firstLine="480" w:firstLineChars="200"/>
        <w:rPr>
          <w:rFonts w:hint="eastAsia" w:ascii="仿宋" w:hAnsi="仿宋" w:eastAsia="仿宋" w:cs="仿宋"/>
          <w:color w:val="auto"/>
          <w:spacing w:val="-6"/>
          <w:sz w:val="24"/>
          <w:szCs w:val="24"/>
          <w:highlight w:val="none"/>
        </w:rPr>
      </w:pPr>
      <w:r>
        <w:rPr>
          <w:rFonts w:hint="eastAsia" w:ascii="仿宋" w:hAnsi="仿宋" w:eastAsia="仿宋" w:cs="仿宋"/>
          <w:color w:val="auto"/>
          <w:sz w:val="24"/>
          <w:szCs w:val="24"/>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仿宋" w:hAnsi="仿宋" w:eastAsia="仿宋" w:cs="仿宋"/>
          <w:color w:val="auto"/>
          <w:spacing w:val="-6"/>
          <w:sz w:val="24"/>
          <w:szCs w:val="24"/>
          <w:highlight w:val="none"/>
        </w:rPr>
        <w:t>。供应商为自然人的，必须由本人签字并附身份证明。</w:t>
      </w:r>
    </w:p>
    <w:p w14:paraId="486E66F6">
      <w:pPr>
        <w:spacing w:line="360" w:lineRule="auto"/>
        <w:ind w:firstLine="456" w:firstLineChars="200"/>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3.4</w:t>
      </w:r>
      <w:r>
        <w:rPr>
          <w:rFonts w:hint="eastAsia" w:ascii="仿宋" w:hAnsi="仿宋" w:eastAsia="仿宋" w:cs="仿宋"/>
          <w:color w:val="auto"/>
          <w:sz w:val="24"/>
          <w:szCs w:val="24"/>
          <w:highlight w:val="none"/>
        </w:rPr>
        <w:t xml:space="preserve">首次响应文件报价出现前后不一致的，按照下列规定修正： </w:t>
      </w:r>
    </w:p>
    <w:p w14:paraId="2768A2A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（1）响应文件中报价表内容与响应文件中相应内容不一致的，以报价表为准；</w:t>
      </w:r>
    </w:p>
    <w:p w14:paraId="2A009AF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（2）大写金额和小写金额不一致的，以大写金额为准；</w:t>
      </w:r>
    </w:p>
    <w:p w14:paraId="4FAE00C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（3）单价金额小数点或者百分比有明显错位的，以报价表的总价为准，并修改单价；</w:t>
      </w:r>
    </w:p>
    <w:p w14:paraId="5FED090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（4）总价金额与按单价汇总金额不一致的，以单价金额计算结果为准。</w:t>
      </w:r>
    </w:p>
    <w:p w14:paraId="757899C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同时出现两种以上不一致的，按照以上（1）-（4）规定的顺序逐条进行修正。修正后的报价经供应商确认后产生约束力，供应商不确认的，其响应文件按无效响应处理。</w:t>
      </w:r>
    </w:p>
    <w:p w14:paraId="11A9241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3.5商务技术、报价评审</w:t>
      </w:r>
    </w:p>
    <w:p w14:paraId="6C1FB9E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在评审时，如发现下列情形之一的，将被视为响应文件无效处理：</w:t>
      </w:r>
    </w:p>
    <w:p w14:paraId="53ADB6F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（1）商务技术评审</w:t>
      </w:r>
    </w:p>
    <w:p w14:paraId="6AB3511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1）响应文件未按磋商文件要求签署、盖章；</w:t>
      </w:r>
    </w:p>
    <w:p w14:paraId="5F617E1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2）委托代理人未能出具有效身份证明或者出具的身份证明与授权委托书中的信息不符； </w:t>
      </w:r>
    </w:p>
    <w:p w14:paraId="4BF87D7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5CAAA9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4）商务条款中标“▲”的条款发生负偏离的或者允许负偏离的条款数超过“供应商须知前附表”规定项数的或者标明实质性的要求发生负偏离；</w:t>
      </w:r>
    </w:p>
    <w:p w14:paraId="5851CE1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5）未对竞标有效期作出响应或者响应文件承诺的竞标有效期不满足磋商文件要求；</w:t>
      </w:r>
    </w:p>
    <w:p w14:paraId="5B928B3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6）响应文件的实质性内容未使用中文表述、使用计量单位不符合磋商文件要求；</w:t>
      </w:r>
    </w:p>
    <w:p w14:paraId="42E0343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7）响应文件中的文件资料因填写不齐全或者内容虚假或者出现其他情形而导致被磋商小组认定无效；</w:t>
      </w:r>
    </w:p>
    <w:p w14:paraId="551E66E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8）响应文件含有采购人不能接受的附加条件；</w:t>
      </w:r>
    </w:p>
    <w:p w14:paraId="0BFEFA2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9）属于“供应商须知正文”第7.5条情形；</w:t>
      </w:r>
    </w:p>
    <w:p w14:paraId="10688A6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10）技术需求允许负偏离的条款数超过“供应商须知前附表”规定项数；</w:t>
      </w:r>
    </w:p>
    <w:p w14:paraId="04089EA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11）虚假竞标，或者出现其他情形而导致被磋商小组认定无效；</w:t>
      </w:r>
    </w:p>
    <w:p w14:paraId="31F9201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12）竞标技术方案不明确，磋商文件未允许但响应文件中存在一个或者一个以上备选（替代）竞标方案；</w:t>
      </w:r>
    </w:p>
    <w:p w14:paraId="2102F6F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13）响应文件标注的项目名称或者项目编号与竞争性磋商文件标注的项目名称或者项目编号不一致的；</w:t>
      </w:r>
    </w:p>
    <w:p w14:paraId="53A5472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14）未响应磋商文件实质性要求；</w:t>
      </w:r>
    </w:p>
    <w:p w14:paraId="6E23136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15）法律法规和磋商文件规定的其他无效情形。</w:t>
      </w:r>
    </w:p>
    <w:p w14:paraId="4F6CDD89">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（2）报价评审</w:t>
      </w:r>
    </w:p>
    <w:p w14:paraId="08A87A0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 响应文件未提供“供应商须知前附表” 报价文件中规定的“响应报价表”；</w:t>
      </w:r>
    </w:p>
    <w:p w14:paraId="0AA71F6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2）未采用人民币报价或者未按照磋商文件标明的币种报价；</w:t>
      </w:r>
    </w:p>
    <w:p w14:paraId="4A44FD5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4BA9F2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01360DE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5D50CD52">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6）响应文件响应的标的数量及单位与竞争性磋商采购文件要求实质性不一致的</w:t>
      </w:r>
      <w:r>
        <w:rPr>
          <w:rFonts w:hint="eastAsia" w:ascii="仿宋" w:hAnsi="仿宋" w:eastAsia="仿宋" w:cs="仿宋"/>
          <w:color w:val="auto"/>
          <w:sz w:val="24"/>
          <w:szCs w:val="24"/>
          <w:highlight w:val="none"/>
          <w:lang w:eastAsia="zh-CN"/>
        </w:rPr>
        <w:t>；</w:t>
      </w:r>
    </w:p>
    <w:p w14:paraId="4B96E496">
      <w:pPr>
        <w:spacing w:line="360" w:lineRule="auto"/>
        <w:ind w:firstLine="482"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7）磋商小组认为供应商报价过低，有可能影响服务质量或者不能诚信履约，按本章5.9条启动异常低价响应审查程序，要求供应商提供书面说明及必要的证明材料，但供应商不能在指定时间内提供证明材料或无法证明其报价合理的。</w:t>
      </w:r>
    </w:p>
    <w:p w14:paraId="6E1A844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A1AE6F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1CE8D511">
      <w:pPr>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4.磋商程序</w:t>
      </w:r>
    </w:p>
    <w:p w14:paraId="28E3C195">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4.1磋商小组按照“供应商须知前附表”</w:t>
      </w:r>
      <w:r>
        <w:rPr>
          <w:rFonts w:hint="eastAsia" w:ascii="仿宋" w:hAnsi="仿宋" w:eastAsia="仿宋" w:cs="仿宋"/>
          <w:color w:val="auto"/>
          <w:sz w:val="24"/>
          <w:szCs w:val="24"/>
          <w:highlight w:val="none"/>
        </w:rPr>
        <w:t xml:space="preserve"> </w:t>
      </w:r>
      <w:r>
        <w:rPr>
          <w:rFonts w:hint="eastAsia" w:ascii="仿宋" w:hAnsi="仿宋" w:eastAsia="仿宋" w:cs="仿宋"/>
          <w:color w:val="auto"/>
          <w:kern w:val="0"/>
          <w:sz w:val="24"/>
          <w:szCs w:val="24"/>
          <w:highlight w:val="none"/>
        </w:rPr>
        <w:t>确定的</w:t>
      </w:r>
      <w:r>
        <w:rPr>
          <w:rFonts w:hint="eastAsia" w:ascii="仿宋" w:hAnsi="仿宋" w:eastAsia="仿宋" w:cs="仿宋"/>
          <w:color w:val="auto"/>
          <w:sz w:val="24"/>
          <w:szCs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EE8EF5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23E587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4.3对磋商文件作出的实质性变动是磋商文件的有效组成部分，由磋商小组及时以电子澄清函形式同时通知所有参加磋商的供应商。</w:t>
      </w:r>
    </w:p>
    <w:p w14:paraId="51C9CD4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EA2808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4.5磋商中，</w:t>
      </w:r>
      <w:r>
        <w:rPr>
          <w:rFonts w:hint="eastAsia" w:ascii="仿宋" w:hAnsi="仿宋" w:eastAsia="仿宋" w:cs="仿宋"/>
          <w:color w:val="auto"/>
          <w:spacing w:val="-6"/>
          <w:sz w:val="24"/>
          <w:szCs w:val="24"/>
          <w:highlight w:val="none"/>
        </w:rPr>
        <w:t>磋商的任何一方不得透露与磋商有关的其他供应商的技术资料、价格和其他信息。</w:t>
      </w:r>
    </w:p>
    <w:p w14:paraId="76E7F8E8">
      <w:pPr>
        <w:widowControl/>
        <w:tabs>
          <w:tab w:val="left" w:pos="540"/>
        </w:tabs>
        <w:spacing w:line="360" w:lineRule="auto"/>
        <w:ind w:firstLine="480" w:firstLineChars="200"/>
        <w:jc w:val="left"/>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4.6磋商小组应对磋商过程和重要磋商内容进行记录，作为评标报告一部分，磋商小组在记录上签字确认。</w:t>
      </w:r>
      <w:r>
        <w:rPr>
          <w:rFonts w:hint="eastAsia" w:ascii="仿宋" w:hAnsi="仿宋" w:eastAsia="仿宋" w:cs="仿宋"/>
          <w:b/>
          <w:color w:val="auto"/>
          <w:sz w:val="24"/>
          <w:szCs w:val="24"/>
          <w:highlight w:val="none"/>
        </w:rPr>
        <w:t>主要内容包括：</w:t>
      </w:r>
    </w:p>
    <w:p w14:paraId="30AA137B">
      <w:pPr>
        <w:pStyle w:val="27"/>
        <w:spacing w:before="0"/>
        <w:ind w:firstLine="396"/>
        <w:rPr>
          <w:rFonts w:hint="eastAsia" w:ascii="仿宋" w:hAnsi="仿宋" w:eastAsia="仿宋" w:cs="仿宋"/>
          <w:color w:val="auto"/>
          <w:spacing w:val="-6"/>
          <w:kern w:val="2"/>
          <w:sz w:val="24"/>
          <w:szCs w:val="24"/>
          <w:highlight w:val="none"/>
        </w:rPr>
      </w:pPr>
      <w:r>
        <w:rPr>
          <w:rFonts w:hint="eastAsia" w:ascii="仿宋" w:hAnsi="仿宋" w:eastAsia="仿宋" w:cs="仿宋"/>
          <w:color w:val="auto"/>
          <w:spacing w:val="-6"/>
          <w:kern w:val="2"/>
          <w:sz w:val="24"/>
          <w:szCs w:val="24"/>
          <w:highlight w:val="none"/>
        </w:rPr>
        <w:t>（1）按照相关规定进行公示的，公示情况说明；</w:t>
      </w:r>
    </w:p>
    <w:p w14:paraId="5F48541A">
      <w:pPr>
        <w:pStyle w:val="27"/>
        <w:spacing w:before="0"/>
        <w:ind w:firstLine="396"/>
        <w:rPr>
          <w:rFonts w:hint="eastAsia" w:ascii="仿宋" w:hAnsi="仿宋" w:eastAsia="仿宋" w:cs="仿宋"/>
          <w:color w:val="auto"/>
          <w:spacing w:val="-6"/>
          <w:kern w:val="2"/>
          <w:sz w:val="24"/>
          <w:szCs w:val="24"/>
          <w:highlight w:val="none"/>
        </w:rPr>
      </w:pPr>
      <w:r>
        <w:rPr>
          <w:rFonts w:hint="eastAsia" w:ascii="仿宋" w:hAnsi="仿宋" w:eastAsia="仿宋" w:cs="仿宋"/>
          <w:color w:val="auto"/>
          <w:spacing w:val="-6"/>
          <w:kern w:val="2"/>
          <w:sz w:val="24"/>
          <w:szCs w:val="24"/>
          <w:highlight w:val="none"/>
        </w:rPr>
        <w:t>（2）磋商日期和地点，磋商人员名单；</w:t>
      </w:r>
    </w:p>
    <w:p w14:paraId="2A8398DF">
      <w:pPr>
        <w:pStyle w:val="27"/>
        <w:spacing w:before="0"/>
        <w:ind w:firstLine="396"/>
        <w:rPr>
          <w:rFonts w:hint="eastAsia" w:ascii="仿宋" w:hAnsi="仿宋" w:eastAsia="仿宋" w:cs="仿宋"/>
          <w:color w:val="auto"/>
          <w:spacing w:val="-6"/>
          <w:kern w:val="2"/>
          <w:sz w:val="24"/>
          <w:szCs w:val="24"/>
          <w:highlight w:val="none"/>
        </w:rPr>
      </w:pPr>
      <w:r>
        <w:rPr>
          <w:rFonts w:hint="eastAsia" w:ascii="仿宋" w:hAnsi="仿宋" w:eastAsia="仿宋" w:cs="仿宋"/>
          <w:color w:val="auto"/>
          <w:spacing w:val="-6"/>
          <w:kern w:val="2"/>
          <w:sz w:val="24"/>
          <w:szCs w:val="24"/>
          <w:highlight w:val="none"/>
        </w:rPr>
        <w:t>（3）合同主要条款及价格商定情况。</w:t>
      </w:r>
    </w:p>
    <w:p w14:paraId="7DF4412A">
      <w:pPr>
        <w:widowControl/>
        <w:tabs>
          <w:tab w:val="left" w:pos="540"/>
        </w:tabs>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4.7磋商过程中重新提交的响应文件，供应商可以在开启前补充、修改。</w:t>
      </w:r>
    </w:p>
    <w:p w14:paraId="13A458CA">
      <w:pPr>
        <w:tabs>
          <w:tab w:val="left" w:pos="2835"/>
        </w:tabs>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4.8对磋商过程提交的响应文件进行有效性、完整性和响应程度审查，通过审查的合格供应商不足3家的，采购人或者采购代理机构应当重新开展采购活动。</w:t>
      </w:r>
    </w:p>
    <w:p w14:paraId="2A284110">
      <w:pPr>
        <w:ind w:firstLine="20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5. 最后报价</w:t>
      </w:r>
    </w:p>
    <w:p w14:paraId="3B0B2C9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磋商文件能够详细列明采购标的的技术、服务要求的，磋商结束后，由磋商小组要求所有继续参加磋商的供应商在规定时间内密封提交最后报价，除本章第3.7、5.3条外，提交最后报价的供应商不得少于3家，否则必须重新采购。</w:t>
      </w:r>
    </w:p>
    <w:p w14:paraId="1039214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5D44F6E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CC9799C">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5.4已经提交响应文件的供应商，在提交最后报价之前，可以根据磋商情况退出磋商，退出磋商的供应商的响应文件按无效响应处理。</w:t>
      </w:r>
    </w:p>
    <w:p w14:paraId="77A33B1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5.5供应商未在规定时间内提交最后报价的，视同退出磋商。</w:t>
      </w:r>
    </w:p>
    <w:p w14:paraId="5C3CB29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5.6磋商小组收齐某一分标最后报价后统一开启，磋商小组对最后报价进行有效性、完整性和响应程度的审查。</w:t>
      </w:r>
    </w:p>
    <w:p w14:paraId="4606F13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5.7最终响应文件的报价出现前后不一致的，按照本章第3.4条的规定修正。 </w:t>
      </w:r>
    </w:p>
    <w:p w14:paraId="6414AD6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5.8修正后的最终报价出现下列情形的，按无效响应处理：</w:t>
      </w:r>
    </w:p>
    <w:p w14:paraId="04B0CFC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（1）供应商不确认的（全流程电子化评标采取在线确认）；</w:t>
      </w:r>
    </w:p>
    <w:p w14:paraId="02BD7AB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（2）经供应商确认修正后的响应报价（包含首次报价、最后报价）超过所竞标分标规定的采购预算金额或者最高限价的（如本项目公布了最高限价）；</w:t>
      </w:r>
    </w:p>
    <w:p w14:paraId="28112CD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（3）经供应商确认修正后的响应报价（包含首次报价、最后报价）超过分项采购预算金额或者最高限价的（如本项目公布了最高限价）。</w:t>
      </w:r>
    </w:p>
    <w:p w14:paraId="447BD3FC">
      <w:pPr>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5.9</w:t>
      </w:r>
      <w:r>
        <w:rPr>
          <w:rFonts w:hint="eastAsia" w:ascii="仿宋" w:hAnsi="仿宋" w:eastAsia="仿宋" w:cs="仿宋"/>
          <w:b/>
          <w:bCs/>
          <w:color w:val="auto"/>
          <w:sz w:val="24"/>
          <w:szCs w:val="24"/>
          <w:highlight w:val="none"/>
        </w:rPr>
        <w:t>异常低价响应审查</w:t>
      </w:r>
    </w:p>
    <w:p w14:paraId="7CDBDAA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（1）磋商小组在评审中发现下列情形之一的，应当启动异常低价响应审查程序:</w:t>
      </w:r>
    </w:p>
    <w:p w14:paraId="612FDB9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①响应报价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全部通过符合性审查供应商响应报价平均值×50%；</w:t>
      </w:r>
    </w:p>
    <w:p w14:paraId="297A752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②响应报价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通过符合性审查的次低报价供应商响应报价×50%；</w:t>
      </w:r>
    </w:p>
    <w:p w14:paraId="31E0974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③响应报价</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采购项目最高限价×45%；</w:t>
      </w:r>
    </w:p>
    <w:p w14:paraId="2BBFA1D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④磋商小组基于专业判断，认为供应商报价过低，有可能影响产品</w:t>
      </w:r>
      <w:r>
        <w:rPr>
          <w:rFonts w:hint="eastAsia" w:ascii="仿宋" w:hAnsi="仿宋" w:eastAsia="仿宋" w:cs="仿宋"/>
          <w:color w:val="auto"/>
          <w:sz w:val="24"/>
          <w:szCs w:val="24"/>
          <w:highlight w:val="none"/>
          <w:lang w:val="en-US" w:eastAsia="zh-CN"/>
        </w:rPr>
        <w:t>或服务</w:t>
      </w:r>
      <w:r>
        <w:rPr>
          <w:rFonts w:hint="eastAsia" w:ascii="仿宋" w:hAnsi="仿宋" w:eastAsia="仿宋" w:cs="仿宋"/>
          <w:color w:val="auto"/>
          <w:sz w:val="24"/>
          <w:szCs w:val="24"/>
          <w:highlight w:val="none"/>
        </w:rPr>
        <w:t>质量或者不能诚信履约的其他情形。</w:t>
      </w:r>
    </w:p>
    <w:p w14:paraId="5FCBAFF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（2）磋商小组启动异常低价响应审查后，属于前述第①项至第④项情形的，应当要求相关供应商在</w:t>
      </w:r>
      <w:r>
        <w:rPr>
          <w:rFonts w:hint="eastAsia" w:ascii="仿宋" w:hAnsi="仿宋" w:eastAsia="仿宋" w:cs="仿宋"/>
          <w:color w:val="auto"/>
          <w:sz w:val="24"/>
          <w:szCs w:val="24"/>
          <w:highlight w:val="none"/>
          <w:lang w:val="en-US" w:eastAsia="zh-CN"/>
        </w:rPr>
        <w:t>广西政府采购云平台中</w:t>
      </w:r>
      <w:r>
        <w:rPr>
          <w:rFonts w:hint="eastAsia" w:ascii="仿宋" w:hAnsi="仿宋" w:eastAsia="仿宋" w:cs="仿宋"/>
          <w:color w:val="auto"/>
          <w:sz w:val="24"/>
          <w:szCs w:val="24"/>
          <w:highlight w:val="none"/>
        </w:rPr>
        <w:t>合理的时间内对响应价格作出解释，提供项目具体成本测算等与报价合理性相关的书面说明及必要的证明材料，包括但不限于原材料成本、人工成本、制造费用等，给予相关供应商的合理时间不少于30分钟。其中，属于第③项情形，供应商已随响应文件一并提交相关书面说明及必要的证明材料的，在评审现场可不再重复提交。</w:t>
      </w:r>
    </w:p>
    <w:p w14:paraId="3835939C">
      <w:pPr>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仿宋" w:hAnsi="仿宋" w:eastAsia="仿宋" w:cs="仿宋"/>
          <w:b/>
          <w:bCs/>
          <w:color w:val="auto"/>
          <w:sz w:val="24"/>
          <w:szCs w:val="24"/>
          <w:highlight w:val="none"/>
          <w:lang w:eastAsia="zh-CN"/>
        </w:rPr>
        <w:t>磋商小组将其作为无效响应处理。</w:t>
      </w:r>
    </w:p>
    <w:p w14:paraId="33A8F50D">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经供应商确认修正后的最后报价作为评审及签订合同的依据。</w:t>
      </w:r>
    </w:p>
    <w:p w14:paraId="7977BC9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供应商出现最后报价按无效响应处理或者响应文件按无效处理时，磋商小组应当告知有关供应商。</w:t>
      </w:r>
    </w:p>
    <w:p w14:paraId="5516B06A">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5.11最后报价结束后，磋商小组不得再与供应商进行任何形式的商谈。</w:t>
      </w:r>
    </w:p>
    <w:p w14:paraId="346FCA00">
      <w:pPr>
        <w:ind w:firstLine="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6.比较与评价</w:t>
      </w:r>
    </w:p>
    <w:p w14:paraId="142A117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6.1评审方法：综合评分法。</w:t>
      </w:r>
    </w:p>
    <w:p w14:paraId="397E2654">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6.2经磋商确定最终采购需求和提交最后报价的供应商后，由磋商小组采用综合评分法对提交最后报价的供应商的响应文件和最后报价进行综合评分。</w:t>
      </w:r>
    </w:p>
    <w:p w14:paraId="513BEC0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6.3评审时，磋商小组各成员应当独立对每个有效响应的文件进行评价、打分，然后汇总每个供应商每项评分因素的得分。</w:t>
      </w:r>
    </w:p>
    <w:p w14:paraId="0E2E2E9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3A3B99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（2）磋商小组按照磋商文件中规定的评审标准计算各供应商的报价得分。项目评审过程中，不得去掉最后报价中的最高报价和最低报价。</w:t>
      </w:r>
    </w:p>
    <w:p w14:paraId="0BC91F0E">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（3）各供应商的得分为磋商小组所有成员的有效评分的算术平均数。</w:t>
      </w:r>
    </w:p>
    <w:p w14:paraId="13BF5CF1">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6.4评审价为供应商的最后报价进行政策性扣除后的价格，评审价只是作为评审时使用。最终成交供应商的成交金额等于最后报价（如有修正，以确认修正后的最后报价为准）。</w:t>
      </w:r>
    </w:p>
    <w:p w14:paraId="22949F41">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6.5由磋商小组根据综合评分情况，按照评审得分由高到低顺序推荐3名以上成交候选供应商，并编写评</w:t>
      </w:r>
      <w:r>
        <w:rPr>
          <w:rFonts w:hint="eastAsia" w:ascii="仿宋" w:hAnsi="仿宋" w:eastAsia="仿宋" w:cs="仿宋"/>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10F48079">
      <w:pPr>
        <w:spacing w:line="360" w:lineRule="auto"/>
        <w:ind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4470E6D">
      <w:pPr>
        <w:spacing w:line="360" w:lineRule="auto"/>
        <w:ind w:firstLine="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7.评审复核</w:t>
      </w:r>
    </w:p>
    <w:p w14:paraId="6E6C0DA0">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7.1评审报告签署前，评审委员会要对评审结果进行复核，复核意见要体现在评审报告中。</w:t>
      </w:r>
    </w:p>
    <w:p w14:paraId="5C53D555">
      <w:pPr>
        <w:widowControl/>
        <w:spacing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B3DD8DE">
      <w:pPr>
        <w:spacing w:line="360" w:lineRule="auto"/>
        <w:ind w:firstLine="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8.评审标准</w:t>
      </w:r>
    </w:p>
    <w:p w14:paraId="227B119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8.1评审依据：磋商小组将以磋商响应文件为评审依据，对供应商的报价、技术、商务等方面内容按百分制打分。（计分方法按四舍五入取至百分位）</w:t>
      </w:r>
    </w:p>
    <w:p w14:paraId="7DC238F2">
      <w:pPr>
        <w:spacing w:line="360" w:lineRule="auto"/>
        <w:ind w:firstLine="480" w:firstLineChars="200"/>
        <w:rPr>
          <w:rFonts w:hint="eastAsia" w:ascii="仿宋" w:hAnsi="仿宋" w:eastAsia="仿宋" w:cs="仿宋"/>
          <w:b/>
          <w:bCs/>
          <w:color w:val="auto"/>
          <w:kern w:val="0"/>
          <w:sz w:val="24"/>
          <w:szCs w:val="24"/>
          <w:highlight w:val="none"/>
        </w:rPr>
      </w:pPr>
      <w:r>
        <w:rPr>
          <w:rFonts w:hint="eastAsia" w:ascii="仿宋" w:hAnsi="仿宋" w:eastAsia="仿宋" w:cs="仿宋"/>
          <w:bCs/>
          <w:color w:val="auto"/>
          <w:sz w:val="24"/>
          <w:szCs w:val="24"/>
          <w:highlight w:val="none"/>
        </w:rPr>
        <w:t>总得分=1+2+3</w:t>
      </w:r>
    </w:p>
    <w:p w14:paraId="134B8764">
      <w:pPr>
        <w:pStyle w:val="14"/>
        <w:spacing w:line="360" w:lineRule="exact"/>
        <w:ind w:firstLine="480" w:firstLineChars="200"/>
        <w:rPr>
          <w:rFonts w:hint="eastAsia" w:ascii="仿宋" w:hAnsi="仿宋" w:eastAsia="仿宋" w:cs="仿宋"/>
          <w:color w:val="auto"/>
          <w:kern w:val="2"/>
          <w:sz w:val="24"/>
          <w:szCs w:val="24"/>
          <w:highlight w:val="none"/>
        </w:r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081"/>
        <w:gridCol w:w="6901"/>
        <w:gridCol w:w="638"/>
      </w:tblGrid>
      <w:tr w14:paraId="43B3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4FE168D">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序号</w:t>
            </w:r>
          </w:p>
        </w:tc>
        <w:tc>
          <w:tcPr>
            <w:tcW w:w="1081" w:type="dxa"/>
            <w:tcBorders>
              <w:top w:val="single" w:color="auto" w:sz="4" w:space="0"/>
              <w:left w:val="single" w:color="auto" w:sz="4" w:space="0"/>
              <w:bottom w:val="single" w:color="auto" w:sz="4" w:space="0"/>
              <w:right w:val="single" w:color="auto" w:sz="4" w:space="0"/>
            </w:tcBorders>
            <w:vAlign w:val="center"/>
          </w:tcPr>
          <w:p w14:paraId="02B4032E">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评审因素</w:t>
            </w:r>
          </w:p>
        </w:tc>
        <w:tc>
          <w:tcPr>
            <w:tcW w:w="6901" w:type="dxa"/>
            <w:tcBorders>
              <w:top w:val="single" w:color="auto" w:sz="4" w:space="0"/>
              <w:left w:val="single" w:color="auto" w:sz="4" w:space="0"/>
              <w:bottom w:val="single" w:color="auto" w:sz="4" w:space="0"/>
              <w:right w:val="single" w:color="auto" w:sz="4" w:space="0"/>
            </w:tcBorders>
            <w:vAlign w:val="center"/>
          </w:tcPr>
          <w:p w14:paraId="4EEABB06">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评审因素具体内容</w:t>
            </w:r>
          </w:p>
        </w:tc>
        <w:tc>
          <w:tcPr>
            <w:tcW w:w="638" w:type="dxa"/>
            <w:tcBorders>
              <w:top w:val="single" w:color="auto" w:sz="4" w:space="0"/>
              <w:left w:val="single" w:color="auto" w:sz="4" w:space="0"/>
              <w:bottom w:val="single" w:color="auto" w:sz="4" w:space="0"/>
              <w:right w:val="single" w:color="auto" w:sz="4" w:space="0"/>
            </w:tcBorders>
            <w:vAlign w:val="center"/>
          </w:tcPr>
          <w:p w14:paraId="1E15C1AE">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分值</w:t>
            </w:r>
          </w:p>
        </w:tc>
      </w:tr>
      <w:tr w14:paraId="4F3E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ABC1FDF">
            <w:pPr>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081" w:type="dxa"/>
            <w:tcBorders>
              <w:top w:val="single" w:color="auto" w:sz="4" w:space="0"/>
              <w:left w:val="single" w:color="auto" w:sz="4" w:space="0"/>
              <w:bottom w:val="single" w:color="auto" w:sz="4" w:space="0"/>
              <w:right w:val="single" w:color="auto" w:sz="4" w:space="0"/>
            </w:tcBorders>
            <w:vAlign w:val="center"/>
          </w:tcPr>
          <w:p w14:paraId="4E1F8D9F">
            <w:pPr>
              <w:jc w:val="center"/>
              <w:rPr>
                <w:rFonts w:hint="eastAsia" w:ascii="仿宋" w:hAnsi="仿宋" w:eastAsia="仿宋" w:cs="仿宋"/>
                <w:color w:val="auto"/>
                <w:highlight w:val="none"/>
              </w:rPr>
            </w:pPr>
            <w:r>
              <w:rPr>
                <w:rFonts w:hint="eastAsia" w:ascii="仿宋" w:hAnsi="仿宋" w:eastAsia="仿宋" w:cs="仿宋"/>
                <w:color w:val="auto"/>
                <w:highlight w:val="none"/>
              </w:rPr>
              <w:t>价格分</w:t>
            </w:r>
          </w:p>
        </w:tc>
        <w:tc>
          <w:tcPr>
            <w:tcW w:w="6901" w:type="dxa"/>
            <w:tcBorders>
              <w:top w:val="single" w:color="auto" w:sz="4" w:space="0"/>
              <w:left w:val="single" w:color="auto" w:sz="4" w:space="0"/>
              <w:bottom w:val="single" w:color="auto" w:sz="4" w:space="0"/>
              <w:right w:val="single" w:color="auto" w:sz="4" w:space="0"/>
            </w:tcBorders>
          </w:tcPr>
          <w:p w14:paraId="2B88DDE9">
            <w:pPr>
              <w:rPr>
                <w:rFonts w:hint="eastAsia" w:ascii="仿宋" w:hAnsi="仿宋" w:eastAsia="仿宋" w:cs="仿宋"/>
                <w:bCs/>
                <w:color w:val="auto"/>
                <w:highlight w:val="none"/>
              </w:rPr>
            </w:pPr>
            <w:r>
              <w:rPr>
                <w:rFonts w:hint="eastAsia" w:ascii="仿宋" w:hAnsi="仿宋" w:eastAsia="仿宋" w:cs="仿宋"/>
                <w:bCs/>
                <w:color w:val="auto"/>
                <w:highlight w:val="none"/>
              </w:rPr>
              <w:t>1.</w:t>
            </w:r>
            <w:r>
              <w:rPr>
                <w:rFonts w:hint="eastAsia" w:ascii="仿宋" w:hAnsi="仿宋" w:eastAsia="仿宋" w:cs="仿宋"/>
                <w:color w:val="auto"/>
                <w:highlight w:val="none"/>
              </w:rPr>
              <w:t>本项目为专门面</w:t>
            </w:r>
            <w:r>
              <w:rPr>
                <w:rFonts w:hint="eastAsia" w:ascii="仿宋" w:hAnsi="仿宋" w:eastAsia="仿宋" w:cs="仿宋"/>
                <w:color w:val="auto"/>
                <w:highlight w:val="none"/>
              </w:rPr>
              <w:t>向</w:t>
            </w:r>
            <w:r>
              <w:rPr>
                <w:rFonts w:hint="eastAsia" w:ascii="仿宋" w:hAnsi="仿宋" w:eastAsia="仿宋" w:cs="仿宋"/>
                <w:color w:val="auto"/>
                <w:highlight w:val="none"/>
                <w:lang w:val="en-US" w:eastAsia="zh-CN"/>
              </w:rPr>
              <w:t>小微</w:t>
            </w:r>
            <w:r>
              <w:rPr>
                <w:rFonts w:hint="eastAsia" w:ascii="仿宋" w:hAnsi="仿宋" w:eastAsia="仿宋" w:cs="仿宋"/>
                <w:color w:val="auto"/>
                <w:highlight w:val="none"/>
              </w:rPr>
              <w:t>企业采购的项目，供应商的报价不再享受政策价格扣除，竞</w:t>
            </w:r>
            <w:r>
              <w:rPr>
                <w:rFonts w:hint="eastAsia" w:ascii="仿宋" w:hAnsi="仿宋" w:eastAsia="仿宋" w:cs="仿宋"/>
                <w:color w:val="auto"/>
                <w:highlight w:val="none"/>
              </w:rPr>
              <w:t>标报价=评审价</w:t>
            </w:r>
            <w:r>
              <w:rPr>
                <w:rFonts w:hint="eastAsia" w:ascii="仿宋" w:hAnsi="仿宋" w:eastAsia="仿宋" w:cs="仿宋"/>
                <w:bCs/>
                <w:color w:val="auto"/>
                <w:highlight w:val="none"/>
              </w:rPr>
              <w:t>。</w:t>
            </w:r>
          </w:p>
          <w:p w14:paraId="3CB6029F">
            <w:pPr>
              <w:rPr>
                <w:rFonts w:hint="eastAsia" w:ascii="仿宋" w:hAnsi="仿宋" w:eastAsia="仿宋" w:cs="仿宋"/>
                <w:bCs/>
                <w:color w:val="auto"/>
                <w:highlight w:val="none"/>
              </w:rPr>
            </w:pPr>
            <w:r>
              <w:rPr>
                <w:rFonts w:hint="eastAsia" w:ascii="仿宋" w:hAnsi="仿宋" w:eastAsia="仿宋" w:cs="仿宋"/>
                <w:bCs/>
                <w:color w:val="auto"/>
                <w:highlight w:val="none"/>
              </w:rPr>
              <w:t>2.满足采购文件要求且最低的为评审基准价，其价格分为满分。</w:t>
            </w:r>
          </w:p>
          <w:p w14:paraId="2D8F5279">
            <w:pPr>
              <w:rPr>
                <w:rFonts w:hint="eastAsia" w:ascii="仿宋" w:hAnsi="仿宋" w:eastAsia="仿宋" w:cs="仿宋"/>
                <w:bCs/>
                <w:color w:val="auto"/>
                <w:highlight w:val="none"/>
              </w:rPr>
            </w:pPr>
            <w:r>
              <w:rPr>
                <w:rFonts w:hint="eastAsia" w:ascii="仿宋" w:hAnsi="仿宋" w:eastAsia="仿宋" w:cs="仿宋"/>
                <w:bCs/>
                <w:color w:val="auto"/>
                <w:highlight w:val="none"/>
              </w:rPr>
              <w:t>3.价格分计算公式：价格分=评标基准价／最后报价×10分</w:t>
            </w:r>
          </w:p>
        </w:tc>
        <w:tc>
          <w:tcPr>
            <w:tcW w:w="638" w:type="dxa"/>
            <w:tcBorders>
              <w:top w:val="single" w:color="auto" w:sz="4" w:space="0"/>
              <w:left w:val="single" w:color="auto" w:sz="4" w:space="0"/>
              <w:bottom w:val="single" w:color="auto" w:sz="4" w:space="0"/>
              <w:right w:val="single" w:color="auto" w:sz="4" w:space="0"/>
            </w:tcBorders>
            <w:vAlign w:val="center"/>
          </w:tcPr>
          <w:p w14:paraId="6E5BB516">
            <w:pPr>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r>
      <w:tr w14:paraId="2608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CC83881">
            <w:pPr>
              <w:jc w:val="center"/>
              <w:rPr>
                <w:rFonts w:hint="eastAsia" w:ascii="仿宋" w:hAnsi="仿宋" w:eastAsia="仿宋" w:cs="仿宋"/>
                <w:b/>
                <w:color w:val="auto"/>
                <w:highlight w:val="none"/>
              </w:rPr>
            </w:pPr>
            <w:r>
              <w:rPr>
                <w:rFonts w:hint="eastAsia" w:ascii="仿宋" w:hAnsi="仿宋" w:eastAsia="仿宋" w:cs="仿宋"/>
                <w:b/>
                <w:bCs/>
                <w:color w:val="auto"/>
                <w:highlight w:val="none"/>
              </w:rPr>
              <w:t>2</w:t>
            </w:r>
          </w:p>
        </w:tc>
        <w:tc>
          <w:tcPr>
            <w:tcW w:w="1081" w:type="dxa"/>
            <w:tcBorders>
              <w:top w:val="single" w:color="auto" w:sz="4" w:space="0"/>
              <w:left w:val="single" w:color="auto" w:sz="4" w:space="0"/>
              <w:bottom w:val="single" w:color="auto" w:sz="4" w:space="0"/>
              <w:right w:val="single" w:color="auto" w:sz="4" w:space="0"/>
            </w:tcBorders>
            <w:vAlign w:val="center"/>
          </w:tcPr>
          <w:p w14:paraId="682C7B3C">
            <w:pPr>
              <w:jc w:val="center"/>
              <w:rPr>
                <w:rFonts w:hint="eastAsia" w:ascii="仿宋" w:hAnsi="仿宋" w:eastAsia="仿宋" w:cs="仿宋"/>
                <w:b/>
                <w:color w:val="auto"/>
                <w:highlight w:val="none"/>
              </w:rPr>
            </w:pPr>
            <w:r>
              <w:rPr>
                <w:rFonts w:hint="eastAsia" w:ascii="仿宋" w:hAnsi="仿宋" w:eastAsia="仿宋" w:cs="仿宋"/>
                <w:b/>
                <w:bCs/>
                <w:color w:val="auto"/>
                <w:highlight w:val="none"/>
              </w:rPr>
              <w:t>技术分</w:t>
            </w:r>
          </w:p>
        </w:tc>
        <w:tc>
          <w:tcPr>
            <w:tcW w:w="6901" w:type="dxa"/>
            <w:tcBorders>
              <w:top w:val="single" w:color="auto" w:sz="4" w:space="0"/>
              <w:left w:val="single" w:color="auto" w:sz="4" w:space="0"/>
              <w:bottom w:val="single" w:color="auto" w:sz="4" w:space="0"/>
              <w:right w:val="single" w:color="auto" w:sz="4" w:space="0"/>
            </w:tcBorders>
            <w:vAlign w:val="center"/>
          </w:tcPr>
          <w:p w14:paraId="0D80ACDA">
            <w:pPr>
              <w:jc w:val="center"/>
              <w:rPr>
                <w:rFonts w:hint="eastAsia" w:ascii="仿宋" w:hAnsi="仿宋" w:eastAsia="仿宋" w:cs="仿宋"/>
                <w:b/>
                <w:color w:val="auto"/>
                <w:highlight w:val="none"/>
              </w:rPr>
            </w:pPr>
            <w:r>
              <w:rPr>
                <w:rFonts w:hint="eastAsia" w:ascii="仿宋" w:hAnsi="仿宋" w:eastAsia="仿宋" w:cs="仿宋"/>
                <w:b/>
                <w:color w:val="auto"/>
                <w:highlight w:val="none"/>
              </w:rPr>
              <w:t>评审因素</w:t>
            </w:r>
          </w:p>
        </w:tc>
        <w:tc>
          <w:tcPr>
            <w:tcW w:w="638" w:type="dxa"/>
            <w:tcBorders>
              <w:top w:val="single" w:color="auto" w:sz="4" w:space="0"/>
              <w:left w:val="single" w:color="auto" w:sz="4" w:space="0"/>
              <w:bottom w:val="single" w:color="auto" w:sz="4" w:space="0"/>
              <w:right w:val="single" w:color="auto" w:sz="4" w:space="0"/>
            </w:tcBorders>
            <w:vAlign w:val="center"/>
          </w:tcPr>
          <w:p w14:paraId="1C73EAEF">
            <w:pPr>
              <w:jc w:val="center"/>
              <w:rPr>
                <w:rFonts w:hint="eastAsia" w:ascii="仿宋" w:hAnsi="仿宋" w:eastAsia="仿宋" w:cs="仿宋"/>
                <w:b/>
                <w:color w:val="auto"/>
                <w:highlight w:val="none"/>
              </w:rPr>
            </w:pPr>
            <w:r>
              <w:rPr>
                <w:rFonts w:hint="eastAsia" w:ascii="仿宋" w:hAnsi="仿宋" w:eastAsia="仿宋" w:cs="仿宋"/>
                <w:b/>
                <w:color w:val="auto"/>
                <w:highlight w:val="none"/>
              </w:rPr>
              <w:t>54</w:t>
            </w:r>
          </w:p>
        </w:tc>
      </w:tr>
      <w:tr w14:paraId="0BFE1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13FFC32">
            <w:pPr>
              <w:jc w:val="center"/>
              <w:rPr>
                <w:rFonts w:hint="eastAsia" w:ascii="仿宋" w:hAnsi="仿宋" w:eastAsia="仿宋" w:cs="仿宋"/>
                <w:bCs/>
                <w:color w:val="auto"/>
                <w:highlight w:val="none"/>
              </w:rPr>
            </w:pPr>
            <w:r>
              <w:rPr>
                <w:rFonts w:hint="eastAsia" w:ascii="仿宋" w:hAnsi="仿宋" w:eastAsia="仿宋" w:cs="仿宋"/>
                <w:color w:val="auto"/>
                <w:highlight w:val="none"/>
              </w:rPr>
              <w:t>2.1</w:t>
            </w:r>
          </w:p>
        </w:tc>
        <w:tc>
          <w:tcPr>
            <w:tcW w:w="1081" w:type="dxa"/>
            <w:tcBorders>
              <w:top w:val="single" w:color="auto" w:sz="4" w:space="0"/>
              <w:left w:val="single" w:color="auto" w:sz="4" w:space="0"/>
              <w:bottom w:val="single" w:color="auto" w:sz="4" w:space="0"/>
              <w:right w:val="single" w:color="auto" w:sz="4" w:space="0"/>
            </w:tcBorders>
            <w:vAlign w:val="center"/>
          </w:tcPr>
          <w:p w14:paraId="7EBADCF5">
            <w:pPr>
              <w:jc w:val="center"/>
              <w:rPr>
                <w:rFonts w:hint="eastAsia" w:ascii="仿宋" w:hAnsi="仿宋" w:eastAsia="仿宋" w:cs="仿宋"/>
                <w:color w:val="auto"/>
                <w:highlight w:val="none"/>
              </w:rPr>
            </w:pPr>
            <w:r>
              <w:rPr>
                <w:rFonts w:hint="eastAsia" w:ascii="仿宋" w:hAnsi="仿宋" w:eastAsia="仿宋" w:cs="仿宋"/>
                <w:bCs/>
                <w:color w:val="auto"/>
                <w:highlight w:val="none"/>
              </w:rPr>
              <w:t>抽检工作组织实施方式</w:t>
            </w:r>
          </w:p>
        </w:tc>
        <w:tc>
          <w:tcPr>
            <w:tcW w:w="6901" w:type="dxa"/>
            <w:tcBorders>
              <w:top w:val="single" w:color="auto" w:sz="4" w:space="0"/>
              <w:left w:val="single" w:color="auto" w:sz="4" w:space="0"/>
              <w:bottom w:val="single" w:color="auto" w:sz="4" w:space="0"/>
              <w:right w:val="single" w:color="auto" w:sz="4" w:space="0"/>
            </w:tcBorders>
            <w:vAlign w:val="center"/>
          </w:tcPr>
          <w:p w14:paraId="61BB9831">
            <w:pPr>
              <w:rPr>
                <w:rFonts w:hint="eastAsia" w:ascii="仿宋" w:hAnsi="仿宋" w:eastAsia="仿宋" w:cs="仿宋"/>
                <w:bCs/>
                <w:color w:val="auto"/>
                <w:highlight w:val="none"/>
              </w:rPr>
            </w:pPr>
            <w:r>
              <w:rPr>
                <w:rFonts w:hint="eastAsia" w:ascii="仿宋" w:hAnsi="仿宋" w:eastAsia="仿宋" w:cs="仿宋"/>
                <w:bCs/>
                <w:color w:val="auto"/>
                <w:highlight w:val="none"/>
              </w:rPr>
              <w:t>抽检工作组织实施方式包含但不限于以下内容：①抽检监测时间安排、②整体工作进度、③抽样人员安排。评审标准：各项方案内容不可重复，各项方案内容必须与食品抽检有关，各项方案内容须准确、完整，利于提升项目抽检工作效果，否则均不计入项数。</w:t>
            </w:r>
          </w:p>
          <w:p w14:paraId="74CA6CEF">
            <w:pPr>
              <w:rPr>
                <w:rFonts w:hint="eastAsia" w:ascii="仿宋" w:hAnsi="仿宋" w:eastAsia="仿宋" w:cs="仿宋"/>
                <w:bCs/>
                <w:color w:val="auto"/>
                <w:highlight w:val="none"/>
              </w:rPr>
            </w:pPr>
            <w:r>
              <w:rPr>
                <w:rFonts w:hint="eastAsia" w:ascii="仿宋" w:hAnsi="仿宋" w:eastAsia="仿宋" w:cs="仿宋"/>
                <w:bCs/>
                <w:color w:val="auto"/>
                <w:highlight w:val="none"/>
              </w:rPr>
              <w:t>一档（0 分）：未提供此内容或实施方式有缺项均不得分；</w:t>
            </w:r>
          </w:p>
          <w:p w14:paraId="14C20490">
            <w:pPr>
              <w:rPr>
                <w:rFonts w:hint="eastAsia" w:ascii="仿宋" w:hAnsi="仿宋" w:eastAsia="仿宋" w:cs="仿宋"/>
                <w:bCs/>
                <w:color w:val="auto"/>
                <w:highlight w:val="none"/>
              </w:rPr>
            </w:pPr>
            <w:r>
              <w:rPr>
                <w:rFonts w:hint="eastAsia" w:ascii="仿宋" w:hAnsi="仿宋" w:eastAsia="仿宋" w:cs="仿宋"/>
                <w:bCs/>
                <w:color w:val="auto"/>
                <w:highlight w:val="none"/>
              </w:rPr>
              <w:t>二档（4分）：实施方式满足3个基本项的内容要求，且另外提出至少1项符合项目组织实施意见或建议，且进行详细分析，利于提升项目组织实施效果的；</w:t>
            </w:r>
          </w:p>
          <w:p w14:paraId="7235C5FA">
            <w:pPr>
              <w:rPr>
                <w:rFonts w:hint="eastAsia" w:ascii="仿宋" w:hAnsi="仿宋" w:eastAsia="仿宋" w:cs="仿宋"/>
                <w:bCs/>
                <w:color w:val="auto"/>
                <w:highlight w:val="none"/>
              </w:rPr>
            </w:pPr>
            <w:r>
              <w:rPr>
                <w:rFonts w:hint="eastAsia" w:ascii="仿宋" w:hAnsi="仿宋" w:eastAsia="仿宋" w:cs="仿宋"/>
                <w:bCs/>
                <w:color w:val="auto"/>
                <w:highlight w:val="none"/>
              </w:rPr>
              <w:t>三档（8分）：实施方式满足3个基本项的内容要求，且另外提出至少2项符合项目组织实施意见或建议，且进行详细分析，利于提升项目组织实施效果的；</w:t>
            </w:r>
          </w:p>
          <w:p w14:paraId="13F8F478">
            <w:pPr>
              <w:rPr>
                <w:rFonts w:hint="eastAsia" w:ascii="仿宋" w:hAnsi="仿宋" w:eastAsia="仿宋" w:cs="仿宋"/>
                <w:color w:val="auto"/>
                <w:highlight w:val="none"/>
              </w:rPr>
            </w:pPr>
            <w:r>
              <w:rPr>
                <w:rFonts w:hint="eastAsia" w:ascii="仿宋" w:hAnsi="仿宋" w:eastAsia="仿宋" w:cs="仿宋"/>
                <w:bCs/>
                <w:color w:val="auto"/>
                <w:highlight w:val="none"/>
              </w:rPr>
              <w:t>四档（12分）：实施方式满足3个基本项的内容要求，且另外提出至少3项符合项目组织实施意见或建议，且进行详细分析，利于提升项目组织实施效果的。</w:t>
            </w:r>
          </w:p>
        </w:tc>
        <w:tc>
          <w:tcPr>
            <w:tcW w:w="638" w:type="dxa"/>
            <w:tcBorders>
              <w:top w:val="single" w:color="auto" w:sz="4" w:space="0"/>
              <w:left w:val="single" w:color="auto" w:sz="4" w:space="0"/>
              <w:bottom w:val="single" w:color="auto" w:sz="4" w:space="0"/>
              <w:right w:val="single" w:color="auto" w:sz="4" w:space="0"/>
            </w:tcBorders>
            <w:vAlign w:val="center"/>
          </w:tcPr>
          <w:p w14:paraId="50C761C1">
            <w:pPr>
              <w:jc w:val="center"/>
              <w:rPr>
                <w:rFonts w:hint="eastAsia" w:ascii="仿宋" w:hAnsi="仿宋" w:eastAsia="仿宋" w:cs="仿宋"/>
                <w:color w:val="auto"/>
                <w:highlight w:val="none"/>
              </w:rPr>
            </w:pPr>
            <w:r>
              <w:rPr>
                <w:rFonts w:hint="eastAsia" w:ascii="仿宋" w:hAnsi="仿宋" w:eastAsia="仿宋" w:cs="仿宋"/>
                <w:bCs/>
                <w:color w:val="auto"/>
                <w:highlight w:val="none"/>
              </w:rPr>
              <w:t>12分</w:t>
            </w:r>
          </w:p>
        </w:tc>
      </w:tr>
      <w:tr w14:paraId="5486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D002294">
            <w:pPr>
              <w:jc w:val="center"/>
              <w:rPr>
                <w:rFonts w:hint="eastAsia" w:ascii="仿宋" w:hAnsi="仿宋" w:eastAsia="仿宋" w:cs="仿宋"/>
                <w:color w:val="auto"/>
                <w:highlight w:val="none"/>
              </w:rPr>
            </w:pPr>
            <w:r>
              <w:rPr>
                <w:rFonts w:hint="eastAsia" w:ascii="仿宋" w:hAnsi="仿宋" w:eastAsia="仿宋" w:cs="仿宋"/>
                <w:color w:val="auto"/>
                <w:highlight w:val="none"/>
              </w:rPr>
              <w:t>2.2</w:t>
            </w:r>
          </w:p>
        </w:tc>
        <w:tc>
          <w:tcPr>
            <w:tcW w:w="1081" w:type="dxa"/>
            <w:tcBorders>
              <w:top w:val="single" w:color="auto" w:sz="4" w:space="0"/>
              <w:left w:val="single" w:color="auto" w:sz="4" w:space="0"/>
              <w:bottom w:val="single" w:color="auto" w:sz="4" w:space="0"/>
              <w:right w:val="single" w:color="auto" w:sz="4" w:space="0"/>
            </w:tcBorders>
            <w:vAlign w:val="center"/>
          </w:tcPr>
          <w:p w14:paraId="793B52B1">
            <w:pPr>
              <w:jc w:val="center"/>
              <w:rPr>
                <w:rFonts w:hint="eastAsia" w:ascii="仿宋" w:hAnsi="仿宋" w:eastAsia="仿宋" w:cs="仿宋"/>
                <w:color w:val="auto"/>
                <w:highlight w:val="none"/>
              </w:rPr>
            </w:pPr>
            <w:r>
              <w:rPr>
                <w:rFonts w:hint="eastAsia" w:ascii="仿宋" w:hAnsi="仿宋" w:eastAsia="仿宋" w:cs="仿宋"/>
                <w:bCs/>
                <w:color w:val="auto"/>
                <w:highlight w:val="none"/>
              </w:rPr>
              <w:t>抽样方案</w:t>
            </w:r>
          </w:p>
        </w:tc>
        <w:tc>
          <w:tcPr>
            <w:tcW w:w="6901" w:type="dxa"/>
            <w:tcBorders>
              <w:top w:val="single" w:color="auto" w:sz="4" w:space="0"/>
              <w:left w:val="single" w:color="auto" w:sz="4" w:space="0"/>
              <w:bottom w:val="single" w:color="auto" w:sz="4" w:space="0"/>
              <w:right w:val="single" w:color="auto" w:sz="4" w:space="0"/>
            </w:tcBorders>
            <w:vAlign w:val="center"/>
          </w:tcPr>
          <w:p w14:paraId="73E042B7">
            <w:pPr>
              <w:rPr>
                <w:rFonts w:hint="eastAsia" w:ascii="仿宋" w:hAnsi="仿宋" w:eastAsia="仿宋" w:cs="仿宋"/>
                <w:bCs/>
                <w:color w:val="auto"/>
                <w:highlight w:val="none"/>
              </w:rPr>
            </w:pPr>
            <w:r>
              <w:rPr>
                <w:rFonts w:hint="eastAsia" w:ascii="仿宋" w:hAnsi="仿宋" w:eastAsia="仿宋" w:cs="仿宋"/>
                <w:bCs/>
                <w:color w:val="auto"/>
                <w:highlight w:val="none"/>
              </w:rPr>
              <w:t>抽样方案包含但不限于以下内容：①抽样过程合法合规性保证、②抽样检验前准备工作、③抽样工作实施、④样品保存和运输方法。</w:t>
            </w:r>
          </w:p>
          <w:p w14:paraId="7D6C4E67">
            <w:pPr>
              <w:rPr>
                <w:rFonts w:hint="eastAsia" w:ascii="仿宋" w:hAnsi="仿宋" w:eastAsia="仿宋" w:cs="仿宋"/>
                <w:bCs/>
                <w:color w:val="auto"/>
                <w:highlight w:val="none"/>
                <w:lang w:eastAsia="zh-CN"/>
              </w:rPr>
            </w:pPr>
            <w:r>
              <w:rPr>
                <w:rFonts w:hint="eastAsia" w:ascii="仿宋" w:hAnsi="仿宋" w:eastAsia="仿宋" w:cs="仿宋"/>
                <w:bCs/>
                <w:color w:val="auto"/>
                <w:highlight w:val="none"/>
              </w:rPr>
              <w:t>评审标准：各项方案内容不可重复，各项方案内容必须与食品抽检有关，各项方案内容须准确、完整，</w:t>
            </w:r>
            <w:r>
              <w:rPr>
                <w:rFonts w:hint="eastAsia" w:ascii="仿宋" w:hAnsi="仿宋" w:eastAsia="仿宋" w:cs="仿宋"/>
                <w:bCs/>
                <w:color w:val="auto"/>
                <w:highlight w:val="none"/>
                <w:lang w:eastAsia="zh-CN"/>
              </w:rPr>
              <w:t>利于提升项目抽检工作效果，否则均不计入项数。</w:t>
            </w:r>
          </w:p>
          <w:p w14:paraId="3F08C339">
            <w:pPr>
              <w:rPr>
                <w:rFonts w:hint="eastAsia" w:ascii="仿宋" w:hAnsi="仿宋" w:eastAsia="仿宋" w:cs="仿宋"/>
                <w:bCs/>
                <w:color w:val="auto"/>
                <w:highlight w:val="none"/>
              </w:rPr>
            </w:pPr>
            <w:r>
              <w:rPr>
                <w:rFonts w:hint="eastAsia" w:ascii="仿宋" w:hAnsi="仿宋" w:eastAsia="仿宋" w:cs="仿宋"/>
                <w:bCs/>
                <w:color w:val="auto"/>
                <w:highlight w:val="none"/>
              </w:rPr>
              <w:t>一档（0分）：未提供此内容或方案有缺项均不得分；</w:t>
            </w:r>
          </w:p>
          <w:p w14:paraId="4E363AA5">
            <w:pPr>
              <w:rPr>
                <w:rFonts w:hint="eastAsia" w:ascii="仿宋" w:hAnsi="仿宋" w:eastAsia="仿宋" w:cs="仿宋"/>
                <w:bCs/>
                <w:color w:val="auto"/>
                <w:highlight w:val="none"/>
              </w:rPr>
            </w:pPr>
            <w:r>
              <w:rPr>
                <w:rFonts w:hint="eastAsia" w:ascii="仿宋" w:hAnsi="仿宋" w:eastAsia="仿宋" w:cs="仿宋"/>
                <w:bCs/>
                <w:color w:val="auto"/>
                <w:highlight w:val="none"/>
              </w:rPr>
              <w:t>二档（4分）：抽样工作方案满足4个基本项内容要求，且另外提出至少1项符合项目抽样工作的意见或建议，且进行详细分析，利于提升项目抽样工作效果的；</w:t>
            </w:r>
          </w:p>
          <w:p w14:paraId="1174BD16">
            <w:pPr>
              <w:rPr>
                <w:rFonts w:hint="eastAsia" w:ascii="仿宋" w:hAnsi="仿宋" w:eastAsia="仿宋" w:cs="仿宋"/>
                <w:bCs/>
                <w:color w:val="auto"/>
                <w:highlight w:val="none"/>
              </w:rPr>
            </w:pPr>
            <w:r>
              <w:rPr>
                <w:rFonts w:hint="eastAsia" w:ascii="仿宋" w:hAnsi="仿宋" w:eastAsia="仿宋" w:cs="仿宋"/>
                <w:bCs/>
                <w:color w:val="auto"/>
                <w:highlight w:val="none"/>
              </w:rPr>
              <w:t>三档（8分）：抽样工作方案满足4个基本项内容要求，且另外提出至少2项符合项目抽样工作的意见或建议，且进行详细分析，利于提升项目抽样工作效果的；</w:t>
            </w:r>
          </w:p>
          <w:p w14:paraId="4686B31C">
            <w:pPr>
              <w:rPr>
                <w:rFonts w:hint="eastAsia" w:ascii="仿宋" w:hAnsi="仿宋" w:eastAsia="仿宋" w:cs="仿宋"/>
                <w:color w:val="auto"/>
                <w:highlight w:val="none"/>
              </w:rPr>
            </w:pPr>
            <w:r>
              <w:rPr>
                <w:rFonts w:hint="eastAsia" w:ascii="仿宋" w:hAnsi="仿宋" w:eastAsia="仿宋" w:cs="仿宋"/>
                <w:bCs/>
                <w:color w:val="auto"/>
                <w:highlight w:val="none"/>
              </w:rPr>
              <w:t>四档（12分）：抽样工作方案满足4个基本项内容要求，且另外提出至少3项符合项目抽样工作的意见或建议，且进行详细分析，利于提升项目抽样工作效果的。</w:t>
            </w:r>
          </w:p>
        </w:tc>
        <w:tc>
          <w:tcPr>
            <w:tcW w:w="638" w:type="dxa"/>
            <w:tcBorders>
              <w:top w:val="single" w:color="auto" w:sz="4" w:space="0"/>
              <w:left w:val="single" w:color="auto" w:sz="4" w:space="0"/>
              <w:bottom w:val="single" w:color="auto" w:sz="4" w:space="0"/>
              <w:right w:val="single" w:color="auto" w:sz="4" w:space="0"/>
            </w:tcBorders>
            <w:vAlign w:val="center"/>
          </w:tcPr>
          <w:p w14:paraId="389202E7">
            <w:pPr>
              <w:jc w:val="center"/>
              <w:rPr>
                <w:rFonts w:hint="eastAsia" w:ascii="仿宋" w:hAnsi="仿宋" w:eastAsia="仿宋" w:cs="仿宋"/>
                <w:color w:val="auto"/>
                <w:highlight w:val="none"/>
              </w:rPr>
            </w:pPr>
            <w:r>
              <w:rPr>
                <w:rFonts w:hint="eastAsia" w:ascii="仿宋" w:hAnsi="仿宋" w:eastAsia="仿宋" w:cs="仿宋"/>
                <w:bCs/>
                <w:color w:val="auto"/>
                <w:highlight w:val="none"/>
              </w:rPr>
              <w:t>12分</w:t>
            </w:r>
          </w:p>
        </w:tc>
      </w:tr>
      <w:tr w14:paraId="4ED1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9A8C2BD">
            <w:pPr>
              <w:jc w:val="center"/>
              <w:rPr>
                <w:rFonts w:hint="eastAsia" w:ascii="仿宋" w:hAnsi="仿宋" w:eastAsia="仿宋" w:cs="仿宋"/>
                <w:color w:val="auto"/>
                <w:highlight w:val="none"/>
              </w:rPr>
            </w:pPr>
            <w:r>
              <w:rPr>
                <w:rFonts w:hint="eastAsia" w:ascii="仿宋" w:hAnsi="仿宋" w:eastAsia="仿宋" w:cs="仿宋"/>
                <w:color w:val="auto"/>
                <w:highlight w:val="none"/>
              </w:rPr>
              <w:t>2.3</w:t>
            </w:r>
          </w:p>
        </w:tc>
        <w:tc>
          <w:tcPr>
            <w:tcW w:w="1081" w:type="dxa"/>
            <w:tcBorders>
              <w:top w:val="single" w:color="auto" w:sz="4" w:space="0"/>
              <w:left w:val="single" w:color="auto" w:sz="4" w:space="0"/>
              <w:bottom w:val="single" w:color="auto" w:sz="4" w:space="0"/>
              <w:right w:val="single" w:color="auto" w:sz="4" w:space="0"/>
            </w:tcBorders>
            <w:vAlign w:val="center"/>
          </w:tcPr>
          <w:p w14:paraId="1A439711">
            <w:pPr>
              <w:jc w:val="center"/>
              <w:rPr>
                <w:rFonts w:hint="eastAsia" w:ascii="仿宋" w:hAnsi="仿宋" w:eastAsia="仿宋" w:cs="仿宋"/>
                <w:color w:val="auto"/>
                <w:highlight w:val="none"/>
              </w:rPr>
            </w:pPr>
            <w:r>
              <w:rPr>
                <w:rFonts w:hint="eastAsia" w:ascii="仿宋" w:hAnsi="仿宋" w:eastAsia="仿宋" w:cs="仿宋"/>
                <w:bCs/>
                <w:color w:val="auto"/>
                <w:highlight w:val="none"/>
              </w:rPr>
              <w:t>检测方案</w:t>
            </w:r>
          </w:p>
        </w:tc>
        <w:tc>
          <w:tcPr>
            <w:tcW w:w="6901" w:type="dxa"/>
            <w:tcBorders>
              <w:top w:val="single" w:color="auto" w:sz="4" w:space="0"/>
              <w:left w:val="single" w:color="auto" w:sz="4" w:space="0"/>
              <w:bottom w:val="single" w:color="auto" w:sz="4" w:space="0"/>
              <w:right w:val="single" w:color="auto" w:sz="4" w:space="0"/>
            </w:tcBorders>
            <w:vAlign w:val="center"/>
          </w:tcPr>
          <w:p w14:paraId="2E0728D0">
            <w:pPr>
              <w:rPr>
                <w:rFonts w:hint="eastAsia" w:ascii="仿宋" w:hAnsi="仿宋" w:eastAsia="仿宋" w:cs="仿宋"/>
                <w:bCs/>
                <w:color w:val="auto"/>
                <w:highlight w:val="none"/>
              </w:rPr>
            </w:pPr>
            <w:r>
              <w:rPr>
                <w:rFonts w:hint="eastAsia" w:ascii="仿宋" w:hAnsi="仿宋" w:eastAsia="仿宋" w:cs="仿宋"/>
                <w:bCs/>
                <w:color w:val="auto"/>
                <w:highlight w:val="none"/>
              </w:rPr>
              <w:t>检测方案包含但不限于以下内容：①检验项目、②检验依据、③检测方法、④数据处理与质量控制、⑤检验过程的质量控制。</w:t>
            </w:r>
          </w:p>
          <w:p w14:paraId="63B591E5">
            <w:pPr>
              <w:rPr>
                <w:rFonts w:hint="eastAsia" w:ascii="仿宋" w:hAnsi="仿宋" w:eastAsia="仿宋" w:cs="仿宋"/>
                <w:bCs/>
                <w:color w:val="auto"/>
                <w:highlight w:val="none"/>
              </w:rPr>
            </w:pPr>
            <w:r>
              <w:rPr>
                <w:rFonts w:hint="eastAsia" w:ascii="仿宋" w:hAnsi="仿宋" w:eastAsia="仿宋" w:cs="仿宋"/>
                <w:bCs/>
                <w:color w:val="auto"/>
                <w:highlight w:val="none"/>
              </w:rPr>
              <w:t>评审标准：各项方案内容不可重复，各项方案内容必须与食品抽检有关，各项方案内容须准确、完整，利于提升项目抽检工作效果，否则均不计入项数。</w:t>
            </w:r>
          </w:p>
          <w:p w14:paraId="47AAF255">
            <w:pPr>
              <w:rPr>
                <w:rFonts w:hint="eastAsia" w:ascii="仿宋" w:hAnsi="仿宋" w:eastAsia="仿宋" w:cs="仿宋"/>
                <w:bCs/>
                <w:color w:val="auto"/>
                <w:highlight w:val="none"/>
              </w:rPr>
            </w:pPr>
            <w:r>
              <w:rPr>
                <w:rFonts w:hint="eastAsia" w:ascii="仿宋" w:hAnsi="仿宋" w:eastAsia="仿宋" w:cs="仿宋"/>
                <w:bCs/>
                <w:color w:val="auto"/>
                <w:highlight w:val="none"/>
              </w:rPr>
              <w:t>一档（0分）：未提供此内容或方案有缺项均不得分；</w:t>
            </w:r>
          </w:p>
          <w:p w14:paraId="041F6F30">
            <w:pPr>
              <w:rPr>
                <w:rFonts w:hint="eastAsia" w:ascii="仿宋" w:hAnsi="仿宋" w:eastAsia="仿宋" w:cs="仿宋"/>
                <w:bCs/>
                <w:color w:val="auto"/>
                <w:highlight w:val="none"/>
              </w:rPr>
            </w:pPr>
            <w:r>
              <w:rPr>
                <w:rFonts w:hint="eastAsia" w:ascii="仿宋" w:hAnsi="仿宋" w:eastAsia="仿宋" w:cs="仿宋"/>
                <w:bCs/>
                <w:color w:val="auto"/>
                <w:highlight w:val="none"/>
              </w:rPr>
              <w:t>二档（4分）：检测工作方案满足5个基本项内容要求，且另外提出至少1项符合项目检测工作的意见或建议，且进行详细分析，利于提升项目检测工作效果的；</w:t>
            </w:r>
          </w:p>
          <w:p w14:paraId="44F942C7">
            <w:pPr>
              <w:rPr>
                <w:rFonts w:hint="eastAsia" w:ascii="仿宋" w:hAnsi="仿宋" w:eastAsia="仿宋" w:cs="仿宋"/>
                <w:bCs/>
                <w:color w:val="auto"/>
                <w:highlight w:val="none"/>
              </w:rPr>
            </w:pPr>
            <w:r>
              <w:rPr>
                <w:rFonts w:hint="eastAsia" w:ascii="仿宋" w:hAnsi="仿宋" w:eastAsia="仿宋" w:cs="仿宋"/>
                <w:bCs/>
                <w:color w:val="auto"/>
                <w:highlight w:val="none"/>
              </w:rPr>
              <w:t>三档（8分）：检测工作方案满足5个基本项内容要求，且另外提出至少2项符合项目检测工作的意见或建议，且进行详细分析，利于提升项目检测工作效果的；</w:t>
            </w:r>
          </w:p>
          <w:p w14:paraId="2983AAEE">
            <w:pPr>
              <w:rPr>
                <w:rFonts w:hint="eastAsia" w:ascii="仿宋" w:hAnsi="仿宋" w:eastAsia="仿宋" w:cs="仿宋"/>
                <w:color w:val="auto"/>
                <w:highlight w:val="none"/>
              </w:rPr>
            </w:pPr>
            <w:r>
              <w:rPr>
                <w:rFonts w:hint="eastAsia" w:ascii="仿宋" w:hAnsi="仿宋" w:eastAsia="仿宋" w:cs="仿宋"/>
                <w:bCs/>
                <w:color w:val="auto"/>
                <w:highlight w:val="none"/>
              </w:rPr>
              <w:t>四档（12分）：检测工作方案满足5个基本项内容要求，且另外提出至少3项符合项目检测工作的意见或建议，且进行详细分析，利于提升项目检测工作效果的。</w:t>
            </w:r>
          </w:p>
        </w:tc>
        <w:tc>
          <w:tcPr>
            <w:tcW w:w="638" w:type="dxa"/>
            <w:tcBorders>
              <w:top w:val="single" w:color="auto" w:sz="4" w:space="0"/>
              <w:left w:val="single" w:color="auto" w:sz="4" w:space="0"/>
              <w:bottom w:val="single" w:color="auto" w:sz="4" w:space="0"/>
              <w:right w:val="single" w:color="auto" w:sz="4" w:space="0"/>
            </w:tcBorders>
            <w:vAlign w:val="center"/>
          </w:tcPr>
          <w:p w14:paraId="3B412FBF">
            <w:pPr>
              <w:jc w:val="center"/>
              <w:rPr>
                <w:rFonts w:hint="eastAsia" w:ascii="仿宋" w:hAnsi="仿宋" w:eastAsia="仿宋" w:cs="仿宋"/>
                <w:color w:val="auto"/>
                <w:highlight w:val="none"/>
              </w:rPr>
            </w:pPr>
            <w:r>
              <w:rPr>
                <w:rFonts w:hint="eastAsia" w:ascii="仿宋" w:hAnsi="仿宋" w:eastAsia="仿宋" w:cs="仿宋"/>
                <w:bCs/>
                <w:color w:val="auto"/>
                <w:highlight w:val="none"/>
              </w:rPr>
              <w:t>12分</w:t>
            </w:r>
          </w:p>
        </w:tc>
      </w:tr>
      <w:tr w14:paraId="32C3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8A4173D">
            <w:pPr>
              <w:jc w:val="center"/>
              <w:rPr>
                <w:rFonts w:hint="eastAsia" w:ascii="仿宋" w:hAnsi="仿宋" w:eastAsia="仿宋" w:cs="仿宋"/>
                <w:color w:val="auto"/>
                <w:highlight w:val="none"/>
              </w:rPr>
            </w:pPr>
            <w:r>
              <w:rPr>
                <w:rFonts w:hint="eastAsia" w:ascii="仿宋" w:hAnsi="仿宋" w:eastAsia="仿宋" w:cs="仿宋"/>
                <w:color w:val="auto"/>
                <w:highlight w:val="none"/>
              </w:rPr>
              <w:t>2.4</w:t>
            </w:r>
          </w:p>
        </w:tc>
        <w:tc>
          <w:tcPr>
            <w:tcW w:w="1081" w:type="dxa"/>
            <w:tcBorders>
              <w:top w:val="single" w:color="auto" w:sz="4" w:space="0"/>
              <w:left w:val="single" w:color="auto" w:sz="4" w:space="0"/>
              <w:bottom w:val="single" w:color="auto" w:sz="4" w:space="0"/>
              <w:right w:val="single" w:color="auto" w:sz="4" w:space="0"/>
            </w:tcBorders>
            <w:vAlign w:val="center"/>
          </w:tcPr>
          <w:p w14:paraId="2A1C7613">
            <w:pPr>
              <w:jc w:val="center"/>
              <w:rPr>
                <w:rFonts w:hint="eastAsia" w:ascii="仿宋" w:hAnsi="仿宋" w:eastAsia="仿宋" w:cs="仿宋"/>
                <w:color w:val="auto"/>
                <w:highlight w:val="none"/>
              </w:rPr>
            </w:pPr>
            <w:r>
              <w:rPr>
                <w:rFonts w:hint="eastAsia" w:ascii="仿宋" w:hAnsi="仿宋" w:eastAsia="仿宋" w:cs="仿宋"/>
                <w:bCs/>
                <w:color w:val="auto"/>
                <w:highlight w:val="none"/>
              </w:rPr>
              <w:t>其他工作方案</w:t>
            </w:r>
          </w:p>
        </w:tc>
        <w:tc>
          <w:tcPr>
            <w:tcW w:w="6901" w:type="dxa"/>
            <w:tcBorders>
              <w:top w:val="single" w:color="auto" w:sz="4" w:space="0"/>
              <w:left w:val="single" w:color="auto" w:sz="4" w:space="0"/>
              <w:bottom w:val="single" w:color="auto" w:sz="4" w:space="0"/>
              <w:right w:val="single" w:color="auto" w:sz="4" w:space="0"/>
            </w:tcBorders>
            <w:vAlign w:val="center"/>
          </w:tcPr>
          <w:p w14:paraId="20EA747F">
            <w:pPr>
              <w:rPr>
                <w:rFonts w:hint="eastAsia" w:ascii="仿宋" w:hAnsi="仿宋" w:eastAsia="仿宋" w:cs="仿宋"/>
                <w:bCs/>
                <w:color w:val="auto"/>
                <w:highlight w:val="none"/>
              </w:rPr>
            </w:pPr>
            <w:r>
              <w:rPr>
                <w:rFonts w:hint="eastAsia" w:ascii="仿宋" w:hAnsi="仿宋" w:eastAsia="仿宋" w:cs="仿宋"/>
                <w:bCs/>
                <w:color w:val="auto"/>
                <w:highlight w:val="none"/>
              </w:rPr>
              <w:t>工作方案包含但不限于以下内容：①报告判定原则、②结果报送要求、③异议及后处理、④备份样品处置规范、⑤检验过程的质量控制体系及方法、⑥统计分析报告纲要、⑦工作纪律、⑧应急预案。</w:t>
            </w:r>
          </w:p>
          <w:p w14:paraId="5D83EB73">
            <w:pPr>
              <w:rPr>
                <w:rFonts w:hint="eastAsia" w:ascii="仿宋" w:hAnsi="仿宋" w:eastAsia="仿宋" w:cs="仿宋"/>
                <w:bCs/>
                <w:color w:val="auto"/>
                <w:highlight w:val="none"/>
              </w:rPr>
            </w:pPr>
            <w:r>
              <w:rPr>
                <w:rFonts w:hint="eastAsia" w:ascii="仿宋" w:hAnsi="仿宋" w:eastAsia="仿宋" w:cs="仿宋"/>
                <w:bCs/>
                <w:color w:val="auto"/>
                <w:highlight w:val="none"/>
              </w:rPr>
              <w:t>评审标准：各项方案内容不可重复，各项方案内容必须与食品抽检有关，各项方案内容须准确、完整，利于提升项目抽检工作效果，否则均不计入项数。</w:t>
            </w:r>
          </w:p>
          <w:p w14:paraId="28EC8746">
            <w:pPr>
              <w:rPr>
                <w:rFonts w:hint="eastAsia" w:ascii="仿宋" w:hAnsi="仿宋" w:eastAsia="仿宋" w:cs="仿宋"/>
                <w:bCs/>
                <w:color w:val="auto"/>
                <w:highlight w:val="none"/>
              </w:rPr>
            </w:pPr>
            <w:r>
              <w:rPr>
                <w:rFonts w:hint="eastAsia" w:ascii="仿宋" w:hAnsi="仿宋" w:eastAsia="仿宋" w:cs="仿宋"/>
                <w:bCs/>
                <w:color w:val="auto"/>
                <w:highlight w:val="none"/>
              </w:rPr>
              <w:t>一档（0 分）：未提供此内容或方案有缺项均不得分；</w:t>
            </w:r>
          </w:p>
          <w:p w14:paraId="150E62DF">
            <w:pPr>
              <w:rPr>
                <w:rFonts w:hint="eastAsia" w:ascii="仿宋" w:hAnsi="仿宋" w:eastAsia="仿宋" w:cs="仿宋"/>
                <w:bCs/>
                <w:color w:val="auto"/>
                <w:highlight w:val="none"/>
              </w:rPr>
            </w:pPr>
            <w:r>
              <w:rPr>
                <w:rFonts w:hint="eastAsia" w:ascii="仿宋" w:hAnsi="仿宋" w:eastAsia="仿宋" w:cs="仿宋"/>
                <w:bCs/>
                <w:color w:val="auto"/>
                <w:highlight w:val="none"/>
              </w:rPr>
              <w:t>二档（4分）：工作方案满足8个基本项内容要求，且另外提出至少1项符合项目检验及成果工作的意见或建议，且进行详细分析，利于提升项目检验及成果工作效果的；</w:t>
            </w:r>
          </w:p>
          <w:p w14:paraId="63F3C1B4">
            <w:pPr>
              <w:rPr>
                <w:rFonts w:hint="eastAsia" w:ascii="仿宋" w:hAnsi="仿宋" w:eastAsia="仿宋" w:cs="仿宋"/>
                <w:bCs/>
                <w:color w:val="auto"/>
                <w:highlight w:val="none"/>
              </w:rPr>
            </w:pPr>
            <w:r>
              <w:rPr>
                <w:rFonts w:hint="eastAsia" w:ascii="仿宋" w:hAnsi="仿宋" w:eastAsia="仿宋" w:cs="仿宋"/>
                <w:bCs/>
                <w:color w:val="auto"/>
                <w:highlight w:val="none"/>
              </w:rPr>
              <w:t>三档（8分）：工作方案满足8个基本项内容要求，且另外提出至少2项符合项目检验及成果工作的意见或建议，且进行详细分析，利于提升项目检验及成果工作效果的。</w:t>
            </w:r>
          </w:p>
          <w:p w14:paraId="195AF52D">
            <w:pPr>
              <w:rPr>
                <w:rFonts w:hint="eastAsia" w:ascii="仿宋" w:hAnsi="仿宋" w:eastAsia="仿宋" w:cs="仿宋"/>
                <w:color w:val="auto"/>
                <w:highlight w:val="none"/>
              </w:rPr>
            </w:pPr>
            <w:r>
              <w:rPr>
                <w:rFonts w:hint="eastAsia" w:ascii="仿宋" w:hAnsi="仿宋" w:eastAsia="仿宋" w:cs="仿宋"/>
                <w:bCs/>
                <w:color w:val="auto"/>
                <w:highlight w:val="none"/>
              </w:rPr>
              <w:t>四档（12分）：工作方案满足8个基本项内容要求，且另外提出至少3项符合项目检验及成果工作的意见或建议，且进行详细分析，利于提升项目检验及成果工作效果的。</w:t>
            </w:r>
          </w:p>
        </w:tc>
        <w:tc>
          <w:tcPr>
            <w:tcW w:w="638" w:type="dxa"/>
            <w:tcBorders>
              <w:top w:val="single" w:color="auto" w:sz="4" w:space="0"/>
              <w:left w:val="single" w:color="auto" w:sz="4" w:space="0"/>
              <w:bottom w:val="single" w:color="auto" w:sz="4" w:space="0"/>
              <w:right w:val="single" w:color="auto" w:sz="4" w:space="0"/>
            </w:tcBorders>
            <w:vAlign w:val="center"/>
          </w:tcPr>
          <w:p w14:paraId="517C9092">
            <w:pPr>
              <w:jc w:val="center"/>
              <w:rPr>
                <w:rFonts w:hint="eastAsia" w:ascii="仿宋" w:hAnsi="仿宋" w:eastAsia="仿宋" w:cs="仿宋"/>
                <w:color w:val="auto"/>
                <w:highlight w:val="none"/>
              </w:rPr>
            </w:pPr>
            <w:r>
              <w:rPr>
                <w:rFonts w:hint="eastAsia" w:ascii="仿宋" w:hAnsi="仿宋" w:eastAsia="仿宋" w:cs="仿宋"/>
                <w:bCs/>
                <w:color w:val="auto"/>
                <w:highlight w:val="none"/>
              </w:rPr>
              <w:t>12分</w:t>
            </w:r>
          </w:p>
        </w:tc>
      </w:tr>
      <w:tr w14:paraId="732F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EEFB222">
            <w:pPr>
              <w:jc w:val="center"/>
              <w:rPr>
                <w:rFonts w:hint="eastAsia" w:ascii="仿宋" w:hAnsi="仿宋" w:eastAsia="仿宋" w:cs="仿宋"/>
                <w:color w:val="auto"/>
                <w:highlight w:val="none"/>
              </w:rPr>
            </w:pPr>
            <w:r>
              <w:rPr>
                <w:rFonts w:hint="eastAsia" w:ascii="仿宋" w:hAnsi="仿宋" w:eastAsia="仿宋" w:cs="仿宋"/>
                <w:color w:val="auto"/>
                <w:highlight w:val="none"/>
              </w:rPr>
              <w:t>2.5</w:t>
            </w:r>
          </w:p>
        </w:tc>
        <w:tc>
          <w:tcPr>
            <w:tcW w:w="1081" w:type="dxa"/>
            <w:tcBorders>
              <w:top w:val="single" w:color="auto" w:sz="4" w:space="0"/>
              <w:left w:val="single" w:color="auto" w:sz="4" w:space="0"/>
              <w:bottom w:val="single" w:color="auto" w:sz="4" w:space="0"/>
              <w:right w:val="single" w:color="auto" w:sz="4" w:space="0"/>
            </w:tcBorders>
            <w:vAlign w:val="center"/>
          </w:tcPr>
          <w:p w14:paraId="4C91B238">
            <w:pPr>
              <w:jc w:val="center"/>
              <w:rPr>
                <w:rFonts w:hint="eastAsia" w:ascii="仿宋" w:hAnsi="仿宋" w:eastAsia="仿宋" w:cs="仿宋"/>
                <w:color w:val="auto"/>
                <w:highlight w:val="none"/>
              </w:rPr>
            </w:pPr>
            <w:r>
              <w:rPr>
                <w:rFonts w:hint="eastAsia" w:ascii="仿宋" w:hAnsi="仿宋" w:eastAsia="仿宋" w:cs="仿宋"/>
                <w:color w:val="auto"/>
                <w:highlight w:val="none"/>
              </w:rPr>
              <w:t>应急抽检能力</w:t>
            </w:r>
          </w:p>
        </w:tc>
        <w:tc>
          <w:tcPr>
            <w:tcW w:w="6901" w:type="dxa"/>
            <w:tcBorders>
              <w:top w:val="single" w:color="auto" w:sz="4" w:space="0"/>
              <w:left w:val="single" w:color="auto" w:sz="4" w:space="0"/>
              <w:bottom w:val="single" w:color="auto" w:sz="4" w:space="0"/>
              <w:right w:val="single" w:color="auto" w:sz="4" w:space="0"/>
            </w:tcBorders>
          </w:tcPr>
          <w:p w14:paraId="0C6EEF87">
            <w:pPr>
              <w:rPr>
                <w:rFonts w:hint="eastAsia" w:ascii="仿宋" w:hAnsi="仿宋" w:eastAsia="仿宋" w:cs="仿宋"/>
                <w:bCs/>
                <w:color w:val="auto"/>
                <w:highlight w:val="none"/>
              </w:rPr>
            </w:pPr>
            <w:r>
              <w:rPr>
                <w:rFonts w:hint="eastAsia" w:ascii="仿宋" w:hAnsi="仿宋" w:eastAsia="仿宋" w:cs="仿宋"/>
                <w:bCs/>
                <w:color w:val="auto"/>
                <w:highlight w:val="none"/>
              </w:rPr>
              <w:t>供应商有稳定的服务场所，能够随时响应采购人安排的临时性和应急性任务</w:t>
            </w:r>
            <w:r>
              <w:rPr>
                <w:rFonts w:hint="eastAsia" w:ascii="仿宋" w:hAnsi="仿宋" w:eastAsia="仿宋" w:cs="仿宋"/>
                <w:color w:val="auto"/>
                <w:highlight w:val="none"/>
              </w:rPr>
              <w:t>。</w:t>
            </w:r>
          </w:p>
          <w:p w14:paraId="5759160F">
            <w:pPr>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承诺在收到采购人应急抽检的通知时，半个小时内</w:t>
            </w:r>
            <w:r>
              <w:rPr>
                <w:rFonts w:hint="eastAsia" w:ascii="仿宋" w:hAnsi="仿宋" w:eastAsia="仿宋" w:cs="仿宋"/>
                <w:bCs/>
                <w:color w:val="auto"/>
                <w:highlight w:val="none"/>
              </w:rPr>
              <w:t>响应，</w:t>
            </w:r>
            <w:r>
              <w:rPr>
                <w:rFonts w:hint="eastAsia" w:ascii="仿宋" w:hAnsi="仿宋" w:eastAsia="仿宋" w:cs="仿宋"/>
                <w:color w:val="auto"/>
                <w:highlight w:val="none"/>
              </w:rPr>
              <w:t>抽样后4小时内（含）能快速完成样品运输并抵达实验室的得1分；抽样后2小时内（含）能快速完成样品运输并抵达实验室的得3分；抽样后1小时内（含）能快速完成样品运输并抵达实验室的得6分。</w:t>
            </w:r>
          </w:p>
          <w:p w14:paraId="48A30959">
            <w:pPr>
              <w:rPr>
                <w:rFonts w:hint="eastAsia" w:ascii="仿宋" w:hAnsi="仿宋" w:eastAsia="仿宋" w:cs="仿宋"/>
                <w:color w:val="auto"/>
                <w:highlight w:val="none"/>
              </w:rPr>
            </w:pPr>
            <w:r>
              <w:rPr>
                <w:rFonts w:hint="eastAsia" w:ascii="仿宋" w:hAnsi="仿宋" w:eastAsia="仿宋" w:cs="仿宋"/>
                <w:b/>
                <w:bCs/>
                <w:color w:val="auto"/>
                <w:highlight w:val="none"/>
                <w:lang w:val="en-US" w:eastAsia="zh-CN"/>
              </w:rPr>
              <w:t>注：响应文件中须</w:t>
            </w:r>
            <w:r>
              <w:rPr>
                <w:rFonts w:hint="eastAsia" w:ascii="仿宋" w:hAnsi="仿宋" w:eastAsia="仿宋" w:cs="仿宋"/>
                <w:b/>
                <w:bCs/>
                <w:color w:val="auto"/>
                <w:highlight w:val="none"/>
              </w:rPr>
              <w:t>提供</w:t>
            </w:r>
            <w:r>
              <w:rPr>
                <w:rFonts w:hint="eastAsia" w:ascii="仿宋" w:hAnsi="仿宋" w:eastAsia="仿宋" w:cs="仿宋"/>
                <w:b/>
                <w:bCs/>
                <w:color w:val="auto"/>
                <w:highlight w:val="none"/>
              </w:rPr>
              <w:t>书面承诺材料原件扫描件</w:t>
            </w:r>
            <w:r>
              <w:rPr>
                <w:rFonts w:hint="eastAsia" w:ascii="仿宋" w:hAnsi="仿宋" w:eastAsia="仿宋" w:cs="仿宋"/>
                <w:b/>
                <w:bCs/>
                <w:color w:val="auto"/>
                <w:highlight w:val="none"/>
                <w:lang w:val="en-US" w:eastAsia="zh-CN"/>
              </w:rPr>
              <w:t>并</w:t>
            </w:r>
            <w:r>
              <w:rPr>
                <w:rFonts w:hint="eastAsia" w:ascii="仿宋" w:hAnsi="仿宋" w:eastAsia="仿宋" w:cs="仿宋"/>
                <w:b/>
                <w:bCs/>
                <w:color w:val="auto"/>
                <w:highlight w:val="none"/>
              </w:rPr>
              <w:t>加盖</w:t>
            </w:r>
            <w:r>
              <w:rPr>
                <w:rFonts w:hint="eastAsia" w:ascii="仿宋" w:hAnsi="仿宋" w:eastAsia="仿宋" w:cs="仿宋"/>
                <w:b/>
                <w:bCs/>
                <w:color w:val="auto"/>
                <w:highlight w:val="none"/>
                <w:lang w:val="en-US" w:eastAsia="zh-CN"/>
              </w:rPr>
              <w:t>单位</w:t>
            </w:r>
            <w:r>
              <w:rPr>
                <w:rFonts w:hint="eastAsia" w:ascii="仿宋" w:hAnsi="仿宋" w:eastAsia="仿宋" w:cs="仿宋"/>
                <w:b/>
                <w:bCs/>
                <w:color w:val="auto"/>
                <w:highlight w:val="none"/>
              </w:rPr>
              <w:t>公章，否则不予计分。</w:t>
            </w:r>
          </w:p>
        </w:tc>
        <w:tc>
          <w:tcPr>
            <w:tcW w:w="638" w:type="dxa"/>
            <w:tcBorders>
              <w:top w:val="single" w:color="auto" w:sz="4" w:space="0"/>
              <w:left w:val="single" w:color="auto" w:sz="4" w:space="0"/>
              <w:bottom w:val="single" w:color="auto" w:sz="4" w:space="0"/>
              <w:right w:val="single" w:color="auto" w:sz="4" w:space="0"/>
            </w:tcBorders>
            <w:vAlign w:val="center"/>
          </w:tcPr>
          <w:p w14:paraId="31AA73F9">
            <w:pPr>
              <w:jc w:val="center"/>
              <w:rPr>
                <w:rFonts w:hint="eastAsia" w:ascii="仿宋" w:hAnsi="仿宋" w:eastAsia="仿宋" w:cs="仿宋"/>
                <w:color w:val="auto"/>
                <w:highlight w:val="none"/>
              </w:rPr>
            </w:pPr>
            <w:r>
              <w:rPr>
                <w:rFonts w:hint="eastAsia" w:ascii="仿宋" w:hAnsi="仿宋" w:eastAsia="仿宋" w:cs="仿宋"/>
                <w:bCs/>
                <w:color w:val="auto"/>
                <w:highlight w:val="none"/>
              </w:rPr>
              <w:t>6分</w:t>
            </w:r>
          </w:p>
        </w:tc>
      </w:tr>
      <w:tr w14:paraId="46888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0996A2C">
            <w:pPr>
              <w:jc w:val="center"/>
              <w:rPr>
                <w:rFonts w:hint="eastAsia" w:ascii="仿宋" w:hAnsi="仿宋" w:eastAsia="仿宋" w:cs="仿宋"/>
                <w:b/>
                <w:color w:val="auto"/>
                <w:highlight w:val="none"/>
              </w:rPr>
            </w:pPr>
            <w:r>
              <w:rPr>
                <w:rFonts w:hint="eastAsia" w:ascii="仿宋" w:hAnsi="仿宋" w:eastAsia="仿宋" w:cs="仿宋"/>
                <w:b/>
                <w:color w:val="auto"/>
                <w:highlight w:val="none"/>
              </w:rPr>
              <w:t>3</w:t>
            </w:r>
          </w:p>
        </w:tc>
        <w:tc>
          <w:tcPr>
            <w:tcW w:w="1081" w:type="dxa"/>
            <w:tcBorders>
              <w:top w:val="single" w:color="auto" w:sz="4" w:space="0"/>
              <w:left w:val="single" w:color="auto" w:sz="4" w:space="0"/>
              <w:bottom w:val="single" w:color="auto" w:sz="4" w:space="0"/>
              <w:right w:val="single" w:color="auto" w:sz="4" w:space="0"/>
            </w:tcBorders>
            <w:vAlign w:val="center"/>
          </w:tcPr>
          <w:p w14:paraId="688AE24A">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商务分</w:t>
            </w:r>
          </w:p>
        </w:tc>
        <w:tc>
          <w:tcPr>
            <w:tcW w:w="6901" w:type="dxa"/>
            <w:tcBorders>
              <w:top w:val="single" w:color="auto" w:sz="4" w:space="0"/>
              <w:left w:val="single" w:color="auto" w:sz="4" w:space="0"/>
              <w:bottom w:val="single" w:color="auto" w:sz="4" w:space="0"/>
              <w:right w:val="single" w:color="auto" w:sz="4" w:space="0"/>
            </w:tcBorders>
            <w:vAlign w:val="center"/>
          </w:tcPr>
          <w:p w14:paraId="33181596">
            <w:pPr>
              <w:jc w:val="center"/>
              <w:rPr>
                <w:rFonts w:hint="eastAsia" w:ascii="仿宋" w:hAnsi="仿宋" w:eastAsia="仿宋" w:cs="仿宋"/>
                <w:b/>
                <w:color w:val="auto"/>
                <w:highlight w:val="none"/>
              </w:rPr>
            </w:pPr>
            <w:r>
              <w:rPr>
                <w:rFonts w:hint="eastAsia" w:ascii="仿宋" w:hAnsi="仿宋" w:eastAsia="仿宋" w:cs="仿宋"/>
                <w:b/>
                <w:color w:val="auto"/>
                <w:highlight w:val="none"/>
              </w:rPr>
              <w:t>评审因素</w:t>
            </w:r>
          </w:p>
        </w:tc>
        <w:tc>
          <w:tcPr>
            <w:tcW w:w="638" w:type="dxa"/>
            <w:tcBorders>
              <w:top w:val="single" w:color="auto" w:sz="4" w:space="0"/>
              <w:left w:val="single" w:color="auto" w:sz="4" w:space="0"/>
              <w:bottom w:val="single" w:color="auto" w:sz="4" w:space="0"/>
              <w:right w:val="single" w:color="auto" w:sz="4" w:space="0"/>
            </w:tcBorders>
            <w:vAlign w:val="center"/>
          </w:tcPr>
          <w:p w14:paraId="3E00FA21">
            <w:pPr>
              <w:jc w:val="center"/>
              <w:rPr>
                <w:rFonts w:hint="eastAsia" w:ascii="仿宋" w:hAnsi="仿宋" w:eastAsia="仿宋" w:cs="仿宋"/>
                <w:b/>
                <w:color w:val="auto"/>
                <w:highlight w:val="none"/>
              </w:rPr>
            </w:pPr>
            <w:r>
              <w:rPr>
                <w:rFonts w:hint="eastAsia" w:ascii="仿宋" w:hAnsi="仿宋" w:eastAsia="仿宋" w:cs="仿宋"/>
                <w:b/>
                <w:color w:val="auto"/>
                <w:highlight w:val="none"/>
              </w:rPr>
              <w:t>36</w:t>
            </w:r>
          </w:p>
        </w:tc>
      </w:tr>
      <w:tr w14:paraId="22FC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EBA669C">
            <w:pPr>
              <w:jc w:val="center"/>
              <w:rPr>
                <w:rFonts w:hint="eastAsia" w:ascii="仿宋" w:hAnsi="仿宋" w:eastAsia="仿宋" w:cs="仿宋"/>
                <w:color w:val="auto"/>
                <w:highlight w:val="none"/>
              </w:rPr>
            </w:pPr>
            <w:r>
              <w:rPr>
                <w:rFonts w:hint="eastAsia" w:ascii="仿宋" w:hAnsi="仿宋" w:eastAsia="仿宋" w:cs="仿宋"/>
                <w:color w:val="auto"/>
                <w:highlight w:val="none"/>
              </w:rPr>
              <w:t>3.1</w:t>
            </w:r>
          </w:p>
        </w:tc>
        <w:tc>
          <w:tcPr>
            <w:tcW w:w="1081" w:type="dxa"/>
            <w:tcBorders>
              <w:top w:val="single" w:color="auto" w:sz="4" w:space="0"/>
              <w:left w:val="single" w:color="auto" w:sz="4" w:space="0"/>
              <w:bottom w:val="single" w:color="auto" w:sz="4" w:space="0"/>
              <w:right w:val="single" w:color="auto" w:sz="4" w:space="0"/>
            </w:tcBorders>
            <w:vAlign w:val="center"/>
          </w:tcPr>
          <w:p w14:paraId="4FFF7B3D">
            <w:pPr>
              <w:jc w:val="center"/>
              <w:rPr>
                <w:rFonts w:hint="eastAsia" w:ascii="仿宋" w:hAnsi="仿宋" w:eastAsia="仿宋" w:cs="仿宋"/>
                <w:color w:val="auto"/>
                <w:highlight w:val="none"/>
              </w:rPr>
            </w:pPr>
            <w:r>
              <w:rPr>
                <w:rFonts w:hint="eastAsia" w:ascii="仿宋" w:hAnsi="仿宋" w:eastAsia="仿宋" w:cs="仿宋"/>
                <w:color w:val="auto"/>
                <w:highlight w:val="none"/>
              </w:rPr>
              <w:t>抽样取证能力</w:t>
            </w:r>
          </w:p>
        </w:tc>
        <w:tc>
          <w:tcPr>
            <w:tcW w:w="6901" w:type="dxa"/>
            <w:tcBorders>
              <w:top w:val="single" w:color="auto" w:sz="4" w:space="0"/>
              <w:left w:val="single" w:color="auto" w:sz="4" w:space="0"/>
              <w:bottom w:val="single" w:color="auto" w:sz="4" w:space="0"/>
              <w:right w:val="single" w:color="auto" w:sz="4" w:space="0"/>
            </w:tcBorders>
            <w:vAlign w:val="center"/>
          </w:tcPr>
          <w:p w14:paraId="1727A3B6">
            <w:pPr>
              <w:rPr>
                <w:rFonts w:hint="eastAsia" w:ascii="仿宋" w:hAnsi="仿宋" w:eastAsia="仿宋" w:cs="仿宋"/>
                <w:bCs/>
                <w:color w:val="auto"/>
                <w:highlight w:val="none"/>
              </w:rPr>
            </w:pPr>
            <w:r>
              <w:rPr>
                <w:rFonts w:hint="eastAsia" w:ascii="仿宋" w:hAnsi="仿宋" w:eastAsia="仿宋" w:cs="仿宋"/>
                <w:bCs/>
                <w:color w:val="auto"/>
                <w:highlight w:val="none"/>
              </w:rPr>
              <w:t>按《食品安全抽样检验管理办法》配备可记录抽样全过程（相关的证件、抽样场所、贮存环境、样品信息、购样、取样、分样、封样、签字确认）的设备和系统：</w:t>
            </w:r>
          </w:p>
          <w:p w14:paraId="66C03AB5">
            <w:pPr>
              <w:rPr>
                <w:rFonts w:hint="eastAsia" w:ascii="仿宋" w:hAnsi="仿宋" w:eastAsia="仿宋" w:cs="仿宋"/>
                <w:bCs/>
                <w:color w:val="auto"/>
                <w:highlight w:val="none"/>
              </w:rPr>
            </w:pPr>
            <w:r>
              <w:rPr>
                <w:rFonts w:hint="eastAsia" w:ascii="仿宋" w:hAnsi="仿宋" w:eastAsia="仿宋" w:cs="仿宋"/>
                <w:bCs/>
                <w:color w:val="auto"/>
                <w:highlight w:val="none"/>
              </w:rPr>
              <w:t>一档（3分）：拟投入车载冰箱或样品冷藏箱（50L及以上）（4-7台）、视频记录仪（抽样过程视频记录仪能至少满足24小时的录像存储，单次使用续航8小时或以上）（4-7台）、冷藏冷冻库面积100平方米-200（不含）平方米的，得3分。</w:t>
            </w:r>
          </w:p>
          <w:p w14:paraId="7799176E">
            <w:pPr>
              <w:rPr>
                <w:rFonts w:hint="eastAsia" w:ascii="仿宋" w:hAnsi="仿宋" w:eastAsia="仿宋" w:cs="仿宋"/>
                <w:bCs/>
                <w:color w:val="auto"/>
                <w:highlight w:val="none"/>
              </w:rPr>
            </w:pPr>
            <w:r>
              <w:rPr>
                <w:rFonts w:hint="eastAsia" w:ascii="仿宋" w:hAnsi="仿宋" w:eastAsia="仿宋" w:cs="仿宋"/>
                <w:bCs/>
                <w:color w:val="auto"/>
                <w:highlight w:val="none"/>
              </w:rPr>
              <w:t>二档（6分）：拟投入车载冰箱或样品冷藏箱（50L及以上）（8台以上）、视频记录仪（抽样过程视频记录仪能至少满足24小时的录像存储，单次使用续航8小时或以上）（8台以上）、冷藏冷冻库面积200（含）平方米以上的，得6分。</w:t>
            </w:r>
          </w:p>
          <w:p w14:paraId="4724C375">
            <w:pPr>
              <w:rPr>
                <w:rFonts w:hint="eastAsia" w:ascii="仿宋" w:hAnsi="仿宋" w:eastAsia="仿宋" w:cs="仿宋"/>
                <w:b/>
                <w:color w:val="auto"/>
                <w:highlight w:val="none"/>
              </w:rPr>
            </w:pPr>
            <w:r>
              <w:rPr>
                <w:rFonts w:hint="eastAsia" w:ascii="仿宋" w:hAnsi="仿宋" w:eastAsia="仿宋" w:cs="仿宋"/>
                <w:b/>
                <w:color w:val="auto"/>
                <w:highlight w:val="none"/>
              </w:rPr>
              <w:t>注：①响应文件中须提供拟投入的视频记录仪、车载冰箱或样品冷藏箱的采购合同（须提供相关的发票）或租赁合同或其他证明材料（须能证明相关的设备信息及双方的信息）扫描件；</w:t>
            </w:r>
          </w:p>
          <w:p w14:paraId="686B39F1">
            <w:pPr>
              <w:rPr>
                <w:rFonts w:hint="eastAsia" w:ascii="仿宋" w:hAnsi="仿宋" w:eastAsia="仿宋" w:cs="仿宋"/>
                <w:b/>
                <w:color w:val="auto"/>
                <w:highlight w:val="none"/>
              </w:rPr>
            </w:pPr>
            <w:r>
              <w:rPr>
                <w:rFonts w:hint="eastAsia" w:ascii="仿宋" w:hAnsi="仿宋" w:eastAsia="仿宋" w:cs="仿宋"/>
                <w:b/>
                <w:color w:val="auto"/>
                <w:highlight w:val="none"/>
              </w:rPr>
              <w:t xml:space="preserve">②响应文件中须提供拟投入的冷冻冷藏库场地建造或租赁合同或自有房产的证明材料或其他证明材料（须能证明相关的场地信息及双方的信息），证明材料须附冷库面积的证明及图片等。 </w:t>
            </w:r>
          </w:p>
          <w:p w14:paraId="749AB59A">
            <w:pPr>
              <w:rPr>
                <w:rFonts w:hint="eastAsia" w:ascii="仿宋" w:hAnsi="仿宋" w:eastAsia="仿宋" w:cs="仿宋"/>
                <w:color w:val="auto"/>
                <w:highlight w:val="none"/>
              </w:rPr>
            </w:pPr>
            <w:r>
              <w:rPr>
                <w:rFonts w:hint="eastAsia" w:ascii="仿宋" w:hAnsi="仿宋" w:eastAsia="仿宋" w:cs="仿宋"/>
                <w:b/>
                <w:color w:val="auto"/>
                <w:highlight w:val="none"/>
              </w:rPr>
              <w:t>③以上所有证明材料须加盖供应商电子公章，不提供证明材料或证明材料不齐全或证明材料模糊不清导致无法判定的，不得分。</w:t>
            </w:r>
          </w:p>
        </w:tc>
        <w:tc>
          <w:tcPr>
            <w:tcW w:w="638" w:type="dxa"/>
            <w:tcBorders>
              <w:top w:val="single" w:color="auto" w:sz="4" w:space="0"/>
              <w:left w:val="single" w:color="auto" w:sz="4" w:space="0"/>
              <w:bottom w:val="single" w:color="auto" w:sz="4" w:space="0"/>
              <w:right w:val="single" w:color="auto" w:sz="4" w:space="0"/>
            </w:tcBorders>
            <w:vAlign w:val="center"/>
          </w:tcPr>
          <w:p w14:paraId="6E35DA17">
            <w:pPr>
              <w:jc w:val="center"/>
              <w:rPr>
                <w:rFonts w:hint="eastAsia" w:ascii="仿宋" w:hAnsi="仿宋" w:eastAsia="仿宋" w:cs="仿宋"/>
                <w:color w:val="auto"/>
                <w:highlight w:val="none"/>
              </w:rPr>
            </w:pPr>
            <w:r>
              <w:rPr>
                <w:rFonts w:hint="eastAsia" w:ascii="仿宋" w:hAnsi="仿宋" w:eastAsia="仿宋" w:cs="仿宋"/>
                <w:color w:val="auto"/>
                <w:highlight w:val="none"/>
              </w:rPr>
              <w:t>6分</w:t>
            </w:r>
          </w:p>
        </w:tc>
      </w:tr>
      <w:tr w14:paraId="4A50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4FFA2270">
            <w:pPr>
              <w:jc w:val="center"/>
              <w:rPr>
                <w:rFonts w:hint="eastAsia" w:ascii="仿宋" w:hAnsi="仿宋" w:eastAsia="仿宋" w:cs="仿宋"/>
                <w:color w:val="auto"/>
                <w:highlight w:val="none"/>
              </w:rPr>
            </w:pPr>
            <w:r>
              <w:rPr>
                <w:rFonts w:hint="eastAsia" w:ascii="仿宋" w:hAnsi="仿宋" w:eastAsia="仿宋" w:cs="仿宋"/>
                <w:color w:val="auto"/>
                <w:highlight w:val="none"/>
              </w:rPr>
              <w:t>3.2</w:t>
            </w:r>
          </w:p>
        </w:tc>
        <w:tc>
          <w:tcPr>
            <w:tcW w:w="1081" w:type="dxa"/>
            <w:tcBorders>
              <w:top w:val="single" w:color="auto" w:sz="4" w:space="0"/>
              <w:left w:val="single" w:color="auto" w:sz="4" w:space="0"/>
              <w:bottom w:val="single" w:color="auto" w:sz="4" w:space="0"/>
              <w:right w:val="single" w:color="auto" w:sz="4" w:space="0"/>
            </w:tcBorders>
            <w:vAlign w:val="center"/>
          </w:tcPr>
          <w:p w14:paraId="4A080C7C">
            <w:pPr>
              <w:jc w:val="center"/>
              <w:rPr>
                <w:rFonts w:hint="eastAsia" w:ascii="仿宋" w:hAnsi="仿宋" w:eastAsia="仿宋" w:cs="仿宋"/>
                <w:color w:val="auto"/>
                <w:highlight w:val="none"/>
              </w:rPr>
            </w:pPr>
            <w:r>
              <w:rPr>
                <w:rFonts w:hint="eastAsia" w:ascii="仿宋" w:hAnsi="仿宋" w:eastAsia="仿宋" w:cs="仿宋"/>
                <w:color w:val="auto"/>
                <w:highlight w:val="none"/>
              </w:rPr>
              <w:t>投入本项目的人员</w:t>
            </w:r>
          </w:p>
        </w:tc>
        <w:tc>
          <w:tcPr>
            <w:tcW w:w="6901" w:type="dxa"/>
            <w:tcBorders>
              <w:top w:val="single" w:color="auto" w:sz="4" w:space="0"/>
              <w:left w:val="single" w:color="auto" w:sz="4" w:space="0"/>
              <w:bottom w:val="single" w:color="auto" w:sz="4" w:space="0"/>
              <w:right w:val="single" w:color="auto" w:sz="4" w:space="0"/>
            </w:tcBorders>
          </w:tcPr>
          <w:p w14:paraId="31D3DD2B">
            <w:pPr>
              <w:rPr>
                <w:rFonts w:hint="eastAsia" w:ascii="仿宋" w:hAnsi="仿宋" w:eastAsia="仿宋" w:cs="仿宋"/>
                <w:color w:val="auto"/>
                <w:highlight w:val="none"/>
              </w:rPr>
            </w:pPr>
            <w:r>
              <w:rPr>
                <w:rFonts w:hint="eastAsia" w:ascii="仿宋" w:hAnsi="仿宋" w:eastAsia="仿宋" w:cs="仿宋"/>
                <w:b/>
                <w:bCs/>
                <w:color w:val="auto"/>
                <w:highlight w:val="none"/>
              </w:rPr>
              <w:t>（1）食</w:t>
            </w:r>
            <w:r>
              <w:rPr>
                <w:rFonts w:hint="eastAsia" w:ascii="仿宋" w:hAnsi="仿宋" w:eastAsia="仿宋" w:cs="仿宋"/>
                <w:b/>
                <w:color w:val="auto"/>
                <w:highlight w:val="none"/>
              </w:rPr>
              <w:t>品检验业务相关人员（满分3分）</w:t>
            </w:r>
          </w:p>
          <w:p w14:paraId="27D89895">
            <w:pPr>
              <w:rPr>
                <w:rFonts w:hint="eastAsia" w:ascii="仿宋" w:hAnsi="仿宋" w:eastAsia="仿宋" w:cs="仿宋"/>
                <w:color w:val="auto"/>
                <w:highlight w:val="none"/>
              </w:rPr>
            </w:pPr>
            <w:r>
              <w:rPr>
                <w:rFonts w:hint="eastAsia" w:ascii="仿宋" w:hAnsi="仿宋" w:eastAsia="仿宋" w:cs="仿宋"/>
                <w:color w:val="auto"/>
                <w:highlight w:val="none"/>
              </w:rPr>
              <w:t>一档（0分）拟投入本项目食品检验业务相关人员在20人以下不得分；</w:t>
            </w:r>
          </w:p>
          <w:p w14:paraId="3B625D6D">
            <w:pPr>
              <w:rPr>
                <w:rFonts w:hint="eastAsia" w:ascii="仿宋" w:hAnsi="仿宋" w:eastAsia="仿宋" w:cs="仿宋"/>
                <w:color w:val="auto"/>
                <w:highlight w:val="none"/>
              </w:rPr>
            </w:pPr>
            <w:r>
              <w:rPr>
                <w:rFonts w:hint="eastAsia" w:ascii="仿宋" w:hAnsi="仿宋" w:eastAsia="仿宋" w:cs="仿宋"/>
                <w:color w:val="auto"/>
                <w:highlight w:val="none"/>
              </w:rPr>
              <w:t>二档（1分）拟投入本项目食品检验业务相关人员20（含）-40（不含）人，得1分；</w:t>
            </w:r>
          </w:p>
          <w:p w14:paraId="47A6FB82">
            <w:pPr>
              <w:rPr>
                <w:rFonts w:hint="eastAsia" w:ascii="仿宋" w:hAnsi="仿宋" w:eastAsia="仿宋" w:cs="仿宋"/>
                <w:color w:val="auto"/>
                <w:highlight w:val="none"/>
              </w:rPr>
            </w:pPr>
            <w:r>
              <w:rPr>
                <w:rFonts w:hint="eastAsia" w:ascii="仿宋" w:hAnsi="仿宋" w:eastAsia="仿宋" w:cs="仿宋"/>
                <w:color w:val="auto"/>
                <w:highlight w:val="none"/>
              </w:rPr>
              <w:t>三档（3分）拟投入本项目食品检验业务相关人员40（含）人以上，得3分。</w:t>
            </w:r>
          </w:p>
          <w:p w14:paraId="6C0B8D0E">
            <w:pPr>
              <w:rPr>
                <w:rFonts w:hint="eastAsia" w:ascii="仿宋" w:hAnsi="仿宋" w:eastAsia="仿宋" w:cs="仿宋"/>
                <w:color w:val="auto"/>
                <w:highlight w:val="none"/>
              </w:rPr>
            </w:pPr>
            <w:r>
              <w:rPr>
                <w:rFonts w:hint="eastAsia" w:ascii="仿宋" w:hAnsi="仿宋" w:eastAsia="仿宋" w:cs="仿宋"/>
                <w:b/>
                <w:color w:val="auto"/>
                <w:highlight w:val="none"/>
              </w:rPr>
              <w:t>（响应文件中提供有效的上岗证或检验员证扫描件，如为退休返聘人员必须提供退休证扫描件，以上材料须加盖单位公章）</w:t>
            </w:r>
          </w:p>
          <w:p w14:paraId="122F4255">
            <w:pPr>
              <w:rPr>
                <w:rFonts w:hint="eastAsia" w:ascii="仿宋" w:hAnsi="仿宋" w:eastAsia="仿宋" w:cs="仿宋"/>
                <w:b/>
                <w:color w:val="auto"/>
                <w:highlight w:val="none"/>
              </w:rPr>
            </w:pPr>
            <w:r>
              <w:rPr>
                <w:rFonts w:hint="eastAsia" w:ascii="仿宋" w:hAnsi="仿宋" w:eastAsia="仿宋" w:cs="仿宋"/>
                <w:b/>
                <w:bCs/>
                <w:color w:val="auto"/>
                <w:highlight w:val="none"/>
              </w:rPr>
              <w:t>（2）承</w:t>
            </w:r>
            <w:r>
              <w:rPr>
                <w:rFonts w:hint="eastAsia" w:ascii="仿宋" w:hAnsi="仿宋" w:eastAsia="仿宋" w:cs="仿宋"/>
                <w:b/>
                <w:color w:val="auto"/>
                <w:highlight w:val="none"/>
              </w:rPr>
              <w:t>担食品抽检工作的独立抽样人员（满分3分）</w:t>
            </w:r>
          </w:p>
          <w:p w14:paraId="3A106E40">
            <w:pPr>
              <w:rPr>
                <w:rFonts w:hint="eastAsia" w:ascii="仿宋" w:hAnsi="仿宋" w:eastAsia="仿宋" w:cs="仿宋"/>
                <w:color w:val="auto"/>
                <w:highlight w:val="none"/>
              </w:rPr>
            </w:pPr>
            <w:r>
              <w:rPr>
                <w:rFonts w:hint="eastAsia" w:ascii="仿宋" w:hAnsi="仿宋" w:eastAsia="仿宋" w:cs="仿宋"/>
                <w:color w:val="auto"/>
                <w:highlight w:val="none"/>
              </w:rPr>
              <w:t>一档（0分）：拟投入承担食品抽检工作的独立抽样人员15人以下不得分；</w:t>
            </w:r>
          </w:p>
          <w:p w14:paraId="23627002">
            <w:pPr>
              <w:rPr>
                <w:rFonts w:hint="eastAsia" w:ascii="仿宋" w:hAnsi="仿宋" w:eastAsia="仿宋" w:cs="仿宋"/>
                <w:color w:val="auto"/>
                <w:highlight w:val="none"/>
              </w:rPr>
            </w:pPr>
            <w:r>
              <w:rPr>
                <w:rFonts w:hint="eastAsia" w:ascii="仿宋" w:hAnsi="仿宋" w:eastAsia="仿宋" w:cs="仿宋"/>
                <w:color w:val="auto"/>
                <w:highlight w:val="none"/>
              </w:rPr>
              <w:t>二档（1分）：拟投入承担食品抽检工作的独立抽样人员15（含）-20（不含）人的，得1分；</w:t>
            </w:r>
          </w:p>
          <w:p w14:paraId="126FBFA4">
            <w:pPr>
              <w:rPr>
                <w:rFonts w:hint="eastAsia" w:ascii="仿宋" w:hAnsi="仿宋" w:eastAsia="仿宋" w:cs="仿宋"/>
                <w:color w:val="auto"/>
                <w:highlight w:val="none"/>
              </w:rPr>
            </w:pPr>
            <w:r>
              <w:rPr>
                <w:rFonts w:hint="eastAsia" w:ascii="仿宋" w:hAnsi="仿宋" w:eastAsia="仿宋" w:cs="仿宋"/>
                <w:color w:val="auto"/>
                <w:highlight w:val="none"/>
              </w:rPr>
              <w:t>三档（3分）：拟投入承担食品抽检工作的独立抽样人员20（含）人以上的，得3分。</w:t>
            </w:r>
          </w:p>
          <w:p w14:paraId="6417B1EB">
            <w:pPr>
              <w:rPr>
                <w:rFonts w:hint="eastAsia" w:ascii="仿宋" w:hAnsi="仿宋" w:eastAsia="仿宋" w:cs="仿宋"/>
                <w:color w:val="auto"/>
                <w:highlight w:val="none"/>
              </w:rPr>
            </w:pPr>
            <w:r>
              <w:rPr>
                <w:rFonts w:hint="eastAsia" w:ascii="仿宋" w:hAnsi="仿宋" w:eastAsia="仿宋" w:cs="仿宋"/>
                <w:b/>
                <w:bCs/>
                <w:color w:val="auto"/>
                <w:highlight w:val="none"/>
              </w:rPr>
              <w:t>（响应文件中提供有效的抽样员证扫描件，如为退休返聘人员必须提供退休证扫描件，</w:t>
            </w:r>
            <w:r>
              <w:rPr>
                <w:rFonts w:hint="eastAsia" w:ascii="仿宋" w:hAnsi="仿宋" w:eastAsia="仿宋" w:cs="仿宋"/>
                <w:b/>
                <w:color w:val="auto"/>
                <w:highlight w:val="none"/>
              </w:rPr>
              <w:t>以上材料须加盖单位公章</w:t>
            </w:r>
            <w:r>
              <w:rPr>
                <w:rFonts w:hint="eastAsia" w:ascii="仿宋" w:hAnsi="仿宋" w:eastAsia="仿宋" w:cs="仿宋"/>
                <w:b/>
                <w:bCs/>
                <w:color w:val="auto"/>
                <w:highlight w:val="none"/>
              </w:rPr>
              <w:t>）</w:t>
            </w:r>
          </w:p>
          <w:p w14:paraId="7C117F2D">
            <w:pPr>
              <w:rPr>
                <w:rFonts w:hint="eastAsia" w:ascii="仿宋" w:hAnsi="仿宋" w:eastAsia="仿宋" w:cs="仿宋"/>
                <w:b/>
                <w:color w:val="auto"/>
                <w:highlight w:val="none"/>
              </w:rPr>
            </w:pPr>
            <w:r>
              <w:rPr>
                <w:rFonts w:hint="eastAsia" w:ascii="仿宋" w:hAnsi="仿宋" w:eastAsia="仿宋" w:cs="仿宋"/>
                <w:b/>
                <w:bCs/>
                <w:color w:val="auto"/>
                <w:highlight w:val="none"/>
              </w:rPr>
              <w:t>（3）工作满2年及以上检测人员占全部食品检测人员的比例</w:t>
            </w:r>
            <w:r>
              <w:rPr>
                <w:rFonts w:hint="eastAsia" w:ascii="仿宋" w:hAnsi="仿宋" w:eastAsia="仿宋" w:cs="仿宋"/>
                <w:b/>
                <w:color w:val="auto"/>
                <w:highlight w:val="none"/>
              </w:rPr>
              <w:t>（</w:t>
            </w:r>
            <w:r>
              <w:rPr>
                <w:rFonts w:hint="eastAsia" w:ascii="仿宋" w:hAnsi="仿宋" w:eastAsia="仿宋" w:cs="仿宋"/>
                <w:b/>
                <w:bCs/>
                <w:color w:val="auto"/>
                <w:highlight w:val="none"/>
              </w:rPr>
              <w:t>满分3分）</w:t>
            </w:r>
          </w:p>
          <w:p w14:paraId="4648D663">
            <w:pPr>
              <w:rPr>
                <w:rFonts w:hint="eastAsia" w:ascii="仿宋" w:hAnsi="仿宋" w:eastAsia="仿宋" w:cs="仿宋"/>
                <w:color w:val="auto"/>
                <w:highlight w:val="none"/>
              </w:rPr>
            </w:pPr>
            <w:r>
              <w:rPr>
                <w:rFonts w:hint="eastAsia" w:ascii="仿宋" w:hAnsi="仿宋" w:eastAsia="仿宋" w:cs="仿宋"/>
                <w:color w:val="auto"/>
                <w:highlight w:val="none"/>
              </w:rPr>
              <w:t>一档（0分）：拟投入人员中，工作满2年及以上检测人员占全部食品检测人员的比例80%以下的不得分；</w:t>
            </w:r>
          </w:p>
          <w:p w14:paraId="73556350">
            <w:pPr>
              <w:rPr>
                <w:rFonts w:hint="eastAsia" w:ascii="仿宋" w:hAnsi="仿宋" w:eastAsia="仿宋" w:cs="仿宋"/>
                <w:color w:val="auto"/>
                <w:highlight w:val="none"/>
              </w:rPr>
            </w:pPr>
            <w:r>
              <w:rPr>
                <w:rFonts w:hint="eastAsia" w:ascii="仿宋" w:hAnsi="仿宋" w:eastAsia="仿宋" w:cs="仿宋"/>
                <w:color w:val="auto"/>
                <w:highlight w:val="none"/>
              </w:rPr>
              <w:t>二档（1分）：拟投入人员中，工作满2年及以上检测人员占全部食品检测人员的比例80%(含)-90%（不含）的，得1分；</w:t>
            </w:r>
          </w:p>
          <w:p w14:paraId="2DCFDB9D">
            <w:pPr>
              <w:rPr>
                <w:rFonts w:hint="eastAsia" w:ascii="仿宋" w:hAnsi="仿宋" w:eastAsia="仿宋" w:cs="仿宋"/>
                <w:color w:val="auto"/>
                <w:highlight w:val="none"/>
              </w:rPr>
            </w:pPr>
            <w:r>
              <w:rPr>
                <w:rFonts w:hint="eastAsia" w:ascii="仿宋" w:hAnsi="仿宋" w:eastAsia="仿宋" w:cs="仿宋"/>
                <w:color w:val="auto"/>
                <w:highlight w:val="none"/>
              </w:rPr>
              <w:t>三档（3分）：拟投入人员中，工作满2年及以上检测人员占全部食品检测人员的比例90%（含）以上的，得3分。</w:t>
            </w:r>
          </w:p>
          <w:p w14:paraId="5597E200">
            <w:pPr>
              <w:rPr>
                <w:rFonts w:hint="eastAsia" w:ascii="仿宋" w:hAnsi="仿宋" w:eastAsia="仿宋" w:cs="仿宋"/>
                <w:b/>
                <w:color w:val="auto"/>
                <w:highlight w:val="none"/>
              </w:rPr>
            </w:pPr>
            <w:r>
              <w:rPr>
                <w:rFonts w:hint="eastAsia" w:ascii="仿宋" w:hAnsi="仿宋" w:eastAsia="仿宋" w:cs="仿宋"/>
                <w:b/>
                <w:bCs/>
                <w:color w:val="auto"/>
                <w:highlight w:val="none"/>
              </w:rPr>
              <w:t>（响应文件中提</w:t>
            </w:r>
            <w:r>
              <w:rPr>
                <w:rFonts w:hint="eastAsia" w:ascii="仿宋" w:hAnsi="仿宋" w:eastAsia="仿宋" w:cs="仿宋"/>
                <w:b/>
                <w:color w:val="auto"/>
                <w:highlight w:val="none"/>
              </w:rPr>
              <w:t>供有效的检验员证扫描件以及工作年限证明材料，如为退休返聘人员必须提供退休证扫描件，以上材料须加盖单位公章）</w:t>
            </w:r>
          </w:p>
        </w:tc>
        <w:tc>
          <w:tcPr>
            <w:tcW w:w="638" w:type="dxa"/>
            <w:tcBorders>
              <w:top w:val="single" w:color="auto" w:sz="4" w:space="0"/>
              <w:left w:val="single" w:color="auto" w:sz="4" w:space="0"/>
              <w:bottom w:val="single" w:color="auto" w:sz="4" w:space="0"/>
              <w:right w:val="single" w:color="auto" w:sz="4" w:space="0"/>
            </w:tcBorders>
            <w:vAlign w:val="center"/>
          </w:tcPr>
          <w:p w14:paraId="3EC5EE38">
            <w:pPr>
              <w:jc w:val="center"/>
              <w:rPr>
                <w:rFonts w:hint="eastAsia" w:ascii="仿宋" w:hAnsi="仿宋" w:eastAsia="仿宋" w:cs="仿宋"/>
                <w:color w:val="auto"/>
                <w:highlight w:val="none"/>
              </w:rPr>
            </w:pPr>
            <w:r>
              <w:rPr>
                <w:rFonts w:hint="eastAsia" w:ascii="仿宋" w:hAnsi="仿宋" w:eastAsia="仿宋" w:cs="仿宋"/>
                <w:color w:val="auto"/>
                <w:highlight w:val="none"/>
              </w:rPr>
              <w:t>9分</w:t>
            </w:r>
          </w:p>
        </w:tc>
      </w:tr>
      <w:tr w14:paraId="7332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160EB5E3">
            <w:pPr>
              <w:jc w:val="center"/>
              <w:rPr>
                <w:rFonts w:hint="eastAsia" w:ascii="仿宋" w:hAnsi="仿宋" w:eastAsia="仿宋" w:cs="仿宋"/>
                <w:color w:val="auto"/>
                <w:highlight w:val="none"/>
              </w:rPr>
            </w:pPr>
            <w:r>
              <w:rPr>
                <w:rFonts w:hint="eastAsia" w:ascii="仿宋" w:hAnsi="仿宋" w:eastAsia="仿宋" w:cs="仿宋"/>
                <w:color w:val="auto"/>
                <w:highlight w:val="none"/>
              </w:rPr>
              <w:t>3.3</w:t>
            </w:r>
          </w:p>
        </w:tc>
        <w:tc>
          <w:tcPr>
            <w:tcW w:w="1081" w:type="dxa"/>
            <w:tcBorders>
              <w:top w:val="single" w:color="auto" w:sz="4" w:space="0"/>
              <w:left w:val="single" w:color="auto" w:sz="4" w:space="0"/>
              <w:bottom w:val="single" w:color="auto" w:sz="4" w:space="0"/>
              <w:right w:val="single" w:color="auto" w:sz="4" w:space="0"/>
            </w:tcBorders>
            <w:vAlign w:val="center"/>
          </w:tcPr>
          <w:p w14:paraId="4D647797">
            <w:pPr>
              <w:jc w:val="center"/>
              <w:rPr>
                <w:rFonts w:hint="eastAsia" w:ascii="仿宋" w:hAnsi="仿宋" w:eastAsia="仿宋" w:cs="仿宋"/>
                <w:color w:val="auto"/>
                <w:highlight w:val="none"/>
              </w:rPr>
            </w:pPr>
            <w:r>
              <w:rPr>
                <w:rFonts w:hint="eastAsia" w:ascii="仿宋" w:hAnsi="仿宋" w:eastAsia="仿宋" w:cs="仿宋"/>
                <w:bCs/>
                <w:color w:val="auto"/>
                <w:highlight w:val="none"/>
              </w:rPr>
              <w:t>实验室内用于食品检验的大型检验仪器设备情况</w:t>
            </w:r>
          </w:p>
        </w:tc>
        <w:tc>
          <w:tcPr>
            <w:tcW w:w="6901" w:type="dxa"/>
            <w:tcBorders>
              <w:top w:val="single" w:color="auto" w:sz="4" w:space="0"/>
              <w:left w:val="single" w:color="auto" w:sz="4" w:space="0"/>
              <w:bottom w:val="single" w:color="auto" w:sz="4" w:space="0"/>
              <w:right w:val="single" w:color="auto" w:sz="4" w:space="0"/>
            </w:tcBorders>
          </w:tcPr>
          <w:p w14:paraId="224CC98D">
            <w:pPr>
              <w:rPr>
                <w:rFonts w:hint="eastAsia" w:ascii="仿宋" w:hAnsi="仿宋" w:eastAsia="仿宋" w:cs="仿宋"/>
                <w:bCs/>
                <w:color w:val="auto"/>
                <w:highlight w:val="none"/>
              </w:rPr>
            </w:pPr>
            <w:r>
              <w:rPr>
                <w:rFonts w:hint="eastAsia" w:ascii="仿宋" w:hAnsi="仿宋" w:eastAsia="仿宋" w:cs="仿宋"/>
                <w:bCs/>
                <w:color w:val="auto"/>
                <w:highlight w:val="none"/>
              </w:rPr>
              <w:t>供应商实验室拟投入的大型仪器设备有：①液相色谱仪、②气相色谱仪、③液相色谱-质谱联用仪、④气相色谱-质谱联用仪、⑤气相色谱三重四级杆质谱仪、⑥原子吸收仪、⑦原子荧光仪、⑧电感耦合等离子发射光谱仪、⑨电感耦合等离子体质谱仪、⑩氨基酸分析仪等仪器设备，每有1个类型的设备证明材料得0.6分，满分6分。</w:t>
            </w:r>
          </w:p>
          <w:p w14:paraId="76DCFD10">
            <w:pPr>
              <w:rPr>
                <w:rFonts w:hint="eastAsia" w:ascii="仿宋" w:hAnsi="仿宋" w:eastAsia="仿宋" w:cs="仿宋"/>
                <w:b/>
                <w:bCs/>
                <w:color w:val="auto"/>
                <w:highlight w:val="none"/>
              </w:rPr>
            </w:pPr>
            <w:r>
              <w:rPr>
                <w:rFonts w:hint="eastAsia" w:ascii="仿宋" w:hAnsi="仿宋" w:eastAsia="仿宋" w:cs="仿宋"/>
                <w:b/>
                <w:bCs/>
                <w:color w:val="auto"/>
                <w:highlight w:val="none"/>
              </w:rPr>
              <w:t>注：响应文件中需同时提供以下材料，并加盖供应商单位电子公章，不按照要求提供资料不得分。</w:t>
            </w:r>
          </w:p>
          <w:p w14:paraId="16E53CA9">
            <w:pPr>
              <w:rPr>
                <w:rFonts w:hint="eastAsia" w:ascii="仿宋" w:hAnsi="仿宋" w:eastAsia="仿宋" w:cs="仿宋"/>
                <w:bCs/>
                <w:color w:val="auto"/>
                <w:highlight w:val="none"/>
              </w:rPr>
            </w:pPr>
            <w:r>
              <w:rPr>
                <w:rFonts w:hint="eastAsia" w:ascii="仿宋" w:hAnsi="仿宋" w:eastAsia="仿宋" w:cs="仿宋"/>
                <w:bCs/>
                <w:color w:val="auto"/>
                <w:highlight w:val="none"/>
              </w:rPr>
              <w:t>①提供拟投入大型检验仪器设备一览表；（格式自拟）</w:t>
            </w:r>
          </w:p>
          <w:p w14:paraId="7354DDF5">
            <w:pPr>
              <w:rPr>
                <w:rFonts w:hint="eastAsia" w:ascii="仿宋" w:hAnsi="仿宋" w:eastAsia="仿宋" w:cs="仿宋"/>
                <w:color w:val="auto"/>
                <w:highlight w:val="none"/>
              </w:rPr>
            </w:pPr>
            <w:r>
              <w:rPr>
                <w:rFonts w:hint="eastAsia" w:ascii="仿宋" w:hAnsi="仿宋" w:eastAsia="仿宋" w:cs="仿宋"/>
                <w:bCs/>
                <w:color w:val="auto"/>
                <w:highlight w:val="none"/>
              </w:rPr>
              <w:t>②提供仪器购置发票原件扫描件或租赁合同等合法使用设备的证明材料扫描件。</w:t>
            </w:r>
          </w:p>
        </w:tc>
        <w:tc>
          <w:tcPr>
            <w:tcW w:w="638" w:type="dxa"/>
            <w:tcBorders>
              <w:top w:val="single" w:color="auto" w:sz="4" w:space="0"/>
              <w:left w:val="single" w:color="auto" w:sz="4" w:space="0"/>
              <w:bottom w:val="single" w:color="auto" w:sz="4" w:space="0"/>
              <w:right w:val="single" w:color="auto" w:sz="4" w:space="0"/>
            </w:tcBorders>
            <w:vAlign w:val="center"/>
          </w:tcPr>
          <w:p w14:paraId="19D3F38C">
            <w:pPr>
              <w:jc w:val="center"/>
              <w:rPr>
                <w:rFonts w:hint="eastAsia" w:ascii="仿宋" w:hAnsi="仿宋" w:eastAsia="仿宋" w:cs="仿宋"/>
                <w:color w:val="auto"/>
                <w:highlight w:val="none"/>
              </w:rPr>
            </w:pPr>
            <w:r>
              <w:rPr>
                <w:rFonts w:hint="eastAsia" w:ascii="仿宋" w:hAnsi="仿宋" w:eastAsia="仿宋" w:cs="仿宋"/>
                <w:bCs/>
                <w:color w:val="auto"/>
                <w:highlight w:val="none"/>
              </w:rPr>
              <w:t>6分</w:t>
            </w:r>
          </w:p>
        </w:tc>
      </w:tr>
      <w:tr w14:paraId="0761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584AFB6">
            <w:pPr>
              <w:jc w:val="center"/>
              <w:rPr>
                <w:rFonts w:hint="eastAsia" w:ascii="仿宋" w:hAnsi="仿宋" w:eastAsia="仿宋" w:cs="仿宋"/>
                <w:color w:val="auto"/>
                <w:highlight w:val="none"/>
              </w:rPr>
            </w:pPr>
            <w:r>
              <w:rPr>
                <w:rFonts w:hint="eastAsia" w:ascii="仿宋" w:hAnsi="仿宋" w:eastAsia="仿宋" w:cs="仿宋"/>
                <w:color w:val="auto"/>
                <w:highlight w:val="none"/>
              </w:rPr>
              <w:t>3.4</w:t>
            </w:r>
          </w:p>
        </w:tc>
        <w:tc>
          <w:tcPr>
            <w:tcW w:w="1081" w:type="dxa"/>
            <w:tcBorders>
              <w:top w:val="single" w:color="auto" w:sz="4" w:space="0"/>
              <w:left w:val="single" w:color="auto" w:sz="4" w:space="0"/>
              <w:bottom w:val="single" w:color="auto" w:sz="4" w:space="0"/>
              <w:right w:val="single" w:color="auto" w:sz="4" w:space="0"/>
            </w:tcBorders>
            <w:vAlign w:val="center"/>
          </w:tcPr>
          <w:p w14:paraId="4E55864C">
            <w:pPr>
              <w:jc w:val="center"/>
              <w:rPr>
                <w:rFonts w:hint="eastAsia" w:ascii="仿宋" w:hAnsi="仿宋" w:eastAsia="仿宋" w:cs="仿宋"/>
                <w:bCs/>
                <w:color w:val="auto"/>
                <w:highlight w:val="none"/>
              </w:rPr>
            </w:pPr>
            <w:r>
              <w:rPr>
                <w:rFonts w:hint="eastAsia" w:ascii="仿宋" w:hAnsi="仿宋" w:eastAsia="仿宋" w:cs="仿宋"/>
                <w:bCs/>
                <w:color w:val="auto"/>
                <w:highlight w:val="none"/>
              </w:rPr>
              <w:t>检验机构考核情况</w:t>
            </w:r>
          </w:p>
        </w:tc>
        <w:tc>
          <w:tcPr>
            <w:tcW w:w="6901" w:type="dxa"/>
            <w:tcBorders>
              <w:top w:val="single" w:color="auto" w:sz="4" w:space="0"/>
              <w:left w:val="single" w:color="auto" w:sz="4" w:space="0"/>
              <w:bottom w:val="single" w:color="auto" w:sz="4" w:space="0"/>
              <w:right w:val="single" w:color="auto" w:sz="4" w:space="0"/>
            </w:tcBorders>
          </w:tcPr>
          <w:p w14:paraId="7A820755">
            <w:pPr>
              <w:rPr>
                <w:rFonts w:hint="eastAsia" w:ascii="仿宋" w:hAnsi="仿宋" w:eastAsia="仿宋" w:cs="仿宋"/>
                <w:color w:val="auto"/>
                <w:highlight w:val="none"/>
              </w:rPr>
            </w:pPr>
            <w:r>
              <w:rPr>
                <w:rFonts w:hint="eastAsia" w:ascii="仿宋" w:hAnsi="仿宋" w:eastAsia="仿宋" w:cs="仿宋"/>
                <w:bCs/>
                <w:color w:val="auto"/>
                <w:highlight w:val="none"/>
                <w:lang w:val="zh-TW"/>
              </w:rPr>
              <w:t>投标人参加国家或省级市场监管局2025年食品安全承检机构考核，综合评价得分排名：在15名（不含）以后的不得分；</w:t>
            </w:r>
            <w:r>
              <w:rPr>
                <w:rFonts w:hint="eastAsia" w:ascii="仿宋" w:hAnsi="仿宋" w:eastAsia="仿宋" w:cs="仿宋"/>
                <w:bCs/>
                <w:color w:val="auto"/>
                <w:highlight w:val="none"/>
              </w:rPr>
              <w:t>9</w:t>
            </w:r>
            <w:r>
              <w:rPr>
                <w:rFonts w:hint="eastAsia" w:ascii="仿宋" w:hAnsi="仿宋" w:eastAsia="仿宋" w:cs="仿宋"/>
                <w:bCs/>
                <w:color w:val="auto"/>
                <w:highlight w:val="none"/>
                <w:lang w:val="zh-TW"/>
              </w:rPr>
              <w:t>-15名的得3分；前8名（含）的得</w:t>
            </w:r>
            <w:r>
              <w:rPr>
                <w:rFonts w:hint="eastAsia" w:ascii="仿宋" w:hAnsi="仿宋" w:eastAsia="仿宋" w:cs="仿宋"/>
                <w:bCs/>
                <w:color w:val="auto"/>
                <w:highlight w:val="none"/>
              </w:rPr>
              <w:t>7</w:t>
            </w:r>
            <w:r>
              <w:rPr>
                <w:rFonts w:hint="eastAsia" w:ascii="仿宋" w:hAnsi="仿宋" w:eastAsia="仿宋" w:cs="仿宋"/>
                <w:bCs/>
                <w:color w:val="auto"/>
                <w:highlight w:val="none"/>
                <w:lang w:val="zh-TW"/>
              </w:rPr>
              <w:t>分。</w:t>
            </w:r>
          </w:p>
          <w:p w14:paraId="1C923644">
            <w:pPr>
              <w:rPr>
                <w:rFonts w:hint="eastAsia" w:ascii="仿宋" w:hAnsi="仿宋" w:eastAsia="仿宋" w:cs="仿宋"/>
                <w:bCs/>
                <w:color w:val="auto"/>
                <w:highlight w:val="none"/>
              </w:rPr>
            </w:pPr>
            <w:r>
              <w:rPr>
                <w:rFonts w:hint="eastAsia" w:ascii="仿宋" w:hAnsi="仿宋" w:eastAsia="仿宋" w:cs="仿宋"/>
                <w:b/>
                <w:bCs/>
                <w:color w:val="auto"/>
                <w:highlight w:val="none"/>
              </w:rPr>
              <w:t>注：供应商须提供2025年考核排名证明材料 (加盖机构公章），否则不得分。</w:t>
            </w:r>
          </w:p>
        </w:tc>
        <w:tc>
          <w:tcPr>
            <w:tcW w:w="638" w:type="dxa"/>
            <w:tcBorders>
              <w:top w:val="single" w:color="auto" w:sz="4" w:space="0"/>
              <w:left w:val="single" w:color="auto" w:sz="4" w:space="0"/>
              <w:bottom w:val="single" w:color="auto" w:sz="4" w:space="0"/>
              <w:right w:val="single" w:color="auto" w:sz="4" w:space="0"/>
            </w:tcBorders>
            <w:vAlign w:val="center"/>
          </w:tcPr>
          <w:p w14:paraId="3038A014">
            <w:pPr>
              <w:jc w:val="center"/>
              <w:rPr>
                <w:rFonts w:hint="eastAsia" w:ascii="仿宋" w:hAnsi="仿宋" w:eastAsia="仿宋" w:cs="仿宋"/>
                <w:bCs/>
                <w:color w:val="auto"/>
                <w:highlight w:val="none"/>
              </w:rPr>
            </w:pPr>
            <w:r>
              <w:rPr>
                <w:rFonts w:hint="eastAsia" w:ascii="仿宋" w:hAnsi="仿宋" w:eastAsia="仿宋" w:cs="仿宋"/>
                <w:bCs/>
                <w:color w:val="auto"/>
                <w:highlight w:val="none"/>
              </w:rPr>
              <w:t>7分</w:t>
            </w:r>
          </w:p>
        </w:tc>
      </w:tr>
      <w:tr w14:paraId="312D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05FC35D">
            <w:pPr>
              <w:jc w:val="center"/>
              <w:rPr>
                <w:rFonts w:hint="eastAsia" w:ascii="仿宋" w:hAnsi="仿宋" w:eastAsia="仿宋" w:cs="仿宋"/>
                <w:color w:val="auto"/>
                <w:highlight w:val="none"/>
              </w:rPr>
            </w:pPr>
            <w:r>
              <w:rPr>
                <w:rFonts w:hint="eastAsia" w:ascii="仿宋" w:hAnsi="仿宋" w:eastAsia="仿宋" w:cs="仿宋"/>
                <w:color w:val="auto"/>
                <w:highlight w:val="none"/>
              </w:rPr>
              <w:t>3.5</w:t>
            </w:r>
          </w:p>
        </w:tc>
        <w:tc>
          <w:tcPr>
            <w:tcW w:w="1081" w:type="dxa"/>
            <w:tcBorders>
              <w:top w:val="single" w:color="auto" w:sz="4" w:space="0"/>
              <w:left w:val="single" w:color="auto" w:sz="4" w:space="0"/>
              <w:bottom w:val="single" w:color="auto" w:sz="4" w:space="0"/>
              <w:right w:val="single" w:color="auto" w:sz="4" w:space="0"/>
            </w:tcBorders>
            <w:vAlign w:val="center"/>
          </w:tcPr>
          <w:p w14:paraId="04D6B768">
            <w:pPr>
              <w:jc w:val="center"/>
              <w:rPr>
                <w:rFonts w:hint="eastAsia" w:ascii="仿宋" w:hAnsi="仿宋" w:eastAsia="仿宋" w:cs="仿宋"/>
                <w:bCs/>
                <w:color w:val="auto"/>
                <w:highlight w:val="none"/>
              </w:rPr>
            </w:pPr>
            <w:r>
              <w:rPr>
                <w:rFonts w:hint="eastAsia" w:ascii="仿宋" w:hAnsi="仿宋" w:eastAsia="仿宋" w:cs="仿宋"/>
                <w:bCs/>
                <w:color w:val="auto"/>
                <w:highlight w:val="none"/>
              </w:rPr>
              <w:t>业绩</w:t>
            </w:r>
          </w:p>
        </w:tc>
        <w:tc>
          <w:tcPr>
            <w:tcW w:w="6901" w:type="dxa"/>
            <w:tcBorders>
              <w:top w:val="single" w:color="auto" w:sz="4" w:space="0"/>
              <w:left w:val="single" w:color="auto" w:sz="4" w:space="0"/>
              <w:bottom w:val="single" w:color="auto" w:sz="4" w:space="0"/>
              <w:right w:val="single" w:color="auto" w:sz="4" w:space="0"/>
            </w:tcBorders>
          </w:tcPr>
          <w:p w14:paraId="3C46C47B">
            <w:pPr>
              <w:rPr>
                <w:rFonts w:hint="eastAsia" w:ascii="仿宋" w:hAnsi="仿宋" w:eastAsia="仿宋" w:cs="仿宋"/>
                <w:color w:val="auto"/>
                <w:highlight w:val="none"/>
              </w:rPr>
            </w:pPr>
            <w:r>
              <w:rPr>
                <w:rFonts w:hint="eastAsia" w:ascii="仿宋" w:hAnsi="仿宋" w:eastAsia="仿宋" w:cs="仿宋"/>
                <w:color w:val="auto"/>
                <w:highlight w:val="none"/>
              </w:rPr>
              <w:t>供应商2022年1月1日以来承担过同类项目的，每有一项得2分，满分 8分。</w:t>
            </w:r>
          </w:p>
          <w:p w14:paraId="01EC8944">
            <w:pPr>
              <w:rPr>
                <w:rFonts w:hint="eastAsia" w:ascii="仿宋" w:hAnsi="仿宋" w:eastAsia="仿宋" w:cs="仿宋"/>
                <w:color w:val="auto"/>
                <w:highlight w:val="none"/>
              </w:rPr>
            </w:pPr>
            <w:r>
              <w:rPr>
                <w:rFonts w:hint="eastAsia" w:ascii="仿宋" w:hAnsi="仿宋" w:eastAsia="仿宋" w:cs="仿宋"/>
                <w:color w:val="auto"/>
                <w:highlight w:val="none"/>
              </w:rPr>
              <w:t>注：业绩必须提供中标/成交通知书复印件或合同复印件的相关证明材料复印件加盖公章，否则不予认可。</w:t>
            </w:r>
          </w:p>
        </w:tc>
        <w:tc>
          <w:tcPr>
            <w:tcW w:w="638" w:type="dxa"/>
            <w:tcBorders>
              <w:top w:val="single" w:color="auto" w:sz="4" w:space="0"/>
              <w:left w:val="single" w:color="auto" w:sz="4" w:space="0"/>
              <w:bottom w:val="single" w:color="auto" w:sz="4" w:space="0"/>
              <w:right w:val="single" w:color="auto" w:sz="4" w:space="0"/>
            </w:tcBorders>
            <w:vAlign w:val="center"/>
          </w:tcPr>
          <w:p w14:paraId="6A5A9C5D">
            <w:pPr>
              <w:jc w:val="center"/>
              <w:rPr>
                <w:rFonts w:hint="eastAsia" w:ascii="仿宋" w:hAnsi="仿宋" w:eastAsia="仿宋" w:cs="仿宋"/>
                <w:bCs/>
                <w:color w:val="auto"/>
                <w:highlight w:val="none"/>
              </w:rPr>
            </w:pPr>
            <w:r>
              <w:rPr>
                <w:rFonts w:hint="eastAsia" w:ascii="仿宋" w:hAnsi="仿宋" w:eastAsia="仿宋" w:cs="仿宋"/>
                <w:bCs/>
                <w:color w:val="auto"/>
                <w:highlight w:val="none"/>
              </w:rPr>
              <w:t>8分</w:t>
            </w:r>
          </w:p>
        </w:tc>
      </w:tr>
      <w:tr w14:paraId="4C2B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293" w:type="dxa"/>
            <w:gridSpan w:val="4"/>
            <w:tcBorders>
              <w:top w:val="single" w:color="auto" w:sz="4" w:space="0"/>
              <w:left w:val="single" w:color="auto" w:sz="4" w:space="0"/>
              <w:bottom w:val="single" w:color="auto" w:sz="4" w:space="0"/>
              <w:right w:val="single" w:color="auto" w:sz="4" w:space="0"/>
            </w:tcBorders>
          </w:tcPr>
          <w:p w14:paraId="26815F20">
            <w:pPr>
              <w:rPr>
                <w:rFonts w:hint="eastAsia" w:ascii="仿宋" w:hAnsi="仿宋" w:eastAsia="仿宋" w:cs="仿宋"/>
                <w:color w:val="auto"/>
                <w:highlight w:val="none"/>
              </w:rPr>
            </w:pPr>
            <w:r>
              <w:rPr>
                <w:rFonts w:hint="eastAsia" w:ascii="仿宋" w:hAnsi="仿宋" w:eastAsia="仿宋" w:cs="仿宋"/>
                <w:bCs/>
                <w:color w:val="auto"/>
                <w:highlight w:val="none"/>
              </w:rPr>
              <w:t>总得分＝1＋2＋3</w:t>
            </w:r>
          </w:p>
        </w:tc>
      </w:tr>
    </w:tbl>
    <w:p w14:paraId="00542864">
      <w:pPr>
        <w:pStyle w:val="14"/>
        <w:spacing w:line="360" w:lineRule="exact"/>
        <w:ind w:firstLine="480" w:firstLineChars="200"/>
        <w:rPr>
          <w:rFonts w:hint="eastAsia" w:ascii="仿宋" w:hAnsi="仿宋" w:eastAsia="仿宋" w:cs="仿宋"/>
          <w:color w:val="auto"/>
          <w:kern w:val="2"/>
          <w:sz w:val="24"/>
          <w:szCs w:val="24"/>
          <w:highlight w:val="none"/>
        </w:rPr>
      </w:pPr>
    </w:p>
    <w:p w14:paraId="3098308A">
      <w:pPr>
        <w:pStyle w:val="14"/>
        <w:spacing w:line="360" w:lineRule="exact"/>
        <w:ind w:firstLine="480" w:firstLineChars="20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8.2商务技术评审因素为客观评分项的，应在评分项目或评分标准中予以标注为“客观分”。对供应商的客观评分项目，各评审专家评分应当一致。</w:t>
      </w:r>
    </w:p>
    <w:p w14:paraId="789CB292">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8.3.终止竞争性磋商采购活动</w:t>
      </w:r>
    </w:p>
    <w:p w14:paraId="185370E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31E7D57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br w:type="page"/>
      </w:r>
      <w:bookmarkStart w:id="68" w:name="_Toc80205935"/>
    </w:p>
    <w:p w14:paraId="133617A0">
      <w:pPr>
        <w:pStyle w:val="3"/>
        <w:spacing w:before="0" w:after="0" w:line="360" w:lineRule="auto"/>
        <w:ind w:firstLine="640" w:firstLineChars="200"/>
        <w:jc w:val="center"/>
        <w:rPr>
          <w:rFonts w:hint="eastAsia" w:ascii="仿宋" w:hAnsi="仿宋" w:eastAsia="仿宋" w:cs="仿宋"/>
          <w:b w:val="0"/>
          <w:color w:val="auto"/>
          <w:highlight w:val="none"/>
        </w:rPr>
      </w:pPr>
      <w:bookmarkStart w:id="69" w:name="_Toc10830"/>
      <w:bookmarkStart w:id="70" w:name="_Toc29269"/>
      <w:r>
        <w:rPr>
          <w:rFonts w:hint="eastAsia" w:ascii="仿宋" w:hAnsi="仿宋" w:eastAsia="仿宋" w:cs="仿宋"/>
          <w:b w:val="0"/>
          <w:color w:val="auto"/>
          <w:highlight w:val="none"/>
        </w:rPr>
        <w:t>第二节 评标报告</w:t>
      </w:r>
      <w:bookmarkEnd w:id="68"/>
      <w:bookmarkEnd w:id="69"/>
      <w:bookmarkEnd w:id="70"/>
    </w:p>
    <w:p w14:paraId="5F827537">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1.成交标准</w:t>
      </w:r>
    </w:p>
    <w:p w14:paraId="329DE45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由磋商小组根据综合评分情况，按照评审得分由高到低顺序推荐3名以上成交候选供应商</w:t>
      </w:r>
      <w:r>
        <w:rPr>
          <w:rFonts w:hint="eastAsia" w:ascii="仿宋" w:hAnsi="仿宋" w:eastAsia="仿宋" w:cs="仿宋"/>
          <w:color w:val="auto"/>
          <w:sz w:val="24"/>
          <w:szCs w:val="24"/>
          <w:highlight w:val="none"/>
        </w:rPr>
        <w:t>,并在线编写电子评审报告</w:t>
      </w:r>
      <w:r>
        <w:rPr>
          <w:rFonts w:hint="eastAsia" w:ascii="仿宋" w:hAnsi="仿宋" w:eastAsia="仿宋" w:cs="仿宋"/>
          <w:bCs/>
          <w:color w:val="auto"/>
          <w:sz w:val="24"/>
          <w:szCs w:val="24"/>
          <w:highlight w:val="none"/>
        </w:rPr>
        <w:t>。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009079E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2.评标争议事项处理</w:t>
      </w:r>
    </w:p>
    <w:p w14:paraId="4DCF4605">
      <w:pPr>
        <w:pStyle w:val="27"/>
        <w:spacing w:before="0"/>
        <w:ind w:firstLine="420"/>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E7A59F8">
      <w:pPr>
        <w:pStyle w:val="3"/>
        <w:spacing w:before="0" w:after="0" w:line="360" w:lineRule="auto"/>
        <w:ind w:firstLine="640" w:firstLineChars="200"/>
        <w:jc w:val="center"/>
        <w:rPr>
          <w:rFonts w:hint="eastAsia" w:ascii="仿宋" w:hAnsi="仿宋" w:eastAsia="仿宋" w:cs="仿宋"/>
          <w:b w:val="0"/>
          <w:color w:val="auto"/>
          <w:highlight w:val="none"/>
        </w:rPr>
      </w:pPr>
      <w:bookmarkStart w:id="71" w:name="_Toc80205936"/>
      <w:bookmarkStart w:id="72" w:name="_Toc11914"/>
      <w:bookmarkStart w:id="73" w:name="_Toc12309"/>
      <w:r>
        <w:rPr>
          <w:rFonts w:hint="eastAsia" w:ascii="仿宋" w:hAnsi="仿宋" w:eastAsia="仿宋" w:cs="仿宋"/>
          <w:b w:val="0"/>
          <w:color w:val="auto"/>
          <w:highlight w:val="none"/>
        </w:rPr>
        <w:t>第三节 评审过程的保密与录像</w:t>
      </w:r>
      <w:bookmarkEnd w:id="71"/>
      <w:bookmarkEnd w:id="72"/>
      <w:bookmarkEnd w:id="73"/>
    </w:p>
    <w:p w14:paraId="64C94A2A">
      <w:pPr>
        <w:spacing w:line="360" w:lineRule="auto"/>
        <w:ind w:firstLine="480" w:firstLineChars="200"/>
        <w:rPr>
          <w:rFonts w:hint="eastAsia" w:ascii="仿宋" w:hAnsi="仿宋" w:eastAsia="仿宋" w:cs="仿宋"/>
          <w:color w:val="auto"/>
          <w:sz w:val="24"/>
          <w:szCs w:val="32"/>
          <w:highlight w:val="none"/>
        </w:rPr>
      </w:pPr>
      <w:r>
        <w:rPr>
          <w:rFonts w:hint="eastAsia" w:ascii="仿宋" w:hAnsi="仿宋" w:eastAsia="仿宋" w:cs="仿宋"/>
          <w:color w:val="auto"/>
          <w:sz w:val="24"/>
          <w:szCs w:val="32"/>
          <w:highlight w:val="none"/>
        </w:rPr>
        <w:t>1.保密。</w:t>
      </w:r>
    </w:p>
    <w:p w14:paraId="3EF90E1C">
      <w:pPr>
        <w:widowControl/>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3460A773">
      <w:pPr>
        <w:widowControl/>
        <w:spacing w:line="360" w:lineRule="auto"/>
        <w:ind w:firstLine="480" w:firstLineChars="200"/>
        <w:rPr>
          <w:rFonts w:hint="eastAsia" w:ascii="仿宋" w:hAnsi="仿宋" w:eastAsia="仿宋" w:cs="仿宋"/>
          <w:color w:val="auto"/>
          <w:sz w:val="24"/>
          <w:szCs w:val="32"/>
          <w:highlight w:val="none"/>
        </w:rPr>
      </w:pPr>
      <w:r>
        <w:rPr>
          <w:rFonts w:hint="eastAsia" w:ascii="仿宋" w:hAnsi="仿宋" w:eastAsia="仿宋" w:cs="仿宋"/>
          <w:color w:val="auto"/>
          <w:sz w:val="24"/>
          <w:szCs w:val="32"/>
          <w:highlight w:val="none"/>
        </w:rPr>
        <w:t>2.录音录像。</w:t>
      </w:r>
    </w:p>
    <w:p w14:paraId="2955AB5B">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采购代理机构对评审工作现场及操作屏幕进行全过程录音录像，录音录像资料作为采购项目文件随其他文件一并存档。</w:t>
      </w:r>
    </w:p>
    <w:p w14:paraId="026BFAC4">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515AE63A">
      <w:pPr>
        <w:rPr>
          <w:rFonts w:hint="eastAsia" w:ascii="仿宋" w:hAnsi="仿宋" w:eastAsia="仿宋" w:cs="仿宋"/>
          <w:color w:val="auto"/>
          <w:highlight w:val="none"/>
        </w:rPr>
      </w:pPr>
    </w:p>
    <w:p w14:paraId="2F3B32B2">
      <w:pPr>
        <w:rPr>
          <w:rFonts w:hint="eastAsia" w:ascii="仿宋" w:hAnsi="仿宋" w:eastAsia="仿宋" w:cs="仿宋"/>
          <w:color w:val="auto"/>
          <w:highlight w:val="none"/>
        </w:rPr>
      </w:pPr>
    </w:p>
    <w:p w14:paraId="158771B4">
      <w:pPr>
        <w:rPr>
          <w:rFonts w:hint="eastAsia" w:ascii="仿宋" w:hAnsi="仿宋" w:eastAsia="仿宋" w:cs="仿宋"/>
          <w:color w:val="auto"/>
          <w:highlight w:val="none"/>
        </w:rPr>
      </w:pPr>
    </w:p>
    <w:p w14:paraId="7946677A">
      <w:pPr>
        <w:rPr>
          <w:rFonts w:hint="eastAsia" w:ascii="仿宋" w:hAnsi="仿宋" w:eastAsia="仿宋" w:cs="仿宋"/>
          <w:color w:val="auto"/>
          <w:highlight w:val="none"/>
        </w:rPr>
      </w:pPr>
    </w:p>
    <w:p w14:paraId="318D6FE8">
      <w:pPr>
        <w:rPr>
          <w:rFonts w:hint="eastAsia" w:ascii="仿宋" w:hAnsi="仿宋" w:eastAsia="仿宋" w:cs="仿宋"/>
          <w:color w:val="auto"/>
          <w:highlight w:val="none"/>
        </w:rPr>
      </w:pPr>
    </w:p>
    <w:p w14:paraId="3A7280EC">
      <w:pPr>
        <w:pStyle w:val="2"/>
        <w:jc w:val="center"/>
        <w:rPr>
          <w:rFonts w:hint="eastAsia" w:ascii="仿宋" w:hAnsi="仿宋" w:eastAsia="仿宋" w:cs="仿宋"/>
          <w:color w:val="auto"/>
          <w:highlight w:val="none"/>
        </w:rPr>
      </w:pPr>
      <w:bookmarkStart w:id="74" w:name="_Toc8508"/>
      <w:bookmarkStart w:id="75" w:name="_Toc1999"/>
      <w:r>
        <w:rPr>
          <w:rFonts w:hint="eastAsia" w:ascii="仿宋" w:hAnsi="仿宋" w:eastAsia="仿宋" w:cs="仿宋"/>
          <w:color w:val="auto"/>
          <w:highlight w:val="none"/>
        </w:rPr>
        <w:t>第五章 响应文件格式</w:t>
      </w:r>
      <w:bookmarkEnd w:id="74"/>
      <w:bookmarkEnd w:id="75"/>
    </w:p>
    <w:p w14:paraId="7D63C825">
      <w:pPr>
        <w:widowControl/>
        <w:spacing w:line="576" w:lineRule="auto"/>
        <w:jc w:val="left"/>
        <w:rPr>
          <w:rFonts w:hint="eastAsia" w:ascii="仿宋" w:hAnsi="仿宋" w:eastAsia="仿宋" w:cs="仿宋"/>
          <w:b/>
          <w:bCs/>
          <w:color w:val="auto"/>
          <w:kern w:val="44"/>
          <w:sz w:val="44"/>
          <w:szCs w:val="44"/>
          <w:highlight w:val="none"/>
        </w:rPr>
      </w:pPr>
    </w:p>
    <w:p w14:paraId="2E806BC6">
      <w:pPr>
        <w:widowControl/>
        <w:spacing w:line="576" w:lineRule="auto"/>
        <w:jc w:val="left"/>
        <w:rPr>
          <w:rFonts w:hint="eastAsia" w:ascii="仿宋" w:hAnsi="仿宋" w:eastAsia="仿宋" w:cs="仿宋"/>
          <w:b/>
          <w:bCs/>
          <w:color w:val="auto"/>
          <w:kern w:val="44"/>
          <w:sz w:val="44"/>
          <w:szCs w:val="44"/>
          <w:highlight w:val="none"/>
        </w:rPr>
        <w:sectPr>
          <w:pgSz w:w="11911" w:h="16838"/>
          <w:pgMar w:top="1417" w:right="1417" w:bottom="1417" w:left="1417" w:header="720" w:footer="720" w:gutter="0"/>
          <w:cols w:space="720" w:num="1"/>
          <w:docGrid w:linePitch="1" w:charSpace="0"/>
        </w:sectPr>
      </w:pPr>
    </w:p>
    <w:p w14:paraId="43098ADD">
      <w:pPr>
        <w:pStyle w:val="3"/>
        <w:jc w:val="center"/>
        <w:rPr>
          <w:rFonts w:hint="eastAsia" w:ascii="仿宋" w:hAnsi="仿宋" w:eastAsia="仿宋" w:cs="仿宋"/>
          <w:b w:val="0"/>
          <w:color w:val="auto"/>
          <w:highlight w:val="none"/>
        </w:rPr>
      </w:pPr>
      <w:bookmarkStart w:id="76" w:name="_Toc7270"/>
      <w:bookmarkStart w:id="77" w:name="_Toc80205938"/>
      <w:bookmarkStart w:id="78" w:name="_Toc32480"/>
      <w:r>
        <w:rPr>
          <w:rFonts w:hint="eastAsia" w:ascii="仿宋" w:hAnsi="仿宋" w:eastAsia="仿宋" w:cs="仿宋"/>
          <w:b w:val="0"/>
          <w:color w:val="auto"/>
          <w:highlight w:val="none"/>
        </w:rPr>
        <w:t>第一节 封面格式</w:t>
      </w:r>
      <w:bookmarkEnd w:id="76"/>
      <w:bookmarkEnd w:id="77"/>
      <w:bookmarkEnd w:id="78"/>
    </w:p>
    <w:p w14:paraId="04237279">
      <w:pPr>
        <w:snapToGrid w:val="0"/>
        <w:spacing w:before="120" w:beforeLines="50" w:after="50"/>
        <w:rPr>
          <w:rFonts w:hint="eastAsia" w:ascii="仿宋" w:hAnsi="仿宋" w:eastAsia="仿宋" w:cs="仿宋"/>
          <w:color w:val="auto"/>
          <w:sz w:val="24"/>
          <w:szCs w:val="20"/>
          <w:highlight w:val="none"/>
        </w:rPr>
      </w:pPr>
    </w:p>
    <w:p w14:paraId="53CCFE21">
      <w:pPr>
        <w:snapToGrid w:val="0"/>
        <w:spacing w:before="120" w:beforeLines="50" w:after="50"/>
        <w:jc w:val="center"/>
        <w:rPr>
          <w:rFonts w:hint="eastAsia" w:ascii="仿宋" w:hAnsi="仿宋" w:eastAsia="仿宋" w:cs="仿宋"/>
          <w:bCs/>
          <w:color w:val="auto"/>
          <w:sz w:val="24"/>
          <w:szCs w:val="20"/>
          <w:highlight w:val="none"/>
        </w:rPr>
      </w:pPr>
    </w:p>
    <w:p w14:paraId="536A2463">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响  应  文  件</w:t>
      </w:r>
    </w:p>
    <w:p w14:paraId="5CD3D136">
      <w:pPr>
        <w:snapToGrid w:val="0"/>
        <w:spacing w:before="120" w:beforeLines="50" w:after="50"/>
        <w:rPr>
          <w:rFonts w:hint="eastAsia" w:ascii="仿宋" w:hAnsi="仿宋" w:eastAsia="仿宋" w:cs="仿宋"/>
          <w:bCs/>
          <w:color w:val="auto"/>
          <w:sz w:val="24"/>
          <w:szCs w:val="20"/>
          <w:highlight w:val="none"/>
        </w:rPr>
      </w:pPr>
    </w:p>
    <w:p w14:paraId="494999E6">
      <w:pPr>
        <w:snapToGrid w:val="0"/>
        <w:spacing w:before="120" w:beforeLines="50" w:after="50"/>
        <w:rPr>
          <w:rFonts w:hint="eastAsia" w:ascii="仿宋" w:hAnsi="仿宋" w:eastAsia="仿宋" w:cs="仿宋"/>
          <w:bCs/>
          <w:color w:val="auto"/>
          <w:sz w:val="24"/>
          <w:szCs w:val="20"/>
          <w:highlight w:val="none"/>
        </w:rPr>
      </w:pPr>
    </w:p>
    <w:p w14:paraId="51897F32">
      <w:pPr>
        <w:snapToGrid w:val="0"/>
        <w:spacing w:before="120" w:beforeLines="50" w:after="50"/>
        <w:rPr>
          <w:rFonts w:hint="eastAsia" w:ascii="仿宋" w:hAnsi="仿宋" w:eastAsia="仿宋" w:cs="仿宋"/>
          <w:bCs/>
          <w:color w:val="auto"/>
          <w:sz w:val="32"/>
          <w:szCs w:val="32"/>
          <w:highlight w:val="none"/>
        </w:rPr>
      </w:pPr>
    </w:p>
    <w:p w14:paraId="3B25627E">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w:t>
      </w:r>
      <w:bookmarkStart w:id="79" w:name="PO_3000001868_PM002_2"/>
      <w:r>
        <w:rPr>
          <w:rFonts w:hint="eastAsia" w:ascii="仿宋" w:hAnsi="仿宋" w:eastAsia="仿宋" w:cs="仿宋"/>
          <w:bCs/>
          <w:color w:val="auto"/>
          <w:sz w:val="32"/>
          <w:szCs w:val="32"/>
          <w:highlight w:val="none"/>
        </w:rPr>
        <w:t>：[项目名称]</w:t>
      </w:r>
      <w:bookmarkEnd w:id="79"/>
    </w:p>
    <w:p w14:paraId="3332CCD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w:t>
      </w:r>
      <w:bookmarkStart w:id="80" w:name="PO_3000001868_PM001_4"/>
      <w:r>
        <w:rPr>
          <w:rFonts w:hint="eastAsia" w:ascii="仿宋" w:hAnsi="仿宋" w:eastAsia="仿宋" w:cs="仿宋"/>
          <w:bCs/>
          <w:color w:val="auto"/>
          <w:sz w:val="32"/>
          <w:szCs w:val="32"/>
          <w:highlight w:val="none"/>
        </w:rPr>
        <w:t>：[项目编号]</w:t>
      </w:r>
      <w:bookmarkEnd w:id="80"/>
    </w:p>
    <w:p w14:paraId="09CAB572">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3AF391F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3C55AA62">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供应商地址：</w:t>
      </w:r>
    </w:p>
    <w:p w14:paraId="07DF15A6">
      <w:pPr>
        <w:snapToGrid w:val="0"/>
        <w:spacing w:before="120" w:beforeLines="50" w:after="50"/>
        <w:rPr>
          <w:rFonts w:hint="eastAsia" w:ascii="仿宋" w:hAnsi="仿宋" w:eastAsia="仿宋" w:cs="仿宋"/>
          <w:bCs/>
          <w:color w:val="auto"/>
          <w:sz w:val="32"/>
          <w:szCs w:val="32"/>
          <w:highlight w:val="none"/>
        </w:rPr>
      </w:pPr>
    </w:p>
    <w:p w14:paraId="7132BB8E">
      <w:pPr>
        <w:snapToGrid w:val="0"/>
        <w:spacing w:before="120" w:beforeLines="50" w:after="50"/>
        <w:ind w:firstLine="480" w:firstLineChars="150"/>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首次响应文件提交截止时间前不得解密</w:t>
      </w:r>
    </w:p>
    <w:p w14:paraId="02BEE1D0">
      <w:pPr>
        <w:snapToGrid w:val="0"/>
        <w:spacing w:before="120" w:beforeLines="50" w:after="50"/>
        <w:ind w:firstLine="5440" w:firstLineChars="1700"/>
        <w:jc w:val="center"/>
        <w:rPr>
          <w:rFonts w:hint="eastAsia" w:ascii="仿宋" w:hAnsi="仿宋" w:eastAsia="仿宋" w:cs="仿宋"/>
          <w:bCs/>
          <w:color w:val="auto"/>
          <w:sz w:val="32"/>
          <w:szCs w:val="32"/>
          <w:highlight w:val="none"/>
        </w:rPr>
      </w:pPr>
    </w:p>
    <w:p w14:paraId="462CC031">
      <w:pPr>
        <w:snapToGrid w:val="0"/>
        <w:spacing w:before="120" w:beforeLines="50" w:after="50"/>
        <w:ind w:firstLine="645"/>
        <w:jc w:val="center"/>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年    月    日</w:t>
      </w:r>
    </w:p>
    <w:p w14:paraId="76218877">
      <w:pPr>
        <w:widowControl/>
        <w:jc w:val="left"/>
        <w:rPr>
          <w:rFonts w:hint="eastAsia" w:ascii="仿宋" w:hAnsi="仿宋" w:eastAsia="仿宋" w:cs="仿宋"/>
          <w:color w:val="auto"/>
          <w:highlight w:val="none"/>
        </w:rPr>
        <w:sectPr>
          <w:pgSz w:w="11911" w:h="16838"/>
          <w:pgMar w:top="1417" w:right="1417" w:bottom="1417" w:left="1417" w:header="720" w:footer="720" w:gutter="0"/>
          <w:cols w:space="720" w:num="1"/>
          <w:docGrid w:linePitch="1" w:charSpace="0"/>
        </w:sectPr>
      </w:pPr>
    </w:p>
    <w:p w14:paraId="1399F120">
      <w:pPr>
        <w:pStyle w:val="3"/>
        <w:jc w:val="center"/>
        <w:rPr>
          <w:rFonts w:hint="eastAsia" w:ascii="仿宋" w:hAnsi="仿宋" w:eastAsia="仿宋" w:cs="仿宋"/>
          <w:bCs w:val="0"/>
          <w:color w:val="auto"/>
          <w:highlight w:val="none"/>
        </w:rPr>
      </w:pPr>
      <w:bookmarkStart w:id="81" w:name="_Toc31961"/>
      <w:bookmarkStart w:id="82" w:name="_Toc80205939"/>
      <w:bookmarkStart w:id="83" w:name="_Toc19292"/>
      <w:r>
        <w:rPr>
          <w:rFonts w:hint="eastAsia" w:ascii="仿宋" w:hAnsi="仿宋" w:eastAsia="仿宋" w:cs="仿宋"/>
          <w:bCs w:val="0"/>
          <w:color w:val="auto"/>
          <w:highlight w:val="none"/>
        </w:rPr>
        <w:t>第二节 资格证明文件格式</w:t>
      </w:r>
      <w:bookmarkEnd w:id="81"/>
      <w:bookmarkEnd w:id="82"/>
      <w:bookmarkEnd w:id="83"/>
    </w:p>
    <w:p w14:paraId="0825306B">
      <w:pPr>
        <w:snapToGrid w:val="0"/>
        <w:spacing w:before="120"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2C3C39D8">
      <w:pPr>
        <w:snapToGrid w:val="0"/>
        <w:spacing w:before="120" w:beforeLines="50" w:after="50"/>
        <w:rPr>
          <w:rFonts w:hint="eastAsia" w:ascii="仿宋" w:hAnsi="仿宋" w:eastAsia="仿宋" w:cs="仿宋"/>
          <w:color w:val="auto"/>
          <w:sz w:val="24"/>
          <w:szCs w:val="20"/>
          <w:highlight w:val="none"/>
        </w:rPr>
      </w:pPr>
    </w:p>
    <w:p w14:paraId="0F4CF135">
      <w:pPr>
        <w:snapToGrid w:val="0"/>
        <w:spacing w:before="120" w:beforeLines="50" w:after="50"/>
        <w:rPr>
          <w:rFonts w:hint="eastAsia" w:ascii="仿宋" w:hAnsi="仿宋" w:eastAsia="仿宋" w:cs="仿宋"/>
          <w:color w:val="auto"/>
          <w:sz w:val="24"/>
          <w:szCs w:val="20"/>
          <w:highlight w:val="none"/>
        </w:rPr>
      </w:pPr>
    </w:p>
    <w:p w14:paraId="7B52D817">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资  格  证  明  文  件（封面）</w:t>
      </w:r>
    </w:p>
    <w:p w14:paraId="72DEAC21">
      <w:pPr>
        <w:snapToGrid w:val="0"/>
        <w:spacing w:before="120" w:beforeLines="50" w:after="50"/>
        <w:rPr>
          <w:rFonts w:hint="eastAsia" w:ascii="仿宋" w:hAnsi="仿宋" w:eastAsia="仿宋" w:cs="仿宋"/>
          <w:bCs/>
          <w:color w:val="auto"/>
          <w:sz w:val="24"/>
          <w:szCs w:val="20"/>
          <w:highlight w:val="none"/>
        </w:rPr>
      </w:pPr>
    </w:p>
    <w:p w14:paraId="29854F1A">
      <w:pPr>
        <w:snapToGrid w:val="0"/>
        <w:spacing w:before="120" w:beforeLines="50" w:after="50"/>
        <w:rPr>
          <w:rFonts w:hint="eastAsia" w:ascii="仿宋" w:hAnsi="仿宋" w:eastAsia="仿宋" w:cs="仿宋"/>
          <w:bCs/>
          <w:color w:val="auto"/>
          <w:sz w:val="24"/>
          <w:szCs w:val="20"/>
          <w:highlight w:val="none"/>
        </w:rPr>
      </w:pPr>
    </w:p>
    <w:p w14:paraId="39E20739">
      <w:pPr>
        <w:snapToGrid w:val="0"/>
        <w:spacing w:before="120" w:beforeLines="50" w:after="50"/>
        <w:rPr>
          <w:rFonts w:hint="eastAsia" w:ascii="仿宋" w:hAnsi="仿宋" w:eastAsia="仿宋" w:cs="仿宋"/>
          <w:bCs/>
          <w:color w:val="auto"/>
          <w:sz w:val="24"/>
          <w:szCs w:val="20"/>
          <w:highlight w:val="none"/>
        </w:rPr>
      </w:pPr>
    </w:p>
    <w:p w14:paraId="034B65B4">
      <w:pPr>
        <w:snapToGrid w:val="0"/>
        <w:spacing w:before="120" w:beforeLines="50" w:after="50"/>
        <w:rPr>
          <w:rFonts w:hint="eastAsia" w:ascii="仿宋" w:hAnsi="仿宋" w:eastAsia="仿宋" w:cs="仿宋"/>
          <w:bCs/>
          <w:color w:val="auto"/>
          <w:sz w:val="24"/>
          <w:szCs w:val="20"/>
          <w:highlight w:val="none"/>
        </w:rPr>
      </w:pPr>
    </w:p>
    <w:p w14:paraId="3D0F8FE9">
      <w:pPr>
        <w:snapToGrid w:val="0"/>
        <w:spacing w:before="120" w:beforeLines="50" w:after="50"/>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项目名称</w:t>
      </w:r>
      <w:bookmarkStart w:id="84" w:name="PO_3000001868_PM002_3"/>
      <w:r>
        <w:rPr>
          <w:rFonts w:hint="eastAsia" w:ascii="仿宋" w:hAnsi="仿宋" w:eastAsia="仿宋" w:cs="仿宋"/>
          <w:bCs/>
          <w:color w:val="auto"/>
          <w:sz w:val="28"/>
          <w:szCs w:val="28"/>
          <w:highlight w:val="none"/>
        </w:rPr>
        <w:t>：[项目名称]</w:t>
      </w:r>
      <w:bookmarkEnd w:id="84"/>
    </w:p>
    <w:p w14:paraId="0CD8216E">
      <w:pPr>
        <w:snapToGrid w:val="0"/>
        <w:spacing w:before="120" w:beforeLines="50" w:after="50"/>
        <w:ind w:firstLine="630" w:firstLineChars="225"/>
        <w:rPr>
          <w:rFonts w:hint="eastAsia" w:ascii="仿宋" w:hAnsi="仿宋" w:eastAsia="仿宋" w:cs="仿宋"/>
          <w:bCs/>
          <w:color w:val="auto"/>
          <w:sz w:val="28"/>
          <w:szCs w:val="28"/>
          <w:highlight w:val="none"/>
        </w:rPr>
      </w:pPr>
    </w:p>
    <w:p w14:paraId="45A19F0F">
      <w:pPr>
        <w:snapToGrid w:val="0"/>
        <w:spacing w:before="120" w:beforeLines="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项目编号</w:t>
      </w:r>
      <w:bookmarkStart w:id="85" w:name="PO_3000001868_PM001_5"/>
      <w:r>
        <w:rPr>
          <w:rFonts w:hint="eastAsia" w:ascii="仿宋" w:hAnsi="仿宋" w:eastAsia="仿宋" w:cs="仿宋"/>
          <w:bCs/>
          <w:color w:val="auto"/>
          <w:sz w:val="28"/>
          <w:szCs w:val="28"/>
          <w:highlight w:val="none"/>
        </w:rPr>
        <w:t>：[项目编号]</w:t>
      </w:r>
      <w:bookmarkEnd w:id="85"/>
    </w:p>
    <w:p w14:paraId="2D9E19D5">
      <w:pPr>
        <w:snapToGrid w:val="0"/>
        <w:spacing w:before="120" w:beforeLines="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 xml:space="preserve"> </w:t>
      </w:r>
    </w:p>
    <w:p w14:paraId="49AB5595">
      <w:pPr>
        <w:snapToGrid w:val="0"/>
        <w:spacing w:before="120" w:beforeLines="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所竞分标（如有则填写，无分标时填写“无”或者留空）：</w:t>
      </w:r>
    </w:p>
    <w:p w14:paraId="11DBA679">
      <w:pPr>
        <w:snapToGrid w:val="0"/>
        <w:spacing w:before="120" w:beforeLines="50" w:after="50"/>
        <w:ind w:firstLine="630" w:firstLineChars="225"/>
        <w:rPr>
          <w:rFonts w:hint="eastAsia" w:ascii="仿宋" w:hAnsi="仿宋" w:eastAsia="仿宋" w:cs="仿宋"/>
          <w:bCs/>
          <w:color w:val="auto"/>
          <w:sz w:val="28"/>
          <w:szCs w:val="28"/>
          <w:highlight w:val="none"/>
        </w:rPr>
      </w:pPr>
    </w:p>
    <w:p w14:paraId="6A3FE05D">
      <w:pPr>
        <w:pStyle w:val="8"/>
        <w:snapToGrid w:val="0"/>
        <w:spacing w:before="50" w:after="50"/>
        <w:ind w:firstLine="630" w:firstLineChars="225"/>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供应商名称：</w:t>
      </w:r>
    </w:p>
    <w:p w14:paraId="72929999">
      <w:pPr>
        <w:pStyle w:val="8"/>
        <w:snapToGrid w:val="0"/>
        <w:spacing w:before="50" w:after="50"/>
        <w:ind w:firstLine="720" w:firstLineChars="225"/>
        <w:rPr>
          <w:rFonts w:hint="eastAsia" w:ascii="仿宋" w:hAnsi="仿宋" w:eastAsia="仿宋" w:cs="仿宋"/>
          <w:bCs/>
          <w:color w:val="auto"/>
          <w:sz w:val="32"/>
          <w:szCs w:val="32"/>
          <w:highlight w:val="none"/>
        </w:rPr>
      </w:pPr>
    </w:p>
    <w:p w14:paraId="7A9F8D44">
      <w:pPr>
        <w:pStyle w:val="8"/>
        <w:snapToGrid w:val="0"/>
        <w:spacing w:before="50" w:after="50"/>
        <w:ind w:firstLine="720" w:firstLineChars="225"/>
        <w:rPr>
          <w:rFonts w:hint="eastAsia" w:ascii="仿宋" w:hAnsi="仿宋" w:eastAsia="仿宋" w:cs="仿宋"/>
          <w:bCs/>
          <w:color w:val="auto"/>
          <w:sz w:val="32"/>
          <w:szCs w:val="32"/>
          <w:highlight w:val="none"/>
        </w:rPr>
      </w:pPr>
    </w:p>
    <w:p w14:paraId="0FE5A8DA">
      <w:pPr>
        <w:snapToGrid w:val="0"/>
        <w:spacing w:before="120"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6AFCFA5D">
      <w:pPr>
        <w:snapToGrid w:val="0"/>
        <w:spacing w:before="120" w:beforeLines="50" w:after="50" w:line="360" w:lineRule="auto"/>
        <w:jc w:val="left"/>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 xml:space="preserve"> </w:t>
      </w:r>
    </w:p>
    <w:p w14:paraId="3BDF28E9">
      <w:pPr>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资格证明文件目录</w:t>
      </w:r>
    </w:p>
    <w:p w14:paraId="7293302E">
      <w:pPr>
        <w:snapToGrid w:val="0"/>
        <w:spacing w:line="360" w:lineRule="auto"/>
        <w:rPr>
          <w:rFonts w:hint="eastAsia" w:ascii="仿宋" w:hAnsi="仿宋" w:eastAsia="仿宋" w:cs="仿宋"/>
          <w:color w:val="auto"/>
          <w:kern w:val="0"/>
          <w:sz w:val="24"/>
          <w:highlight w:val="none"/>
        </w:rPr>
      </w:pPr>
    </w:p>
    <w:p w14:paraId="41405F8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w:t>
      </w:r>
      <w:r>
        <w:rPr>
          <w:rFonts w:hint="eastAsia" w:ascii="仿宋" w:hAnsi="仿宋" w:eastAsia="仿宋" w:cs="仿宋"/>
          <w:color w:val="auto"/>
          <w:sz w:val="24"/>
          <w:highlight w:val="none"/>
        </w:rPr>
        <w:t>营业执照(或事业法人登记证或其他工商等登记证明材料)复印件（供应商为自然人的，须提供</w:t>
      </w:r>
      <w:r>
        <w:rPr>
          <w:rFonts w:hint="eastAsia" w:ascii="仿宋" w:hAnsi="仿宋" w:eastAsia="仿宋" w:cs="仿宋"/>
          <w:color w:val="auto"/>
          <w:kern w:val="0"/>
          <w:sz w:val="24"/>
          <w:highlight w:val="none"/>
        </w:rPr>
        <w:t>自然人的身份证明</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rPr>
        <w:t>…………………………………………（页码）</w:t>
      </w:r>
    </w:p>
    <w:p w14:paraId="64CC95D3">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二、符合参与政府采购活动的资格条件依法缴纳税收、社会保障资金等方面的材料…………………………………………………………………………………（页码）</w:t>
      </w:r>
    </w:p>
    <w:p w14:paraId="4A55043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三、财务状况报告方面的材料…………………………………………………（页码）</w:t>
      </w:r>
    </w:p>
    <w:p w14:paraId="436CCE08">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四、供应商直接控股股东信息</w:t>
      </w:r>
      <w:r>
        <w:rPr>
          <w:rFonts w:hint="eastAsia" w:ascii="仿宋" w:hAnsi="仿宋" w:eastAsia="仿宋" w:cs="仿宋"/>
          <w:color w:val="auto"/>
          <w:kern w:val="0"/>
          <w:sz w:val="24"/>
          <w:highlight w:val="none"/>
        </w:rPr>
        <w:t>…………………………………………………（页码）</w:t>
      </w:r>
    </w:p>
    <w:p w14:paraId="01D7172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五、供应商直接关联关系信息表</w:t>
      </w:r>
      <w:r>
        <w:rPr>
          <w:rFonts w:hint="eastAsia" w:ascii="仿宋" w:hAnsi="仿宋" w:eastAsia="仿宋" w:cs="仿宋"/>
          <w:color w:val="auto"/>
          <w:kern w:val="0"/>
          <w:sz w:val="24"/>
          <w:highlight w:val="none"/>
        </w:rPr>
        <w:t>………………………………………………（页码）</w:t>
      </w:r>
    </w:p>
    <w:p w14:paraId="4A6743A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六、资格声明函…………………………………………………………………（页码）</w:t>
      </w:r>
    </w:p>
    <w:p w14:paraId="3089B995">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七</w:t>
      </w:r>
      <w:r>
        <w:rPr>
          <w:rFonts w:hint="eastAsia" w:ascii="仿宋" w:hAnsi="仿宋" w:eastAsia="仿宋" w:cs="仿宋"/>
          <w:color w:val="auto"/>
          <w:sz w:val="24"/>
          <w:highlight w:val="none"/>
        </w:rPr>
        <w:t>、符合特定资格条件（如有）的有关证明材料（复印件）</w:t>
      </w:r>
      <w:r>
        <w:rPr>
          <w:rFonts w:hint="eastAsia" w:ascii="仿宋" w:hAnsi="仿宋" w:eastAsia="仿宋" w:cs="仿宋"/>
          <w:color w:val="auto"/>
          <w:kern w:val="0"/>
          <w:sz w:val="24"/>
          <w:highlight w:val="none"/>
        </w:rPr>
        <w:t>………………（页码）</w:t>
      </w:r>
    </w:p>
    <w:p w14:paraId="1B0A16CB">
      <w:pPr>
        <w:spacing w:line="360" w:lineRule="auto"/>
        <w:rPr>
          <w:rFonts w:hint="default"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八、中小企业声明函</w:t>
      </w:r>
      <w:r>
        <w:rPr>
          <w:rFonts w:hint="eastAsia" w:ascii="仿宋" w:hAnsi="仿宋" w:eastAsia="仿宋" w:cs="仿宋"/>
          <w:color w:val="auto"/>
          <w:kern w:val="0"/>
          <w:sz w:val="24"/>
          <w:highlight w:val="none"/>
        </w:rPr>
        <w:t>…………………………………………………………（页码）</w:t>
      </w:r>
    </w:p>
    <w:p w14:paraId="2FFD3795">
      <w:pPr>
        <w:spacing w:line="360" w:lineRule="auto"/>
        <w:rPr>
          <w:rFonts w:hint="default"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九、分包承诺书</w:t>
      </w:r>
      <w:r>
        <w:rPr>
          <w:rFonts w:hint="eastAsia" w:ascii="仿宋" w:hAnsi="仿宋" w:eastAsia="仿宋" w:cs="仿宋"/>
          <w:color w:val="auto"/>
          <w:kern w:val="0"/>
          <w:sz w:val="24"/>
          <w:highlight w:val="none"/>
        </w:rPr>
        <w:t>………………………………………………………………（页码）</w:t>
      </w:r>
    </w:p>
    <w:p w14:paraId="4ADC2CEF">
      <w:pPr>
        <w:spacing w:line="360" w:lineRule="auto"/>
        <w:rPr>
          <w:rFonts w:hint="default"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十、承诺书</w:t>
      </w:r>
      <w:r>
        <w:rPr>
          <w:rFonts w:hint="eastAsia" w:ascii="仿宋" w:hAnsi="仿宋" w:eastAsia="仿宋" w:cs="仿宋"/>
          <w:color w:val="auto"/>
          <w:kern w:val="0"/>
          <w:sz w:val="24"/>
          <w:highlight w:val="none"/>
        </w:rPr>
        <w:t>…………………………………………………………………（页码）</w:t>
      </w:r>
    </w:p>
    <w:p w14:paraId="161BEB34">
      <w:pPr>
        <w:spacing w:line="360" w:lineRule="auto"/>
        <w:rPr>
          <w:rFonts w:hint="eastAsia" w:ascii="仿宋" w:hAnsi="仿宋" w:eastAsia="仿宋" w:cs="仿宋"/>
          <w:b/>
          <w:bCs/>
          <w:color w:val="auto"/>
          <w:sz w:val="24"/>
          <w:highlight w:val="none"/>
        </w:rPr>
      </w:pPr>
    </w:p>
    <w:p w14:paraId="556E47FF">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注：以上目录是编制供应商响应文件的基本格式要求，各供应商可根据自身情况进一步细化。</w:t>
      </w:r>
    </w:p>
    <w:p w14:paraId="36B0D17E">
      <w:pPr>
        <w:snapToGrid w:val="0"/>
        <w:spacing w:before="120" w:beforeLines="50" w:after="50" w:line="360" w:lineRule="auto"/>
        <w:ind w:left="142" w:firstLine="480" w:firstLineChars="200"/>
        <w:jc w:val="left"/>
        <w:rPr>
          <w:rFonts w:hint="eastAsia" w:ascii="仿宋" w:hAnsi="仿宋" w:eastAsia="仿宋" w:cs="仿宋"/>
          <w:color w:val="auto"/>
          <w:szCs w:val="21"/>
          <w:highlight w:val="none"/>
        </w:rPr>
      </w:pPr>
    </w:p>
    <w:p w14:paraId="31416640">
      <w:pPr>
        <w:spacing w:line="300" w:lineRule="auto"/>
        <w:rPr>
          <w:rFonts w:hint="eastAsia" w:ascii="仿宋" w:hAnsi="仿宋" w:eastAsia="仿宋" w:cs="仿宋"/>
          <w:color w:val="auto"/>
          <w:szCs w:val="21"/>
          <w:highlight w:val="none"/>
        </w:rPr>
      </w:pPr>
    </w:p>
    <w:p w14:paraId="67EEA91D">
      <w:pPr>
        <w:spacing w:line="300" w:lineRule="auto"/>
        <w:rPr>
          <w:rFonts w:hint="eastAsia" w:ascii="仿宋" w:hAnsi="仿宋" w:eastAsia="仿宋" w:cs="仿宋"/>
          <w:color w:val="auto"/>
          <w:szCs w:val="21"/>
          <w:highlight w:val="none"/>
        </w:rPr>
      </w:pPr>
    </w:p>
    <w:p w14:paraId="02B3CA0E">
      <w:pPr>
        <w:spacing w:line="300" w:lineRule="auto"/>
        <w:rPr>
          <w:rFonts w:hint="eastAsia" w:ascii="仿宋" w:hAnsi="仿宋" w:eastAsia="仿宋" w:cs="仿宋"/>
          <w:color w:val="auto"/>
          <w:szCs w:val="21"/>
          <w:highlight w:val="none"/>
        </w:rPr>
      </w:pPr>
    </w:p>
    <w:p w14:paraId="32226640">
      <w:pPr>
        <w:pStyle w:val="14"/>
        <w:spacing w:line="360" w:lineRule="auto"/>
        <w:ind w:firstLine="400" w:firstLineChars="200"/>
        <w:rPr>
          <w:rFonts w:hint="eastAsia" w:ascii="仿宋" w:hAnsi="仿宋" w:eastAsia="仿宋" w:cs="仿宋"/>
          <w:b/>
          <w:color w:val="auto"/>
          <w:sz w:val="30"/>
          <w:szCs w:val="30"/>
          <w:highlight w:val="none"/>
        </w:rPr>
      </w:pPr>
      <w:r>
        <w:rPr>
          <w:rFonts w:hint="eastAsia" w:ascii="仿宋" w:hAnsi="仿宋" w:eastAsia="仿宋" w:cs="仿宋"/>
          <w:color w:val="auto"/>
          <w:highlight w:val="none"/>
        </w:rPr>
        <w:br w:type="page"/>
      </w:r>
      <w:r>
        <w:rPr>
          <w:rFonts w:hint="eastAsia" w:ascii="仿宋" w:hAnsi="仿宋" w:eastAsia="仿宋" w:cs="仿宋"/>
          <w:b/>
          <w:color w:val="auto"/>
          <w:sz w:val="30"/>
          <w:szCs w:val="30"/>
          <w:highlight w:val="none"/>
        </w:rPr>
        <w:t>一、营业执照(或事业法人登记证或其他工商等登记证明材料)复印件（供应商为自然人的，提供自然人的身份证明）</w:t>
      </w:r>
    </w:p>
    <w:p w14:paraId="0405BF19">
      <w:pPr>
        <w:pStyle w:val="14"/>
        <w:spacing w:line="360" w:lineRule="auto"/>
        <w:ind w:firstLine="602" w:firstLineChars="200"/>
        <w:rPr>
          <w:rFonts w:hint="eastAsia" w:ascii="仿宋" w:hAnsi="仿宋" w:eastAsia="仿宋" w:cs="仿宋"/>
          <w:b/>
          <w:color w:val="auto"/>
          <w:sz w:val="30"/>
          <w:szCs w:val="30"/>
          <w:highlight w:val="none"/>
        </w:rPr>
      </w:pPr>
    </w:p>
    <w:p w14:paraId="1349B8B6">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51844ED">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AE713EF">
      <w:pPr>
        <w:snapToGrid w:val="0"/>
        <w:spacing w:before="120" w:beforeLines="50" w:after="50"/>
        <w:rPr>
          <w:rFonts w:hint="eastAsia" w:ascii="仿宋" w:hAnsi="仿宋" w:eastAsia="仿宋" w:cs="仿宋"/>
          <w:color w:val="auto"/>
          <w:sz w:val="24"/>
          <w:szCs w:val="20"/>
          <w:highlight w:val="none"/>
        </w:rPr>
      </w:pPr>
    </w:p>
    <w:p w14:paraId="31A82D1F">
      <w:pPr>
        <w:pStyle w:val="14"/>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二、符合参与政府采购活动的资格条件依法缴纳税收、社会保障资金等方面的材料</w:t>
      </w:r>
    </w:p>
    <w:p w14:paraId="538B28FB">
      <w:pPr>
        <w:spacing w:line="300" w:lineRule="auto"/>
        <w:rPr>
          <w:rFonts w:hint="eastAsia" w:ascii="仿宋" w:hAnsi="仿宋" w:eastAsia="仿宋" w:cs="仿宋"/>
          <w:color w:val="auto"/>
          <w:szCs w:val="21"/>
          <w:highlight w:val="none"/>
        </w:rPr>
      </w:pPr>
    </w:p>
    <w:p w14:paraId="09B74D4B">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F34DCAF">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54ECC524">
      <w:pPr>
        <w:spacing w:line="300" w:lineRule="auto"/>
        <w:rPr>
          <w:rFonts w:hint="eastAsia" w:ascii="仿宋" w:hAnsi="仿宋" w:eastAsia="仿宋" w:cs="仿宋"/>
          <w:color w:val="auto"/>
          <w:szCs w:val="21"/>
          <w:highlight w:val="none"/>
        </w:rPr>
      </w:pPr>
    </w:p>
    <w:p w14:paraId="402277C0">
      <w:pPr>
        <w:spacing w:line="30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三、财务状况报告方面的材料</w:t>
      </w:r>
    </w:p>
    <w:p w14:paraId="1BA95E4F">
      <w:pPr>
        <w:spacing w:line="300" w:lineRule="auto"/>
        <w:rPr>
          <w:rFonts w:hint="eastAsia" w:ascii="仿宋" w:hAnsi="仿宋" w:eastAsia="仿宋" w:cs="仿宋"/>
          <w:color w:val="auto"/>
          <w:szCs w:val="21"/>
          <w:highlight w:val="none"/>
        </w:rPr>
      </w:pPr>
    </w:p>
    <w:p w14:paraId="77BD2A9A">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78AAC26D">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77D2063">
      <w:pPr>
        <w:spacing w:line="3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0225D4DA">
      <w:pPr>
        <w:snapToGrid w:val="0"/>
        <w:spacing w:before="120" w:beforeLines="50" w:after="50" w:line="360" w:lineRule="auto"/>
        <w:jc w:val="center"/>
        <w:rPr>
          <w:rFonts w:hint="eastAsia" w:ascii="仿宋" w:hAnsi="仿宋" w:eastAsia="仿宋" w:cs="仿宋"/>
          <w:b/>
          <w:color w:val="auto"/>
          <w:sz w:val="24"/>
          <w:highlight w:val="none"/>
        </w:rPr>
      </w:pPr>
    </w:p>
    <w:p w14:paraId="6CC83632">
      <w:pPr>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br w:type="page"/>
      </w:r>
    </w:p>
    <w:p w14:paraId="6FD09B24">
      <w:pPr>
        <w:spacing w:line="360" w:lineRule="auto"/>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四、供应商直接控股股东信息</w:t>
      </w:r>
    </w:p>
    <w:p w14:paraId="2752E9DD">
      <w:pPr>
        <w:spacing w:line="360" w:lineRule="auto"/>
        <w:jc w:val="center"/>
        <w:rPr>
          <w:rFonts w:hint="eastAsia" w:ascii="仿宋" w:hAnsi="仿宋" w:eastAsia="仿宋" w:cs="仿宋"/>
          <w:b/>
          <w:color w:val="auto"/>
          <w:sz w:val="24"/>
          <w:highlight w:val="none"/>
        </w:rPr>
      </w:pPr>
    </w:p>
    <w:tbl>
      <w:tblPr>
        <w:tblStyle w:val="22"/>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A671B71">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10EA73">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B9295CD">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7932B0">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C4B352">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9B1CAFE">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3D65BA1C">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D42EFA">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DF4392">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25C86D">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973DC02">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52128C">
            <w:pPr>
              <w:widowControl/>
              <w:spacing w:line="360" w:lineRule="auto"/>
              <w:jc w:val="center"/>
              <w:rPr>
                <w:rFonts w:hint="eastAsia" w:ascii="仿宋" w:hAnsi="仿宋" w:eastAsia="仿宋" w:cs="仿宋"/>
                <w:color w:val="auto"/>
                <w:kern w:val="0"/>
                <w:sz w:val="24"/>
                <w:highlight w:val="none"/>
              </w:rPr>
            </w:pPr>
          </w:p>
        </w:tc>
      </w:tr>
      <w:tr w14:paraId="46D1328A">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CCD5F2">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668A483">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E17778">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DD5C61">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0C0F3A">
            <w:pPr>
              <w:widowControl/>
              <w:spacing w:line="360" w:lineRule="auto"/>
              <w:jc w:val="center"/>
              <w:rPr>
                <w:rFonts w:hint="eastAsia" w:ascii="仿宋" w:hAnsi="仿宋" w:eastAsia="仿宋" w:cs="仿宋"/>
                <w:color w:val="auto"/>
                <w:kern w:val="0"/>
                <w:sz w:val="24"/>
                <w:highlight w:val="none"/>
              </w:rPr>
            </w:pPr>
          </w:p>
        </w:tc>
      </w:tr>
      <w:tr w14:paraId="3D25170B">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FD3D89">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54C1A1C">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D9A588">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AC808A">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C8A156">
            <w:pPr>
              <w:widowControl/>
              <w:spacing w:line="360" w:lineRule="auto"/>
              <w:jc w:val="center"/>
              <w:rPr>
                <w:rFonts w:hint="eastAsia" w:ascii="仿宋" w:hAnsi="仿宋" w:eastAsia="仿宋" w:cs="仿宋"/>
                <w:color w:val="auto"/>
                <w:kern w:val="0"/>
                <w:sz w:val="24"/>
                <w:highlight w:val="none"/>
              </w:rPr>
            </w:pPr>
          </w:p>
        </w:tc>
      </w:tr>
      <w:tr w14:paraId="360B223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57D09C">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8AEB17">
            <w:pPr>
              <w:widowControl/>
              <w:spacing w:line="360" w:lineRule="auto"/>
              <w:jc w:val="center"/>
              <w:rPr>
                <w:rFonts w:hint="eastAsia" w:ascii="仿宋" w:hAnsi="仿宋" w:eastAsia="仿宋" w:cs="仿宋"/>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1EE53A">
            <w:pPr>
              <w:widowControl/>
              <w:spacing w:line="360" w:lineRule="auto"/>
              <w:jc w:val="center"/>
              <w:rPr>
                <w:rFonts w:hint="eastAsia" w:ascii="仿宋" w:hAnsi="仿宋" w:eastAsia="仿宋" w:cs="仿宋"/>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CAFB1C">
            <w:pPr>
              <w:widowControl/>
              <w:spacing w:line="360" w:lineRule="auto"/>
              <w:jc w:val="center"/>
              <w:rPr>
                <w:rFonts w:hint="eastAsia" w:ascii="仿宋" w:hAnsi="仿宋" w:eastAsia="仿宋" w:cs="仿宋"/>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EFA308">
            <w:pPr>
              <w:widowControl/>
              <w:spacing w:line="360" w:lineRule="auto"/>
              <w:jc w:val="center"/>
              <w:rPr>
                <w:rFonts w:hint="eastAsia" w:ascii="仿宋" w:hAnsi="仿宋" w:eastAsia="仿宋" w:cs="仿宋"/>
                <w:color w:val="auto"/>
                <w:kern w:val="0"/>
                <w:sz w:val="24"/>
                <w:highlight w:val="none"/>
              </w:rPr>
            </w:pPr>
          </w:p>
        </w:tc>
      </w:tr>
    </w:tbl>
    <w:p w14:paraId="7FCDAB87">
      <w:pPr>
        <w:spacing w:line="360" w:lineRule="auto"/>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0E0A135E">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9063A7D">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2.本表所指的控股关系仅限于直接控股关系，不包括间接的控股关系。公司实际控制人与公司之间的关系不属于本表所指的直接控股关系。</w:t>
      </w:r>
    </w:p>
    <w:p w14:paraId="595F09C6">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3.供应商不存在直接控股股东的，则填“无”。</w:t>
      </w:r>
    </w:p>
    <w:p w14:paraId="4E4670B4">
      <w:pPr>
        <w:snapToGrid w:val="0"/>
        <w:spacing w:line="360" w:lineRule="auto"/>
        <w:jc w:val="left"/>
        <w:rPr>
          <w:rFonts w:hint="eastAsia" w:ascii="仿宋" w:hAnsi="仿宋" w:eastAsia="仿宋" w:cs="仿宋"/>
          <w:color w:val="auto"/>
          <w:sz w:val="24"/>
          <w:highlight w:val="none"/>
        </w:rPr>
      </w:pPr>
    </w:p>
    <w:p w14:paraId="5B28017A">
      <w:pPr>
        <w:snapToGrid w:val="0"/>
        <w:spacing w:line="360" w:lineRule="auto"/>
        <w:jc w:val="left"/>
        <w:rPr>
          <w:rFonts w:hint="eastAsia" w:ascii="仿宋" w:hAnsi="仿宋" w:eastAsia="仿宋" w:cs="仿宋"/>
          <w:color w:val="auto"/>
          <w:sz w:val="24"/>
          <w:highlight w:val="none"/>
        </w:rPr>
      </w:pPr>
    </w:p>
    <w:p w14:paraId="14567DB0">
      <w:pPr>
        <w:snapToGrid w:val="0"/>
        <w:spacing w:line="360" w:lineRule="auto"/>
        <w:jc w:val="left"/>
        <w:rPr>
          <w:rFonts w:hint="eastAsia" w:ascii="仿宋" w:hAnsi="仿宋" w:eastAsia="仿宋" w:cs="仿宋"/>
          <w:color w:val="auto"/>
          <w:sz w:val="24"/>
          <w:highlight w:val="none"/>
        </w:rPr>
      </w:pPr>
    </w:p>
    <w:p w14:paraId="621E21EB">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BA29D03">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7EC3B3E">
      <w:pPr>
        <w:snapToGrid w:val="0"/>
        <w:rPr>
          <w:rFonts w:hint="eastAsia" w:ascii="仿宋" w:hAnsi="仿宋" w:eastAsia="仿宋" w:cs="仿宋"/>
          <w:b/>
          <w:color w:val="auto"/>
          <w:kern w:val="0"/>
          <w:sz w:val="30"/>
          <w:szCs w:val="30"/>
          <w:highlight w:val="none"/>
        </w:rPr>
      </w:pPr>
    </w:p>
    <w:p w14:paraId="2D58C322">
      <w:pPr>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br w:type="page"/>
      </w:r>
    </w:p>
    <w:p w14:paraId="3E0E4F08">
      <w:pPr>
        <w:snapToGrid w:val="0"/>
        <w:ind w:firstLine="596" w:firstLineChars="198"/>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rPr>
        <w:t>五、供应商直接管理关系信息表</w:t>
      </w:r>
    </w:p>
    <w:p w14:paraId="125B6BD3">
      <w:pPr>
        <w:snapToGrid w:val="0"/>
        <w:spacing w:line="360" w:lineRule="auto"/>
        <w:jc w:val="center"/>
        <w:rPr>
          <w:rFonts w:hint="eastAsia" w:ascii="仿宋" w:hAnsi="仿宋" w:eastAsia="仿宋" w:cs="仿宋"/>
          <w:b/>
          <w:color w:val="auto"/>
          <w:sz w:val="24"/>
          <w:highlight w:val="none"/>
        </w:rPr>
      </w:pPr>
    </w:p>
    <w:tbl>
      <w:tblPr>
        <w:tblStyle w:val="22"/>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0362217">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2DDC4BA">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28369C">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BBC5CC">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84B9AB">
            <w:pPr>
              <w:widowControl/>
              <w:spacing w:line="360" w:lineRule="auto"/>
              <w:jc w:val="center"/>
              <w:rPr>
                <w:rFonts w:hint="eastAsia" w:ascii="仿宋" w:hAnsi="仿宋" w:eastAsia="仿宋" w:cs="仿宋"/>
                <w:b/>
                <w:bCs/>
                <w:color w:val="auto"/>
                <w:kern w:val="0"/>
                <w:sz w:val="24"/>
                <w:highlight w:val="none"/>
              </w:rPr>
            </w:pPr>
            <w:r>
              <w:rPr>
                <w:rFonts w:hint="eastAsia" w:ascii="仿宋" w:hAnsi="仿宋" w:eastAsia="仿宋" w:cs="仿宋"/>
                <w:b/>
                <w:bCs/>
                <w:color w:val="auto"/>
                <w:kern w:val="0"/>
                <w:sz w:val="24"/>
                <w:highlight w:val="none"/>
              </w:rPr>
              <w:t>备注</w:t>
            </w:r>
          </w:p>
        </w:tc>
      </w:tr>
      <w:tr w14:paraId="72D4F62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82C517">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BC3A403">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C1BEF8F">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DF5B31">
            <w:pPr>
              <w:widowControl/>
              <w:spacing w:line="360" w:lineRule="auto"/>
              <w:jc w:val="center"/>
              <w:rPr>
                <w:rFonts w:hint="eastAsia" w:ascii="仿宋" w:hAnsi="仿宋" w:eastAsia="仿宋" w:cs="仿宋"/>
                <w:color w:val="auto"/>
                <w:kern w:val="0"/>
                <w:sz w:val="24"/>
                <w:highlight w:val="none"/>
              </w:rPr>
            </w:pPr>
          </w:p>
        </w:tc>
      </w:tr>
      <w:tr w14:paraId="68D46E8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AEAA72">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F73C715">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E90F79">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B33CD9">
            <w:pPr>
              <w:widowControl/>
              <w:spacing w:line="360" w:lineRule="auto"/>
              <w:jc w:val="center"/>
              <w:rPr>
                <w:rFonts w:hint="eastAsia" w:ascii="仿宋" w:hAnsi="仿宋" w:eastAsia="仿宋" w:cs="仿宋"/>
                <w:color w:val="auto"/>
                <w:kern w:val="0"/>
                <w:sz w:val="24"/>
                <w:highlight w:val="none"/>
              </w:rPr>
            </w:pPr>
          </w:p>
        </w:tc>
      </w:tr>
      <w:tr w14:paraId="5A5377E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3F1B1F">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7FCDCB">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D7DEB72">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C45B25">
            <w:pPr>
              <w:widowControl/>
              <w:spacing w:line="360" w:lineRule="auto"/>
              <w:jc w:val="center"/>
              <w:rPr>
                <w:rFonts w:hint="eastAsia" w:ascii="仿宋" w:hAnsi="仿宋" w:eastAsia="仿宋" w:cs="仿宋"/>
                <w:color w:val="auto"/>
                <w:kern w:val="0"/>
                <w:sz w:val="24"/>
                <w:highlight w:val="none"/>
              </w:rPr>
            </w:pPr>
          </w:p>
        </w:tc>
      </w:tr>
      <w:tr w14:paraId="41519226">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1393F6">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11BE1A">
            <w:pPr>
              <w:widowControl/>
              <w:spacing w:line="360" w:lineRule="auto"/>
              <w:jc w:val="center"/>
              <w:rPr>
                <w:rFonts w:hint="eastAsia" w:ascii="仿宋" w:hAnsi="仿宋" w:eastAsia="仿宋" w:cs="仿宋"/>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576DF8C">
            <w:pPr>
              <w:widowControl/>
              <w:spacing w:line="360" w:lineRule="auto"/>
              <w:jc w:val="center"/>
              <w:rPr>
                <w:rFonts w:hint="eastAsia" w:ascii="仿宋" w:hAnsi="仿宋" w:eastAsia="仿宋" w:cs="仿宋"/>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4DFBB12">
            <w:pPr>
              <w:widowControl/>
              <w:spacing w:line="360" w:lineRule="auto"/>
              <w:jc w:val="center"/>
              <w:rPr>
                <w:rFonts w:hint="eastAsia" w:ascii="仿宋" w:hAnsi="仿宋" w:eastAsia="仿宋" w:cs="仿宋"/>
                <w:color w:val="auto"/>
                <w:kern w:val="0"/>
                <w:sz w:val="24"/>
                <w:highlight w:val="none"/>
              </w:rPr>
            </w:pPr>
          </w:p>
        </w:tc>
      </w:tr>
    </w:tbl>
    <w:p w14:paraId="6A7DF6F6">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注：</w:t>
      </w:r>
    </w:p>
    <w:p w14:paraId="61A94701">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1.管理关系：是指不具有出资持股关系的其他单位之间存在的管理与被管理关系，如一些上下级关系的事业单位和团体组织。</w:t>
      </w:r>
    </w:p>
    <w:p w14:paraId="50FFD213">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2.本表所指的管理关系仅限于直接管理关系，不包括间接的管理关系。</w:t>
      </w:r>
    </w:p>
    <w:p w14:paraId="4B96F7E6">
      <w:pPr>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3.供应商不存在直接管理关系的，则填“无”。</w:t>
      </w:r>
    </w:p>
    <w:p w14:paraId="5A21E77B">
      <w:pPr>
        <w:spacing w:line="360" w:lineRule="auto"/>
        <w:jc w:val="left"/>
        <w:rPr>
          <w:rFonts w:hint="eastAsia" w:ascii="仿宋" w:hAnsi="仿宋" w:eastAsia="仿宋" w:cs="仿宋"/>
          <w:color w:val="auto"/>
          <w:sz w:val="24"/>
          <w:highlight w:val="none"/>
        </w:rPr>
      </w:pPr>
    </w:p>
    <w:p w14:paraId="43E2052C">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1892C614">
      <w:pPr>
        <w:autoSpaceDE w:val="0"/>
        <w:autoSpaceDN w:val="0"/>
        <w:spacing w:line="360" w:lineRule="auto"/>
        <w:ind w:firstLine="6120" w:firstLineChars="255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79D7109A">
      <w:pPr>
        <w:spacing w:line="360" w:lineRule="auto"/>
        <w:ind w:right="480" w:firstLine="240" w:firstLineChars="100"/>
        <w:contextualSpacing/>
        <w:jc w:val="center"/>
        <w:rPr>
          <w:rFonts w:hint="eastAsia" w:ascii="仿宋" w:hAnsi="仿宋" w:eastAsia="仿宋" w:cs="仿宋"/>
          <w:color w:val="auto"/>
          <w:sz w:val="28"/>
          <w:szCs w:val="28"/>
          <w:highlight w:val="none"/>
        </w:rPr>
      </w:pPr>
      <w:r>
        <w:rPr>
          <w:rFonts w:hint="eastAsia" w:ascii="仿宋" w:hAnsi="仿宋" w:eastAsia="仿宋" w:cs="仿宋"/>
          <w:color w:val="auto"/>
          <w:sz w:val="24"/>
          <w:highlight w:val="none"/>
        </w:rPr>
        <w:t xml:space="preserve">                                  </w:t>
      </w:r>
    </w:p>
    <w:p w14:paraId="47547B90">
      <w:pPr>
        <w:spacing w:line="320" w:lineRule="exact"/>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br w:type="page"/>
      </w:r>
      <w:r>
        <w:rPr>
          <w:rFonts w:hint="eastAsia" w:ascii="仿宋" w:hAnsi="仿宋" w:eastAsia="仿宋" w:cs="仿宋"/>
          <w:b/>
          <w:color w:val="auto"/>
          <w:kern w:val="0"/>
          <w:sz w:val="30"/>
          <w:szCs w:val="30"/>
          <w:highlight w:val="none"/>
        </w:rPr>
        <w:t>六、资格声明函</w:t>
      </w:r>
    </w:p>
    <w:p w14:paraId="34FB0CAD">
      <w:pPr>
        <w:spacing w:line="320" w:lineRule="exact"/>
        <w:jc w:val="center"/>
        <w:rPr>
          <w:rFonts w:hint="eastAsia" w:ascii="仿宋" w:hAnsi="仿宋" w:eastAsia="仿宋" w:cs="仿宋"/>
          <w:b/>
          <w:color w:val="auto"/>
          <w:sz w:val="32"/>
          <w:szCs w:val="32"/>
          <w:highlight w:val="none"/>
        </w:rPr>
      </w:pPr>
    </w:p>
    <w:p w14:paraId="47249EED">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资格声明函</w:t>
      </w:r>
    </w:p>
    <w:p w14:paraId="24086561">
      <w:pPr>
        <w:spacing w:line="320" w:lineRule="exact"/>
        <w:jc w:val="center"/>
        <w:rPr>
          <w:rFonts w:hint="eastAsia" w:ascii="仿宋" w:hAnsi="仿宋" w:eastAsia="仿宋" w:cs="仿宋"/>
          <w:color w:val="auto"/>
          <w:sz w:val="24"/>
          <w:szCs w:val="20"/>
          <w:highlight w:val="none"/>
        </w:rPr>
      </w:pPr>
    </w:p>
    <w:p w14:paraId="33FD5EA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bookmarkStart w:id="86" w:name="PO_3000001868_PM031_6"/>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[采购组织机构]</w:t>
      </w:r>
      <w:bookmarkEnd w:id="86"/>
      <w:r>
        <w:rPr>
          <w:rFonts w:hint="eastAsia" w:ascii="仿宋" w:hAnsi="仿宋" w:eastAsia="仿宋" w:cs="仿宋"/>
          <w:color w:val="auto"/>
          <w:sz w:val="24"/>
          <w:highlight w:val="none"/>
        </w:rPr>
        <w:t>：</w:t>
      </w:r>
    </w:p>
    <w:p w14:paraId="4B944441">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系中华人民共和国合法供应商，经营地址</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09390B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我方愿意参加贵方组织的</w:t>
      </w:r>
      <w:bookmarkStart w:id="87" w:name="PO_3000001868_PM002_4"/>
      <w:r>
        <w:rPr>
          <w:rFonts w:hint="eastAsia" w:ascii="仿宋" w:hAnsi="仿宋" w:eastAsia="仿宋" w:cs="仿宋"/>
          <w:color w:val="auto"/>
          <w:sz w:val="24"/>
          <w:highlight w:val="none"/>
          <w:u w:val="single"/>
        </w:rPr>
        <w:t>[项目名称]</w:t>
      </w:r>
      <w:bookmarkEnd w:id="87"/>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rPr>
        <w:t>项目的竞标，为便于贵方公正、择优地确定成交供应商及其竞标产品和服务，我方就本次竞标有关事项郑重声明如下：</w:t>
      </w:r>
    </w:p>
    <w:p w14:paraId="1B3DD1A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1.我方向贵方提交的所有响应文件、资料都是准确的和真实的。</w:t>
      </w:r>
    </w:p>
    <w:p w14:paraId="5CBA905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D00C7F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3.在此，我方宣布同意如下：</w:t>
      </w:r>
    </w:p>
    <w:p w14:paraId="7BABE25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（1）将按磋商文件的约定履行合同责任和义务；</w:t>
      </w:r>
    </w:p>
    <w:p w14:paraId="7F11D92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（2）已详细审查全部磋商文件，包括澄清或者更正公告（如有）；</w:t>
      </w:r>
    </w:p>
    <w:p w14:paraId="2413A78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（3）同意提供按照贵方可能要求的与磋商有关的一切数据或者资料；</w:t>
      </w:r>
    </w:p>
    <w:p w14:paraId="786A992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（4）响应磋商文件规定的竞标有效期。</w:t>
      </w:r>
    </w:p>
    <w:p w14:paraId="08F4332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2588CDC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FE9FF3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09CE13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内容中</w:t>
      </w:r>
      <w:r>
        <w:rPr>
          <w:rFonts w:hint="eastAsia" w:ascii="仿宋" w:hAnsi="仿宋" w:eastAsia="仿宋" w:cs="仿宋"/>
          <w:color w:val="auto"/>
          <w:sz w:val="24"/>
          <w:highlight w:val="none"/>
        </w:rPr>
        <w:t>未</w:t>
      </w:r>
      <w:r>
        <w:rPr>
          <w:rFonts w:hint="eastAsia" w:ascii="仿宋" w:hAnsi="仿宋" w:eastAsia="仿宋" w:cs="仿宋"/>
          <w:color w:val="auto"/>
          <w:kern w:val="0"/>
          <w:sz w:val="24"/>
          <w:highlight w:val="none"/>
        </w:rPr>
        <w:t>涉及商业秘密；</w:t>
      </w:r>
    </w:p>
    <w:p w14:paraId="0B7F624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□我方本次响应文件</w:t>
      </w:r>
      <w:r>
        <w:rPr>
          <w:rFonts w:hint="eastAsia" w:ascii="仿宋" w:hAnsi="仿宋" w:eastAsia="仿宋" w:cs="仿宋"/>
          <w:color w:val="auto"/>
          <w:kern w:val="0"/>
          <w:sz w:val="24"/>
          <w:highlight w:val="none"/>
        </w:rPr>
        <w:t>涉及商业秘密的内容有：</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2334F3E">
      <w:pPr>
        <w:pStyle w:val="14"/>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7.与本磋商有关的一切正式往来信函请寄：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邮政编号：</w:t>
      </w:r>
      <w:r>
        <w:rPr>
          <w:rFonts w:hint="eastAsia" w:ascii="仿宋" w:hAnsi="仿宋" w:eastAsia="仿宋" w:cs="仿宋"/>
          <w:color w:val="auto"/>
          <w:sz w:val="24"/>
          <w:szCs w:val="24"/>
          <w:highlight w:val="none"/>
          <w:u w:val="single"/>
        </w:rPr>
        <w:t xml:space="preserve">        </w:t>
      </w:r>
    </w:p>
    <w:p w14:paraId="6E6A8169">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电话/传真：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电子邮寄：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1C9A7036">
      <w:pPr>
        <w:pStyle w:val="12"/>
        <w:tabs>
          <w:tab w:val="left" w:pos="939"/>
        </w:tabs>
        <w:spacing w:line="360" w:lineRule="auto"/>
        <w:ind w:left="16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账号：</w:t>
      </w:r>
      <w:r>
        <w:rPr>
          <w:rFonts w:hint="eastAsia" w:ascii="仿宋" w:hAnsi="仿宋" w:eastAsia="仿宋" w:cs="仿宋"/>
          <w:color w:val="auto"/>
          <w:sz w:val="24"/>
          <w:highlight w:val="none"/>
          <w:u w:val="single"/>
        </w:rPr>
        <w:t xml:space="preserve">                               </w:t>
      </w:r>
    </w:p>
    <w:p w14:paraId="1527886D">
      <w:pPr>
        <w:pStyle w:val="12"/>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8.以上事项如有虚假或者隐瞒，我方愿意承担一切后果，并不再寻求任何旨在减轻或者免除法律责任的辩解。</w:t>
      </w:r>
    </w:p>
    <w:p w14:paraId="143D8083">
      <w:pPr>
        <w:pStyle w:val="12"/>
        <w:tabs>
          <w:tab w:val="left" w:pos="939"/>
        </w:tabs>
        <w:spacing w:line="360" w:lineRule="auto"/>
        <w:ind w:left="161" w:leftChars="67"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特此承诺。</w:t>
      </w:r>
    </w:p>
    <w:p w14:paraId="23207327">
      <w:pPr>
        <w:pStyle w:val="12"/>
        <w:tabs>
          <w:tab w:val="left" w:pos="939"/>
        </w:tabs>
        <w:spacing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注：如为联合体竞标，盖章处须加盖联合体各方公章，否则其响应文件按无效响应处理。</w:t>
      </w:r>
    </w:p>
    <w:p w14:paraId="4C999229">
      <w:pPr>
        <w:pStyle w:val="12"/>
        <w:tabs>
          <w:tab w:val="left" w:pos="939"/>
        </w:tabs>
        <w:spacing w:line="360" w:lineRule="auto"/>
        <w:ind w:left="0" w:leftChars="0" w:firstLine="480" w:firstLineChars="200"/>
        <w:rPr>
          <w:rFonts w:hint="eastAsia" w:ascii="仿宋" w:hAnsi="仿宋" w:eastAsia="仿宋" w:cs="仿宋"/>
          <w:color w:val="auto"/>
          <w:sz w:val="24"/>
          <w:highlight w:val="none"/>
        </w:rPr>
      </w:pPr>
    </w:p>
    <w:p w14:paraId="0185DB32">
      <w:pPr>
        <w:autoSpaceDE w:val="0"/>
        <w:autoSpaceDN w:val="0"/>
        <w:spacing w:line="360" w:lineRule="auto"/>
        <w:ind w:left="4920" w:leftChars="1850" w:hanging="480" w:hanging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AB59D7C">
      <w:pPr>
        <w:autoSpaceDE w:val="0"/>
        <w:autoSpaceDN w:val="0"/>
        <w:spacing w:line="360" w:lineRule="auto"/>
        <w:ind w:firstLine="6120" w:firstLineChars="25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6209B480">
      <w:pPr>
        <w:widowControl/>
        <w:spacing w:line="360" w:lineRule="auto"/>
        <w:jc w:val="left"/>
        <w:rPr>
          <w:rFonts w:hint="eastAsia" w:ascii="仿宋" w:hAnsi="仿宋" w:eastAsia="仿宋" w:cs="仿宋"/>
          <w:color w:val="auto"/>
          <w:kern w:val="0"/>
          <w:sz w:val="24"/>
          <w:highlight w:val="none"/>
          <w:lang w:val="zh-CN"/>
        </w:rPr>
        <w:sectPr>
          <w:pgSz w:w="11911" w:h="16838"/>
          <w:pgMar w:top="1417" w:right="1417" w:bottom="1417" w:left="1417" w:header="720" w:footer="720" w:gutter="0"/>
          <w:cols w:space="720" w:num="1"/>
          <w:docGrid w:linePitch="1" w:charSpace="0"/>
        </w:sectPr>
      </w:pPr>
    </w:p>
    <w:p w14:paraId="68595424">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七</w:t>
      </w:r>
      <w:r>
        <w:rPr>
          <w:rFonts w:hint="eastAsia" w:ascii="仿宋" w:hAnsi="仿宋" w:eastAsia="仿宋" w:cs="仿宋"/>
          <w:b/>
          <w:color w:val="auto"/>
          <w:sz w:val="30"/>
          <w:szCs w:val="30"/>
          <w:highlight w:val="none"/>
        </w:rPr>
        <w:t>、符合特定资格条件（如项目要求）的有关证明材料（复印件）</w:t>
      </w:r>
    </w:p>
    <w:p w14:paraId="7596E70C">
      <w:pPr>
        <w:snapToGrid w:val="0"/>
        <w:spacing w:line="360" w:lineRule="auto"/>
        <w:ind w:firstLine="602" w:firstLineChars="200"/>
        <w:rPr>
          <w:rFonts w:hint="eastAsia" w:ascii="仿宋" w:hAnsi="仿宋" w:eastAsia="仿宋" w:cs="仿宋"/>
          <w:b/>
          <w:color w:val="auto"/>
          <w:sz w:val="30"/>
          <w:szCs w:val="30"/>
          <w:highlight w:val="none"/>
        </w:rPr>
      </w:pPr>
    </w:p>
    <w:p w14:paraId="2F43FFAF">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218B0ED0">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2FA5971C">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00C24CAE">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2818603F">
      <w:pP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br w:type="page"/>
      </w:r>
    </w:p>
    <w:p w14:paraId="626F683C">
      <w:pPr>
        <w:spacing w:beforeLines="0" w:afterLines="0" w:line="300" w:lineRule="auto"/>
        <w:jc w:val="left"/>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八、中小企业声明函（格式）</w:t>
      </w:r>
    </w:p>
    <w:p w14:paraId="62AC0175">
      <w:pPr>
        <w:spacing w:beforeLines="0" w:afterLines="0" w:line="300" w:lineRule="auto"/>
        <w:jc w:val="center"/>
        <w:rPr>
          <w:rFonts w:hint="eastAsia" w:ascii="仿宋" w:hAnsi="仿宋" w:eastAsia="仿宋" w:cs="仿宋"/>
          <w:color w:val="auto"/>
          <w:sz w:val="44"/>
          <w:szCs w:val="44"/>
          <w:highlight w:val="none"/>
        </w:rPr>
      </w:pPr>
    </w:p>
    <w:p w14:paraId="12881090">
      <w:pPr>
        <w:spacing w:beforeLines="0" w:afterLines="0" w:line="300" w:lineRule="auto"/>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中小企业声明函（服务）</w:t>
      </w:r>
    </w:p>
    <w:p w14:paraId="3F5532D5">
      <w:pPr>
        <w:spacing w:beforeLines="0" w:afterLines="0" w:line="360" w:lineRule="auto"/>
        <w:ind w:firstLine="550"/>
        <w:rPr>
          <w:rFonts w:hint="eastAsia" w:ascii="仿宋" w:hAnsi="仿宋" w:eastAsia="仿宋" w:cs="仿宋"/>
          <w:color w:val="auto"/>
          <w:kern w:val="0"/>
          <w:sz w:val="24"/>
          <w:szCs w:val="24"/>
          <w:highlight w:val="none"/>
        </w:rPr>
      </w:pPr>
    </w:p>
    <w:p w14:paraId="1D333F26">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本公司（联合体）郑重声明，根据《政府采购促进中小企业发展管理办法》（财库﹝2020﹞46 号）的规定，本公司（联合体）参加</w:t>
      </w:r>
      <w:r>
        <w:rPr>
          <w:rFonts w:hint="eastAsia" w:ascii="仿宋" w:hAnsi="仿宋" w:eastAsia="仿宋" w:cs="仿宋"/>
          <w:color w:val="auto"/>
          <w:sz w:val="24"/>
          <w:szCs w:val="24"/>
          <w:highlight w:val="none"/>
          <w:u w:val="single"/>
        </w:rPr>
        <w:t>[采购人]</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u w:val="single"/>
        </w:rPr>
        <w:t>[项目名称]</w:t>
      </w:r>
      <w:r>
        <w:rPr>
          <w:rFonts w:hint="eastAsia" w:ascii="仿宋" w:hAnsi="仿宋" w:eastAsia="仿宋" w:cs="仿宋"/>
          <w:color w:val="auto"/>
          <w:kern w:val="0"/>
          <w:sz w:val="24"/>
          <w:szCs w:val="24"/>
          <w:highlight w:val="none"/>
        </w:rPr>
        <w:t>采购活动，服务全部由符合政策要求的中小企业承接。相关企业（含联合体中的中小企业、签订分包意向协议的中小企业）的具体情况如下：</w:t>
      </w:r>
    </w:p>
    <w:p w14:paraId="28217476">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hint="eastAsia" w:ascii="仿宋" w:hAnsi="仿宋" w:eastAsia="仿宋" w:cs="仿宋"/>
          <w:color w:val="auto"/>
          <w:kern w:val="0"/>
          <w:sz w:val="24"/>
          <w:szCs w:val="24"/>
          <w:highlight w:val="none"/>
          <w:u w:val="single"/>
        </w:rPr>
        <w:t>（标的名称）</w:t>
      </w:r>
      <w:r>
        <w:rPr>
          <w:rFonts w:hint="eastAsia" w:ascii="仿宋" w:hAnsi="仿宋" w:eastAsia="仿宋" w:cs="仿宋"/>
          <w:color w:val="auto"/>
          <w:kern w:val="0"/>
          <w:sz w:val="24"/>
          <w:szCs w:val="24"/>
          <w:highlight w:val="none"/>
        </w:rPr>
        <w:t>，属于</w:t>
      </w:r>
      <w:r>
        <w:rPr>
          <w:rFonts w:hint="eastAsia" w:ascii="仿宋" w:hAnsi="仿宋" w:eastAsia="仿宋" w:cs="仿宋"/>
          <w:color w:val="auto"/>
          <w:kern w:val="0"/>
          <w:sz w:val="24"/>
          <w:szCs w:val="24"/>
          <w:highlight w:val="none"/>
          <w:u w:val="single"/>
        </w:rPr>
        <w:t>（采购文件中明确的所属行业：见服务需求一览表）</w:t>
      </w:r>
      <w:r>
        <w:rPr>
          <w:rFonts w:hint="eastAsia" w:ascii="仿宋" w:hAnsi="仿宋" w:eastAsia="仿宋" w:cs="仿宋"/>
          <w:color w:val="auto"/>
          <w:kern w:val="0"/>
          <w:sz w:val="24"/>
          <w:szCs w:val="24"/>
          <w:highlight w:val="none"/>
        </w:rPr>
        <w:t>行业；承建（承接）企业为</w:t>
      </w:r>
      <w:r>
        <w:rPr>
          <w:rFonts w:hint="eastAsia" w:ascii="仿宋" w:hAnsi="仿宋" w:eastAsia="仿宋" w:cs="仿宋"/>
          <w:color w:val="auto"/>
          <w:kern w:val="0"/>
          <w:sz w:val="24"/>
          <w:szCs w:val="24"/>
          <w:highlight w:val="none"/>
          <w:u w:val="single"/>
        </w:rPr>
        <w:t>（企业名称）</w:t>
      </w:r>
      <w:r>
        <w:rPr>
          <w:rFonts w:hint="eastAsia" w:ascii="仿宋" w:hAnsi="仿宋" w:eastAsia="仿宋" w:cs="仿宋"/>
          <w:color w:val="auto"/>
          <w:kern w:val="0"/>
          <w:sz w:val="24"/>
          <w:szCs w:val="24"/>
          <w:highlight w:val="none"/>
        </w:rPr>
        <w:t>，从业人员</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人，营业收入为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万元，资产总额为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w:t>
      </w:r>
      <w:r>
        <w:rPr>
          <w:rFonts w:hint="eastAsia" w:ascii="仿宋" w:hAnsi="仿宋" w:eastAsia="仿宋" w:cs="仿宋"/>
          <w:color w:val="auto"/>
          <w:sz w:val="24"/>
          <w:szCs w:val="24"/>
          <w:highlight w:val="none"/>
          <w:vertAlign w:val="superscript"/>
        </w:rPr>
        <w:t>1</w:t>
      </w:r>
      <w:r>
        <w:rPr>
          <w:rFonts w:hint="eastAsia" w:ascii="仿宋" w:hAnsi="仿宋" w:eastAsia="仿宋" w:cs="仿宋"/>
          <w:color w:val="auto"/>
          <w:kern w:val="0"/>
          <w:sz w:val="24"/>
          <w:szCs w:val="24"/>
          <w:highlight w:val="none"/>
        </w:rPr>
        <w:t>，属于</w:t>
      </w:r>
      <w:r>
        <w:rPr>
          <w:rFonts w:hint="eastAsia" w:ascii="仿宋" w:hAnsi="仿宋" w:eastAsia="仿宋" w:cs="仿宋"/>
          <w:color w:val="auto"/>
          <w:kern w:val="0"/>
          <w:sz w:val="24"/>
          <w:szCs w:val="24"/>
          <w:highlight w:val="none"/>
          <w:u w:val="single"/>
        </w:rPr>
        <w:t>（中型企业、小型企业、微型企业）</w:t>
      </w:r>
      <w:r>
        <w:rPr>
          <w:rFonts w:hint="eastAsia" w:ascii="仿宋" w:hAnsi="仿宋" w:eastAsia="仿宋" w:cs="仿宋"/>
          <w:color w:val="auto"/>
          <w:kern w:val="0"/>
          <w:sz w:val="24"/>
          <w:szCs w:val="24"/>
          <w:highlight w:val="none"/>
        </w:rPr>
        <w:t>；</w:t>
      </w:r>
    </w:p>
    <w:p w14:paraId="4FDF08DD">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r>
        <w:rPr>
          <w:rFonts w:hint="eastAsia" w:ascii="仿宋" w:hAnsi="仿宋" w:eastAsia="仿宋" w:cs="仿宋"/>
          <w:color w:val="auto"/>
          <w:kern w:val="0"/>
          <w:sz w:val="24"/>
          <w:szCs w:val="24"/>
          <w:highlight w:val="none"/>
          <w:u w:val="single"/>
        </w:rPr>
        <w:t>（标的名称）</w:t>
      </w:r>
      <w:r>
        <w:rPr>
          <w:rFonts w:hint="eastAsia" w:ascii="仿宋" w:hAnsi="仿宋" w:eastAsia="仿宋" w:cs="仿宋"/>
          <w:color w:val="auto"/>
          <w:kern w:val="0"/>
          <w:sz w:val="24"/>
          <w:szCs w:val="24"/>
          <w:highlight w:val="none"/>
        </w:rPr>
        <w:t>，属于</w:t>
      </w:r>
      <w:r>
        <w:rPr>
          <w:rFonts w:hint="eastAsia" w:ascii="仿宋" w:hAnsi="仿宋" w:eastAsia="仿宋" w:cs="仿宋"/>
          <w:color w:val="auto"/>
          <w:kern w:val="0"/>
          <w:sz w:val="24"/>
          <w:szCs w:val="24"/>
          <w:highlight w:val="none"/>
          <w:u w:val="single"/>
        </w:rPr>
        <w:t>（采购文件中明确的所属行业：见服务需求一览表）</w:t>
      </w:r>
      <w:r>
        <w:rPr>
          <w:rFonts w:hint="eastAsia" w:ascii="仿宋" w:hAnsi="仿宋" w:eastAsia="仿宋" w:cs="仿宋"/>
          <w:color w:val="auto"/>
          <w:kern w:val="0"/>
          <w:sz w:val="24"/>
          <w:szCs w:val="24"/>
          <w:highlight w:val="none"/>
        </w:rPr>
        <w:t>行业；承建（承接）企业为</w:t>
      </w:r>
      <w:r>
        <w:rPr>
          <w:rFonts w:hint="eastAsia" w:ascii="仿宋" w:hAnsi="仿宋" w:eastAsia="仿宋" w:cs="仿宋"/>
          <w:color w:val="auto"/>
          <w:kern w:val="0"/>
          <w:sz w:val="24"/>
          <w:szCs w:val="24"/>
          <w:highlight w:val="none"/>
          <w:u w:val="single"/>
        </w:rPr>
        <w:t>（企业名称）</w:t>
      </w:r>
      <w:r>
        <w:rPr>
          <w:rFonts w:hint="eastAsia" w:ascii="仿宋" w:hAnsi="仿宋" w:eastAsia="仿宋" w:cs="仿宋"/>
          <w:color w:val="auto"/>
          <w:kern w:val="0"/>
          <w:sz w:val="24"/>
          <w:szCs w:val="24"/>
          <w:highlight w:val="none"/>
        </w:rPr>
        <w:t>，从业人员</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人，营业收入为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万元，资产总额为</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kern w:val="0"/>
          <w:sz w:val="24"/>
          <w:szCs w:val="24"/>
          <w:highlight w:val="none"/>
        </w:rPr>
        <w:t>万元，属于</w:t>
      </w:r>
      <w:r>
        <w:rPr>
          <w:rFonts w:hint="eastAsia" w:ascii="仿宋" w:hAnsi="仿宋" w:eastAsia="仿宋" w:cs="仿宋"/>
          <w:color w:val="auto"/>
          <w:kern w:val="0"/>
          <w:sz w:val="24"/>
          <w:szCs w:val="24"/>
          <w:highlight w:val="none"/>
          <w:u w:val="single"/>
        </w:rPr>
        <w:t>（中型企业、小型企业、微型企业）</w:t>
      </w:r>
      <w:r>
        <w:rPr>
          <w:rFonts w:hint="eastAsia" w:ascii="仿宋" w:hAnsi="仿宋" w:eastAsia="仿宋" w:cs="仿宋"/>
          <w:color w:val="auto"/>
          <w:kern w:val="0"/>
          <w:sz w:val="24"/>
          <w:szCs w:val="24"/>
          <w:highlight w:val="none"/>
        </w:rPr>
        <w:t>；</w:t>
      </w:r>
    </w:p>
    <w:p w14:paraId="0F4602F3">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 </w:t>
      </w:r>
    </w:p>
    <w:p w14:paraId="7CCD7DFF">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以上企业，不属于大企业的分支机构，不存在控股股东为大企业的情形，也不存在与大企业的负责人为同一人的情形。</w:t>
      </w:r>
    </w:p>
    <w:p w14:paraId="13F5FDD7">
      <w:pPr>
        <w:spacing w:beforeLines="0" w:afterLines="0" w:line="360" w:lineRule="auto"/>
        <w:ind w:firstLine="55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本企业对上述声明内容的真实性负责。如有虚假，将依法承担相应责任。</w:t>
      </w:r>
    </w:p>
    <w:p w14:paraId="0E3B854C">
      <w:pPr>
        <w:spacing w:beforeLines="0" w:afterLines="0"/>
        <w:ind w:firstLine="552"/>
        <w:rPr>
          <w:rFonts w:hint="eastAsia" w:ascii="仿宋" w:hAnsi="仿宋" w:eastAsia="仿宋" w:cs="仿宋"/>
          <w:color w:val="auto"/>
          <w:kern w:val="0"/>
          <w:sz w:val="21"/>
          <w:szCs w:val="21"/>
          <w:highlight w:val="none"/>
        </w:rPr>
      </w:pPr>
    </w:p>
    <w:p w14:paraId="4F895A4C">
      <w:pPr>
        <w:spacing w:beforeLines="0" w:afterLines="0" w:line="360" w:lineRule="auto"/>
        <w:ind w:firstLine="480" w:firstLineChars="200"/>
        <w:rPr>
          <w:rFonts w:hint="eastAsia" w:ascii="仿宋" w:hAnsi="仿宋" w:eastAsia="仿宋" w:cs="仿宋"/>
          <w:color w:val="auto"/>
          <w:kern w:val="0"/>
          <w:sz w:val="24"/>
          <w:szCs w:val="22"/>
          <w:highlight w:val="none"/>
        </w:rPr>
      </w:pPr>
      <w:r>
        <w:rPr>
          <w:rFonts w:hint="eastAsia" w:ascii="仿宋" w:hAnsi="仿宋" w:eastAsia="仿宋" w:cs="仿宋"/>
          <w:color w:val="auto"/>
          <w:kern w:val="0"/>
          <w:sz w:val="24"/>
          <w:szCs w:val="22"/>
          <w:highlight w:val="none"/>
        </w:rPr>
        <w:t>1从业人员、营业收入、资产总额填报上一年度数据，无上一年度数据的新成立企业可不填报。</w:t>
      </w:r>
    </w:p>
    <w:p w14:paraId="4CE78F53">
      <w:pPr>
        <w:autoSpaceDE w:val="0"/>
        <w:autoSpaceDN w:val="0"/>
        <w:spacing w:beforeLines="0" w:afterLines="0" w:line="360" w:lineRule="auto"/>
        <w:ind w:left="4920"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48328BB6">
      <w:pPr>
        <w:autoSpaceDE w:val="0"/>
        <w:autoSpaceDN w:val="0"/>
        <w:spacing w:beforeLines="0" w:afterLines="0" w:line="360" w:lineRule="auto"/>
        <w:ind w:firstLine="6480" w:firstLineChars="2700"/>
        <w:rPr>
          <w:rFonts w:hint="eastAsia" w:ascii="仿宋" w:hAnsi="仿宋" w:eastAsia="仿宋" w:cs="仿宋"/>
          <w:color w:val="auto"/>
          <w:kern w:val="0"/>
          <w:sz w:val="24"/>
          <w:szCs w:val="24"/>
          <w:highlight w:val="none"/>
          <w:lang w:val="zh-CN"/>
        </w:rPr>
      </w:pPr>
      <w:r>
        <w:rPr>
          <w:rFonts w:hint="eastAsia" w:ascii="仿宋" w:hAnsi="仿宋" w:eastAsia="仿宋" w:cs="仿宋"/>
          <w:color w:val="auto"/>
          <w:kern w:val="0"/>
          <w:sz w:val="24"/>
          <w:szCs w:val="24"/>
          <w:highlight w:val="none"/>
          <w:lang w:val="zh-CN"/>
        </w:rPr>
        <w:t>日期：  年  月   日</w:t>
      </w:r>
    </w:p>
    <w:p w14:paraId="26C52A04">
      <w:pPr>
        <w:spacing w:beforeLines="0" w:afterLines="0" w:line="360" w:lineRule="auto"/>
        <w:ind w:left="3960" w:right="1808"/>
        <w:rPr>
          <w:rFonts w:hint="eastAsia" w:ascii="仿宋" w:hAnsi="仿宋" w:eastAsia="仿宋" w:cs="仿宋"/>
          <w:color w:val="auto"/>
          <w:sz w:val="21"/>
          <w:szCs w:val="24"/>
          <w:highlight w:val="none"/>
        </w:rPr>
      </w:pPr>
    </w:p>
    <w:p w14:paraId="44886B7A">
      <w:pPr>
        <w:tabs>
          <w:tab w:val="left" w:pos="7980"/>
        </w:tabs>
        <w:spacing w:beforeLines="0" w:afterLines="0" w:line="360" w:lineRule="auto"/>
        <w:jc w:val="left"/>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注：享受《政府采购促进中小企业发展管理办法》（财库〔2020〕46号）规定的小微企业扶持政策的，采购人、采购代理机构应当随成交结果公开成交供应商的《小微企业声明函》。从业人员、营业收入、资产总额填报上一年度数据，无上一年度数据的新成立企业可不填报。</w:t>
      </w:r>
    </w:p>
    <w:p w14:paraId="3228E3CF">
      <w:pPr>
        <w:snapToGrid w:val="0"/>
        <w:spacing w:before="120" w:beforeLines="50" w:after="50" w:afterLines="0" w:line="360" w:lineRule="auto"/>
        <w:outlineLvl w:val="1"/>
        <w:rPr>
          <w:rFonts w:hint="eastAsia" w:ascii="仿宋" w:hAnsi="仿宋" w:eastAsia="仿宋" w:cs="仿宋"/>
          <w:b/>
          <w:color w:val="auto"/>
          <w:sz w:val="32"/>
          <w:szCs w:val="32"/>
          <w:highlight w:val="none"/>
        </w:rPr>
        <w:sectPr>
          <w:pgSz w:w="11911" w:h="16838"/>
          <w:pgMar w:top="1417" w:right="1417" w:bottom="1417" w:left="1417" w:header="720" w:footer="720" w:gutter="0"/>
          <w:lnNumType w:countBy="0" w:distance="360"/>
          <w:cols w:space="720" w:num="1"/>
          <w:docGrid w:linePitch="1" w:charSpace="0"/>
        </w:sectPr>
      </w:pPr>
    </w:p>
    <w:p w14:paraId="130A9EE4">
      <w:pPr>
        <w:spacing w:beforeLines="0" w:afterLines="0" w:line="52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sz w:val="44"/>
          <w:szCs w:val="44"/>
          <w:highlight w:val="none"/>
        </w:rPr>
        <w:t>残疾人福利性单位声明函</w:t>
      </w:r>
    </w:p>
    <w:p w14:paraId="77DF2115">
      <w:pPr>
        <w:spacing w:beforeLines="0" w:afterLines="0" w:line="520" w:lineRule="exact"/>
        <w:rPr>
          <w:rFonts w:hint="eastAsia" w:ascii="仿宋" w:hAnsi="仿宋" w:eastAsia="仿宋" w:cs="仿宋"/>
          <w:color w:val="auto"/>
          <w:sz w:val="32"/>
          <w:szCs w:val="32"/>
          <w:highlight w:val="none"/>
        </w:rPr>
      </w:pPr>
    </w:p>
    <w:p w14:paraId="65F8486A">
      <w:pPr>
        <w:spacing w:beforeLines="0" w:afterLines="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单位的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项目采购活动由本单位提供服务。</w:t>
      </w:r>
    </w:p>
    <w:p w14:paraId="1676BE73">
      <w:pPr>
        <w:spacing w:beforeLines="0" w:afterLines="0"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本单位对上述声明的真实性负责。如有虚假，将依法承担相应责任。</w:t>
      </w:r>
    </w:p>
    <w:p w14:paraId="5085318C">
      <w:pPr>
        <w:spacing w:beforeLines="0" w:afterLines="0" w:line="360" w:lineRule="auto"/>
        <w:rPr>
          <w:rFonts w:hint="eastAsia" w:ascii="仿宋" w:hAnsi="仿宋" w:eastAsia="仿宋" w:cs="仿宋"/>
          <w:color w:val="auto"/>
          <w:sz w:val="24"/>
          <w:szCs w:val="24"/>
          <w:highlight w:val="none"/>
        </w:rPr>
      </w:pPr>
    </w:p>
    <w:p w14:paraId="7FB6F7E3">
      <w:pPr>
        <w:spacing w:beforeLines="0" w:afterLines="0" w:line="360" w:lineRule="auto"/>
        <w:rPr>
          <w:rFonts w:hint="eastAsia" w:ascii="仿宋" w:hAnsi="仿宋" w:eastAsia="仿宋" w:cs="仿宋"/>
          <w:color w:val="auto"/>
          <w:sz w:val="24"/>
          <w:szCs w:val="24"/>
          <w:highlight w:val="none"/>
        </w:rPr>
      </w:pPr>
    </w:p>
    <w:p w14:paraId="4EBDF592">
      <w:pPr>
        <w:spacing w:beforeLines="0" w:afterLines="0" w:line="360" w:lineRule="auto"/>
        <w:rPr>
          <w:rFonts w:hint="eastAsia" w:ascii="仿宋" w:hAnsi="仿宋" w:eastAsia="仿宋" w:cs="仿宋"/>
          <w:color w:val="auto"/>
          <w:sz w:val="24"/>
          <w:szCs w:val="24"/>
          <w:highlight w:val="none"/>
        </w:rPr>
      </w:pPr>
    </w:p>
    <w:p w14:paraId="4865869F">
      <w:pPr>
        <w:spacing w:beforeLines="0" w:afterLines="0" w:line="360" w:lineRule="auto"/>
        <w:ind w:firstLine="2400" w:firstLineChars="10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供应商名称（电子签章）：</w:t>
      </w:r>
    </w:p>
    <w:p w14:paraId="3395746F">
      <w:pPr>
        <w:spacing w:beforeLines="0" w:afterLines="0" w:line="360" w:lineRule="auto"/>
        <w:ind w:firstLine="4320" w:firstLineChars="18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     年   月   日</w:t>
      </w:r>
    </w:p>
    <w:p w14:paraId="46B77017">
      <w:pPr>
        <w:spacing w:beforeLines="0" w:afterLines="0" w:line="360" w:lineRule="auto"/>
        <w:rPr>
          <w:rFonts w:hint="eastAsia" w:ascii="仿宋" w:hAnsi="仿宋" w:eastAsia="仿宋" w:cs="仿宋"/>
          <w:color w:val="auto"/>
          <w:sz w:val="24"/>
          <w:szCs w:val="24"/>
          <w:highlight w:val="none"/>
        </w:rPr>
      </w:pPr>
    </w:p>
    <w:p w14:paraId="42FD4687">
      <w:pPr>
        <w:spacing w:beforeLines="0" w:afterLines="0" w:line="360" w:lineRule="auto"/>
        <w:rPr>
          <w:rFonts w:hint="eastAsia" w:ascii="仿宋" w:hAnsi="仿宋" w:eastAsia="仿宋" w:cs="仿宋"/>
          <w:color w:val="auto"/>
          <w:sz w:val="24"/>
          <w:szCs w:val="24"/>
          <w:highlight w:val="none"/>
        </w:rPr>
      </w:pPr>
    </w:p>
    <w:p w14:paraId="4A867AF5">
      <w:pPr>
        <w:spacing w:beforeLines="0" w:afterLines="0" w:line="360" w:lineRule="auto"/>
        <w:rPr>
          <w:rFonts w:hint="eastAsia" w:ascii="仿宋" w:hAnsi="仿宋" w:eastAsia="仿宋" w:cs="仿宋"/>
          <w:color w:val="auto"/>
          <w:sz w:val="24"/>
          <w:szCs w:val="24"/>
          <w:highlight w:val="none"/>
        </w:rPr>
      </w:pPr>
    </w:p>
    <w:p w14:paraId="67E9EBD2">
      <w:pPr>
        <w:spacing w:beforeLines="0" w:afterLines="0"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注：请根据自己的真实情况出具《残疾人福利性单位声明函》。依法享受小微企业优惠政策的，采购人或者采购代理机构在公告中标结果时，同时公告其《残疾人福利性单位声明函》，接受社会监督。</w:t>
      </w:r>
    </w:p>
    <w:p w14:paraId="12CE95AE">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7143592F">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6AC68517">
      <w:pP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br w:type="page"/>
      </w:r>
    </w:p>
    <w:p w14:paraId="175C1257">
      <w:pPr>
        <w:snapToGrid w:val="0"/>
        <w:spacing w:line="360" w:lineRule="auto"/>
        <w:ind w:firstLine="602" w:firstLineChars="200"/>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lang w:val="en-US" w:eastAsia="zh-CN"/>
        </w:rPr>
        <w:t>九、分包承诺书</w:t>
      </w:r>
    </w:p>
    <w:p w14:paraId="70029B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分包承诺书</w:t>
      </w:r>
    </w:p>
    <w:p w14:paraId="253924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p>
    <w:p w14:paraId="5E94BF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[采购单位全称]</w:t>
      </w:r>
      <w:r>
        <w:rPr>
          <w:rFonts w:hint="eastAsia" w:ascii="仿宋" w:hAnsi="仿宋" w:eastAsia="仿宋" w:cs="仿宋"/>
          <w:color w:val="auto"/>
          <w:sz w:val="24"/>
          <w:szCs w:val="24"/>
          <w:highlight w:val="none"/>
        </w:rPr>
        <w:t>​</w:t>
      </w:r>
    </w:p>
    <w:p w14:paraId="3AADE8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val="en-US" w:eastAsia="zh-CN"/>
        </w:rPr>
        <w:t>采购文件要求，</w:t>
      </w:r>
      <w:r>
        <w:rPr>
          <w:rFonts w:hint="eastAsia" w:ascii="仿宋" w:hAnsi="仿宋" w:eastAsia="仿宋" w:cs="仿宋"/>
          <w:color w:val="auto"/>
          <w:sz w:val="24"/>
          <w:szCs w:val="24"/>
          <w:highlight w:val="none"/>
          <w:u w:val="single"/>
          <w:lang w:val="en-US" w:eastAsia="zh-CN"/>
        </w:rPr>
        <w:t xml:space="preserve"> （供应商名称） </w:t>
      </w:r>
      <w:r>
        <w:rPr>
          <w:rFonts w:hint="eastAsia" w:ascii="仿宋" w:hAnsi="仿宋" w:eastAsia="仿宋" w:cs="仿宋"/>
          <w:color w:val="auto"/>
          <w:sz w:val="24"/>
          <w:szCs w:val="24"/>
          <w:highlight w:val="none"/>
          <w:lang w:val="en-US" w:eastAsia="zh-CN"/>
        </w:rPr>
        <w:t>参与</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项目名称、项目编号</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val="en-US" w:eastAsia="zh-CN"/>
        </w:rPr>
        <w:t>的投标</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现</w:t>
      </w:r>
      <w:r>
        <w:rPr>
          <w:rFonts w:hint="eastAsia" w:ascii="仿宋" w:hAnsi="仿宋" w:eastAsia="仿宋" w:cs="仿宋"/>
          <w:color w:val="auto"/>
          <w:sz w:val="24"/>
          <w:szCs w:val="24"/>
          <w:highlight w:val="none"/>
        </w:rPr>
        <w:t>就分包事宜承诺如下：​</w:t>
      </w:r>
    </w:p>
    <w:p w14:paraId="06049B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因本单位不具备本项目检测范围内的“保健食品”、“特殊膳食食品”、“特殊医学用途配方食品”、“婴幼儿配方食品”相应检测资质，且经</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书面批准后，可分包给具备相应检测资质的单位实施。​</w:t>
      </w:r>
    </w:p>
    <w:p w14:paraId="6F613B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拟分包单位</w:t>
      </w:r>
      <w:r>
        <w:rPr>
          <w:rFonts w:hint="eastAsia" w:ascii="仿宋" w:hAnsi="仿宋" w:eastAsia="仿宋" w:cs="仿宋"/>
          <w:color w:val="auto"/>
          <w:sz w:val="24"/>
          <w:szCs w:val="24"/>
          <w:highlight w:val="none"/>
          <w:u w:val="single"/>
          <w:lang w:val="en-US" w:eastAsia="zh-CN"/>
        </w:rPr>
        <w:t xml:space="preserve"> （分包单位名称） </w:t>
      </w:r>
      <w:r>
        <w:rPr>
          <w:rFonts w:hint="eastAsia" w:ascii="仿宋" w:hAnsi="仿宋" w:eastAsia="仿宋" w:cs="仿宋"/>
          <w:color w:val="auto"/>
          <w:sz w:val="24"/>
          <w:szCs w:val="24"/>
          <w:highlight w:val="none"/>
        </w:rPr>
        <w:t>具备本项目检测范围内的“保健食品”、“特殊膳食食品”、“特殊医学用途配方食品”、“婴幼儿配方食品”相应检测资质，其检测能力已纳入《食品检验机构资质认定评审准则》认可范围</w:t>
      </w:r>
      <w:r>
        <w:rPr>
          <w:rFonts w:hint="eastAsia" w:ascii="仿宋" w:hAnsi="仿宋" w:eastAsia="仿宋" w:cs="仿宋"/>
          <w:color w:val="auto"/>
          <w:sz w:val="24"/>
          <w:szCs w:val="24"/>
          <w:highlight w:val="none"/>
          <w:lang w:eastAsia="zh-CN"/>
        </w:rPr>
        <w:t>。</w:t>
      </w:r>
    </w:p>
    <w:p w14:paraId="7121D6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我公司承诺：</w:t>
      </w:r>
      <w:r>
        <w:rPr>
          <w:rFonts w:hint="eastAsia" w:ascii="仿宋" w:hAnsi="仿宋" w:eastAsia="仿宋" w:cs="仿宋"/>
          <w:color w:val="auto"/>
          <w:sz w:val="24"/>
          <w:szCs w:val="24"/>
          <w:highlight w:val="none"/>
        </w:rPr>
        <w:t>分包比例严格控制在合同总金额</w:t>
      </w:r>
      <w:r>
        <w:rPr>
          <w:rFonts w:hint="eastAsia" w:ascii="仿宋" w:hAnsi="仿宋" w:eastAsia="仿宋" w:cs="仿宋"/>
          <w:color w:val="auto"/>
          <w:sz w:val="24"/>
          <w:szCs w:val="24"/>
          <w:highlight w:val="none"/>
          <w:u w:val="single"/>
        </w:rPr>
        <w:t xml:space="preserve"> 1% </w:t>
      </w:r>
      <w:r>
        <w:rPr>
          <w:rFonts w:hint="eastAsia" w:ascii="仿宋" w:hAnsi="仿宋" w:eastAsia="仿宋" w:cs="仿宋"/>
          <w:color w:val="auto"/>
          <w:sz w:val="24"/>
          <w:szCs w:val="24"/>
          <w:highlight w:val="none"/>
        </w:rPr>
        <w:t>以内（具体金额：大写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元，小写￥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），不拆分分包、不超额分包。​</w:t>
      </w:r>
    </w:p>
    <w:p w14:paraId="06D0DA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本单位对分包检测工作的整体质量负总责，若分包单位未按标准检测，本单位自接到通知后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1</w:t>
      </w:r>
      <w:r>
        <w:rPr>
          <w:rFonts w:hint="eastAsia" w:ascii="仿宋" w:hAnsi="仿宋" w:eastAsia="仿宋" w:cs="仿宋"/>
          <w:color w:val="auto"/>
          <w:sz w:val="24"/>
          <w:szCs w:val="24"/>
          <w:highlight w:val="none"/>
          <w:u w:val="single"/>
        </w:rPr>
        <w:t xml:space="preserve">小时 </w:t>
      </w:r>
      <w:r>
        <w:rPr>
          <w:rFonts w:hint="eastAsia" w:ascii="仿宋" w:hAnsi="仿宋" w:eastAsia="仿宋" w:cs="仿宋"/>
          <w:color w:val="auto"/>
          <w:sz w:val="24"/>
          <w:szCs w:val="24"/>
          <w:highlight w:val="none"/>
        </w:rPr>
        <w:t>内启动整改，并承担由此产生的全部赔偿费用（包括但不限于重新检测费、采购人违约金、第三方损失赔偿等），且不延误项目整体工期。​</w:t>
      </w:r>
    </w:p>
    <w:p w14:paraId="1E3B09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若本单位违反上述任何一项承诺，视为严重违约，给予</w:t>
      </w:r>
      <w:r>
        <w:rPr>
          <w:rFonts w:hint="eastAsia" w:ascii="仿宋" w:hAnsi="仿宋" w:eastAsia="仿宋" w:cs="仿宋"/>
          <w:color w:val="auto"/>
          <w:sz w:val="24"/>
          <w:szCs w:val="24"/>
          <w:highlight w:val="none"/>
          <w:lang w:val="en-US" w:eastAsia="zh-CN"/>
        </w:rPr>
        <w:t>采购人</w:t>
      </w:r>
      <w:r>
        <w:rPr>
          <w:rFonts w:hint="eastAsia" w:ascii="仿宋" w:hAnsi="仿宋" w:eastAsia="仿宋" w:cs="仿宋"/>
          <w:color w:val="auto"/>
          <w:sz w:val="24"/>
          <w:szCs w:val="24"/>
          <w:highlight w:val="none"/>
        </w:rPr>
        <w:t>经济赔偿，赔偿金额按合同法有关规定执行。</w:t>
      </w:r>
    </w:p>
    <w:p w14:paraId="782C10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p>
    <w:p w14:paraId="4A0421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承诺人（盖章）： ​</w:t>
      </w:r>
    </w:p>
    <w:p w14:paraId="5C5BA23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法定代表人或委托代理人（签字或盖章）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12FAA3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日</w:t>
      </w:r>
    </w:p>
    <w:p w14:paraId="6C62B2C4">
      <w:pP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p>
    <w:p w14:paraId="03207BD7">
      <w:pPr>
        <w:snapToGrid w:val="0"/>
        <w:spacing w:line="360" w:lineRule="auto"/>
        <w:ind w:firstLine="602" w:firstLineChars="200"/>
        <w:rPr>
          <w:rFonts w:hint="eastAsia" w:ascii="仿宋" w:hAnsi="仿宋" w:eastAsia="仿宋" w:cs="仿宋"/>
          <w:b/>
          <w:color w:val="auto"/>
          <w:sz w:val="30"/>
          <w:szCs w:val="30"/>
          <w:highlight w:val="none"/>
          <w:lang w:val="en-US" w:eastAsia="zh-CN"/>
        </w:rPr>
      </w:pPr>
      <w:r>
        <w:rPr>
          <w:rFonts w:hint="eastAsia" w:ascii="仿宋" w:hAnsi="仿宋" w:eastAsia="仿宋" w:cs="仿宋"/>
          <w:b/>
          <w:color w:val="auto"/>
          <w:sz w:val="30"/>
          <w:szCs w:val="30"/>
          <w:highlight w:val="none"/>
          <w:lang w:val="en-US" w:eastAsia="zh-CN"/>
        </w:rPr>
        <w:t>十、承诺书</w:t>
      </w:r>
    </w:p>
    <w:p w14:paraId="6078E5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承诺书</w:t>
      </w:r>
    </w:p>
    <w:p w14:paraId="440E60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[采购单位全称]</w:t>
      </w:r>
      <w:r>
        <w:rPr>
          <w:rFonts w:hint="eastAsia" w:ascii="仿宋" w:hAnsi="仿宋" w:eastAsia="仿宋" w:cs="仿宋"/>
          <w:color w:val="auto"/>
          <w:sz w:val="24"/>
          <w:szCs w:val="24"/>
          <w:highlight w:val="none"/>
        </w:rPr>
        <w:t>​</w:t>
      </w:r>
    </w:p>
    <w:p w14:paraId="255D06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val="en-US" w:eastAsia="zh-CN"/>
        </w:rPr>
        <w:t>采购文件要求，</w:t>
      </w:r>
      <w:r>
        <w:rPr>
          <w:rFonts w:hint="eastAsia" w:ascii="仿宋" w:hAnsi="仿宋" w:eastAsia="仿宋" w:cs="仿宋"/>
          <w:color w:val="auto"/>
          <w:sz w:val="24"/>
          <w:szCs w:val="24"/>
          <w:highlight w:val="none"/>
          <w:u w:val="single"/>
          <w:lang w:val="en-US" w:eastAsia="zh-CN"/>
        </w:rPr>
        <w:t xml:space="preserve"> （供应商名称） </w:t>
      </w:r>
      <w:r>
        <w:rPr>
          <w:rFonts w:hint="eastAsia" w:ascii="仿宋" w:hAnsi="仿宋" w:eastAsia="仿宋" w:cs="仿宋"/>
          <w:color w:val="auto"/>
          <w:sz w:val="24"/>
          <w:szCs w:val="24"/>
          <w:highlight w:val="none"/>
          <w:lang w:val="en-US" w:eastAsia="zh-CN"/>
        </w:rPr>
        <w:t>参与</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lang w:val="en-US" w:eastAsia="zh-CN"/>
        </w:rPr>
        <w:t>项目名称、项目编号</w:t>
      </w:r>
      <w:r>
        <w:rPr>
          <w:rFonts w:hint="eastAsia" w:ascii="仿宋" w:hAnsi="仿宋" w:eastAsia="仿宋" w:cs="仿宋"/>
          <w:color w:val="auto"/>
          <w:sz w:val="24"/>
          <w:szCs w:val="24"/>
          <w:highlight w:val="none"/>
          <w:u w:val="single"/>
          <w:lang w:eastAsia="zh-CN"/>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val="en-US" w:eastAsia="zh-CN"/>
        </w:rPr>
        <w:t>的投标</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我公司承诺</w:t>
      </w:r>
      <w:r>
        <w:rPr>
          <w:rFonts w:hint="eastAsia" w:ascii="仿宋" w:hAnsi="仿宋" w:eastAsia="仿宋" w:cs="仿宋"/>
          <w:color w:val="auto"/>
          <w:sz w:val="24"/>
          <w:szCs w:val="24"/>
          <w:highlight w:val="none"/>
        </w:rPr>
        <w:t>：​</w:t>
      </w:r>
    </w:p>
    <w:p w14:paraId="1320C8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本单位具备本项目检测范围内的“保健食品”、“特殊膳食食品”、“特殊医学用途配方食品”、“婴幼儿配方食品”相应检测资质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且</w:t>
      </w:r>
      <w:r>
        <w:rPr>
          <w:rFonts w:hint="eastAsia" w:ascii="仿宋" w:hAnsi="仿宋" w:eastAsia="仿宋" w:cs="仿宋"/>
          <w:color w:val="auto"/>
          <w:sz w:val="24"/>
          <w:szCs w:val="24"/>
          <w:highlight w:val="none"/>
        </w:rPr>
        <w:t>检测能力已纳入《食品检验机构资质认定评审准则》认可范围</w:t>
      </w:r>
      <w:r>
        <w:rPr>
          <w:rFonts w:hint="eastAsia" w:ascii="仿宋" w:hAnsi="仿宋" w:eastAsia="仿宋" w:cs="仿宋"/>
          <w:color w:val="auto"/>
          <w:sz w:val="24"/>
          <w:szCs w:val="24"/>
          <w:highlight w:val="none"/>
          <w:lang w:eastAsia="zh-CN"/>
        </w:rPr>
        <w:t>。</w:t>
      </w:r>
    </w:p>
    <w:p w14:paraId="249FBE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p>
    <w:p w14:paraId="181E349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p>
    <w:p w14:paraId="0A9C4A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承诺人（盖章）： ​</w:t>
      </w:r>
    </w:p>
    <w:p w14:paraId="689515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法定代表人或委托代理人（签字或盖章）</w:t>
      </w:r>
      <w:r>
        <w:rPr>
          <w:rFonts w:hint="eastAsia" w:ascii="仿宋" w:hAnsi="仿宋" w:eastAsia="仿宋" w:cs="仿宋"/>
          <w:color w:val="auto"/>
          <w:sz w:val="24"/>
          <w:szCs w:val="24"/>
          <w:highlight w:val="none"/>
        </w:rPr>
        <w:t>： __________​</w:t>
      </w:r>
    </w:p>
    <w:p w14:paraId="1BDD94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日期：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年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日</w:t>
      </w:r>
    </w:p>
    <w:p w14:paraId="098DC2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rPr>
      </w:pPr>
    </w:p>
    <w:p w14:paraId="71592DBC">
      <w:pPr>
        <w:bidi w:val="0"/>
        <w:rPr>
          <w:rFonts w:hint="eastAsia" w:ascii="仿宋" w:hAnsi="仿宋" w:eastAsia="仿宋" w:cs="仿宋"/>
          <w:color w:val="auto"/>
          <w:highlight w:val="none"/>
        </w:rPr>
      </w:pPr>
    </w:p>
    <w:p w14:paraId="0BB3D892">
      <w:pPr>
        <w:bidi w:val="0"/>
        <w:rPr>
          <w:rFonts w:hint="eastAsia" w:ascii="仿宋" w:hAnsi="仿宋" w:eastAsia="仿宋" w:cs="仿宋"/>
          <w:color w:val="auto"/>
          <w:highlight w:val="none"/>
        </w:rPr>
      </w:pPr>
    </w:p>
    <w:p w14:paraId="56A989F2">
      <w:pPr>
        <w:bidi w:val="0"/>
        <w:rPr>
          <w:rFonts w:hint="eastAsia" w:ascii="仿宋" w:hAnsi="仿宋" w:eastAsia="仿宋" w:cs="仿宋"/>
          <w:color w:val="auto"/>
          <w:highlight w:val="none"/>
        </w:rPr>
      </w:pPr>
    </w:p>
    <w:p w14:paraId="5E15F8AB">
      <w:pPr>
        <w:bidi w:val="0"/>
        <w:rPr>
          <w:rFonts w:hint="eastAsia" w:ascii="仿宋" w:hAnsi="仿宋" w:eastAsia="仿宋" w:cs="仿宋"/>
          <w:color w:val="auto"/>
          <w:highlight w:val="none"/>
        </w:rPr>
      </w:pPr>
    </w:p>
    <w:p w14:paraId="00818607">
      <w:pPr>
        <w:bidi w:val="0"/>
        <w:rPr>
          <w:rFonts w:hint="eastAsia"/>
          <w:color w:val="auto"/>
          <w:highlight w:val="none"/>
        </w:rPr>
      </w:pPr>
    </w:p>
    <w:p w14:paraId="1F224661">
      <w:pPr>
        <w:rPr>
          <w:rFonts w:hint="eastAsia"/>
          <w:color w:val="auto"/>
          <w:highlight w:val="none"/>
        </w:rPr>
      </w:pPr>
      <w:r>
        <w:rPr>
          <w:rFonts w:hint="eastAsia"/>
          <w:color w:val="auto"/>
          <w:highlight w:val="none"/>
        </w:rPr>
        <w:br w:type="page"/>
      </w:r>
    </w:p>
    <w:p w14:paraId="3C5D5427">
      <w:pPr>
        <w:pStyle w:val="3"/>
        <w:jc w:val="center"/>
        <w:rPr>
          <w:rFonts w:hint="eastAsia" w:ascii="仿宋" w:hAnsi="仿宋" w:eastAsia="仿宋" w:cs="仿宋"/>
          <w:b w:val="0"/>
          <w:color w:val="auto"/>
          <w:highlight w:val="none"/>
        </w:rPr>
      </w:pPr>
      <w:bookmarkStart w:id="88" w:name="_Toc80205940"/>
      <w:bookmarkStart w:id="89" w:name="_Toc17049"/>
      <w:bookmarkStart w:id="90" w:name="_Toc2955"/>
      <w:r>
        <w:rPr>
          <w:rFonts w:hint="eastAsia" w:ascii="仿宋" w:hAnsi="仿宋" w:eastAsia="仿宋" w:cs="仿宋"/>
          <w:b w:val="0"/>
          <w:bCs w:val="0"/>
          <w:color w:val="auto"/>
          <w:highlight w:val="none"/>
        </w:rPr>
        <w:t xml:space="preserve">第三节 </w:t>
      </w:r>
      <w:r>
        <w:rPr>
          <w:rFonts w:hint="eastAsia" w:ascii="仿宋" w:hAnsi="仿宋" w:eastAsia="仿宋" w:cs="仿宋"/>
          <w:b w:val="0"/>
          <w:color w:val="auto"/>
          <w:highlight w:val="none"/>
        </w:rPr>
        <w:t>商务</w:t>
      </w:r>
      <w:r>
        <w:rPr>
          <w:rFonts w:hint="eastAsia" w:ascii="仿宋" w:hAnsi="仿宋" w:eastAsia="仿宋" w:cs="仿宋"/>
          <w:b w:val="0"/>
          <w:color w:val="auto"/>
          <w:highlight w:val="none"/>
          <w:lang w:val="en-US" w:eastAsia="zh-CN"/>
        </w:rPr>
        <w:t>技术</w:t>
      </w:r>
      <w:r>
        <w:rPr>
          <w:rFonts w:hint="eastAsia" w:ascii="仿宋" w:hAnsi="仿宋" w:eastAsia="仿宋" w:cs="仿宋"/>
          <w:b w:val="0"/>
          <w:color w:val="auto"/>
          <w:highlight w:val="none"/>
        </w:rPr>
        <w:t>文件格式</w:t>
      </w:r>
      <w:bookmarkEnd w:id="88"/>
      <w:bookmarkEnd w:id="89"/>
      <w:bookmarkEnd w:id="90"/>
    </w:p>
    <w:p w14:paraId="187D533E">
      <w:pPr>
        <w:snapToGrid w:val="0"/>
        <w:spacing w:before="120"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6773986A">
      <w:pPr>
        <w:snapToGrid w:val="0"/>
        <w:spacing w:before="120" w:beforeLines="50" w:after="50"/>
        <w:rPr>
          <w:rFonts w:hint="eastAsia" w:ascii="仿宋" w:hAnsi="仿宋" w:eastAsia="仿宋" w:cs="仿宋"/>
          <w:color w:val="auto"/>
          <w:sz w:val="24"/>
          <w:szCs w:val="20"/>
          <w:highlight w:val="none"/>
        </w:rPr>
      </w:pPr>
    </w:p>
    <w:p w14:paraId="37A17A1C">
      <w:pPr>
        <w:snapToGrid w:val="0"/>
        <w:spacing w:before="120" w:beforeLines="50" w:after="50"/>
        <w:rPr>
          <w:rFonts w:hint="eastAsia" w:ascii="仿宋" w:hAnsi="仿宋" w:eastAsia="仿宋" w:cs="仿宋"/>
          <w:color w:val="auto"/>
          <w:sz w:val="24"/>
          <w:szCs w:val="20"/>
          <w:highlight w:val="none"/>
        </w:rPr>
      </w:pPr>
    </w:p>
    <w:p w14:paraId="3C1DEDEC">
      <w:pPr>
        <w:snapToGrid w:val="0"/>
        <w:spacing w:before="120" w:beforeLines="50" w:after="50"/>
        <w:rPr>
          <w:rFonts w:hint="eastAsia" w:ascii="仿宋" w:hAnsi="仿宋" w:eastAsia="仿宋" w:cs="仿宋"/>
          <w:color w:val="auto"/>
          <w:sz w:val="24"/>
          <w:szCs w:val="20"/>
          <w:highlight w:val="none"/>
        </w:rPr>
      </w:pPr>
    </w:p>
    <w:p w14:paraId="08F66044">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 xml:space="preserve">商  务 </w:t>
      </w:r>
      <w:r>
        <w:rPr>
          <w:rFonts w:hint="eastAsia" w:ascii="仿宋" w:hAnsi="仿宋" w:eastAsia="仿宋" w:cs="仿宋"/>
          <w:bCs/>
          <w:color w:val="auto"/>
          <w:sz w:val="44"/>
          <w:szCs w:val="44"/>
          <w:highlight w:val="none"/>
          <w:lang w:val="en-US" w:eastAsia="zh-CN"/>
        </w:rPr>
        <w:t xml:space="preserve">技 术 </w:t>
      </w:r>
      <w:r>
        <w:rPr>
          <w:rFonts w:hint="eastAsia" w:ascii="仿宋" w:hAnsi="仿宋" w:eastAsia="仿宋" w:cs="仿宋"/>
          <w:bCs/>
          <w:color w:val="auto"/>
          <w:sz w:val="44"/>
          <w:szCs w:val="44"/>
          <w:highlight w:val="none"/>
        </w:rPr>
        <w:t xml:space="preserve"> 文  件（封面）</w:t>
      </w:r>
    </w:p>
    <w:p w14:paraId="5EAB69DB">
      <w:pPr>
        <w:snapToGrid w:val="0"/>
        <w:spacing w:before="120" w:beforeLines="50" w:after="50"/>
        <w:rPr>
          <w:rFonts w:hint="eastAsia" w:ascii="仿宋" w:hAnsi="仿宋" w:eastAsia="仿宋" w:cs="仿宋"/>
          <w:bCs/>
          <w:color w:val="auto"/>
          <w:sz w:val="24"/>
          <w:szCs w:val="20"/>
          <w:highlight w:val="none"/>
        </w:rPr>
      </w:pPr>
    </w:p>
    <w:p w14:paraId="63431A77">
      <w:pPr>
        <w:snapToGrid w:val="0"/>
        <w:spacing w:before="120" w:beforeLines="50" w:after="50"/>
        <w:rPr>
          <w:rFonts w:hint="eastAsia" w:ascii="仿宋" w:hAnsi="仿宋" w:eastAsia="仿宋" w:cs="仿宋"/>
          <w:bCs/>
          <w:color w:val="auto"/>
          <w:sz w:val="24"/>
          <w:szCs w:val="20"/>
          <w:highlight w:val="none"/>
        </w:rPr>
      </w:pPr>
    </w:p>
    <w:p w14:paraId="02E69783">
      <w:pPr>
        <w:snapToGrid w:val="0"/>
        <w:spacing w:before="120" w:beforeLines="50" w:after="50"/>
        <w:rPr>
          <w:rFonts w:hint="eastAsia" w:ascii="仿宋" w:hAnsi="仿宋" w:eastAsia="仿宋" w:cs="仿宋"/>
          <w:bCs/>
          <w:color w:val="auto"/>
          <w:sz w:val="24"/>
          <w:szCs w:val="20"/>
          <w:highlight w:val="none"/>
        </w:rPr>
      </w:pPr>
    </w:p>
    <w:p w14:paraId="77478929">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项目名称：[项目名称]</w:t>
      </w:r>
    </w:p>
    <w:p w14:paraId="13E252A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项目编号：[项目编号]</w:t>
      </w:r>
    </w:p>
    <w:p w14:paraId="4C4C49CF">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1C645106">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10D95380">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供应商地址：</w:t>
      </w:r>
    </w:p>
    <w:p w14:paraId="39145AFE">
      <w:pPr>
        <w:pStyle w:val="8"/>
        <w:snapToGrid w:val="0"/>
        <w:spacing w:before="50" w:after="50"/>
        <w:ind w:firstLine="640" w:firstLineChars="200"/>
        <w:rPr>
          <w:rFonts w:hint="eastAsia" w:ascii="仿宋" w:hAnsi="仿宋" w:eastAsia="仿宋" w:cs="仿宋"/>
          <w:bCs/>
          <w:color w:val="auto"/>
          <w:sz w:val="32"/>
          <w:szCs w:val="32"/>
          <w:highlight w:val="none"/>
        </w:rPr>
      </w:pPr>
    </w:p>
    <w:p w14:paraId="655FFE11">
      <w:pPr>
        <w:pStyle w:val="8"/>
        <w:snapToGrid w:val="0"/>
        <w:spacing w:before="50" w:after="50"/>
        <w:ind w:firstLine="720" w:firstLineChars="225"/>
        <w:rPr>
          <w:rFonts w:hint="eastAsia" w:ascii="仿宋" w:hAnsi="仿宋" w:eastAsia="仿宋" w:cs="仿宋"/>
          <w:bCs/>
          <w:color w:val="auto"/>
          <w:sz w:val="32"/>
          <w:szCs w:val="32"/>
          <w:highlight w:val="none"/>
        </w:rPr>
      </w:pPr>
    </w:p>
    <w:p w14:paraId="1078809B">
      <w:pPr>
        <w:pStyle w:val="8"/>
        <w:snapToGrid w:val="0"/>
        <w:spacing w:before="50" w:after="50"/>
        <w:ind w:firstLine="720" w:firstLineChars="225"/>
        <w:rPr>
          <w:rFonts w:hint="eastAsia" w:ascii="仿宋" w:hAnsi="仿宋" w:eastAsia="仿宋" w:cs="仿宋"/>
          <w:bCs/>
          <w:color w:val="auto"/>
          <w:sz w:val="32"/>
          <w:szCs w:val="32"/>
          <w:highlight w:val="none"/>
        </w:rPr>
      </w:pPr>
    </w:p>
    <w:p w14:paraId="428610B1">
      <w:pPr>
        <w:pStyle w:val="8"/>
        <w:snapToGrid w:val="0"/>
        <w:spacing w:before="50" w:after="50"/>
        <w:ind w:firstLine="1280" w:firstLineChars="400"/>
        <w:rPr>
          <w:rFonts w:hint="eastAsia" w:ascii="仿宋" w:hAnsi="仿宋" w:eastAsia="仿宋" w:cs="仿宋"/>
          <w:bCs/>
          <w:color w:val="auto"/>
          <w:sz w:val="32"/>
          <w:szCs w:val="32"/>
          <w:highlight w:val="none"/>
        </w:rPr>
      </w:pPr>
    </w:p>
    <w:p w14:paraId="66F1F0DE">
      <w:pPr>
        <w:snapToGrid w:val="0"/>
        <w:spacing w:before="120"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6AB3721B">
      <w:pPr>
        <w:widowControl/>
        <w:spacing w:line="360" w:lineRule="auto"/>
        <w:jc w:val="left"/>
        <w:rPr>
          <w:rFonts w:hint="eastAsia" w:ascii="仿宋" w:hAnsi="仿宋" w:eastAsia="仿宋" w:cs="仿宋"/>
          <w:b/>
          <w:bCs/>
          <w:color w:val="auto"/>
          <w:sz w:val="32"/>
          <w:szCs w:val="32"/>
          <w:highlight w:val="none"/>
        </w:rPr>
        <w:sectPr>
          <w:pgSz w:w="11911" w:h="16838"/>
          <w:pgMar w:top="1417" w:right="1417" w:bottom="1417" w:left="1417" w:header="720" w:footer="720" w:gutter="0"/>
          <w:cols w:space="720" w:num="1"/>
          <w:docGrid w:linePitch="1" w:charSpace="0"/>
        </w:sectPr>
      </w:pPr>
    </w:p>
    <w:p w14:paraId="3313D857">
      <w:pPr>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商务技术文件目录</w:t>
      </w:r>
    </w:p>
    <w:p w14:paraId="0B59C466">
      <w:pPr>
        <w:jc w:val="center"/>
        <w:rPr>
          <w:rFonts w:hint="eastAsia" w:ascii="仿宋" w:hAnsi="仿宋" w:eastAsia="仿宋" w:cs="仿宋"/>
          <w:b/>
          <w:color w:val="auto"/>
          <w:kern w:val="0"/>
          <w:sz w:val="28"/>
          <w:szCs w:val="28"/>
          <w:highlight w:val="none"/>
        </w:rPr>
      </w:pPr>
    </w:p>
    <w:p w14:paraId="1189D5C0">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一、无串通竞标行为的承诺函………………………………………………（页码）</w:t>
      </w:r>
    </w:p>
    <w:p w14:paraId="1B91A640">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二、法定代表人身份证明及法定代表人有效身份证正反面复印件………（页码）</w:t>
      </w:r>
    </w:p>
    <w:p w14:paraId="1BF2FD2C">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三、法定代表人授权委托书（如有委托时）………………………………（页码）</w:t>
      </w:r>
    </w:p>
    <w:p w14:paraId="3291FF85">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四、</w:t>
      </w:r>
      <w:r>
        <w:rPr>
          <w:rFonts w:hint="eastAsia" w:ascii="仿宋" w:hAnsi="仿宋" w:eastAsia="仿宋" w:cs="仿宋"/>
          <w:color w:val="auto"/>
          <w:highlight w:val="none"/>
          <w:lang w:val="zh-CN"/>
        </w:rPr>
        <w:t>商务条款偏离表………………………………</w:t>
      </w:r>
      <w:r>
        <w:rPr>
          <w:rFonts w:hint="eastAsia" w:ascii="仿宋" w:hAnsi="仿宋" w:eastAsia="仿宋" w:cs="仿宋"/>
          <w:color w:val="auto"/>
          <w:highlight w:val="none"/>
        </w:rPr>
        <w:t>…………………………（页码）</w:t>
      </w:r>
    </w:p>
    <w:p w14:paraId="16FFED3F">
      <w:pPr>
        <w:pStyle w:val="28"/>
        <w:spacing w:line="360" w:lineRule="auto"/>
        <w:rPr>
          <w:rFonts w:hint="eastAsia" w:ascii="仿宋" w:hAnsi="仿宋" w:eastAsia="仿宋" w:cs="仿宋"/>
          <w:color w:val="auto"/>
          <w:highlight w:val="none"/>
        </w:rPr>
      </w:pPr>
      <w:bookmarkStart w:id="91" w:name="OLE_LINK6"/>
      <w:bookmarkStart w:id="92" w:name="OLE_LINK7"/>
      <w:bookmarkStart w:id="93" w:name="OLE_LINK5"/>
      <w:r>
        <w:rPr>
          <w:rFonts w:hint="eastAsia" w:ascii="仿宋" w:hAnsi="仿宋" w:eastAsia="仿宋" w:cs="仿宋"/>
          <w:color w:val="auto"/>
          <w:highlight w:val="none"/>
        </w:rPr>
        <w:t>五、竞标人情况介绍</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1CDAFCA0">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六、供应商类似业绩的证明文件（如有要求）</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bookmarkEnd w:id="91"/>
      <w:bookmarkEnd w:id="92"/>
    </w:p>
    <w:bookmarkEnd w:id="93"/>
    <w:p w14:paraId="644226DB">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七、服务需求偏离表…………………………………………………………（页码）</w:t>
      </w:r>
    </w:p>
    <w:p w14:paraId="647613FA">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八、服务方案……………………………………………………………（页码）</w:t>
      </w:r>
    </w:p>
    <w:p w14:paraId="5DBC3999">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九、</w:t>
      </w:r>
      <w:r>
        <w:rPr>
          <w:rFonts w:hint="eastAsia" w:ascii="仿宋" w:hAnsi="仿宋" w:eastAsia="仿宋" w:cs="仿宋"/>
          <w:color w:val="auto"/>
          <w:highlight w:val="none"/>
          <w:lang w:val="zh-CN"/>
        </w:rPr>
        <w:t>项目实施人员一览表………………………………</w:t>
      </w:r>
      <w:r>
        <w:rPr>
          <w:rFonts w:hint="eastAsia" w:ascii="仿宋" w:hAnsi="仿宋" w:eastAsia="仿宋" w:cs="仿宋"/>
          <w:color w:val="auto"/>
          <w:highlight w:val="none"/>
        </w:rPr>
        <w:t>……………………（页码）</w:t>
      </w:r>
    </w:p>
    <w:p w14:paraId="76F36DDB">
      <w:pPr>
        <w:pStyle w:val="28"/>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十、服务需求、商务条款要求提供的其他材料</w:t>
      </w:r>
      <w:r>
        <w:rPr>
          <w:rFonts w:hint="eastAsia" w:ascii="仿宋" w:hAnsi="仿宋" w:eastAsia="仿宋" w:cs="仿宋"/>
          <w:color w:val="auto"/>
          <w:highlight w:val="none"/>
          <w:lang w:val="zh-CN"/>
        </w:rPr>
        <w:t>…………………</w:t>
      </w:r>
      <w:r>
        <w:rPr>
          <w:rFonts w:hint="eastAsia" w:ascii="仿宋" w:hAnsi="仿宋" w:eastAsia="仿宋" w:cs="仿宋"/>
          <w:color w:val="auto"/>
          <w:highlight w:val="none"/>
        </w:rPr>
        <w:t>………（页码）</w:t>
      </w:r>
    </w:p>
    <w:p w14:paraId="0FA1DA34">
      <w:pPr>
        <w:spacing w:line="360" w:lineRule="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注：以上目录是基本格式要求，各供应商可根据自身情况进一步向下增加内容或细化。</w:t>
      </w:r>
    </w:p>
    <w:p w14:paraId="10052563">
      <w:pPr>
        <w:spacing w:line="400" w:lineRule="exact"/>
        <w:rPr>
          <w:rFonts w:hint="eastAsia" w:ascii="仿宋" w:hAnsi="仿宋" w:eastAsia="仿宋" w:cs="仿宋"/>
          <w:color w:val="auto"/>
          <w:sz w:val="32"/>
          <w:szCs w:val="32"/>
          <w:highlight w:val="none"/>
        </w:rPr>
      </w:pPr>
    </w:p>
    <w:p w14:paraId="6688C009">
      <w:pPr>
        <w:spacing w:line="520" w:lineRule="exact"/>
        <w:ind w:firstLine="880" w:firstLineChars="200"/>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br w:type="page"/>
      </w:r>
      <w:r>
        <w:rPr>
          <w:rFonts w:hint="eastAsia" w:ascii="仿宋" w:hAnsi="仿宋" w:eastAsia="仿宋" w:cs="仿宋"/>
          <w:b/>
          <w:color w:val="auto"/>
          <w:sz w:val="30"/>
          <w:szCs w:val="30"/>
          <w:highlight w:val="none"/>
        </w:rPr>
        <w:t>一、无串通竞标行为的承诺函</w:t>
      </w:r>
    </w:p>
    <w:p w14:paraId="336273FA">
      <w:pPr>
        <w:spacing w:line="520" w:lineRule="exact"/>
        <w:jc w:val="center"/>
        <w:rPr>
          <w:rFonts w:hint="eastAsia" w:ascii="仿宋" w:hAnsi="仿宋" w:eastAsia="仿宋" w:cs="仿宋"/>
          <w:color w:val="auto"/>
          <w:sz w:val="44"/>
          <w:szCs w:val="44"/>
          <w:highlight w:val="none"/>
        </w:rPr>
      </w:pPr>
    </w:p>
    <w:p w14:paraId="371061B0">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sz w:val="44"/>
          <w:szCs w:val="44"/>
          <w:highlight w:val="none"/>
        </w:rPr>
        <w:t>无串通竞标行为的承诺函</w:t>
      </w:r>
    </w:p>
    <w:p w14:paraId="5EAD07D1">
      <w:pPr>
        <w:spacing w:line="520" w:lineRule="exact"/>
        <w:ind w:firstLine="640" w:firstLineChars="200"/>
        <w:rPr>
          <w:rFonts w:hint="eastAsia" w:ascii="仿宋" w:hAnsi="仿宋" w:eastAsia="仿宋" w:cs="仿宋"/>
          <w:color w:val="auto"/>
          <w:sz w:val="32"/>
          <w:szCs w:val="32"/>
          <w:highlight w:val="none"/>
        </w:rPr>
      </w:pPr>
    </w:p>
    <w:p w14:paraId="32437212">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一、我方承诺无下列相互串通竞标的情形：</w:t>
      </w:r>
    </w:p>
    <w:p w14:paraId="14BEFD1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1.不同供应商的响应文件由同一单位或者个人编制；或者不同供应商报名的IP地址一致的；或者编制响应文件硬件设备CPU编号、硬盘编号、网卡地址一致的情况。  </w:t>
      </w:r>
    </w:p>
    <w:p w14:paraId="256A2F7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2.不同供应商委托同一单位或者个人办理竞标事宜；</w:t>
      </w:r>
    </w:p>
    <w:p w14:paraId="264A8EB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3.不同供应商的响应文件载明的项目管理员为同一个人；</w:t>
      </w:r>
    </w:p>
    <w:p w14:paraId="129D2F7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4.不</w:t>
      </w:r>
      <w:r>
        <w:rPr>
          <w:rFonts w:hint="eastAsia" w:ascii="仿宋" w:hAnsi="仿宋" w:eastAsia="仿宋" w:cs="仿宋"/>
          <w:color w:val="auto"/>
          <w:spacing w:val="-6"/>
          <w:sz w:val="24"/>
          <w:highlight w:val="none"/>
        </w:rPr>
        <w:t>同供应商的响应文件异常一致或者响应报价呈规律性差异；</w:t>
      </w:r>
    </w:p>
    <w:p w14:paraId="2DFB679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5.不同供应商的响应文件相互混装；</w:t>
      </w:r>
    </w:p>
    <w:p w14:paraId="114D0F8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6.不同供应商的磋商保证金从同一单位或者个人账户转出。</w:t>
      </w:r>
    </w:p>
    <w:p w14:paraId="59ED542F">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二、我方承诺无下列恶意串通的情形：</w:t>
      </w:r>
    </w:p>
    <w:p w14:paraId="3EDE57F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1.供应商直接或者间接从采购人或者采购代理机构处获得其他供应商的相关信息并修改其响应文件；</w:t>
      </w:r>
    </w:p>
    <w:p w14:paraId="04F3A0C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2.供应商按照采购人或者采购代理机构的授意撤换、修改响应文件；</w:t>
      </w:r>
    </w:p>
    <w:p w14:paraId="19A676F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w:t>
      </w:r>
      <w:r>
        <w:rPr>
          <w:rFonts w:hint="eastAsia" w:ascii="仿宋" w:hAnsi="仿宋" w:eastAsia="仿宋" w:cs="仿宋"/>
          <w:color w:val="auto"/>
          <w:spacing w:val="-6"/>
          <w:sz w:val="24"/>
          <w:highlight w:val="none"/>
        </w:rPr>
        <w:t>应商之间协商报价、技术方案等响应文件的实质性内容；</w:t>
      </w:r>
    </w:p>
    <w:p w14:paraId="548950F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4.属于同一集团、协会、商会等组织成员的供应商按照该组织要求协同参加政府采购活动；</w:t>
      </w:r>
    </w:p>
    <w:p w14:paraId="56F6200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5.供应商之间事先约定一致抬高或者压低响应报价，或者在竞争性磋商项目中事先约定轮流以高价位或者低价位成交，或者事先约定由某一特定供应商成交，然后再参加竞标；</w:t>
      </w:r>
    </w:p>
    <w:p w14:paraId="3FB4226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6.供应商之间商定部分供应商放弃参加政府采购活动或者放弃成交；</w:t>
      </w:r>
    </w:p>
    <w:p w14:paraId="7F1C8F7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7.供应商与采购人或者采购代理机构之间、供应商相互之间，为</w:t>
      </w:r>
      <w:r>
        <w:rPr>
          <w:rFonts w:hint="eastAsia" w:ascii="仿宋" w:hAnsi="仿宋" w:eastAsia="仿宋" w:cs="仿宋"/>
          <w:color w:val="auto"/>
          <w:spacing w:val="-6"/>
          <w:sz w:val="24"/>
          <w:highlight w:val="none"/>
        </w:rPr>
        <w:t>谋求特定供应商成交或者排斥其他供应商的其他串通行为。</w:t>
      </w:r>
    </w:p>
    <w:p w14:paraId="5B3B7037">
      <w:p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以上情形一经核查属实，接受政府采购监管部门对我方认定存在围标串标行为，我方愿意承担一切后果，并不再寻求任何旨在减轻或者免除法律责任的辩解。</w:t>
      </w:r>
    </w:p>
    <w:p w14:paraId="1D7B4400">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C3A3868">
      <w:pPr>
        <w:spacing w:line="520" w:lineRule="exact"/>
        <w:ind w:left="274" w:leftChars="114" w:firstLine="6120" w:firstLineChars="2550"/>
        <w:jc w:val="left"/>
        <w:rPr>
          <w:rFonts w:hint="eastAsia" w:ascii="仿宋" w:hAnsi="仿宋" w:eastAsia="仿宋" w:cs="仿宋"/>
          <w:bCs/>
          <w:color w:val="auto"/>
          <w:sz w:val="44"/>
          <w:szCs w:val="44"/>
          <w:highlight w:val="none"/>
        </w:rPr>
      </w:pPr>
      <w:r>
        <w:rPr>
          <w:rFonts w:hint="eastAsia" w:ascii="仿宋" w:hAnsi="仿宋" w:eastAsia="仿宋" w:cs="仿宋"/>
          <w:color w:val="auto"/>
          <w:kern w:val="0"/>
          <w:sz w:val="24"/>
          <w:highlight w:val="none"/>
          <w:lang w:val="zh-CN"/>
        </w:rPr>
        <w:t xml:space="preserve">日期：  年  月   日   </w:t>
      </w:r>
      <w:r>
        <w:rPr>
          <w:rFonts w:hint="eastAsia" w:ascii="仿宋" w:hAnsi="仿宋" w:eastAsia="仿宋" w:cs="仿宋"/>
          <w:b/>
          <w:bCs/>
          <w:color w:val="auto"/>
          <w:sz w:val="32"/>
          <w:szCs w:val="32"/>
          <w:highlight w:val="none"/>
        </w:rPr>
        <w:br w:type="page"/>
      </w:r>
      <w:r>
        <w:rPr>
          <w:rFonts w:hint="eastAsia" w:ascii="仿宋" w:hAnsi="仿宋" w:eastAsia="仿宋" w:cs="仿宋"/>
          <w:b/>
          <w:color w:val="auto"/>
          <w:sz w:val="30"/>
          <w:szCs w:val="30"/>
          <w:highlight w:val="none"/>
        </w:rPr>
        <w:t>二、法定代表人身份证明及法定代表人有效身份证正反面复印件</w:t>
      </w:r>
    </w:p>
    <w:p w14:paraId="3E9741D0">
      <w:pPr>
        <w:spacing w:line="520" w:lineRule="exact"/>
        <w:jc w:val="center"/>
        <w:rPr>
          <w:rFonts w:hint="eastAsia" w:ascii="仿宋" w:hAnsi="仿宋" w:eastAsia="仿宋" w:cs="仿宋"/>
          <w:bCs/>
          <w:color w:val="auto"/>
          <w:sz w:val="44"/>
          <w:szCs w:val="44"/>
          <w:highlight w:val="none"/>
        </w:rPr>
      </w:pPr>
    </w:p>
    <w:p w14:paraId="6D15BECB">
      <w:pPr>
        <w:spacing w:line="520" w:lineRule="exact"/>
        <w:jc w:val="center"/>
        <w:rPr>
          <w:rFonts w:hint="eastAsia" w:ascii="仿宋" w:hAnsi="仿宋" w:eastAsia="仿宋" w:cs="仿宋"/>
          <w:color w:val="auto"/>
          <w:sz w:val="32"/>
          <w:szCs w:val="32"/>
          <w:highlight w:val="none"/>
        </w:rPr>
      </w:pPr>
      <w:r>
        <w:rPr>
          <w:rFonts w:hint="eastAsia" w:ascii="仿宋" w:hAnsi="仿宋" w:eastAsia="仿宋" w:cs="仿宋"/>
          <w:bCs/>
          <w:color w:val="auto"/>
          <w:sz w:val="44"/>
          <w:szCs w:val="44"/>
          <w:highlight w:val="none"/>
        </w:rPr>
        <w:t>法定代表人证明书</w:t>
      </w:r>
    </w:p>
    <w:p w14:paraId="31886A5A">
      <w:pPr>
        <w:spacing w:line="360" w:lineRule="auto"/>
        <w:ind w:left="540"/>
        <w:contextualSpacing/>
        <w:rPr>
          <w:rFonts w:hint="eastAsia" w:ascii="仿宋" w:hAnsi="仿宋" w:eastAsia="仿宋" w:cs="仿宋"/>
          <w:color w:val="auto"/>
          <w:sz w:val="32"/>
          <w:szCs w:val="32"/>
          <w:highlight w:val="none"/>
        </w:rPr>
      </w:pPr>
    </w:p>
    <w:p w14:paraId="04471529">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p>
    <w:p w14:paraId="083BA16C">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4BDDF32A">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性     别：</w:t>
      </w:r>
      <w:r>
        <w:rPr>
          <w:rFonts w:hint="eastAsia" w:ascii="仿宋" w:hAnsi="仿宋" w:eastAsia="仿宋" w:cs="仿宋"/>
          <w:color w:val="auto"/>
          <w:sz w:val="24"/>
          <w:highlight w:val="none"/>
          <w:u w:val="single"/>
        </w:rPr>
        <w:t xml:space="preserve">                </w:t>
      </w:r>
    </w:p>
    <w:p w14:paraId="6924B11E">
      <w:pPr>
        <w:spacing w:line="360" w:lineRule="auto"/>
        <w:ind w:left="540"/>
        <w:contextualSpacing/>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年    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6F3804A6">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22271E0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（供应商名称）</w:t>
      </w:r>
      <w:r>
        <w:rPr>
          <w:rFonts w:hint="eastAsia" w:ascii="仿宋" w:hAnsi="仿宋" w:eastAsia="仿宋" w:cs="仿宋"/>
          <w:color w:val="auto"/>
          <w:sz w:val="24"/>
          <w:highlight w:val="none"/>
        </w:rPr>
        <w:t>的法定代表人。</w:t>
      </w:r>
    </w:p>
    <w:p w14:paraId="13201BAE">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B33D60B">
      <w:pPr>
        <w:spacing w:line="360" w:lineRule="auto"/>
        <w:ind w:left="540"/>
        <w:contextualSpacing/>
        <w:rPr>
          <w:rFonts w:hint="eastAsia" w:ascii="仿宋" w:hAnsi="仿宋" w:eastAsia="仿宋" w:cs="仿宋"/>
          <w:color w:val="auto"/>
          <w:sz w:val="24"/>
          <w:highlight w:val="none"/>
        </w:rPr>
      </w:pPr>
    </w:p>
    <w:p w14:paraId="2BBD953F">
      <w:pPr>
        <w:spacing w:line="360" w:lineRule="auto"/>
        <w:ind w:left="540"/>
        <w:contextualSpacing/>
        <w:rPr>
          <w:rFonts w:hint="eastAsia" w:ascii="仿宋" w:hAnsi="仿宋" w:eastAsia="仿宋" w:cs="仿宋"/>
          <w:color w:val="auto"/>
          <w:sz w:val="24"/>
          <w:highlight w:val="none"/>
        </w:rPr>
      </w:pPr>
    </w:p>
    <w:p w14:paraId="24ED369E">
      <w:pPr>
        <w:spacing w:line="360" w:lineRule="auto"/>
        <w:ind w:left="540"/>
        <w:contextualSpacing/>
        <w:rPr>
          <w:rFonts w:hint="eastAsia" w:ascii="仿宋" w:hAnsi="仿宋" w:eastAsia="仿宋" w:cs="仿宋"/>
          <w:color w:val="auto"/>
          <w:sz w:val="24"/>
          <w:highlight w:val="none"/>
        </w:rPr>
      </w:pPr>
    </w:p>
    <w:p w14:paraId="061154D0">
      <w:pPr>
        <w:spacing w:line="360" w:lineRule="auto"/>
        <w:ind w:left="540"/>
        <w:contextualSpacing/>
        <w:rPr>
          <w:rFonts w:hint="eastAsia" w:ascii="仿宋" w:hAnsi="仿宋" w:eastAsia="仿宋" w:cs="仿宋"/>
          <w:color w:val="auto"/>
          <w:sz w:val="24"/>
          <w:highlight w:val="none"/>
        </w:rPr>
      </w:pPr>
      <w:r>
        <w:rPr>
          <w:rFonts w:hint="eastAsia" w:ascii="仿宋" w:hAnsi="仿宋" w:eastAsia="仿宋" w:cs="仿宋"/>
          <w:color w:val="auto"/>
          <w:sz w:val="24"/>
          <w:highlight w:val="none"/>
        </w:rPr>
        <w:t>附件：法定代表人有效身份证正反面复印件</w:t>
      </w:r>
    </w:p>
    <w:p w14:paraId="3F94DFCE">
      <w:pPr>
        <w:spacing w:line="360" w:lineRule="auto"/>
        <w:ind w:left="540"/>
        <w:contextualSpacing/>
        <w:rPr>
          <w:rFonts w:hint="eastAsia" w:ascii="仿宋" w:hAnsi="仿宋" w:eastAsia="仿宋" w:cs="仿宋"/>
          <w:color w:val="auto"/>
          <w:sz w:val="24"/>
          <w:highlight w:val="none"/>
        </w:rPr>
      </w:pPr>
    </w:p>
    <w:p w14:paraId="07D5F439">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5552101B">
      <w:pPr>
        <w:spacing w:line="360" w:lineRule="auto"/>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4BBF823C">
      <w:pPr>
        <w:spacing w:line="360" w:lineRule="auto"/>
        <w:jc w:val="left"/>
        <w:rPr>
          <w:rFonts w:hint="eastAsia" w:ascii="仿宋" w:hAnsi="仿宋" w:eastAsia="仿宋" w:cs="仿宋"/>
          <w:color w:val="auto"/>
          <w:sz w:val="24"/>
          <w:highlight w:val="none"/>
        </w:rPr>
      </w:pPr>
    </w:p>
    <w:p w14:paraId="24F4C771">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注：1.自然人竞标的无需提供，联合体竞标的只需牵头人出具。</w:t>
      </w:r>
    </w:p>
    <w:p w14:paraId="791F5A49">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B895115">
      <w:pPr>
        <w:widowControl/>
        <w:spacing w:line="360" w:lineRule="auto"/>
        <w:jc w:val="left"/>
        <w:rPr>
          <w:rFonts w:hint="eastAsia" w:ascii="仿宋" w:hAnsi="仿宋" w:eastAsia="仿宋" w:cs="仿宋"/>
          <w:color w:val="auto"/>
          <w:sz w:val="24"/>
          <w:highlight w:val="none"/>
        </w:rPr>
        <w:sectPr>
          <w:pgSz w:w="11911" w:h="16838"/>
          <w:pgMar w:top="1417" w:right="1417" w:bottom="1417" w:left="1417" w:header="720" w:footer="720" w:gutter="0"/>
          <w:cols w:space="720" w:num="1"/>
          <w:docGrid w:linePitch="1" w:charSpace="0"/>
        </w:sectPr>
      </w:pPr>
    </w:p>
    <w:tbl>
      <w:tblPr>
        <w:tblStyle w:val="22"/>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A0F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vAlign w:val="top"/>
          </w:tcPr>
          <w:p w14:paraId="0EE16038">
            <w:pPr>
              <w:spacing w:line="360" w:lineRule="auto"/>
              <w:rPr>
                <w:rFonts w:hint="eastAsia" w:ascii="仿宋" w:hAnsi="仿宋" w:eastAsia="仿宋" w:cs="仿宋"/>
                <w:b/>
                <w:color w:val="auto"/>
                <w:sz w:val="24"/>
                <w:highlight w:val="none"/>
              </w:rPr>
            </w:pPr>
          </w:p>
          <w:p w14:paraId="01331D56">
            <w:p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法定代</w:t>
            </w:r>
            <w:r>
              <w:rPr>
                <w:rFonts w:hint="eastAsia" w:ascii="仿宋" w:hAnsi="仿宋" w:eastAsia="仿宋" w:cs="仿宋"/>
                <w:b/>
                <w:color w:val="auto"/>
                <w:sz w:val="24"/>
                <w:highlight w:val="none"/>
                <w:lang w:eastAsia="zh-CN"/>
              </w:rPr>
              <w:t>表人</w:t>
            </w:r>
            <w:r>
              <w:rPr>
                <w:rFonts w:hint="eastAsia" w:ascii="仿宋" w:hAnsi="仿宋" w:eastAsia="仿宋" w:cs="仿宋"/>
                <w:b/>
                <w:color w:val="auto"/>
                <w:sz w:val="24"/>
                <w:highlight w:val="none"/>
              </w:rPr>
              <w:t>身份证复印件粘贴处（正、反面）</w:t>
            </w:r>
          </w:p>
        </w:tc>
      </w:tr>
    </w:tbl>
    <w:p w14:paraId="13866820">
      <w:pPr>
        <w:spacing w:line="360" w:lineRule="auto"/>
        <w:ind w:firstLine="482" w:firstLineChars="200"/>
        <w:jc w:val="left"/>
        <w:rPr>
          <w:rFonts w:hint="eastAsia" w:ascii="仿宋" w:hAnsi="仿宋" w:eastAsia="仿宋" w:cs="仿宋"/>
          <w:b/>
          <w:color w:val="auto"/>
          <w:sz w:val="32"/>
          <w:szCs w:val="32"/>
          <w:highlight w:val="none"/>
        </w:rPr>
      </w:pPr>
      <w:r>
        <w:rPr>
          <w:rFonts w:hint="eastAsia" w:ascii="仿宋" w:hAnsi="仿宋" w:eastAsia="仿宋" w:cs="仿宋"/>
          <w:b/>
          <w:color w:val="auto"/>
          <w:sz w:val="24"/>
          <w:highlight w:val="none"/>
        </w:rPr>
        <w:t>附件：</w:t>
      </w:r>
    </w:p>
    <w:p w14:paraId="720749AD">
      <w:pPr>
        <w:adjustRightInd w:val="0"/>
        <w:snapToGrid w:val="0"/>
        <w:spacing w:line="300" w:lineRule="auto"/>
        <w:jc w:val="left"/>
        <w:rPr>
          <w:rFonts w:hint="eastAsia" w:ascii="仿宋" w:hAnsi="仿宋" w:eastAsia="仿宋" w:cs="仿宋"/>
          <w:b/>
          <w:color w:val="auto"/>
          <w:szCs w:val="21"/>
          <w:highlight w:val="none"/>
        </w:rPr>
      </w:pPr>
    </w:p>
    <w:p w14:paraId="2F352515">
      <w:pPr>
        <w:spacing w:line="520" w:lineRule="exact"/>
        <w:ind w:firstLine="880"/>
        <w:jc w:val="left"/>
        <w:rPr>
          <w:rFonts w:hint="eastAsia" w:ascii="仿宋" w:hAnsi="仿宋" w:eastAsia="仿宋" w:cs="仿宋"/>
          <w:bCs/>
          <w:color w:val="auto"/>
          <w:sz w:val="44"/>
          <w:szCs w:val="44"/>
          <w:highlight w:val="none"/>
        </w:rPr>
      </w:pPr>
      <w:r>
        <w:rPr>
          <w:rFonts w:hint="eastAsia" w:ascii="仿宋" w:hAnsi="仿宋" w:eastAsia="仿宋" w:cs="仿宋"/>
          <w:color w:val="auto"/>
          <w:sz w:val="44"/>
          <w:szCs w:val="44"/>
          <w:highlight w:val="none"/>
        </w:rPr>
        <w:br w:type="page"/>
      </w:r>
      <w:r>
        <w:rPr>
          <w:rFonts w:hint="eastAsia" w:ascii="仿宋" w:hAnsi="仿宋" w:eastAsia="仿宋" w:cs="仿宋"/>
          <w:b/>
          <w:color w:val="auto"/>
          <w:sz w:val="30"/>
          <w:szCs w:val="30"/>
          <w:highlight w:val="none"/>
        </w:rPr>
        <w:t>三、法定代表人授权委托书</w:t>
      </w:r>
    </w:p>
    <w:p w14:paraId="1EDAA125">
      <w:pPr>
        <w:spacing w:line="500" w:lineRule="exact"/>
        <w:jc w:val="center"/>
        <w:rPr>
          <w:rFonts w:hint="eastAsia" w:ascii="仿宋" w:hAnsi="仿宋" w:eastAsia="仿宋" w:cs="仿宋"/>
          <w:color w:val="auto"/>
          <w:sz w:val="44"/>
          <w:szCs w:val="44"/>
          <w:highlight w:val="none"/>
        </w:rPr>
      </w:pPr>
    </w:p>
    <w:p w14:paraId="5B0CBED0">
      <w:pPr>
        <w:spacing w:line="52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授权委托书（非联合体竞标格式）</w:t>
      </w:r>
    </w:p>
    <w:p w14:paraId="66E571A3">
      <w:pPr>
        <w:spacing w:line="520" w:lineRule="exact"/>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（如有委托时）</w:t>
      </w:r>
    </w:p>
    <w:p w14:paraId="418B3FCA">
      <w:pPr>
        <w:spacing w:line="520" w:lineRule="exact"/>
        <w:rPr>
          <w:rFonts w:hint="eastAsia" w:ascii="仿宋" w:hAnsi="仿宋" w:eastAsia="仿宋" w:cs="仿宋"/>
          <w:color w:val="auto"/>
          <w:sz w:val="32"/>
          <w:szCs w:val="32"/>
          <w:highlight w:val="none"/>
        </w:rPr>
      </w:pPr>
    </w:p>
    <w:p w14:paraId="40ECC3C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致</w:t>
      </w:r>
      <w:bookmarkStart w:id="94" w:name="PO_3000001868_PM031_7"/>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[采购组织机构]</w:t>
      </w:r>
      <w:bookmarkEnd w:id="94"/>
      <w:r>
        <w:rPr>
          <w:rFonts w:hint="eastAsia" w:ascii="仿宋" w:hAnsi="仿宋" w:eastAsia="仿宋" w:cs="仿宋"/>
          <w:color w:val="auto"/>
          <w:sz w:val="24"/>
          <w:highlight w:val="none"/>
        </w:rPr>
        <w:t>：</w:t>
      </w:r>
    </w:p>
    <w:p w14:paraId="26043B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w:t>
      </w:r>
      <w:r>
        <w:rPr>
          <w:rFonts w:hint="eastAsia" w:ascii="仿宋" w:hAnsi="仿宋" w:eastAsia="仿宋" w:cs="仿宋"/>
          <w:color w:val="auto"/>
          <w:sz w:val="24"/>
          <w:highlight w:val="none"/>
          <w:u w:val="single"/>
        </w:rPr>
        <w:t xml:space="preserve">  （姓名）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（供应商名称）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□法定代表人/□负责人/□自然人本人</w:t>
      </w:r>
      <w:r>
        <w:rPr>
          <w:rFonts w:hint="eastAsia" w:ascii="仿宋" w:hAnsi="仿宋" w:eastAsia="仿宋" w:cs="仿宋"/>
          <w:color w:val="auto"/>
          <w:sz w:val="24"/>
          <w:highlight w:val="none"/>
        </w:rPr>
        <w:t>），现授权</w:t>
      </w:r>
      <w:r>
        <w:rPr>
          <w:rFonts w:hint="eastAsia" w:ascii="仿宋" w:hAnsi="仿宋" w:eastAsia="仿宋" w:cs="仿宋"/>
          <w:color w:val="auto"/>
          <w:sz w:val="24"/>
          <w:highlight w:val="none"/>
          <w:u w:val="single"/>
        </w:rPr>
        <w:t xml:space="preserve"> （姓名） </w:t>
      </w:r>
      <w:r>
        <w:rPr>
          <w:rFonts w:hint="eastAsia" w:ascii="仿宋" w:hAnsi="仿宋" w:eastAsia="仿宋" w:cs="仿宋"/>
          <w:color w:val="auto"/>
          <w:sz w:val="24"/>
          <w:highlight w:val="none"/>
        </w:rPr>
        <w:t>以我方的名义参加</w:t>
      </w:r>
      <w:bookmarkStart w:id="95" w:name="PO_3000001868_PM002_7"/>
      <w:r>
        <w:rPr>
          <w:rFonts w:hint="eastAsia" w:ascii="仿宋" w:hAnsi="仿宋" w:eastAsia="仿宋" w:cs="仿宋"/>
          <w:color w:val="auto"/>
          <w:sz w:val="24"/>
          <w:highlight w:val="none"/>
          <w:u w:val="single"/>
        </w:rPr>
        <w:t>[项目名称]</w:t>
      </w:r>
      <w:bookmarkEnd w:id="95"/>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项目的竞标活动，并代表我方全权办理针对上述项目的所有采购程序和环节的具体事务和签署相关文件。</w:t>
      </w:r>
    </w:p>
    <w:p w14:paraId="3FE523E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我方对委托代理人的签字事项负全部责任。</w:t>
      </w:r>
    </w:p>
    <w:p w14:paraId="16395DD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本授权书自签署之日起生效，在撤销授权的书面通知以前，本授权书一直有效。委托代理人在授权书有效期内签署的所有文件不因授权的撤销而失效。</w:t>
      </w:r>
    </w:p>
    <w:p w14:paraId="6E7EF80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委托代理人无转委托权，特此委托。</w:t>
      </w:r>
    </w:p>
    <w:p w14:paraId="5990AF3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附：法定代表人身份证明书及委托代理人有效身份证正反面复印件</w:t>
      </w:r>
    </w:p>
    <w:p w14:paraId="3C973F32">
      <w:pPr>
        <w:spacing w:line="360" w:lineRule="auto"/>
        <w:rPr>
          <w:rFonts w:hint="eastAsia" w:ascii="仿宋" w:hAnsi="仿宋" w:eastAsia="仿宋" w:cs="仿宋"/>
          <w:color w:val="auto"/>
          <w:sz w:val="24"/>
          <w:highlight w:val="none"/>
        </w:rPr>
      </w:pPr>
    </w:p>
    <w:p w14:paraId="3603739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委托代理人（签字）：         法定代表人（签字或盖章）：                    </w:t>
      </w:r>
    </w:p>
    <w:p w14:paraId="52EC856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委托代理人身份证号码：                              </w:t>
      </w:r>
    </w:p>
    <w:p w14:paraId="0544205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p>
    <w:p w14:paraId="4B6133B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rPr>
        <w:t>供应商名称（电子签章）：</w:t>
      </w:r>
    </w:p>
    <w:p w14:paraId="2216B002">
      <w:pPr>
        <w:spacing w:line="360" w:lineRule="auto"/>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35D08B9C">
      <w:pPr>
        <w:spacing w:line="360" w:lineRule="auto"/>
        <w:rPr>
          <w:rFonts w:hint="eastAsia" w:ascii="仿宋" w:hAnsi="仿宋" w:eastAsia="仿宋" w:cs="仿宋"/>
          <w:color w:val="auto"/>
          <w:sz w:val="24"/>
          <w:highlight w:val="none"/>
        </w:rPr>
      </w:pPr>
    </w:p>
    <w:p w14:paraId="1ECF608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 法定代表人必须在授权委托书上亲笔签字或盖章，委托代理人必须在授权委托书上亲笔签字，</w:t>
      </w:r>
      <w:r>
        <w:rPr>
          <w:rFonts w:hint="eastAsia" w:ascii="仿宋" w:hAnsi="仿宋" w:eastAsia="仿宋" w:cs="仿宋"/>
          <w:b/>
          <w:color w:val="auto"/>
          <w:sz w:val="24"/>
          <w:highlight w:val="none"/>
        </w:rPr>
        <w:t>否则其响应文件按无效响应处理。</w:t>
      </w:r>
    </w:p>
    <w:p w14:paraId="1CC45DE0">
      <w:p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50A7C6EF">
      <w:pPr>
        <w:spacing w:line="360" w:lineRule="auto"/>
        <w:ind w:firstLine="480" w:firstLineChars="200"/>
        <w:jc w:val="left"/>
        <w:rPr>
          <w:rFonts w:hint="eastAsia" w:ascii="仿宋" w:hAnsi="仿宋" w:eastAsia="仿宋" w:cs="仿宋"/>
          <w:color w:val="auto"/>
          <w:szCs w:val="21"/>
          <w:highlight w:val="none"/>
        </w:rPr>
      </w:pPr>
      <w:r>
        <w:rPr>
          <w:rFonts w:hint="eastAsia" w:ascii="仿宋" w:hAnsi="仿宋" w:eastAsia="仿宋" w:cs="仿宋"/>
          <w:color w:val="auto"/>
          <w:sz w:val="24"/>
          <w:highlight w:val="none"/>
        </w:rPr>
        <w:t>3. 法人、其他组织竞标时“我方”是指“我单位”，自然人竞标时“我方”是指“本人”。</w:t>
      </w:r>
    </w:p>
    <w:p w14:paraId="7F21BB02">
      <w:pPr>
        <w:spacing w:line="520" w:lineRule="exact"/>
        <w:ind w:firstLine="480" w:firstLineChars="200"/>
        <w:jc w:val="left"/>
        <w:rPr>
          <w:rFonts w:hint="eastAsia" w:ascii="仿宋" w:hAnsi="仿宋" w:eastAsia="仿宋" w:cs="仿宋"/>
          <w:b/>
          <w:color w:val="auto"/>
          <w:sz w:val="30"/>
          <w:szCs w:val="30"/>
          <w:highlight w:val="none"/>
        </w:rPr>
      </w:pPr>
      <w:r>
        <w:rPr>
          <w:rFonts w:hint="eastAsia" w:ascii="仿宋" w:hAnsi="仿宋" w:eastAsia="仿宋" w:cs="仿宋"/>
          <w:color w:val="auto"/>
          <w:szCs w:val="21"/>
          <w:highlight w:val="none"/>
        </w:rPr>
        <w:br w:type="page"/>
      </w:r>
      <w:r>
        <w:rPr>
          <w:rFonts w:hint="eastAsia" w:ascii="仿宋" w:hAnsi="仿宋" w:eastAsia="仿宋" w:cs="仿宋"/>
          <w:b/>
          <w:color w:val="auto"/>
          <w:sz w:val="30"/>
          <w:szCs w:val="30"/>
          <w:highlight w:val="none"/>
        </w:rPr>
        <w:t>四、商务条款偏离表</w:t>
      </w:r>
    </w:p>
    <w:p w14:paraId="4DE28628">
      <w:pPr>
        <w:spacing w:line="500" w:lineRule="exact"/>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商务条款偏离表</w:t>
      </w:r>
    </w:p>
    <w:p w14:paraId="156F6A7C">
      <w:pPr>
        <w:spacing w:line="520" w:lineRule="exact"/>
        <w:rPr>
          <w:rFonts w:hint="eastAsia" w:ascii="仿宋" w:hAnsi="仿宋" w:eastAsia="仿宋" w:cs="仿宋"/>
          <w:color w:val="auto"/>
          <w:sz w:val="32"/>
          <w:szCs w:val="32"/>
          <w:highlight w:val="none"/>
        </w:rPr>
      </w:pPr>
    </w:p>
    <w:p w14:paraId="5800AC32">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采购项目编号：</w:t>
      </w:r>
      <w:r>
        <w:rPr>
          <w:rFonts w:hint="eastAsia" w:ascii="仿宋" w:hAnsi="仿宋" w:eastAsia="仿宋" w:cs="仿宋"/>
          <w:color w:val="auto"/>
          <w:szCs w:val="21"/>
          <w:highlight w:val="none"/>
          <w:u w:val="single"/>
        </w:rPr>
        <w:t xml:space="preserve">  </w:t>
      </w:r>
      <w:bookmarkStart w:id="96" w:name="PO_3000001868_PM001_8"/>
      <w:r>
        <w:rPr>
          <w:rFonts w:hint="eastAsia" w:ascii="仿宋" w:hAnsi="仿宋" w:eastAsia="仿宋" w:cs="仿宋"/>
          <w:color w:val="auto"/>
          <w:szCs w:val="21"/>
          <w:highlight w:val="none"/>
          <w:u w:val="single"/>
        </w:rPr>
        <w:t>[项目编号]</w:t>
      </w:r>
      <w:bookmarkEnd w:id="96"/>
      <w:r>
        <w:rPr>
          <w:rFonts w:hint="eastAsia" w:ascii="仿宋" w:hAnsi="仿宋" w:eastAsia="仿宋" w:cs="仿宋"/>
          <w:color w:val="auto"/>
          <w:szCs w:val="21"/>
          <w:highlight w:val="none"/>
          <w:u w:val="single"/>
        </w:rPr>
        <w:t xml:space="preserve">  </w:t>
      </w:r>
    </w:p>
    <w:p w14:paraId="7BA5FDE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bookmarkStart w:id="97" w:name="PO_3000001868_PM002_8"/>
      <w:r>
        <w:rPr>
          <w:rFonts w:hint="eastAsia" w:ascii="仿宋" w:hAnsi="仿宋" w:eastAsia="仿宋" w:cs="仿宋"/>
          <w:color w:val="auto"/>
          <w:szCs w:val="21"/>
          <w:highlight w:val="none"/>
          <w:u w:val="single"/>
        </w:rPr>
        <w:t>[项目名称]</w:t>
      </w:r>
      <w:bookmarkEnd w:id="97"/>
      <w:r>
        <w:rPr>
          <w:rFonts w:hint="eastAsia" w:ascii="仿宋" w:hAnsi="仿宋" w:eastAsia="仿宋" w:cs="仿宋"/>
          <w:color w:val="auto"/>
          <w:szCs w:val="21"/>
          <w:highlight w:val="none"/>
          <w:u w:val="single"/>
        </w:rPr>
        <w:t xml:space="preserve"> </w:t>
      </w:r>
    </w:p>
    <w:p w14:paraId="3AD05EF0">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分标号（此处有分标时填写具体分标号，无分标时填写“无”）：</w:t>
      </w:r>
      <w:r>
        <w:rPr>
          <w:rFonts w:hint="eastAsia" w:ascii="仿宋" w:hAnsi="仿宋" w:eastAsia="仿宋" w:cs="仿宋"/>
          <w:color w:val="auto"/>
          <w:szCs w:val="21"/>
          <w:highlight w:val="none"/>
          <w:u w:val="single"/>
        </w:rPr>
        <w:t xml:space="preserve">                       </w:t>
      </w:r>
    </w:p>
    <w:tbl>
      <w:tblPr>
        <w:tblStyle w:val="22"/>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A7A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01C7F4F1">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2C85AE75">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竞争性磋商采购文件的商务需求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F6E89A5">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EBFD104">
            <w:pPr>
              <w:spacing w:line="34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65E2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vAlign w:val="top"/>
          </w:tcPr>
          <w:p w14:paraId="6151318B">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vAlign w:val="top"/>
          </w:tcPr>
          <w:p w14:paraId="1052779A">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25E9B1B9">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175B35C5">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4EF7DCB6">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vAlign w:val="top"/>
          </w:tcPr>
          <w:p w14:paraId="360CE3D2">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3F535669">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1908BA13">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783704E5">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vAlign w:val="top"/>
          </w:tcPr>
          <w:p w14:paraId="0BAC22AC">
            <w:pPr>
              <w:spacing w:line="300" w:lineRule="exact"/>
              <w:rPr>
                <w:rFonts w:hint="eastAsia" w:ascii="仿宋" w:hAnsi="仿宋" w:eastAsia="仿宋" w:cs="仿宋"/>
                <w:color w:val="auto"/>
                <w:szCs w:val="21"/>
                <w:highlight w:val="none"/>
              </w:rPr>
            </w:pPr>
          </w:p>
        </w:tc>
      </w:tr>
      <w:tr w14:paraId="75C2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vAlign w:val="top"/>
          </w:tcPr>
          <w:p w14:paraId="3CCEB1F5">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vAlign w:val="top"/>
          </w:tcPr>
          <w:p w14:paraId="670A0EF2">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69E9C72C">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3328189C">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69A6BBBD">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vAlign w:val="top"/>
          </w:tcPr>
          <w:p w14:paraId="6751E9B0">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5A31EFFD">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0E831BE7">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6B08F7F7">
            <w:pPr>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vAlign w:val="top"/>
          </w:tcPr>
          <w:p w14:paraId="4AF4C39A">
            <w:pPr>
              <w:spacing w:line="300" w:lineRule="exact"/>
              <w:rPr>
                <w:rFonts w:hint="eastAsia" w:ascii="仿宋" w:hAnsi="仿宋" w:eastAsia="仿宋" w:cs="仿宋"/>
                <w:color w:val="auto"/>
                <w:szCs w:val="21"/>
                <w:highlight w:val="none"/>
              </w:rPr>
            </w:pPr>
          </w:p>
        </w:tc>
      </w:tr>
    </w:tbl>
    <w:p w14:paraId="19C9B0DC">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p>
    <w:p w14:paraId="2BF6C40E">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1.说明：应对照磋商文件“第二章 采购需求”中的商务条款逐条作出明确响应，并作出偏离说明。</w:t>
      </w:r>
    </w:p>
    <w:p w14:paraId="6CA28D9C">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2.供应商应根据自身的承诺，对照磋商文件要求，在“偏离说明”中注明“正偏离</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负偏离”或者“无偏离”。既不属于“正偏离”也不属于“负偏离”即为“无偏离”。 当响应文件的商务内容低于竞争性磋商采购文件要求时，竞标人应当如实写明“负偏离”，否则视为虚假应标</w:t>
      </w:r>
    </w:p>
    <w:p w14:paraId="1BFBD218">
      <w:pPr>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3.表格内容均需按要求填写，不得留空，否则按竞标无效处理。</w:t>
      </w:r>
    </w:p>
    <w:p w14:paraId="3FC1610E">
      <w:pPr>
        <w:pStyle w:val="14"/>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号，对标注◆号的采购需求不适用上述“竞标无效”条款。</w:t>
      </w:r>
    </w:p>
    <w:p w14:paraId="5254FF0B">
      <w:pPr>
        <w:spacing w:line="360" w:lineRule="auto"/>
        <w:ind w:firstLine="3840" w:firstLineChars="1600"/>
        <w:rPr>
          <w:rFonts w:hint="eastAsia" w:ascii="仿宋" w:hAnsi="仿宋" w:eastAsia="仿宋" w:cs="仿宋"/>
          <w:color w:val="auto"/>
          <w:kern w:val="0"/>
          <w:sz w:val="24"/>
          <w:highlight w:val="none"/>
        </w:rPr>
      </w:pPr>
    </w:p>
    <w:p w14:paraId="5CC66535">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供应商名称（电子签章）：</w:t>
      </w:r>
    </w:p>
    <w:p w14:paraId="6C33C289">
      <w:pPr>
        <w:spacing w:line="360" w:lineRule="auto"/>
        <w:jc w:val="center"/>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lang w:val="zh-CN"/>
        </w:rPr>
        <w:t xml:space="preserve">                                                   日期：  年  月   日</w:t>
      </w:r>
    </w:p>
    <w:p w14:paraId="46CAB4C8">
      <w:pPr>
        <w:snapToGrid w:val="0"/>
        <w:spacing w:line="360" w:lineRule="auto"/>
        <w:ind w:firstLine="602" w:firstLineChars="200"/>
        <w:rPr>
          <w:rFonts w:hint="eastAsia" w:ascii="仿宋" w:hAnsi="仿宋" w:eastAsia="仿宋" w:cs="仿宋"/>
          <w:b/>
          <w:color w:val="auto"/>
          <w:sz w:val="30"/>
          <w:szCs w:val="30"/>
          <w:highlight w:val="none"/>
        </w:rPr>
      </w:pPr>
    </w:p>
    <w:p w14:paraId="5970EDDD">
      <w:pP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br w:type="page"/>
      </w:r>
    </w:p>
    <w:p w14:paraId="57213618">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五、竞标人情况介绍</w:t>
      </w:r>
    </w:p>
    <w:p w14:paraId="42916628">
      <w:pPr>
        <w:snapToGrid w:val="0"/>
        <w:spacing w:line="360" w:lineRule="auto"/>
        <w:ind w:firstLine="602" w:firstLineChars="200"/>
        <w:rPr>
          <w:rFonts w:hint="eastAsia" w:ascii="仿宋" w:hAnsi="仿宋" w:eastAsia="仿宋" w:cs="仿宋"/>
          <w:b/>
          <w:color w:val="auto"/>
          <w:sz w:val="30"/>
          <w:szCs w:val="30"/>
          <w:highlight w:val="none"/>
        </w:rPr>
      </w:pPr>
    </w:p>
    <w:p w14:paraId="0A350E42">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02ADAE9C">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1ED0A952">
      <w:pPr>
        <w:snapToGrid w:val="0"/>
        <w:spacing w:before="120" w:beforeLines="50" w:after="50"/>
        <w:ind w:firstLine="602" w:firstLineChars="200"/>
        <w:rPr>
          <w:rFonts w:hint="eastAsia" w:ascii="仿宋" w:hAnsi="仿宋" w:eastAsia="仿宋" w:cs="仿宋"/>
          <w:b/>
          <w:color w:val="auto"/>
          <w:sz w:val="30"/>
          <w:szCs w:val="30"/>
          <w:highlight w:val="none"/>
        </w:rPr>
      </w:pPr>
    </w:p>
    <w:p w14:paraId="58CB8E09">
      <w:pPr>
        <w:snapToGrid w:val="0"/>
        <w:spacing w:before="120" w:beforeLines="50" w:after="50"/>
        <w:ind w:firstLine="602" w:firstLineChars="200"/>
        <w:rPr>
          <w:rFonts w:hint="eastAsia" w:ascii="仿宋" w:hAnsi="仿宋" w:eastAsia="仿宋" w:cs="仿宋"/>
          <w:b/>
          <w:color w:val="auto"/>
          <w:sz w:val="30"/>
          <w:szCs w:val="30"/>
          <w:highlight w:val="none"/>
        </w:rPr>
      </w:pPr>
    </w:p>
    <w:p w14:paraId="65AE96E0">
      <w:pPr>
        <w:snapToGrid w:val="0"/>
        <w:spacing w:before="120" w:beforeLines="50" w:after="50"/>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六、供应商类似的业绩证明文件</w:t>
      </w:r>
    </w:p>
    <w:p w14:paraId="1FF022AC">
      <w:pPr>
        <w:autoSpaceDE w:val="0"/>
        <w:autoSpaceDN w:val="0"/>
        <w:spacing w:line="360" w:lineRule="auto"/>
        <w:ind w:firstLine="120"/>
        <w:rPr>
          <w:rFonts w:hint="eastAsia" w:ascii="仿宋" w:hAnsi="仿宋" w:eastAsia="仿宋" w:cs="仿宋"/>
          <w:color w:val="auto"/>
          <w:sz w:val="24"/>
          <w:highlight w:val="none"/>
        </w:rPr>
      </w:pPr>
      <w:r>
        <w:rPr>
          <w:rFonts w:hint="eastAsia" w:ascii="仿宋" w:hAnsi="仿宋" w:eastAsia="仿宋" w:cs="仿宋"/>
          <w:b/>
          <w:color w:val="auto"/>
          <w:sz w:val="24"/>
          <w:highlight w:val="none"/>
        </w:rPr>
        <w:t>附表 :相关项目业绩一览表</w:t>
      </w:r>
    </w:p>
    <w:tbl>
      <w:tblPr>
        <w:tblStyle w:val="22"/>
        <w:tblW w:w="4996"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11"/>
        <w:gridCol w:w="1775"/>
        <w:gridCol w:w="2542"/>
        <w:gridCol w:w="2200"/>
        <w:gridCol w:w="1758"/>
      </w:tblGrid>
      <w:tr w14:paraId="012A0B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tblHeader/>
          <w:jc w:val="center"/>
        </w:trPr>
        <w:tc>
          <w:tcPr>
            <w:tcW w:w="1011" w:type="dxa"/>
            <w:vMerge w:val="restart"/>
            <w:tcBorders>
              <w:top w:val="single" w:color="auto" w:sz="4" w:space="0"/>
              <w:left w:val="single" w:color="auto" w:sz="4" w:space="0"/>
              <w:right w:val="single" w:color="auto" w:sz="4" w:space="0"/>
            </w:tcBorders>
            <w:vAlign w:val="center"/>
          </w:tcPr>
          <w:p w14:paraId="708E8A9C">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序号</w:t>
            </w:r>
          </w:p>
        </w:tc>
        <w:tc>
          <w:tcPr>
            <w:tcW w:w="1775" w:type="dxa"/>
            <w:vMerge w:val="restart"/>
            <w:tcBorders>
              <w:top w:val="single" w:color="auto" w:sz="4" w:space="0"/>
              <w:left w:val="single" w:color="auto" w:sz="4" w:space="0"/>
              <w:bottom w:val="single" w:color="auto" w:sz="4" w:space="0"/>
              <w:right w:val="single" w:color="auto" w:sz="4" w:space="0"/>
            </w:tcBorders>
            <w:vAlign w:val="center"/>
          </w:tcPr>
          <w:p w14:paraId="12761CF5">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采购人名称</w:t>
            </w:r>
          </w:p>
        </w:tc>
        <w:tc>
          <w:tcPr>
            <w:tcW w:w="2542" w:type="dxa"/>
            <w:vMerge w:val="restart"/>
            <w:tcBorders>
              <w:top w:val="single" w:color="auto" w:sz="4" w:space="0"/>
              <w:left w:val="single" w:color="auto" w:sz="4" w:space="0"/>
              <w:bottom w:val="single" w:color="auto" w:sz="4" w:space="0"/>
              <w:right w:val="single" w:color="auto" w:sz="4" w:space="0"/>
            </w:tcBorders>
            <w:vAlign w:val="center"/>
          </w:tcPr>
          <w:p w14:paraId="156E294D">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项目名称</w:t>
            </w:r>
          </w:p>
        </w:tc>
        <w:tc>
          <w:tcPr>
            <w:tcW w:w="2200" w:type="dxa"/>
            <w:vMerge w:val="restart"/>
            <w:tcBorders>
              <w:top w:val="single" w:color="auto" w:sz="4" w:space="0"/>
              <w:left w:val="single" w:color="auto" w:sz="4" w:space="0"/>
              <w:bottom w:val="single" w:color="auto" w:sz="4" w:space="0"/>
              <w:right w:val="single" w:color="auto" w:sz="4" w:space="0"/>
            </w:tcBorders>
            <w:vAlign w:val="center"/>
          </w:tcPr>
          <w:p w14:paraId="4FFBA1A7">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合同金额</w:t>
            </w:r>
          </w:p>
          <w:p w14:paraId="37587AD2">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（万元）</w:t>
            </w:r>
          </w:p>
        </w:tc>
        <w:tc>
          <w:tcPr>
            <w:tcW w:w="1758" w:type="dxa"/>
            <w:vMerge w:val="restart"/>
            <w:tcBorders>
              <w:top w:val="single" w:color="auto" w:sz="4" w:space="0"/>
              <w:left w:val="single" w:color="auto" w:sz="4" w:space="0"/>
              <w:bottom w:val="single" w:color="auto" w:sz="4" w:space="0"/>
              <w:right w:val="single" w:color="auto" w:sz="4" w:space="0"/>
            </w:tcBorders>
            <w:vAlign w:val="center"/>
          </w:tcPr>
          <w:p w14:paraId="4FA60ED9">
            <w:pPr>
              <w:snapToGrid w:val="0"/>
              <w:spacing w:line="240" w:lineRule="auto"/>
              <w:ind w:left="0" w:leftChars="0" w:right="0" w:rightChars="0" w:firstLine="0" w:firstLineChars="0"/>
              <w:jc w:val="center"/>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rPr>
              <w:t>采购人联系人及联系电话</w:t>
            </w:r>
          </w:p>
        </w:tc>
      </w:tr>
      <w:tr w14:paraId="58A405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8" w:hRule="atLeast"/>
          <w:tblHeader/>
          <w:jc w:val="center"/>
        </w:trPr>
        <w:tc>
          <w:tcPr>
            <w:tcW w:w="1011" w:type="dxa"/>
            <w:vMerge w:val="continue"/>
            <w:tcBorders>
              <w:left w:val="single" w:color="auto" w:sz="4" w:space="0"/>
              <w:bottom w:val="single" w:color="auto" w:sz="4" w:space="0"/>
              <w:right w:val="single" w:color="auto" w:sz="4" w:space="0"/>
            </w:tcBorders>
            <w:vAlign w:val="center"/>
          </w:tcPr>
          <w:p w14:paraId="3C715C0A">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1775" w:type="dxa"/>
            <w:vMerge w:val="continue"/>
            <w:tcBorders>
              <w:top w:val="single" w:color="auto" w:sz="4" w:space="0"/>
              <w:left w:val="single" w:color="auto" w:sz="4" w:space="0"/>
              <w:bottom w:val="single" w:color="auto" w:sz="4" w:space="0"/>
              <w:right w:val="single" w:color="auto" w:sz="4" w:space="0"/>
            </w:tcBorders>
            <w:vAlign w:val="center"/>
          </w:tcPr>
          <w:p w14:paraId="1A7D022F">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2542" w:type="dxa"/>
            <w:vMerge w:val="continue"/>
            <w:tcBorders>
              <w:top w:val="single" w:color="auto" w:sz="4" w:space="0"/>
              <w:left w:val="single" w:color="auto" w:sz="4" w:space="0"/>
              <w:bottom w:val="single" w:color="auto" w:sz="4" w:space="0"/>
              <w:right w:val="single" w:color="auto" w:sz="4" w:space="0"/>
            </w:tcBorders>
            <w:vAlign w:val="center"/>
          </w:tcPr>
          <w:p w14:paraId="2C7B4D82">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2200" w:type="dxa"/>
            <w:vMerge w:val="continue"/>
            <w:tcBorders>
              <w:top w:val="single" w:color="auto" w:sz="4" w:space="0"/>
              <w:left w:val="single" w:color="auto" w:sz="4" w:space="0"/>
              <w:bottom w:val="single" w:color="auto" w:sz="4" w:space="0"/>
              <w:right w:val="single" w:color="auto" w:sz="4" w:space="0"/>
            </w:tcBorders>
            <w:vAlign w:val="center"/>
          </w:tcPr>
          <w:p w14:paraId="3027A4CE">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c>
          <w:tcPr>
            <w:tcW w:w="1758" w:type="dxa"/>
            <w:vMerge w:val="continue"/>
            <w:tcBorders>
              <w:top w:val="single" w:color="auto" w:sz="4" w:space="0"/>
              <w:left w:val="single" w:color="auto" w:sz="4" w:space="0"/>
              <w:bottom w:val="single" w:color="auto" w:sz="4" w:space="0"/>
              <w:right w:val="single" w:color="auto" w:sz="4" w:space="0"/>
            </w:tcBorders>
            <w:vAlign w:val="center"/>
          </w:tcPr>
          <w:p w14:paraId="6A3AEC2C">
            <w:pPr>
              <w:widowControl/>
              <w:snapToGrid w:val="0"/>
              <w:spacing w:line="240" w:lineRule="auto"/>
              <w:ind w:left="0" w:leftChars="0" w:right="0" w:rightChars="0" w:firstLine="0" w:firstLineChars="0"/>
              <w:jc w:val="center"/>
              <w:rPr>
                <w:rFonts w:hint="eastAsia" w:ascii="仿宋" w:hAnsi="仿宋" w:eastAsia="仿宋" w:cs="仿宋"/>
                <w:b/>
                <w:color w:val="auto"/>
                <w:sz w:val="24"/>
                <w:highlight w:val="none"/>
              </w:rPr>
            </w:pPr>
          </w:p>
        </w:tc>
      </w:tr>
      <w:tr w14:paraId="10CB01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14:paraId="7DE1E295">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5B6FEB88">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2542" w:type="dxa"/>
            <w:tcBorders>
              <w:top w:val="single" w:color="auto" w:sz="4" w:space="0"/>
              <w:left w:val="single" w:color="auto" w:sz="4" w:space="0"/>
              <w:bottom w:val="single" w:color="auto" w:sz="4" w:space="0"/>
              <w:right w:val="single" w:color="auto" w:sz="4" w:space="0"/>
            </w:tcBorders>
            <w:vAlign w:val="center"/>
          </w:tcPr>
          <w:p w14:paraId="38CB193C">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2200" w:type="dxa"/>
            <w:tcBorders>
              <w:top w:val="single" w:color="auto" w:sz="4" w:space="0"/>
              <w:left w:val="single" w:color="auto" w:sz="4" w:space="0"/>
              <w:bottom w:val="single" w:color="auto" w:sz="4" w:space="0"/>
              <w:right w:val="single" w:color="auto" w:sz="4" w:space="0"/>
            </w:tcBorders>
            <w:vAlign w:val="center"/>
          </w:tcPr>
          <w:p w14:paraId="365AB4C1">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vAlign w:val="center"/>
          </w:tcPr>
          <w:p w14:paraId="586A928D">
            <w:pPr>
              <w:snapToGrid w:val="0"/>
              <w:spacing w:line="240" w:lineRule="auto"/>
              <w:ind w:left="0" w:leftChars="0" w:right="0" w:rightChars="0" w:firstLine="0" w:firstLineChars="0"/>
              <w:jc w:val="center"/>
              <w:rPr>
                <w:rFonts w:hint="eastAsia" w:ascii="仿宋" w:hAnsi="仿宋" w:eastAsia="仿宋" w:cs="仿宋"/>
                <w:color w:val="auto"/>
                <w:sz w:val="24"/>
                <w:highlight w:val="none"/>
              </w:rPr>
            </w:pPr>
          </w:p>
        </w:tc>
      </w:tr>
      <w:tr w14:paraId="32AD6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14:paraId="2B495ED4">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192FAC60">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542" w:type="dxa"/>
            <w:tcBorders>
              <w:top w:val="single" w:color="auto" w:sz="4" w:space="0"/>
              <w:left w:val="single" w:color="auto" w:sz="4" w:space="0"/>
              <w:bottom w:val="single" w:color="auto" w:sz="4" w:space="0"/>
              <w:right w:val="single" w:color="auto" w:sz="4" w:space="0"/>
            </w:tcBorders>
            <w:vAlign w:val="center"/>
          </w:tcPr>
          <w:p w14:paraId="03B4C608">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200" w:type="dxa"/>
            <w:tcBorders>
              <w:top w:val="single" w:color="auto" w:sz="4" w:space="0"/>
              <w:left w:val="single" w:color="auto" w:sz="4" w:space="0"/>
              <w:bottom w:val="single" w:color="auto" w:sz="4" w:space="0"/>
              <w:right w:val="single" w:color="auto" w:sz="4" w:space="0"/>
            </w:tcBorders>
            <w:vAlign w:val="center"/>
          </w:tcPr>
          <w:p w14:paraId="414C7100">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vAlign w:val="center"/>
          </w:tcPr>
          <w:p w14:paraId="217FBBD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r w14:paraId="17DD60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14:paraId="1049E33E">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1B9C5539">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542" w:type="dxa"/>
            <w:tcBorders>
              <w:top w:val="single" w:color="auto" w:sz="4" w:space="0"/>
              <w:left w:val="single" w:color="auto" w:sz="4" w:space="0"/>
              <w:bottom w:val="single" w:color="auto" w:sz="4" w:space="0"/>
              <w:right w:val="single" w:color="auto" w:sz="4" w:space="0"/>
            </w:tcBorders>
            <w:vAlign w:val="center"/>
          </w:tcPr>
          <w:p w14:paraId="22AB6A26">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200" w:type="dxa"/>
            <w:tcBorders>
              <w:top w:val="single" w:color="auto" w:sz="4" w:space="0"/>
              <w:left w:val="single" w:color="auto" w:sz="4" w:space="0"/>
              <w:bottom w:val="single" w:color="auto" w:sz="4" w:space="0"/>
              <w:right w:val="single" w:color="auto" w:sz="4" w:space="0"/>
            </w:tcBorders>
            <w:vAlign w:val="center"/>
          </w:tcPr>
          <w:p w14:paraId="68AE048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vAlign w:val="center"/>
          </w:tcPr>
          <w:p w14:paraId="271722FF">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r w14:paraId="75C21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14:paraId="2CA1A93C">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52CBB3F3">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542" w:type="dxa"/>
            <w:tcBorders>
              <w:top w:val="single" w:color="auto" w:sz="4" w:space="0"/>
              <w:left w:val="single" w:color="auto" w:sz="4" w:space="0"/>
              <w:bottom w:val="single" w:color="auto" w:sz="4" w:space="0"/>
              <w:right w:val="single" w:color="auto" w:sz="4" w:space="0"/>
            </w:tcBorders>
            <w:vAlign w:val="center"/>
          </w:tcPr>
          <w:p w14:paraId="6BFE670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200" w:type="dxa"/>
            <w:tcBorders>
              <w:top w:val="single" w:color="auto" w:sz="4" w:space="0"/>
              <w:left w:val="single" w:color="auto" w:sz="4" w:space="0"/>
              <w:bottom w:val="single" w:color="auto" w:sz="4" w:space="0"/>
              <w:right w:val="single" w:color="auto" w:sz="4" w:space="0"/>
            </w:tcBorders>
            <w:vAlign w:val="center"/>
          </w:tcPr>
          <w:p w14:paraId="4DF3F54D">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vAlign w:val="center"/>
          </w:tcPr>
          <w:p w14:paraId="5936EC55">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r w14:paraId="334F57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11" w:type="dxa"/>
            <w:tcBorders>
              <w:top w:val="single" w:color="auto" w:sz="4" w:space="0"/>
              <w:left w:val="single" w:color="auto" w:sz="4" w:space="0"/>
              <w:bottom w:val="single" w:color="auto" w:sz="4" w:space="0"/>
              <w:right w:val="single" w:color="auto" w:sz="4" w:space="0"/>
            </w:tcBorders>
            <w:vAlign w:val="center"/>
          </w:tcPr>
          <w:p w14:paraId="5E6A246E">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45F91B80">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542" w:type="dxa"/>
            <w:tcBorders>
              <w:top w:val="single" w:color="auto" w:sz="4" w:space="0"/>
              <w:left w:val="single" w:color="auto" w:sz="4" w:space="0"/>
              <w:bottom w:val="single" w:color="auto" w:sz="4" w:space="0"/>
              <w:right w:val="single" w:color="auto" w:sz="4" w:space="0"/>
            </w:tcBorders>
            <w:vAlign w:val="center"/>
          </w:tcPr>
          <w:p w14:paraId="516EFF36">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2200" w:type="dxa"/>
            <w:tcBorders>
              <w:top w:val="single" w:color="auto" w:sz="4" w:space="0"/>
              <w:left w:val="single" w:color="auto" w:sz="4" w:space="0"/>
              <w:bottom w:val="single" w:color="auto" w:sz="4" w:space="0"/>
              <w:right w:val="single" w:color="auto" w:sz="4" w:space="0"/>
            </w:tcBorders>
            <w:vAlign w:val="center"/>
          </w:tcPr>
          <w:p w14:paraId="3EE88D91">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c>
          <w:tcPr>
            <w:tcW w:w="1758" w:type="dxa"/>
            <w:tcBorders>
              <w:top w:val="single" w:color="auto" w:sz="4" w:space="0"/>
              <w:left w:val="single" w:color="auto" w:sz="4" w:space="0"/>
              <w:bottom w:val="single" w:color="auto" w:sz="4" w:space="0"/>
              <w:right w:val="single" w:color="auto" w:sz="4" w:space="0"/>
            </w:tcBorders>
            <w:vAlign w:val="center"/>
          </w:tcPr>
          <w:p w14:paraId="28BDE5BD">
            <w:pPr>
              <w:snapToGrid w:val="0"/>
              <w:spacing w:before="50" w:after="120" w:afterLines="50" w:line="240" w:lineRule="auto"/>
              <w:ind w:left="0" w:leftChars="0" w:right="0" w:rightChars="0" w:firstLine="0" w:firstLineChars="0"/>
              <w:jc w:val="center"/>
              <w:rPr>
                <w:rFonts w:hint="eastAsia" w:ascii="仿宋" w:hAnsi="仿宋" w:eastAsia="仿宋" w:cs="仿宋"/>
                <w:color w:val="auto"/>
                <w:sz w:val="24"/>
                <w:highlight w:val="none"/>
              </w:rPr>
            </w:pPr>
          </w:p>
        </w:tc>
      </w:tr>
    </w:tbl>
    <w:p w14:paraId="4B061B2C">
      <w:pPr>
        <w:pStyle w:val="18"/>
        <w:snapToGrid w:val="0"/>
        <w:ind w:left="480" w:hanging="480"/>
        <w:rPr>
          <w:rFonts w:hint="eastAsia" w:ascii="仿宋" w:hAnsi="仿宋" w:eastAsia="仿宋" w:cs="仿宋"/>
          <w:color w:val="auto"/>
          <w:sz w:val="24"/>
          <w:highlight w:val="none"/>
        </w:rPr>
      </w:pPr>
    </w:p>
    <w:p w14:paraId="2B6858E0">
      <w:pPr>
        <w:pStyle w:val="14"/>
        <w:spacing w:line="360" w:lineRule="auto"/>
        <w:ind w:left="7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注：供应商可按上述的格式自行编制。</w:t>
      </w:r>
    </w:p>
    <w:p w14:paraId="0C4B97C2">
      <w:pPr>
        <w:snapToGrid w:val="0"/>
        <w:spacing w:line="360" w:lineRule="auto"/>
        <w:ind w:firstLine="5640" w:firstLineChars="2350"/>
        <w:rPr>
          <w:rFonts w:hint="eastAsia" w:ascii="仿宋" w:hAnsi="仿宋" w:eastAsia="仿宋" w:cs="仿宋"/>
          <w:color w:val="auto"/>
          <w:szCs w:val="21"/>
          <w:highlight w:val="none"/>
        </w:rPr>
      </w:pPr>
    </w:p>
    <w:p w14:paraId="1771A438">
      <w:pPr>
        <w:snapToGrid w:val="0"/>
        <w:spacing w:line="360" w:lineRule="auto"/>
        <w:ind w:left="5040" w:leftChars="2100" w:firstLine="6480" w:firstLineChars="2700"/>
        <w:rPr>
          <w:rFonts w:hint="eastAsia" w:ascii="仿宋" w:hAnsi="仿宋" w:eastAsia="仿宋" w:cs="仿宋"/>
          <w:color w:val="auto"/>
          <w:kern w:val="0"/>
          <w:sz w:val="24"/>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 w:val="24"/>
          <w:highlight w:val="none"/>
          <w:lang w:val="zh-CN"/>
        </w:rPr>
        <w:t>供应商名称(电子签章)：</w:t>
      </w:r>
    </w:p>
    <w:p w14:paraId="71521EDB">
      <w:pPr>
        <w:spacing w:line="500" w:lineRule="exact"/>
        <w:jc w:val="center"/>
        <w:rPr>
          <w:rFonts w:hint="eastAsia" w:ascii="仿宋" w:hAnsi="仿宋" w:eastAsia="仿宋" w:cs="仿宋"/>
          <w:color w:val="auto"/>
          <w:sz w:val="32"/>
          <w:szCs w:val="32"/>
          <w:highlight w:val="none"/>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0846576B">
      <w:pPr>
        <w:widowControl/>
        <w:jc w:val="left"/>
        <w:rPr>
          <w:rFonts w:hint="eastAsia" w:ascii="仿宋" w:hAnsi="仿宋" w:eastAsia="仿宋" w:cs="仿宋"/>
          <w:color w:val="auto"/>
          <w:sz w:val="32"/>
          <w:szCs w:val="32"/>
          <w:highlight w:val="none"/>
        </w:rPr>
      </w:pPr>
    </w:p>
    <w:p w14:paraId="01F02B82">
      <w:pPr>
        <w:widowControl/>
        <w:jc w:val="left"/>
        <w:rPr>
          <w:rFonts w:hint="eastAsia" w:ascii="仿宋" w:hAnsi="仿宋" w:eastAsia="仿宋" w:cs="仿宋"/>
          <w:color w:val="auto"/>
          <w:sz w:val="32"/>
          <w:szCs w:val="32"/>
          <w:highlight w:val="none"/>
        </w:rPr>
        <w:sectPr>
          <w:pgSz w:w="11911" w:h="16838"/>
          <w:pgMar w:top="1417" w:right="1417" w:bottom="1417" w:left="1417" w:header="720" w:footer="720" w:gutter="0"/>
          <w:cols w:space="720" w:num="1"/>
          <w:docGrid w:linePitch="1" w:charSpace="0"/>
        </w:sectPr>
      </w:pPr>
    </w:p>
    <w:p w14:paraId="2F254678">
      <w:pPr>
        <w:snapToGrid w:val="0"/>
        <w:spacing w:line="360" w:lineRule="auto"/>
        <w:ind w:firstLine="641" w:firstLineChars="213"/>
        <w:rPr>
          <w:rFonts w:hint="eastAsia" w:ascii="仿宋" w:hAnsi="仿宋" w:eastAsia="仿宋" w:cs="仿宋"/>
          <w:color w:val="auto"/>
          <w:sz w:val="32"/>
          <w:szCs w:val="32"/>
          <w:highlight w:val="none"/>
        </w:rPr>
      </w:pPr>
      <w:r>
        <w:rPr>
          <w:rFonts w:hint="eastAsia" w:ascii="仿宋" w:hAnsi="仿宋" w:eastAsia="仿宋" w:cs="仿宋"/>
          <w:b/>
          <w:color w:val="auto"/>
          <w:sz w:val="30"/>
          <w:szCs w:val="30"/>
          <w:highlight w:val="none"/>
          <w:lang w:val="en-US" w:eastAsia="zh-CN"/>
        </w:rPr>
        <w:t>七</w:t>
      </w:r>
      <w:r>
        <w:rPr>
          <w:rFonts w:hint="eastAsia" w:ascii="仿宋" w:hAnsi="仿宋" w:eastAsia="仿宋" w:cs="仿宋"/>
          <w:b/>
          <w:color w:val="auto"/>
          <w:sz w:val="30"/>
          <w:szCs w:val="30"/>
          <w:highlight w:val="none"/>
        </w:rPr>
        <w:t>、服务需求偏离表</w:t>
      </w:r>
    </w:p>
    <w:p w14:paraId="39887AB1">
      <w:pPr>
        <w:spacing w:line="500" w:lineRule="exact"/>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服务需求偏离表</w:t>
      </w:r>
    </w:p>
    <w:p w14:paraId="4AF1AE76">
      <w:pPr>
        <w:spacing w:line="500" w:lineRule="exact"/>
        <w:jc w:val="center"/>
        <w:rPr>
          <w:rFonts w:hint="eastAsia" w:ascii="仿宋" w:hAnsi="仿宋" w:eastAsia="仿宋" w:cs="仿宋"/>
          <w:b/>
          <w:color w:val="auto"/>
          <w:sz w:val="22"/>
          <w:szCs w:val="22"/>
          <w:highlight w:val="none"/>
        </w:rPr>
      </w:pPr>
      <w:r>
        <w:rPr>
          <w:rFonts w:hint="eastAsia" w:ascii="仿宋" w:hAnsi="仿宋" w:eastAsia="仿宋" w:cs="仿宋"/>
          <w:bCs/>
          <w:color w:val="auto"/>
          <w:sz w:val="32"/>
          <w:szCs w:val="32"/>
          <w:highlight w:val="none"/>
        </w:rPr>
        <w:t>(注：按采购需求具体条款修改)</w:t>
      </w:r>
    </w:p>
    <w:p w14:paraId="50178248">
      <w:pPr>
        <w:spacing w:line="360" w:lineRule="auto"/>
        <w:jc w:val="left"/>
        <w:rPr>
          <w:rFonts w:hint="eastAsia" w:ascii="仿宋" w:hAnsi="仿宋" w:eastAsia="仿宋" w:cs="仿宋"/>
          <w:color w:val="auto"/>
          <w:sz w:val="24"/>
          <w:highlight w:val="none"/>
        </w:rPr>
      </w:pPr>
    </w:p>
    <w:p w14:paraId="6B8D740E">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采购项目编号：</w:t>
      </w:r>
      <w:r>
        <w:rPr>
          <w:rFonts w:hint="eastAsia" w:ascii="仿宋" w:hAnsi="仿宋" w:eastAsia="仿宋" w:cs="仿宋"/>
          <w:color w:val="auto"/>
          <w:szCs w:val="21"/>
          <w:highlight w:val="none"/>
          <w:u w:val="single"/>
        </w:rPr>
        <w:t xml:space="preserve">  [项目编号]  </w:t>
      </w:r>
    </w:p>
    <w:p w14:paraId="1C8C1BF6">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[项目名称] </w:t>
      </w:r>
    </w:p>
    <w:p w14:paraId="17159535">
      <w:pPr>
        <w:pStyle w:val="14"/>
        <w:spacing w:line="360" w:lineRule="auto"/>
        <w:rPr>
          <w:rFonts w:hint="eastAsia" w:ascii="仿宋" w:hAnsi="仿宋" w:eastAsia="仿宋" w:cs="仿宋"/>
          <w:color w:val="auto"/>
          <w:sz w:val="21"/>
          <w:highlight w:val="none"/>
        </w:rPr>
      </w:pPr>
      <w:r>
        <w:rPr>
          <w:rFonts w:hint="eastAsia" w:ascii="仿宋" w:hAnsi="仿宋" w:eastAsia="仿宋" w:cs="仿宋"/>
          <w:color w:val="auto"/>
          <w:sz w:val="21"/>
          <w:highlight w:val="none"/>
        </w:rPr>
        <w:t>分标号（此处有分标时填写具体分标号，无分标时填写“无”）：</w:t>
      </w:r>
      <w:r>
        <w:rPr>
          <w:rFonts w:hint="eastAsia" w:ascii="仿宋" w:hAnsi="仿宋" w:eastAsia="仿宋" w:cs="仿宋"/>
          <w:color w:val="auto"/>
          <w:sz w:val="21"/>
          <w:highlight w:val="none"/>
          <w:u w:val="singl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296"/>
        <w:gridCol w:w="834"/>
        <w:gridCol w:w="1793"/>
        <w:gridCol w:w="1293"/>
        <w:gridCol w:w="746"/>
        <w:gridCol w:w="1303"/>
        <w:gridCol w:w="1242"/>
      </w:tblGrid>
      <w:tr w14:paraId="7D8B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671" w:type="dxa"/>
            <w:vMerge w:val="restart"/>
            <w:tcBorders>
              <w:top w:val="single" w:color="auto" w:sz="4" w:space="0"/>
              <w:left w:val="single" w:color="auto" w:sz="4" w:space="0"/>
              <w:bottom w:val="single" w:color="auto" w:sz="4" w:space="0"/>
              <w:right w:val="single" w:color="auto" w:sz="4" w:space="0"/>
            </w:tcBorders>
            <w:vAlign w:val="center"/>
          </w:tcPr>
          <w:p w14:paraId="5C779FB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项号</w:t>
            </w:r>
          </w:p>
        </w:tc>
        <w:tc>
          <w:tcPr>
            <w:tcW w:w="3923" w:type="dxa"/>
            <w:gridSpan w:val="3"/>
            <w:tcBorders>
              <w:top w:val="single" w:color="auto" w:sz="4" w:space="0"/>
              <w:left w:val="single" w:color="auto" w:sz="4" w:space="0"/>
              <w:bottom w:val="single" w:color="auto" w:sz="4" w:space="0"/>
              <w:right w:val="single" w:color="auto" w:sz="4" w:space="0"/>
            </w:tcBorders>
            <w:vAlign w:val="center"/>
          </w:tcPr>
          <w:p w14:paraId="6F33E676">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竞争性磋商采购文件需求</w:t>
            </w:r>
          </w:p>
        </w:tc>
        <w:tc>
          <w:tcPr>
            <w:tcW w:w="3342" w:type="dxa"/>
            <w:gridSpan w:val="3"/>
            <w:tcBorders>
              <w:top w:val="single" w:color="auto" w:sz="4" w:space="0"/>
              <w:left w:val="single" w:color="auto" w:sz="4" w:space="0"/>
              <w:bottom w:val="single" w:color="auto" w:sz="4" w:space="0"/>
              <w:right w:val="single" w:color="auto" w:sz="4" w:space="0"/>
            </w:tcBorders>
            <w:vAlign w:val="center"/>
          </w:tcPr>
          <w:p w14:paraId="70506A71">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响应文件承诺</w:t>
            </w:r>
          </w:p>
        </w:tc>
        <w:tc>
          <w:tcPr>
            <w:tcW w:w="1242" w:type="dxa"/>
            <w:vMerge w:val="restart"/>
            <w:tcBorders>
              <w:top w:val="single" w:color="auto" w:sz="4" w:space="0"/>
              <w:left w:val="single" w:color="auto" w:sz="4" w:space="0"/>
              <w:bottom w:val="single" w:color="auto" w:sz="4" w:space="0"/>
              <w:right w:val="single" w:color="auto" w:sz="4" w:space="0"/>
            </w:tcBorders>
            <w:vAlign w:val="center"/>
          </w:tcPr>
          <w:p w14:paraId="095AACFF">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偏离说明</w:t>
            </w:r>
          </w:p>
        </w:tc>
      </w:tr>
      <w:tr w14:paraId="187F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5476CE01">
            <w:pPr>
              <w:widowControl/>
              <w:jc w:val="left"/>
              <w:rPr>
                <w:rFonts w:hint="eastAsia" w:ascii="仿宋" w:hAnsi="仿宋" w:eastAsia="仿宋" w:cs="仿宋"/>
                <w:color w:val="auto"/>
                <w:szCs w:val="21"/>
                <w:highlight w:val="none"/>
              </w:rPr>
            </w:pPr>
          </w:p>
        </w:tc>
        <w:tc>
          <w:tcPr>
            <w:tcW w:w="1296" w:type="dxa"/>
            <w:tcBorders>
              <w:top w:val="single" w:color="auto" w:sz="4" w:space="0"/>
              <w:left w:val="single" w:color="auto" w:sz="4" w:space="0"/>
              <w:bottom w:val="single" w:color="auto" w:sz="4" w:space="0"/>
              <w:right w:val="single" w:color="auto" w:sz="4" w:space="0"/>
            </w:tcBorders>
            <w:vAlign w:val="center"/>
          </w:tcPr>
          <w:p w14:paraId="1BB5AA8B">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服务名称</w:t>
            </w:r>
          </w:p>
        </w:tc>
        <w:tc>
          <w:tcPr>
            <w:tcW w:w="834" w:type="dxa"/>
            <w:tcBorders>
              <w:top w:val="single" w:color="auto" w:sz="4" w:space="0"/>
              <w:left w:val="single" w:color="auto" w:sz="4" w:space="0"/>
              <w:bottom w:val="single" w:color="auto" w:sz="4" w:space="0"/>
              <w:right w:val="single" w:color="auto" w:sz="4" w:space="0"/>
            </w:tcBorders>
            <w:vAlign w:val="center"/>
          </w:tcPr>
          <w:p w14:paraId="7CCC4AB6">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793" w:type="dxa"/>
            <w:tcBorders>
              <w:top w:val="single" w:color="auto" w:sz="4" w:space="0"/>
              <w:left w:val="single" w:color="auto" w:sz="4" w:space="0"/>
              <w:bottom w:val="single" w:color="auto" w:sz="4" w:space="0"/>
              <w:right w:val="single" w:color="auto" w:sz="4" w:space="0"/>
            </w:tcBorders>
            <w:vAlign w:val="center"/>
          </w:tcPr>
          <w:p w14:paraId="08AC612E">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服务参数要求</w:t>
            </w:r>
          </w:p>
        </w:tc>
        <w:tc>
          <w:tcPr>
            <w:tcW w:w="1293" w:type="dxa"/>
            <w:tcBorders>
              <w:top w:val="single" w:color="auto" w:sz="4" w:space="0"/>
              <w:left w:val="single" w:color="auto" w:sz="4" w:space="0"/>
              <w:bottom w:val="single" w:color="auto" w:sz="4" w:space="0"/>
              <w:right w:val="single" w:color="auto" w:sz="4" w:space="0"/>
            </w:tcBorders>
            <w:vAlign w:val="center"/>
          </w:tcPr>
          <w:p w14:paraId="79C2B893">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服务名称</w:t>
            </w:r>
          </w:p>
        </w:tc>
        <w:tc>
          <w:tcPr>
            <w:tcW w:w="746" w:type="dxa"/>
            <w:tcBorders>
              <w:top w:val="single" w:color="auto" w:sz="4" w:space="0"/>
              <w:left w:val="single" w:color="auto" w:sz="4" w:space="0"/>
              <w:bottom w:val="single" w:color="auto" w:sz="4" w:space="0"/>
              <w:right w:val="single" w:color="auto" w:sz="4" w:space="0"/>
            </w:tcBorders>
            <w:vAlign w:val="center"/>
          </w:tcPr>
          <w:p w14:paraId="06726C5C">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303" w:type="dxa"/>
            <w:tcBorders>
              <w:top w:val="single" w:color="auto" w:sz="4" w:space="0"/>
              <w:left w:val="single" w:color="auto" w:sz="4" w:space="0"/>
              <w:bottom w:val="single" w:color="auto" w:sz="4" w:space="0"/>
              <w:right w:val="single" w:color="auto" w:sz="4" w:space="0"/>
            </w:tcBorders>
            <w:vAlign w:val="center"/>
          </w:tcPr>
          <w:p w14:paraId="008ACDDC">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服务参数</w:t>
            </w:r>
          </w:p>
        </w:tc>
        <w:tc>
          <w:tcPr>
            <w:tcW w:w="1242" w:type="dxa"/>
            <w:vMerge w:val="continue"/>
            <w:tcBorders>
              <w:top w:val="single" w:color="auto" w:sz="4" w:space="0"/>
              <w:left w:val="single" w:color="auto" w:sz="4" w:space="0"/>
              <w:bottom w:val="single" w:color="auto" w:sz="4" w:space="0"/>
              <w:right w:val="single" w:color="auto" w:sz="4" w:space="0"/>
            </w:tcBorders>
            <w:vAlign w:val="center"/>
          </w:tcPr>
          <w:p w14:paraId="5EE371EB">
            <w:pPr>
              <w:widowControl/>
              <w:jc w:val="left"/>
              <w:rPr>
                <w:rFonts w:hint="eastAsia" w:ascii="仿宋" w:hAnsi="仿宋" w:eastAsia="仿宋" w:cs="仿宋"/>
                <w:color w:val="auto"/>
                <w:szCs w:val="21"/>
                <w:highlight w:val="none"/>
              </w:rPr>
            </w:pPr>
          </w:p>
        </w:tc>
      </w:tr>
      <w:tr w14:paraId="0B7A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15F7AA4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296" w:type="dxa"/>
            <w:tcBorders>
              <w:top w:val="single" w:color="auto" w:sz="4" w:space="0"/>
              <w:left w:val="single" w:color="auto" w:sz="4" w:space="0"/>
              <w:bottom w:val="single" w:color="auto" w:sz="4" w:space="0"/>
              <w:right w:val="single" w:color="auto" w:sz="4" w:space="0"/>
            </w:tcBorders>
            <w:vAlign w:val="center"/>
          </w:tcPr>
          <w:p w14:paraId="10CA25C3">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834" w:type="dxa"/>
            <w:tcBorders>
              <w:top w:val="single" w:color="auto" w:sz="4" w:space="0"/>
              <w:left w:val="single" w:color="auto" w:sz="4" w:space="0"/>
              <w:bottom w:val="single" w:color="auto" w:sz="4" w:space="0"/>
              <w:right w:val="single" w:color="auto" w:sz="4" w:space="0"/>
            </w:tcBorders>
            <w:vAlign w:val="center"/>
          </w:tcPr>
          <w:p w14:paraId="02EFA3AD">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793" w:type="dxa"/>
            <w:tcBorders>
              <w:top w:val="single" w:color="auto" w:sz="4" w:space="0"/>
              <w:left w:val="single" w:color="auto" w:sz="4" w:space="0"/>
              <w:bottom w:val="single" w:color="auto" w:sz="4" w:space="0"/>
              <w:right w:val="single" w:color="auto" w:sz="4" w:space="0"/>
            </w:tcBorders>
            <w:vAlign w:val="center"/>
          </w:tcPr>
          <w:p w14:paraId="4FCA3FCB">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3C00625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63554B0A">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5018601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93" w:type="dxa"/>
            <w:tcBorders>
              <w:top w:val="single" w:color="auto" w:sz="4" w:space="0"/>
              <w:left w:val="single" w:color="auto" w:sz="4" w:space="0"/>
              <w:bottom w:val="single" w:color="auto" w:sz="4" w:space="0"/>
              <w:right w:val="single" w:color="auto" w:sz="4" w:space="0"/>
            </w:tcBorders>
            <w:vAlign w:val="center"/>
          </w:tcPr>
          <w:p w14:paraId="4C8137C1">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746" w:type="dxa"/>
            <w:tcBorders>
              <w:top w:val="single" w:color="auto" w:sz="4" w:space="0"/>
              <w:left w:val="single" w:color="auto" w:sz="4" w:space="0"/>
              <w:bottom w:val="single" w:color="auto" w:sz="4" w:space="0"/>
              <w:right w:val="single" w:color="auto" w:sz="4" w:space="0"/>
            </w:tcBorders>
            <w:vAlign w:val="center"/>
          </w:tcPr>
          <w:p w14:paraId="59519C3F">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303" w:type="dxa"/>
            <w:tcBorders>
              <w:top w:val="single" w:color="auto" w:sz="4" w:space="0"/>
              <w:left w:val="single" w:color="auto" w:sz="4" w:space="0"/>
              <w:bottom w:val="single" w:color="auto" w:sz="4" w:space="0"/>
              <w:right w:val="single" w:color="auto" w:sz="4" w:space="0"/>
            </w:tcBorders>
            <w:vAlign w:val="center"/>
          </w:tcPr>
          <w:p w14:paraId="3F3A5A62">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1  ……</w:t>
            </w:r>
          </w:p>
          <w:p w14:paraId="4C96C1B3">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2  ……</w:t>
            </w:r>
          </w:p>
          <w:p w14:paraId="0A86D661">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3  ……</w:t>
            </w:r>
          </w:p>
          <w:p w14:paraId="7DA7B12A">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42" w:type="dxa"/>
            <w:tcBorders>
              <w:top w:val="single" w:color="auto" w:sz="4" w:space="0"/>
              <w:left w:val="single" w:color="auto" w:sz="4" w:space="0"/>
              <w:bottom w:val="single" w:color="auto" w:sz="4" w:space="0"/>
              <w:right w:val="single" w:color="auto" w:sz="4" w:space="0"/>
            </w:tcBorders>
            <w:vAlign w:val="center"/>
          </w:tcPr>
          <w:p w14:paraId="52EBCA91">
            <w:pPr>
              <w:rPr>
                <w:rFonts w:hint="eastAsia" w:ascii="仿宋" w:hAnsi="仿宋" w:eastAsia="仿宋" w:cs="仿宋"/>
                <w:color w:val="auto"/>
                <w:szCs w:val="21"/>
                <w:highlight w:val="none"/>
              </w:rPr>
            </w:pPr>
          </w:p>
        </w:tc>
      </w:tr>
      <w:tr w14:paraId="526B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123BC1DF">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1296" w:type="dxa"/>
            <w:tcBorders>
              <w:top w:val="single" w:color="auto" w:sz="4" w:space="0"/>
              <w:left w:val="single" w:color="auto" w:sz="4" w:space="0"/>
              <w:bottom w:val="single" w:color="auto" w:sz="4" w:space="0"/>
              <w:right w:val="single" w:color="auto" w:sz="4" w:space="0"/>
            </w:tcBorders>
            <w:vAlign w:val="center"/>
          </w:tcPr>
          <w:p w14:paraId="354CC0A9">
            <w:pPr>
              <w:rPr>
                <w:rFonts w:hint="eastAsia" w:ascii="仿宋" w:hAnsi="仿宋" w:eastAsia="仿宋" w:cs="仿宋"/>
                <w:color w:val="auto"/>
                <w:szCs w:val="21"/>
                <w:highlight w:val="none"/>
              </w:rPr>
            </w:pPr>
          </w:p>
        </w:tc>
        <w:tc>
          <w:tcPr>
            <w:tcW w:w="834" w:type="dxa"/>
            <w:tcBorders>
              <w:top w:val="single" w:color="auto" w:sz="4" w:space="0"/>
              <w:left w:val="single" w:color="auto" w:sz="4" w:space="0"/>
              <w:bottom w:val="single" w:color="auto" w:sz="4" w:space="0"/>
              <w:right w:val="single" w:color="auto" w:sz="4" w:space="0"/>
            </w:tcBorders>
            <w:vAlign w:val="center"/>
          </w:tcPr>
          <w:p w14:paraId="41911187">
            <w:pPr>
              <w:rPr>
                <w:rFonts w:hint="eastAsia" w:ascii="仿宋" w:hAnsi="仿宋" w:eastAsia="仿宋" w:cs="仿宋"/>
                <w:color w:val="auto"/>
                <w:szCs w:val="21"/>
                <w:highlight w:val="none"/>
              </w:rPr>
            </w:pPr>
          </w:p>
        </w:tc>
        <w:tc>
          <w:tcPr>
            <w:tcW w:w="1793" w:type="dxa"/>
            <w:tcBorders>
              <w:top w:val="single" w:color="auto" w:sz="4" w:space="0"/>
              <w:left w:val="single" w:color="auto" w:sz="4" w:space="0"/>
              <w:bottom w:val="single" w:color="auto" w:sz="4" w:space="0"/>
              <w:right w:val="single" w:color="auto" w:sz="4" w:space="0"/>
            </w:tcBorders>
            <w:vAlign w:val="center"/>
          </w:tcPr>
          <w:p w14:paraId="32D72C1A">
            <w:pPr>
              <w:rPr>
                <w:rFonts w:hint="eastAsia" w:ascii="仿宋" w:hAnsi="仿宋" w:eastAsia="仿宋" w:cs="仿宋"/>
                <w:color w:val="auto"/>
                <w:szCs w:val="21"/>
                <w:highlight w:val="none"/>
              </w:rPr>
            </w:pPr>
          </w:p>
        </w:tc>
        <w:tc>
          <w:tcPr>
            <w:tcW w:w="1293" w:type="dxa"/>
            <w:tcBorders>
              <w:top w:val="single" w:color="auto" w:sz="4" w:space="0"/>
              <w:left w:val="single" w:color="auto" w:sz="4" w:space="0"/>
              <w:bottom w:val="single" w:color="auto" w:sz="4" w:space="0"/>
              <w:right w:val="single" w:color="auto" w:sz="4" w:space="0"/>
            </w:tcBorders>
            <w:vAlign w:val="center"/>
          </w:tcPr>
          <w:p w14:paraId="66012BB7">
            <w:pPr>
              <w:rPr>
                <w:rFonts w:hint="eastAsia" w:ascii="仿宋" w:hAnsi="仿宋" w:eastAsia="仿宋" w:cs="仿宋"/>
                <w:color w:val="auto"/>
                <w:szCs w:val="21"/>
                <w:highlight w:val="none"/>
              </w:rPr>
            </w:pPr>
          </w:p>
        </w:tc>
        <w:tc>
          <w:tcPr>
            <w:tcW w:w="746" w:type="dxa"/>
            <w:tcBorders>
              <w:top w:val="single" w:color="auto" w:sz="4" w:space="0"/>
              <w:left w:val="single" w:color="auto" w:sz="4" w:space="0"/>
              <w:bottom w:val="single" w:color="auto" w:sz="4" w:space="0"/>
              <w:right w:val="single" w:color="auto" w:sz="4" w:space="0"/>
            </w:tcBorders>
            <w:vAlign w:val="center"/>
          </w:tcPr>
          <w:p w14:paraId="15EFD74C">
            <w:pPr>
              <w:rPr>
                <w:rFonts w:hint="eastAsia" w:ascii="仿宋" w:hAnsi="仿宋" w:eastAsia="仿宋" w:cs="仿宋"/>
                <w:color w:val="auto"/>
                <w:szCs w:val="21"/>
                <w:highlight w:val="none"/>
              </w:rPr>
            </w:pPr>
          </w:p>
        </w:tc>
        <w:tc>
          <w:tcPr>
            <w:tcW w:w="1303" w:type="dxa"/>
            <w:tcBorders>
              <w:top w:val="single" w:color="auto" w:sz="4" w:space="0"/>
              <w:left w:val="single" w:color="auto" w:sz="4" w:space="0"/>
              <w:bottom w:val="single" w:color="auto" w:sz="4" w:space="0"/>
              <w:right w:val="single" w:color="auto" w:sz="4" w:space="0"/>
            </w:tcBorders>
            <w:vAlign w:val="center"/>
          </w:tcPr>
          <w:p w14:paraId="1B14E115">
            <w:pPr>
              <w:rPr>
                <w:rFonts w:hint="eastAsia" w:ascii="仿宋" w:hAnsi="仿宋" w:eastAsia="仿宋" w:cs="仿宋"/>
                <w:color w:val="auto"/>
                <w:szCs w:val="21"/>
                <w:highlight w:val="none"/>
              </w:rPr>
            </w:pPr>
          </w:p>
        </w:tc>
        <w:tc>
          <w:tcPr>
            <w:tcW w:w="1242" w:type="dxa"/>
            <w:tcBorders>
              <w:top w:val="single" w:color="auto" w:sz="4" w:space="0"/>
              <w:left w:val="single" w:color="auto" w:sz="4" w:space="0"/>
              <w:bottom w:val="single" w:color="auto" w:sz="4" w:space="0"/>
              <w:right w:val="single" w:color="auto" w:sz="4" w:space="0"/>
            </w:tcBorders>
            <w:vAlign w:val="center"/>
          </w:tcPr>
          <w:p w14:paraId="3E4ED149">
            <w:pPr>
              <w:rPr>
                <w:rFonts w:hint="eastAsia" w:ascii="仿宋" w:hAnsi="仿宋" w:eastAsia="仿宋" w:cs="仿宋"/>
                <w:color w:val="auto"/>
                <w:szCs w:val="21"/>
                <w:highlight w:val="none"/>
              </w:rPr>
            </w:pPr>
          </w:p>
        </w:tc>
      </w:tr>
    </w:tbl>
    <w:p w14:paraId="38E6ED62">
      <w:pPr>
        <w:pStyle w:val="10"/>
        <w:spacing w:after="0" w:line="360" w:lineRule="auto"/>
        <w:contextualSpacing/>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注：</w:t>
      </w:r>
    </w:p>
    <w:p w14:paraId="404AEC48">
      <w:pPr>
        <w:pStyle w:val="10"/>
        <w:spacing w:after="0" w:line="360" w:lineRule="auto"/>
        <w:contextualSpacing/>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1.说明：应对照磋商文件“第二章”中“服务需求一览表”的采购清单及技术参数条款逐条作出明确响应，并作出偏离说明。</w:t>
      </w:r>
    </w:p>
    <w:p w14:paraId="1350BC7F">
      <w:pPr>
        <w:pStyle w:val="11"/>
        <w:spacing w:line="40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p>
    <w:p w14:paraId="1AE9C4B4">
      <w:pPr>
        <w:spacing w:line="400" w:lineRule="exac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3.表格内容均需按要求填写并盖章，不得留空，否则按竞标无效处理。</w:t>
      </w:r>
    </w:p>
    <w:p w14:paraId="70E661BE">
      <w:pPr>
        <w:pStyle w:val="14"/>
        <w:spacing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如果采购需求为小于、小于等于、大于或大于等于某个数值标准时，响应文件承诺不得直接复制采购需求，响应文件承诺内容应当写明竞标服务具体参数或商务响应承诺的具体数值，否则按竞标无效处理。如该采购需求属于不能明确具体数值的，采购人应在此采购需求的数值后标注◆号，对标注◆号的采购需求不适用上述“竞标无效”条款。</w:t>
      </w:r>
    </w:p>
    <w:p w14:paraId="4AC3A31A">
      <w:pPr>
        <w:pStyle w:val="11"/>
        <w:spacing w:line="360" w:lineRule="auto"/>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 如技术偏离表中的竞标响应与佐证材料不一致的，以佐证材料为准。</w:t>
      </w:r>
    </w:p>
    <w:p w14:paraId="5AF51834">
      <w:pPr>
        <w:snapToGrid w:val="0"/>
        <w:spacing w:line="360" w:lineRule="auto"/>
        <w:ind w:firstLine="602" w:firstLineChars="200"/>
        <w:rPr>
          <w:rFonts w:hint="eastAsia" w:ascii="仿宋" w:hAnsi="仿宋" w:eastAsia="仿宋" w:cs="仿宋"/>
          <w:b/>
          <w:color w:val="auto"/>
          <w:sz w:val="30"/>
          <w:szCs w:val="30"/>
          <w:highlight w:val="none"/>
        </w:rPr>
      </w:pPr>
    </w:p>
    <w:p w14:paraId="124A9446">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5617587">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26519999">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八</w:t>
      </w:r>
      <w:r>
        <w:rPr>
          <w:rFonts w:hint="eastAsia" w:ascii="仿宋" w:hAnsi="仿宋" w:eastAsia="仿宋" w:cs="仿宋"/>
          <w:b/>
          <w:color w:val="auto"/>
          <w:sz w:val="30"/>
          <w:szCs w:val="30"/>
          <w:highlight w:val="none"/>
        </w:rPr>
        <w:t>、服务方案</w:t>
      </w:r>
    </w:p>
    <w:p w14:paraId="22605FA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（由供应商根据采购需求及采购文件要求编制）</w:t>
      </w:r>
    </w:p>
    <w:p w14:paraId="4DECF6E4">
      <w:pPr>
        <w:rPr>
          <w:rFonts w:hint="eastAsia" w:ascii="仿宋" w:hAnsi="仿宋" w:eastAsia="仿宋" w:cs="仿宋"/>
          <w:b/>
          <w:bCs/>
          <w:color w:val="auto"/>
          <w:kern w:val="0"/>
          <w:sz w:val="24"/>
          <w:highlight w:val="none"/>
          <w:lang w:val="zh-CN"/>
        </w:rPr>
      </w:pPr>
      <w:bookmarkStart w:id="98" w:name="_Toc78473822"/>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(以生效日算起)</w:t>
      </w:r>
      <w:bookmarkEnd w:id="98"/>
      <w:r>
        <w:rPr>
          <w:rFonts w:hint="eastAsia" w:ascii="仿宋" w:hAnsi="仿宋" w:eastAsia="仿宋" w:cs="仿宋"/>
          <w:b/>
          <w:color w:val="auto"/>
          <w:sz w:val="24"/>
          <w:highlight w:val="non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tblGrid>
      <w:tr w14:paraId="3795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1188" w:type="dxa"/>
            <w:tcBorders>
              <w:top w:val="single" w:color="auto" w:sz="4" w:space="0"/>
              <w:left w:val="single" w:color="auto" w:sz="4" w:space="0"/>
              <w:bottom w:val="single" w:color="auto" w:sz="4" w:space="0"/>
              <w:right w:val="single" w:color="auto" w:sz="4" w:space="0"/>
            </w:tcBorders>
            <w:vAlign w:val="center"/>
          </w:tcPr>
          <w:p w14:paraId="09379B6F">
            <w:pPr>
              <w:spacing w:line="360" w:lineRule="auto"/>
              <w:rPr>
                <w:rFonts w:hint="eastAsia" w:ascii="仿宋" w:hAnsi="仿宋" w:eastAsia="仿宋" w:cs="仿宋"/>
                <w:color w:val="auto"/>
                <w:sz w:val="24"/>
                <w:highlight w:val="none"/>
              </w:rPr>
            </w:pPr>
            <w:r>
              <w:rPr>
                <w:rFonts w:hint="eastAsia" w:ascii="仿宋" w:hAnsi="仿宋" w:eastAsia="仿宋" w:cs="仿宋"/>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2"/>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79190733">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6C86D8CF">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724AE34D">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组合 2"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PO/dQxQDAABJ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9190733">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C86D8CF">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24AE34D">
                              <w:pPr>
                                <w:snapToGrid w:val="0"/>
                              </w:pPr>
                              <w:r>
                                <w:rPr>
                                  <w:rFonts w:hint="eastAsia"/>
                                </w:rPr>
                                <w:t>日</w:t>
                              </w:r>
                            </w:p>
                          </w:txbxContent>
                        </v:textbox>
                      </v:shape>
                    </v:group>
                  </w:pict>
                </mc:Fallback>
              </mc:AlternateContent>
            </w:r>
          </w:p>
          <w:p w14:paraId="459E5881">
            <w:pPr>
              <w:spacing w:line="360" w:lineRule="auto"/>
              <w:rPr>
                <w:rFonts w:hint="eastAsia" w:ascii="仿宋" w:hAnsi="仿宋" w:eastAsia="仿宋" w:cs="仿宋"/>
                <w:color w:val="auto"/>
                <w:sz w:val="24"/>
                <w:highlight w:val="none"/>
              </w:rPr>
            </w:pPr>
          </w:p>
          <w:p w14:paraId="2C4B8FE3">
            <w:pPr>
              <w:spacing w:line="360" w:lineRule="auto"/>
              <w:rPr>
                <w:rFonts w:hint="eastAsia" w:ascii="仿宋" w:hAnsi="仿宋" w:eastAsia="仿宋" w:cs="仿宋"/>
                <w:color w:val="auto"/>
                <w:sz w:val="24"/>
                <w:highlight w:val="none"/>
              </w:rPr>
            </w:pPr>
          </w:p>
          <w:p w14:paraId="3E2ACEC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547E0E5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1F1B471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7DE8014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4141E29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6936FFE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1A33F2A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590B9229">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44CA38B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6353A28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57E0921E">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008C715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0D7A2B3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0CEF4C9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0F4C000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4C30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91DE73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1EAEA6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880F80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42ED980">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7AC5D9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4E9172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A52DCE4">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00B064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9730CF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7EB91C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6EC95B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61E657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04A2D42">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6E36F8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40576B9">
            <w:pPr>
              <w:spacing w:line="360" w:lineRule="auto"/>
              <w:rPr>
                <w:rFonts w:hint="eastAsia" w:ascii="仿宋" w:hAnsi="仿宋" w:eastAsia="仿宋" w:cs="仿宋"/>
                <w:color w:val="auto"/>
                <w:sz w:val="24"/>
                <w:highlight w:val="none"/>
              </w:rPr>
            </w:pPr>
          </w:p>
        </w:tc>
      </w:tr>
      <w:tr w14:paraId="30BF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7202628">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68E9F85">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95F8E17">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15261C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55E80F8">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061718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5234D1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5F6CA4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EF0A05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AFE5E8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55C71D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5336A3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7588AC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D08376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F28BF90">
            <w:pPr>
              <w:spacing w:line="360" w:lineRule="auto"/>
              <w:rPr>
                <w:rFonts w:hint="eastAsia" w:ascii="仿宋" w:hAnsi="仿宋" w:eastAsia="仿宋" w:cs="仿宋"/>
                <w:color w:val="auto"/>
                <w:sz w:val="24"/>
                <w:highlight w:val="none"/>
              </w:rPr>
            </w:pPr>
          </w:p>
        </w:tc>
      </w:tr>
      <w:tr w14:paraId="706A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4EA1565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8EAFE30">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A57B035">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2BF978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1BF669B">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628FA1C">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C451370">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564205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A37263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A25336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222D26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B18D89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DFC3C7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CA35AEB">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C8E3848">
            <w:pPr>
              <w:spacing w:line="360" w:lineRule="auto"/>
              <w:rPr>
                <w:rFonts w:hint="eastAsia" w:ascii="仿宋" w:hAnsi="仿宋" w:eastAsia="仿宋" w:cs="仿宋"/>
                <w:color w:val="auto"/>
                <w:sz w:val="24"/>
                <w:highlight w:val="none"/>
              </w:rPr>
            </w:pPr>
          </w:p>
        </w:tc>
      </w:tr>
      <w:tr w14:paraId="293F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433A396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9B0AAD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D0CA1CE">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1F1763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10B31D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AAFCD88">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2E15F6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378D72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E6DB31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EBC3494">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B67DD7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592E5B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8D28D8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7F99AE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64D3AAE">
            <w:pPr>
              <w:spacing w:line="360" w:lineRule="auto"/>
              <w:rPr>
                <w:rFonts w:hint="eastAsia" w:ascii="仿宋" w:hAnsi="仿宋" w:eastAsia="仿宋" w:cs="仿宋"/>
                <w:color w:val="auto"/>
                <w:sz w:val="24"/>
                <w:highlight w:val="none"/>
              </w:rPr>
            </w:pPr>
          </w:p>
        </w:tc>
      </w:tr>
      <w:tr w14:paraId="0A7B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08CB0F9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FE73CE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C9A328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185DEE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B95906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D92602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D58F6EB">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703325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27F1CC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53F9FE4">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E7E73F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6E65B3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4A1ADD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9E66C2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73D6F93">
            <w:pPr>
              <w:spacing w:line="360" w:lineRule="auto"/>
              <w:rPr>
                <w:rFonts w:hint="eastAsia" w:ascii="仿宋" w:hAnsi="仿宋" w:eastAsia="仿宋" w:cs="仿宋"/>
                <w:color w:val="auto"/>
                <w:sz w:val="24"/>
                <w:highlight w:val="none"/>
              </w:rPr>
            </w:pPr>
          </w:p>
        </w:tc>
      </w:tr>
      <w:tr w14:paraId="3DF91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444D7321">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9765459">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8DAD32E">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223CEE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FF7D50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A66417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8119293">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981EB9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303451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34F3DB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3AA771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AA778D1">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CBA982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F2B926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89EF7D3">
            <w:pPr>
              <w:spacing w:line="360" w:lineRule="auto"/>
              <w:rPr>
                <w:rFonts w:hint="eastAsia" w:ascii="仿宋" w:hAnsi="仿宋" w:eastAsia="仿宋" w:cs="仿宋"/>
                <w:color w:val="auto"/>
                <w:sz w:val="24"/>
                <w:highlight w:val="none"/>
              </w:rPr>
            </w:pPr>
          </w:p>
        </w:tc>
      </w:tr>
      <w:tr w14:paraId="36D4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020CCA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B577F1E">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68B96CD">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4B786C7">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BBFE65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453D523">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6BE9C10">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EB0B41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AE0918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81CD58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7E62CD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7E04443">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E89772B">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E31512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5785A12">
            <w:pPr>
              <w:spacing w:line="360" w:lineRule="auto"/>
              <w:rPr>
                <w:rFonts w:hint="eastAsia" w:ascii="仿宋" w:hAnsi="仿宋" w:eastAsia="仿宋" w:cs="仿宋"/>
                <w:color w:val="auto"/>
                <w:sz w:val="24"/>
                <w:highlight w:val="none"/>
              </w:rPr>
            </w:pPr>
          </w:p>
        </w:tc>
      </w:tr>
      <w:tr w14:paraId="5ECF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27B0AB8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2AEA39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2BFF08D">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741B024">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FF5C29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170318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D6B18A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FF71BA9">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66E9AE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EC32E92">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534743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038CFF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D65689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1F4B6BF">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F0AF1DC">
            <w:pPr>
              <w:spacing w:line="360" w:lineRule="auto"/>
              <w:rPr>
                <w:rFonts w:hint="eastAsia" w:ascii="仿宋" w:hAnsi="仿宋" w:eastAsia="仿宋" w:cs="仿宋"/>
                <w:color w:val="auto"/>
                <w:sz w:val="24"/>
                <w:highlight w:val="none"/>
              </w:rPr>
            </w:pPr>
          </w:p>
        </w:tc>
      </w:tr>
      <w:tr w14:paraId="5CA9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tcBorders>
              <w:top w:val="single" w:color="auto" w:sz="4" w:space="0"/>
              <w:left w:val="single" w:color="auto" w:sz="4" w:space="0"/>
              <w:bottom w:val="single" w:color="auto" w:sz="4" w:space="0"/>
              <w:right w:val="single" w:color="auto" w:sz="4" w:space="0"/>
            </w:tcBorders>
            <w:vAlign w:val="center"/>
          </w:tcPr>
          <w:p w14:paraId="08F14672">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3DB93DF">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ABD6FC7">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400D5CA">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5E2C22C">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DB58916">
            <w:pPr>
              <w:spacing w:line="360" w:lineRule="auto"/>
              <w:rPr>
                <w:rFonts w:hint="eastAsia" w:ascii="仿宋" w:hAnsi="仿宋" w:eastAsia="仿宋" w:cs="仿宋"/>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E59B7FC">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569EE17">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7DAADB6">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52FA568">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9C31B5A">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675FA85">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5E6727E">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D8CF52D">
            <w:pPr>
              <w:spacing w:line="360" w:lineRule="auto"/>
              <w:rPr>
                <w:rFonts w:hint="eastAsia" w:ascii="仿宋" w:hAnsi="仿宋" w:eastAsia="仿宋" w:cs="仿宋"/>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0EDF8D6">
            <w:pPr>
              <w:spacing w:line="360" w:lineRule="auto"/>
              <w:rPr>
                <w:rFonts w:hint="eastAsia" w:ascii="仿宋" w:hAnsi="仿宋" w:eastAsia="仿宋" w:cs="仿宋"/>
                <w:color w:val="auto"/>
                <w:sz w:val="24"/>
                <w:highlight w:val="none"/>
              </w:rPr>
            </w:pPr>
          </w:p>
        </w:tc>
      </w:tr>
    </w:tbl>
    <w:p w14:paraId="77EEC4DD">
      <w:pPr>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注：供应商可按上述时间表的格式自行编制切合实际的具体时间表。</w:t>
      </w:r>
    </w:p>
    <w:p w14:paraId="304ABA76">
      <w:pPr>
        <w:spacing w:line="500" w:lineRule="exact"/>
        <w:rPr>
          <w:rFonts w:hint="eastAsia" w:ascii="仿宋" w:hAnsi="仿宋" w:eastAsia="仿宋" w:cs="仿宋"/>
          <w:color w:val="auto"/>
          <w:sz w:val="32"/>
          <w:szCs w:val="32"/>
          <w:highlight w:val="none"/>
        </w:rPr>
      </w:pPr>
    </w:p>
    <w:p w14:paraId="4B764BEC">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19F5269A">
      <w:pPr>
        <w:autoSpaceDE w:val="0"/>
        <w:autoSpaceDN w:val="0"/>
        <w:spacing w:line="360" w:lineRule="auto"/>
        <w:ind w:firstLine="6480" w:firstLineChars="2700"/>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lang w:val="zh-CN"/>
        </w:rPr>
        <w:t>日期：  年  月   日</w:t>
      </w:r>
    </w:p>
    <w:p w14:paraId="5CC7AE95">
      <w:pPr>
        <w:spacing w:line="500" w:lineRule="exact"/>
        <w:rPr>
          <w:rFonts w:hint="eastAsia" w:ascii="仿宋" w:hAnsi="仿宋" w:eastAsia="仿宋" w:cs="仿宋"/>
          <w:color w:val="auto"/>
          <w:sz w:val="32"/>
          <w:szCs w:val="32"/>
          <w:highlight w:val="none"/>
        </w:rPr>
      </w:pPr>
    </w:p>
    <w:p w14:paraId="42067F7D">
      <w:pP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br w:type="page"/>
      </w:r>
    </w:p>
    <w:p w14:paraId="4850EFF3">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九</w:t>
      </w:r>
      <w:r>
        <w:rPr>
          <w:rFonts w:hint="eastAsia" w:ascii="仿宋" w:hAnsi="仿宋" w:eastAsia="仿宋" w:cs="仿宋"/>
          <w:b/>
          <w:color w:val="auto"/>
          <w:sz w:val="30"/>
          <w:szCs w:val="30"/>
          <w:highlight w:val="none"/>
        </w:rPr>
        <w:t>、项目实施人员一览表</w:t>
      </w:r>
    </w:p>
    <w:p w14:paraId="796E197C">
      <w:pPr>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（由供应商根据采购需求及采购文件要求编制）</w:t>
      </w:r>
    </w:p>
    <w:p w14:paraId="4AB32E33">
      <w:pPr>
        <w:pStyle w:val="1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响应分标：</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分标</w:t>
      </w:r>
    </w:p>
    <w:p w14:paraId="066A4DC8">
      <w:pPr>
        <w:keepNext/>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附表A:本项目的项目负责人情况表</w:t>
      </w:r>
    </w:p>
    <w:tbl>
      <w:tblPr>
        <w:tblStyle w:val="22"/>
        <w:tblW w:w="0" w:type="auto"/>
        <w:tblInd w:w="116" w:type="dxa"/>
        <w:tblLayout w:type="fixed"/>
        <w:tblCellMar>
          <w:top w:w="0" w:type="dxa"/>
          <w:left w:w="108" w:type="dxa"/>
          <w:bottom w:w="0" w:type="dxa"/>
          <w:right w:w="108" w:type="dxa"/>
        </w:tblCellMar>
      </w:tblPr>
      <w:tblGrid>
        <w:gridCol w:w="2061"/>
        <w:gridCol w:w="1287"/>
        <w:gridCol w:w="1260"/>
        <w:gridCol w:w="4147"/>
      </w:tblGrid>
      <w:tr w14:paraId="0491F4FC">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78AA6B0">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378A265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DBE3C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6EF3C7D">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响应截止时间前三年业绩及承担的主要工作情况，曾担任项目负责人的项目应列明细</w:t>
            </w:r>
          </w:p>
        </w:tc>
      </w:tr>
      <w:tr w14:paraId="20BFAA3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420A71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BBEC1AD">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66A6E01">
            <w:pPr>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739EA3A3">
            <w:pPr>
              <w:autoSpaceDE w:val="0"/>
              <w:autoSpaceDN w:val="0"/>
              <w:spacing w:line="360" w:lineRule="auto"/>
              <w:jc w:val="center"/>
              <w:rPr>
                <w:rFonts w:hint="eastAsia" w:ascii="仿宋" w:hAnsi="仿宋" w:eastAsia="仿宋" w:cs="仿宋"/>
                <w:color w:val="auto"/>
                <w:sz w:val="24"/>
                <w:highlight w:val="none"/>
              </w:rPr>
            </w:pPr>
          </w:p>
        </w:tc>
      </w:tr>
      <w:tr w14:paraId="506F910A">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308C03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6573719D">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3DE51EE">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468D5F8">
            <w:pPr>
              <w:widowControl/>
              <w:jc w:val="left"/>
              <w:rPr>
                <w:rFonts w:hint="eastAsia" w:ascii="仿宋" w:hAnsi="仿宋" w:eastAsia="仿宋" w:cs="仿宋"/>
                <w:color w:val="auto"/>
                <w:sz w:val="24"/>
                <w:highlight w:val="none"/>
              </w:rPr>
            </w:pPr>
          </w:p>
        </w:tc>
      </w:tr>
      <w:tr w14:paraId="26AAC8B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65E396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223369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4951FEA">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574468">
            <w:pPr>
              <w:widowControl/>
              <w:jc w:val="left"/>
              <w:rPr>
                <w:rFonts w:hint="eastAsia" w:ascii="仿宋" w:hAnsi="仿宋" w:eastAsia="仿宋" w:cs="仿宋"/>
                <w:color w:val="auto"/>
                <w:sz w:val="24"/>
                <w:highlight w:val="none"/>
              </w:rPr>
            </w:pPr>
          </w:p>
        </w:tc>
      </w:tr>
      <w:tr w14:paraId="02367B1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9CE4949">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C25535B">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C89104A">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ECB3E5A">
            <w:pPr>
              <w:widowControl/>
              <w:jc w:val="left"/>
              <w:rPr>
                <w:rFonts w:hint="eastAsia" w:ascii="仿宋" w:hAnsi="仿宋" w:eastAsia="仿宋" w:cs="仿宋"/>
                <w:color w:val="auto"/>
                <w:sz w:val="24"/>
                <w:highlight w:val="none"/>
              </w:rPr>
            </w:pPr>
          </w:p>
        </w:tc>
      </w:tr>
      <w:tr w14:paraId="2ED85C46">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DC2B28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51E59A25">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E5BE89">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309C10C">
            <w:pPr>
              <w:widowControl/>
              <w:jc w:val="left"/>
              <w:rPr>
                <w:rFonts w:hint="eastAsia" w:ascii="仿宋" w:hAnsi="仿宋" w:eastAsia="仿宋" w:cs="仿宋"/>
                <w:color w:val="auto"/>
                <w:sz w:val="24"/>
                <w:highlight w:val="none"/>
              </w:rPr>
            </w:pPr>
          </w:p>
        </w:tc>
      </w:tr>
      <w:tr w14:paraId="115013DC">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35BBA4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7C44C3B5">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AC38103">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1E68F6D">
            <w:pPr>
              <w:widowControl/>
              <w:jc w:val="left"/>
              <w:rPr>
                <w:rFonts w:hint="eastAsia" w:ascii="仿宋" w:hAnsi="仿宋" w:eastAsia="仿宋" w:cs="仿宋"/>
                <w:color w:val="auto"/>
                <w:sz w:val="24"/>
                <w:highlight w:val="none"/>
              </w:rPr>
            </w:pPr>
          </w:p>
        </w:tc>
      </w:tr>
      <w:tr w14:paraId="551C966B">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3686A60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730B12C6">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24387C0">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F79D45A">
            <w:pPr>
              <w:widowControl/>
              <w:jc w:val="left"/>
              <w:rPr>
                <w:rFonts w:hint="eastAsia" w:ascii="仿宋" w:hAnsi="仿宋" w:eastAsia="仿宋" w:cs="仿宋"/>
                <w:color w:val="auto"/>
                <w:sz w:val="24"/>
                <w:highlight w:val="none"/>
              </w:rPr>
            </w:pPr>
          </w:p>
        </w:tc>
      </w:tr>
      <w:tr w14:paraId="142AC019">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D16AD6D">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18B8E06C">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BFDF82B">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2A0C447">
            <w:pPr>
              <w:widowControl/>
              <w:jc w:val="left"/>
              <w:rPr>
                <w:rFonts w:hint="eastAsia" w:ascii="仿宋" w:hAnsi="仿宋" w:eastAsia="仿宋" w:cs="仿宋"/>
                <w:color w:val="auto"/>
                <w:sz w:val="24"/>
                <w:highlight w:val="none"/>
              </w:rPr>
            </w:pPr>
          </w:p>
        </w:tc>
      </w:tr>
      <w:tr w14:paraId="055D054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25AD7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59AF9A7">
            <w:pPr>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D0B8B66">
            <w:pPr>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63F8FAA">
            <w:pPr>
              <w:widowControl/>
              <w:jc w:val="left"/>
              <w:rPr>
                <w:rFonts w:hint="eastAsia" w:ascii="仿宋" w:hAnsi="仿宋" w:eastAsia="仿宋" w:cs="仿宋"/>
                <w:color w:val="auto"/>
                <w:sz w:val="24"/>
                <w:highlight w:val="none"/>
              </w:rPr>
            </w:pPr>
          </w:p>
        </w:tc>
      </w:tr>
    </w:tbl>
    <w:p w14:paraId="3B0E8A97">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w:t>
      </w:r>
    </w:p>
    <w:p w14:paraId="2C8D9ECE">
      <w:pPr>
        <w:autoSpaceDE w:val="0"/>
        <w:autoSpaceDN w:val="0"/>
        <w:spacing w:line="360" w:lineRule="auto"/>
        <w:rPr>
          <w:rFonts w:hint="eastAsia" w:ascii="仿宋" w:hAnsi="仿宋" w:eastAsia="仿宋" w:cs="仿宋"/>
          <w:b/>
          <w:color w:val="auto"/>
          <w:sz w:val="24"/>
          <w:highlight w:val="none"/>
        </w:rPr>
      </w:pPr>
    </w:p>
    <w:p w14:paraId="4B6E8994">
      <w:pPr>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22"/>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D9B269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D336A96">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B35F1CB">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11BE6AA">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85A57F4">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DC90A18">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5E22C2A1">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8F1BFE7">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9FA9E3C">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78DD852">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5858BBB3">
            <w:pPr>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4176BDF">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vAlign w:val="top"/>
          </w:tcPr>
          <w:p w14:paraId="5591C8C4">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vAlign w:val="top"/>
          </w:tcPr>
          <w:p w14:paraId="514283E1">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7D7FE790">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vAlign w:val="top"/>
          </w:tcPr>
          <w:p w14:paraId="09D30E19">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vAlign w:val="top"/>
          </w:tcPr>
          <w:p w14:paraId="60559E42">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7C308456">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64D2D33D">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44589DAB">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27560C7C">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vAlign w:val="top"/>
          </w:tcPr>
          <w:p w14:paraId="081A21DB">
            <w:pPr>
              <w:autoSpaceDE w:val="0"/>
              <w:autoSpaceDN w:val="0"/>
              <w:spacing w:line="360" w:lineRule="auto"/>
              <w:rPr>
                <w:rFonts w:hint="eastAsia" w:ascii="仿宋" w:hAnsi="仿宋" w:eastAsia="仿宋" w:cs="仿宋"/>
                <w:color w:val="auto"/>
                <w:sz w:val="24"/>
                <w:highlight w:val="none"/>
              </w:rPr>
            </w:pPr>
          </w:p>
        </w:tc>
      </w:tr>
      <w:tr w14:paraId="503BEF3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vAlign w:val="top"/>
          </w:tcPr>
          <w:p w14:paraId="65B774E8">
            <w:pPr>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vAlign w:val="top"/>
          </w:tcPr>
          <w:p w14:paraId="1178E10F">
            <w:pPr>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348F639F">
            <w:pPr>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vAlign w:val="top"/>
          </w:tcPr>
          <w:p w14:paraId="5CB41039">
            <w:pPr>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vAlign w:val="top"/>
          </w:tcPr>
          <w:p w14:paraId="05575D7C">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4E8BE2DD">
            <w:pPr>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3F971009">
            <w:pPr>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105D6753">
            <w:pPr>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17EB704E">
            <w:pPr>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vAlign w:val="top"/>
          </w:tcPr>
          <w:p w14:paraId="62B4A0F1">
            <w:pPr>
              <w:autoSpaceDE w:val="0"/>
              <w:autoSpaceDN w:val="0"/>
              <w:spacing w:line="360" w:lineRule="auto"/>
              <w:rPr>
                <w:rFonts w:hint="eastAsia" w:ascii="仿宋" w:hAnsi="仿宋" w:eastAsia="仿宋" w:cs="仿宋"/>
                <w:color w:val="auto"/>
                <w:sz w:val="24"/>
                <w:highlight w:val="none"/>
              </w:rPr>
            </w:pPr>
          </w:p>
        </w:tc>
      </w:tr>
    </w:tbl>
    <w:p w14:paraId="23D1F34F">
      <w:pPr>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注：供应商可按上述的格式自行编制，须随表提交相应的证书复印件。</w:t>
      </w:r>
    </w:p>
    <w:p w14:paraId="65F2F530">
      <w:pPr>
        <w:autoSpaceDE w:val="0"/>
        <w:autoSpaceDN w:val="0"/>
        <w:spacing w:line="360" w:lineRule="auto"/>
        <w:ind w:firstLine="0" w:firstLineChars="0"/>
        <w:rPr>
          <w:rFonts w:hint="eastAsia" w:ascii="仿宋" w:hAnsi="仿宋" w:eastAsia="仿宋" w:cs="仿宋"/>
          <w:b/>
          <w:bCs/>
          <w:color w:val="auto"/>
          <w:sz w:val="24"/>
          <w:highlight w:val="none"/>
        </w:rPr>
      </w:pPr>
    </w:p>
    <w:p w14:paraId="1FEAF845">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6B1BD755">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2CD71C3">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41D67385">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0352B94F">
      <w:pPr>
        <w:snapToGrid w:val="0"/>
        <w:spacing w:line="360" w:lineRule="auto"/>
        <w:ind w:firstLine="602" w:firstLineChars="200"/>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lang w:val="en-US" w:eastAsia="zh-CN"/>
        </w:rPr>
        <w:t>十</w:t>
      </w:r>
      <w:r>
        <w:rPr>
          <w:rFonts w:hint="eastAsia" w:ascii="仿宋" w:hAnsi="仿宋" w:eastAsia="仿宋" w:cs="仿宋"/>
          <w:b/>
          <w:color w:val="auto"/>
          <w:sz w:val="30"/>
          <w:szCs w:val="30"/>
          <w:highlight w:val="none"/>
        </w:rPr>
        <w:t>、供应商认为需要提供的其他有关资料</w:t>
      </w:r>
    </w:p>
    <w:p w14:paraId="046178F6">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p>
    <w:p w14:paraId="61AC182C">
      <w:pPr>
        <w:autoSpaceDE w:val="0"/>
        <w:autoSpaceDN w:val="0"/>
        <w:spacing w:line="360" w:lineRule="auto"/>
        <w:ind w:left="4920" w:leftChars="1950" w:hanging="240" w:hangingChars="1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供应商名称（电子签章）：</w:t>
      </w:r>
    </w:p>
    <w:p w14:paraId="33579ED0">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0922CD6D">
      <w:pPr>
        <w:widowControl/>
        <w:spacing w:line="360" w:lineRule="auto"/>
        <w:jc w:val="left"/>
        <w:rPr>
          <w:rFonts w:hint="eastAsia" w:ascii="仿宋" w:hAnsi="仿宋" w:eastAsia="仿宋" w:cs="仿宋"/>
          <w:b/>
          <w:bCs/>
          <w:color w:val="auto"/>
          <w:sz w:val="24"/>
          <w:highlight w:val="none"/>
        </w:rPr>
        <w:sectPr>
          <w:pgSz w:w="11911" w:h="16838"/>
          <w:pgMar w:top="1417" w:right="1417" w:bottom="1417" w:left="1417" w:header="720" w:footer="720" w:gutter="0"/>
          <w:cols w:space="720" w:num="1"/>
          <w:docGrid w:linePitch="1" w:charSpace="0"/>
        </w:sectPr>
      </w:pPr>
    </w:p>
    <w:p w14:paraId="58819354">
      <w:pPr>
        <w:autoSpaceDE w:val="0"/>
        <w:autoSpaceDN w:val="0"/>
        <w:spacing w:line="360" w:lineRule="auto"/>
        <w:ind w:firstLine="6505" w:firstLineChars="2700"/>
        <w:rPr>
          <w:rFonts w:hint="eastAsia" w:ascii="仿宋" w:hAnsi="仿宋" w:eastAsia="仿宋" w:cs="仿宋"/>
          <w:b/>
          <w:bCs/>
          <w:color w:val="auto"/>
          <w:sz w:val="24"/>
          <w:highlight w:val="none"/>
        </w:rPr>
      </w:pPr>
    </w:p>
    <w:p w14:paraId="5C741292">
      <w:pPr>
        <w:pStyle w:val="3"/>
        <w:jc w:val="center"/>
        <w:rPr>
          <w:rFonts w:hint="eastAsia" w:ascii="仿宋" w:hAnsi="仿宋" w:eastAsia="仿宋" w:cs="仿宋"/>
          <w:color w:val="auto"/>
          <w:highlight w:val="none"/>
        </w:rPr>
      </w:pPr>
      <w:bookmarkStart w:id="99" w:name="_Toc25920"/>
      <w:bookmarkStart w:id="100" w:name="_Toc80205941"/>
      <w:bookmarkStart w:id="101" w:name="_Toc27142"/>
      <w:r>
        <w:rPr>
          <w:rFonts w:hint="eastAsia" w:ascii="仿宋" w:hAnsi="仿宋" w:eastAsia="仿宋" w:cs="仿宋"/>
          <w:color w:val="auto"/>
          <w:highlight w:val="none"/>
        </w:rPr>
        <w:t>第四节 报价文件格式</w:t>
      </w:r>
      <w:bookmarkEnd w:id="99"/>
      <w:bookmarkEnd w:id="100"/>
      <w:bookmarkEnd w:id="101"/>
    </w:p>
    <w:p w14:paraId="5C0B8179">
      <w:pPr>
        <w:snapToGrid w:val="0"/>
        <w:spacing w:before="120" w:beforeLines="50" w:after="50"/>
        <w:rPr>
          <w:rFonts w:hint="eastAsia" w:ascii="仿宋" w:hAnsi="仿宋" w:eastAsia="仿宋" w:cs="仿宋"/>
          <w:bCs/>
          <w:color w:val="auto"/>
          <w:sz w:val="32"/>
          <w:szCs w:val="20"/>
          <w:highlight w:val="none"/>
        </w:rPr>
      </w:pPr>
      <w:r>
        <w:rPr>
          <w:rFonts w:hint="eastAsia" w:ascii="仿宋" w:hAnsi="仿宋" w:eastAsia="仿宋" w:cs="仿宋"/>
          <w:color w:val="auto"/>
          <w:sz w:val="24"/>
          <w:highlight w:val="none"/>
        </w:rPr>
        <w:t xml:space="preserve">                                                    </w:t>
      </w:r>
      <w:r>
        <w:rPr>
          <w:rFonts w:hint="eastAsia" w:ascii="仿宋" w:hAnsi="仿宋" w:eastAsia="仿宋" w:cs="仿宋"/>
          <w:bCs/>
          <w:color w:val="auto"/>
          <w:highlight w:val="none"/>
        </w:rPr>
        <w:t>全流程电子文件</w:t>
      </w:r>
    </w:p>
    <w:p w14:paraId="0D9683A3">
      <w:pPr>
        <w:snapToGrid w:val="0"/>
        <w:spacing w:before="120" w:beforeLines="50" w:after="50"/>
        <w:rPr>
          <w:rFonts w:hint="eastAsia" w:ascii="仿宋" w:hAnsi="仿宋" w:eastAsia="仿宋" w:cs="仿宋"/>
          <w:color w:val="auto"/>
          <w:sz w:val="24"/>
          <w:szCs w:val="20"/>
          <w:highlight w:val="none"/>
        </w:rPr>
      </w:pPr>
    </w:p>
    <w:p w14:paraId="7D47E7B4">
      <w:pPr>
        <w:snapToGrid w:val="0"/>
        <w:spacing w:before="120" w:beforeLines="50" w:after="50"/>
        <w:rPr>
          <w:rFonts w:hint="eastAsia" w:ascii="仿宋" w:hAnsi="仿宋" w:eastAsia="仿宋" w:cs="仿宋"/>
          <w:color w:val="auto"/>
          <w:sz w:val="24"/>
          <w:szCs w:val="20"/>
          <w:highlight w:val="none"/>
        </w:rPr>
      </w:pPr>
    </w:p>
    <w:p w14:paraId="5810388A">
      <w:pPr>
        <w:snapToGrid w:val="0"/>
        <w:spacing w:before="120" w:beforeLines="50" w:after="50"/>
        <w:rPr>
          <w:rFonts w:hint="eastAsia" w:ascii="仿宋" w:hAnsi="仿宋" w:eastAsia="仿宋" w:cs="仿宋"/>
          <w:color w:val="auto"/>
          <w:sz w:val="24"/>
          <w:szCs w:val="20"/>
          <w:highlight w:val="none"/>
        </w:rPr>
      </w:pPr>
    </w:p>
    <w:p w14:paraId="6ABE850E">
      <w:pPr>
        <w:snapToGrid w:val="0"/>
        <w:spacing w:before="120" w:beforeLines="50" w:after="50"/>
        <w:jc w:val="center"/>
        <w:rPr>
          <w:rFonts w:hint="eastAsia" w:ascii="仿宋" w:hAnsi="仿宋" w:eastAsia="仿宋" w:cs="仿宋"/>
          <w:bCs/>
          <w:color w:val="auto"/>
          <w:sz w:val="44"/>
          <w:szCs w:val="44"/>
          <w:highlight w:val="none"/>
        </w:rPr>
      </w:pPr>
      <w:r>
        <w:rPr>
          <w:rFonts w:hint="eastAsia" w:ascii="仿宋" w:hAnsi="仿宋" w:eastAsia="仿宋" w:cs="仿宋"/>
          <w:bCs/>
          <w:color w:val="auto"/>
          <w:sz w:val="44"/>
          <w:szCs w:val="44"/>
          <w:highlight w:val="none"/>
        </w:rPr>
        <w:t>报  价  文  件（封面）</w:t>
      </w:r>
    </w:p>
    <w:p w14:paraId="39596E09">
      <w:pPr>
        <w:snapToGrid w:val="0"/>
        <w:spacing w:before="120" w:beforeLines="50" w:after="50"/>
        <w:rPr>
          <w:rFonts w:hint="eastAsia" w:ascii="仿宋" w:hAnsi="仿宋" w:eastAsia="仿宋" w:cs="仿宋"/>
          <w:bCs/>
          <w:color w:val="auto"/>
          <w:sz w:val="24"/>
          <w:szCs w:val="20"/>
          <w:highlight w:val="none"/>
        </w:rPr>
      </w:pPr>
    </w:p>
    <w:p w14:paraId="6A8EBF00">
      <w:pPr>
        <w:snapToGrid w:val="0"/>
        <w:spacing w:before="120" w:beforeLines="50" w:after="50"/>
        <w:rPr>
          <w:rFonts w:hint="eastAsia" w:ascii="仿宋" w:hAnsi="仿宋" w:eastAsia="仿宋" w:cs="仿宋"/>
          <w:bCs/>
          <w:color w:val="auto"/>
          <w:sz w:val="24"/>
          <w:szCs w:val="20"/>
          <w:highlight w:val="none"/>
        </w:rPr>
      </w:pPr>
    </w:p>
    <w:p w14:paraId="064278EC">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项目名称：[项目名称]</w:t>
      </w:r>
    </w:p>
    <w:p w14:paraId="09572A5D">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项目编号：[项目编号]</w:t>
      </w:r>
    </w:p>
    <w:p w14:paraId="138C33CA">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所竞分标（如有则填写，无分标时填写“无”或者留空）：</w:t>
      </w:r>
    </w:p>
    <w:p w14:paraId="2FF19D98">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供应商名称：</w:t>
      </w:r>
    </w:p>
    <w:p w14:paraId="73A9304B">
      <w:pPr>
        <w:snapToGrid w:val="0"/>
        <w:spacing w:before="120" w:beforeLines="50" w:after="50"/>
        <w:ind w:firstLine="640" w:firstLineChars="200"/>
        <w:rPr>
          <w:rFonts w:hint="eastAsia" w:ascii="仿宋" w:hAnsi="仿宋" w:eastAsia="仿宋" w:cs="仿宋"/>
          <w:bCs/>
          <w:color w:val="auto"/>
          <w:sz w:val="32"/>
          <w:szCs w:val="32"/>
          <w:highlight w:val="none"/>
        </w:rPr>
      </w:pPr>
      <w:r>
        <w:rPr>
          <w:rFonts w:hint="eastAsia" w:ascii="仿宋" w:hAnsi="仿宋" w:eastAsia="仿宋" w:cs="仿宋"/>
          <w:bCs/>
          <w:color w:val="auto"/>
          <w:sz w:val="32"/>
          <w:szCs w:val="32"/>
          <w:highlight w:val="none"/>
        </w:rPr>
        <w:t>供应商地址：</w:t>
      </w:r>
    </w:p>
    <w:p w14:paraId="0FC76CC1">
      <w:pPr>
        <w:pStyle w:val="8"/>
        <w:snapToGrid w:val="0"/>
        <w:spacing w:before="50" w:after="50"/>
        <w:ind w:firstLine="720" w:firstLineChars="225"/>
        <w:rPr>
          <w:rFonts w:hint="eastAsia" w:ascii="仿宋" w:hAnsi="仿宋" w:eastAsia="仿宋" w:cs="仿宋"/>
          <w:bCs/>
          <w:color w:val="auto"/>
          <w:sz w:val="32"/>
          <w:szCs w:val="32"/>
          <w:highlight w:val="none"/>
        </w:rPr>
      </w:pPr>
    </w:p>
    <w:p w14:paraId="12BD1D84">
      <w:pPr>
        <w:pStyle w:val="8"/>
        <w:snapToGrid w:val="0"/>
        <w:spacing w:before="50" w:after="50"/>
        <w:ind w:firstLine="1280" w:firstLineChars="400"/>
        <w:rPr>
          <w:rFonts w:hint="eastAsia" w:ascii="仿宋" w:hAnsi="仿宋" w:eastAsia="仿宋" w:cs="仿宋"/>
          <w:bCs/>
          <w:color w:val="auto"/>
          <w:sz w:val="32"/>
          <w:szCs w:val="32"/>
          <w:highlight w:val="none"/>
        </w:rPr>
      </w:pPr>
    </w:p>
    <w:p w14:paraId="364583C1">
      <w:pPr>
        <w:snapToGrid w:val="0"/>
        <w:spacing w:before="120" w:beforeLines="50" w:after="50"/>
        <w:jc w:val="cente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年    月    日</w:t>
      </w:r>
    </w:p>
    <w:p w14:paraId="7915BD0D">
      <w:pPr>
        <w:snapToGrid w:val="0"/>
        <w:spacing w:before="120" w:beforeLines="50" w:after="50" w:line="400" w:lineRule="exact"/>
        <w:jc w:val="center"/>
        <w:rPr>
          <w:rFonts w:hint="eastAsia" w:ascii="仿宋" w:hAnsi="仿宋" w:eastAsia="仿宋" w:cs="仿宋"/>
          <w:b/>
          <w:bCs/>
          <w:color w:val="auto"/>
          <w:sz w:val="32"/>
          <w:szCs w:val="32"/>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报价文件目录</w:t>
      </w:r>
    </w:p>
    <w:p w14:paraId="0152D3A5">
      <w:pPr>
        <w:spacing w:line="360" w:lineRule="auto"/>
        <w:rPr>
          <w:rFonts w:hint="eastAsia" w:ascii="仿宋" w:hAnsi="仿宋" w:eastAsia="仿宋" w:cs="仿宋"/>
          <w:color w:val="auto"/>
          <w:highlight w:val="none"/>
        </w:rPr>
      </w:pPr>
    </w:p>
    <w:p w14:paraId="329DD90B">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一、响应函………………………………………………………（页码）</w:t>
      </w:r>
    </w:p>
    <w:p w14:paraId="21DB19D9">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二、响应报价表………………………（页码）</w:t>
      </w:r>
    </w:p>
    <w:p w14:paraId="5DEDFAAC">
      <w:pPr>
        <w:spacing w:line="360" w:lineRule="auto"/>
        <w:rPr>
          <w:rFonts w:hint="eastAsia" w:ascii="仿宋" w:hAnsi="仿宋" w:eastAsia="仿宋" w:cs="仿宋"/>
          <w:color w:val="auto"/>
          <w:kern w:val="0"/>
          <w:sz w:val="24"/>
          <w:highlight w:val="none"/>
        </w:rPr>
      </w:pPr>
    </w:p>
    <w:p w14:paraId="153149F0">
      <w:pPr>
        <w:snapToGrid w:val="0"/>
        <w:spacing w:before="120" w:beforeLines="50" w:after="50" w:line="360" w:lineRule="auto"/>
        <w:ind w:left="142"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r>
        <w:rPr>
          <w:rFonts w:hint="eastAsia" w:ascii="仿宋" w:hAnsi="仿宋" w:eastAsia="仿宋" w:cs="仿宋"/>
          <w:b/>
          <w:bCs/>
          <w:color w:val="auto"/>
          <w:sz w:val="32"/>
          <w:szCs w:val="32"/>
          <w:highlight w:val="none"/>
        </w:rPr>
        <w:t>一、响应函</w:t>
      </w:r>
    </w:p>
    <w:p w14:paraId="303AF85D">
      <w:pPr>
        <w:pStyle w:val="14"/>
        <w:spacing w:line="500" w:lineRule="exact"/>
        <w:jc w:val="center"/>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响应函</w:t>
      </w:r>
    </w:p>
    <w:p w14:paraId="1409D13D">
      <w:pPr>
        <w:pStyle w:val="14"/>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w:t>
      </w:r>
      <w:bookmarkStart w:id="102" w:name="PO_3000001868_PM031_4"/>
      <w:r>
        <w:rPr>
          <w:rFonts w:hint="eastAsia" w:ascii="仿宋" w:hAnsi="仿宋" w:eastAsia="仿宋" w:cs="仿宋"/>
          <w:color w:val="auto"/>
          <w:sz w:val="24"/>
          <w:szCs w:val="24"/>
          <w:highlight w:val="none"/>
          <w:u w:val="single"/>
        </w:rPr>
        <w:t>[采购组织机构]</w:t>
      </w:r>
      <w:bookmarkEnd w:id="102"/>
      <w:r>
        <w:rPr>
          <w:rFonts w:hint="eastAsia" w:ascii="仿宋" w:hAnsi="仿宋" w:eastAsia="仿宋" w:cs="仿宋"/>
          <w:color w:val="auto"/>
          <w:sz w:val="24"/>
          <w:szCs w:val="24"/>
          <w:highlight w:val="none"/>
          <w:u w:val="single"/>
        </w:rPr>
        <w:t xml:space="preserve"> </w:t>
      </w:r>
    </w:p>
    <w:p w14:paraId="52CD9B22">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我方已仔细阅读了贵方组织的</w:t>
      </w:r>
      <w:r>
        <w:rPr>
          <w:rFonts w:hint="eastAsia" w:ascii="仿宋" w:hAnsi="仿宋" w:eastAsia="仿宋" w:cs="仿宋"/>
          <w:color w:val="auto"/>
          <w:sz w:val="24"/>
          <w:szCs w:val="24"/>
          <w:highlight w:val="none"/>
          <w:u w:val="single"/>
        </w:rPr>
        <w:t xml:space="preserve"> </w:t>
      </w:r>
      <w:bookmarkStart w:id="103" w:name="PO_3000001868_PM002_10"/>
      <w:r>
        <w:rPr>
          <w:rFonts w:hint="eastAsia" w:ascii="仿宋" w:hAnsi="仿宋" w:eastAsia="仿宋" w:cs="仿宋"/>
          <w:color w:val="auto"/>
          <w:sz w:val="24"/>
          <w:szCs w:val="24"/>
          <w:highlight w:val="none"/>
          <w:u w:val="single"/>
        </w:rPr>
        <w:t>[项目名称]</w:t>
      </w:r>
      <w:bookmarkEnd w:id="103"/>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项目（项目编号：</w:t>
      </w:r>
      <w:r>
        <w:rPr>
          <w:rFonts w:hint="eastAsia" w:ascii="仿宋" w:hAnsi="仿宋" w:eastAsia="仿宋" w:cs="仿宋"/>
          <w:color w:val="auto"/>
          <w:sz w:val="24"/>
          <w:szCs w:val="24"/>
          <w:highlight w:val="none"/>
          <w:u w:val="single"/>
        </w:rPr>
        <w:t xml:space="preserve">  </w:t>
      </w:r>
      <w:bookmarkStart w:id="104" w:name="PO_3000001868_PM001_10"/>
      <w:r>
        <w:rPr>
          <w:rFonts w:hint="eastAsia" w:ascii="仿宋" w:hAnsi="仿宋" w:eastAsia="仿宋" w:cs="仿宋"/>
          <w:color w:val="auto"/>
          <w:sz w:val="24"/>
          <w:szCs w:val="24"/>
          <w:highlight w:val="none"/>
          <w:u w:val="single"/>
        </w:rPr>
        <w:t>[项目编号]</w:t>
      </w:r>
      <w:bookmarkEnd w:id="104"/>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）的竞争性磋商采购文件的全部内容，现正式递交下述文件参加贵方组织的本次政府采购活动： </w:t>
      </w:r>
    </w:p>
    <w:p w14:paraId="4C9CF377">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一、首次报价文件电子版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份（包含按“第三章 供应商须知”提交的全部文件）；</w:t>
      </w:r>
    </w:p>
    <w:p w14:paraId="3A34EC58">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二、技术文件电子版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份（包含按“第三章 供应商须知”提交的全部文件）；商务文件电子版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份（包含按“第三章 供应商须知”提交的全部文件）；（商务技术文件已合并装订成册）；</w:t>
      </w:r>
    </w:p>
    <w:p w14:paraId="1E192036">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三、资格证明文件电子版（包含按“第三章供应商须知”提交的全部文件）；</w:t>
      </w:r>
    </w:p>
    <w:p w14:paraId="7CCD96D4">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据此函，签字人兹宣布：</w:t>
      </w:r>
    </w:p>
    <w:p w14:paraId="664C138B">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1、我方愿意以（大写）人民币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元)的竞标总报价，服务时间（无分标时填写）：</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，提供本项目竞争性磋商采购文件第二章“服务需求一览表”中相应的采购内容。</w:t>
      </w:r>
    </w:p>
    <w:p w14:paraId="5D357F75">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其中（有分标时填写）：</w:t>
      </w:r>
    </w:p>
    <w:p w14:paraId="69C53825">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分标报价为（大写）人民币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元)，服务时间：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4C9BAB3E">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分标报价为（大写）人民币</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元)，服务时间：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9483330">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047EDE38">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64F1CF95">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3、我方在此声明，所递交的响应文件及有关资料内容完整、真实和准确。</w:t>
      </w:r>
    </w:p>
    <w:p w14:paraId="1EA6248B">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4、如本项目采购内容涉及须符合国家强制规定的，我方承诺我方本次竞标均符合国家有关强制规定。</w:t>
      </w:r>
    </w:p>
    <w:p w14:paraId="22A11F43">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如我方成交，我方承诺在收到成交通知书后，在成交通知书规定的期限内，根据竞争性磋商采购文件、我方的响应文件及有关澄清承诺书的要求按第六章“合同文本”与采购人订立书面合同，并按照合同约定承担完成合同的责任和义务。</w:t>
      </w:r>
    </w:p>
    <w:p w14:paraId="5677A783">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6、我方已详细审核竞争性磋商采购文件，我方知道必须放弃提出含糊不清或误解问题的权利。</w:t>
      </w:r>
    </w:p>
    <w:p w14:paraId="5AF6511B">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7、我方承诺满足竞争性磋商采购文件第六章“合同文本”的条款，承担完成合同的责任和义务。</w:t>
      </w:r>
    </w:p>
    <w:p w14:paraId="3730F546">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8、我方同意应贵方要求提供与</w:t>
      </w:r>
      <w:r>
        <w:rPr>
          <w:rFonts w:hint="eastAsia" w:ascii="仿宋" w:hAnsi="仿宋" w:eastAsia="仿宋" w:cs="仿宋"/>
          <w:color w:val="auto"/>
          <w:sz w:val="24"/>
          <w:szCs w:val="24"/>
          <w:highlight w:val="none"/>
          <w:lang w:eastAsia="zh-CN"/>
        </w:rPr>
        <w:t>本次</w:t>
      </w:r>
      <w:r>
        <w:rPr>
          <w:rFonts w:hint="eastAsia" w:ascii="仿宋" w:hAnsi="仿宋" w:eastAsia="仿宋" w:cs="仿宋"/>
          <w:color w:val="auto"/>
          <w:sz w:val="24"/>
          <w:szCs w:val="24"/>
          <w:highlight w:val="none"/>
        </w:rPr>
        <w:t>竞标有关的任何数据或资料。若贵方需要，我方愿意提供我方作出的一切承诺的证明材料。</w:t>
      </w:r>
    </w:p>
    <w:p w14:paraId="25D6F294">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9、我方完全理解贵方不一定接受响应报价最低的竞标人为成交供应商的行为。</w:t>
      </w:r>
    </w:p>
    <w:p w14:paraId="39C96406">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E7D5A7F">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提供虚假材料谋取中标、成交的；</w:t>
      </w:r>
    </w:p>
    <w:p w14:paraId="335EB6DE">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采取不正当手段诋毁、排挤其他供应商的；</w:t>
      </w:r>
    </w:p>
    <w:p w14:paraId="3ECDCB67">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与采购人、其他供应商或者采购代理机构恶意串通的；</w:t>
      </w:r>
    </w:p>
    <w:p w14:paraId="24F437FE">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向采购人、采购代理机构行贿或者提供其他不正当利益的；</w:t>
      </w:r>
    </w:p>
    <w:p w14:paraId="7327E4D0">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在采购过程中与采购人进行协商磋商的；</w:t>
      </w:r>
    </w:p>
    <w:p w14:paraId="396BDF6E">
      <w:pPr>
        <w:pStyle w:val="14"/>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拒绝有关部门监督检查或提供虚假情况的。</w:t>
      </w:r>
    </w:p>
    <w:p w14:paraId="70E8C674">
      <w:pPr>
        <w:pStyle w:val="14"/>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11.与本磋商有关的一切正式往来信函请寄：</w:t>
      </w:r>
      <w:r>
        <w:rPr>
          <w:rFonts w:hint="eastAsia" w:ascii="仿宋" w:hAnsi="仿宋" w:eastAsia="仿宋" w:cs="仿宋"/>
          <w:color w:val="auto"/>
          <w:sz w:val="24"/>
          <w:szCs w:val="24"/>
          <w:highlight w:val="none"/>
          <w:u w:val="single"/>
        </w:rPr>
        <w:t xml:space="preserve"> </w:t>
      </w:r>
    </w:p>
    <w:p w14:paraId="16B32D9C">
      <w:pPr>
        <w:pStyle w:val="14"/>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p>
    <w:p w14:paraId="11DAE753">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电话：</w:t>
      </w:r>
      <w:r>
        <w:rPr>
          <w:rFonts w:hint="eastAsia" w:ascii="仿宋" w:hAnsi="仿宋" w:eastAsia="仿宋" w:cs="仿宋"/>
          <w:color w:val="auto"/>
          <w:sz w:val="24"/>
          <w:szCs w:val="24"/>
          <w:highlight w:val="none"/>
          <w:u w:val="single"/>
        </w:rPr>
        <w:t xml:space="preserve">                                      　　　　　　　　　</w:t>
      </w:r>
    </w:p>
    <w:p w14:paraId="513E3B76">
      <w:pPr>
        <w:pStyle w:val="14"/>
        <w:spacing w:line="360" w:lineRule="auto"/>
        <w:ind w:firstLine="42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w:t>
      </w:r>
      <w:r>
        <w:rPr>
          <w:rFonts w:hint="eastAsia" w:ascii="仿宋" w:hAnsi="仿宋" w:eastAsia="仿宋" w:cs="仿宋"/>
          <w:color w:val="auto"/>
          <w:sz w:val="24"/>
          <w:szCs w:val="24"/>
          <w:highlight w:val="none"/>
          <w:u w:val="single"/>
        </w:rPr>
        <w:t>　　　　　　　　　　　　　　　　　　　　　　　　　　　　</w:t>
      </w:r>
    </w:p>
    <w:p w14:paraId="2FAFD984">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邮政编码：</w:t>
      </w:r>
      <w:r>
        <w:rPr>
          <w:rFonts w:hint="eastAsia" w:ascii="仿宋" w:hAnsi="仿宋" w:eastAsia="仿宋" w:cs="仿宋"/>
          <w:color w:val="auto"/>
          <w:sz w:val="24"/>
          <w:szCs w:val="24"/>
          <w:highlight w:val="none"/>
          <w:u w:val="single"/>
        </w:rPr>
        <w:t xml:space="preserve">                                                    </w:t>
      </w:r>
    </w:p>
    <w:p w14:paraId="47F9BFCC">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开户名称：</w:t>
      </w:r>
      <w:r>
        <w:rPr>
          <w:rFonts w:hint="eastAsia" w:ascii="仿宋" w:hAnsi="仿宋" w:eastAsia="仿宋" w:cs="仿宋"/>
          <w:color w:val="auto"/>
          <w:sz w:val="24"/>
          <w:szCs w:val="24"/>
          <w:highlight w:val="none"/>
          <w:u w:val="single"/>
        </w:rPr>
        <w:t xml:space="preserve">                                                    </w:t>
      </w:r>
    </w:p>
    <w:p w14:paraId="60E99FB4">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 xml:space="preserve">                                                    </w:t>
      </w:r>
    </w:p>
    <w:p w14:paraId="34C2D28E">
      <w:pPr>
        <w:pStyle w:val="14"/>
        <w:spacing w:line="360" w:lineRule="auto"/>
        <w:ind w:firstLine="42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银行账号：</w:t>
      </w:r>
      <w:r>
        <w:rPr>
          <w:rFonts w:hint="eastAsia" w:ascii="仿宋" w:hAnsi="仿宋" w:eastAsia="仿宋" w:cs="仿宋"/>
          <w:color w:val="auto"/>
          <w:sz w:val="24"/>
          <w:szCs w:val="24"/>
          <w:highlight w:val="none"/>
          <w:u w:val="single"/>
        </w:rPr>
        <w:t xml:space="preserve">                                                    </w:t>
      </w:r>
    </w:p>
    <w:p w14:paraId="7193D03A">
      <w:pPr>
        <w:pStyle w:val="12"/>
        <w:tabs>
          <w:tab w:val="left" w:pos="939"/>
        </w:tabs>
        <w:spacing w:line="360" w:lineRule="auto"/>
        <w:ind w:left="161" w:leftChars="67" w:firstLine="360" w:firstLineChars="15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6FBE5390">
      <w:pPr>
        <w:spacing w:line="360" w:lineRule="auto"/>
        <w:jc w:val="left"/>
        <w:rPr>
          <w:rFonts w:hint="eastAsia" w:ascii="仿宋" w:hAnsi="仿宋" w:eastAsia="仿宋" w:cs="仿宋"/>
          <w:color w:val="auto"/>
          <w:sz w:val="24"/>
          <w:szCs w:val="24"/>
          <w:highlight w:val="none"/>
        </w:rPr>
      </w:pPr>
    </w:p>
    <w:p w14:paraId="25A179E2">
      <w:pPr>
        <w:autoSpaceDE w:val="0"/>
        <w:autoSpaceDN w:val="0"/>
        <w:spacing w:line="360" w:lineRule="auto"/>
        <w:ind w:left="4920" w:leftChars="1950" w:hanging="240" w:hangingChars="1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供应商名称（电子签章）：</w:t>
      </w:r>
    </w:p>
    <w:p w14:paraId="35318386">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4"/>
          <w:highlight w:val="none"/>
          <w:lang w:val="zh-CN"/>
        </w:rPr>
        <w:t>日期：  年  月   日</w:t>
      </w:r>
    </w:p>
    <w:p w14:paraId="080C2AFE">
      <w:pPr>
        <w:widowControl/>
        <w:spacing w:line="360" w:lineRule="auto"/>
        <w:jc w:val="left"/>
        <w:rPr>
          <w:rFonts w:hint="eastAsia" w:ascii="仿宋" w:hAnsi="仿宋" w:eastAsia="仿宋" w:cs="仿宋"/>
          <w:color w:val="auto"/>
          <w:kern w:val="0"/>
          <w:sz w:val="24"/>
          <w:highlight w:val="none"/>
          <w:lang w:val="zh-CN"/>
        </w:rPr>
        <w:sectPr>
          <w:pgSz w:w="11911" w:h="16838"/>
          <w:pgMar w:top="1417" w:right="1417" w:bottom="1417" w:left="1417" w:header="720" w:footer="720" w:gutter="0"/>
          <w:cols w:space="720" w:num="1"/>
          <w:docGrid w:linePitch="1" w:charSpace="0"/>
        </w:sectPr>
      </w:pPr>
    </w:p>
    <w:p w14:paraId="7395C742">
      <w:pPr>
        <w:autoSpaceDE w:val="0"/>
        <w:autoSpaceDN w:val="0"/>
        <w:spacing w:line="360" w:lineRule="auto"/>
        <w:ind w:firstLine="6480" w:firstLineChars="2700"/>
        <w:rPr>
          <w:rFonts w:hint="eastAsia" w:ascii="仿宋" w:hAnsi="仿宋" w:eastAsia="仿宋" w:cs="仿宋"/>
          <w:color w:val="auto"/>
          <w:kern w:val="0"/>
          <w:sz w:val="24"/>
          <w:highlight w:val="none"/>
          <w:lang w:val="zh-CN"/>
        </w:rPr>
      </w:pPr>
    </w:p>
    <w:p w14:paraId="4CBB6444">
      <w:pPr>
        <w:spacing w:line="520" w:lineRule="exact"/>
        <w:ind w:firstLine="643" w:firstLineChars="200"/>
        <w:jc w:val="left"/>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二、响应报价表</w:t>
      </w:r>
    </w:p>
    <w:p w14:paraId="5EDAA38B">
      <w:pPr>
        <w:snapToGrid w:val="0"/>
        <w:spacing w:before="50" w:after="50" w:line="360" w:lineRule="auto"/>
        <w:jc w:val="center"/>
        <w:rPr>
          <w:rFonts w:hint="eastAsia"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响应报价表</w:t>
      </w:r>
    </w:p>
    <w:p w14:paraId="34079E53">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bookmarkStart w:id="105" w:name="PO_3000001868_PM002_11"/>
      <w:r>
        <w:rPr>
          <w:rFonts w:hint="eastAsia" w:ascii="仿宋" w:hAnsi="仿宋" w:eastAsia="仿宋" w:cs="仿宋"/>
          <w:color w:val="auto"/>
          <w:sz w:val="24"/>
          <w:highlight w:val="none"/>
          <w:u w:val="single"/>
        </w:rPr>
        <w:t>[项目名称]</w:t>
      </w:r>
      <w:bookmarkEnd w:id="105"/>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项目编号：</w:t>
      </w:r>
      <w:r>
        <w:rPr>
          <w:rFonts w:hint="eastAsia" w:ascii="仿宋" w:hAnsi="仿宋" w:eastAsia="仿宋" w:cs="仿宋"/>
          <w:color w:val="auto"/>
          <w:sz w:val="24"/>
          <w:highlight w:val="none"/>
          <w:u w:val="single"/>
        </w:rPr>
        <w:t xml:space="preserve">  </w:t>
      </w:r>
      <w:bookmarkStart w:id="106" w:name="PO_3000001868_PM001_11"/>
      <w:r>
        <w:rPr>
          <w:rFonts w:hint="eastAsia" w:ascii="仿宋" w:hAnsi="仿宋" w:eastAsia="仿宋" w:cs="仿宋"/>
          <w:color w:val="auto"/>
          <w:sz w:val="24"/>
          <w:highlight w:val="none"/>
          <w:u w:val="single"/>
        </w:rPr>
        <w:t>[项目编号]</w:t>
      </w:r>
      <w:bookmarkEnd w:id="106"/>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14424827">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供应商名称：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91"/>
        <w:gridCol w:w="1953"/>
        <w:gridCol w:w="1022"/>
        <w:gridCol w:w="1193"/>
        <w:gridCol w:w="1434"/>
        <w:gridCol w:w="905"/>
        <w:gridCol w:w="914"/>
      </w:tblGrid>
      <w:tr w14:paraId="7E6E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258E03D8">
            <w:pPr>
              <w:rPr>
                <w:rFonts w:hint="eastAsia" w:ascii="仿宋" w:hAnsi="仿宋" w:eastAsia="仿宋" w:cs="仿宋"/>
                <w:color w:val="auto"/>
                <w:sz w:val="24"/>
                <w:highlight w:val="none"/>
              </w:rPr>
            </w:pPr>
            <w:bookmarkStart w:id="107" w:name="_Toc80205942"/>
            <w:r>
              <w:rPr>
                <w:rFonts w:hint="eastAsia" w:ascii="仿宋" w:hAnsi="仿宋" w:eastAsia="仿宋" w:cs="仿宋"/>
                <w:color w:val="auto"/>
                <w:sz w:val="24"/>
                <w:highlight w:val="none"/>
              </w:rPr>
              <w:t>序号</w:t>
            </w:r>
          </w:p>
        </w:tc>
        <w:tc>
          <w:tcPr>
            <w:tcW w:w="1191" w:type="dxa"/>
            <w:tcBorders>
              <w:top w:val="single" w:color="auto" w:sz="4" w:space="0"/>
              <w:left w:val="single" w:color="auto" w:sz="4" w:space="0"/>
              <w:bottom w:val="single" w:color="auto" w:sz="4" w:space="0"/>
              <w:right w:val="single" w:color="auto" w:sz="4" w:space="0"/>
            </w:tcBorders>
            <w:vAlign w:val="center"/>
          </w:tcPr>
          <w:p w14:paraId="6E9842FE">
            <w:pP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服务名称</w:t>
            </w:r>
          </w:p>
        </w:tc>
        <w:tc>
          <w:tcPr>
            <w:tcW w:w="1953" w:type="dxa"/>
            <w:tcBorders>
              <w:top w:val="single" w:color="auto" w:sz="4" w:space="0"/>
              <w:left w:val="single" w:color="auto" w:sz="4" w:space="0"/>
              <w:bottom w:val="single" w:color="auto" w:sz="4" w:space="0"/>
              <w:right w:val="single" w:color="auto" w:sz="4" w:space="0"/>
            </w:tcBorders>
            <w:vAlign w:val="center"/>
          </w:tcPr>
          <w:p w14:paraId="13FE522F">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具体服务内容</w:t>
            </w:r>
          </w:p>
        </w:tc>
        <w:tc>
          <w:tcPr>
            <w:tcW w:w="1022" w:type="dxa"/>
            <w:tcBorders>
              <w:top w:val="single" w:color="auto" w:sz="4" w:space="0"/>
              <w:left w:val="single" w:color="auto" w:sz="4" w:space="0"/>
              <w:bottom w:val="single" w:color="auto" w:sz="4" w:space="0"/>
              <w:right w:val="single" w:color="auto" w:sz="4" w:space="0"/>
            </w:tcBorders>
            <w:vAlign w:val="center"/>
          </w:tcPr>
          <w:p w14:paraId="577B67D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数量①</w:t>
            </w:r>
          </w:p>
        </w:tc>
        <w:tc>
          <w:tcPr>
            <w:tcW w:w="1193" w:type="dxa"/>
            <w:tcBorders>
              <w:top w:val="single" w:color="auto" w:sz="4" w:space="0"/>
              <w:left w:val="single" w:color="auto" w:sz="4" w:space="0"/>
              <w:bottom w:val="single" w:color="auto" w:sz="4" w:space="0"/>
              <w:right w:val="single" w:color="auto" w:sz="4" w:space="0"/>
            </w:tcBorders>
            <w:vAlign w:val="center"/>
          </w:tcPr>
          <w:p w14:paraId="0114DA29">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单价(元)②</w:t>
            </w:r>
          </w:p>
        </w:tc>
        <w:tc>
          <w:tcPr>
            <w:tcW w:w="1434" w:type="dxa"/>
            <w:tcBorders>
              <w:top w:val="single" w:color="auto" w:sz="4" w:space="0"/>
              <w:left w:val="single" w:color="auto" w:sz="4" w:space="0"/>
              <w:bottom w:val="single" w:color="auto" w:sz="4" w:space="0"/>
              <w:right w:val="single" w:color="auto" w:sz="4" w:space="0"/>
            </w:tcBorders>
            <w:vAlign w:val="center"/>
          </w:tcPr>
          <w:p w14:paraId="52B213A6">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单项合价（元）</w:t>
            </w:r>
          </w:p>
          <w:p w14:paraId="7010CFF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③＝①×②</w:t>
            </w:r>
          </w:p>
        </w:tc>
        <w:tc>
          <w:tcPr>
            <w:tcW w:w="905" w:type="dxa"/>
            <w:tcBorders>
              <w:top w:val="single" w:color="auto" w:sz="4" w:space="0"/>
              <w:left w:val="single" w:color="auto" w:sz="4" w:space="0"/>
              <w:bottom w:val="single" w:color="auto" w:sz="4" w:space="0"/>
              <w:right w:val="single" w:color="auto" w:sz="4" w:space="0"/>
            </w:tcBorders>
            <w:vAlign w:val="top"/>
          </w:tcPr>
          <w:p w14:paraId="4560BD43">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服务时间</w:t>
            </w:r>
          </w:p>
        </w:tc>
        <w:tc>
          <w:tcPr>
            <w:tcW w:w="914" w:type="dxa"/>
            <w:tcBorders>
              <w:top w:val="single" w:color="auto" w:sz="4" w:space="0"/>
              <w:left w:val="single" w:color="auto" w:sz="4" w:space="0"/>
              <w:bottom w:val="single" w:color="auto" w:sz="4" w:space="0"/>
              <w:right w:val="single" w:color="auto" w:sz="4" w:space="0"/>
            </w:tcBorders>
            <w:vAlign w:val="center"/>
          </w:tcPr>
          <w:p w14:paraId="4570D72E">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09AE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1B458E16">
            <w:pP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191" w:type="dxa"/>
            <w:tcBorders>
              <w:top w:val="single" w:color="auto" w:sz="4" w:space="0"/>
              <w:left w:val="single" w:color="auto" w:sz="4" w:space="0"/>
              <w:bottom w:val="single" w:color="auto" w:sz="4" w:space="0"/>
              <w:right w:val="single" w:color="auto" w:sz="4" w:space="0"/>
            </w:tcBorders>
            <w:vAlign w:val="center"/>
          </w:tcPr>
          <w:p w14:paraId="6C87C06D">
            <w:pPr>
              <w:rPr>
                <w:rFonts w:hint="eastAsia" w:ascii="仿宋" w:hAnsi="仿宋" w:eastAsia="仿宋" w:cs="仿宋"/>
                <w:color w:val="auto"/>
                <w:sz w:val="24"/>
                <w:highlight w:val="none"/>
              </w:rPr>
            </w:pPr>
          </w:p>
        </w:tc>
        <w:tc>
          <w:tcPr>
            <w:tcW w:w="1953" w:type="dxa"/>
            <w:tcBorders>
              <w:top w:val="single" w:color="auto" w:sz="4" w:space="0"/>
              <w:left w:val="single" w:color="auto" w:sz="4" w:space="0"/>
              <w:bottom w:val="single" w:color="auto" w:sz="4" w:space="0"/>
              <w:right w:val="single" w:color="auto" w:sz="4" w:space="0"/>
            </w:tcBorders>
            <w:vAlign w:val="center"/>
          </w:tcPr>
          <w:p w14:paraId="1E68F2E0">
            <w:pPr>
              <w:rPr>
                <w:rFonts w:hint="eastAsia" w:ascii="仿宋" w:hAnsi="仿宋" w:eastAsia="仿宋" w:cs="仿宋"/>
                <w:color w:val="auto"/>
                <w:sz w:val="24"/>
                <w:highlight w:val="none"/>
              </w:rPr>
            </w:pPr>
          </w:p>
        </w:tc>
        <w:tc>
          <w:tcPr>
            <w:tcW w:w="1022" w:type="dxa"/>
            <w:tcBorders>
              <w:top w:val="single" w:color="auto" w:sz="4" w:space="0"/>
              <w:left w:val="single" w:color="auto" w:sz="4" w:space="0"/>
              <w:bottom w:val="single" w:color="auto" w:sz="4" w:space="0"/>
              <w:right w:val="single" w:color="auto" w:sz="4" w:space="0"/>
            </w:tcBorders>
            <w:vAlign w:val="center"/>
          </w:tcPr>
          <w:p w14:paraId="2B4AB6A6">
            <w:pPr>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1项</w:t>
            </w:r>
          </w:p>
        </w:tc>
        <w:tc>
          <w:tcPr>
            <w:tcW w:w="1193" w:type="dxa"/>
            <w:tcBorders>
              <w:top w:val="single" w:color="auto" w:sz="4" w:space="0"/>
              <w:left w:val="single" w:color="auto" w:sz="4" w:space="0"/>
              <w:bottom w:val="single" w:color="auto" w:sz="4" w:space="0"/>
              <w:right w:val="single" w:color="auto" w:sz="4" w:space="0"/>
            </w:tcBorders>
            <w:vAlign w:val="center"/>
          </w:tcPr>
          <w:p w14:paraId="2F150838">
            <w:pPr>
              <w:rPr>
                <w:rFonts w:hint="eastAsia" w:ascii="仿宋" w:hAnsi="仿宋" w:eastAsia="仿宋" w:cs="仿宋"/>
                <w:color w:val="auto"/>
                <w:sz w:val="24"/>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626DC9D1">
            <w:pPr>
              <w:rPr>
                <w:rFonts w:hint="eastAsia" w:ascii="仿宋" w:hAnsi="仿宋" w:eastAsia="仿宋" w:cs="仿宋"/>
                <w:color w:val="auto"/>
                <w:sz w:val="24"/>
                <w:highlight w:val="none"/>
              </w:rPr>
            </w:pPr>
          </w:p>
        </w:tc>
        <w:tc>
          <w:tcPr>
            <w:tcW w:w="905" w:type="dxa"/>
            <w:tcBorders>
              <w:top w:val="single" w:color="auto" w:sz="4" w:space="0"/>
              <w:left w:val="single" w:color="auto" w:sz="4" w:space="0"/>
              <w:bottom w:val="single" w:color="auto" w:sz="4" w:space="0"/>
              <w:right w:val="single" w:color="auto" w:sz="4" w:space="0"/>
            </w:tcBorders>
            <w:vAlign w:val="top"/>
          </w:tcPr>
          <w:p w14:paraId="4FE21F81">
            <w:pPr>
              <w:rPr>
                <w:rFonts w:hint="eastAsia" w:ascii="仿宋" w:hAnsi="仿宋" w:eastAsia="仿宋" w:cs="仿宋"/>
                <w:color w:val="auto"/>
                <w:sz w:val="24"/>
                <w:highlight w:val="none"/>
              </w:rPr>
            </w:pPr>
          </w:p>
        </w:tc>
        <w:tc>
          <w:tcPr>
            <w:tcW w:w="914" w:type="dxa"/>
            <w:tcBorders>
              <w:top w:val="single" w:color="auto" w:sz="4" w:space="0"/>
              <w:left w:val="single" w:color="auto" w:sz="4" w:space="0"/>
              <w:bottom w:val="single" w:color="auto" w:sz="4" w:space="0"/>
              <w:right w:val="single" w:color="auto" w:sz="4" w:space="0"/>
            </w:tcBorders>
            <w:vAlign w:val="center"/>
          </w:tcPr>
          <w:p w14:paraId="7B297428">
            <w:pPr>
              <w:rPr>
                <w:rFonts w:hint="eastAsia" w:ascii="仿宋" w:hAnsi="仿宋" w:eastAsia="仿宋" w:cs="仿宋"/>
                <w:color w:val="auto"/>
                <w:sz w:val="24"/>
                <w:highlight w:val="none"/>
              </w:rPr>
            </w:pPr>
          </w:p>
        </w:tc>
      </w:tr>
      <w:tr w14:paraId="795B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2230A4E7">
            <w:pP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191" w:type="dxa"/>
            <w:tcBorders>
              <w:top w:val="single" w:color="auto" w:sz="4" w:space="0"/>
              <w:left w:val="single" w:color="auto" w:sz="4" w:space="0"/>
              <w:bottom w:val="single" w:color="auto" w:sz="4" w:space="0"/>
              <w:right w:val="single" w:color="auto" w:sz="4" w:space="0"/>
            </w:tcBorders>
            <w:vAlign w:val="center"/>
          </w:tcPr>
          <w:p w14:paraId="41B779C8">
            <w:pPr>
              <w:rPr>
                <w:rFonts w:hint="eastAsia" w:ascii="仿宋" w:hAnsi="仿宋" w:eastAsia="仿宋" w:cs="仿宋"/>
                <w:color w:val="auto"/>
                <w:sz w:val="24"/>
                <w:highlight w:val="none"/>
              </w:rPr>
            </w:pPr>
          </w:p>
        </w:tc>
        <w:tc>
          <w:tcPr>
            <w:tcW w:w="1953" w:type="dxa"/>
            <w:tcBorders>
              <w:top w:val="single" w:color="auto" w:sz="4" w:space="0"/>
              <w:left w:val="single" w:color="auto" w:sz="4" w:space="0"/>
              <w:bottom w:val="single" w:color="auto" w:sz="4" w:space="0"/>
              <w:right w:val="single" w:color="auto" w:sz="4" w:space="0"/>
            </w:tcBorders>
            <w:vAlign w:val="center"/>
          </w:tcPr>
          <w:p w14:paraId="2EA69614">
            <w:pPr>
              <w:rPr>
                <w:rFonts w:hint="eastAsia" w:ascii="仿宋" w:hAnsi="仿宋" w:eastAsia="仿宋" w:cs="仿宋"/>
                <w:color w:val="auto"/>
                <w:sz w:val="24"/>
                <w:highlight w:val="none"/>
              </w:rPr>
            </w:pPr>
          </w:p>
        </w:tc>
        <w:tc>
          <w:tcPr>
            <w:tcW w:w="1022" w:type="dxa"/>
            <w:tcBorders>
              <w:top w:val="single" w:color="auto" w:sz="4" w:space="0"/>
              <w:left w:val="single" w:color="auto" w:sz="4" w:space="0"/>
              <w:bottom w:val="single" w:color="auto" w:sz="4" w:space="0"/>
              <w:right w:val="single" w:color="auto" w:sz="4" w:space="0"/>
            </w:tcBorders>
            <w:vAlign w:val="center"/>
          </w:tcPr>
          <w:p w14:paraId="68022CD4">
            <w:pPr>
              <w:rPr>
                <w:rFonts w:hint="eastAsia" w:ascii="仿宋" w:hAnsi="仿宋" w:eastAsia="仿宋" w:cs="仿宋"/>
                <w:color w:val="auto"/>
                <w:sz w:val="24"/>
                <w:highlight w:val="none"/>
              </w:rPr>
            </w:pPr>
          </w:p>
        </w:tc>
        <w:tc>
          <w:tcPr>
            <w:tcW w:w="1193" w:type="dxa"/>
            <w:tcBorders>
              <w:top w:val="single" w:color="auto" w:sz="4" w:space="0"/>
              <w:left w:val="single" w:color="auto" w:sz="4" w:space="0"/>
              <w:bottom w:val="single" w:color="auto" w:sz="4" w:space="0"/>
              <w:right w:val="single" w:color="auto" w:sz="4" w:space="0"/>
            </w:tcBorders>
            <w:vAlign w:val="center"/>
          </w:tcPr>
          <w:p w14:paraId="57E4B72A">
            <w:pPr>
              <w:rPr>
                <w:rFonts w:hint="eastAsia" w:ascii="仿宋" w:hAnsi="仿宋" w:eastAsia="仿宋" w:cs="仿宋"/>
                <w:color w:val="auto"/>
                <w:sz w:val="24"/>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5D39B3E2">
            <w:pPr>
              <w:rPr>
                <w:rFonts w:hint="eastAsia" w:ascii="仿宋" w:hAnsi="仿宋" w:eastAsia="仿宋" w:cs="仿宋"/>
                <w:color w:val="auto"/>
                <w:sz w:val="24"/>
                <w:highlight w:val="none"/>
              </w:rPr>
            </w:pPr>
          </w:p>
        </w:tc>
        <w:tc>
          <w:tcPr>
            <w:tcW w:w="905" w:type="dxa"/>
            <w:tcBorders>
              <w:top w:val="single" w:color="auto" w:sz="4" w:space="0"/>
              <w:left w:val="single" w:color="auto" w:sz="4" w:space="0"/>
              <w:bottom w:val="single" w:color="auto" w:sz="4" w:space="0"/>
              <w:right w:val="single" w:color="auto" w:sz="4" w:space="0"/>
            </w:tcBorders>
            <w:vAlign w:val="top"/>
          </w:tcPr>
          <w:p w14:paraId="45093CB0">
            <w:pPr>
              <w:rPr>
                <w:rFonts w:hint="eastAsia" w:ascii="仿宋" w:hAnsi="仿宋" w:eastAsia="仿宋" w:cs="仿宋"/>
                <w:color w:val="auto"/>
                <w:sz w:val="24"/>
                <w:highlight w:val="none"/>
              </w:rPr>
            </w:pPr>
          </w:p>
        </w:tc>
        <w:tc>
          <w:tcPr>
            <w:tcW w:w="914" w:type="dxa"/>
            <w:tcBorders>
              <w:top w:val="single" w:color="auto" w:sz="4" w:space="0"/>
              <w:left w:val="single" w:color="auto" w:sz="4" w:space="0"/>
              <w:bottom w:val="single" w:color="auto" w:sz="4" w:space="0"/>
              <w:right w:val="single" w:color="auto" w:sz="4" w:space="0"/>
            </w:tcBorders>
            <w:vAlign w:val="center"/>
          </w:tcPr>
          <w:p w14:paraId="0117AED5">
            <w:pPr>
              <w:rPr>
                <w:rFonts w:hint="eastAsia" w:ascii="仿宋" w:hAnsi="仿宋" w:eastAsia="仿宋" w:cs="仿宋"/>
                <w:color w:val="auto"/>
                <w:sz w:val="24"/>
                <w:highlight w:val="none"/>
              </w:rPr>
            </w:pPr>
          </w:p>
        </w:tc>
      </w:tr>
      <w:tr w14:paraId="63F46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677" w:type="dxa"/>
            <w:tcBorders>
              <w:top w:val="single" w:color="auto" w:sz="4" w:space="0"/>
              <w:left w:val="single" w:color="auto" w:sz="4" w:space="0"/>
              <w:bottom w:val="single" w:color="auto" w:sz="4" w:space="0"/>
              <w:right w:val="single" w:color="auto" w:sz="4" w:space="0"/>
            </w:tcBorders>
            <w:vAlign w:val="center"/>
          </w:tcPr>
          <w:p w14:paraId="075655CB">
            <w:pP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191" w:type="dxa"/>
            <w:tcBorders>
              <w:top w:val="single" w:color="auto" w:sz="4" w:space="0"/>
              <w:left w:val="single" w:color="auto" w:sz="4" w:space="0"/>
              <w:bottom w:val="single" w:color="auto" w:sz="4" w:space="0"/>
              <w:right w:val="single" w:color="auto" w:sz="4" w:space="0"/>
            </w:tcBorders>
            <w:vAlign w:val="center"/>
          </w:tcPr>
          <w:p w14:paraId="016C3C4B">
            <w:pPr>
              <w:rPr>
                <w:rFonts w:hint="eastAsia" w:ascii="仿宋" w:hAnsi="仿宋" w:eastAsia="仿宋" w:cs="仿宋"/>
                <w:color w:val="auto"/>
                <w:sz w:val="24"/>
                <w:highlight w:val="none"/>
              </w:rPr>
            </w:pPr>
          </w:p>
        </w:tc>
        <w:tc>
          <w:tcPr>
            <w:tcW w:w="1953" w:type="dxa"/>
            <w:tcBorders>
              <w:top w:val="single" w:color="auto" w:sz="4" w:space="0"/>
              <w:left w:val="single" w:color="auto" w:sz="4" w:space="0"/>
              <w:bottom w:val="single" w:color="auto" w:sz="4" w:space="0"/>
              <w:right w:val="single" w:color="auto" w:sz="4" w:space="0"/>
            </w:tcBorders>
            <w:vAlign w:val="center"/>
          </w:tcPr>
          <w:p w14:paraId="7F572449">
            <w:pPr>
              <w:rPr>
                <w:rFonts w:hint="eastAsia" w:ascii="仿宋" w:hAnsi="仿宋" w:eastAsia="仿宋" w:cs="仿宋"/>
                <w:color w:val="auto"/>
                <w:sz w:val="24"/>
                <w:highlight w:val="none"/>
              </w:rPr>
            </w:pPr>
          </w:p>
        </w:tc>
        <w:tc>
          <w:tcPr>
            <w:tcW w:w="1022" w:type="dxa"/>
            <w:tcBorders>
              <w:top w:val="single" w:color="auto" w:sz="4" w:space="0"/>
              <w:left w:val="single" w:color="auto" w:sz="4" w:space="0"/>
              <w:bottom w:val="single" w:color="auto" w:sz="4" w:space="0"/>
              <w:right w:val="single" w:color="auto" w:sz="4" w:space="0"/>
            </w:tcBorders>
            <w:vAlign w:val="center"/>
          </w:tcPr>
          <w:p w14:paraId="1E70ACA4">
            <w:pPr>
              <w:rPr>
                <w:rFonts w:hint="eastAsia" w:ascii="仿宋" w:hAnsi="仿宋" w:eastAsia="仿宋" w:cs="仿宋"/>
                <w:color w:val="auto"/>
                <w:sz w:val="24"/>
                <w:highlight w:val="none"/>
              </w:rPr>
            </w:pPr>
          </w:p>
        </w:tc>
        <w:tc>
          <w:tcPr>
            <w:tcW w:w="1193" w:type="dxa"/>
            <w:tcBorders>
              <w:top w:val="single" w:color="auto" w:sz="4" w:space="0"/>
              <w:left w:val="single" w:color="auto" w:sz="4" w:space="0"/>
              <w:bottom w:val="single" w:color="auto" w:sz="4" w:space="0"/>
              <w:right w:val="single" w:color="auto" w:sz="4" w:space="0"/>
            </w:tcBorders>
            <w:vAlign w:val="center"/>
          </w:tcPr>
          <w:p w14:paraId="5E956169">
            <w:pPr>
              <w:rPr>
                <w:rFonts w:hint="eastAsia" w:ascii="仿宋" w:hAnsi="仿宋" w:eastAsia="仿宋" w:cs="仿宋"/>
                <w:color w:val="auto"/>
                <w:sz w:val="24"/>
                <w:highlight w:val="none"/>
              </w:rPr>
            </w:pPr>
          </w:p>
        </w:tc>
        <w:tc>
          <w:tcPr>
            <w:tcW w:w="1434" w:type="dxa"/>
            <w:tcBorders>
              <w:top w:val="single" w:color="auto" w:sz="4" w:space="0"/>
              <w:left w:val="single" w:color="auto" w:sz="4" w:space="0"/>
              <w:bottom w:val="single" w:color="auto" w:sz="4" w:space="0"/>
              <w:right w:val="single" w:color="auto" w:sz="4" w:space="0"/>
            </w:tcBorders>
            <w:vAlign w:val="center"/>
          </w:tcPr>
          <w:p w14:paraId="36D952F9">
            <w:pPr>
              <w:rPr>
                <w:rFonts w:hint="eastAsia" w:ascii="仿宋" w:hAnsi="仿宋" w:eastAsia="仿宋" w:cs="仿宋"/>
                <w:color w:val="auto"/>
                <w:sz w:val="24"/>
                <w:highlight w:val="none"/>
              </w:rPr>
            </w:pPr>
          </w:p>
        </w:tc>
        <w:tc>
          <w:tcPr>
            <w:tcW w:w="905" w:type="dxa"/>
            <w:tcBorders>
              <w:top w:val="single" w:color="auto" w:sz="4" w:space="0"/>
              <w:left w:val="single" w:color="auto" w:sz="4" w:space="0"/>
              <w:bottom w:val="single" w:color="auto" w:sz="4" w:space="0"/>
              <w:right w:val="single" w:color="auto" w:sz="4" w:space="0"/>
            </w:tcBorders>
            <w:vAlign w:val="top"/>
          </w:tcPr>
          <w:p w14:paraId="3CBA8FE9">
            <w:pPr>
              <w:rPr>
                <w:rFonts w:hint="eastAsia" w:ascii="仿宋" w:hAnsi="仿宋" w:eastAsia="仿宋" w:cs="仿宋"/>
                <w:color w:val="auto"/>
                <w:sz w:val="24"/>
                <w:highlight w:val="none"/>
              </w:rPr>
            </w:pPr>
          </w:p>
        </w:tc>
        <w:tc>
          <w:tcPr>
            <w:tcW w:w="914" w:type="dxa"/>
            <w:tcBorders>
              <w:top w:val="single" w:color="auto" w:sz="4" w:space="0"/>
              <w:left w:val="single" w:color="auto" w:sz="4" w:space="0"/>
              <w:bottom w:val="single" w:color="auto" w:sz="4" w:space="0"/>
              <w:right w:val="single" w:color="auto" w:sz="4" w:space="0"/>
            </w:tcBorders>
            <w:vAlign w:val="center"/>
          </w:tcPr>
          <w:p w14:paraId="68DC9AD2">
            <w:pPr>
              <w:rPr>
                <w:rFonts w:hint="eastAsia" w:ascii="仿宋" w:hAnsi="仿宋" w:eastAsia="仿宋" w:cs="仿宋"/>
                <w:color w:val="auto"/>
                <w:sz w:val="24"/>
                <w:highlight w:val="none"/>
              </w:rPr>
            </w:pPr>
          </w:p>
        </w:tc>
      </w:tr>
      <w:tr w14:paraId="6D075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17E09464">
            <w:pPr>
              <w:rPr>
                <w:rFonts w:hint="eastAsia" w:ascii="仿宋" w:hAnsi="仿宋" w:eastAsia="仿宋" w:cs="仿宋"/>
                <w:color w:val="auto"/>
                <w:sz w:val="24"/>
                <w:highlight w:val="none"/>
              </w:rPr>
            </w:pPr>
            <w:r>
              <w:rPr>
                <w:rFonts w:hint="eastAsia" w:ascii="仿宋" w:hAnsi="仿宋" w:eastAsia="仿宋" w:cs="仿宋"/>
                <w:color w:val="auto"/>
                <w:sz w:val="24"/>
                <w:highlight w:val="none"/>
              </w:rPr>
              <w:t>报价合计（包含税费等所有费用）：</w:t>
            </w:r>
          </w:p>
          <w:p w14:paraId="7803C856">
            <w:pPr>
              <w:rPr>
                <w:rFonts w:hint="eastAsia" w:ascii="仿宋" w:hAnsi="仿宋" w:eastAsia="仿宋" w:cs="仿宋"/>
                <w:color w:val="auto"/>
                <w:sz w:val="24"/>
                <w:highlight w:val="none"/>
              </w:rPr>
            </w:pPr>
            <w:r>
              <w:rPr>
                <w:rFonts w:hint="eastAsia" w:ascii="仿宋" w:hAnsi="仿宋" w:eastAsia="仿宋" w:cs="仿宋"/>
                <w:color w:val="auto"/>
                <w:sz w:val="24"/>
                <w:highlight w:val="none"/>
              </w:rPr>
              <w:t>（大写）人民币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tc>
      </w:tr>
      <w:tr w14:paraId="0103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54EBCD3B">
            <w:pPr>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w:t>
            </w:r>
            <w:r>
              <w:rPr>
                <w:rFonts w:hint="eastAsia" w:ascii="仿宋" w:hAnsi="仿宋" w:eastAsia="仿宋" w:cs="仿宋"/>
                <w:color w:val="auto"/>
                <w:sz w:val="24"/>
                <w:highlight w:val="none"/>
              </w:rPr>
              <w:t>分标（此处有分标时填写具体分标号，无分标时填写“无”）</w:t>
            </w:r>
          </w:p>
        </w:tc>
      </w:tr>
      <w:tr w14:paraId="049B4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5CA96447">
            <w:pPr>
              <w:rPr>
                <w:rFonts w:hint="eastAsia" w:ascii="仿宋" w:hAnsi="仿宋" w:eastAsia="仿宋" w:cs="仿宋"/>
                <w:color w:val="auto"/>
                <w:sz w:val="24"/>
                <w:highlight w:val="none"/>
              </w:rPr>
            </w:pPr>
            <w:r>
              <w:rPr>
                <w:rFonts w:hint="eastAsia" w:ascii="仿宋" w:hAnsi="仿宋" w:eastAsia="仿宋" w:cs="仿宋"/>
                <w:color w:val="auto"/>
                <w:sz w:val="24"/>
                <w:highlight w:val="none"/>
              </w:rPr>
              <w:t>验收标准：</w:t>
            </w:r>
          </w:p>
        </w:tc>
      </w:tr>
      <w:tr w14:paraId="5FF2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289" w:type="dxa"/>
            <w:gridSpan w:val="8"/>
            <w:tcBorders>
              <w:top w:val="single" w:color="auto" w:sz="4" w:space="0"/>
              <w:left w:val="single" w:color="auto" w:sz="4" w:space="0"/>
              <w:bottom w:val="single" w:color="auto" w:sz="4" w:space="0"/>
              <w:right w:val="single" w:color="auto" w:sz="4" w:space="0"/>
            </w:tcBorders>
            <w:vAlign w:val="center"/>
          </w:tcPr>
          <w:p w14:paraId="209D06DF">
            <w:pPr>
              <w:rPr>
                <w:rFonts w:hint="eastAsia" w:ascii="仿宋" w:hAnsi="仿宋" w:eastAsia="仿宋" w:cs="仿宋"/>
                <w:color w:val="auto"/>
                <w:sz w:val="24"/>
                <w:highlight w:val="none"/>
              </w:rPr>
            </w:pPr>
            <w:r>
              <w:rPr>
                <w:rFonts w:hint="eastAsia" w:ascii="仿宋" w:hAnsi="仿宋" w:eastAsia="仿宋" w:cs="仿宋"/>
                <w:color w:val="auto"/>
                <w:sz w:val="24"/>
                <w:highlight w:val="none"/>
              </w:rPr>
              <w:t>优惠及其它：</w:t>
            </w:r>
          </w:p>
        </w:tc>
      </w:tr>
    </w:tbl>
    <w:p w14:paraId="20685ED9">
      <w:pPr>
        <w:snapToGrid w:val="0"/>
        <w:spacing w:before="50" w:after="50"/>
        <w:ind w:firstLine="480" w:firstLineChars="200"/>
        <w:jc w:val="left"/>
        <w:rPr>
          <w:rFonts w:hint="eastAsia" w:ascii="仿宋" w:hAnsi="仿宋" w:eastAsia="仿宋" w:cs="仿宋"/>
          <w:color w:val="auto"/>
          <w:kern w:val="0"/>
          <w:szCs w:val="21"/>
          <w:highlight w:val="none"/>
          <w:lang w:val="zh-CN"/>
        </w:rPr>
      </w:pPr>
    </w:p>
    <w:p w14:paraId="2C754025">
      <w:pPr>
        <w:snapToGrid w:val="0"/>
        <w:spacing w:before="50" w:after="50"/>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 xml:space="preserve">注： </w:t>
      </w:r>
    </w:p>
    <w:p w14:paraId="7CFF3E58">
      <w:pPr>
        <w:snapToGrid w:val="0"/>
        <w:spacing w:before="50" w:after="50"/>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1、供应商需按本表格式填写，不得自行更改，也不得留空, 如有多分标，按分标分别提供响应报价表</w:t>
      </w:r>
      <w:r>
        <w:rPr>
          <w:rFonts w:hint="eastAsia" w:ascii="仿宋" w:hAnsi="仿宋" w:eastAsia="仿宋" w:cs="仿宋"/>
          <w:b/>
          <w:color w:val="auto"/>
          <w:kern w:val="0"/>
          <w:szCs w:val="21"/>
          <w:highlight w:val="none"/>
          <w:lang w:val="zh-CN"/>
        </w:rPr>
        <w:t>。</w:t>
      </w:r>
    </w:p>
    <w:p w14:paraId="5B360051">
      <w:pPr>
        <w:snapToGrid w:val="0"/>
        <w:spacing w:before="50" w:after="50"/>
        <w:ind w:firstLine="480" w:firstLineChars="200"/>
        <w:jc w:val="left"/>
        <w:rPr>
          <w:rFonts w:hint="eastAsia" w:ascii="仿宋" w:hAnsi="仿宋" w:eastAsia="仿宋" w:cs="仿宋"/>
          <w:b/>
          <w:color w:val="auto"/>
          <w:kern w:val="0"/>
          <w:szCs w:val="21"/>
          <w:highlight w:val="none"/>
          <w:lang w:val="zh-CN"/>
        </w:rPr>
      </w:pPr>
      <w:r>
        <w:rPr>
          <w:rFonts w:hint="eastAsia" w:ascii="仿宋" w:hAnsi="仿宋" w:eastAsia="仿宋" w:cs="仿宋"/>
          <w:color w:val="auto"/>
          <w:kern w:val="0"/>
          <w:szCs w:val="21"/>
          <w:highlight w:val="none"/>
          <w:lang w:val="zh-CN"/>
        </w:rPr>
        <w:t>2、如为联合体响应的，“供应商名称”处必须列明联合体各方名称，并标注联合体牵头人名称，且盖章处须加盖联合体各方公章，</w:t>
      </w:r>
      <w:r>
        <w:rPr>
          <w:rFonts w:hint="eastAsia" w:ascii="仿宋" w:hAnsi="仿宋" w:eastAsia="仿宋" w:cs="仿宋"/>
          <w:b/>
          <w:color w:val="auto"/>
          <w:kern w:val="0"/>
          <w:szCs w:val="21"/>
          <w:highlight w:val="none"/>
          <w:lang w:val="zh-CN"/>
        </w:rPr>
        <w:t>否则其响应作无效响应处理。</w:t>
      </w:r>
    </w:p>
    <w:p w14:paraId="4C35A2B4">
      <w:pPr>
        <w:snapToGrid w:val="0"/>
        <w:spacing w:before="50" w:after="50" w:line="360" w:lineRule="auto"/>
        <w:ind w:firstLine="480" w:firstLineChars="200"/>
        <w:jc w:val="left"/>
        <w:rPr>
          <w:rFonts w:hint="eastAsia" w:ascii="仿宋" w:hAnsi="仿宋" w:eastAsia="仿宋" w:cs="仿宋"/>
          <w:b/>
          <w:color w:val="auto"/>
          <w:kern w:val="0"/>
          <w:szCs w:val="21"/>
          <w:highlight w:val="none"/>
          <w:lang w:val="zh-CN"/>
        </w:rPr>
      </w:pPr>
      <w:r>
        <w:rPr>
          <w:rFonts w:hint="eastAsia" w:ascii="仿宋" w:hAnsi="仿宋" w:eastAsia="仿宋" w:cs="仿宋"/>
          <w:color w:val="auto"/>
          <w:kern w:val="0"/>
          <w:szCs w:val="21"/>
          <w:highlight w:val="none"/>
          <w:lang w:val="zh-CN"/>
        </w:rPr>
        <w:t>3、以上表格要求细分项目及报价，在“具体服务内容”一栏中，填写具体服务范围、服务时间、服务标准。</w:t>
      </w:r>
    </w:p>
    <w:p w14:paraId="06F20581">
      <w:pPr>
        <w:snapToGrid w:val="0"/>
        <w:spacing w:line="360" w:lineRule="auto"/>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4、特别提示：采购机构将对项目名称和项目编号，成交供应商名称、地址和成交金额，主要成交标的的名称、服务范围、服务要求、服务时间、服务标准等予以公示。</w:t>
      </w:r>
    </w:p>
    <w:p w14:paraId="328184B8">
      <w:pPr>
        <w:snapToGrid w:val="0"/>
        <w:spacing w:line="360" w:lineRule="auto"/>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5、符合采购文件中列明的可享受中小企业扶持政策的供应商，请填写中小企业声明函。</w:t>
      </w:r>
    </w:p>
    <w:p w14:paraId="25C5F1EE">
      <w:pPr>
        <w:snapToGrid w:val="0"/>
        <w:spacing w:line="360" w:lineRule="auto"/>
        <w:ind w:firstLine="480" w:firstLineChars="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注：供应商提供的中小企业声明函内容不实的，属于提供虚假材料谋取中标、成交，依照《中华人民共和国政府采购法》等国家有关规定追究相应责任。</w:t>
      </w:r>
    </w:p>
    <w:p w14:paraId="687D87B1">
      <w:pPr>
        <w:snapToGrid w:val="0"/>
        <w:spacing w:line="360" w:lineRule="auto"/>
        <w:ind w:firstLine="480" w:firstLineChars="200"/>
        <w:jc w:val="left"/>
        <w:rPr>
          <w:rFonts w:hint="eastAsia" w:ascii="仿宋" w:hAnsi="仿宋" w:eastAsia="仿宋" w:cs="仿宋"/>
          <w:color w:val="auto"/>
          <w:kern w:val="0"/>
          <w:szCs w:val="21"/>
          <w:highlight w:val="none"/>
        </w:rPr>
      </w:pPr>
    </w:p>
    <w:p w14:paraId="284B8161">
      <w:pPr>
        <w:autoSpaceDE w:val="0"/>
        <w:autoSpaceDN w:val="0"/>
        <w:spacing w:line="360" w:lineRule="auto"/>
        <w:ind w:left="4920" w:leftChars="2050" w:firstLine="240" w:firstLineChars="1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供应商名称（电子签章）：</w:t>
      </w:r>
    </w:p>
    <w:p w14:paraId="164ABF26">
      <w:pPr>
        <w:spacing w:line="360" w:lineRule="auto"/>
        <w:jc w:val="righ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日期：  年  月   日</w:t>
      </w:r>
    </w:p>
    <w:p w14:paraId="14086457">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5DEAA682">
      <w:pPr>
        <w:pStyle w:val="3"/>
        <w:jc w:val="center"/>
        <w:rPr>
          <w:rFonts w:hint="eastAsia" w:ascii="仿宋" w:hAnsi="仿宋" w:eastAsia="仿宋" w:cs="仿宋"/>
          <w:b w:val="0"/>
          <w:color w:val="auto"/>
          <w:highlight w:val="none"/>
        </w:rPr>
      </w:pPr>
      <w:bookmarkStart w:id="108" w:name="_Toc26119"/>
      <w:bookmarkStart w:id="109" w:name="_Toc435"/>
      <w:r>
        <w:rPr>
          <w:rFonts w:hint="eastAsia" w:ascii="仿宋" w:hAnsi="仿宋" w:eastAsia="仿宋" w:cs="仿宋"/>
          <w:color w:val="auto"/>
          <w:highlight w:val="none"/>
        </w:rPr>
        <w:t>第五节 其他文书、文件格式</w:t>
      </w:r>
      <w:bookmarkEnd w:id="107"/>
      <w:bookmarkEnd w:id="108"/>
      <w:bookmarkEnd w:id="109"/>
    </w:p>
    <w:p w14:paraId="4E2B5963">
      <w:pPr>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知识产权合规性声明</w:t>
      </w:r>
    </w:p>
    <w:p w14:paraId="17887B45">
      <w:pPr>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w:t>
      </w:r>
    </w:p>
    <w:p w14:paraId="4FA61607">
      <w:pPr>
        <w:spacing w:line="480" w:lineRule="auto"/>
        <w:rPr>
          <w:rFonts w:hint="eastAsia" w:ascii="仿宋" w:hAnsi="仿宋" w:eastAsia="仿宋" w:cs="仿宋"/>
          <w:color w:val="auto"/>
          <w:sz w:val="24"/>
          <w:highlight w:val="none"/>
        </w:rPr>
      </w:pPr>
      <w:r>
        <w:rPr>
          <w:rFonts w:hint="eastAsia" w:ascii="仿宋" w:hAnsi="仿宋" w:eastAsia="仿宋" w:cs="仿宋"/>
          <w:color w:val="auto"/>
          <w:sz w:val="30"/>
          <w:szCs w:val="30"/>
          <w:highlight w:val="none"/>
        </w:rPr>
        <w:t xml:space="preserve">   </w:t>
      </w:r>
      <w:r>
        <w:rPr>
          <w:rFonts w:hint="eastAsia" w:ascii="仿宋" w:hAnsi="仿宋" w:eastAsia="仿宋" w:cs="仿宋"/>
          <w:color w:val="auto"/>
          <w:sz w:val="24"/>
          <w:highlight w:val="none"/>
        </w:rPr>
        <w:t xml:space="preserve"> 本企业（单位）自愿参与政府投资政府采购的</w:t>
      </w:r>
      <w:bookmarkStart w:id="110" w:name="PO_3000001868_PM002_14"/>
      <w:r>
        <w:rPr>
          <w:rFonts w:hint="eastAsia" w:ascii="仿宋" w:hAnsi="仿宋" w:eastAsia="仿宋" w:cs="仿宋"/>
          <w:color w:val="auto"/>
          <w:sz w:val="24"/>
          <w:highlight w:val="none"/>
          <w:u w:val="single"/>
        </w:rPr>
        <w:t>[项目名称]</w:t>
      </w:r>
      <w:bookmarkEnd w:id="110"/>
      <w:r>
        <w:rPr>
          <w:rFonts w:hint="eastAsia" w:ascii="仿宋" w:hAnsi="仿宋" w:eastAsia="仿宋" w:cs="仿宋"/>
          <w:color w:val="auto"/>
          <w:sz w:val="24"/>
          <w:highlight w:val="none"/>
        </w:rPr>
        <w:t>项目，</w:t>
      </w:r>
      <w:r>
        <w:rPr>
          <w:rFonts w:hint="eastAsia" w:ascii="仿宋" w:hAnsi="仿宋" w:eastAsia="仿宋" w:cs="仿宋"/>
          <w:b/>
          <w:bCs/>
          <w:color w:val="auto"/>
          <w:sz w:val="24"/>
          <w:highlight w:val="none"/>
        </w:rPr>
        <w:t>在此郑重承诺：</w:t>
      </w:r>
      <w:r>
        <w:rPr>
          <w:rFonts w:hint="eastAsia" w:ascii="仿宋" w:hAnsi="仿宋" w:eastAsia="仿宋" w:cs="仿宋"/>
          <w:color w:val="auto"/>
          <w:sz w:val="24"/>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110317CF">
      <w:pPr>
        <w:snapToGrid w:val="0"/>
        <w:spacing w:line="480" w:lineRule="auto"/>
        <w:ind w:left="6154" w:leftChars="1736" w:hanging="1988" w:hangingChars="825"/>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w:t>
      </w:r>
    </w:p>
    <w:p w14:paraId="3A54F8B0">
      <w:pPr>
        <w:snapToGrid w:val="0"/>
        <w:spacing w:line="480" w:lineRule="auto"/>
        <w:ind w:left="6154" w:leftChars="1736" w:hanging="1988" w:hangingChars="825"/>
        <w:rPr>
          <w:rFonts w:hint="eastAsia" w:ascii="仿宋" w:hAnsi="仿宋" w:eastAsia="仿宋" w:cs="仿宋"/>
          <w:b/>
          <w:color w:val="auto"/>
          <w:sz w:val="24"/>
          <w:highlight w:val="none"/>
        </w:rPr>
      </w:pPr>
    </w:p>
    <w:p w14:paraId="00E3AE78">
      <w:pPr>
        <w:snapToGrid w:val="0"/>
        <w:spacing w:line="480" w:lineRule="auto"/>
        <w:ind w:left="6154" w:leftChars="1736" w:hanging="1988" w:hangingChars="825"/>
        <w:rPr>
          <w:rFonts w:hint="eastAsia" w:ascii="仿宋" w:hAnsi="仿宋" w:eastAsia="仿宋" w:cs="仿宋"/>
          <w:b/>
          <w:color w:val="auto"/>
          <w:sz w:val="24"/>
          <w:highlight w:val="none"/>
        </w:rPr>
      </w:pPr>
    </w:p>
    <w:p w14:paraId="2ED71BC0">
      <w:pPr>
        <w:snapToGrid w:val="0"/>
        <w:spacing w:line="480" w:lineRule="auto"/>
        <w:ind w:left="6154" w:leftChars="1736" w:hanging="1988" w:hangingChars="825"/>
        <w:rPr>
          <w:rFonts w:hint="eastAsia" w:ascii="仿宋" w:hAnsi="仿宋" w:eastAsia="仿宋" w:cs="仿宋"/>
          <w:b/>
          <w:color w:val="auto"/>
          <w:sz w:val="24"/>
          <w:highlight w:val="none"/>
        </w:rPr>
      </w:pPr>
    </w:p>
    <w:p w14:paraId="7F940369">
      <w:pPr>
        <w:snapToGrid w:val="0"/>
        <w:spacing w:line="480" w:lineRule="auto"/>
        <w:ind w:left="6154" w:leftChars="1736" w:hanging="1988" w:hangingChars="825"/>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 xml:space="preserve">      </w:t>
      </w:r>
      <w:r>
        <w:rPr>
          <w:rFonts w:hint="eastAsia" w:ascii="仿宋" w:hAnsi="仿宋" w:eastAsia="仿宋" w:cs="仿宋"/>
          <w:color w:val="auto"/>
          <w:kern w:val="0"/>
          <w:sz w:val="24"/>
          <w:highlight w:val="none"/>
          <w:lang w:val="zh-CN"/>
        </w:rPr>
        <w:t>供应商名称(电子签章)：</w:t>
      </w:r>
    </w:p>
    <w:p w14:paraId="10071F17">
      <w:pPr>
        <w:snapToGrid w:val="0"/>
        <w:spacing w:line="480" w:lineRule="auto"/>
        <w:ind w:firstLine="5160" w:firstLineChars="215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334BB066">
      <w:pPr>
        <w:widowControl/>
        <w:jc w:val="left"/>
        <w:rPr>
          <w:rFonts w:hint="eastAsia" w:ascii="仿宋" w:hAnsi="仿宋" w:eastAsia="仿宋" w:cs="仿宋"/>
          <w:color w:val="auto"/>
          <w:sz w:val="24"/>
          <w:highlight w:val="none"/>
        </w:rPr>
        <w:sectPr>
          <w:pgSz w:w="11911" w:h="16838"/>
          <w:pgMar w:top="1417" w:right="1417" w:bottom="1417" w:left="1417" w:header="720" w:footer="720" w:gutter="0"/>
          <w:cols w:space="720" w:num="1"/>
          <w:docGrid w:linePitch="331" w:charSpace="0"/>
        </w:sectPr>
      </w:pPr>
    </w:p>
    <w:p w14:paraId="57AF747B">
      <w:pPr>
        <w:spacing w:line="520" w:lineRule="exact"/>
        <w:jc w:val="center"/>
        <w:rPr>
          <w:rFonts w:hint="eastAsia" w:ascii="仿宋" w:hAnsi="仿宋" w:eastAsia="仿宋" w:cs="仿宋"/>
          <w:color w:val="auto"/>
          <w:sz w:val="24"/>
          <w:highlight w:val="none"/>
        </w:rPr>
      </w:pPr>
    </w:p>
    <w:p w14:paraId="26F7F7B0">
      <w:pPr>
        <w:spacing w:line="520" w:lineRule="exact"/>
        <w:jc w:val="center"/>
        <w:rPr>
          <w:rFonts w:hint="eastAsia" w:ascii="仿宋" w:hAnsi="仿宋" w:eastAsia="仿宋" w:cs="仿宋"/>
          <w:color w:val="auto"/>
          <w:sz w:val="24"/>
          <w:highlight w:val="none"/>
        </w:rPr>
      </w:pPr>
    </w:p>
    <w:p w14:paraId="209CA0FD">
      <w:pPr>
        <w:spacing w:line="520" w:lineRule="exact"/>
        <w:jc w:val="center"/>
        <w:rPr>
          <w:rFonts w:hint="eastAsia" w:ascii="仿宋" w:hAnsi="仿宋" w:eastAsia="仿宋" w:cs="仿宋"/>
          <w:color w:val="auto"/>
          <w:sz w:val="24"/>
          <w:highlight w:val="none"/>
        </w:rPr>
      </w:pPr>
    </w:p>
    <w:p w14:paraId="204AC085">
      <w:pPr>
        <w:spacing w:line="520" w:lineRule="exact"/>
        <w:jc w:val="center"/>
        <w:rPr>
          <w:rFonts w:hint="eastAsia" w:ascii="仿宋" w:hAnsi="仿宋" w:eastAsia="仿宋" w:cs="仿宋"/>
          <w:color w:val="auto"/>
          <w:sz w:val="24"/>
          <w:highlight w:val="none"/>
        </w:rPr>
      </w:pPr>
    </w:p>
    <w:p w14:paraId="285FB579">
      <w:pPr>
        <w:spacing w:line="520" w:lineRule="exact"/>
        <w:jc w:val="center"/>
        <w:rPr>
          <w:rFonts w:hint="eastAsia" w:ascii="仿宋" w:hAnsi="仿宋" w:eastAsia="仿宋" w:cs="仿宋"/>
          <w:color w:val="auto"/>
          <w:sz w:val="24"/>
          <w:highlight w:val="none"/>
        </w:rPr>
      </w:pPr>
    </w:p>
    <w:p w14:paraId="6BC94CBB">
      <w:pPr>
        <w:bidi w:val="0"/>
        <w:rPr>
          <w:rFonts w:hint="eastAsia" w:ascii="仿宋" w:hAnsi="仿宋" w:eastAsia="仿宋" w:cs="仿宋"/>
          <w:color w:val="auto"/>
          <w:highlight w:val="none"/>
        </w:rPr>
      </w:pPr>
    </w:p>
    <w:p w14:paraId="1789C2AE">
      <w:pPr>
        <w:bidi w:val="0"/>
        <w:rPr>
          <w:rFonts w:hint="eastAsia" w:ascii="仿宋" w:hAnsi="仿宋" w:eastAsia="仿宋" w:cs="仿宋"/>
          <w:color w:val="auto"/>
          <w:highlight w:val="none"/>
        </w:rPr>
      </w:pPr>
    </w:p>
    <w:p w14:paraId="0EADDAAC">
      <w:pPr>
        <w:bidi w:val="0"/>
        <w:rPr>
          <w:rFonts w:hint="eastAsia" w:ascii="仿宋" w:hAnsi="仿宋" w:eastAsia="仿宋" w:cs="仿宋"/>
          <w:color w:val="auto"/>
          <w:highlight w:val="none"/>
        </w:rPr>
      </w:pPr>
    </w:p>
    <w:p w14:paraId="1135EE1D">
      <w:pPr>
        <w:rPr>
          <w:rFonts w:hint="eastAsia" w:ascii="仿宋" w:hAnsi="仿宋" w:eastAsia="仿宋" w:cs="仿宋"/>
          <w:color w:val="auto"/>
          <w:highlight w:val="none"/>
        </w:rPr>
      </w:pPr>
    </w:p>
    <w:p w14:paraId="643300B8">
      <w:pPr>
        <w:pStyle w:val="2"/>
        <w:jc w:val="center"/>
        <w:rPr>
          <w:rFonts w:hint="eastAsia" w:ascii="仿宋" w:hAnsi="仿宋" w:eastAsia="仿宋" w:cs="仿宋"/>
          <w:b w:val="0"/>
          <w:bCs w:val="0"/>
          <w:color w:val="auto"/>
          <w:highlight w:val="none"/>
        </w:rPr>
      </w:pPr>
      <w:bookmarkStart w:id="111" w:name="_Toc7211"/>
      <w:bookmarkStart w:id="112" w:name="_Toc12483"/>
      <w:r>
        <w:rPr>
          <w:rFonts w:hint="eastAsia" w:ascii="仿宋" w:hAnsi="仿宋" w:eastAsia="仿宋" w:cs="仿宋"/>
          <w:b w:val="0"/>
          <w:bCs w:val="0"/>
          <w:color w:val="auto"/>
          <w:highlight w:val="none"/>
        </w:rPr>
        <w:t>第六章 合同文本</w:t>
      </w:r>
      <w:bookmarkEnd w:id="111"/>
      <w:bookmarkEnd w:id="112"/>
    </w:p>
    <w:p w14:paraId="4547D0CA">
      <w:pPr>
        <w:bidi w:val="0"/>
        <w:rPr>
          <w:rFonts w:hint="eastAsia" w:ascii="仿宋" w:hAnsi="仿宋" w:eastAsia="仿宋" w:cs="仿宋"/>
          <w:b/>
          <w:bCs/>
          <w:color w:val="auto"/>
          <w:highlight w:val="none"/>
        </w:rPr>
      </w:pPr>
      <w:r>
        <w:rPr>
          <w:rFonts w:hint="eastAsia" w:ascii="仿宋" w:hAnsi="仿宋" w:eastAsia="仿宋" w:cs="仿宋"/>
          <w:b w:val="0"/>
          <w:bCs w:val="0"/>
          <w:color w:val="auto"/>
          <w:highlight w:val="none"/>
        </w:rPr>
        <w:br w:type="page"/>
      </w:r>
      <w:r>
        <w:rPr>
          <w:rFonts w:hint="eastAsia" w:ascii="仿宋" w:hAnsi="仿宋" w:eastAsia="仿宋" w:cs="仿宋"/>
          <w:color w:val="auto"/>
          <w:sz w:val="24"/>
          <w:highlight w:val="none"/>
        </w:rPr>
        <w:t>广西政府采购云平台合同编号：</w:t>
      </w:r>
    </w:p>
    <w:p w14:paraId="2DF8FEEA">
      <w:pPr>
        <w:spacing w:line="360" w:lineRule="auto"/>
        <w:jc w:val="center"/>
        <w:rPr>
          <w:rFonts w:hint="eastAsia" w:ascii="仿宋" w:hAnsi="仿宋" w:eastAsia="仿宋" w:cs="仿宋"/>
          <w:b/>
          <w:bCs/>
          <w:color w:val="auto"/>
          <w:sz w:val="52"/>
          <w:highlight w:val="none"/>
        </w:rPr>
      </w:pPr>
    </w:p>
    <w:p w14:paraId="6CD7B946">
      <w:pPr>
        <w:spacing w:line="360" w:lineRule="auto"/>
        <w:jc w:val="center"/>
        <w:rPr>
          <w:rFonts w:hint="eastAsia" w:ascii="仿宋" w:hAnsi="仿宋" w:eastAsia="仿宋" w:cs="仿宋"/>
          <w:b/>
          <w:bCs/>
          <w:color w:val="auto"/>
          <w:sz w:val="52"/>
          <w:highlight w:val="none"/>
        </w:rPr>
      </w:pPr>
      <w:r>
        <w:rPr>
          <w:rFonts w:hint="eastAsia" w:ascii="仿宋" w:hAnsi="仿宋" w:eastAsia="仿宋" w:cs="仿宋"/>
          <w:b/>
          <w:bCs/>
          <w:color w:val="auto"/>
          <w:sz w:val="52"/>
          <w:highlight w:val="none"/>
        </w:rPr>
        <w:t>南 宁 市 政 府 采 购</w:t>
      </w:r>
    </w:p>
    <w:p w14:paraId="3FB11F25">
      <w:pPr>
        <w:spacing w:line="360" w:lineRule="auto"/>
        <w:ind w:firstLine="480" w:firstLineChars="200"/>
        <w:rPr>
          <w:rFonts w:hint="eastAsia" w:ascii="仿宋" w:hAnsi="仿宋" w:eastAsia="仿宋" w:cs="仿宋"/>
          <w:color w:val="auto"/>
          <w:highlight w:val="none"/>
        </w:rPr>
      </w:pPr>
    </w:p>
    <w:p w14:paraId="1555D4F7">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 xml:space="preserve">                                                 </w:t>
      </w:r>
    </w:p>
    <w:p w14:paraId="658374BB">
      <w:pPr>
        <w:spacing w:line="360" w:lineRule="auto"/>
        <w:jc w:val="center"/>
        <w:rPr>
          <w:rFonts w:hint="eastAsia" w:ascii="仿宋" w:hAnsi="仿宋" w:eastAsia="仿宋" w:cs="仿宋"/>
          <w:b/>
          <w:bCs/>
          <w:color w:val="auto"/>
          <w:sz w:val="44"/>
          <w:highlight w:val="none"/>
        </w:rPr>
      </w:pPr>
      <w:bookmarkStart w:id="113" w:name="PO_3000001868_PM002_15"/>
      <w:r>
        <w:rPr>
          <w:rFonts w:hint="eastAsia" w:ascii="仿宋" w:hAnsi="仿宋" w:eastAsia="仿宋" w:cs="仿宋"/>
          <w:b/>
          <w:bCs/>
          <w:color w:val="auto"/>
          <w:sz w:val="44"/>
          <w:highlight w:val="none"/>
          <w:u w:val="single"/>
        </w:rPr>
        <w:t>[项目名称]</w:t>
      </w:r>
      <w:bookmarkEnd w:id="113"/>
      <w:r>
        <w:rPr>
          <w:rFonts w:hint="eastAsia" w:ascii="仿宋" w:hAnsi="仿宋" w:eastAsia="仿宋" w:cs="仿宋"/>
          <w:b/>
          <w:bCs/>
          <w:color w:val="auto"/>
          <w:sz w:val="44"/>
          <w:highlight w:val="none"/>
        </w:rPr>
        <w:t>合同</w:t>
      </w:r>
    </w:p>
    <w:p w14:paraId="12ACDCD6">
      <w:pPr>
        <w:spacing w:line="360" w:lineRule="auto"/>
        <w:jc w:val="center"/>
        <w:rPr>
          <w:rFonts w:hint="eastAsia" w:ascii="仿宋" w:hAnsi="仿宋" w:eastAsia="仿宋" w:cs="仿宋"/>
          <w:b/>
          <w:bCs/>
          <w:color w:val="auto"/>
          <w:sz w:val="44"/>
          <w:highlight w:val="none"/>
        </w:rPr>
      </w:pPr>
    </w:p>
    <w:p w14:paraId="2F7B1215">
      <w:pPr>
        <w:spacing w:line="360" w:lineRule="auto"/>
        <w:ind w:firstLine="3507" w:firstLineChars="794"/>
        <w:rPr>
          <w:rFonts w:hint="eastAsia" w:ascii="仿宋" w:hAnsi="仿宋" w:eastAsia="仿宋" w:cs="仿宋"/>
          <w:b/>
          <w:bCs/>
          <w:color w:val="auto"/>
          <w:sz w:val="44"/>
          <w:highlight w:val="none"/>
        </w:rPr>
      </w:pPr>
    </w:p>
    <w:p w14:paraId="0690D938">
      <w:pPr>
        <w:spacing w:line="360" w:lineRule="auto"/>
        <w:ind w:firstLine="3507" w:firstLineChars="794"/>
        <w:rPr>
          <w:rFonts w:hint="eastAsia" w:ascii="仿宋" w:hAnsi="仿宋" w:eastAsia="仿宋" w:cs="仿宋"/>
          <w:b/>
          <w:bCs/>
          <w:color w:val="auto"/>
          <w:sz w:val="44"/>
          <w:highlight w:val="none"/>
        </w:rPr>
      </w:pPr>
    </w:p>
    <w:p w14:paraId="779334B0">
      <w:pPr>
        <w:ind w:firstLine="1995" w:firstLineChars="552"/>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采购项目编号</w:t>
      </w:r>
      <w:bookmarkStart w:id="114" w:name="PO_3000001868_PM001_12"/>
      <w:r>
        <w:rPr>
          <w:rFonts w:hint="eastAsia" w:ascii="仿宋" w:hAnsi="仿宋" w:eastAsia="仿宋" w:cs="仿宋"/>
          <w:b/>
          <w:color w:val="auto"/>
          <w:sz w:val="36"/>
          <w:szCs w:val="36"/>
          <w:highlight w:val="none"/>
        </w:rPr>
        <w:t>：</w:t>
      </w:r>
      <w:r>
        <w:rPr>
          <w:rFonts w:hint="eastAsia" w:ascii="仿宋" w:hAnsi="仿宋" w:eastAsia="仿宋" w:cs="仿宋"/>
          <w:b/>
          <w:color w:val="auto"/>
          <w:sz w:val="36"/>
          <w:szCs w:val="36"/>
          <w:highlight w:val="none"/>
          <w:u w:val="single"/>
        </w:rPr>
        <w:t>[项目编号]</w:t>
      </w:r>
      <w:bookmarkEnd w:id="114"/>
      <w:r>
        <w:rPr>
          <w:rFonts w:hint="eastAsia" w:ascii="仿宋" w:hAnsi="仿宋" w:eastAsia="仿宋" w:cs="仿宋"/>
          <w:b/>
          <w:color w:val="auto"/>
          <w:sz w:val="36"/>
          <w:szCs w:val="36"/>
          <w:highlight w:val="none"/>
          <w:u w:val="single"/>
        </w:rPr>
        <w:t xml:space="preserve">  </w:t>
      </w:r>
    </w:p>
    <w:p w14:paraId="306EECEF">
      <w:pPr>
        <w:ind w:firstLine="1995" w:firstLineChars="552"/>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采购计划编号：</w:t>
      </w:r>
      <w:r>
        <w:rPr>
          <w:rFonts w:hint="eastAsia" w:ascii="仿宋" w:hAnsi="仿宋" w:eastAsia="仿宋" w:cs="仿宋"/>
          <w:b/>
          <w:color w:val="auto"/>
          <w:sz w:val="36"/>
          <w:szCs w:val="36"/>
          <w:highlight w:val="none"/>
          <w:u w:val="single"/>
        </w:rPr>
        <w:t xml:space="preserve"> </w:t>
      </w:r>
      <w:bookmarkStart w:id="115" w:name="PO_3000001868_PM001WMC001"/>
      <w:r>
        <w:rPr>
          <w:rFonts w:hint="eastAsia" w:ascii="仿宋" w:hAnsi="仿宋" w:eastAsia="仿宋" w:cs="仿宋"/>
          <w:b/>
          <w:color w:val="auto"/>
          <w:sz w:val="36"/>
          <w:szCs w:val="36"/>
          <w:highlight w:val="none"/>
          <w:u w:val="single"/>
        </w:rPr>
        <w:t>[采购计划文号（5）]</w:t>
      </w:r>
      <w:bookmarkEnd w:id="115"/>
      <w:r>
        <w:rPr>
          <w:rFonts w:hint="eastAsia" w:ascii="仿宋" w:hAnsi="仿宋" w:eastAsia="仿宋" w:cs="仿宋"/>
          <w:b/>
          <w:color w:val="auto"/>
          <w:sz w:val="36"/>
          <w:szCs w:val="36"/>
          <w:highlight w:val="none"/>
          <w:u w:val="single"/>
        </w:rPr>
        <w:t xml:space="preserve"> </w:t>
      </w:r>
    </w:p>
    <w:p w14:paraId="22F64F71">
      <w:pPr>
        <w:ind w:firstLine="1308" w:firstLineChars="545"/>
        <w:rPr>
          <w:rFonts w:hint="eastAsia" w:ascii="仿宋" w:hAnsi="仿宋" w:eastAsia="仿宋" w:cs="仿宋"/>
          <w:color w:val="auto"/>
          <w:sz w:val="24"/>
          <w:highlight w:val="none"/>
        </w:rPr>
      </w:pPr>
    </w:p>
    <w:p w14:paraId="6407B3F4">
      <w:pPr>
        <w:ind w:firstLine="1995" w:firstLineChars="552"/>
        <w:rPr>
          <w:rFonts w:hint="eastAsia" w:ascii="仿宋" w:hAnsi="仿宋" w:eastAsia="仿宋" w:cs="仿宋"/>
          <w:b/>
          <w:color w:val="auto"/>
          <w:sz w:val="36"/>
          <w:szCs w:val="36"/>
          <w:highlight w:val="none"/>
          <w:u w:val="single"/>
        </w:rPr>
      </w:pPr>
    </w:p>
    <w:p w14:paraId="1AA42AC3">
      <w:pPr>
        <w:ind w:firstLine="1995" w:firstLineChars="552"/>
        <w:rPr>
          <w:rFonts w:hint="eastAsia" w:ascii="仿宋" w:hAnsi="仿宋" w:eastAsia="仿宋" w:cs="仿宋"/>
          <w:b/>
          <w:color w:val="auto"/>
          <w:sz w:val="36"/>
          <w:szCs w:val="36"/>
          <w:highlight w:val="none"/>
          <w:u w:val="single"/>
        </w:rPr>
      </w:pPr>
    </w:p>
    <w:p w14:paraId="2931C82F">
      <w:pPr>
        <w:tabs>
          <w:tab w:val="left" w:pos="7200"/>
        </w:tabs>
        <w:spacing w:line="360" w:lineRule="auto"/>
        <w:ind w:firstLine="1995" w:firstLineChars="552"/>
        <w:rPr>
          <w:rFonts w:hint="eastAsia" w:ascii="仿宋" w:hAnsi="仿宋" w:eastAsia="仿宋" w:cs="仿宋"/>
          <w:b/>
          <w:color w:val="auto"/>
          <w:sz w:val="36"/>
          <w:szCs w:val="36"/>
          <w:highlight w:val="none"/>
          <w:u w:val="single"/>
        </w:rPr>
      </w:pPr>
      <w:r>
        <w:rPr>
          <w:rFonts w:hint="eastAsia" w:ascii="仿宋" w:hAnsi="仿宋" w:eastAsia="仿宋" w:cs="仿宋"/>
          <w:b/>
          <w:color w:val="auto"/>
          <w:sz w:val="36"/>
          <w:szCs w:val="36"/>
          <w:highlight w:val="none"/>
        </w:rPr>
        <w:t>采购人（甲方）：</w:t>
      </w:r>
      <w:r>
        <w:rPr>
          <w:rFonts w:hint="eastAsia" w:ascii="仿宋" w:hAnsi="仿宋" w:eastAsia="仿宋" w:cs="仿宋"/>
          <w:b/>
          <w:color w:val="auto"/>
          <w:sz w:val="36"/>
          <w:szCs w:val="36"/>
          <w:highlight w:val="none"/>
          <w:u w:val="single"/>
        </w:rPr>
        <w:t xml:space="preserve"> </w:t>
      </w:r>
      <w:bookmarkStart w:id="116" w:name="PO_3000001868_PM026_4"/>
      <w:r>
        <w:rPr>
          <w:rFonts w:hint="eastAsia" w:ascii="仿宋" w:hAnsi="仿宋" w:eastAsia="仿宋" w:cs="仿宋"/>
          <w:b/>
          <w:color w:val="auto"/>
          <w:sz w:val="36"/>
          <w:szCs w:val="36"/>
          <w:highlight w:val="none"/>
          <w:u w:val="single"/>
        </w:rPr>
        <w:t>[采购人]</w:t>
      </w:r>
      <w:bookmarkEnd w:id="116"/>
      <w:r>
        <w:rPr>
          <w:rFonts w:hint="eastAsia" w:ascii="仿宋" w:hAnsi="仿宋" w:eastAsia="仿宋" w:cs="仿宋"/>
          <w:b/>
          <w:color w:val="auto"/>
          <w:sz w:val="36"/>
          <w:szCs w:val="36"/>
          <w:highlight w:val="none"/>
          <w:u w:val="single"/>
        </w:rPr>
        <w:t xml:space="preserve">  </w:t>
      </w:r>
    </w:p>
    <w:p w14:paraId="335F4F80">
      <w:pPr>
        <w:tabs>
          <w:tab w:val="left" w:pos="7380"/>
        </w:tabs>
        <w:spacing w:line="360" w:lineRule="auto"/>
        <w:ind w:firstLine="1995" w:firstLineChars="552"/>
        <w:rPr>
          <w:rFonts w:hint="eastAsia" w:ascii="仿宋" w:hAnsi="仿宋" w:eastAsia="仿宋" w:cs="仿宋"/>
          <w:b/>
          <w:bCs/>
          <w:color w:val="auto"/>
          <w:sz w:val="44"/>
          <w:highlight w:val="none"/>
        </w:rPr>
      </w:pPr>
      <w:r>
        <w:rPr>
          <w:rFonts w:hint="eastAsia" w:ascii="仿宋" w:hAnsi="仿宋" w:eastAsia="仿宋" w:cs="仿宋"/>
          <w:b/>
          <w:color w:val="auto"/>
          <w:sz w:val="36"/>
          <w:szCs w:val="36"/>
          <w:highlight w:val="none"/>
        </w:rPr>
        <w:t>供应商（乙方）：</w:t>
      </w:r>
      <w:r>
        <w:rPr>
          <w:rFonts w:hint="eastAsia" w:ascii="仿宋" w:hAnsi="仿宋" w:eastAsia="仿宋" w:cs="仿宋"/>
          <w:b/>
          <w:color w:val="auto"/>
          <w:sz w:val="36"/>
          <w:szCs w:val="36"/>
          <w:highlight w:val="none"/>
          <w:u w:val="single"/>
        </w:rPr>
        <w:t xml:space="preserve"> </w:t>
      </w:r>
      <w:r>
        <w:rPr>
          <w:rFonts w:hint="eastAsia" w:ascii="仿宋" w:hAnsi="仿宋" w:eastAsia="仿宋" w:cs="仿宋"/>
          <w:color w:val="auto"/>
          <w:sz w:val="24"/>
          <w:highlight w:val="none"/>
          <w:u w:val="single"/>
        </w:rPr>
        <w:t>（成交供应商名称）</w:t>
      </w:r>
      <w:r>
        <w:rPr>
          <w:rFonts w:hint="eastAsia" w:ascii="仿宋" w:hAnsi="仿宋" w:eastAsia="仿宋" w:cs="仿宋"/>
          <w:b/>
          <w:color w:val="auto"/>
          <w:sz w:val="36"/>
          <w:szCs w:val="36"/>
          <w:highlight w:val="none"/>
          <w:u w:val="single"/>
        </w:rPr>
        <w:t xml:space="preserve"> </w:t>
      </w:r>
    </w:p>
    <w:p w14:paraId="04750892">
      <w:pPr>
        <w:tabs>
          <w:tab w:val="left" w:pos="7380"/>
        </w:tabs>
        <w:spacing w:line="360" w:lineRule="auto"/>
        <w:rPr>
          <w:rFonts w:hint="eastAsia" w:ascii="仿宋" w:hAnsi="仿宋" w:eastAsia="仿宋" w:cs="仿宋"/>
          <w:b/>
          <w:bCs/>
          <w:color w:val="auto"/>
          <w:sz w:val="44"/>
          <w:highlight w:val="none"/>
        </w:rPr>
      </w:pPr>
    </w:p>
    <w:p w14:paraId="64E95349">
      <w:pPr>
        <w:tabs>
          <w:tab w:val="left" w:pos="7380"/>
        </w:tabs>
        <w:spacing w:line="360" w:lineRule="auto"/>
        <w:ind w:firstLine="3360" w:firstLineChars="14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签订时间：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p>
    <w:p w14:paraId="1932CF48">
      <w:pPr>
        <w:snapToGrid w:val="0"/>
        <w:spacing w:line="360" w:lineRule="auto"/>
        <w:jc w:val="center"/>
        <w:rPr>
          <w:rFonts w:hint="eastAsia" w:ascii="仿宋" w:hAnsi="仿宋" w:eastAsia="仿宋" w:cs="仿宋"/>
          <w:b/>
          <w:color w:val="auto"/>
          <w:sz w:val="24"/>
          <w:highlight w:val="none"/>
        </w:rPr>
      </w:pPr>
      <w:r>
        <w:rPr>
          <w:rFonts w:hint="eastAsia" w:ascii="仿宋" w:hAnsi="仿宋" w:eastAsia="仿宋" w:cs="仿宋"/>
          <w:b/>
          <w:bCs/>
          <w:color w:val="auto"/>
          <w:sz w:val="44"/>
          <w:highlight w:val="none"/>
        </w:rPr>
        <w:br w:type="page"/>
      </w:r>
      <w:r>
        <w:rPr>
          <w:rFonts w:hint="eastAsia" w:ascii="仿宋" w:hAnsi="仿宋" w:eastAsia="仿宋" w:cs="仿宋"/>
          <w:b/>
          <w:color w:val="auto"/>
          <w:sz w:val="24"/>
          <w:highlight w:val="none"/>
        </w:rPr>
        <w:t>合同目录</w:t>
      </w:r>
    </w:p>
    <w:p w14:paraId="70E2F7AA">
      <w:pPr>
        <w:snapToGrid w:val="0"/>
        <w:spacing w:line="360" w:lineRule="auto"/>
        <w:jc w:val="center"/>
        <w:rPr>
          <w:rFonts w:hint="eastAsia" w:ascii="仿宋" w:hAnsi="仿宋" w:eastAsia="仿宋" w:cs="仿宋"/>
          <w:b/>
          <w:bCs/>
          <w:color w:val="auto"/>
          <w:sz w:val="44"/>
          <w:highlight w:val="none"/>
        </w:rPr>
      </w:pPr>
    </w:p>
    <w:p w14:paraId="759689FB">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一、</w:t>
      </w:r>
      <w:r>
        <w:rPr>
          <w:rFonts w:hint="eastAsia" w:ascii="仿宋" w:hAnsi="仿宋" w:eastAsia="仿宋" w:cs="仿宋"/>
          <w:color w:val="auto"/>
          <w:sz w:val="24"/>
          <w:highlight w:val="none"/>
        </w:rPr>
        <w:t>第一部分 合同书</w:t>
      </w:r>
      <w:r>
        <w:rPr>
          <w:rFonts w:hint="eastAsia" w:ascii="仿宋" w:hAnsi="仿宋" w:eastAsia="仿宋" w:cs="仿宋"/>
          <w:color w:val="auto"/>
          <w:kern w:val="0"/>
          <w:sz w:val="24"/>
          <w:highlight w:val="none"/>
        </w:rPr>
        <w:t>……………………………………………………………（页码）</w:t>
      </w:r>
    </w:p>
    <w:p w14:paraId="501A9B6A">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二、第二部分 合同一般条款……………………………………………………（页码）</w:t>
      </w:r>
    </w:p>
    <w:p w14:paraId="77FA6C8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三、第三部分 合同专用条款……………………………………………………（页码）</w:t>
      </w:r>
    </w:p>
    <w:p w14:paraId="0CD88E0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四、</w:t>
      </w:r>
      <w:r>
        <w:rPr>
          <w:rFonts w:hint="eastAsia" w:ascii="仿宋" w:hAnsi="仿宋" w:eastAsia="仿宋" w:cs="仿宋"/>
          <w:color w:val="auto"/>
          <w:sz w:val="24"/>
          <w:highlight w:val="none"/>
        </w:rPr>
        <w:t>第四部分 合同附件</w:t>
      </w:r>
      <w:r>
        <w:rPr>
          <w:rFonts w:hint="eastAsia" w:ascii="仿宋" w:hAnsi="仿宋" w:eastAsia="仿宋" w:cs="仿宋"/>
          <w:color w:val="auto"/>
          <w:kern w:val="0"/>
          <w:sz w:val="24"/>
          <w:highlight w:val="none"/>
        </w:rPr>
        <w:t>…………………………………………………………（页码）</w:t>
      </w:r>
    </w:p>
    <w:p w14:paraId="1942503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4.1成交通知书 …………………………………………………………………（页码）</w:t>
      </w:r>
    </w:p>
    <w:p w14:paraId="335840A1">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4.2采购文件服务需求一览表 …………………………………………………（页码）</w:t>
      </w:r>
    </w:p>
    <w:p w14:paraId="1C2E8B8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4.3采购文件的更改通知（如有） ……………………………………………（页码）</w:t>
      </w:r>
    </w:p>
    <w:p w14:paraId="3299DB1E">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4.4响应函 ………………………………………………………………………（页码）</w:t>
      </w:r>
    </w:p>
    <w:p w14:paraId="53030D9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4.5响应报价表 …………………………………………………………………（页码）</w:t>
      </w:r>
    </w:p>
    <w:p w14:paraId="0FA9E2EA">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4.6</w:t>
      </w:r>
      <w:r>
        <w:rPr>
          <w:rFonts w:hint="eastAsia" w:ascii="仿宋" w:hAnsi="仿宋" w:eastAsia="仿宋" w:cs="仿宋"/>
          <w:color w:val="auto"/>
          <w:kern w:val="0"/>
          <w:sz w:val="24"/>
          <w:highlight w:val="none"/>
          <w:lang w:eastAsia="zh-CN"/>
        </w:rPr>
        <w:t>服务需求偏离表</w:t>
      </w:r>
      <w:r>
        <w:rPr>
          <w:rFonts w:hint="eastAsia" w:ascii="仿宋" w:hAnsi="仿宋" w:eastAsia="仿宋" w:cs="仿宋"/>
          <w:color w:val="auto"/>
          <w:kern w:val="0"/>
          <w:sz w:val="24"/>
          <w:highlight w:val="none"/>
        </w:rPr>
        <w:t xml:space="preserve"> ………………………………………………………（页码）</w:t>
      </w:r>
    </w:p>
    <w:p w14:paraId="45F718CC">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4.7商务条款偏离表 ……………………………………………………………（页码）</w:t>
      </w:r>
    </w:p>
    <w:p w14:paraId="75E6218D">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4.8成交供应商澄清函（如有请提供） ………………………………………（页码）</w:t>
      </w:r>
    </w:p>
    <w:p w14:paraId="15E949A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4.9其他与本合同相关的资料（如有请提供） ………………………………（页码）</w:t>
      </w:r>
    </w:p>
    <w:p w14:paraId="112CC03F">
      <w:pPr>
        <w:snapToGrid w:val="0"/>
        <w:spacing w:line="360" w:lineRule="auto"/>
        <w:rPr>
          <w:rFonts w:hint="eastAsia" w:ascii="仿宋" w:hAnsi="仿宋" w:eastAsia="仿宋" w:cs="仿宋"/>
          <w:color w:val="auto"/>
          <w:kern w:val="0"/>
          <w:sz w:val="24"/>
          <w:highlight w:val="none"/>
        </w:rPr>
      </w:pPr>
    </w:p>
    <w:p w14:paraId="711B9403">
      <w:pPr>
        <w:widowControl/>
        <w:jc w:val="left"/>
        <w:rPr>
          <w:rFonts w:hint="eastAsia" w:ascii="仿宋" w:hAnsi="仿宋" w:eastAsia="仿宋" w:cs="仿宋"/>
          <w:color w:val="auto"/>
          <w:kern w:val="0"/>
          <w:sz w:val="32"/>
          <w:szCs w:val="20"/>
          <w:highlight w:val="none"/>
        </w:rPr>
        <w:sectPr>
          <w:pgSz w:w="11911" w:h="16838"/>
          <w:pgMar w:top="1417" w:right="1417" w:bottom="1417" w:left="1417" w:header="720" w:footer="720" w:gutter="0"/>
          <w:cols w:space="720" w:num="1"/>
          <w:docGrid w:linePitch="331" w:charSpace="0"/>
        </w:sectPr>
      </w:pPr>
    </w:p>
    <w:p w14:paraId="02438820">
      <w:pPr>
        <w:pStyle w:val="29"/>
        <w:ind w:firstLine="0" w:firstLineChars="0"/>
        <w:jc w:val="center"/>
        <w:outlineLvl w:val="1"/>
        <w:rPr>
          <w:rFonts w:hint="eastAsia" w:ascii="仿宋" w:hAnsi="仿宋" w:eastAsia="仿宋" w:cs="仿宋"/>
          <w:b/>
          <w:color w:val="auto"/>
          <w:sz w:val="28"/>
          <w:szCs w:val="28"/>
          <w:highlight w:val="none"/>
        </w:rPr>
      </w:pPr>
      <w:bookmarkStart w:id="117" w:name="_Toc14403"/>
      <w:bookmarkStart w:id="118" w:name="_Toc80205944"/>
      <w:bookmarkStart w:id="119" w:name="_Toc21240"/>
      <w:r>
        <w:rPr>
          <w:rFonts w:hint="eastAsia" w:ascii="仿宋" w:hAnsi="仿宋" w:eastAsia="仿宋" w:cs="仿宋"/>
          <w:b/>
          <w:color w:val="auto"/>
          <w:sz w:val="28"/>
          <w:szCs w:val="28"/>
          <w:highlight w:val="none"/>
        </w:rPr>
        <w:t>第一部分 合同书</w:t>
      </w:r>
      <w:bookmarkEnd w:id="117"/>
      <w:bookmarkEnd w:id="118"/>
      <w:bookmarkEnd w:id="119"/>
    </w:p>
    <w:p w14:paraId="001EFBB4">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val="zh-CN"/>
        </w:rPr>
        <w:t>202</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lang w:val="zh-CN"/>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val="zh-CN"/>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lang w:eastAsia="zh-CN"/>
        </w:rPr>
        <w:t>南宁市市场监督管理局经济技术开发区分局</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竞争性磋商方式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lang w:eastAsia="zh-CN"/>
        </w:rPr>
        <w:t>南宁市市场监督管理局经济技术开发区分局2026年食品安全监督抽检服务项目</w:t>
      </w:r>
      <w:r>
        <w:rPr>
          <w:rFonts w:hint="eastAsia" w:ascii="仿宋" w:hAnsi="仿宋" w:eastAsia="仿宋" w:cs="仿宋"/>
          <w:color w:val="auto"/>
          <w:sz w:val="24"/>
          <w:highlight w:val="none"/>
        </w:rPr>
        <w:t>进行了采购。经</w:t>
      </w:r>
      <w:r>
        <w:rPr>
          <w:rFonts w:hint="eastAsia" w:ascii="仿宋" w:hAnsi="仿宋" w:eastAsia="仿宋" w:cs="仿宋"/>
          <w:color w:val="auto"/>
          <w:sz w:val="24"/>
          <w:highlight w:val="none"/>
          <w:u w:val="single"/>
        </w:rPr>
        <w:t>磋商小组</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（成交供应商名称）</w:t>
      </w:r>
      <w:r>
        <w:rPr>
          <w:rFonts w:hint="eastAsia" w:ascii="仿宋" w:hAnsi="仿宋" w:eastAsia="仿宋" w:cs="仿宋"/>
          <w:color w:val="auto"/>
          <w:sz w:val="24"/>
          <w:highlight w:val="none"/>
        </w:rPr>
        <w:t>为该项目成交供应商。现于成交通知书发出之日起</w:t>
      </w:r>
      <w:r>
        <w:rPr>
          <w:rFonts w:hint="eastAsia" w:ascii="仿宋" w:hAnsi="仿宋" w:eastAsia="仿宋" w:cs="仿宋"/>
          <w:color w:val="auto"/>
          <w:sz w:val="24"/>
          <w:highlight w:val="none"/>
          <w:u w:val="single"/>
        </w:rPr>
        <w:t>25</w:t>
      </w:r>
      <w:r>
        <w:rPr>
          <w:rFonts w:hint="eastAsia" w:ascii="仿宋" w:hAnsi="仿宋" w:eastAsia="仿宋" w:cs="仿宋"/>
          <w:color w:val="auto"/>
          <w:sz w:val="24"/>
          <w:highlight w:val="none"/>
        </w:rPr>
        <w:t>日内，按照采购文件确定的事项签订本合同。</w:t>
      </w:r>
    </w:p>
    <w:p w14:paraId="004CA61D">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lang w:eastAsia="zh-CN"/>
        </w:rPr>
        <w:t>南宁市市场监督管理局经济技术开发区分局</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（成交供应商名称）</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104FAAA3">
      <w:pPr>
        <w:spacing w:line="384" w:lineRule="auto"/>
        <w:ind w:firstLine="482" w:firstLineChars="200"/>
        <w:rPr>
          <w:rFonts w:hint="eastAsia" w:ascii="仿宋" w:hAnsi="仿宋" w:eastAsia="仿宋" w:cs="仿宋"/>
          <w:b/>
          <w:color w:val="auto"/>
          <w:sz w:val="24"/>
          <w:highlight w:val="none"/>
        </w:rPr>
      </w:pPr>
      <w:bookmarkStart w:id="120" w:name="_Toc2232"/>
      <w:bookmarkStart w:id="121" w:name="_Toc24059"/>
      <w:bookmarkStart w:id="122" w:name="_Toc3029"/>
      <w:r>
        <w:rPr>
          <w:rFonts w:hint="eastAsia" w:ascii="仿宋" w:hAnsi="仿宋" w:eastAsia="仿宋" w:cs="仿宋"/>
          <w:b/>
          <w:color w:val="auto"/>
          <w:sz w:val="24"/>
          <w:highlight w:val="none"/>
        </w:rPr>
        <w:t>1.1 合同组成部分</w:t>
      </w:r>
      <w:bookmarkEnd w:id="120"/>
      <w:bookmarkEnd w:id="121"/>
      <w:bookmarkEnd w:id="122"/>
    </w:p>
    <w:p w14:paraId="0CE667AC">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下列文件为本合同的组成部分，并构成一个整体，需综合解释、相互补充。如果下列文件内容出现不一致的情形，在保证按照采购文件确定事项的前提下，组成本合同的多个文件的优先适用顺序如下：</w:t>
      </w:r>
    </w:p>
    <w:p w14:paraId="7F1EA19B">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6B6053AA">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1.1.2 成交通知书；</w:t>
      </w:r>
    </w:p>
    <w:p w14:paraId="2B3C19E1">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1.1.3 竞标文件及“响应报价”（含澄清或者说明文件）；</w:t>
      </w:r>
    </w:p>
    <w:p w14:paraId="4654AC30">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5D07F6A2">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19BE0551">
      <w:pPr>
        <w:spacing w:line="384" w:lineRule="auto"/>
        <w:ind w:firstLine="482" w:firstLineChars="200"/>
        <w:rPr>
          <w:rFonts w:hint="eastAsia" w:ascii="仿宋" w:hAnsi="仿宋" w:eastAsia="仿宋" w:cs="仿宋"/>
          <w:b/>
          <w:color w:val="auto"/>
          <w:sz w:val="24"/>
          <w:highlight w:val="none"/>
        </w:rPr>
      </w:pPr>
      <w:bookmarkStart w:id="123" w:name="_Toc21295"/>
      <w:bookmarkStart w:id="124" w:name="_Toc24300"/>
      <w:bookmarkStart w:id="125" w:name="_Toc27126"/>
      <w:r>
        <w:rPr>
          <w:rFonts w:hint="eastAsia" w:ascii="仿宋" w:hAnsi="仿宋" w:eastAsia="仿宋" w:cs="仿宋"/>
          <w:b/>
          <w:color w:val="auto"/>
          <w:sz w:val="24"/>
          <w:highlight w:val="none"/>
        </w:rPr>
        <w:t>1.2 标的物</w:t>
      </w:r>
      <w:bookmarkEnd w:id="123"/>
      <w:bookmarkEnd w:id="124"/>
      <w:bookmarkEnd w:id="125"/>
    </w:p>
    <w:p w14:paraId="2F483C2F">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1.2.1 标的物1信息</w:t>
      </w:r>
    </w:p>
    <w:p w14:paraId="39F9D9FF">
      <w:pPr>
        <w:spacing w:line="384"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1.2.1.1名称：</w:t>
      </w:r>
      <w:r>
        <w:rPr>
          <w:rFonts w:hint="eastAsia" w:ascii="仿宋" w:hAnsi="仿宋" w:eastAsia="仿宋" w:cs="仿宋"/>
          <w:color w:val="auto"/>
          <w:sz w:val="24"/>
          <w:highlight w:val="none"/>
          <w:u w:val="single"/>
          <w:lang w:eastAsia="zh-CN"/>
        </w:rPr>
        <w:t>南宁市市场监督管理局经济技术开发区分局2026年食品安全监督抽检服务项目</w:t>
      </w:r>
      <w:r>
        <w:rPr>
          <w:rFonts w:hint="eastAsia" w:ascii="仿宋" w:hAnsi="仿宋" w:eastAsia="仿宋" w:cs="仿宋"/>
          <w:color w:val="auto"/>
          <w:sz w:val="24"/>
          <w:highlight w:val="none"/>
        </w:rPr>
        <w:t>；</w:t>
      </w:r>
    </w:p>
    <w:p w14:paraId="3ED14022">
      <w:pPr>
        <w:spacing w:line="384"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1.2.1.2数量：</w:t>
      </w:r>
      <w:r>
        <w:rPr>
          <w:rFonts w:hint="eastAsia" w:ascii="仿宋" w:hAnsi="仿宋" w:eastAsia="仿宋" w:cs="仿宋"/>
          <w:color w:val="auto"/>
          <w:sz w:val="24"/>
          <w:highlight w:val="none"/>
          <w:u w:val="single"/>
        </w:rPr>
        <w:t>1项</w:t>
      </w:r>
      <w:r>
        <w:rPr>
          <w:rFonts w:hint="eastAsia" w:ascii="仿宋" w:hAnsi="仿宋" w:eastAsia="仿宋" w:cs="仿宋"/>
          <w:color w:val="auto"/>
          <w:sz w:val="24"/>
          <w:highlight w:val="none"/>
        </w:rPr>
        <w:t>；</w:t>
      </w:r>
    </w:p>
    <w:p w14:paraId="60C4CEA4">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1.2.1.3质量：</w:t>
      </w:r>
      <w:r>
        <w:rPr>
          <w:rFonts w:hint="eastAsia" w:ascii="仿宋" w:hAnsi="仿宋" w:eastAsia="仿宋" w:cs="仿宋"/>
          <w:color w:val="auto"/>
          <w:sz w:val="24"/>
          <w:highlight w:val="none"/>
          <w:u w:val="single"/>
        </w:rPr>
        <w:t>合格。</w:t>
      </w:r>
    </w:p>
    <w:p w14:paraId="49F02F9B">
      <w:pPr>
        <w:spacing w:line="384" w:lineRule="auto"/>
        <w:ind w:firstLine="482" w:firstLineChars="200"/>
        <w:rPr>
          <w:rFonts w:hint="eastAsia" w:ascii="仿宋" w:hAnsi="仿宋" w:eastAsia="仿宋" w:cs="仿宋"/>
          <w:b/>
          <w:color w:val="auto"/>
          <w:sz w:val="24"/>
          <w:highlight w:val="none"/>
        </w:rPr>
      </w:pPr>
      <w:bookmarkStart w:id="126" w:name="_Toc21631"/>
      <w:bookmarkStart w:id="127" w:name="_Toc23292"/>
      <w:bookmarkStart w:id="128" w:name="_Toc21551"/>
      <w:r>
        <w:rPr>
          <w:rFonts w:hint="eastAsia" w:ascii="仿宋" w:hAnsi="仿宋" w:eastAsia="仿宋" w:cs="仿宋"/>
          <w:b/>
          <w:color w:val="auto"/>
          <w:sz w:val="24"/>
          <w:highlight w:val="none"/>
        </w:rPr>
        <w:t>1.3 价款</w:t>
      </w:r>
      <w:bookmarkEnd w:id="126"/>
      <w:bookmarkEnd w:id="127"/>
      <w:bookmarkEnd w:id="128"/>
    </w:p>
    <w:p w14:paraId="0B61DFC7">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本合同总价为：人民币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人民币，含税）。</w:t>
      </w:r>
    </w:p>
    <w:p w14:paraId="0D663CC7">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分项价格：</w:t>
      </w:r>
    </w:p>
    <w:p w14:paraId="301B50B7">
      <w:pPr>
        <w:spacing w:line="384" w:lineRule="auto"/>
        <w:ind w:firstLine="480" w:firstLineChars="200"/>
        <w:rPr>
          <w:rFonts w:hint="eastAsia" w:ascii="仿宋" w:hAnsi="仿宋" w:eastAsia="仿宋" w:cs="仿宋"/>
          <w:color w:val="auto"/>
          <w:sz w:val="24"/>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5997"/>
        <w:gridCol w:w="1593"/>
      </w:tblGrid>
      <w:tr w14:paraId="333D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51" w:type="dxa"/>
            <w:tcBorders>
              <w:top w:val="single" w:color="auto" w:sz="4" w:space="0"/>
              <w:left w:val="single" w:color="auto" w:sz="4" w:space="0"/>
              <w:bottom w:val="single" w:color="auto" w:sz="4" w:space="0"/>
              <w:right w:val="single" w:color="auto" w:sz="4" w:space="0"/>
            </w:tcBorders>
            <w:vAlign w:val="center"/>
          </w:tcPr>
          <w:p w14:paraId="272F55C2">
            <w:pPr>
              <w:spacing w:line="384"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5997" w:type="dxa"/>
            <w:tcBorders>
              <w:top w:val="single" w:color="auto" w:sz="4" w:space="0"/>
              <w:left w:val="single" w:color="auto" w:sz="4" w:space="0"/>
              <w:bottom w:val="single" w:color="auto" w:sz="4" w:space="0"/>
              <w:right w:val="single" w:color="auto" w:sz="4" w:space="0"/>
            </w:tcBorders>
            <w:vAlign w:val="center"/>
          </w:tcPr>
          <w:p w14:paraId="1B555270">
            <w:pPr>
              <w:spacing w:line="384"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分项名称</w:t>
            </w:r>
          </w:p>
        </w:tc>
        <w:tc>
          <w:tcPr>
            <w:tcW w:w="1593" w:type="dxa"/>
            <w:tcBorders>
              <w:top w:val="single" w:color="auto" w:sz="4" w:space="0"/>
              <w:left w:val="single" w:color="auto" w:sz="4" w:space="0"/>
              <w:bottom w:val="single" w:color="auto" w:sz="4" w:space="0"/>
              <w:right w:val="single" w:color="auto" w:sz="4" w:space="0"/>
            </w:tcBorders>
            <w:vAlign w:val="center"/>
          </w:tcPr>
          <w:p w14:paraId="5082EEED">
            <w:pPr>
              <w:spacing w:line="384"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分项价格</w:t>
            </w:r>
          </w:p>
        </w:tc>
      </w:tr>
      <w:tr w14:paraId="1CF4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951" w:type="dxa"/>
            <w:tcBorders>
              <w:top w:val="single" w:color="auto" w:sz="4" w:space="0"/>
              <w:left w:val="single" w:color="auto" w:sz="4" w:space="0"/>
              <w:bottom w:val="single" w:color="auto" w:sz="4" w:space="0"/>
              <w:right w:val="single" w:color="auto" w:sz="4" w:space="0"/>
            </w:tcBorders>
            <w:vAlign w:val="center"/>
          </w:tcPr>
          <w:p w14:paraId="7FE2376D">
            <w:pPr>
              <w:spacing w:line="384"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997" w:type="dxa"/>
            <w:tcBorders>
              <w:top w:val="single" w:color="auto" w:sz="4" w:space="0"/>
              <w:left w:val="single" w:color="auto" w:sz="4" w:space="0"/>
              <w:bottom w:val="single" w:color="auto" w:sz="4" w:space="0"/>
              <w:right w:val="single" w:color="auto" w:sz="4" w:space="0"/>
            </w:tcBorders>
            <w:vAlign w:val="center"/>
          </w:tcPr>
          <w:p w14:paraId="14C428CF">
            <w:pPr>
              <w:spacing w:line="384"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南宁市市场监督管理局经济技术开发区分局2026年食品安全监督抽检服务项目</w:t>
            </w:r>
          </w:p>
        </w:tc>
        <w:tc>
          <w:tcPr>
            <w:tcW w:w="1593" w:type="dxa"/>
            <w:tcBorders>
              <w:top w:val="single" w:color="auto" w:sz="4" w:space="0"/>
              <w:left w:val="single" w:color="auto" w:sz="4" w:space="0"/>
              <w:bottom w:val="single" w:color="auto" w:sz="4" w:space="0"/>
              <w:right w:val="single" w:color="auto" w:sz="4" w:space="0"/>
            </w:tcBorders>
            <w:vAlign w:val="center"/>
          </w:tcPr>
          <w:p w14:paraId="0F155EAF">
            <w:pPr>
              <w:spacing w:line="384" w:lineRule="auto"/>
              <w:jc w:val="center"/>
              <w:rPr>
                <w:rFonts w:hint="eastAsia" w:ascii="仿宋" w:hAnsi="仿宋" w:eastAsia="仿宋" w:cs="仿宋"/>
                <w:color w:val="auto"/>
                <w:sz w:val="24"/>
                <w:highlight w:val="none"/>
              </w:rPr>
            </w:pPr>
          </w:p>
        </w:tc>
      </w:tr>
      <w:tr w14:paraId="1185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6948" w:type="dxa"/>
            <w:gridSpan w:val="2"/>
            <w:tcBorders>
              <w:top w:val="single" w:color="auto" w:sz="4" w:space="0"/>
              <w:left w:val="single" w:color="auto" w:sz="4" w:space="0"/>
              <w:bottom w:val="single" w:color="auto" w:sz="4" w:space="0"/>
              <w:right w:val="single" w:color="auto" w:sz="4" w:space="0"/>
            </w:tcBorders>
            <w:vAlign w:val="center"/>
          </w:tcPr>
          <w:p w14:paraId="0271BD41">
            <w:pPr>
              <w:spacing w:line="384"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总价</w:t>
            </w:r>
          </w:p>
        </w:tc>
        <w:tc>
          <w:tcPr>
            <w:tcW w:w="1593" w:type="dxa"/>
            <w:tcBorders>
              <w:top w:val="single" w:color="auto" w:sz="4" w:space="0"/>
              <w:left w:val="single" w:color="auto" w:sz="4" w:space="0"/>
              <w:bottom w:val="single" w:color="auto" w:sz="4" w:space="0"/>
              <w:right w:val="single" w:color="auto" w:sz="4" w:space="0"/>
            </w:tcBorders>
            <w:vAlign w:val="center"/>
          </w:tcPr>
          <w:p w14:paraId="273F9ED8">
            <w:pPr>
              <w:spacing w:line="384" w:lineRule="auto"/>
              <w:jc w:val="center"/>
              <w:rPr>
                <w:rFonts w:hint="eastAsia" w:ascii="仿宋" w:hAnsi="仿宋" w:eastAsia="仿宋" w:cs="仿宋"/>
                <w:color w:val="auto"/>
                <w:sz w:val="24"/>
                <w:highlight w:val="none"/>
              </w:rPr>
            </w:pPr>
          </w:p>
        </w:tc>
      </w:tr>
    </w:tbl>
    <w:p w14:paraId="1A998E03">
      <w:pPr>
        <w:spacing w:line="384" w:lineRule="auto"/>
        <w:ind w:firstLine="482" w:firstLineChars="200"/>
        <w:rPr>
          <w:rFonts w:hint="eastAsia" w:ascii="仿宋" w:hAnsi="仿宋" w:eastAsia="仿宋" w:cs="仿宋"/>
          <w:b/>
          <w:color w:val="auto"/>
          <w:sz w:val="24"/>
          <w:highlight w:val="none"/>
        </w:rPr>
      </w:pPr>
      <w:bookmarkStart w:id="129" w:name="_Toc22618"/>
      <w:bookmarkStart w:id="130" w:name="_Toc10340"/>
      <w:bookmarkStart w:id="131" w:name="_Toc1814"/>
      <w:r>
        <w:rPr>
          <w:rFonts w:hint="eastAsia" w:ascii="仿宋" w:hAnsi="仿宋" w:eastAsia="仿宋" w:cs="仿宋"/>
          <w:b/>
          <w:color w:val="auto"/>
          <w:sz w:val="24"/>
          <w:highlight w:val="none"/>
        </w:rPr>
        <w:t>1.4 付款方式和发票开具方式</w:t>
      </w:r>
      <w:bookmarkEnd w:id="129"/>
      <w:bookmarkEnd w:id="130"/>
      <w:bookmarkEnd w:id="131"/>
    </w:p>
    <w:p w14:paraId="1B34DE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z w:val="24"/>
          <w:highlight w:val="none"/>
          <w:u w:val="single"/>
          <w:lang w:val="en-US"/>
        </w:rPr>
      </w:pPr>
      <w:r>
        <w:rPr>
          <w:rFonts w:hint="eastAsia" w:ascii="仿宋" w:hAnsi="仿宋" w:eastAsia="仿宋" w:cs="仿宋"/>
          <w:color w:val="auto"/>
          <w:sz w:val="24"/>
          <w:highlight w:val="none"/>
        </w:rPr>
        <w:t>1.4.1 付款</w:t>
      </w:r>
      <w:r>
        <w:rPr>
          <w:rFonts w:hint="eastAsia" w:ascii="仿宋" w:hAnsi="仿宋" w:eastAsia="仿宋" w:cs="仿宋"/>
          <w:bCs/>
          <w:color w:val="auto"/>
          <w:szCs w:val="21"/>
          <w:highlight w:val="none"/>
          <w:lang w:val="en-US" w:eastAsia="zh-CN"/>
        </w:rPr>
        <w:t>方式：</w:t>
      </w:r>
      <w:r>
        <w:rPr>
          <w:rFonts w:hint="eastAsia" w:ascii="仿宋" w:hAnsi="仿宋" w:eastAsia="仿宋" w:cs="仿宋"/>
          <w:bCs/>
          <w:color w:val="auto"/>
          <w:szCs w:val="21"/>
          <w:highlight w:val="none"/>
          <w:u w:val="single"/>
          <w:lang w:val="en-US" w:eastAsia="zh-CN"/>
        </w:rPr>
        <w:t xml:space="preserve">                 </w:t>
      </w:r>
      <w:r>
        <w:rPr>
          <w:rFonts w:hint="eastAsia" w:ascii="仿宋" w:hAnsi="仿宋" w:eastAsia="仿宋" w:cs="仿宋"/>
          <w:bCs/>
          <w:color w:val="auto"/>
          <w:szCs w:val="21"/>
          <w:highlight w:val="none"/>
          <w:lang w:val="en-US" w:eastAsia="zh-CN"/>
        </w:rPr>
        <w:t>；</w:t>
      </w:r>
    </w:p>
    <w:p w14:paraId="35001C3A">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发票开具方式：</w:t>
      </w:r>
      <w:r>
        <w:rPr>
          <w:rFonts w:hint="eastAsia" w:ascii="仿宋" w:hAnsi="仿宋" w:eastAsia="仿宋" w:cs="仿宋"/>
          <w:color w:val="auto"/>
          <w:sz w:val="24"/>
          <w:highlight w:val="none"/>
          <w:u w:val="single"/>
        </w:rPr>
        <w:t>普通增值税发票</w:t>
      </w:r>
      <w:r>
        <w:rPr>
          <w:rFonts w:hint="eastAsia" w:ascii="仿宋" w:hAnsi="仿宋" w:eastAsia="仿宋" w:cs="仿宋"/>
          <w:color w:val="auto"/>
          <w:sz w:val="24"/>
          <w:highlight w:val="none"/>
        </w:rPr>
        <w:t>。</w:t>
      </w:r>
    </w:p>
    <w:p w14:paraId="033268EB">
      <w:pPr>
        <w:spacing w:line="384" w:lineRule="auto"/>
        <w:ind w:firstLine="482" w:firstLineChars="200"/>
        <w:rPr>
          <w:rFonts w:hint="eastAsia" w:ascii="仿宋" w:hAnsi="仿宋" w:eastAsia="仿宋" w:cs="仿宋"/>
          <w:b/>
          <w:color w:val="auto"/>
          <w:sz w:val="24"/>
          <w:highlight w:val="none"/>
        </w:rPr>
      </w:pPr>
      <w:bookmarkStart w:id="132" w:name="_Toc19304"/>
      <w:bookmarkStart w:id="133" w:name="_Toc32071"/>
      <w:bookmarkStart w:id="134" w:name="_Toc2846"/>
      <w:r>
        <w:rPr>
          <w:rFonts w:hint="eastAsia" w:ascii="仿宋" w:hAnsi="仿宋" w:eastAsia="仿宋" w:cs="仿宋"/>
          <w:b/>
          <w:color w:val="auto"/>
          <w:sz w:val="24"/>
          <w:highlight w:val="none"/>
        </w:rPr>
        <w:t>1.5 标的物交付期限、地点、方式</w:t>
      </w:r>
      <w:bookmarkEnd w:id="132"/>
      <w:bookmarkEnd w:id="133"/>
      <w:bookmarkEnd w:id="134"/>
      <w:r>
        <w:rPr>
          <w:rFonts w:hint="eastAsia" w:ascii="仿宋" w:hAnsi="仿宋" w:eastAsia="仿宋" w:cs="仿宋"/>
          <w:b/>
          <w:color w:val="auto"/>
          <w:sz w:val="24"/>
          <w:highlight w:val="none"/>
        </w:rPr>
        <w:t>和服务期限</w:t>
      </w:r>
    </w:p>
    <w:p w14:paraId="0B638599">
      <w:pPr>
        <w:spacing w:line="384"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1.5.1 服务期限：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p>
    <w:p w14:paraId="1BDB5AF8">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1.5.2 服务地点：</w:t>
      </w:r>
      <w:r>
        <w:rPr>
          <w:rFonts w:hint="eastAsia" w:ascii="仿宋" w:hAnsi="仿宋" w:eastAsia="仿宋" w:cs="仿宋"/>
          <w:color w:val="auto"/>
          <w:sz w:val="24"/>
          <w:highlight w:val="none"/>
          <w:u w:val="single"/>
          <w:lang w:val="en-US" w:eastAsia="zh-CN"/>
        </w:rPr>
        <w:t>南宁市</w:t>
      </w:r>
      <w:r>
        <w:rPr>
          <w:rFonts w:hint="eastAsia" w:ascii="仿宋" w:hAnsi="仿宋" w:eastAsia="仿宋" w:cs="仿宋"/>
          <w:color w:val="auto"/>
          <w:sz w:val="24"/>
          <w:highlight w:val="none"/>
          <w:u w:val="single"/>
        </w:rPr>
        <w:t>内甲方指定地点</w:t>
      </w:r>
      <w:r>
        <w:rPr>
          <w:rFonts w:hint="eastAsia" w:ascii="仿宋" w:hAnsi="仿宋" w:eastAsia="仿宋" w:cs="仿宋"/>
          <w:color w:val="auto"/>
          <w:sz w:val="24"/>
          <w:highlight w:val="none"/>
        </w:rPr>
        <w:t>；</w:t>
      </w:r>
    </w:p>
    <w:p w14:paraId="565B6588">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1.5.3 服务方式：</w:t>
      </w:r>
      <w:r>
        <w:rPr>
          <w:rFonts w:hint="eastAsia" w:ascii="仿宋" w:hAnsi="仿宋" w:eastAsia="仿宋" w:cs="仿宋"/>
          <w:color w:val="auto"/>
          <w:sz w:val="24"/>
          <w:highlight w:val="none"/>
          <w:u w:val="single"/>
        </w:rPr>
        <w:t>现场服务</w:t>
      </w:r>
      <w:r>
        <w:rPr>
          <w:rFonts w:hint="eastAsia" w:ascii="仿宋" w:hAnsi="仿宋" w:eastAsia="仿宋" w:cs="仿宋"/>
          <w:color w:val="auto"/>
          <w:sz w:val="24"/>
          <w:highlight w:val="none"/>
        </w:rPr>
        <w:t>；</w:t>
      </w:r>
    </w:p>
    <w:p w14:paraId="3FB24DF4">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1.5.4 服务要求：</w:t>
      </w:r>
      <w:r>
        <w:rPr>
          <w:rFonts w:hint="eastAsia" w:ascii="仿宋" w:hAnsi="仿宋" w:eastAsia="仿宋" w:cs="仿宋"/>
          <w:color w:val="auto"/>
          <w:sz w:val="24"/>
          <w:highlight w:val="none"/>
          <w:u w:val="single"/>
        </w:rPr>
        <w:t>本项目如有国家相关标准、行业标准、地方标准或者其他标准、规范的，应执行相应的标准、规范。如具体采购需求与标准、规范不一致的，高于标准、规范的按具体采购需求执行，低于标准、规范的按标准、规范执行</w:t>
      </w:r>
      <w:r>
        <w:rPr>
          <w:rFonts w:hint="eastAsia" w:ascii="仿宋" w:hAnsi="仿宋" w:eastAsia="仿宋" w:cs="仿宋"/>
          <w:color w:val="auto"/>
          <w:sz w:val="24"/>
          <w:highlight w:val="none"/>
        </w:rPr>
        <w:t>。</w:t>
      </w:r>
    </w:p>
    <w:p w14:paraId="6CE6BFFD">
      <w:pPr>
        <w:spacing w:line="384" w:lineRule="auto"/>
        <w:ind w:firstLine="482" w:firstLineChars="200"/>
        <w:rPr>
          <w:rFonts w:hint="eastAsia" w:ascii="仿宋" w:hAnsi="仿宋" w:eastAsia="仿宋" w:cs="仿宋"/>
          <w:b/>
          <w:color w:val="auto"/>
          <w:sz w:val="24"/>
          <w:highlight w:val="none"/>
        </w:rPr>
      </w:pPr>
      <w:bookmarkStart w:id="135" w:name="_Toc21423"/>
      <w:bookmarkStart w:id="136" w:name="_Toc19554"/>
      <w:bookmarkStart w:id="137" w:name="_Toc27250"/>
      <w:r>
        <w:rPr>
          <w:rFonts w:hint="eastAsia" w:ascii="仿宋" w:hAnsi="仿宋" w:eastAsia="仿宋" w:cs="仿宋"/>
          <w:b/>
          <w:color w:val="auto"/>
          <w:sz w:val="24"/>
          <w:highlight w:val="none"/>
        </w:rPr>
        <w:t>1.6 违约责任</w:t>
      </w:r>
      <w:bookmarkEnd w:id="135"/>
      <w:bookmarkEnd w:id="136"/>
      <w:bookmarkEnd w:id="137"/>
    </w:p>
    <w:p w14:paraId="2DE215BE">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仿宋" w:hAnsi="仿宋" w:eastAsia="仿宋" w:cs="仿宋"/>
          <w:color w:val="auto"/>
          <w:sz w:val="24"/>
          <w:highlight w:val="none"/>
          <w:u w:val="single"/>
        </w:rPr>
        <w:t>万分之五</w:t>
      </w:r>
      <w:r>
        <w:rPr>
          <w:rFonts w:hint="eastAsia" w:ascii="仿宋" w:hAnsi="仿宋" w:eastAsia="仿宋" w:cs="仿宋"/>
          <w:color w:val="auto"/>
          <w:sz w:val="24"/>
          <w:highlight w:val="none"/>
        </w:rPr>
        <w:t>计算，最高限额为本合同总价的20%；迟延超过3日的，甲方有权在要求乙方支付违约金的同时，书面通知乙方解除本合同，乙方应退回全部已收取的合同价款并按合同总金额的20%向甲方支付违约金；</w:t>
      </w:r>
    </w:p>
    <w:p w14:paraId="58B353B1">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1.6.2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A43C53F">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1.6.3乙方在质保期内未按承诺提供售后等服务的，每发生一次向甲方支付2000元的违约金。</w:t>
      </w:r>
    </w:p>
    <w:p w14:paraId="333DC0DE">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6AB2702">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9BD0731">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1.6.6 如果出现政府采购监督管理部门在处理投诉事项期间，书面通知甲方暂停采购活动的情形，或者询问或质疑事项可能影响中标结果的，导致甲方中止履行合同的情形，均不视为甲方违约。</w:t>
      </w:r>
    </w:p>
    <w:p w14:paraId="3D8EBFC4">
      <w:pPr>
        <w:spacing w:line="384" w:lineRule="auto"/>
        <w:ind w:firstLine="482" w:firstLineChars="200"/>
        <w:rPr>
          <w:rFonts w:hint="eastAsia" w:ascii="仿宋" w:hAnsi="仿宋" w:eastAsia="仿宋" w:cs="仿宋"/>
          <w:b/>
          <w:color w:val="auto"/>
          <w:sz w:val="24"/>
          <w:highlight w:val="none"/>
        </w:rPr>
      </w:pPr>
      <w:bookmarkStart w:id="138" w:name="_Toc15583"/>
      <w:bookmarkStart w:id="139" w:name="_Toc28375"/>
      <w:bookmarkStart w:id="140" w:name="_Toc16021"/>
      <w:r>
        <w:rPr>
          <w:rFonts w:hint="eastAsia" w:ascii="仿宋" w:hAnsi="仿宋" w:eastAsia="仿宋" w:cs="仿宋"/>
          <w:b/>
          <w:color w:val="auto"/>
          <w:sz w:val="24"/>
          <w:highlight w:val="none"/>
        </w:rPr>
        <w:t>1.7 合同争议的解决</w:t>
      </w:r>
      <w:bookmarkEnd w:id="138"/>
      <w:bookmarkEnd w:id="139"/>
      <w:bookmarkEnd w:id="140"/>
    </w:p>
    <w:p w14:paraId="642041D1">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本合同履行过程中发生的任何争议，双方当事人均可通过和解或者调解解决；不愿和解、调解或者和解、调解不成的，可以选择下列第</w:t>
      </w:r>
      <w:r>
        <w:rPr>
          <w:rFonts w:hint="eastAsia" w:ascii="仿宋" w:hAnsi="仿宋" w:eastAsia="仿宋" w:cs="仿宋"/>
          <w:color w:val="auto"/>
          <w:sz w:val="24"/>
          <w:highlight w:val="none"/>
          <w:u w:val="single"/>
        </w:rPr>
        <w:t>2</w:t>
      </w:r>
      <w:r>
        <w:rPr>
          <w:rFonts w:hint="eastAsia" w:ascii="仿宋" w:hAnsi="仿宋" w:eastAsia="仿宋" w:cs="仿宋"/>
          <w:color w:val="auto"/>
          <w:sz w:val="24"/>
          <w:highlight w:val="none"/>
        </w:rPr>
        <w:t>种方式解决：</w:t>
      </w:r>
    </w:p>
    <w:p w14:paraId="2AAB4E1B">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1.7.1 将争议提交</w:t>
      </w:r>
      <w:r>
        <w:rPr>
          <w:rFonts w:hint="eastAsia" w:ascii="仿宋" w:hAnsi="仿宋" w:eastAsia="仿宋" w:cs="仿宋"/>
          <w:color w:val="auto"/>
          <w:sz w:val="24"/>
          <w:highlight w:val="none"/>
          <w:u w:val="single"/>
        </w:rPr>
        <w:t>南宁</w:t>
      </w:r>
      <w:r>
        <w:rPr>
          <w:rFonts w:hint="eastAsia" w:ascii="仿宋" w:hAnsi="仿宋" w:eastAsia="仿宋" w:cs="仿宋"/>
          <w:color w:val="auto"/>
          <w:sz w:val="24"/>
          <w:highlight w:val="none"/>
        </w:rPr>
        <w:t>仲裁委员会依申请仲裁时其现行有效的仲裁规则裁决；</w:t>
      </w:r>
    </w:p>
    <w:p w14:paraId="092DF50A">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1.7.2 向</w:t>
      </w:r>
      <w:r>
        <w:rPr>
          <w:rFonts w:hint="eastAsia" w:ascii="仿宋" w:hAnsi="仿宋" w:eastAsia="仿宋" w:cs="仿宋"/>
          <w:color w:val="auto"/>
          <w:sz w:val="24"/>
          <w:highlight w:val="none"/>
          <w:u w:val="single"/>
        </w:rPr>
        <w:t xml:space="preserve">   甲方所在地  </w:t>
      </w:r>
      <w:r>
        <w:rPr>
          <w:rFonts w:hint="eastAsia" w:ascii="仿宋" w:hAnsi="仿宋" w:eastAsia="仿宋" w:cs="仿宋"/>
          <w:color w:val="auto"/>
          <w:sz w:val="24"/>
          <w:highlight w:val="none"/>
        </w:rPr>
        <w:t>人民法院起诉。</w:t>
      </w:r>
    </w:p>
    <w:p w14:paraId="4732CFE3">
      <w:pPr>
        <w:spacing w:line="384" w:lineRule="auto"/>
        <w:ind w:firstLine="482" w:firstLineChars="200"/>
        <w:rPr>
          <w:rFonts w:hint="eastAsia" w:ascii="仿宋" w:hAnsi="仿宋" w:eastAsia="仿宋" w:cs="仿宋"/>
          <w:b/>
          <w:color w:val="auto"/>
          <w:sz w:val="24"/>
          <w:highlight w:val="none"/>
        </w:rPr>
      </w:pPr>
      <w:bookmarkStart w:id="141" w:name="_Toc11173"/>
      <w:bookmarkStart w:id="142" w:name="_Toc7245"/>
      <w:bookmarkStart w:id="143" w:name="_Toc15322"/>
      <w:r>
        <w:rPr>
          <w:rFonts w:hint="eastAsia" w:ascii="仿宋" w:hAnsi="仿宋" w:eastAsia="仿宋" w:cs="仿宋"/>
          <w:b/>
          <w:color w:val="auto"/>
          <w:sz w:val="24"/>
          <w:highlight w:val="none"/>
        </w:rPr>
        <w:t>1.8 合同生效</w:t>
      </w:r>
      <w:bookmarkEnd w:id="141"/>
      <w:bookmarkEnd w:id="142"/>
      <w:bookmarkEnd w:id="143"/>
    </w:p>
    <w:p w14:paraId="4E405F5F">
      <w:pPr>
        <w:spacing w:line="384"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本合同自双方当事人加盖有效公章时生效。</w:t>
      </w:r>
    </w:p>
    <w:p w14:paraId="5AD605EA">
      <w:pPr>
        <w:spacing w:line="360" w:lineRule="auto"/>
        <w:ind w:firstLine="480" w:firstLineChars="200"/>
        <w:rPr>
          <w:rFonts w:hint="eastAsia" w:ascii="仿宋" w:hAnsi="仿宋" w:eastAsia="仿宋" w:cs="仿宋"/>
          <w:color w:val="auto"/>
          <w:sz w:val="24"/>
          <w:highlight w:val="none"/>
        </w:rPr>
      </w:pPr>
    </w:p>
    <w:p w14:paraId="3C06E1C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250D4F1C">
      <w:pPr>
        <w:spacing w:line="360" w:lineRule="auto"/>
        <w:ind w:firstLine="480" w:firstLineChars="200"/>
        <w:rPr>
          <w:rFonts w:hint="eastAsia" w:ascii="仿宋" w:hAnsi="仿宋" w:eastAsia="仿宋" w:cs="仿宋"/>
          <w:color w:val="auto"/>
          <w:sz w:val="24"/>
          <w:highlight w:val="none"/>
        </w:rPr>
      </w:pPr>
    </w:p>
    <w:tbl>
      <w:tblPr>
        <w:tblStyle w:val="23"/>
        <w:tblW w:w="95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80"/>
        <w:gridCol w:w="4780"/>
      </w:tblGrid>
      <w:tr w14:paraId="63D3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617259FB">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甲方：南宁市市场监督管理局经济技术开发区分局</w:t>
            </w:r>
          </w:p>
        </w:tc>
        <w:tc>
          <w:tcPr>
            <w:tcW w:w="4780" w:type="dxa"/>
            <w:vAlign w:val="top"/>
          </w:tcPr>
          <w:p w14:paraId="7325F7F2">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乙方：</w:t>
            </w:r>
            <w:r>
              <w:rPr>
                <w:rFonts w:hint="eastAsia" w:ascii="仿宋" w:hAnsi="仿宋" w:eastAsia="仿宋" w:cs="仿宋"/>
                <w:color w:val="auto"/>
                <w:sz w:val="24"/>
                <w:highlight w:val="none"/>
              </w:rPr>
              <w:t xml:space="preserve"> </w:t>
            </w:r>
          </w:p>
        </w:tc>
      </w:tr>
      <w:tr w14:paraId="5EB40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780" w:type="dxa"/>
            <w:vAlign w:val="top"/>
          </w:tcPr>
          <w:p w14:paraId="40C95128">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w:t>
            </w:r>
          </w:p>
          <w:p w14:paraId="790AD720">
            <w:pPr>
              <w:spacing w:line="360" w:lineRule="auto"/>
              <w:jc w:val="center"/>
              <w:rPr>
                <w:rFonts w:hint="eastAsia" w:ascii="仿宋" w:hAnsi="仿宋" w:eastAsia="仿宋" w:cs="仿宋"/>
                <w:color w:val="auto"/>
                <w:sz w:val="24"/>
                <w:highlight w:val="none"/>
              </w:rPr>
            </w:pPr>
          </w:p>
        </w:tc>
        <w:tc>
          <w:tcPr>
            <w:tcW w:w="4780" w:type="dxa"/>
            <w:vAlign w:val="top"/>
          </w:tcPr>
          <w:p w14:paraId="6D5C8BCB">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w:t>
            </w:r>
          </w:p>
          <w:p w14:paraId="07620BE7">
            <w:pPr>
              <w:spacing w:line="360" w:lineRule="auto"/>
              <w:ind w:firstLine="1200" w:firstLineChars="5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 xml:space="preserve"> </w:t>
            </w:r>
          </w:p>
        </w:tc>
      </w:tr>
      <w:tr w14:paraId="5E870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trPr>
        <w:tc>
          <w:tcPr>
            <w:tcW w:w="4780" w:type="dxa"/>
            <w:vAlign w:val="top"/>
          </w:tcPr>
          <w:p w14:paraId="1E18CFDE">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住所：南宁市壮锦大道 39 号绿港国际中心 B4 栋 9 楼</w:t>
            </w:r>
          </w:p>
        </w:tc>
        <w:tc>
          <w:tcPr>
            <w:tcW w:w="4780" w:type="dxa"/>
            <w:vAlign w:val="top"/>
          </w:tcPr>
          <w:p w14:paraId="4C581E68">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w:t>
            </w:r>
            <w:r>
              <w:rPr>
                <w:rFonts w:hint="eastAsia" w:ascii="仿宋" w:hAnsi="仿宋" w:eastAsia="仿宋" w:cs="仿宋"/>
                <w:color w:val="auto"/>
                <w:sz w:val="24"/>
                <w:highlight w:val="none"/>
              </w:rPr>
              <w:t xml:space="preserve"> </w:t>
            </w:r>
          </w:p>
        </w:tc>
      </w:tr>
      <w:tr w14:paraId="6439F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4780" w:type="dxa"/>
            <w:vAlign w:val="top"/>
          </w:tcPr>
          <w:p w14:paraId="62C61E5E">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法定代表人或授权代表</w:t>
            </w:r>
          </w:p>
          <w:p w14:paraId="649447F8">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（签字或盖章）：</w:t>
            </w:r>
          </w:p>
        </w:tc>
        <w:tc>
          <w:tcPr>
            <w:tcW w:w="4780" w:type="dxa"/>
            <w:vAlign w:val="top"/>
          </w:tcPr>
          <w:p w14:paraId="491678E7">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法定代表人或授权代表</w:t>
            </w:r>
          </w:p>
          <w:p w14:paraId="43D08C94">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（签字或盖章）：</w:t>
            </w:r>
          </w:p>
        </w:tc>
      </w:tr>
      <w:tr w14:paraId="58B67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3D517935">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w:t>
            </w:r>
          </w:p>
        </w:tc>
        <w:tc>
          <w:tcPr>
            <w:tcW w:w="4780" w:type="dxa"/>
            <w:vAlign w:val="top"/>
          </w:tcPr>
          <w:p w14:paraId="75F2F333">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w:t>
            </w:r>
          </w:p>
        </w:tc>
      </w:tr>
      <w:tr w14:paraId="78BE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80" w:type="dxa"/>
            <w:vAlign w:val="top"/>
          </w:tcPr>
          <w:p w14:paraId="59B34977">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约定送达地址：南宁市壮锦大道 39 号绿港国际中心 B4 栋 9 楼</w:t>
            </w:r>
          </w:p>
        </w:tc>
        <w:tc>
          <w:tcPr>
            <w:tcW w:w="4780" w:type="dxa"/>
            <w:vAlign w:val="top"/>
          </w:tcPr>
          <w:p w14:paraId="0A93B0B8">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约定送达地址： </w:t>
            </w:r>
            <w:r>
              <w:rPr>
                <w:rFonts w:hint="eastAsia" w:ascii="仿宋" w:hAnsi="仿宋" w:eastAsia="仿宋" w:cs="仿宋"/>
                <w:color w:val="auto"/>
                <w:sz w:val="24"/>
                <w:highlight w:val="none"/>
              </w:rPr>
              <w:t xml:space="preserve"> </w:t>
            </w:r>
          </w:p>
        </w:tc>
      </w:tr>
      <w:tr w14:paraId="4FF65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793F414A">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w:t>
            </w:r>
          </w:p>
        </w:tc>
        <w:tc>
          <w:tcPr>
            <w:tcW w:w="4780" w:type="dxa"/>
            <w:vAlign w:val="top"/>
          </w:tcPr>
          <w:p w14:paraId="35A5FCD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邮政编码：</w:t>
            </w:r>
            <w:r>
              <w:rPr>
                <w:rFonts w:hint="eastAsia" w:ascii="仿宋" w:hAnsi="仿宋" w:eastAsia="仿宋" w:cs="仿宋"/>
                <w:color w:val="auto"/>
                <w:sz w:val="24"/>
                <w:highlight w:val="none"/>
              </w:rPr>
              <w:t xml:space="preserve"> </w:t>
            </w:r>
          </w:p>
        </w:tc>
      </w:tr>
      <w:tr w14:paraId="291AD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733BD3BD">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电话：</w:t>
            </w:r>
          </w:p>
        </w:tc>
        <w:tc>
          <w:tcPr>
            <w:tcW w:w="4780" w:type="dxa"/>
            <w:vAlign w:val="top"/>
          </w:tcPr>
          <w:p w14:paraId="4DFEEBF5">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w:t>
            </w:r>
            <w:r>
              <w:rPr>
                <w:rFonts w:hint="eastAsia" w:ascii="仿宋" w:hAnsi="仿宋" w:eastAsia="仿宋" w:cs="仿宋"/>
                <w:color w:val="auto"/>
                <w:sz w:val="24"/>
                <w:highlight w:val="none"/>
              </w:rPr>
              <w:t xml:space="preserve"> </w:t>
            </w:r>
          </w:p>
        </w:tc>
      </w:tr>
      <w:tr w14:paraId="315FD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60951142">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w:t>
            </w:r>
          </w:p>
        </w:tc>
        <w:tc>
          <w:tcPr>
            <w:tcW w:w="4780" w:type="dxa"/>
            <w:vAlign w:val="top"/>
          </w:tcPr>
          <w:p w14:paraId="36CFDC97">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w:t>
            </w:r>
            <w:r>
              <w:rPr>
                <w:rFonts w:hint="eastAsia" w:ascii="仿宋" w:hAnsi="仿宋" w:eastAsia="仿宋" w:cs="仿宋"/>
                <w:color w:val="auto"/>
                <w:sz w:val="24"/>
                <w:highlight w:val="none"/>
              </w:rPr>
              <w:t xml:space="preserve"> </w:t>
            </w:r>
          </w:p>
        </w:tc>
      </w:tr>
      <w:tr w14:paraId="1969E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53884769">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电子邮箱：</w:t>
            </w:r>
          </w:p>
        </w:tc>
        <w:tc>
          <w:tcPr>
            <w:tcW w:w="4780" w:type="dxa"/>
            <w:vAlign w:val="top"/>
          </w:tcPr>
          <w:p w14:paraId="2B09E80E">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电子邮箱：</w:t>
            </w:r>
            <w:r>
              <w:rPr>
                <w:rFonts w:hint="eastAsia" w:ascii="仿宋" w:hAnsi="仿宋" w:eastAsia="仿宋" w:cs="仿宋"/>
                <w:color w:val="auto"/>
                <w:sz w:val="24"/>
                <w:highlight w:val="none"/>
              </w:rPr>
              <w:t xml:space="preserve"> </w:t>
            </w:r>
          </w:p>
        </w:tc>
      </w:tr>
      <w:tr w14:paraId="741B5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4780" w:type="dxa"/>
            <w:vAlign w:val="top"/>
          </w:tcPr>
          <w:p w14:paraId="001C8180">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开户银行：</w:t>
            </w:r>
          </w:p>
        </w:tc>
        <w:tc>
          <w:tcPr>
            <w:tcW w:w="4780" w:type="dxa"/>
            <w:vAlign w:val="top"/>
          </w:tcPr>
          <w:p w14:paraId="7D2D05C8">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开户银行：</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 xml:space="preserve"> </w:t>
            </w:r>
          </w:p>
        </w:tc>
      </w:tr>
      <w:tr w14:paraId="7928C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795E296A">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开户名称：</w:t>
            </w:r>
          </w:p>
        </w:tc>
        <w:tc>
          <w:tcPr>
            <w:tcW w:w="4780" w:type="dxa"/>
            <w:vAlign w:val="top"/>
          </w:tcPr>
          <w:p w14:paraId="0A6B9D1D">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开户名称：</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 xml:space="preserve"> </w:t>
            </w:r>
          </w:p>
        </w:tc>
      </w:tr>
      <w:tr w14:paraId="52CE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4780" w:type="dxa"/>
            <w:vAlign w:val="top"/>
          </w:tcPr>
          <w:p w14:paraId="584779DD">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开户账号：</w:t>
            </w:r>
          </w:p>
        </w:tc>
        <w:tc>
          <w:tcPr>
            <w:tcW w:w="4780" w:type="dxa"/>
            <w:vAlign w:val="top"/>
          </w:tcPr>
          <w:p w14:paraId="6AAAF2D2">
            <w:pPr>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 xml:space="preserve">开户账号： </w:t>
            </w:r>
          </w:p>
        </w:tc>
      </w:tr>
      <w:tr w14:paraId="36D7E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560" w:type="dxa"/>
            <w:gridSpan w:val="2"/>
            <w:vAlign w:val="top"/>
          </w:tcPr>
          <w:p w14:paraId="5E2E94B5">
            <w:pPr>
              <w:spacing w:line="360" w:lineRule="auto"/>
              <w:jc w:val="center"/>
              <w:rPr>
                <w:rFonts w:hint="eastAsia" w:ascii="仿宋" w:hAnsi="仿宋" w:eastAsia="仿宋" w:cs="仿宋"/>
                <w:color w:val="auto"/>
                <w:sz w:val="24"/>
                <w:highlight w:val="none"/>
              </w:rPr>
            </w:pPr>
          </w:p>
          <w:p w14:paraId="7ED53766">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签订日期：    年    月    日</w:t>
            </w:r>
          </w:p>
        </w:tc>
      </w:tr>
    </w:tbl>
    <w:p w14:paraId="1DFE58FE">
      <w:pPr>
        <w:autoSpaceDE w:val="0"/>
        <w:autoSpaceDN w:val="0"/>
        <w:adjustRightInd w:val="0"/>
        <w:snapToGrid w:val="0"/>
        <w:spacing w:after="120" w:line="360" w:lineRule="auto"/>
        <w:ind w:left="480" w:leftChars="200" w:firstLine="482" w:firstLineChars="200"/>
        <w:jc w:val="center"/>
        <w:outlineLvl w:val="1"/>
        <w:rPr>
          <w:rFonts w:hint="eastAsia" w:ascii="仿宋" w:hAnsi="仿宋" w:eastAsia="仿宋" w:cs="仿宋"/>
          <w:b/>
          <w:color w:val="auto"/>
          <w:sz w:val="28"/>
          <w:szCs w:val="28"/>
          <w:highlight w:val="none"/>
        </w:rPr>
      </w:pPr>
      <w:r>
        <w:rPr>
          <w:rFonts w:hint="eastAsia" w:ascii="仿宋" w:hAnsi="仿宋" w:eastAsia="仿宋" w:cs="仿宋"/>
          <w:b/>
          <w:color w:val="auto"/>
          <w:sz w:val="24"/>
          <w:szCs w:val="21"/>
          <w:highlight w:val="none"/>
        </w:rPr>
        <w:br w:type="page"/>
      </w:r>
      <w:bookmarkStart w:id="144" w:name="_Toc80205945"/>
      <w:bookmarkStart w:id="145" w:name="_Toc12448"/>
      <w:bookmarkStart w:id="146" w:name="_Toc331685783"/>
      <w:bookmarkStart w:id="147" w:name="_Toc26903"/>
      <w:r>
        <w:rPr>
          <w:rFonts w:hint="eastAsia" w:ascii="仿宋" w:hAnsi="仿宋" w:eastAsia="仿宋" w:cs="仿宋"/>
          <w:b/>
          <w:color w:val="auto"/>
          <w:sz w:val="28"/>
          <w:szCs w:val="28"/>
          <w:highlight w:val="none"/>
        </w:rPr>
        <w:t>第二部分 合同一般条款</w:t>
      </w:r>
      <w:bookmarkEnd w:id="144"/>
      <w:bookmarkEnd w:id="145"/>
      <w:bookmarkEnd w:id="146"/>
      <w:bookmarkEnd w:id="147"/>
    </w:p>
    <w:p w14:paraId="4C4E24ED">
      <w:pPr>
        <w:spacing w:line="360" w:lineRule="auto"/>
        <w:ind w:firstLine="482" w:firstLineChars="200"/>
        <w:rPr>
          <w:rFonts w:hint="eastAsia" w:ascii="仿宋" w:hAnsi="仿宋" w:eastAsia="仿宋" w:cs="仿宋"/>
          <w:b/>
          <w:color w:val="auto"/>
          <w:sz w:val="24"/>
          <w:highlight w:val="none"/>
        </w:rPr>
      </w:pPr>
      <w:bookmarkStart w:id="148" w:name="_Ref467378404"/>
      <w:bookmarkStart w:id="149" w:name="_Ref467379101"/>
      <w:bookmarkStart w:id="150" w:name="_Ref467379109"/>
      <w:bookmarkStart w:id="151" w:name="_Ref467379205"/>
      <w:bookmarkStart w:id="152" w:name="_Toc279701240"/>
      <w:bookmarkStart w:id="153" w:name="_Toc16917"/>
      <w:bookmarkStart w:id="154" w:name="_Toc259093669"/>
      <w:bookmarkStart w:id="155" w:name="_Ref467378499"/>
      <w:bookmarkStart w:id="156" w:name="_Toc19614"/>
      <w:bookmarkStart w:id="157" w:name="_Ref467379214"/>
      <w:bookmarkStart w:id="158" w:name="_Ref467379195"/>
      <w:bookmarkStart w:id="159" w:name="_Ref467379094"/>
      <w:bookmarkStart w:id="160" w:name="_Ref467378463"/>
      <w:bookmarkStart w:id="161" w:name="_Ref467379225"/>
      <w:bookmarkStart w:id="162" w:name="_Toc487900349"/>
      <w:bookmarkStart w:id="163" w:name="_Toc28763"/>
      <w:r>
        <w:rPr>
          <w:rFonts w:hint="eastAsia" w:ascii="仿宋" w:hAnsi="仿宋" w:eastAsia="仿宋" w:cs="仿宋"/>
          <w:b/>
          <w:color w:val="auto"/>
          <w:sz w:val="24"/>
          <w:highlight w:val="none"/>
        </w:rPr>
        <w:t>2.1 定义</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1F86208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67E145D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 “合同”系指采购人和成交供应商签订的载明双方当事人所达成的协议，并包括所有的附件、附录和构成合同的其他文件。</w:t>
      </w:r>
    </w:p>
    <w:p w14:paraId="6715B95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“合同价”系指根据合同约定，成交供应商在完全履行合同义务后，采购人应支付给成交供应商的价格。</w:t>
      </w:r>
    </w:p>
    <w:p w14:paraId="5AC7CC8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 “标的物”系指成交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1C28DC6">
      <w:pPr>
        <w:spacing w:line="360" w:lineRule="auto"/>
        <w:ind w:firstLine="480" w:firstLineChars="200"/>
        <w:rPr>
          <w:rFonts w:hint="eastAsia" w:ascii="仿宋" w:hAnsi="仿宋" w:eastAsia="仿宋" w:cs="仿宋"/>
          <w:color w:val="auto"/>
          <w:sz w:val="24"/>
          <w:highlight w:val="none"/>
        </w:rPr>
      </w:pPr>
      <w:bookmarkStart w:id="164" w:name="_Ref467378840"/>
      <w:r>
        <w:rPr>
          <w:rFonts w:hint="eastAsia" w:ascii="仿宋" w:hAnsi="仿宋" w:eastAsia="仿宋" w:cs="仿宋"/>
          <w:color w:val="auto"/>
          <w:sz w:val="24"/>
          <w:highlight w:val="none"/>
        </w:rPr>
        <w:t>2.1.4 “甲方”系指与成交供应商签署合同的采购人</w:t>
      </w:r>
      <w:bookmarkEnd w:id="164"/>
      <w:r>
        <w:rPr>
          <w:rFonts w:hint="eastAsia" w:ascii="仿宋" w:hAnsi="仿宋" w:eastAsia="仿宋" w:cs="仿宋"/>
          <w:color w:val="auto"/>
          <w:sz w:val="24"/>
          <w:highlight w:val="none"/>
        </w:rPr>
        <w:t>；采购人委托采购机构代表其与乙方签订合同的，采购人的授权委托书作为合同附件。</w:t>
      </w:r>
    </w:p>
    <w:p w14:paraId="577F9069">
      <w:pPr>
        <w:spacing w:line="360" w:lineRule="auto"/>
        <w:ind w:firstLine="480" w:firstLineChars="200"/>
        <w:rPr>
          <w:rFonts w:hint="eastAsia" w:ascii="仿宋" w:hAnsi="仿宋" w:eastAsia="仿宋" w:cs="仿宋"/>
          <w:color w:val="auto"/>
          <w:sz w:val="24"/>
          <w:highlight w:val="none"/>
        </w:rPr>
      </w:pPr>
      <w:bookmarkStart w:id="165" w:name="_Ref467379400"/>
      <w:r>
        <w:rPr>
          <w:rFonts w:hint="eastAsia" w:ascii="仿宋" w:hAnsi="仿宋" w:eastAsia="仿宋" w:cs="仿宋"/>
          <w:color w:val="auto"/>
          <w:sz w:val="24"/>
          <w:highlight w:val="none"/>
        </w:rPr>
        <w:t>2.1.5 “乙方”系指根据合同约定交付标的物的</w:t>
      </w:r>
      <w:bookmarkEnd w:id="165"/>
      <w:r>
        <w:rPr>
          <w:rFonts w:hint="eastAsia" w:ascii="仿宋" w:hAnsi="仿宋" w:eastAsia="仿宋" w:cs="仿宋"/>
          <w:color w:val="auto"/>
          <w:sz w:val="24"/>
          <w:highlight w:val="none"/>
        </w:rPr>
        <w:t>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0DFCF2DE">
      <w:pPr>
        <w:spacing w:line="360" w:lineRule="auto"/>
        <w:ind w:firstLine="480" w:firstLineChars="200"/>
        <w:rPr>
          <w:rFonts w:hint="eastAsia" w:ascii="仿宋" w:hAnsi="仿宋" w:eastAsia="仿宋" w:cs="仿宋"/>
          <w:color w:val="auto"/>
          <w:sz w:val="24"/>
          <w:highlight w:val="none"/>
        </w:rPr>
      </w:pPr>
      <w:bookmarkStart w:id="166" w:name="_Ref467379436"/>
      <w:r>
        <w:rPr>
          <w:rFonts w:hint="eastAsia" w:ascii="仿宋" w:hAnsi="仿宋" w:eastAsia="仿宋" w:cs="仿宋"/>
          <w:color w:val="auto"/>
          <w:sz w:val="24"/>
          <w:highlight w:val="none"/>
        </w:rPr>
        <w:t>2.1.6 “现场”系指合同约定标的物将要运至或者实施或者安装的地点。</w:t>
      </w:r>
      <w:bookmarkEnd w:id="166"/>
    </w:p>
    <w:p w14:paraId="6E87E61F">
      <w:pPr>
        <w:spacing w:line="360" w:lineRule="auto"/>
        <w:ind w:firstLine="482" w:firstLineChars="200"/>
        <w:rPr>
          <w:rFonts w:hint="eastAsia" w:ascii="仿宋" w:hAnsi="仿宋" w:eastAsia="仿宋" w:cs="仿宋"/>
          <w:b/>
          <w:color w:val="auto"/>
          <w:sz w:val="24"/>
          <w:highlight w:val="none"/>
        </w:rPr>
      </w:pPr>
      <w:bookmarkStart w:id="167" w:name="_Toc27635"/>
      <w:bookmarkStart w:id="168" w:name="_Toc13336"/>
      <w:bookmarkStart w:id="169" w:name="_Toc32504"/>
      <w:bookmarkStart w:id="170" w:name="_Toc259093670"/>
      <w:bookmarkStart w:id="171" w:name="_Toc279701241"/>
      <w:bookmarkStart w:id="172" w:name="_Toc487900350"/>
      <w:r>
        <w:rPr>
          <w:rFonts w:hint="eastAsia" w:ascii="仿宋" w:hAnsi="仿宋" w:eastAsia="仿宋" w:cs="仿宋"/>
          <w:b/>
          <w:color w:val="auto"/>
          <w:sz w:val="24"/>
          <w:highlight w:val="none"/>
        </w:rPr>
        <w:t>2.2 技术规范</w:t>
      </w:r>
      <w:bookmarkEnd w:id="167"/>
      <w:bookmarkEnd w:id="168"/>
      <w:bookmarkEnd w:id="169"/>
      <w:bookmarkEnd w:id="170"/>
      <w:bookmarkEnd w:id="171"/>
      <w:bookmarkEnd w:id="172"/>
    </w:p>
    <w:p w14:paraId="4393F28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CA7BFE7">
      <w:pPr>
        <w:spacing w:line="360" w:lineRule="auto"/>
        <w:ind w:firstLine="482" w:firstLineChars="200"/>
        <w:rPr>
          <w:rFonts w:hint="eastAsia" w:ascii="仿宋" w:hAnsi="仿宋" w:eastAsia="仿宋" w:cs="仿宋"/>
          <w:b/>
          <w:color w:val="auto"/>
          <w:sz w:val="24"/>
          <w:highlight w:val="none"/>
        </w:rPr>
      </w:pPr>
      <w:bookmarkStart w:id="173" w:name="_Toc487900351"/>
      <w:bookmarkStart w:id="174" w:name="_Toc31634"/>
      <w:bookmarkStart w:id="175" w:name="_Toc279701242"/>
      <w:bookmarkStart w:id="176" w:name="_Toc27853"/>
      <w:bookmarkStart w:id="177" w:name="_Toc259093671"/>
      <w:bookmarkStart w:id="178" w:name="_Toc9829"/>
      <w:r>
        <w:rPr>
          <w:rFonts w:hint="eastAsia" w:ascii="仿宋" w:hAnsi="仿宋" w:eastAsia="仿宋" w:cs="仿宋"/>
          <w:b/>
          <w:color w:val="auto"/>
          <w:sz w:val="24"/>
          <w:highlight w:val="none"/>
        </w:rPr>
        <w:t>2.3 知识产权</w:t>
      </w:r>
      <w:bookmarkEnd w:id="173"/>
      <w:bookmarkEnd w:id="174"/>
      <w:bookmarkEnd w:id="175"/>
      <w:bookmarkEnd w:id="176"/>
      <w:bookmarkEnd w:id="177"/>
      <w:bookmarkEnd w:id="178"/>
    </w:p>
    <w:p w14:paraId="22D066A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236A94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2.3.2具有知识产权的计算机软件等标的物的知识产权归属，详见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2142206">
      <w:pPr>
        <w:spacing w:line="360" w:lineRule="auto"/>
        <w:ind w:firstLine="482" w:firstLineChars="200"/>
        <w:rPr>
          <w:rFonts w:hint="eastAsia" w:ascii="仿宋" w:hAnsi="仿宋" w:eastAsia="仿宋" w:cs="仿宋"/>
          <w:b/>
          <w:color w:val="auto"/>
          <w:sz w:val="24"/>
          <w:highlight w:val="none"/>
        </w:rPr>
      </w:pPr>
      <w:bookmarkStart w:id="179" w:name="_Toc29149"/>
      <w:bookmarkStart w:id="180" w:name="_Toc11932"/>
      <w:bookmarkStart w:id="181" w:name="_Toc4194"/>
      <w:r>
        <w:rPr>
          <w:rFonts w:hint="eastAsia" w:ascii="仿宋" w:hAnsi="仿宋" w:eastAsia="仿宋" w:cs="仿宋"/>
          <w:b/>
          <w:color w:val="auto"/>
          <w:sz w:val="24"/>
          <w:highlight w:val="none"/>
        </w:rPr>
        <w:t>2.4 包装和装运</w:t>
      </w:r>
      <w:bookmarkEnd w:id="179"/>
      <w:bookmarkEnd w:id="180"/>
      <w:bookmarkEnd w:id="181"/>
    </w:p>
    <w:p w14:paraId="48F4587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2.4.1除</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另有约定外,乙方交付的全部标的物,均应采用本行业通用的方式进行包装，没有通用方式的，应当采取足以保护标的物的包装方式，且该包装应符合国家有关包装的</w:t>
      </w:r>
      <w:r>
        <w:rPr>
          <w:rFonts w:hint="eastAsia" w:ascii="仿宋" w:hAnsi="仿宋" w:eastAsia="仿宋" w:cs="仿宋"/>
          <w:color w:val="auto"/>
          <w:sz w:val="24"/>
          <w:highlight w:val="none"/>
          <w:lang w:eastAsia="zh-CN"/>
        </w:rPr>
        <w:t>法律法规</w:t>
      </w:r>
      <w:r>
        <w:rPr>
          <w:rFonts w:hint="eastAsia" w:ascii="仿宋" w:hAnsi="仿宋" w:eastAsia="仿宋" w:cs="仿宋"/>
          <w:color w:val="auto"/>
          <w:sz w:val="24"/>
          <w:highlight w:val="none"/>
        </w:rPr>
        <w:t>的规定。如有必要，包装应适用于远距离运输、防潮、防震、防锈和防粗暴装卸，确保标的物安全无损地运抵现场。由于包装不善所引起的标的物锈蚀、损坏和损失等一切风险均由乙方承担。</w:t>
      </w:r>
    </w:p>
    <w:p w14:paraId="7B15660B">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2.4.2 装运标的物的要求和通知，详见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82176A9">
      <w:pPr>
        <w:spacing w:line="360" w:lineRule="auto"/>
        <w:ind w:firstLine="482" w:firstLineChars="200"/>
        <w:rPr>
          <w:rFonts w:hint="eastAsia" w:ascii="仿宋" w:hAnsi="仿宋" w:eastAsia="仿宋" w:cs="仿宋"/>
          <w:b/>
          <w:color w:val="auto"/>
          <w:sz w:val="24"/>
          <w:highlight w:val="none"/>
        </w:rPr>
      </w:pPr>
      <w:bookmarkStart w:id="182" w:name="_Ref467379527"/>
      <w:bookmarkStart w:id="183" w:name="_Toc487900354"/>
      <w:bookmarkStart w:id="184" w:name="_Ref467378591"/>
      <w:bookmarkStart w:id="185" w:name="_Toc279701245"/>
      <w:bookmarkStart w:id="186" w:name="_Toc259093674"/>
      <w:bookmarkStart w:id="187" w:name="_Ref467378541"/>
      <w:bookmarkStart w:id="188" w:name="_Ref467379536"/>
      <w:bookmarkStart w:id="189" w:name="_Ref467379542"/>
      <w:bookmarkStart w:id="190" w:name="_Toc30272"/>
      <w:bookmarkStart w:id="191" w:name="_Toc19074"/>
      <w:bookmarkStart w:id="192" w:name="_Toc26182"/>
      <w:r>
        <w:rPr>
          <w:rFonts w:hint="eastAsia" w:ascii="仿宋" w:hAnsi="仿宋" w:eastAsia="仿宋" w:cs="仿宋"/>
          <w:b/>
          <w:color w:val="auto"/>
          <w:sz w:val="24"/>
          <w:highlight w:val="none"/>
        </w:rPr>
        <w:t>2.</w:t>
      </w:r>
      <w:bookmarkEnd w:id="182"/>
      <w:bookmarkEnd w:id="183"/>
      <w:bookmarkEnd w:id="184"/>
      <w:bookmarkEnd w:id="185"/>
      <w:bookmarkEnd w:id="186"/>
      <w:bookmarkEnd w:id="187"/>
      <w:bookmarkEnd w:id="188"/>
      <w:bookmarkEnd w:id="189"/>
      <w:r>
        <w:rPr>
          <w:rFonts w:hint="eastAsia" w:ascii="仿宋" w:hAnsi="仿宋" w:eastAsia="仿宋" w:cs="仿宋"/>
          <w:b/>
          <w:color w:val="auto"/>
          <w:sz w:val="24"/>
          <w:highlight w:val="none"/>
        </w:rPr>
        <w:t>5 履约检查和问题反馈</w:t>
      </w:r>
      <w:bookmarkEnd w:id="190"/>
      <w:bookmarkEnd w:id="191"/>
      <w:bookmarkEnd w:id="192"/>
    </w:p>
    <w:p w14:paraId="59F29D77">
      <w:pPr>
        <w:spacing w:line="360" w:lineRule="auto"/>
        <w:ind w:firstLine="480" w:firstLineChars="200"/>
        <w:rPr>
          <w:rFonts w:hint="eastAsia" w:ascii="仿宋" w:hAnsi="仿宋" w:eastAsia="仿宋" w:cs="仿宋"/>
          <w:color w:val="auto"/>
          <w:sz w:val="24"/>
          <w:highlight w:val="none"/>
        </w:rPr>
      </w:pPr>
      <w:bookmarkStart w:id="193" w:name="_Ref467379657"/>
      <w:r>
        <w:rPr>
          <w:rFonts w:hint="eastAsia" w:ascii="仿宋" w:hAnsi="仿宋" w:eastAsia="仿宋" w:cs="仿宋"/>
          <w:color w:val="auto"/>
          <w:sz w:val="24"/>
          <w:highlight w:val="none"/>
        </w:rPr>
        <w:t>2.5.1</w:t>
      </w:r>
      <w:bookmarkEnd w:id="193"/>
      <w:bookmarkStart w:id="194" w:name="_Toc186431854"/>
      <w:bookmarkStart w:id="195" w:name="_Toc279701247"/>
      <w:bookmarkStart w:id="196" w:name="_Ref467379793"/>
      <w:bookmarkStart w:id="197" w:name="_Toc487900357"/>
      <w:bookmarkStart w:id="198" w:name="_Ref467379807"/>
      <w:bookmarkStart w:id="199" w:name="_Toc259093676"/>
      <w:r>
        <w:rPr>
          <w:rFonts w:hint="eastAsia" w:ascii="仿宋" w:hAnsi="仿宋" w:eastAsia="仿宋" w:cs="仿宋"/>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734C2B85">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2.5.2 合同履行期间，甲方有权将履行过程中出现的问题反馈给乙方，双方当事人应以书面形式约定需要完善和改进的内容</w:t>
      </w:r>
      <w:bookmarkEnd w:id="194"/>
      <w:bookmarkStart w:id="200" w:name="_Toc186431855"/>
      <w:r>
        <w:rPr>
          <w:rFonts w:hint="eastAsia" w:ascii="仿宋" w:hAnsi="仿宋" w:eastAsia="仿宋" w:cs="仿宋"/>
          <w:color w:val="auto"/>
          <w:sz w:val="24"/>
          <w:highlight w:val="none"/>
        </w:rPr>
        <w:t>。</w:t>
      </w:r>
    </w:p>
    <w:bookmarkEnd w:id="200"/>
    <w:p w14:paraId="03D741FF">
      <w:pPr>
        <w:spacing w:line="360" w:lineRule="auto"/>
        <w:ind w:firstLine="482" w:firstLineChars="200"/>
        <w:rPr>
          <w:rFonts w:hint="eastAsia" w:ascii="仿宋" w:hAnsi="仿宋" w:eastAsia="仿宋" w:cs="仿宋"/>
          <w:b/>
          <w:color w:val="auto"/>
          <w:sz w:val="24"/>
          <w:highlight w:val="none"/>
        </w:rPr>
      </w:pPr>
      <w:bookmarkStart w:id="201" w:name="_Toc19219"/>
      <w:bookmarkStart w:id="202" w:name="_Toc7836"/>
      <w:bookmarkStart w:id="203" w:name="_Toc28451"/>
      <w:r>
        <w:rPr>
          <w:rFonts w:hint="eastAsia" w:ascii="仿宋" w:hAnsi="仿宋" w:eastAsia="仿宋" w:cs="仿宋"/>
          <w:b/>
          <w:color w:val="auto"/>
          <w:sz w:val="24"/>
          <w:highlight w:val="none"/>
        </w:rPr>
        <w:t>2.6 结算方式和付款条件</w:t>
      </w:r>
      <w:bookmarkEnd w:id="195"/>
      <w:bookmarkEnd w:id="196"/>
      <w:bookmarkEnd w:id="197"/>
      <w:bookmarkEnd w:id="198"/>
      <w:bookmarkEnd w:id="199"/>
      <w:bookmarkEnd w:id="201"/>
      <w:bookmarkEnd w:id="202"/>
      <w:bookmarkEnd w:id="203"/>
    </w:p>
    <w:p w14:paraId="45A2C86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629C54A">
      <w:pPr>
        <w:spacing w:line="360" w:lineRule="auto"/>
        <w:ind w:firstLine="482" w:firstLineChars="200"/>
        <w:rPr>
          <w:rFonts w:hint="eastAsia" w:ascii="仿宋" w:hAnsi="仿宋" w:eastAsia="仿宋" w:cs="仿宋"/>
          <w:b/>
          <w:color w:val="auto"/>
          <w:sz w:val="24"/>
          <w:highlight w:val="none"/>
        </w:rPr>
      </w:pPr>
      <w:bookmarkStart w:id="204" w:name="_Ref467379863"/>
      <w:bookmarkStart w:id="205" w:name="_Toc279701248"/>
      <w:bookmarkStart w:id="206" w:name="_Ref467379852"/>
      <w:bookmarkStart w:id="207" w:name="_Toc259093677"/>
      <w:bookmarkStart w:id="208" w:name="_Toc487900358"/>
      <w:bookmarkStart w:id="209" w:name="_Ref467379923"/>
      <w:bookmarkStart w:id="210" w:name="_Toc16110"/>
      <w:bookmarkStart w:id="211" w:name="_Toc774"/>
      <w:bookmarkStart w:id="212" w:name="_Toc3225"/>
      <w:r>
        <w:rPr>
          <w:rFonts w:hint="eastAsia" w:ascii="仿宋" w:hAnsi="仿宋" w:eastAsia="仿宋" w:cs="仿宋"/>
          <w:b/>
          <w:color w:val="auto"/>
          <w:sz w:val="24"/>
          <w:highlight w:val="none"/>
        </w:rPr>
        <w:t>2.7 技术资料</w:t>
      </w:r>
      <w:bookmarkEnd w:id="204"/>
      <w:bookmarkEnd w:id="205"/>
      <w:bookmarkEnd w:id="206"/>
      <w:bookmarkEnd w:id="207"/>
      <w:bookmarkEnd w:id="208"/>
      <w:bookmarkEnd w:id="209"/>
      <w:r>
        <w:rPr>
          <w:rFonts w:hint="eastAsia" w:ascii="仿宋" w:hAnsi="仿宋" w:eastAsia="仿宋" w:cs="仿宋"/>
          <w:b/>
          <w:color w:val="auto"/>
          <w:sz w:val="24"/>
          <w:highlight w:val="none"/>
        </w:rPr>
        <w:t>和保密义务</w:t>
      </w:r>
      <w:bookmarkEnd w:id="210"/>
      <w:bookmarkEnd w:id="211"/>
      <w:bookmarkEnd w:id="212"/>
    </w:p>
    <w:p w14:paraId="2B556A1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2.7.1 乙方有权依据合同约定和项目需要，向甲方了解有关情况，调阅有关资料等，甲方应予积极配合；</w:t>
      </w:r>
    </w:p>
    <w:p w14:paraId="2F47930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2.7.2 乙方有义务妥善保管和保护由甲方提供的前款信息和资料等；</w:t>
      </w:r>
    </w:p>
    <w:p w14:paraId="728CBE4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2625C3A">
      <w:pPr>
        <w:spacing w:line="360" w:lineRule="auto"/>
        <w:ind w:firstLine="482" w:firstLineChars="200"/>
        <w:rPr>
          <w:rFonts w:hint="eastAsia" w:ascii="仿宋" w:hAnsi="仿宋" w:eastAsia="仿宋" w:cs="仿宋"/>
          <w:b/>
          <w:color w:val="auto"/>
          <w:sz w:val="24"/>
          <w:highlight w:val="none"/>
        </w:rPr>
      </w:pPr>
      <w:bookmarkStart w:id="213" w:name="_Toc7860"/>
      <w:r>
        <w:rPr>
          <w:rFonts w:hint="eastAsia" w:ascii="仿宋" w:hAnsi="仿宋" w:eastAsia="仿宋" w:cs="仿宋"/>
          <w:b/>
          <w:color w:val="auto"/>
          <w:sz w:val="24"/>
          <w:highlight w:val="none"/>
        </w:rPr>
        <w:t>2.8 质量保证</w:t>
      </w:r>
      <w:bookmarkEnd w:id="213"/>
    </w:p>
    <w:p w14:paraId="430471B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2.8.1 乙方应建立和完善履行合同的内部质量保证体系，并提供相关内部规章制度给甲方，以便甲方进行监督检查；</w:t>
      </w:r>
    </w:p>
    <w:p w14:paraId="3732A6C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2.8.2 乙方应保证履行合同的人员数量和素质、软件和硬件设备的配置、场地、环境和设施等满足全面履行合同的要求，并应接受甲方的监督检查。</w:t>
      </w:r>
    </w:p>
    <w:p w14:paraId="5194E694">
      <w:pPr>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2.8.3乙方应确保项目技术人员的数量和水平与响应文件一致。未经甲方书面同意，乙方不得擅自更换响应文件中注明的项目负责人和技术负责人。否则</w:t>
      </w:r>
      <w:r>
        <w:rPr>
          <w:rFonts w:hint="eastAsia" w:ascii="仿宋" w:hAnsi="仿宋" w:eastAsia="仿宋" w:cs="仿宋"/>
          <w:color w:val="auto"/>
          <w:kern w:val="0"/>
          <w:sz w:val="24"/>
          <w:highlight w:val="none"/>
        </w:rPr>
        <w:t>甲方有权放弃或终止合同。</w:t>
      </w:r>
    </w:p>
    <w:p w14:paraId="751ABAB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仿宋" w:hAnsi="仿宋" w:eastAsia="仿宋" w:cs="仿宋"/>
          <w:color w:val="auto"/>
          <w:sz w:val="24"/>
          <w:highlight w:val="none"/>
          <w:u w:val="single"/>
        </w:rPr>
        <w:t>30%</w:t>
      </w:r>
      <w:r>
        <w:rPr>
          <w:rFonts w:hint="eastAsia" w:ascii="仿宋" w:hAnsi="仿宋" w:eastAsia="仿宋" w:cs="仿宋"/>
          <w:color w:val="auto"/>
          <w:sz w:val="24"/>
          <w:highlight w:val="none"/>
        </w:rPr>
        <w:t>。</w:t>
      </w:r>
    </w:p>
    <w:p w14:paraId="70FCCFED">
      <w:pPr>
        <w:spacing w:line="360" w:lineRule="auto"/>
        <w:ind w:firstLine="482" w:firstLineChars="200"/>
        <w:rPr>
          <w:rFonts w:hint="eastAsia" w:ascii="仿宋" w:hAnsi="仿宋" w:eastAsia="仿宋" w:cs="仿宋"/>
          <w:b/>
          <w:color w:val="auto"/>
          <w:sz w:val="24"/>
          <w:highlight w:val="none"/>
        </w:rPr>
      </w:pPr>
      <w:bookmarkStart w:id="214" w:name="_Toc17244"/>
      <w:bookmarkStart w:id="215" w:name="_Toc259093681"/>
      <w:bookmarkStart w:id="216" w:name="_Toc279701252"/>
      <w:bookmarkStart w:id="217" w:name="_Toc487900362"/>
      <w:r>
        <w:rPr>
          <w:rFonts w:hint="eastAsia" w:ascii="仿宋" w:hAnsi="仿宋" w:eastAsia="仿宋" w:cs="仿宋"/>
          <w:b/>
          <w:color w:val="auto"/>
          <w:sz w:val="24"/>
          <w:highlight w:val="none"/>
        </w:rPr>
        <w:t>2.9 标的物的风险负担</w:t>
      </w:r>
      <w:bookmarkEnd w:id="214"/>
    </w:p>
    <w:p w14:paraId="54D9497E">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标的物或者在途标的物或者交付给第一承运人后的标的物毁损、灭失的风险负担详见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569056C">
      <w:pPr>
        <w:spacing w:line="360" w:lineRule="auto"/>
        <w:ind w:firstLine="482" w:firstLineChars="200"/>
        <w:rPr>
          <w:rFonts w:hint="eastAsia" w:ascii="仿宋" w:hAnsi="仿宋" w:eastAsia="仿宋" w:cs="仿宋"/>
          <w:b/>
          <w:color w:val="auto"/>
          <w:sz w:val="24"/>
          <w:highlight w:val="none"/>
        </w:rPr>
      </w:pPr>
      <w:bookmarkStart w:id="218" w:name="_Toc14055"/>
      <w:r>
        <w:rPr>
          <w:rFonts w:hint="eastAsia" w:ascii="仿宋" w:hAnsi="仿宋" w:eastAsia="仿宋" w:cs="仿宋"/>
          <w:b/>
          <w:color w:val="auto"/>
          <w:sz w:val="24"/>
          <w:highlight w:val="none"/>
        </w:rPr>
        <w:t>2.10 延迟交货</w:t>
      </w:r>
      <w:bookmarkEnd w:id="215"/>
      <w:bookmarkEnd w:id="216"/>
      <w:bookmarkEnd w:id="217"/>
      <w:bookmarkEnd w:id="218"/>
      <w:r>
        <w:rPr>
          <w:rFonts w:hint="eastAsia" w:ascii="仿宋" w:hAnsi="仿宋" w:eastAsia="仿宋" w:cs="仿宋"/>
          <w:b/>
          <w:color w:val="auto"/>
          <w:sz w:val="24"/>
          <w:highlight w:val="none"/>
        </w:rPr>
        <w:t>/交付</w:t>
      </w:r>
    </w:p>
    <w:p w14:paraId="37741D6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69B009F3">
      <w:pPr>
        <w:spacing w:line="360" w:lineRule="auto"/>
        <w:ind w:firstLine="482" w:firstLineChars="200"/>
        <w:rPr>
          <w:rFonts w:hint="eastAsia" w:ascii="仿宋" w:hAnsi="仿宋" w:eastAsia="仿宋" w:cs="仿宋"/>
          <w:b/>
          <w:color w:val="auto"/>
          <w:sz w:val="24"/>
          <w:highlight w:val="none"/>
        </w:rPr>
      </w:pPr>
      <w:bookmarkStart w:id="219" w:name="_Toc7502"/>
      <w:bookmarkStart w:id="220" w:name="_Ref467378121"/>
      <w:bookmarkStart w:id="221" w:name="_Toc259093683"/>
      <w:bookmarkStart w:id="222" w:name="_Toc487900364"/>
      <w:bookmarkStart w:id="223" w:name="_Toc279701254"/>
      <w:r>
        <w:rPr>
          <w:rFonts w:hint="eastAsia" w:ascii="仿宋" w:hAnsi="仿宋" w:eastAsia="仿宋" w:cs="仿宋"/>
          <w:b/>
          <w:color w:val="auto"/>
          <w:sz w:val="24"/>
          <w:highlight w:val="none"/>
        </w:rPr>
        <w:t>2.11 合同变更</w:t>
      </w:r>
      <w:bookmarkEnd w:id="219"/>
    </w:p>
    <w:p w14:paraId="5815D55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CDBA66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24" w:name="_Toc279701259"/>
      <w:bookmarkStart w:id="225" w:name="_Toc259093688"/>
      <w:bookmarkStart w:id="226" w:name="_Toc487900369"/>
    </w:p>
    <w:p w14:paraId="505F4119">
      <w:pPr>
        <w:spacing w:line="360" w:lineRule="auto"/>
        <w:ind w:firstLine="482" w:firstLineChars="200"/>
        <w:rPr>
          <w:rFonts w:hint="eastAsia" w:ascii="仿宋" w:hAnsi="仿宋" w:eastAsia="仿宋" w:cs="仿宋"/>
          <w:b/>
          <w:color w:val="auto"/>
          <w:sz w:val="24"/>
          <w:highlight w:val="none"/>
        </w:rPr>
      </w:pPr>
      <w:bookmarkStart w:id="227" w:name="_Toc15237"/>
      <w:bookmarkStart w:id="228" w:name="_Toc22955"/>
      <w:bookmarkStart w:id="229" w:name="_Toc10366"/>
      <w:r>
        <w:rPr>
          <w:rFonts w:hint="eastAsia" w:ascii="仿宋" w:hAnsi="仿宋" w:eastAsia="仿宋" w:cs="仿宋"/>
          <w:b/>
          <w:color w:val="auto"/>
          <w:sz w:val="24"/>
          <w:highlight w:val="none"/>
        </w:rPr>
        <w:t>2.12 合同转让</w:t>
      </w:r>
      <w:bookmarkEnd w:id="224"/>
      <w:bookmarkEnd w:id="225"/>
      <w:bookmarkEnd w:id="226"/>
      <w:r>
        <w:rPr>
          <w:rFonts w:hint="eastAsia" w:ascii="仿宋" w:hAnsi="仿宋" w:eastAsia="仿宋" w:cs="仿宋"/>
          <w:b/>
          <w:color w:val="auto"/>
          <w:sz w:val="24"/>
          <w:highlight w:val="none"/>
        </w:rPr>
        <w:t>和分包</w:t>
      </w:r>
      <w:bookmarkEnd w:id="227"/>
      <w:bookmarkEnd w:id="228"/>
      <w:bookmarkEnd w:id="229"/>
    </w:p>
    <w:p w14:paraId="430C7A6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1C44C0D8">
      <w:pPr>
        <w:spacing w:line="360" w:lineRule="auto"/>
        <w:ind w:firstLine="482" w:firstLineChars="200"/>
        <w:rPr>
          <w:rFonts w:hint="eastAsia" w:ascii="仿宋" w:hAnsi="仿宋" w:eastAsia="仿宋" w:cs="仿宋"/>
          <w:b/>
          <w:color w:val="auto"/>
          <w:sz w:val="24"/>
          <w:highlight w:val="none"/>
        </w:rPr>
      </w:pPr>
      <w:bookmarkStart w:id="230" w:name="_Toc14066"/>
      <w:bookmarkStart w:id="231" w:name="_Toc13566"/>
      <w:bookmarkStart w:id="232" w:name="_Toc16508"/>
      <w:r>
        <w:rPr>
          <w:rFonts w:hint="eastAsia" w:ascii="仿宋" w:hAnsi="仿宋" w:eastAsia="仿宋" w:cs="仿宋"/>
          <w:b/>
          <w:color w:val="auto"/>
          <w:sz w:val="24"/>
          <w:highlight w:val="none"/>
        </w:rPr>
        <w:t>2.13 不可抗力</w:t>
      </w:r>
      <w:bookmarkEnd w:id="230"/>
      <w:bookmarkEnd w:id="231"/>
      <w:bookmarkEnd w:id="232"/>
    </w:p>
    <w:p w14:paraId="20FA520E">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2.13.1如果任何一方遭遇法律规定的不可抗力，致使合同履行受阻时，履行合同的期限应予延长，延长的期限应相当于不可抗力所影响的时间；</w:t>
      </w:r>
    </w:p>
    <w:p w14:paraId="5507796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2.13.2受不可抗力影响的一方在不可抗力发生后，应在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02428C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2.13.3 因不可抗力致使不能实现合同目的的，当事人可以解除合同。</w:t>
      </w:r>
    </w:p>
    <w:p w14:paraId="58EF865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2.13.4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5452BEE3">
      <w:pPr>
        <w:spacing w:line="360" w:lineRule="auto"/>
        <w:ind w:firstLine="482" w:firstLineChars="200"/>
        <w:rPr>
          <w:rFonts w:hint="eastAsia" w:ascii="仿宋" w:hAnsi="仿宋" w:eastAsia="仿宋" w:cs="仿宋"/>
          <w:b/>
          <w:color w:val="auto"/>
          <w:sz w:val="24"/>
          <w:highlight w:val="none"/>
        </w:rPr>
      </w:pPr>
      <w:bookmarkStart w:id="233" w:name="_Toc30676"/>
      <w:bookmarkStart w:id="234" w:name="_Toc689"/>
      <w:bookmarkStart w:id="235" w:name="_Toc279701255"/>
      <w:bookmarkStart w:id="236" w:name="_Toc487900365"/>
      <w:bookmarkStart w:id="237" w:name="_Toc259093684"/>
      <w:bookmarkStart w:id="238" w:name="_Toc6969"/>
      <w:r>
        <w:rPr>
          <w:rFonts w:hint="eastAsia" w:ascii="仿宋" w:hAnsi="仿宋" w:eastAsia="仿宋" w:cs="仿宋"/>
          <w:b/>
          <w:color w:val="auto"/>
          <w:sz w:val="24"/>
          <w:highlight w:val="none"/>
        </w:rPr>
        <w:t>2.14 税费</w:t>
      </w:r>
      <w:bookmarkEnd w:id="233"/>
      <w:bookmarkEnd w:id="234"/>
      <w:bookmarkEnd w:id="235"/>
      <w:bookmarkEnd w:id="236"/>
      <w:bookmarkEnd w:id="237"/>
      <w:bookmarkEnd w:id="238"/>
    </w:p>
    <w:p w14:paraId="0290F918">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与合同有关的一切税费，均按照中华人民共和国法律的相关规定执行。</w:t>
      </w:r>
    </w:p>
    <w:p w14:paraId="6ED4901F">
      <w:pPr>
        <w:spacing w:line="360" w:lineRule="auto"/>
        <w:ind w:firstLine="482" w:firstLineChars="200"/>
        <w:rPr>
          <w:rFonts w:hint="eastAsia" w:ascii="仿宋" w:hAnsi="仿宋" w:eastAsia="仿宋" w:cs="仿宋"/>
          <w:b/>
          <w:color w:val="auto"/>
          <w:sz w:val="24"/>
          <w:highlight w:val="none"/>
        </w:rPr>
      </w:pPr>
      <w:bookmarkStart w:id="239" w:name="_Toc16959"/>
      <w:bookmarkStart w:id="240" w:name="_Toc259093687"/>
      <w:bookmarkStart w:id="241" w:name="_Toc279701258"/>
      <w:bookmarkStart w:id="242" w:name="_Toc487900368"/>
      <w:bookmarkStart w:id="243" w:name="_Toc7102"/>
      <w:bookmarkStart w:id="244" w:name="_Toc8298"/>
      <w:r>
        <w:rPr>
          <w:rFonts w:hint="eastAsia" w:ascii="仿宋" w:hAnsi="仿宋" w:eastAsia="仿宋" w:cs="仿宋"/>
          <w:b/>
          <w:color w:val="auto"/>
          <w:sz w:val="24"/>
          <w:highlight w:val="none"/>
        </w:rPr>
        <w:t>2.15 乙方破产</w:t>
      </w:r>
      <w:bookmarkEnd w:id="239"/>
      <w:bookmarkEnd w:id="240"/>
      <w:bookmarkEnd w:id="241"/>
      <w:bookmarkEnd w:id="242"/>
      <w:bookmarkEnd w:id="243"/>
      <w:bookmarkEnd w:id="244"/>
    </w:p>
    <w:p w14:paraId="3381376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126E46AB">
      <w:pPr>
        <w:spacing w:line="360" w:lineRule="auto"/>
        <w:ind w:firstLine="482" w:firstLineChars="200"/>
        <w:rPr>
          <w:rFonts w:hint="eastAsia" w:ascii="仿宋" w:hAnsi="仿宋" w:eastAsia="仿宋" w:cs="仿宋"/>
          <w:b/>
          <w:color w:val="auto"/>
          <w:sz w:val="24"/>
          <w:highlight w:val="none"/>
        </w:rPr>
      </w:pPr>
      <w:bookmarkStart w:id="245" w:name="_Toc29333"/>
      <w:bookmarkStart w:id="246" w:name="_Toc6134"/>
      <w:bookmarkStart w:id="247" w:name="_Toc15387"/>
      <w:r>
        <w:rPr>
          <w:rFonts w:hint="eastAsia" w:ascii="仿宋" w:hAnsi="仿宋" w:eastAsia="仿宋" w:cs="仿宋"/>
          <w:b/>
          <w:color w:val="auto"/>
          <w:sz w:val="24"/>
          <w:highlight w:val="none"/>
        </w:rPr>
        <w:t>2.16 合同中止、终止</w:t>
      </w:r>
      <w:bookmarkEnd w:id="245"/>
      <w:bookmarkEnd w:id="246"/>
      <w:bookmarkEnd w:id="247"/>
    </w:p>
    <w:p w14:paraId="7F1DAC1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2.16.1 双方当事人不得擅自中止或者终止合同；</w:t>
      </w:r>
    </w:p>
    <w:p w14:paraId="1EB5526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0F2CF2FC">
      <w:pPr>
        <w:spacing w:line="360" w:lineRule="auto"/>
        <w:ind w:firstLine="482" w:firstLineChars="200"/>
        <w:rPr>
          <w:rFonts w:hint="eastAsia" w:ascii="仿宋" w:hAnsi="仿宋" w:eastAsia="仿宋" w:cs="仿宋"/>
          <w:b/>
          <w:color w:val="auto"/>
          <w:sz w:val="24"/>
          <w:highlight w:val="none"/>
        </w:rPr>
      </w:pPr>
      <w:bookmarkStart w:id="248" w:name="_Toc14563"/>
      <w:bookmarkStart w:id="249" w:name="_Toc6596"/>
      <w:bookmarkStart w:id="250" w:name="_Toc1125"/>
      <w:r>
        <w:rPr>
          <w:rFonts w:hint="eastAsia" w:ascii="仿宋" w:hAnsi="仿宋" w:eastAsia="仿宋" w:cs="仿宋"/>
          <w:b/>
          <w:color w:val="auto"/>
          <w:sz w:val="24"/>
          <w:highlight w:val="none"/>
        </w:rPr>
        <w:t>2.17 检验和验收</w:t>
      </w:r>
      <w:bookmarkEnd w:id="248"/>
      <w:bookmarkEnd w:id="249"/>
      <w:bookmarkEnd w:id="250"/>
    </w:p>
    <w:p w14:paraId="2D423D1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约定时间内组织验收，并可依法邀请相关方参加，验收应出具验收书。</w:t>
      </w:r>
    </w:p>
    <w:p w14:paraId="59A2DAA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5605A63C">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bookmarkEnd w:id="220"/>
    <w:bookmarkEnd w:id="221"/>
    <w:bookmarkEnd w:id="222"/>
    <w:bookmarkEnd w:id="223"/>
    <w:p w14:paraId="24EA8EDE">
      <w:pPr>
        <w:spacing w:line="360" w:lineRule="auto"/>
        <w:ind w:firstLine="482" w:firstLineChars="200"/>
        <w:rPr>
          <w:rFonts w:hint="eastAsia" w:ascii="仿宋" w:hAnsi="仿宋" w:eastAsia="仿宋" w:cs="仿宋"/>
          <w:b/>
          <w:color w:val="auto"/>
          <w:sz w:val="24"/>
          <w:highlight w:val="none"/>
        </w:rPr>
      </w:pPr>
      <w:bookmarkStart w:id="251" w:name="_Toc487900371"/>
      <w:bookmarkStart w:id="252" w:name="_Toc259093690"/>
      <w:bookmarkStart w:id="253" w:name="_Toc279701261"/>
      <w:bookmarkStart w:id="254" w:name="_Toc19604"/>
      <w:bookmarkStart w:id="255" w:name="_Toc25182"/>
      <w:bookmarkStart w:id="256" w:name="_Toc11284"/>
      <w:r>
        <w:rPr>
          <w:rFonts w:hint="eastAsia" w:ascii="仿宋" w:hAnsi="仿宋" w:eastAsia="仿宋" w:cs="仿宋"/>
          <w:b/>
          <w:color w:val="auto"/>
          <w:sz w:val="24"/>
          <w:highlight w:val="none"/>
        </w:rPr>
        <w:t>2.18 通知</w:t>
      </w:r>
      <w:bookmarkEnd w:id="251"/>
      <w:bookmarkEnd w:id="252"/>
      <w:bookmarkEnd w:id="253"/>
      <w:r>
        <w:rPr>
          <w:rFonts w:hint="eastAsia" w:ascii="仿宋" w:hAnsi="仿宋" w:eastAsia="仿宋" w:cs="仿宋"/>
          <w:b/>
          <w:color w:val="auto"/>
          <w:sz w:val="24"/>
          <w:highlight w:val="none"/>
        </w:rPr>
        <w:t>和送达</w:t>
      </w:r>
      <w:bookmarkEnd w:id="254"/>
      <w:bookmarkEnd w:id="255"/>
      <w:bookmarkEnd w:id="256"/>
    </w:p>
    <w:p w14:paraId="59A34EC5">
      <w:pPr>
        <w:spacing w:line="360" w:lineRule="auto"/>
        <w:ind w:firstLine="480" w:firstLineChars="200"/>
        <w:rPr>
          <w:rFonts w:hint="eastAsia" w:ascii="仿宋" w:hAnsi="仿宋" w:eastAsia="仿宋" w:cs="仿宋"/>
          <w:color w:val="auto"/>
          <w:sz w:val="24"/>
          <w:highlight w:val="none"/>
        </w:rPr>
      </w:pPr>
      <w:bookmarkStart w:id="257" w:name="_Toc6698"/>
      <w:bookmarkStart w:id="258" w:name="_Toc3135"/>
      <w:bookmarkStart w:id="259" w:name="_Toc259093691"/>
      <w:bookmarkStart w:id="260" w:name="_Toc487900372"/>
      <w:bookmarkStart w:id="261" w:name="_Toc279701262"/>
      <w:r>
        <w:rPr>
          <w:rFonts w:hint="eastAsia" w:ascii="仿宋" w:hAnsi="仿宋" w:eastAsia="仿宋" w:cs="仿宋"/>
          <w:color w:val="auto"/>
          <w:sz w:val="24"/>
          <w:highlight w:val="none"/>
        </w:rPr>
        <w:t>2.18.1 任何一方因履行合同而以合同第一部分尾部所列明的</w:t>
      </w:r>
      <w:r>
        <w:rPr>
          <w:rFonts w:hint="eastAsia" w:ascii="仿宋" w:hAnsi="仿宋" w:eastAsia="仿宋" w:cs="仿宋"/>
          <w:color w:val="auto"/>
          <w:sz w:val="24"/>
          <w:highlight w:val="none"/>
          <w:u w:val="single"/>
        </w:rPr>
        <w:t>“约定送达地址”</w:t>
      </w:r>
      <w:r>
        <w:rPr>
          <w:rFonts w:hint="eastAsia" w:ascii="仿宋" w:hAnsi="仿宋" w:eastAsia="仿宋" w:cs="仿宋"/>
          <w:color w:val="auto"/>
          <w:sz w:val="24"/>
          <w:highlight w:val="none"/>
        </w:rPr>
        <w:t>为收件地址的所有通知、文件、材料，均视为已向对方当事人送达；任何一方变更上述送达方式或者地址的，应于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bookmarkEnd w:id="257"/>
      <w:bookmarkEnd w:id="258"/>
    </w:p>
    <w:p w14:paraId="3FC88C63">
      <w:pPr>
        <w:spacing w:line="360" w:lineRule="auto"/>
        <w:ind w:firstLine="480" w:firstLineChars="200"/>
        <w:rPr>
          <w:rFonts w:hint="eastAsia" w:ascii="仿宋" w:hAnsi="仿宋" w:eastAsia="仿宋" w:cs="仿宋"/>
          <w:color w:val="auto"/>
          <w:sz w:val="24"/>
          <w:highlight w:val="none"/>
        </w:rPr>
      </w:pPr>
      <w:bookmarkStart w:id="262" w:name="_Toc23294"/>
      <w:bookmarkStart w:id="263" w:name="_Toc23128"/>
      <w:r>
        <w:rPr>
          <w:rFonts w:hint="eastAsia" w:ascii="仿宋" w:hAnsi="仿宋" w:eastAsia="仿宋" w:cs="仿宋"/>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62"/>
      <w:bookmarkEnd w:id="263"/>
    </w:p>
    <w:p w14:paraId="7B326801">
      <w:pPr>
        <w:spacing w:line="360" w:lineRule="auto"/>
        <w:ind w:firstLine="482" w:firstLineChars="200"/>
        <w:rPr>
          <w:rFonts w:hint="eastAsia" w:ascii="仿宋" w:hAnsi="仿宋" w:eastAsia="仿宋" w:cs="仿宋"/>
          <w:b/>
          <w:color w:val="auto"/>
          <w:sz w:val="24"/>
          <w:highlight w:val="none"/>
        </w:rPr>
      </w:pPr>
      <w:bookmarkStart w:id="264" w:name="_Toc4355"/>
      <w:bookmarkStart w:id="265" w:name="_Toc18540"/>
      <w:bookmarkStart w:id="266" w:name="_Toc30599"/>
      <w:r>
        <w:rPr>
          <w:rFonts w:hint="eastAsia" w:ascii="仿宋" w:hAnsi="仿宋" w:eastAsia="仿宋" w:cs="仿宋"/>
          <w:b/>
          <w:color w:val="auto"/>
          <w:sz w:val="24"/>
          <w:highlight w:val="none"/>
        </w:rPr>
        <w:t>2.19 计量单位</w:t>
      </w:r>
      <w:bookmarkEnd w:id="259"/>
      <w:bookmarkEnd w:id="260"/>
      <w:bookmarkEnd w:id="261"/>
      <w:bookmarkEnd w:id="264"/>
      <w:bookmarkEnd w:id="265"/>
      <w:bookmarkEnd w:id="266"/>
    </w:p>
    <w:p w14:paraId="0F4C9EE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047283D9">
      <w:pPr>
        <w:spacing w:line="360" w:lineRule="auto"/>
        <w:ind w:firstLine="482" w:firstLineChars="200"/>
        <w:rPr>
          <w:rFonts w:hint="eastAsia" w:ascii="仿宋" w:hAnsi="仿宋" w:eastAsia="仿宋" w:cs="仿宋"/>
          <w:b/>
          <w:color w:val="auto"/>
          <w:sz w:val="24"/>
          <w:highlight w:val="none"/>
        </w:rPr>
      </w:pPr>
      <w:bookmarkStart w:id="267" w:name="_Toc487900373"/>
      <w:bookmarkStart w:id="268" w:name="_Toc10330"/>
      <w:bookmarkStart w:id="269" w:name="_Toc259093692"/>
      <w:bookmarkStart w:id="270" w:name="_Toc18567"/>
      <w:bookmarkStart w:id="271" w:name="_Toc279701263"/>
      <w:bookmarkStart w:id="272" w:name="_Toc12773"/>
      <w:r>
        <w:rPr>
          <w:rFonts w:hint="eastAsia" w:ascii="仿宋" w:hAnsi="仿宋" w:eastAsia="仿宋" w:cs="仿宋"/>
          <w:b/>
          <w:color w:val="auto"/>
          <w:sz w:val="24"/>
          <w:highlight w:val="none"/>
        </w:rPr>
        <w:t>2.20 合同使用的文字和适用的法律</w:t>
      </w:r>
      <w:bookmarkEnd w:id="267"/>
      <w:bookmarkEnd w:id="268"/>
      <w:bookmarkEnd w:id="269"/>
      <w:bookmarkEnd w:id="270"/>
      <w:bookmarkEnd w:id="271"/>
      <w:bookmarkEnd w:id="272"/>
    </w:p>
    <w:p w14:paraId="7BABB07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2.20.1 合同使用汉语</w:t>
      </w:r>
      <w:r>
        <w:rPr>
          <w:rFonts w:hint="eastAsia" w:ascii="仿宋" w:hAnsi="仿宋" w:eastAsia="仿宋" w:cs="仿宋"/>
          <w:color w:val="auto"/>
          <w:sz w:val="24"/>
          <w:highlight w:val="none"/>
          <w:lang w:eastAsia="zh-CN"/>
        </w:rPr>
        <w:t>书写</w:t>
      </w:r>
      <w:r>
        <w:rPr>
          <w:rFonts w:hint="eastAsia" w:ascii="仿宋" w:hAnsi="仿宋" w:eastAsia="仿宋" w:cs="仿宋"/>
          <w:color w:val="auto"/>
          <w:sz w:val="24"/>
          <w:highlight w:val="none"/>
        </w:rPr>
        <w:t>、变更和解释；</w:t>
      </w:r>
    </w:p>
    <w:p w14:paraId="125740D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2.20.2 合同适用中华人民共和国法律。</w:t>
      </w:r>
    </w:p>
    <w:p w14:paraId="47335EB4">
      <w:pPr>
        <w:spacing w:line="360" w:lineRule="auto"/>
        <w:ind w:firstLine="482" w:firstLineChars="200"/>
        <w:rPr>
          <w:rFonts w:hint="eastAsia" w:ascii="仿宋" w:hAnsi="仿宋" w:eastAsia="仿宋" w:cs="仿宋"/>
          <w:b/>
          <w:color w:val="auto"/>
          <w:sz w:val="24"/>
          <w:highlight w:val="none"/>
        </w:rPr>
      </w:pPr>
      <w:bookmarkStart w:id="273" w:name="_Toc259093693"/>
      <w:bookmarkStart w:id="274" w:name="_Toc279701264"/>
      <w:bookmarkStart w:id="275" w:name="_Toc3148"/>
      <w:bookmarkStart w:id="276" w:name="_Toc12004"/>
      <w:bookmarkStart w:id="277" w:name="_Toc16673"/>
      <w:bookmarkStart w:id="278" w:name="_Toc487900374"/>
      <w:r>
        <w:rPr>
          <w:rFonts w:hint="eastAsia" w:ascii="仿宋" w:hAnsi="仿宋" w:eastAsia="仿宋" w:cs="仿宋"/>
          <w:b/>
          <w:color w:val="auto"/>
          <w:sz w:val="24"/>
          <w:highlight w:val="none"/>
        </w:rPr>
        <w:t>2.21 履约保证金</w:t>
      </w:r>
      <w:bookmarkEnd w:id="273"/>
      <w:bookmarkEnd w:id="274"/>
      <w:bookmarkEnd w:id="275"/>
      <w:bookmarkEnd w:id="276"/>
      <w:bookmarkEnd w:id="277"/>
    </w:p>
    <w:p w14:paraId="1D138600">
      <w:pPr>
        <w:spacing w:line="360" w:lineRule="auto"/>
        <w:ind w:firstLine="480" w:firstLineChars="200"/>
        <w:rPr>
          <w:rFonts w:hint="eastAsia" w:ascii="仿宋" w:hAnsi="仿宋" w:eastAsia="仿宋" w:cs="仿宋"/>
          <w:snapToGrid w:val="0"/>
          <w:color w:val="auto"/>
          <w:kern w:val="0"/>
          <w:sz w:val="24"/>
          <w:highlight w:val="none"/>
        </w:rPr>
      </w:pPr>
      <w:r>
        <w:rPr>
          <w:rFonts w:hint="eastAsia" w:ascii="仿宋" w:hAnsi="仿宋" w:eastAsia="仿宋" w:cs="仿宋"/>
          <w:color w:val="auto"/>
          <w:sz w:val="24"/>
          <w:highlight w:val="none"/>
        </w:rPr>
        <w:t>本项目不收取履约保证金</w:t>
      </w:r>
    </w:p>
    <w:p w14:paraId="39DB28BC">
      <w:pPr>
        <w:spacing w:line="360" w:lineRule="auto"/>
        <w:ind w:firstLine="482" w:firstLineChars="200"/>
        <w:rPr>
          <w:rFonts w:hint="eastAsia" w:ascii="仿宋" w:hAnsi="仿宋" w:eastAsia="仿宋" w:cs="仿宋"/>
          <w:color w:val="auto"/>
          <w:kern w:val="0"/>
          <w:sz w:val="24"/>
          <w:highlight w:val="none"/>
          <w:lang w:val="zh-CN"/>
        </w:rPr>
      </w:pPr>
      <w:r>
        <w:rPr>
          <w:rFonts w:hint="eastAsia" w:ascii="仿宋" w:hAnsi="仿宋" w:eastAsia="仿宋" w:cs="仿宋"/>
          <w:b/>
          <w:color w:val="auto"/>
          <w:sz w:val="24"/>
          <w:highlight w:val="none"/>
        </w:rPr>
        <w:t>2.22 中小企业政策</w:t>
      </w:r>
    </w:p>
    <w:p w14:paraId="3B64608B">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2.22.1本合同（☑是  □否）为中小企业“政采贷”可融资合同，关于中小企业信用融资事项见采购文件“供应商须知正文”。</w:t>
      </w:r>
    </w:p>
    <w:p w14:paraId="65531B67">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2.22.2本合同（☑是  □否）为中小企业预留合同。</w:t>
      </w:r>
    </w:p>
    <w:bookmarkEnd w:id="278"/>
    <w:p w14:paraId="1FF61068">
      <w:pPr>
        <w:spacing w:line="360" w:lineRule="auto"/>
        <w:ind w:firstLine="482" w:firstLineChars="200"/>
        <w:rPr>
          <w:rFonts w:hint="eastAsia" w:ascii="仿宋" w:hAnsi="仿宋" w:eastAsia="仿宋" w:cs="仿宋"/>
          <w:b/>
          <w:color w:val="auto"/>
          <w:sz w:val="24"/>
          <w:highlight w:val="none"/>
        </w:rPr>
      </w:pPr>
      <w:bookmarkStart w:id="279" w:name="_Toc19890"/>
      <w:bookmarkStart w:id="280" w:name="_Toc6885"/>
      <w:bookmarkStart w:id="281" w:name="_Toc14001"/>
      <w:r>
        <w:rPr>
          <w:rFonts w:hint="eastAsia" w:ascii="仿宋" w:hAnsi="仿宋" w:eastAsia="仿宋" w:cs="仿宋"/>
          <w:b/>
          <w:color w:val="auto"/>
          <w:sz w:val="24"/>
          <w:highlight w:val="none"/>
        </w:rPr>
        <w:t>2.23 合同份数</w:t>
      </w:r>
      <w:bookmarkEnd w:id="279"/>
      <w:bookmarkEnd w:id="280"/>
      <w:bookmarkEnd w:id="281"/>
    </w:p>
    <w:p w14:paraId="5A8DBBD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none"/>
        </w:rPr>
        <w:t>本合同壹式</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rPr>
        <w:t>份，甲方执</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rPr>
        <w:t>份，乙方执</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none"/>
        </w:rPr>
        <w:t>份，</w:t>
      </w:r>
      <w:r>
        <w:rPr>
          <w:rFonts w:hint="eastAsia" w:ascii="仿宋" w:hAnsi="仿宋" w:eastAsia="仿宋" w:cs="仿宋"/>
          <w:color w:val="auto"/>
          <w:sz w:val="24"/>
          <w:highlight w:val="none"/>
        </w:rPr>
        <w:t>代理机构执</w:t>
      </w:r>
      <w:r>
        <w:rPr>
          <w:rFonts w:hint="eastAsia" w:ascii="仿宋" w:hAnsi="仿宋" w:eastAsia="仿宋" w:cs="仿宋"/>
          <w:color w:val="auto"/>
          <w:sz w:val="24"/>
          <w:highlight w:val="none"/>
          <w:u w:val="single"/>
        </w:rPr>
        <w:t>壹</w:t>
      </w:r>
      <w:r>
        <w:rPr>
          <w:rFonts w:hint="eastAsia" w:ascii="仿宋" w:hAnsi="仿宋" w:eastAsia="仿宋" w:cs="仿宋"/>
          <w:color w:val="auto"/>
          <w:sz w:val="24"/>
          <w:highlight w:val="none"/>
        </w:rPr>
        <w:t>份。每份均具有同等法律效力。</w:t>
      </w:r>
    </w:p>
    <w:p w14:paraId="43E64466">
      <w:pPr>
        <w:autoSpaceDE w:val="0"/>
        <w:autoSpaceDN w:val="0"/>
        <w:adjustRightInd w:val="0"/>
        <w:snapToGrid w:val="0"/>
        <w:spacing w:after="120" w:line="360" w:lineRule="auto"/>
        <w:ind w:left="480" w:leftChars="200" w:firstLine="480" w:firstLineChars="200"/>
        <w:jc w:val="center"/>
        <w:outlineLvl w:val="1"/>
        <w:rPr>
          <w:rFonts w:hint="eastAsia" w:ascii="仿宋" w:hAnsi="仿宋" w:eastAsia="仿宋" w:cs="仿宋"/>
          <w:b/>
          <w:color w:val="auto"/>
          <w:sz w:val="28"/>
          <w:szCs w:val="28"/>
          <w:highlight w:val="none"/>
        </w:rPr>
      </w:pPr>
      <w:r>
        <w:rPr>
          <w:rFonts w:hint="eastAsia" w:ascii="仿宋" w:hAnsi="仿宋" w:eastAsia="仿宋" w:cs="仿宋"/>
          <w:color w:val="auto"/>
          <w:sz w:val="24"/>
          <w:szCs w:val="21"/>
          <w:highlight w:val="none"/>
        </w:rPr>
        <w:br w:type="page"/>
      </w:r>
      <w:bookmarkStart w:id="282" w:name="_Toc80205946"/>
      <w:bookmarkStart w:id="283" w:name="_Toc331685784"/>
      <w:bookmarkStart w:id="284" w:name="_Toc2318"/>
      <w:bookmarkStart w:id="285" w:name="_Toc20401"/>
      <w:r>
        <w:rPr>
          <w:rFonts w:hint="eastAsia" w:ascii="仿宋" w:hAnsi="仿宋" w:eastAsia="仿宋" w:cs="仿宋"/>
          <w:b/>
          <w:color w:val="auto"/>
          <w:sz w:val="28"/>
          <w:szCs w:val="28"/>
          <w:highlight w:val="none"/>
        </w:rPr>
        <w:t>第三部分 合同专用条款</w:t>
      </w:r>
      <w:bookmarkEnd w:id="282"/>
      <w:bookmarkEnd w:id="283"/>
      <w:bookmarkEnd w:id="284"/>
      <w:bookmarkEnd w:id="285"/>
    </w:p>
    <w:p w14:paraId="0CC0B90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2BA6557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2.3.2具有知识产权的标的物知识产权归属：甲方。</w:t>
      </w:r>
    </w:p>
    <w:p w14:paraId="4D490DBE">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2.4.1包装和装运专用条款（如果有）：无。</w:t>
      </w:r>
    </w:p>
    <w:p w14:paraId="5C24E768">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2.4.2装运标的物的要求和通知：无。</w:t>
      </w:r>
    </w:p>
    <w:p w14:paraId="335D21DA">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2.6</w:t>
      </w:r>
      <w:r>
        <w:rPr>
          <w:rFonts w:hint="eastAsia" w:ascii="仿宋" w:hAnsi="仿宋" w:eastAsia="仿宋" w:cs="仿宋"/>
          <w:b/>
          <w:color w:val="auto"/>
          <w:sz w:val="24"/>
          <w:highlight w:val="none"/>
        </w:rPr>
        <w:t>结算方式和付款条件</w:t>
      </w:r>
    </w:p>
    <w:p w14:paraId="0EDCDBDF">
      <w:pPr>
        <w:spacing w:line="360" w:lineRule="auto"/>
        <w:ind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本次项目合同总价为</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lang w:val="zh-CN"/>
        </w:rPr>
        <w:t>元（大写：</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u w:val="single"/>
          <w:lang w:val="zh-CN"/>
        </w:rPr>
        <w:t>）</w:t>
      </w:r>
      <w:r>
        <w:rPr>
          <w:rFonts w:hint="eastAsia" w:ascii="仿宋" w:hAnsi="仿宋" w:eastAsia="仿宋" w:cs="仿宋"/>
          <w:color w:val="auto"/>
          <w:kern w:val="0"/>
          <w:sz w:val="24"/>
          <w:highlight w:val="none"/>
          <w:lang w:val="zh-CN"/>
        </w:rPr>
        <w:t>。本项目采用以下勾选结算方式进行支付：</w:t>
      </w:r>
    </w:p>
    <w:p w14:paraId="4816842B">
      <w:pPr>
        <w:spacing w:line="360" w:lineRule="auto"/>
        <w:ind w:firstLine="480" w:firstLineChars="200"/>
        <w:rPr>
          <w:rFonts w:hint="eastAsia" w:ascii="仿宋" w:hAnsi="仿宋" w:eastAsia="仿宋" w:cs="仿宋"/>
          <w:color w:val="auto"/>
          <w:sz w:val="24"/>
          <w:highlight w:val="none"/>
          <w:u w:val="single"/>
          <w:lang w:val="en-US" w:eastAsia="zh-CN"/>
        </w:rPr>
      </w:pPr>
      <w:r>
        <w:rPr>
          <w:rFonts w:hint="eastAsia" w:ascii="仿宋" w:hAnsi="仿宋" w:eastAsia="仿宋" w:cs="仿宋"/>
          <w:color w:val="auto"/>
          <w:sz w:val="24"/>
          <w:highlight w:val="none"/>
          <w:u w:val="none"/>
          <w:lang w:val="en-US" w:eastAsia="zh-CN"/>
        </w:rPr>
        <w:t>□采用一次性支付方式，付款条件为：</w:t>
      </w:r>
      <w:r>
        <w:rPr>
          <w:rFonts w:hint="eastAsia" w:ascii="仿宋" w:hAnsi="仿宋" w:eastAsia="仿宋" w:cs="仿宋"/>
          <w:color w:val="auto"/>
          <w:sz w:val="24"/>
          <w:highlight w:val="none"/>
          <w:u w:val="single"/>
          <w:lang w:val="en-US" w:eastAsia="zh-CN"/>
        </w:rPr>
        <w:t xml:space="preserve">                    </w:t>
      </w:r>
    </w:p>
    <w:p w14:paraId="67386B90">
      <w:pPr>
        <w:spacing w:line="360" w:lineRule="auto"/>
        <w:ind w:firstLine="480" w:firstLineChars="200"/>
        <w:rPr>
          <w:rFonts w:hint="eastAsia" w:ascii="仿宋" w:hAnsi="仿宋" w:eastAsia="仿宋" w:cs="仿宋"/>
          <w:color w:val="auto"/>
          <w:kern w:val="0"/>
          <w:sz w:val="24"/>
          <w:highlight w:val="none"/>
          <w:u w:val="single"/>
          <w:lang w:val="en-US" w:eastAsia="zh-CN"/>
        </w:rPr>
      </w:pPr>
      <w:r>
        <w:rPr>
          <w:rFonts w:hint="eastAsia" w:ascii="仿宋" w:hAnsi="仿宋" w:eastAsia="仿宋" w:cs="仿宋"/>
          <w:color w:val="auto"/>
          <w:kern w:val="0"/>
          <w:sz w:val="24"/>
          <w:highlight w:val="none"/>
          <w:u w:val="none"/>
          <w:lang w:eastAsia="zh-CN"/>
        </w:rPr>
        <w:t>☑</w:t>
      </w:r>
      <w:r>
        <w:rPr>
          <w:rFonts w:hint="eastAsia" w:ascii="仿宋" w:hAnsi="仿宋" w:eastAsia="仿宋" w:cs="仿宋"/>
          <w:color w:val="auto"/>
          <w:kern w:val="0"/>
          <w:sz w:val="24"/>
          <w:highlight w:val="none"/>
          <w:u w:val="none"/>
        </w:rPr>
        <w:t>采用分期付款方式，付款条件为：</w:t>
      </w:r>
      <w:r>
        <w:rPr>
          <w:rFonts w:hint="eastAsia" w:ascii="仿宋" w:hAnsi="仿宋" w:eastAsia="仿宋" w:cs="仿宋"/>
          <w:color w:val="auto"/>
          <w:kern w:val="0"/>
          <w:sz w:val="24"/>
          <w:highlight w:val="none"/>
          <w:u w:val="single"/>
          <w:lang w:val="en-US" w:eastAsia="zh-CN"/>
        </w:rPr>
        <w:t xml:space="preserve">           。</w:t>
      </w:r>
    </w:p>
    <w:p w14:paraId="1AE88119">
      <w:pPr>
        <w:spacing w:line="360" w:lineRule="auto"/>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2.9</w:t>
      </w:r>
      <w:r>
        <w:rPr>
          <w:rFonts w:hint="eastAsia" w:ascii="仿宋" w:hAnsi="仿宋" w:eastAsia="仿宋" w:cs="仿宋"/>
          <w:b/>
          <w:color w:val="auto"/>
          <w:sz w:val="24"/>
          <w:highlight w:val="none"/>
        </w:rPr>
        <w:t>标的物的风险负担</w:t>
      </w:r>
    </w:p>
    <w:p w14:paraId="2A5A84E3">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标的物或者在途标的物或者交付给第一承运人后的标的物毁损、灭失的风险负担：</w:t>
      </w:r>
      <w:r>
        <w:rPr>
          <w:rFonts w:hint="eastAsia" w:ascii="仿宋" w:hAnsi="仿宋" w:eastAsia="仿宋" w:cs="仿宋"/>
          <w:color w:val="auto"/>
          <w:sz w:val="24"/>
          <w:highlight w:val="none"/>
          <w:u w:val="single"/>
        </w:rPr>
        <w:t>乙方。</w:t>
      </w:r>
    </w:p>
    <w:p w14:paraId="738D051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2.13.2受不可抗力影响的一方在不可抗力发生后，应在</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日内以书面形式通知对方当事人，并在</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日内，将有关部门出具的证明文件送达对方当事人。</w:t>
      </w:r>
    </w:p>
    <w:p w14:paraId="1895D7E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2.13.4因不可抗力致使合同有变更必要的，双方当事人应在</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日内以书面形式变更合同；</w:t>
      </w:r>
    </w:p>
    <w:p w14:paraId="6ACAF1D7">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2.17.1标的物交付前，乙方应对标的物的质量、数量等方面进行详细、全面的检验，并向甲方出具证明标的物符合合同约定的文件；标的物交付时，乙方在</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日内发起验收，并可依法邀请相关方参加，验收应出具验收书。</w:t>
      </w:r>
    </w:p>
    <w:p w14:paraId="5CD131E1">
      <w:pPr>
        <w:spacing w:line="360" w:lineRule="auto"/>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2.17.3 检验和验收标准、程序等具体内容以及前述验收书的效力：按国家和行业标准。</w:t>
      </w:r>
    </w:p>
    <w:p w14:paraId="5A12D3A2">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 其他：无。</w:t>
      </w:r>
    </w:p>
    <w:p w14:paraId="0F3A0A19">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2.10项目验收：</w:t>
      </w:r>
    </w:p>
    <w:p w14:paraId="2985DAB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E802FE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92963C9">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23F16BBD">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4、验收产生的费用由乙方支付。</w:t>
      </w:r>
    </w:p>
    <w:p w14:paraId="0C77A23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5、验收内容及资料要求：根</w:t>
      </w:r>
      <w:r>
        <w:rPr>
          <w:rFonts w:hint="eastAsia" w:ascii="仿宋" w:hAnsi="仿宋" w:eastAsia="仿宋" w:cs="仿宋"/>
          <w:color w:val="auto"/>
          <w:sz w:val="24"/>
          <w:highlight w:val="none"/>
          <w:lang w:eastAsia="zh-CN"/>
        </w:rPr>
        <w:t>据</w:t>
      </w:r>
      <w:r>
        <w:rPr>
          <w:rFonts w:hint="eastAsia" w:ascii="仿宋" w:hAnsi="仿宋" w:eastAsia="仿宋" w:cs="仿宋"/>
          <w:color w:val="auto"/>
          <w:sz w:val="24"/>
          <w:highlight w:val="none"/>
        </w:rPr>
        <w:t>采购文件确定的技术指标或者服务要求确定验收指标和标准。未进行相应约定的，应当符合国家强制性规定、政策要求、安全标准、行业或企业有关标准等。</w:t>
      </w:r>
    </w:p>
    <w:p w14:paraId="03616A4E">
      <w:pPr>
        <w:tabs>
          <w:tab w:val="left" w:pos="904"/>
        </w:tabs>
        <w:snapToGrid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5.1验收内容</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2410"/>
        <w:gridCol w:w="5109"/>
      </w:tblGrid>
      <w:tr w14:paraId="29A7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522E3F5B">
            <w:pPr>
              <w:widowControl/>
              <w:spacing w:line="360" w:lineRule="auto"/>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序号</w:t>
            </w:r>
          </w:p>
        </w:tc>
        <w:tc>
          <w:tcPr>
            <w:tcW w:w="2410" w:type="dxa"/>
            <w:tcBorders>
              <w:top w:val="single" w:color="auto" w:sz="4" w:space="0"/>
              <w:left w:val="single" w:color="auto" w:sz="4" w:space="0"/>
              <w:bottom w:val="single" w:color="auto" w:sz="4" w:space="0"/>
              <w:right w:val="single" w:color="auto" w:sz="4" w:space="0"/>
            </w:tcBorders>
            <w:vAlign w:val="center"/>
          </w:tcPr>
          <w:p w14:paraId="264A42A8">
            <w:pPr>
              <w:widowControl/>
              <w:spacing w:line="360" w:lineRule="auto"/>
              <w:ind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验收内容</w:t>
            </w:r>
          </w:p>
        </w:tc>
        <w:tc>
          <w:tcPr>
            <w:tcW w:w="5109" w:type="dxa"/>
            <w:tcBorders>
              <w:top w:val="single" w:color="auto" w:sz="4" w:space="0"/>
              <w:left w:val="single" w:color="auto" w:sz="4" w:space="0"/>
              <w:bottom w:val="single" w:color="auto" w:sz="4" w:space="0"/>
              <w:right w:val="single" w:color="auto" w:sz="4" w:space="0"/>
            </w:tcBorders>
            <w:vAlign w:val="center"/>
          </w:tcPr>
          <w:p w14:paraId="3CBDB55F">
            <w:pPr>
              <w:widowControl/>
              <w:spacing w:line="360" w:lineRule="auto"/>
              <w:ind w:firstLine="200"/>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 xml:space="preserve"> 验收标准</w:t>
            </w:r>
          </w:p>
        </w:tc>
      </w:tr>
      <w:tr w14:paraId="6904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1000" w:type="dxa"/>
            <w:tcBorders>
              <w:top w:val="single" w:color="auto" w:sz="4" w:space="0"/>
              <w:left w:val="single" w:color="auto" w:sz="4" w:space="0"/>
              <w:bottom w:val="single" w:color="auto" w:sz="4" w:space="0"/>
              <w:right w:val="single" w:color="auto" w:sz="4" w:space="0"/>
            </w:tcBorders>
            <w:vAlign w:val="center"/>
          </w:tcPr>
          <w:p w14:paraId="2BF8A64D">
            <w:pPr>
              <w:widowControl/>
              <w:spacing w:line="360" w:lineRule="auto"/>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1</w:t>
            </w:r>
          </w:p>
        </w:tc>
        <w:tc>
          <w:tcPr>
            <w:tcW w:w="2410" w:type="dxa"/>
            <w:tcBorders>
              <w:top w:val="single" w:color="auto" w:sz="4" w:space="0"/>
              <w:left w:val="single" w:color="auto" w:sz="4" w:space="0"/>
              <w:bottom w:val="single" w:color="auto" w:sz="4" w:space="0"/>
              <w:right w:val="single" w:color="auto" w:sz="4" w:space="0"/>
            </w:tcBorders>
            <w:vAlign w:val="center"/>
          </w:tcPr>
          <w:p w14:paraId="38877761">
            <w:pPr>
              <w:widowControl/>
              <w:spacing w:line="360" w:lineRule="auto"/>
              <w:jc w:val="center"/>
              <w:rPr>
                <w:rFonts w:hint="eastAsia" w:ascii="仿宋" w:hAnsi="仿宋" w:eastAsia="仿宋" w:cs="仿宋"/>
                <w:bCs/>
                <w:color w:val="auto"/>
                <w:kern w:val="0"/>
                <w:sz w:val="24"/>
                <w:highlight w:val="none"/>
                <w:lang w:eastAsia="zh-CN"/>
              </w:rPr>
            </w:pPr>
            <w:r>
              <w:rPr>
                <w:rFonts w:hint="eastAsia" w:ascii="仿宋" w:hAnsi="仿宋" w:eastAsia="仿宋" w:cs="仿宋"/>
                <w:bCs/>
                <w:color w:val="auto"/>
                <w:kern w:val="0"/>
                <w:sz w:val="24"/>
                <w:highlight w:val="none"/>
                <w:lang w:eastAsia="zh-CN"/>
              </w:rPr>
              <w:t>南宁市市场监督管理局经济技术开发区分局2026年食品安全监督抽检服务项目</w:t>
            </w:r>
          </w:p>
        </w:tc>
        <w:tc>
          <w:tcPr>
            <w:tcW w:w="5109" w:type="dxa"/>
            <w:tcBorders>
              <w:top w:val="single" w:color="auto" w:sz="4" w:space="0"/>
              <w:left w:val="single" w:color="auto" w:sz="4" w:space="0"/>
              <w:bottom w:val="single" w:color="auto" w:sz="4" w:space="0"/>
              <w:right w:val="single" w:color="auto" w:sz="4" w:space="0"/>
            </w:tcBorders>
            <w:vAlign w:val="center"/>
          </w:tcPr>
          <w:p w14:paraId="1A258A15">
            <w:pPr>
              <w:widowControl/>
              <w:spacing w:line="360" w:lineRule="auto"/>
              <w:jc w:val="center"/>
              <w:rPr>
                <w:rFonts w:hint="eastAsia" w:ascii="仿宋" w:hAnsi="仿宋" w:eastAsia="仿宋" w:cs="仿宋"/>
                <w:bCs/>
                <w:color w:val="auto"/>
                <w:kern w:val="0"/>
                <w:sz w:val="24"/>
                <w:highlight w:val="none"/>
              </w:rPr>
            </w:pPr>
            <w:r>
              <w:rPr>
                <w:rFonts w:hint="eastAsia" w:ascii="仿宋" w:hAnsi="仿宋" w:eastAsia="仿宋" w:cs="仿宋"/>
                <w:bCs/>
                <w:color w:val="auto"/>
                <w:kern w:val="0"/>
                <w:sz w:val="24"/>
                <w:highlight w:val="none"/>
              </w:rPr>
              <w:t>如有国家相关标准、行业标准、地方标准或者其他标准、规范的，应执行相应的标准、规范。如具体采购需求与标准、规范不一致的，高于标准、规范的按具体采购需求执行，低于标准、规范的按标准、规范执行。</w:t>
            </w:r>
          </w:p>
        </w:tc>
      </w:tr>
    </w:tbl>
    <w:p w14:paraId="684FD413">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5.2验收资料要求</w:t>
      </w:r>
    </w:p>
    <w:p w14:paraId="3A6F2154">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验收资料要求包括（不限于）以下内容：</w:t>
      </w:r>
    </w:p>
    <w:p w14:paraId="78AF5BF6">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（1）采购文件；</w:t>
      </w:r>
    </w:p>
    <w:p w14:paraId="605BDE61">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（2）响应文件；</w:t>
      </w:r>
    </w:p>
    <w:p w14:paraId="310D1A5A">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（3）采购合同；</w:t>
      </w:r>
    </w:p>
    <w:p w14:paraId="7198146E">
      <w:pPr>
        <w:spacing w:line="360" w:lineRule="auto"/>
        <w:ind w:firstLine="480" w:firstLineChars="200"/>
        <w:rPr>
          <w:rFonts w:hint="eastAsia" w:ascii="仿宋" w:hAnsi="仿宋" w:eastAsia="仿宋" w:cs="仿宋"/>
          <w:b/>
          <w:color w:val="auto"/>
          <w:sz w:val="44"/>
          <w:szCs w:val="44"/>
          <w:highlight w:val="none"/>
        </w:rPr>
      </w:pPr>
      <w:r>
        <w:rPr>
          <w:rFonts w:hint="eastAsia" w:ascii="仿宋" w:hAnsi="仿宋" w:eastAsia="仿宋" w:cs="仿宋"/>
          <w:color w:val="auto"/>
          <w:sz w:val="24"/>
          <w:highlight w:val="none"/>
        </w:rPr>
        <w:t>（4）其他需提供的相关材料：项目成果文件资料。</w:t>
      </w:r>
    </w:p>
    <w:p w14:paraId="15D102F8">
      <w:pP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br w:type="page"/>
      </w:r>
    </w:p>
    <w:p w14:paraId="7FBEE548">
      <w:pPr>
        <w:autoSpaceDE w:val="0"/>
        <w:autoSpaceDN w:val="0"/>
        <w:adjustRightInd w:val="0"/>
        <w:snapToGrid w:val="0"/>
        <w:spacing w:after="120" w:line="360" w:lineRule="auto"/>
        <w:ind w:left="480" w:leftChars="200" w:firstLine="562" w:firstLineChars="200"/>
        <w:jc w:val="center"/>
        <w:outlineLvl w:val="1"/>
        <w:rPr>
          <w:rFonts w:hint="eastAsia" w:ascii="仿宋" w:hAnsi="仿宋" w:eastAsia="仿宋" w:cs="仿宋"/>
          <w:b/>
          <w:color w:val="auto"/>
          <w:sz w:val="28"/>
          <w:szCs w:val="28"/>
          <w:highlight w:val="none"/>
        </w:rPr>
      </w:pPr>
      <w:bookmarkStart w:id="286" w:name="_Toc1248"/>
      <w:bookmarkStart w:id="287" w:name="_Toc882"/>
      <w:r>
        <w:rPr>
          <w:rFonts w:hint="eastAsia" w:ascii="仿宋" w:hAnsi="仿宋" w:eastAsia="仿宋" w:cs="仿宋"/>
          <w:b/>
          <w:color w:val="auto"/>
          <w:sz w:val="28"/>
          <w:szCs w:val="28"/>
          <w:highlight w:val="none"/>
        </w:rPr>
        <w:t>第四部分 合同附件</w:t>
      </w:r>
      <w:bookmarkEnd w:id="286"/>
      <w:bookmarkEnd w:id="287"/>
    </w:p>
    <w:p w14:paraId="756DFEE6">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4.1成交通知书</w:t>
      </w:r>
    </w:p>
    <w:p w14:paraId="78E7398C">
      <w:pPr>
        <w:snapToGrid w:val="0"/>
        <w:spacing w:line="360" w:lineRule="auto"/>
        <w:rPr>
          <w:rFonts w:hint="eastAsia" w:ascii="仿宋" w:hAnsi="仿宋" w:eastAsia="仿宋" w:cs="仿宋"/>
          <w:color w:val="auto"/>
          <w:kern w:val="0"/>
          <w:sz w:val="24"/>
          <w:highlight w:val="none"/>
        </w:rPr>
      </w:pPr>
    </w:p>
    <w:p w14:paraId="0721D2E0">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4.2采购文件服务需求一览表</w:t>
      </w:r>
    </w:p>
    <w:p w14:paraId="1B1E116B">
      <w:pPr>
        <w:snapToGrid w:val="0"/>
        <w:spacing w:line="360" w:lineRule="auto"/>
        <w:rPr>
          <w:rFonts w:hint="eastAsia" w:ascii="仿宋" w:hAnsi="仿宋" w:eastAsia="仿宋" w:cs="仿宋"/>
          <w:color w:val="auto"/>
          <w:kern w:val="0"/>
          <w:sz w:val="24"/>
          <w:highlight w:val="none"/>
        </w:rPr>
      </w:pPr>
    </w:p>
    <w:p w14:paraId="7CDA786F">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4.3采购文件的更改通知（如有）</w:t>
      </w:r>
    </w:p>
    <w:p w14:paraId="6E58B2A6">
      <w:pPr>
        <w:snapToGrid w:val="0"/>
        <w:spacing w:line="360" w:lineRule="auto"/>
        <w:rPr>
          <w:rFonts w:hint="eastAsia" w:ascii="仿宋" w:hAnsi="仿宋" w:eastAsia="仿宋" w:cs="仿宋"/>
          <w:color w:val="auto"/>
          <w:kern w:val="0"/>
          <w:sz w:val="24"/>
          <w:highlight w:val="none"/>
        </w:rPr>
      </w:pPr>
    </w:p>
    <w:p w14:paraId="7DA3347E">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4.4响应函</w:t>
      </w:r>
    </w:p>
    <w:p w14:paraId="3A9EAB0C">
      <w:pPr>
        <w:snapToGrid w:val="0"/>
        <w:spacing w:line="360" w:lineRule="auto"/>
        <w:rPr>
          <w:rFonts w:hint="eastAsia" w:ascii="仿宋" w:hAnsi="仿宋" w:eastAsia="仿宋" w:cs="仿宋"/>
          <w:color w:val="auto"/>
          <w:kern w:val="0"/>
          <w:sz w:val="24"/>
          <w:highlight w:val="none"/>
        </w:rPr>
      </w:pPr>
    </w:p>
    <w:p w14:paraId="0985D514">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4.5响应报价表</w:t>
      </w:r>
    </w:p>
    <w:p w14:paraId="7E180B2C">
      <w:pPr>
        <w:snapToGrid w:val="0"/>
        <w:spacing w:line="360" w:lineRule="auto"/>
        <w:rPr>
          <w:rFonts w:hint="eastAsia" w:ascii="仿宋" w:hAnsi="仿宋" w:eastAsia="仿宋" w:cs="仿宋"/>
          <w:color w:val="auto"/>
          <w:kern w:val="0"/>
          <w:sz w:val="24"/>
          <w:highlight w:val="none"/>
        </w:rPr>
      </w:pPr>
    </w:p>
    <w:p w14:paraId="222377FA">
      <w:pPr>
        <w:snapToGrid w:val="0"/>
        <w:spacing w:line="360" w:lineRule="auto"/>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4.6</w:t>
      </w:r>
      <w:r>
        <w:rPr>
          <w:rFonts w:hint="eastAsia" w:ascii="仿宋" w:hAnsi="仿宋" w:eastAsia="仿宋" w:cs="仿宋"/>
          <w:color w:val="auto"/>
          <w:kern w:val="0"/>
          <w:sz w:val="24"/>
          <w:highlight w:val="none"/>
          <w:lang w:eastAsia="zh-CN"/>
        </w:rPr>
        <w:t>服务需求偏离表</w:t>
      </w:r>
    </w:p>
    <w:p w14:paraId="2E6A84CE">
      <w:pPr>
        <w:snapToGrid w:val="0"/>
        <w:spacing w:line="360" w:lineRule="auto"/>
        <w:rPr>
          <w:rFonts w:hint="eastAsia" w:ascii="仿宋" w:hAnsi="仿宋" w:eastAsia="仿宋" w:cs="仿宋"/>
          <w:color w:val="auto"/>
          <w:kern w:val="0"/>
          <w:sz w:val="24"/>
          <w:highlight w:val="none"/>
          <w:lang w:eastAsia="zh-CN"/>
        </w:rPr>
      </w:pPr>
    </w:p>
    <w:p w14:paraId="5CF2B539">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4.7商务条款偏离表</w:t>
      </w:r>
    </w:p>
    <w:p w14:paraId="5FEB94F0">
      <w:pPr>
        <w:snapToGrid w:val="0"/>
        <w:spacing w:line="360" w:lineRule="auto"/>
        <w:rPr>
          <w:rFonts w:hint="eastAsia" w:ascii="仿宋" w:hAnsi="仿宋" w:eastAsia="仿宋" w:cs="仿宋"/>
          <w:color w:val="auto"/>
          <w:kern w:val="0"/>
          <w:sz w:val="24"/>
          <w:highlight w:val="none"/>
        </w:rPr>
      </w:pPr>
    </w:p>
    <w:p w14:paraId="6E7916E7">
      <w:pPr>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4.8成交供应商澄清函（如有请提供）</w:t>
      </w:r>
    </w:p>
    <w:p w14:paraId="651CAADC">
      <w:pPr>
        <w:snapToGrid w:val="0"/>
        <w:spacing w:line="360" w:lineRule="auto"/>
        <w:rPr>
          <w:rFonts w:hint="eastAsia" w:ascii="仿宋" w:hAnsi="仿宋" w:eastAsia="仿宋" w:cs="仿宋"/>
          <w:color w:val="auto"/>
          <w:kern w:val="0"/>
          <w:sz w:val="24"/>
          <w:highlight w:val="none"/>
        </w:rPr>
      </w:pPr>
    </w:p>
    <w:p w14:paraId="10C8FE58">
      <w:pPr>
        <w:tabs>
          <w:tab w:val="left" w:pos="3261"/>
        </w:tabs>
        <w:spacing w:line="360" w:lineRule="auto"/>
        <w:jc w:val="both"/>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4.9其他与本合同相关的资料（如有请提供）</w:t>
      </w:r>
    </w:p>
    <w:p w14:paraId="65A5F064">
      <w:pPr>
        <w:tabs>
          <w:tab w:val="left" w:pos="3261"/>
        </w:tabs>
        <w:spacing w:line="360" w:lineRule="auto"/>
        <w:jc w:val="center"/>
        <w:rPr>
          <w:rFonts w:hint="eastAsia" w:ascii="仿宋" w:hAnsi="仿宋" w:eastAsia="仿宋" w:cs="仿宋"/>
          <w:color w:val="auto"/>
          <w:kern w:val="0"/>
          <w:sz w:val="24"/>
          <w:highlight w:val="none"/>
        </w:rPr>
      </w:pPr>
    </w:p>
    <w:p w14:paraId="3DA46632">
      <w:pPr>
        <w:tabs>
          <w:tab w:val="left" w:pos="3261"/>
        </w:tabs>
        <w:spacing w:line="360" w:lineRule="auto"/>
        <w:jc w:val="center"/>
        <w:rPr>
          <w:rFonts w:hint="eastAsia" w:ascii="仿宋" w:hAnsi="仿宋" w:eastAsia="仿宋" w:cs="仿宋"/>
          <w:b/>
          <w:color w:val="auto"/>
          <w:sz w:val="44"/>
          <w:szCs w:val="44"/>
          <w:highlight w:val="none"/>
        </w:rPr>
      </w:pPr>
    </w:p>
    <w:p w14:paraId="10DB1C32">
      <w:pPr>
        <w:widowControl/>
        <w:spacing w:line="360" w:lineRule="auto"/>
        <w:jc w:val="left"/>
        <w:rPr>
          <w:rFonts w:hint="eastAsia" w:ascii="仿宋" w:hAnsi="仿宋" w:eastAsia="仿宋" w:cs="仿宋"/>
          <w:b/>
          <w:bCs/>
          <w:color w:val="auto"/>
          <w:sz w:val="44"/>
          <w:szCs w:val="44"/>
          <w:highlight w:val="none"/>
        </w:rPr>
        <w:sectPr>
          <w:pgSz w:w="11911" w:h="16838"/>
          <w:pgMar w:top="1417" w:right="1417" w:bottom="1417" w:left="1417" w:header="720" w:footer="720" w:gutter="0"/>
          <w:cols w:space="720" w:num="1"/>
          <w:docGrid w:linePitch="1" w:charSpace="0"/>
        </w:sectPr>
      </w:pPr>
    </w:p>
    <w:p w14:paraId="63FCC0DC">
      <w:pPr>
        <w:tabs>
          <w:tab w:val="left" w:pos="3261"/>
        </w:tabs>
        <w:spacing w:line="360" w:lineRule="auto"/>
        <w:jc w:val="center"/>
        <w:rPr>
          <w:rFonts w:hint="eastAsia" w:ascii="仿宋" w:hAnsi="仿宋" w:eastAsia="仿宋" w:cs="仿宋"/>
          <w:b/>
          <w:color w:val="auto"/>
          <w:sz w:val="44"/>
          <w:szCs w:val="44"/>
          <w:highlight w:val="none"/>
        </w:rPr>
      </w:pPr>
    </w:p>
    <w:p w14:paraId="4484099B">
      <w:pPr>
        <w:tabs>
          <w:tab w:val="left" w:pos="3261"/>
        </w:tabs>
        <w:spacing w:line="360" w:lineRule="auto"/>
        <w:jc w:val="center"/>
        <w:rPr>
          <w:rFonts w:hint="eastAsia" w:ascii="仿宋" w:hAnsi="仿宋" w:eastAsia="仿宋" w:cs="仿宋"/>
          <w:b/>
          <w:color w:val="auto"/>
          <w:sz w:val="44"/>
          <w:szCs w:val="44"/>
          <w:highlight w:val="none"/>
        </w:rPr>
      </w:pPr>
    </w:p>
    <w:p w14:paraId="1BE2BCB6">
      <w:pPr>
        <w:tabs>
          <w:tab w:val="left" w:pos="3261"/>
        </w:tabs>
        <w:spacing w:line="360" w:lineRule="auto"/>
        <w:jc w:val="center"/>
        <w:rPr>
          <w:rFonts w:hint="eastAsia" w:ascii="仿宋" w:hAnsi="仿宋" w:eastAsia="仿宋" w:cs="仿宋"/>
          <w:b/>
          <w:color w:val="auto"/>
          <w:sz w:val="44"/>
          <w:szCs w:val="44"/>
          <w:highlight w:val="none"/>
        </w:rPr>
      </w:pPr>
    </w:p>
    <w:p w14:paraId="10A77E31">
      <w:pPr>
        <w:tabs>
          <w:tab w:val="left" w:pos="3261"/>
        </w:tabs>
        <w:spacing w:line="360" w:lineRule="auto"/>
        <w:jc w:val="center"/>
        <w:rPr>
          <w:rFonts w:hint="eastAsia" w:ascii="仿宋" w:hAnsi="仿宋" w:eastAsia="仿宋" w:cs="仿宋"/>
          <w:b/>
          <w:color w:val="auto"/>
          <w:sz w:val="44"/>
          <w:szCs w:val="44"/>
          <w:highlight w:val="none"/>
        </w:rPr>
      </w:pPr>
    </w:p>
    <w:p w14:paraId="23186D5C">
      <w:pPr>
        <w:tabs>
          <w:tab w:val="left" w:pos="3261"/>
        </w:tabs>
        <w:spacing w:line="360" w:lineRule="auto"/>
        <w:jc w:val="center"/>
        <w:rPr>
          <w:rFonts w:hint="eastAsia" w:ascii="仿宋" w:hAnsi="仿宋" w:eastAsia="仿宋" w:cs="仿宋"/>
          <w:b/>
          <w:color w:val="auto"/>
          <w:sz w:val="44"/>
          <w:szCs w:val="44"/>
          <w:highlight w:val="none"/>
        </w:rPr>
      </w:pPr>
    </w:p>
    <w:p w14:paraId="7E5A3562">
      <w:pPr>
        <w:pStyle w:val="2"/>
        <w:jc w:val="center"/>
        <w:rPr>
          <w:rFonts w:hint="eastAsia" w:ascii="仿宋" w:hAnsi="仿宋" w:eastAsia="仿宋" w:cs="仿宋"/>
          <w:color w:val="auto"/>
          <w:highlight w:val="none"/>
        </w:rPr>
      </w:pPr>
      <w:bookmarkStart w:id="288" w:name="_Toc25864"/>
      <w:bookmarkStart w:id="289" w:name="_Toc18996"/>
      <w:r>
        <w:rPr>
          <w:rFonts w:hint="eastAsia" w:ascii="仿宋" w:hAnsi="仿宋" w:eastAsia="仿宋" w:cs="仿宋"/>
          <w:b w:val="0"/>
          <w:color w:val="auto"/>
          <w:highlight w:val="none"/>
        </w:rPr>
        <w:t>第七章 质疑、投诉材料格式</w:t>
      </w:r>
      <w:bookmarkEnd w:id="288"/>
      <w:bookmarkEnd w:id="289"/>
    </w:p>
    <w:p w14:paraId="56044F03">
      <w:pPr>
        <w:widowControl/>
        <w:spacing w:line="576" w:lineRule="auto"/>
        <w:jc w:val="left"/>
        <w:rPr>
          <w:rFonts w:hint="eastAsia" w:ascii="仿宋" w:hAnsi="仿宋" w:eastAsia="仿宋" w:cs="仿宋"/>
          <w:b/>
          <w:bCs/>
          <w:color w:val="auto"/>
          <w:kern w:val="44"/>
          <w:sz w:val="44"/>
          <w:szCs w:val="44"/>
          <w:highlight w:val="none"/>
        </w:rPr>
        <w:sectPr>
          <w:pgSz w:w="11911" w:h="16838"/>
          <w:pgMar w:top="1417" w:right="1417" w:bottom="1417" w:left="1417" w:header="720" w:footer="720" w:gutter="0"/>
          <w:cols w:space="720" w:num="1"/>
          <w:docGrid w:linePitch="1" w:charSpace="0"/>
        </w:sectPr>
      </w:pPr>
    </w:p>
    <w:p w14:paraId="66F0290A">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质疑函（格式）</w:t>
      </w:r>
    </w:p>
    <w:p w14:paraId="3837ED43">
      <w:pPr>
        <w:pStyle w:val="14"/>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一、质疑供应商基本信息：</w:t>
      </w:r>
    </w:p>
    <w:p w14:paraId="4CD82BF7">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质疑供应商：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0DBAB35D">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15784ECF">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0F47BA4D">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p>
    <w:p w14:paraId="50639C06">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23A61B6D">
      <w:pPr>
        <w:pStyle w:val="14"/>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5F931CE5">
      <w:pPr>
        <w:pStyle w:val="14"/>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二、质疑项目基本情况：</w:t>
      </w:r>
    </w:p>
    <w:p w14:paraId="231E1FD5">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bookmarkStart w:id="290" w:name="PO_3000001868_PM002_16"/>
      <w:r>
        <w:rPr>
          <w:rFonts w:hint="eastAsia" w:ascii="仿宋" w:hAnsi="仿宋" w:eastAsia="仿宋" w:cs="仿宋"/>
          <w:bCs/>
          <w:color w:val="auto"/>
          <w:sz w:val="24"/>
          <w:szCs w:val="24"/>
          <w:highlight w:val="none"/>
          <w:u w:val="single"/>
        </w:rPr>
        <w:t>[项目名称]</w:t>
      </w:r>
      <w:bookmarkEnd w:id="290"/>
      <w:r>
        <w:rPr>
          <w:rFonts w:hint="eastAsia" w:ascii="仿宋" w:hAnsi="仿宋" w:eastAsia="仿宋" w:cs="仿宋"/>
          <w:bCs/>
          <w:color w:val="auto"/>
          <w:sz w:val="24"/>
          <w:szCs w:val="24"/>
          <w:highlight w:val="none"/>
          <w:u w:val="single"/>
        </w:rPr>
        <w:t xml:space="preserve"> </w:t>
      </w:r>
    </w:p>
    <w:p w14:paraId="21B7A23F">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质疑</w:t>
      </w:r>
      <w:r>
        <w:rPr>
          <w:rFonts w:hint="eastAsia" w:ascii="仿宋" w:hAnsi="仿宋" w:eastAsia="仿宋" w:cs="仿宋"/>
          <w:color w:val="auto"/>
          <w:sz w:val="24"/>
          <w:szCs w:val="24"/>
          <w:highlight w:val="none"/>
        </w:rPr>
        <w:t>项目的编号</w:t>
      </w:r>
      <w:bookmarkStart w:id="291" w:name="PO_3000001868_PM001_13"/>
      <w:r>
        <w:rPr>
          <w:rFonts w:hint="eastAsia" w:ascii="仿宋" w:hAnsi="仿宋" w:eastAsia="仿宋" w:cs="仿宋"/>
          <w:color w:val="auto"/>
          <w:sz w:val="24"/>
          <w:szCs w:val="24"/>
          <w:highlight w:val="none"/>
        </w:rPr>
        <w:t>：</w:t>
      </w:r>
      <w:r>
        <w:rPr>
          <w:rFonts w:hint="eastAsia" w:ascii="仿宋" w:hAnsi="仿宋" w:eastAsia="仿宋" w:cs="仿宋"/>
          <w:bCs/>
          <w:color w:val="auto"/>
          <w:sz w:val="24"/>
          <w:szCs w:val="24"/>
          <w:highlight w:val="none"/>
          <w:u w:val="single"/>
        </w:rPr>
        <w:t>[项目编号]</w:t>
      </w:r>
      <w:bookmarkEnd w:id="291"/>
      <w:r>
        <w:rPr>
          <w:rFonts w:hint="eastAsia" w:ascii="仿宋" w:hAnsi="仿宋" w:eastAsia="仿宋" w:cs="仿宋"/>
          <w:bCs/>
          <w:color w:val="auto"/>
          <w:sz w:val="24"/>
          <w:szCs w:val="24"/>
          <w:highlight w:val="none"/>
          <w:u w:val="single"/>
        </w:rPr>
        <w:t xml:space="preserve"> </w:t>
      </w:r>
    </w:p>
    <w:p w14:paraId="2F24D661">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bookmarkStart w:id="292" w:name="PO_3000001868_PM026_7"/>
      <w:r>
        <w:rPr>
          <w:rFonts w:hint="eastAsia" w:ascii="仿宋" w:hAnsi="仿宋" w:eastAsia="仿宋" w:cs="仿宋"/>
          <w:bCs/>
          <w:color w:val="auto"/>
          <w:sz w:val="24"/>
          <w:szCs w:val="24"/>
          <w:highlight w:val="none"/>
          <w:u w:val="single"/>
        </w:rPr>
        <w:t>[采购人]</w:t>
      </w:r>
      <w:bookmarkEnd w:id="292"/>
      <w:r>
        <w:rPr>
          <w:rFonts w:hint="eastAsia" w:ascii="仿宋" w:hAnsi="仿宋" w:eastAsia="仿宋" w:cs="仿宋"/>
          <w:bCs/>
          <w:color w:val="auto"/>
          <w:sz w:val="24"/>
          <w:szCs w:val="24"/>
          <w:highlight w:val="none"/>
          <w:u w:val="single"/>
        </w:rPr>
        <w:t xml:space="preserve">  </w:t>
      </w:r>
    </w:p>
    <w:p w14:paraId="78433052">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w:t>
      </w:r>
    </w:p>
    <w:p w14:paraId="378E0B35">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□采购文件   采购文件获取日期：</w:t>
      </w:r>
      <w:r>
        <w:rPr>
          <w:rFonts w:hint="eastAsia" w:ascii="仿宋" w:hAnsi="仿宋" w:eastAsia="仿宋" w:cs="仿宋"/>
          <w:bCs/>
          <w:color w:val="auto"/>
          <w:sz w:val="24"/>
          <w:szCs w:val="24"/>
          <w:highlight w:val="none"/>
          <w:u w:val="single"/>
        </w:rPr>
        <w:t xml:space="preserve">                                   </w:t>
      </w:r>
    </w:p>
    <w:p w14:paraId="7353A180">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□采购过程   </w:t>
      </w:r>
    </w:p>
    <w:p w14:paraId="2A76E413">
      <w:pPr>
        <w:pStyle w:val="14"/>
        <w:spacing w:line="360" w:lineRule="auto"/>
        <w:ind w:left="29" w:leftChars="12" w:firstLine="352" w:firstLineChars="147"/>
        <w:contextualSpacing/>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□成交结果   </w:t>
      </w:r>
    </w:p>
    <w:p w14:paraId="739036FD">
      <w:pPr>
        <w:pStyle w:val="14"/>
        <w:spacing w:line="360" w:lineRule="auto"/>
        <w:ind w:left="29" w:leftChars="12" w:firstLine="472" w:firstLineChars="196"/>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三、质疑事项具体内容</w:t>
      </w:r>
    </w:p>
    <w:p w14:paraId="336502AD">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质疑事项1：</w:t>
      </w:r>
      <w:r>
        <w:rPr>
          <w:rFonts w:hint="eastAsia" w:ascii="仿宋" w:hAnsi="仿宋" w:eastAsia="仿宋" w:cs="仿宋"/>
          <w:bCs/>
          <w:color w:val="auto"/>
          <w:sz w:val="24"/>
          <w:szCs w:val="24"/>
          <w:highlight w:val="none"/>
          <w:u w:val="single"/>
        </w:rPr>
        <w:t xml:space="preserve">                                                                    </w:t>
      </w:r>
    </w:p>
    <w:p w14:paraId="6567F82A">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事实依据：</w:t>
      </w:r>
      <w:r>
        <w:rPr>
          <w:rFonts w:hint="eastAsia" w:ascii="仿宋" w:hAnsi="仿宋" w:eastAsia="仿宋" w:cs="仿宋"/>
          <w:bCs/>
          <w:color w:val="auto"/>
          <w:sz w:val="24"/>
          <w:szCs w:val="24"/>
          <w:highlight w:val="none"/>
          <w:u w:val="single"/>
        </w:rPr>
        <w:t xml:space="preserve">                                                                      </w:t>
      </w:r>
    </w:p>
    <w:p w14:paraId="71C54D40">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法律依据：</w:t>
      </w:r>
      <w:r>
        <w:rPr>
          <w:rFonts w:hint="eastAsia" w:ascii="仿宋" w:hAnsi="仿宋" w:eastAsia="仿宋" w:cs="仿宋"/>
          <w:color w:val="auto"/>
          <w:sz w:val="24"/>
          <w:szCs w:val="24"/>
          <w:highlight w:val="none"/>
          <w:u w:val="single"/>
        </w:rPr>
        <w:t xml:space="preserve">                                                        </w:t>
      </w:r>
      <w:r>
        <w:rPr>
          <w:rFonts w:hint="eastAsia" w:ascii="仿宋" w:hAnsi="仿宋" w:eastAsia="仿宋" w:cs="仿宋"/>
          <w:bCs/>
          <w:color w:val="auto"/>
          <w:sz w:val="24"/>
          <w:szCs w:val="24"/>
          <w:highlight w:val="none"/>
          <w:u w:val="single"/>
        </w:rPr>
        <w:t xml:space="preserve">               </w:t>
      </w:r>
    </w:p>
    <w:p w14:paraId="4C1AC452">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质疑事项2</w:t>
      </w:r>
    </w:p>
    <w:p w14:paraId="3996FE0E">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75A15281">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四、与质疑事项相关的质疑请求：</w:t>
      </w:r>
    </w:p>
    <w:p w14:paraId="194EE70F">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11E0F059">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p>
    <w:p w14:paraId="559DC901">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162EAE7A">
      <w:pPr>
        <w:pStyle w:val="14"/>
        <w:spacing w:line="360" w:lineRule="auto"/>
        <w:ind w:left="29" w:leftChars="12" w:firstLine="352" w:firstLineChars="147"/>
        <w:contextualSpacing/>
        <w:rPr>
          <w:rFonts w:hint="eastAsia" w:ascii="仿宋" w:hAnsi="仿宋" w:eastAsia="仿宋" w:cs="仿宋"/>
          <w:color w:val="auto"/>
          <w:sz w:val="24"/>
          <w:szCs w:val="24"/>
          <w:highlight w:val="none"/>
        </w:rPr>
      </w:pPr>
    </w:p>
    <w:p w14:paraId="577B321D">
      <w:pPr>
        <w:pStyle w:val="14"/>
        <w:spacing w:line="360" w:lineRule="auto"/>
        <w:ind w:left="29" w:leftChars="12" w:firstLine="472" w:firstLineChars="197"/>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791EFA20">
      <w:pPr>
        <w:pStyle w:val="14"/>
        <w:spacing w:line="360" w:lineRule="auto"/>
        <w:rPr>
          <w:rFonts w:hint="eastAsia" w:ascii="仿宋" w:hAnsi="仿宋" w:eastAsia="仿宋" w:cs="仿宋"/>
          <w:b/>
          <w:color w:val="auto"/>
          <w:sz w:val="24"/>
          <w:szCs w:val="24"/>
          <w:highlight w:val="none"/>
        </w:rPr>
      </w:pPr>
    </w:p>
    <w:p w14:paraId="538426A5">
      <w:pPr>
        <w:pStyle w:val="14"/>
        <w:spacing w:line="360" w:lineRule="auto"/>
        <w:rPr>
          <w:rFonts w:hint="eastAsia" w:ascii="仿宋" w:hAnsi="仿宋" w:eastAsia="仿宋" w:cs="仿宋"/>
          <w:b/>
          <w:color w:val="auto"/>
          <w:sz w:val="24"/>
          <w:szCs w:val="24"/>
          <w:highlight w:val="none"/>
        </w:rPr>
      </w:pPr>
    </w:p>
    <w:p w14:paraId="14533886">
      <w:pPr>
        <w:pStyle w:val="14"/>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77328AC5">
      <w:pPr>
        <w:pStyle w:val="14"/>
        <w:spacing w:line="360" w:lineRule="auto"/>
        <w:ind w:left="29" w:leftChars="12" w:firstLine="354" w:firstLineChars="147"/>
        <w:contextualSpacing/>
        <w:rPr>
          <w:rFonts w:hint="eastAsia" w:ascii="仿宋" w:hAnsi="仿宋" w:eastAsia="仿宋" w:cs="仿宋"/>
          <w:b/>
          <w:bCs/>
          <w:color w:val="auto"/>
          <w:sz w:val="24"/>
          <w:szCs w:val="24"/>
          <w:highlight w:val="none"/>
        </w:rPr>
      </w:pPr>
      <w:r>
        <w:rPr>
          <w:rFonts w:hint="eastAsia" w:ascii="仿宋" w:hAnsi="仿宋" w:eastAsia="仿宋" w:cs="仿宋"/>
          <w:b/>
          <w:color w:val="auto"/>
          <w:sz w:val="24"/>
          <w:szCs w:val="24"/>
          <w:highlight w:val="none"/>
        </w:rPr>
        <w:t>1.供应商提出质疑时，应提交质疑函和必要的证明材料</w:t>
      </w:r>
      <w:r>
        <w:rPr>
          <w:rFonts w:hint="eastAsia" w:ascii="仿宋" w:hAnsi="仿宋" w:eastAsia="仿宋" w:cs="仿宋"/>
          <w:b/>
          <w:bCs/>
          <w:color w:val="auto"/>
          <w:sz w:val="24"/>
          <w:szCs w:val="24"/>
          <w:highlight w:val="none"/>
        </w:rPr>
        <w:t>。</w:t>
      </w:r>
    </w:p>
    <w:p w14:paraId="13261128">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EDFE98C">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3.质疑函的质疑事项应具体、明确，并有必要的事实依据和法律依据。</w:t>
      </w:r>
    </w:p>
    <w:p w14:paraId="680E0B71">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4.质疑函的质疑请求应与质疑事项相关。</w:t>
      </w:r>
    </w:p>
    <w:p w14:paraId="4242BA75">
      <w:pPr>
        <w:pStyle w:val="14"/>
        <w:spacing w:line="360" w:lineRule="auto"/>
        <w:ind w:left="29" w:leftChars="12" w:firstLine="354" w:firstLineChars="147"/>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5.质疑供应商为法人或者其他组织的，质疑函应由法定代表人、主要负责人，或者其授权代表签字或者盖章，并加盖公章。</w:t>
      </w:r>
    </w:p>
    <w:p w14:paraId="37726F1A">
      <w:pPr>
        <w:pStyle w:val="14"/>
        <w:snapToGrid w:val="0"/>
        <w:rPr>
          <w:rFonts w:hint="eastAsia" w:ascii="仿宋" w:hAnsi="仿宋" w:eastAsia="仿宋" w:cs="仿宋"/>
          <w:b/>
          <w:color w:val="auto"/>
          <w:sz w:val="24"/>
          <w:szCs w:val="24"/>
          <w:highlight w:val="none"/>
        </w:rPr>
      </w:pPr>
    </w:p>
    <w:p w14:paraId="4CDA9364">
      <w:pPr>
        <w:spacing w:line="46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br w:type="page"/>
      </w:r>
    </w:p>
    <w:p w14:paraId="78A3193F">
      <w:pPr>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投诉书（格式）</w:t>
      </w:r>
    </w:p>
    <w:p w14:paraId="678C4747">
      <w:pPr>
        <w:pStyle w:val="14"/>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一、投诉相关主体基本情况：</w:t>
      </w:r>
    </w:p>
    <w:p w14:paraId="1739F38F">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供应商：</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E0D415C">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41D231F3">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法定代表人/主要负责人：</w:t>
      </w:r>
      <w:r>
        <w:rPr>
          <w:rFonts w:hint="eastAsia" w:ascii="仿宋" w:hAnsi="仿宋" w:eastAsia="仿宋" w:cs="仿宋"/>
          <w:bCs/>
          <w:color w:val="auto"/>
          <w:sz w:val="24"/>
          <w:szCs w:val="24"/>
          <w:highlight w:val="none"/>
          <w:u w:val="single"/>
        </w:rPr>
        <w:t xml:space="preserve">                                                         </w:t>
      </w:r>
    </w:p>
    <w:p w14:paraId="6EE62249">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438F669B">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授权代表：</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569FC458">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594BAE8E">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58DB1004">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被投诉人1：</w:t>
      </w:r>
    </w:p>
    <w:p w14:paraId="7DF2C6A7">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p>
    <w:p w14:paraId="1B8807ED">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13A7F897">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p>
    <w:p w14:paraId="0A44A71D">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被投诉人2：</w:t>
      </w:r>
    </w:p>
    <w:p w14:paraId="6266D5AE">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50929B2D">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相关供应商：</w:t>
      </w:r>
      <w:r>
        <w:rPr>
          <w:rFonts w:hint="eastAsia" w:ascii="仿宋" w:hAnsi="仿宋" w:eastAsia="仿宋" w:cs="仿宋"/>
          <w:bCs/>
          <w:color w:val="auto"/>
          <w:sz w:val="24"/>
          <w:szCs w:val="24"/>
          <w:highlight w:val="none"/>
          <w:u w:val="single"/>
        </w:rPr>
        <w:t xml:space="preserve">                                                                       </w:t>
      </w:r>
    </w:p>
    <w:p w14:paraId="0FA7EB94">
      <w:pPr>
        <w:pStyle w:val="14"/>
        <w:snapToGrid w:val="0"/>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地址：</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邮编：</w:t>
      </w:r>
      <w:r>
        <w:rPr>
          <w:rFonts w:hint="eastAsia" w:ascii="仿宋" w:hAnsi="仿宋" w:eastAsia="仿宋" w:cs="仿宋"/>
          <w:bCs/>
          <w:color w:val="auto"/>
          <w:sz w:val="24"/>
          <w:szCs w:val="24"/>
          <w:highlight w:val="none"/>
          <w:u w:val="single"/>
        </w:rPr>
        <w:t xml:space="preserve">                         </w:t>
      </w:r>
    </w:p>
    <w:p w14:paraId="64B852E9">
      <w:pPr>
        <w:pStyle w:val="14"/>
        <w:snapToGrid w:val="0"/>
        <w:spacing w:line="360" w:lineRule="auto"/>
        <w:ind w:firstLine="480" w:firstLineChars="20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联系人：</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联系电话：</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 xml:space="preserve">                </w:t>
      </w:r>
    </w:p>
    <w:p w14:paraId="285CE4E5">
      <w:pPr>
        <w:pStyle w:val="14"/>
        <w:snapToGri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二、投诉项目基本情况：</w:t>
      </w:r>
    </w:p>
    <w:p w14:paraId="76CDFF45">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项目的名称：</w:t>
      </w:r>
      <w:r>
        <w:rPr>
          <w:rFonts w:hint="eastAsia" w:ascii="仿宋" w:hAnsi="仿宋" w:eastAsia="仿宋" w:cs="仿宋"/>
          <w:bCs/>
          <w:color w:val="auto"/>
          <w:sz w:val="24"/>
          <w:szCs w:val="24"/>
          <w:highlight w:val="none"/>
          <w:u w:val="single"/>
        </w:rPr>
        <w:t xml:space="preserve">  </w:t>
      </w:r>
      <w:bookmarkStart w:id="293" w:name="PO_3000001868_PM002_17"/>
      <w:r>
        <w:rPr>
          <w:rFonts w:hint="eastAsia" w:ascii="仿宋" w:hAnsi="仿宋" w:eastAsia="仿宋" w:cs="仿宋"/>
          <w:bCs/>
          <w:color w:val="auto"/>
          <w:sz w:val="24"/>
          <w:szCs w:val="24"/>
          <w:highlight w:val="none"/>
          <w:u w:val="single"/>
        </w:rPr>
        <w:t>[项目名称]</w:t>
      </w:r>
      <w:bookmarkEnd w:id="293"/>
      <w:r>
        <w:rPr>
          <w:rFonts w:hint="eastAsia" w:ascii="仿宋" w:hAnsi="仿宋" w:eastAsia="仿宋" w:cs="仿宋"/>
          <w:bCs/>
          <w:color w:val="auto"/>
          <w:sz w:val="24"/>
          <w:szCs w:val="24"/>
          <w:highlight w:val="none"/>
          <w:u w:val="single"/>
        </w:rPr>
        <w:t xml:space="preserve">    </w:t>
      </w:r>
    </w:p>
    <w:p w14:paraId="0E31B52A">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采购</w:t>
      </w:r>
      <w:r>
        <w:rPr>
          <w:rFonts w:hint="eastAsia" w:ascii="仿宋" w:hAnsi="仿宋" w:eastAsia="仿宋" w:cs="仿宋"/>
          <w:color w:val="auto"/>
          <w:sz w:val="24"/>
          <w:szCs w:val="24"/>
          <w:highlight w:val="none"/>
        </w:rPr>
        <w:t>项目的编号：</w:t>
      </w:r>
      <w:r>
        <w:rPr>
          <w:rFonts w:hint="eastAsia" w:ascii="仿宋" w:hAnsi="仿宋" w:eastAsia="仿宋" w:cs="仿宋"/>
          <w:bCs/>
          <w:color w:val="auto"/>
          <w:sz w:val="24"/>
          <w:szCs w:val="24"/>
          <w:highlight w:val="none"/>
          <w:u w:val="single"/>
        </w:rPr>
        <w:t xml:space="preserve">  </w:t>
      </w:r>
      <w:bookmarkStart w:id="294" w:name="PO_3000001868_PM001_14"/>
      <w:r>
        <w:rPr>
          <w:rFonts w:hint="eastAsia" w:ascii="仿宋" w:hAnsi="仿宋" w:eastAsia="仿宋" w:cs="仿宋"/>
          <w:bCs/>
          <w:color w:val="auto"/>
          <w:sz w:val="24"/>
          <w:szCs w:val="24"/>
          <w:highlight w:val="none"/>
          <w:u w:val="single"/>
        </w:rPr>
        <w:t>[项目编号]</w:t>
      </w:r>
      <w:bookmarkEnd w:id="294"/>
      <w:r>
        <w:rPr>
          <w:rFonts w:hint="eastAsia" w:ascii="仿宋" w:hAnsi="仿宋" w:eastAsia="仿宋" w:cs="仿宋"/>
          <w:bCs/>
          <w:color w:val="auto"/>
          <w:sz w:val="24"/>
          <w:szCs w:val="24"/>
          <w:highlight w:val="none"/>
          <w:u w:val="single"/>
        </w:rPr>
        <w:t xml:space="preserve">    </w:t>
      </w:r>
    </w:p>
    <w:p w14:paraId="5BB7B5B3">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采购人名称：</w:t>
      </w:r>
      <w:r>
        <w:rPr>
          <w:rFonts w:hint="eastAsia" w:ascii="仿宋" w:hAnsi="仿宋" w:eastAsia="仿宋" w:cs="仿宋"/>
          <w:bCs/>
          <w:color w:val="auto"/>
          <w:sz w:val="24"/>
          <w:szCs w:val="24"/>
          <w:highlight w:val="none"/>
          <w:u w:val="single"/>
        </w:rPr>
        <w:t xml:space="preserve"> </w:t>
      </w:r>
      <w:bookmarkStart w:id="295" w:name="PO_3000001868_PM026_8"/>
      <w:r>
        <w:rPr>
          <w:rFonts w:hint="eastAsia" w:ascii="仿宋" w:hAnsi="仿宋" w:eastAsia="仿宋" w:cs="仿宋"/>
          <w:bCs/>
          <w:color w:val="auto"/>
          <w:sz w:val="24"/>
          <w:szCs w:val="24"/>
          <w:highlight w:val="none"/>
          <w:u w:val="single"/>
        </w:rPr>
        <w:t>[采购人]</w:t>
      </w:r>
      <w:bookmarkEnd w:id="295"/>
      <w:r>
        <w:rPr>
          <w:rFonts w:hint="eastAsia" w:ascii="仿宋" w:hAnsi="仿宋" w:eastAsia="仿宋" w:cs="仿宋"/>
          <w:bCs/>
          <w:color w:val="auto"/>
          <w:sz w:val="24"/>
          <w:szCs w:val="24"/>
          <w:highlight w:val="none"/>
          <w:u w:val="single"/>
        </w:rPr>
        <w:t xml:space="preserve">                </w:t>
      </w:r>
    </w:p>
    <w:p w14:paraId="64EAAED7">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代理机构名称：</w:t>
      </w:r>
      <w:r>
        <w:rPr>
          <w:rFonts w:hint="eastAsia" w:ascii="仿宋" w:hAnsi="仿宋" w:eastAsia="仿宋" w:cs="仿宋"/>
          <w:bCs/>
          <w:color w:val="auto"/>
          <w:sz w:val="24"/>
          <w:szCs w:val="24"/>
          <w:highlight w:val="none"/>
          <w:u w:val="single"/>
        </w:rPr>
        <w:t xml:space="preserve"> </w:t>
      </w:r>
      <w:bookmarkStart w:id="296" w:name="PO_3000001868_PM031_5"/>
      <w:r>
        <w:rPr>
          <w:rFonts w:hint="eastAsia" w:ascii="仿宋" w:hAnsi="仿宋" w:eastAsia="仿宋" w:cs="仿宋"/>
          <w:bCs/>
          <w:color w:val="auto"/>
          <w:sz w:val="24"/>
          <w:szCs w:val="24"/>
          <w:highlight w:val="none"/>
          <w:u w:val="single"/>
        </w:rPr>
        <w:t>[采购组织机构]</w:t>
      </w:r>
      <w:bookmarkEnd w:id="296"/>
      <w:r>
        <w:rPr>
          <w:rFonts w:hint="eastAsia" w:ascii="仿宋" w:hAnsi="仿宋" w:eastAsia="仿宋" w:cs="仿宋"/>
          <w:bCs/>
          <w:color w:val="auto"/>
          <w:sz w:val="24"/>
          <w:szCs w:val="24"/>
          <w:highlight w:val="none"/>
          <w:u w:val="single"/>
        </w:rPr>
        <w:t xml:space="preserve">                </w:t>
      </w:r>
    </w:p>
    <w:p w14:paraId="0E3FEFEB">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招标文件公告：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57209CFC">
      <w:pPr>
        <w:pStyle w:val="14"/>
        <w:spacing w:line="360" w:lineRule="auto"/>
        <w:ind w:left="29" w:leftChars="12" w:firstLine="472" w:firstLineChars="197"/>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采购结果公告：</w:t>
      </w:r>
      <w:r>
        <w:rPr>
          <w:rFonts w:hint="eastAsia" w:ascii="仿宋" w:hAnsi="仿宋" w:eastAsia="仿宋" w:cs="仿宋"/>
          <w:bCs/>
          <w:color w:val="auto"/>
          <w:sz w:val="24"/>
          <w:szCs w:val="24"/>
          <w:highlight w:val="none"/>
          <w:u w:val="single"/>
        </w:rPr>
        <w:t>是/否</w:t>
      </w:r>
      <w:r>
        <w:rPr>
          <w:rFonts w:hint="eastAsia" w:ascii="仿宋" w:hAnsi="仿宋" w:eastAsia="仿宋" w:cs="仿宋"/>
          <w:bCs/>
          <w:color w:val="auto"/>
          <w:sz w:val="24"/>
          <w:szCs w:val="24"/>
          <w:highlight w:val="none"/>
        </w:rPr>
        <w:t>公告期限：</w:t>
      </w:r>
      <w:r>
        <w:rPr>
          <w:rFonts w:hint="eastAsia" w:ascii="仿宋" w:hAnsi="仿宋" w:eastAsia="仿宋" w:cs="仿宋"/>
          <w:bCs/>
          <w:color w:val="auto"/>
          <w:sz w:val="24"/>
          <w:szCs w:val="24"/>
          <w:highlight w:val="none"/>
          <w:u w:val="single"/>
        </w:rPr>
        <w:t xml:space="preserve">                                                       </w:t>
      </w:r>
    </w:p>
    <w:p w14:paraId="5F7122CF">
      <w:pPr>
        <w:pStyle w:val="14"/>
        <w:spacing w:line="360" w:lineRule="auto"/>
        <w:ind w:left="29"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三、质疑基本情况</w:t>
      </w:r>
    </w:p>
    <w:p w14:paraId="2D15A806">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投诉人于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日，向</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提出质疑，质疑事项为：</w:t>
      </w:r>
    </w:p>
    <w:p w14:paraId="2FD9D45D">
      <w:pPr>
        <w:pStyle w:val="14"/>
        <w:spacing w:line="360" w:lineRule="auto"/>
        <w:ind w:firstLine="241"/>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026A8D46">
      <w:pPr>
        <w:pStyle w:val="14"/>
        <w:spacing w:line="360" w:lineRule="auto"/>
        <w:ind w:firstLine="241"/>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28BD8DE3">
      <w:pPr>
        <w:pStyle w:val="14"/>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采购人/代理机构</w:t>
      </w:r>
      <w:r>
        <w:rPr>
          <w:rFonts w:hint="eastAsia" w:ascii="仿宋" w:hAnsi="仿宋" w:eastAsia="仿宋" w:cs="仿宋"/>
          <w:bCs/>
          <w:color w:val="auto"/>
          <w:sz w:val="24"/>
          <w:szCs w:val="24"/>
          <w:highlight w:val="none"/>
        </w:rPr>
        <w:t>于</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r>
        <w:rPr>
          <w:rFonts w:hint="eastAsia" w:ascii="仿宋" w:hAnsi="仿宋" w:eastAsia="仿宋" w:cs="仿宋"/>
          <w:bCs/>
          <w:color w:val="auto"/>
          <w:sz w:val="24"/>
          <w:szCs w:val="24"/>
          <w:highlight w:val="none"/>
        </w:rPr>
        <w:t xml:space="preserve">就质疑事项作出了答复/没有在法定期限内作出答复。                                                                                             </w:t>
      </w:r>
    </w:p>
    <w:p w14:paraId="04097800">
      <w:pPr>
        <w:pStyle w:val="14"/>
        <w:spacing w:line="360" w:lineRule="auto"/>
        <w:ind w:left="29"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四、投诉事项具体内容</w:t>
      </w:r>
    </w:p>
    <w:p w14:paraId="0910BA52">
      <w:pPr>
        <w:pStyle w:val="14"/>
        <w:spacing w:line="360" w:lineRule="auto"/>
        <w:ind w:left="29" w:leftChars="12" w:firstLine="472" w:firstLineChars="197"/>
        <w:rPr>
          <w:rFonts w:hint="eastAsia" w:ascii="仿宋" w:hAnsi="仿宋" w:eastAsia="仿宋" w:cs="仿宋"/>
          <w:bCs/>
          <w:color w:val="auto"/>
          <w:sz w:val="24"/>
          <w:szCs w:val="24"/>
          <w:highlight w:val="none"/>
          <w:u w:val="single"/>
        </w:rPr>
      </w:pPr>
      <w:r>
        <w:rPr>
          <w:rFonts w:hint="eastAsia" w:ascii="仿宋" w:hAnsi="仿宋" w:eastAsia="仿宋" w:cs="仿宋"/>
          <w:color w:val="auto"/>
          <w:sz w:val="24"/>
          <w:szCs w:val="24"/>
          <w:highlight w:val="none"/>
        </w:rPr>
        <w:t>投诉事项1：</w:t>
      </w:r>
      <w:r>
        <w:rPr>
          <w:rFonts w:hint="eastAsia" w:ascii="仿宋" w:hAnsi="仿宋" w:eastAsia="仿宋" w:cs="仿宋"/>
          <w:bCs/>
          <w:color w:val="auto"/>
          <w:sz w:val="24"/>
          <w:szCs w:val="24"/>
          <w:highlight w:val="none"/>
          <w:u w:val="single"/>
        </w:rPr>
        <w:t xml:space="preserve">                                                                           </w:t>
      </w:r>
    </w:p>
    <w:p w14:paraId="6B49A656">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事实依据：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2C0EE554">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u w:val="single"/>
        </w:rPr>
        <w:t xml:space="preserve">                                                                                        </w:t>
      </w:r>
    </w:p>
    <w:p w14:paraId="25C9928F">
      <w:pPr>
        <w:pStyle w:val="14"/>
        <w:spacing w:line="360" w:lineRule="auto"/>
        <w:ind w:firstLine="480" w:firstLineChars="200"/>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法律依据：</w:t>
      </w:r>
      <w:r>
        <w:rPr>
          <w:rFonts w:hint="eastAsia" w:ascii="仿宋" w:hAnsi="仿宋" w:eastAsia="仿宋" w:cs="仿宋"/>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00CC56DF">
      <w:pPr>
        <w:pStyle w:val="14"/>
        <w:spacing w:line="360" w:lineRule="auto"/>
        <w:ind w:left="29" w:leftChars="12" w:firstLine="352" w:firstLineChars="147"/>
        <w:rPr>
          <w:rFonts w:hint="eastAsia" w:ascii="仿宋" w:hAnsi="仿宋" w:eastAsia="仿宋" w:cs="仿宋"/>
          <w:bCs/>
          <w:color w:val="auto"/>
          <w:sz w:val="24"/>
          <w:szCs w:val="24"/>
          <w:highlight w:val="none"/>
          <w:u w:val="single"/>
        </w:rPr>
      </w:pPr>
      <w:r>
        <w:rPr>
          <w:rFonts w:hint="eastAsia" w:ascii="仿宋" w:hAnsi="仿宋" w:eastAsia="仿宋" w:cs="仿宋"/>
          <w:bCs/>
          <w:color w:val="auto"/>
          <w:sz w:val="24"/>
          <w:szCs w:val="24"/>
          <w:highlight w:val="none"/>
        </w:rPr>
        <w:t xml:space="preserve"> </w:t>
      </w:r>
      <w:r>
        <w:rPr>
          <w:rFonts w:hint="eastAsia" w:ascii="仿宋" w:hAnsi="仿宋" w:eastAsia="仿宋" w:cs="仿宋"/>
          <w:bCs/>
          <w:color w:val="auto"/>
          <w:sz w:val="24"/>
          <w:szCs w:val="24"/>
          <w:highlight w:val="none"/>
          <w:u w:val="single"/>
        </w:rPr>
        <w:t xml:space="preserve">                                                                                        </w:t>
      </w:r>
    </w:p>
    <w:p w14:paraId="35D92AD9">
      <w:pPr>
        <w:pStyle w:val="14"/>
        <w:spacing w:line="360" w:lineRule="auto"/>
        <w:ind w:left="29"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color w:val="auto"/>
          <w:sz w:val="24"/>
          <w:szCs w:val="24"/>
          <w:highlight w:val="none"/>
        </w:rPr>
        <w:t xml:space="preserve">投诉事项2  </w:t>
      </w:r>
      <w:r>
        <w:rPr>
          <w:rFonts w:hint="eastAsia" w:ascii="仿宋" w:hAnsi="仿宋" w:eastAsia="仿宋" w:cs="仿宋"/>
          <w:bCs/>
          <w:color w:val="auto"/>
          <w:sz w:val="24"/>
          <w:szCs w:val="24"/>
          <w:highlight w:val="none"/>
        </w:rPr>
        <w:t xml:space="preserve">   </w:t>
      </w:r>
    </w:p>
    <w:p w14:paraId="6EBB97B2">
      <w:pPr>
        <w:pStyle w:val="14"/>
        <w:spacing w:line="360" w:lineRule="auto"/>
        <w:ind w:left="29" w:leftChars="12" w:firstLine="472" w:firstLineChars="197"/>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w:t>
      </w:r>
    </w:p>
    <w:p w14:paraId="43F68D36">
      <w:pPr>
        <w:pStyle w:val="14"/>
        <w:spacing w:line="360" w:lineRule="auto"/>
        <w:ind w:left="29" w:leftChars="12" w:firstLine="472" w:firstLineChars="196"/>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五、与投诉事项相关的投诉请求：</w:t>
      </w:r>
    </w:p>
    <w:p w14:paraId="2F02624A">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请求：</w:t>
      </w:r>
      <w:r>
        <w:rPr>
          <w:rFonts w:hint="eastAsia" w:ascii="仿宋" w:hAnsi="仿宋" w:eastAsia="仿宋" w:cs="仿宋"/>
          <w:bCs/>
          <w:color w:val="auto"/>
          <w:sz w:val="24"/>
          <w:szCs w:val="24"/>
          <w:highlight w:val="none"/>
          <w:u w:val="single"/>
        </w:rPr>
        <w:t xml:space="preserve">                                                                                 </w:t>
      </w:r>
    </w:p>
    <w:p w14:paraId="625954E1">
      <w:pPr>
        <w:pStyle w:val="14"/>
        <w:spacing w:line="360" w:lineRule="auto"/>
        <w:ind w:left="29" w:leftChars="12" w:firstLine="352" w:firstLineChars="147"/>
        <w:rPr>
          <w:rFonts w:hint="eastAsia" w:ascii="仿宋" w:hAnsi="仿宋" w:eastAsia="仿宋" w:cs="仿宋"/>
          <w:color w:val="auto"/>
          <w:sz w:val="24"/>
          <w:szCs w:val="24"/>
          <w:highlight w:val="none"/>
        </w:rPr>
      </w:pPr>
    </w:p>
    <w:p w14:paraId="4E49AF9A">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签字（签章）：                                       公章：</w:t>
      </w:r>
    </w:p>
    <w:p w14:paraId="33061267">
      <w:pPr>
        <w:pStyle w:val="14"/>
        <w:spacing w:line="360" w:lineRule="auto"/>
        <w:ind w:left="29" w:leftChars="12" w:firstLine="352" w:firstLineChars="147"/>
        <w:rPr>
          <w:rFonts w:hint="eastAsia" w:ascii="仿宋" w:hAnsi="仿宋" w:eastAsia="仿宋" w:cs="仿宋"/>
          <w:color w:val="auto"/>
          <w:sz w:val="24"/>
          <w:szCs w:val="24"/>
          <w:highlight w:val="none"/>
        </w:rPr>
      </w:pPr>
    </w:p>
    <w:p w14:paraId="618175DC">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日期：</w:t>
      </w:r>
    </w:p>
    <w:p w14:paraId="44ED078C">
      <w:pPr>
        <w:pStyle w:val="14"/>
        <w:spacing w:line="360" w:lineRule="auto"/>
        <w:ind w:left="29" w:leftChars="12" w:firstLine="472" w:firstLineChars="197"/>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 xml:space="preserve">                                                                                 </w:t>
      </w:r>
    </w:p>
    <w:p w14:paraId="472302F1">
      <w:pPr>
        <w:pStyle w:val="14"/>
        <w:snapToGrid w:val="0"/>
        <w:spacing w:line="360" w:lineRule="auto"/>
        <w:rPr>
          <w:rFonts w:hint="eastAsia" w:ascii="仿宋" w:hAnsi="仿宋" w:eastAsia="仿宋" w:cs="仿宋"/>
          <w:b/>
          <w:color w:val="auto"/>
          <w:sz w:val="24"/>
          <w:szCs w:val="24"/>
          <w:highlight w:val="none"/>
        </w:rPr>
      </w:pPr>
    </w:p>
    <w:p w14:paraId="164CB43A">
      <w:pPr>
        <w:pStyle w:val="14"/>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说明：</w:t>
      </w:r>
    </w:p>
    <w:p w14:paraId="38657EC8">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1.投诉人提起投诉时，应当提交投诉书和必要的证明材料，并按照被投诉人和与投诉事项有关的供应商数量提供投诉书副本。</w:t>
      </w:r>
    </w:p>
    <w:p w14:paraId="5658015F">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4A6D5C7">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3.投诉书应简要列明质疑事项，质疑函、质疑答复等作为附件材料提供。</w:t>
      </w:r>
    </w:p>
    <w:p w14:paraId="2834C5D8">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4.投诉书的投诉事项应具体、明确，并有必要的事实依据和法律依据。</w:t>
      </w:r>
    </w:p>
    <w:p w14:paraId="49DEAC93">
      <w:pPr>
        <w:pStyle w:val="14"/>
        <w:spacing w:line="360" w:lineRule="auto"/>
        <w:ind w:firstLine="482" w:firstLineChars="200"/>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5.投诉书的投诉请求应与投诉事项相关。</w:t>
      </w:r>
    </w:p>
    <w:p w14:paraId="2DECF332">
      <w:pPr>
        <w:pStyle w:val="14"/>
        <w:spacing w:line="360" w:lineRule="auto"/>
        <w:ind w:firstLine="482" w:firstLineChars="200"/>
        <w:rPr>
          <w:rFonts w:hint="eastAsia" w:ascii="仿宋" w:hAnsi="仿宋" w:eastAsia="仿宋" w:cs="仿宋"/>
          <w:color w:val="auto"/>
          <w:highlight w:val="none"/>
        </w:rPr>
      </w:pPr>
      <w:r>
        <w:rPr>
          <w:rFonts w:hint="eastAsia" w:ascii="仿宋" w:hAnsi="仿宋" w:eastAsia="仿宋" w:cs="仿宋"/>
          <w:b/>
          <w:color w:val="auto"/>
          <w:kern w:val="2"/>
          <w:sz w:val="24"/>
          <w:szCs w:val="24"/>
          <w:highlight w:val="none"/>
          <w:lang w:val="en-US" w:eastAsia="zh-CN" w:bidi="ar-SA"/>
        </w:rPr>
        <w:t>6.投诉人为法人或者其他组织的，投诉书应由法定代表人、主要负责人，或者其授权代表签字或者盖章，并加盖公章</w:t>
      </w:r>
      <w:r>
        <w:rPr>
          <w:rFonts w:hint="eastAsia" w:ascii="仿宋" w:hAnsi="仿宋" w:eastAsia="仿宋" w:cs="仿宋"/>
          <w:b/>
          <w:color w:val="auto"/>
          <w:sz w:val="24"/>
          <w:highlight w:val="none"/>
        </w:rPr>
        <w:t>。</w:t>
      </w:r>
    </w:p>
    <w:sectPr>
      <w:footerReference r:id="rId9" w:type="first"/>
      <w:footerReference r:id="rId8" w:type="default"/>
      <w:pgSz w:w="11911" w:h="16838"/>
      <w:pgMar w:top="1417" w:right="1417" w:bottom="1417" w:left="1417" w:header="720" w:footer="720" w:gutter="0"/>
      <w:cols w:space="720" w:num="1"/>
      <w:docGrid w:linePitch="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200FF61A-594B-418A-A182-76ABE6E609C3}"/>
  </w:font>
  <w:font w:name="var(--dsw-font-markdown-tabl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Math">
    <w:panose1 w:val="02040503050406030204"/>
    <w:charset w:val="00"/>
    <w:family w:val="auto"/>
    <w:pitch w:val="default"/>
    <w:sig w:usb0="E00006FF" w:usb1="420024FF" w:usb2="02000000" w:usb3="00000000" w:csb0="2000019F" w:csb1="00000000"/>
    <w:embedRegular r:id="rId2" w:fontKey="{5873948B-463F-4C06-9E22-BE5DD532B852}"/>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2D87A">
    <w:pPr>
      <w:pStyle w:val="1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6C92728">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16C92728">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C13F">
    <w:pPr>
      <w:pStyle w:val="1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81305" cy="20574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81305" cy="205740"/>
                      </a:xfrm>
                      <a:prstGeom prst="rect">
                        <a:avLst/>
                      </a:prstGeom>
                      <a:noFill/>
                      <a:ln w="6350">
                        <a:noFill/>
                      </a:ln>
                      <a:effectLst/>
                    </wps:spPr>
                    <wps:txbx>
                      <w:txbxContent>
                        <w:p w14:paraId="3DF36EBE">
                          <w:pPr>
                            <w:pStyle w:val="15"/>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6.2pt;width:22.15pt;mso-position-horizontal:center;mso-position-horizontal-relative:margin;z-index:251661312;mso-width-relative:page;mso-height-relative:page;" filled="f" stroked="f" coordsize="21600,21600" o:gfxdata="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HLNVuPUAAAAAwEAAA8AAAAAAAAAAQAgAAAAIgAAAGRycy9kb3ducmV2&#10;LnhtbFBLAQIUABQAAAAIAIdO4kBKTljlOQIAAGMEAAAOAAAAAAAAAAEAIAAAACMBAABkcnMvZTJv&#10;RG9jLnhtbFBLBQYAAAAABgAGAFkBAADOBQAAAAA=&#10;">
              <v:fill on="f" focussize="0,0"/>
              <v:stroke on="f" weight="0.5pt"/>
              <v:imagedata o:title=""/>
              <o:lock v:ext="edit" aspectratio="f"/>
              <v:textbox inset="0mm,0mm,0mm,0mm">
                <w:txbxContent>
                  <w:p w14:paraId="3DF36EBE">
                    <w:pPr>
                      <w:pStyle w:val="15"/>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EC825">
    <w:pPr>
      <w:pStyle w:val="15"/>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D7B86D9">
                          <w:pPr>
                            <w:pStyle w:val="15"/>
                            <w:jc w:val="center"/>
                          </w:pPr>
                          <w:r>
                            <w:fldChar w:fldCharType="begin"/>
                          </w:r>
                          <w:r>
                            <w:instrText xml:space="preserve"> PAGE  \* MERGEFORMAT </w:instrText>
                          </w:r>
                          <w:r>
                            <w:fldChar w:fldCharType="separate"/>
                          </w:r>
                          <w:r>
                            <w:t>86</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AGT8E72wEAAMADAAAOAAAAAAAAAAEA&#10;IAAAAB4BAABkcnMvZTJvRG9jLnhtbFBLBQYAAAAABgAGAFkBAABrBQAAAAA=&#10;">
              <v:fill on="f" focussize="0,0"/>
              <v:stroke on="f"/>
              <v:imagedata o:title=""/>
              <o:lock v:ext="edit" aspectratio="f"/>
              <v:textbox inset="0mm,0mm,0mm,0mm" style="mso-fit-shape-to-text:t;">
                <w:txbxContent>
                  <w:p w14:paraId="7D7B86D9">
                    <w:pPr>
                      <w:pStyle w:val="15"/>
                      <w:jc w:val="center"/>
                    </w:pPr>
                    <w:r>
                      <w:fldChar w:fldCharType="begin"/>
                    </w:r>
                    <w:r>
                      <w:instrText xml:space="preserve"> PAGE  \* MERGEFORMAT </w:instrText>
                    </w:r>
                    <w:r>
                      <w:fldChar w:fldCharType="separate"/>
                    </w:r>
                    <w:r>
                      <w:t>86</w:t>
                    </w:r>
                    <w:r>
                      <w:fldChar w:fldCharType="end"/>
                    </w:r>
                  </w:p>
                </w:txbxContent>
              </v:textbox>
            </v:shape>
          </w:pict>
        </mc:Fallback>
      </mc:AlternateContent>
    </w:r>
  </w:p>
  <w:p w14:paraId="5506D8C6">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FF81">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7A7BDA">
                          <w:pPr>
                            <w:pStyle w:val="15"/>
                          </w:pPr>
                          <w:r>
                            <w:fldChar w:fldCharType="begin"/>
                          </w:r>
                          <w:r>
                            <w:instrText xml:space="preserve"> PAGE  \* MERGEFORMAT </w:instrText>
                          </w:r>
                          <w:r>
                            <w:fldChar w:fldCharType="separate"/>
                          </w:r>
                          <w:r>
                            <w:t>63</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6pebnPAAAABQEAAA8AAAAAAAAAAQAgAAAA&#10;IgAAAGRycy9kb3ducmV2LnhtbFBLAQIUABQAAAAIAIdO4kBuXPdH2wEAAMADAAAOAAAAAAAAAAEA&#10;IAAAAB4BAABkcnMvZTJvRG9jLnhtbFBLBQYAAAAABgAGAFkBAABrBQAAAAA=&#10;">
              <v:fill on="f" focussize="0,0"/>
              <v:stroke on="f"/>
              <v:imagedata o:title=""/>
              <o:lock v:ext="edit" aspectratio="f"/>
              <v:textbox inset="0mm,0mm,0mm,0mm" style="mso-fit-shape-to-text:t;">
                <w:txbxContent>
                  <w:p w14:paraId="167A7BDA">
                    <w:pPr>
                      <w:pStyle w:val="1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1F618">
    <w:pPr>
      <w:pStyle w:val="16"/>
    </w:pPr>
    <w:r>
      <w:rPr>
        <w:rFonts w:hint="eastAsia"/>
      </w:rPr>
      <w:t>南宁市政府采购竞争性磋商采购文件（项目编号：</w:t>
    </w:r>
    <w:r>
      <w:rPr>
        <w:rFonts w:hint="eastAsia"/>
        <w:lang w:eastAsia="zh-CN"/>
      </w:rPr>
      <w:t>NNZC2026-C3-500011-KWZB</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F3493"/>
    <w:multiLevelType w:val="singleLevel"/>
    <w:tmpl w:val="FFBF3493"/>
    <w:lvl w:ilvl="0" w:tentative="0">
      <w:start w:val="1"/>
      <w:numFmt w:val="decimal"/>
      <w:pStyle w:val="7"/>
      <w:lvlText w:val="%1."/>
      <w:lvlJc w:val="left"/>
      <w:pPr>
        <w:tabs>
          <w:tab w:val="left" w:pos="360"/>
        </w:tabs>
        <w:ind w:left="360" w:hanging="360"/>
      </w:pPr>
    </w:lvl>
  </w:abstractNum>
  <w:abstractNum w:abstractNumId="1">
    <w:nsid w:val="508D7A92"/>
    <w:multiLevelType w:val="singleLevel"/>
    <w:tmpl w:val="508D7A9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36344"/>
    <w:rsid w:val="02741BFF"/>
    <w:rsid w:val="02826542"/>
    <w:rsid w:val="05161694"/>
    <w:rsid w:val="078E4972"/>
    <w:rsid w:val="097D2E44"/>
    <w:rsid w:val="09D81B7F"/>
    <w:rsid w:val="21C82020"/>
    <w:rsid w:val="22FE77F9"/>
    <w:rsid w:val="254621B4"/>
    <w:rsid w:val="26D606E8"/>
    <w:rsid w:val="2CAC2DE6"/>
    <w:rsid w:val="2E0F6425"/>
    <w:rsid w:val="341E24B9"/>
    <w:rsid w:val="34DF068D"/>
    <w:rsid w:val="364D3E34"/>
    <w:rsid w:val="3D474095"/>
    <w:rsid w:val="42E87219"/>
    <w:rsid w:val="4D165AC0"/>
    <w:rsid w:val="4E296BA0"/>
    <w:rsid w:val="52CA126C"/>
    <w:rsid w:val="5736639E"/>
    <w:rsid w:val="58A310F9"/>
    <w:rsid w:val="5C3830CF"/>
    <w:rsid w:val="5E27175F"/>
    <w:rsid w:val="68062404"/>
    <w:rsid w:val="6DF65562"/>
    <w:rsid w:val="78A60180"/>
    <w:rsid w:val="7C7236B9"/>
    <w:rsid w:val="7C8458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qFormat/>
    <w:uiPriority w:val="9"/>
    <w:pPr>
      <w:keepNext/>
      <w:keepLines/>
      <w:spacing w:before="260" w:after="260" w:line="416" w:lineRule="auto"/>
      <w:outlineLvl w:val="2"/>
    </w:pPr>
    <w:rPr>
      <w:b/>
      <w:bCs/>
      <w:sz w:val="32"/>
      <w:szCs w:val="32"/>
    </w:rPr>
  </w:style>
  <w:style w:type="paragraph" w:styleId="6">
    <w:name w:val="heading 4"/>
    <w:basedOn w:val="1"/>
    <w:next w:val="1"/>
    <w:qFormat/>
    <w:uiPriority w:val="0"/>
    <w:pPr>
      <w:adjustRightInd w:val="0"/>
      <w:spacing w:before="120" w:line="360" w:lineRule="auto"/>
      <w:ind w:left="2155" w:hanging="1078"/>
      <w:textAlignment w:val="baseline"/>
      <w:outlineLvl w:val="3"/>
    </w:pPr>
    <w:rPr>
      <w:rFonts w:ascii="Arial" w:eastAsia="黑体"/>
      <w:kern w:val="0"/>
      <w:sz w:val="28"/>
      <w:szCs w:val="20"/>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4">
    <w:name w:val="Body Text"/>
    <w:basedOn w:val="1"/>
    <w:unhideWhenUsed/>
    <w:qFormat/>
    <w:uiPriority w:val="0"/>
    <w:pPr>
      <w:spacing w:after="120"/>
    </w:pPr>
  </w:style>
  <w:style w:type="paragraph" w:styleId="7">
    <w:name w:val="List Number"/>
    <w:basedOn w:val="1"/>
    <w:qFormat/>
    <w:uiPriority w:val="0"/>
    <w:pPr>
      <w:numPr>
        <w:ilvl w:val="0"/>
        <w:numId w:val="1"/>
      </w:numPr>
    </w:pPr>
  </w:style>
  <w:style w:type="paragraph" w:styleId="8">
    <w:name w:val="Normal Indent"/>
    <w:basedOn w:val="1"/>
    <w:next w:val="1"/>
    <w:qFormat/>
    <w:uiPriority w:val="99"/>
    <w:pPr>
      <w:ind w:firstLine="420"/>
    </w:pPr>
    <w:rPr>
      <w:szCs w:val="20"/>
    </w:rPr>
  </w:style>
  <w:style w:type="paragraph" w:styleId="9">
    <w:name w:val="annotation text"/>
    <w:basedOn w:val="1"/>
    <w:qFormat/>
    <w:uiPriority w:val="0"/>
    <w:pPr>
      <w:jc w:val="left"/>
    </w:pPr>
    <w:rPr>
      <w:rFonts w:ascii="Times New Roman" w:hAnsi="Times New Roman"/>
    </w:rPr>
  </w:style>
  <w:style w:type="paragraph" w:styleId="10">
    <w:name w:val="Body Text 3"/>
    <w:basedOn w:val="1"/>
    <w:unhideWhenUsed/>
    <w:qFormat/>
    <w:uiPriority w:val="99"/>
    <w:pPr>
      <w:spacing w:after="120"/>
    </w:pPr>
    <w:rPr>
      <w:sz w:val="16"/>
      <w:szCs w:val="16"/>
    </w:rPr>
  </w:style>
  <w:style w:type="paragraph" w:styleId="11">
    <w:name w:val="Body Text Indent"/>
    <w:basedOn w:val="1"/>
    <w:next w:val="1"/>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toc 3"/>
    <w:basedOn w:val="1"/>
    <w:next w:val="1"/>
    <w:unhideWhenUsed/>
    <w:qFormat/>
    <w:uiPriority w:val="39"/>
    <w:pPr>
      <w:spacing w:line="360" w:lineRule="auto"/>
      <w:ind w:left="840" w:leftChars="400"/>
    </w:pPr>
    <w:rPr>
      <w:rFonts w:eastAsia="宋体"/>
    </w:rPr>
  </w:style>
  <w:style w:type="paragraph" w:styleId="14">
    <w:name w:val="Plain Text"/>
    <w:basedOn w:val="1"/>
    <w:qFormat/>
    <w:uiPriority w:val="0"/>
    <w:rPr>
      <w:rFonts w:ascii="宋体" w:hAnsi="Courier New"/>
      <w:kern w:val="0"/>
      <w:sz w:val="20"/>
      <w:szCs w:val="21"/>
    </w:rPr>
  </w:style>
  <w:style w:type="paragraph" w:styleId="15">
    <w:name w:val="footer"/>
    <w:basedOn w:val="1"/>
    <w:unhideWhenUsed/>
    <w:qFormat/>
    <w:uiPriority w:val="99"/>
    <w:pPr>
      <w:tabs>
        <w:tab w:val="center" w:pos="4153"/>
        <w:tab w:val="right" w:pos="8306"/>
      </w:tabs>
      <w:snapToGrid w:val="0"/>
      <w:jc w:val="left"/>
    </w:pPr>
    <w:rPr>
      <w:kern w:val="0"/>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unhideWhenUsed/>
    <w:qFormat/>
    <w:uiPriority w:val="39"/>
    <w:pPr>
      <w:spacing w:line="360" w:lineRule="auto"/>
    </w:pPr>
    <w:rPr>
      <w:rFonts w:eastAsia="宋体"/>
    </w:rPr>
  </w:style>
  <w:style w:type="paragraph" w:styleId="18">
    <w:name w:val="List"/>
    <w:basedOn w:val="1"/>
    <w:unhideWhenUsed/>
    <w:qFormat/>
    <w:uiPriority w:val="99"/>
    <w:pPr>
      <w:ind w:left="200" w:hanging="200" w:hangingChars="200"/>
      <w:contextualSpacing/>
    </w:pPr>
  </w:style>
  <w:style w:type="paragraph" w:styleId="19">
    <w:name w:val="toc 2"/>
    <w:basedOn w:val="1"/>
    <w:next w:val="1"/>
    <w:unhideWhenUsed/>
    <w:qFormat/>
    <w:uiPriority w:val="39"/>
    <w:pPr>
      <w:tabs>
        <w:tab w:val="right" w:leader="dot" w:pos="8296"/>
      </w:tabs>
      <w:spacing w:line="360" w:lineRule="auto"/>
      <w:ind w:left="420" w:leftChars="200"/>
    </w:pPr>
    <w:rPr>
      <w:rFonts w:eastAsia="宋体"/>
    </w:rPr>
  </w:style>
  <w:style w:type="paragraph" w:styleId="20">
    <w:name w:val="Title"/>
    <w:basedOn w:val="1"/>
    <w:qFormat/>
    <w:uiPriority w:val="0"/>
    <w:pPr>
      <w:spacing w:before="240" w:beforeLines="0" w:beforeAutospacing="0" w:after="60" w:afterLines="0" w:afterAutospacing="0"/>
      <w:jc w:val="center"/>
      <w:outlineLvl w:val="0"/>
    </w:pPr>
    <w:rPr>
      <w:rFonts w:ascii="Arial" w:hAnsi="Arial"/>
    </w:rPr>
  </w:style>
  <w:style w:type="paragraph" w:styleId="21">
    <w:name w:val="Body Text First Indent"/>
    <w:basedOn w:val="4"/>
    <w:unhideWhenUsed/>
    <w:qFormat/>
    <w:uiPriority w:val="99"/>
    <w:pPr>
      <w:spacing w:after="0" w:line="580" w:lineRule="exact"/>
      <w:ind w:firstLine="420" w:firstLineChars="100"/>
    </w:pPr>
    <w:rPr>
      <w:rFonts w:ascii="仿宋_GB2312" w:hAnsi="宋体" w:eastAsia="仿宋_GB2312" w:cs="Times New Roman"/>
      <w:sz w:val="32"/>
      <w:szCs w:val="24"/>
    </w:rPr>
  </w:style>
  <w:style w:type="table" w:styleId="23">
    <w:name w:val="Table Grid"/>
    <w:basedOn w:val="2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unhideWhenUsed/>
    <w:qFormat/>
    <w:uiPriority w:val="99"/>
    <w:rPr>
      <w:color w:val="0000FF"/>
      <w:u w:val="single"/>
    </w:rPr>
  </w:style>
  <w:style w:type="paragraph" w:customStyle="1" w:styleId="27">
    <w:name w:val="正文2"/>
    <w:basedOn w:val="1"/>
    <w:qFormat/>
    <w:uiPriority w:val="0"/>
    <w:pPr>
      <w:adjustRightInd w:val="0"/>
      <w:spacing w:before="156" w:line="360" w:lineRule="auto"/>
      <w:ind w:firstLine="510" w:firstLineChars="200"/>
    </w:pPr>
    <w:rPr>
      <w:kern w:val="0"/>
      <w:sz w:val="24"/>
      <w:szCs w:val="20"/>
    </w:rPr>
  </w:style>
  <w:style w:type="paragraph" w:customStyle="1" w:styleId="28">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29">
    <w:name w:val="正文缩进1"/>
    <w:basedOn w:val="1"/>
    <w:next w:val="11"/>
    <w:qFormat/>
    <w:uiPriority w:val="99"/>
    <w:pPr>
      <w:autoSpaceDE w:val="0"/>
      <w:autoSpaceDN w:val="0"/>
      <w:adjustRightInd w:val="0"/>
      <w:snapToGrid w:val="0"/>
      <w:spacing w:after="120" w:line="360" w:lineRule="auto"/>
      <w:ind w:left="420" w:leftChars="200" w:firstLine="480" w:firstLineChars="200"/>
    </w:pPr>
    <w:rPr>
      <w:sz w:val="24"/>
      <w:szCs w:val="21"/>
    </w:rPr>
  </w:style>
  <w:style w:type="table" w:customStyle="1" w:styleId="30">
    <w:name w:val="Table Normal"/>
    <w:unhideWhenUsed/>
    <w:qFormat/>
    <w:uiPriority w:val="0"/>
    <w:tblPr>
      <w:tblCellMar>
        <w:top w:w="0" w:type="dxa"/>
        <w:left w:w="0" w:type="dxa"/>
        <w:bottom w:w="0" w:type="dxa"/>
        <w:right w:w="0" w:type="dxa"/>
      </w:tblCellMar>
    </w:tblPr>
  </w:style>
  <w:style w:type="paragraph" w:customStyle="1" w:styleId="31">
    <w:name w:val="纯文本11"/>
    <w:basedOn w:val="1"/>
    <w:qFormat/>
    <w:uiPriority w:val="0"/>
    <w:rPr>
      <w:rFonts w:ascii="宋体" w:hAnsi="Courier New"/>
      <w:szCs w:val="20"/>
    </w:rPr>
  </w:style>
  <w:style w:type="character" w:customStyle="1" w:styleId="32">
    <w:name w:val="font41"/>
    <w:basedOn w:val="24"/>
    <w:qFormat/>
    <w:uiPriority w:val="0"/>
    <w:rPr>
      <w:rFonts w:hint="default" w:ascii="var(--dsw-font-markdown-table)" w:hAnsi="var(--dsw-font-markdown-table)" w:eastAsia="var(--dsw-font-markdown-table)" w:cs="var(--dsw-font-markdown-table)"/>
      <w:color w:val="0F1115"/>
      <w:sz w:val="24"/>
      <w:szCs w:val="24"/>
      <w:u w:val="none"/>
    </w:rPr>
  </w:style>
  <w:style w:type="paragraph" w:customStyle="1" w:styleId="33">
    <w:name w:val="List Paragraph"/>
    <w:basedOn w:val="1"/>
    <w:qFormat/>
    <w:uiPriority w:val="0"/>
    <w:pPr>
      <w:ind w:firstLine="420" w:firstLineChars="200"/>
    </w:pPr>
    <w:rPr>
      <w:rFonts w:ascii="Times New Roman" w:hAnsi="Times New Roman"/>
    </w:rPr>
  </w:style>
  <w:style w:type="paragraph" w:customStyle="1" w:styleId="34">
    <w:name w:val="正文-公1"/>
    <w:basedOn w:val="1"/>
    <w:qFormat/>
    <w:uiPriority w:val="0"/>
    <w:pPr>
      <w:ind w:firstLine="200" w:firstLineChars="200"/>
      <w:jc w:val="left"/>
    </w:pPr>
    <w:rPr>
      <w:rFonts w:eastAsia="仿宋_GB2312"/>
    </w:rPr>
  </w:style>
  <w:style w:type="paragraph" w:customStyle="1" w:styleId="35">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36">
    <w:name w:val="Table Text"/>
    <w:basedOn w:val="1"/>
    <w:semiHidden/>
    <w:qFormat/>
    <w:uiPriority w:val="0"/>
    <w:rPr>
      <w:rFonts w:ascii="宋体" w:hAnsi="宋体" w:eastAsia="宋体" w:cs="宋体"/>
      <w:sz w:val="18"/>
      <w:szCs w:val="18"/>
    </w:rPr>
  </w:style>
  <w:style w:type="character" w:customStyle="1" w:styleId="37">
    <w:name w:val="font11"/>
    <w:basedOn w:val="24"/>
    <w:qFormat/>
    <w:uiPriority w:val="0"/>
    <w:rPr>
      <w:rFonts w:hint="eastAsia" w:ascii="宋体" w:hAnsi="宋体" w:eastAsia="宋体" w:cs="宋体"/>
      <w:color w:val="000000"/>
      <w:sz w:val="24"/>
      <w:szCs w:val="24"/>
      <w:u w:val="none"/>
    </w:rPr>
  </w:style>
  <w:style w:type="character" w:customStyle="1" w:styleId="38">
    <w:name w:val="font21"/>
    <w:basedOn w:val="24"/>
    <w:qFormat/>
    <w:uiPriority w:val="0"/>
    <w:rPr>
      <w:rFonts w:hint="eastAsia" w:ascii="宋体" w:hAnsi="宋体" w:eastAsia="宋体" w:cs="宋体"/>
      <w:color w:val="000000"/>
      <w:sz w:val="20"/>
      <w:szCs w:val="20"/>
      <w:u w:val="none"/>
    </w:rPr>
  </w:style>
  <w:style w:type="character" w:customStyle="1" w:styleId="39">
    <w:name w:val="font31"/>
    <w:basedOn w:val="24"/>
    <w:qFormat/>
    <w:uiPriority w:val="0"/>
    <w:rPr>
      <w:rFonts w:hint="eastAsia" w:ascii="仿宋_GB2312" w:eastAsia="仿宋_GB2312"/>
      <w:color w:val="000000"/>
      <w:sz w:val="22"/>
      <w:szCs w:val="22"/>
      <w:u w:val="none"/>
    </w:rPr>
  </w:style>
  <w:style w:type="character" w:customStyle="1" w:styleId="40">
    <w:name w:val="font51"/>
    <w:basedOn w:val="24"/>
    <w:qFormat/>
    <w:uiPriority w:val="0"/>
    <w:rPr>
      <w:rFonts w:hint="default" w:ascii="Times New Roman" w:hAnsi="Times New Roman" w:eastAsia="宋体" w:cs="Times New Roman"/>
      <w:color w:val="000000"/>
      <w:sz w:val="24"/>
      <w:szCs w:val="24"/>
      <w:u w:val="none"/>
    </w:rPr>
  </w:style>
  <w:style w:type="paragraph" w:customStyle="1" w:styleId="41">
    <w:name w:val="Compact"/>
    <w:basedOn w:val="4"/>
    <w:qFormat/>
    <w:uiPriority w:val="0"/>
    <w:pPr>
      <w:spacing w:before="36" w:after="36"/>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153</Pages>
  <Words>13141</Words>
  <Characters>14466</Characters>
  <Lines>0</Lines>
  <Paragraphs>0</Paragraphs>
  <TotalTime>0</TotalTime>
  <ScaleCrop>false</ScaleCrop>
  <LinksUpToDate>false</LinksUpToDate>
  <CharactersWithSpaces>14582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Administrator</cp:lastModifiedBy>
  <cp:lastPrinted>2026-03-26T23:56:00Z</cp:lastPrinted>
  <dcterms:modified xsi:type="dcterms:W3CDTF">2026-08-10T04:06:18Z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eyJoZGlkIjoiYmNmNzU3YmEyNjk5NTFjZjE0NGQ0YTYwYTBlNDQ4NDAiLCJ1c2VySWQiOiI2NjExMjAxOTUifQ==</vt:lpwstr>
  </property>
  <property fmtid="{D5CDD505-2E9C-101B-9397-08002B2CF9AE}" pid="4" name="ICV">
    <vt:lpwstr>BA7021B78E24414BA88C11DCF23E49B8_13</vt:lpwstr>
  </property>
</Properties>
</file>