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E4D94">
      <w:pPr>
        <w:bidi w:val="0"/>
        <w:rPr>
          <w:rFonts w:hint="eastAsia"/>
        </w:rPr>
      </w:pPr>
    </w:p>
    <w:p w14:paraId="76568527">
      <w:pPr>
        <w:bidi w:val="0"/>
        <w:rPr>
          <w:rFonts w:hint="eastAsia"/>
        </w:rPr>
      </w:pPr>
    </w:p>
    <w:p w14:paraId="41D27316">
      <w:pPr>
        <w:bidi w:val="0"/>
        <w:jc w:val="center"/>
        <w:rPr>
          <w:rFonts w:hint="eastAsia" w:ascii="宋体" w:hAnsi="宋体" w:cs="宋体"/>
          <w:color w:val="auto"/>
          <w:sz w:val="72"/>
          <w:szCs w:val="72"/>
          <w:highlight w:val="none"/>
        </w:rPr>
      </w:pPr>
      <w:r>
        <w:rPr>
          <w:rFonts w:hint="eastAsia" w:ascii="宋体" w:hAnsi="宋体" w:eastAsia="宋体" w:cs="宋体"/>
          <w:sz w:val="52"/>
        </w:rPr>
        <w:drawing>
          <wp:inline distT="0" distB="0" distL="114300" distR="114300">
            <wp:extent cx="1564005" cy="2227580"/>
            <wp:effectExtent l="0" t="0" r="17145" b="1270"/>
            <wp:docPr id="9" name="图片 6" descr="科联标志（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科联标志（改）"/>
                    <pic:cNvPicPr>
                      <a:picLocks noChangeAspect="1"/>
                    </pic:cNvPicPr>
                  </pic:nvPicPr>
                  <pic:blipFill>
                    <a:blip r:embed="rId9"/>
                    <a:stretch>
                      <a:fillRect/>
                    </a:stretch>
                  </pic:blipFill>
                  <pic:spPr>
                    <a:xfrm>
                      <a:off x="0" y="0"/>
                      <a:ext cx="1564005" cy="2227580"/>
                    </a:xfrm>
                    <a:prstGeom prst="rect">
                      <a:avLst/>
                    </a:prstGeom>
                    <a:noFill/>
                    <a:ln>
                      <a:noFill/>
                    </a:ln>
                  </pic:spPr>
                </pic:pic>
              </a:graphicData>
            </a:graphic>
          </wp:inline>
        </w:drawing>
      </w:r>
    </w:p>
    <w:p w14:paraId="1D0D285B">
      <w:pPr>
        <w:spacing w:before="331" w:beforeLines="100" w:after="165" w:afterLines="50" w:line="600" w:lineRule="exact"/>
        <w:jc w:val="center"/>
        <w:rPr>
          <w:rFonts w:hint="eastAsia" w:ascii="宋体" w:hAnsi="宋体" w:cs="宋体"/>
          <w:color w:val="auto"/>
          <w:sz w:val="72"/>
          <w:szCs w:val="72"/>
          <w:highlight w:val="none"/>
        </w:rPr>
      </w:pPr>
    </w:p>
    <w:p w14:paraId="0AB11F02">
      <w:pPr>
        <w:spacing w:before="331" w:beforeLines="100" w:after="165" w:afterLines="50" w:line="600" w:lineRule="exact"/>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竞争性磋商文件</w:t>
      </w:r>
    </w:p>
    <w:p w14:paraId="71E53255">
      <w:pPr>
        <w:spacing w:before="331" w:beforeLines="100" w:after="165" w:afterLines="50" w:line="600" w:lineRule="exact"/>
        <w:jc w:val="center"/>
        <w:rPr>
          <w:rFonts w:hint="eastAsia" w:ascii="宋体" w:hAnsi="宋体" w:cs="宋体"/>
          <w:b/>
          <w:color w:val="auto"/>
          <w:sz w:val="44"/>
          <w:szCs w:val="44"/>
          <w:highlight w:val="none"/>
        </w:rPr>
      </w:pPr>
    </w:p>
    <w:p w14:paraId="3E8FD7C4">
      <w:pPr>
        <w:spacing w:before="331" w:beforeLines="100" w:after="165" w:afterLines="50" w:line="600" w:lineRule="exact"/>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（全流程电子化采购）</w:t>
      </w:r>
    </w:p>
    <w:p w14:paraId="2D6CA6EE">
      <w:pPr>
        <w:spacing w:before="331" w:beforeLines="100" w:after="165" w:afterLines="50" w:line="600" w:lineRule="exact"/>
        <w:jc w:val="center"/>
        <w:rPr>
          <w:rFonts w:hint="eastAsia" w:ascii="宋体" w:hAnsi="宋体" w:cs="宋体"/>
          <w:b/>
          <w:color w:val="auto"/>
          <w:sz w:val="44"/>
          <w:szCs w:val="44"/>
          <w:highlight w:val="none"/>
        </w:rPr>
      </w:pPr>
    </w:p>
    <w:p w14:paraId="2C0C5582">
      <w:pPr>
        <w:spacing w:line="400" w:lineRule="exact"/>
        <w:jc w:val="center"/>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 xml:space="preserve">  项目名称：</w:t>
      </w:r>
      <w:r>
        <w:rPr>
          <w:rFonts w:hint="eastAsia" w:ascii="宋体" w:hAnsi="宋体" w:cs="宋体"/>
          <w:b/>
          <w:color w:val="auto"/>
          <w:sz w:val="32"/>
          <w:szCs w:val="32"/>
          <w:highlight w:val="none"/>
          <w:lang w:eastAsia="zh-CN"/>
        </w:rPr>
        <w:t>贵港监狱民警职工食堂生活物资采购项目</w:t>
      </w:r>
    </w:p>
    <w:p w14:paraId="485F6D49">
      <w:pPr>
        <w:spacing w:line="400" w:lineRule="exact"/>
        <w:jc w:val="center"/>
        <w:rPr>
          <w:rFonts w:hint="eastAsia" w:ascii="宋体" w:hAnsi="宋体" w:cs="宋体"/>
          <w:b/>
          <w:color w:val="auto"/>
          <w:sz w:val="32"/>
          <w:szCs w:val="32"/>
          <w:highlight w:val="none"/>
        </w:rPr>
      </w:pPr>
    </w:p>
    <w:p w14:paraId="06AF8876">
      <w:pPr>
        <w:spacing w:line="400" w:lineRule="exact"/>
        <w:ind w:firstLine="1748" w:firstLineChars="544"/>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项目编号：GXZC2026-C3-001603-GXKL        </w:t>
      </w:r>
    </w:p>
    <w:p w14:paraId="69DF472C">
      <w:pPr>
        <w:spacing w:line="400" w:lineRule="exact"/>
        <w:jc w:val="center"/>
        <w:rPr>
          <w:rFonts w:hint="eastAsia" w:ascii="宋体" w:hAnsi="宋体" w:cs="宋体"/>
          <w:b/>
          <w:color w:val="auto"/>
          <w:sz w:val="32"/>
          <w:szCs w:val="32"/>
          <w:highlight w:val="none"/>
        </w:rPr>
      </w:pPr>
    </w:p>
    <w:p w14:paraId="1B1D4092">
      <w:pPr>
        <w:spacing w:line="400" w:lineRule="exact"/>
        <w:ind w:firstLine="1748" w:firstLineChars="544"/>
        <w:rPr>
          <w:rFonts w:hint="eastAsia" w:ascii="宋体" w:hAnsi="宋体" w:cs="宋体"/>
          <w:b/>
          <w:color w:val="auto"/>
          <w:sz w:val="32"/>
          <w:szCs w:val="32"/>
          <w:highlight w:val="none"/>
        </w:rPr>
      </w:pPr>
      <w:r>
        <w:rPr>
          <w:rFonts w:hint="eastAsia" w:ascii="宋体" w:hAnsi="宋体" w:cs="宋体"/>
          <w:b/>
          <w:color w:val="auto"/>
          <w:sz w:val="32"/>
          <w:szCs w:val="32"/>
          <w:highlight w:val="none"/>
        </w:rPr>
        <w:t>采 购 人：广西壮族自治区贵港监狱</w:t>
      </w:r>
    </w:p>
    <w:p w14:paraId="6D239F5F">
      <w:pPr>
        <w:spacing w:line="400" w:lineRule="exact"/>
        <w:jc w:val="center"/>
        <w:rPr>
          <w:rFonts w:hint="eastAsia" w:ascii="宋体" w:hAnsi="宋体" w:cs="宋体"/>
          <w:b/>
          <w:color w:val="auto"/>
          <w:sz w:val="32"/>
          <w:szCs w:val="32"/>
          <w:highlight w:val="none"/>
        </w:rPr>
      </w:pPr>
    </w:p>
    <w:p w14:paraId="3F31B41C">
      <w:pPr>
        <w:spacing w:line="400" w:lineRule="exact"/>
        <w:ind w:firstLine="1748" w:firstLineChars="544"/>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采购代理机构：</w:t>
      </w:r>
      <w:r>
        <w:rPr>
          <w:rFonts w:hint="eastAsia" w:ascii="宋体" w:hAnsi="宋体" w:cs="宋体"/>
          <w:b/>
          <w:color w:val="auto"/>
          <w:sz w:val="32"/>
          <w:szCs w:val="32"/>
          <w:highlight w:val="none"/>
          <w:lang w:eastAsia="zh-CN"/>
        </w:rPr>
        <w:t>广西科联招标中心有限公司</w:t>
      </w:r>
    </w:p>
    <w:p w14:paraId="2F62DE9C">
      <w:pPr>
        <w:spacing w:line="400" w:lineRule="exact"/>
        <w:jc w:val="center"/>
        <w:rPr>
          <w:rFonts w:hint="eastAsia" w:ascii="宋体" w:hAnsi="宋体" w:cs="宋体"/>
          <w:b/>
          <w:color w:val="auto"/>
          <w:sz w:val="32"/>
          <w:szCs w:val="32"/>
          <w:highlight w:val="none"/>
        </w:rPr>
      </w:pPr>
    </w:p>
    <w:p w14:paraId="2B3EDCE0">
      <w:pPr>
        <w:spacing w:line="400" w:lineRule="exact"/>
        <w:jc w:val="center"/>
        <w:rPr>
          <w:rFonts w:hint="eastAsia" w:ascii="宋体" w:hAnsi="宋体" w:cs="宋体"/>
          <w:b/>
          <w:color w:val="auto"/>
          <w:sz w:val="32"/>
          <w:szCs w:val="32"/>
          <w:highlight w:val="none"/>
        </w:rPr>
      </w:pPr>
    </w:p>
    <w:p w14:paraId="4511255E">
      <w:pPr>
        <w:spacing w:line="400" w:lineRule="exact"/>
        <w:jc w:val="center"/>
        <w:rPr>
          <w:rFonts w:hint="eastAsia" w:ascii="宋体" w:hAnsi="宋体" w:cs="宋体"/>
          <w:b/>
          <w:color w:val="auto"/>
          <w:sz w:val="32"/>
          <w:szCs w:val="32"/>
          <w:highlight w:val="none"/>
        </w:rPr>
      </w:pPr>
    </w:p>
    <w:p w14:paraId="58898617">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202</w:t>
      </w:r>
      <w:r>
        <w:rPr>
          <w:rFonts w:hint="eastAsia" w:ascii="宋体" w:hAnsi="宋体" w:cs="宋体"/>
          <w:b/>
          <w:color w:val="auto"/>
          <w:sz w:val="32"/>
          <w:szCs w:val="32"/>
          <w:highlight w:val="none"/>
          <w:lang w:val="en-US" w:eastAsia="zh-CN"/>
        </w:rPr>
        <w:t>6</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val="en-US" w:eastAsia="zh-CN"/>
        </w:rPr>
        <w:t>6</w:t>
      </w:r>
      <w:r>
        <w:rPr>
          <w:rFonts w:hint="eastAsia" w:ascii="宋体" w:hAnsi="宋体" w:cs="宋体"/>
          <w:b/>
          <w:color w:val="auto"/>
          <w:sz w:val="32"/>
          <w:szCs w:val="32"/>
          <w:highlight w:val="none"/>
        </w:rPr>
        <w:t xml:space="preserve">月 </w:t>
      </w:r>
    </w:p>
    <w:p w14:paraId="45FE5708">
      <w:pPr>
        <w:spacing w:line="400" w:lineRule="exact"/>
        <w:ind w:firstLine="602" w:firstLineChars="200"/>
        <w:rPr>
          <w:rFonts w:hint="eastAsia" w:ascii="宋体" w:hAnsi="宋体" w:cs="宋体"/>
          <w:b/>
          <w:color w:val="auto"/>
          <w:sz w:val="32"/>
          <w:szCs w:val="32"/>
          <w:highlight w:val="none"/>
        </w:rPr>
      </w:pPr>
      <w:r>
        <w:rPr>
          <w:rFonts w:hint="eastAsia" w:ascii="宋体" w:hAnsi="宋体" w:cs="宋体"/>
          <w:b/>
          <w:color w:val="auto"/>
          <w:sz w:val="30"/>
          <w:szCs w:val="30"/>
          <w:highlight w:val="none"/>
        </w:rPr>
        <w:br w:type="page"/>
      </w:r>
    </w:p>
    <w:p w14:paraId="24E7689C">
      <w:pPr>
        <w:spacing w:line="360" w:lineRule="auto"/>
        <w:jc w:val="center"/>
        <w:rPr>
          <w:rFonts w:hint="eastAsia" w:ascii="宋体" w:hAnsi="宋体" w:cs="宋体"/>
          <w:b/>
          <w:color w:val="auto"/>
          <w:sz w:val="44"/>
          <w:szCs w:val="44"/>
          <w:highlight w:val="none"/>
        </w:rPr>
      </w:pPr>
    </w:p>
    <w:p w14:paraId="137D3BDA">
      <w:pPr>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目   录</w:t>
      </w:r>
    </w:p>
    <w:p w14:paraId="491F2FC4">
      <w:pPr>
        <w:spacing w:line="400" w:lineRule="exact"/>
        <w:jc w:val="center"/>
        <w:rPr>
          <w:rFonts w:hint="eastAsia" w:ascii="宋体" w:hAnsi="宋体" w:cs="宋体"/>
          <w:b/>
          <w:color w:val="auto"/>
          <w:sz w:val="44"/>
          <w:szCs w:val="44"/>
          <w:highlight w:val="none"/>
        </w:rPr>
      </w:pPr>
    </w:p>
    <w:p w14:paraId="3B825B3E">
      <w:pPr>
        <w:pStyle w:val="14"/>
        <w:tabs>
          <w:tab w:val="right" w:leader="dot" w:pos="9638"/>
          <w:tab w:val="clear" w:pos="8296"/>
        </w:tabs>
        <w:spacing w:line="360" w:lineRule="auto"/>
        <w:rPr>
          <w:color w:val="auto"/>
          <w:sz w:val="30"/>
          <w:szCs w:val="30"/>
          <w:highlight w:val="none"/>
        </w:rPr>
      </w:pPr>
      <w:r>
        <w:rPr>
          <w:rFonts w:hint="eastAsia" w:ascii="宋体" w:hAnsi="宋体" w:cs="宋体"/>
          <w:b/>
          <w:color w:val="auto"/>
          <w:sz w:val="30"/>
          <w:szCs w:val="30"/>
          <w:highlight w:val="none"/>
        </w:rPr>
        <w:fldChar w:fldCharType="begin"/>
      </w:r>
      <w:r>
        <w:rPr>
          <w:rFonts w:hint="eastAsia" w:ascii="宋体" w:hAnsi="宋体" w:cs="宋体"/>
          <w:b/>
          <w:color w:val="auto"/>
          <w:sz w:val="30"/>
          <w:szCs w:val="30"/>
          <w:highlight w:val="none"/>
        </w:rPr>
        <w:instrText xml:space="preserve"> TOC \o "1-3" \h \z \u </w:instrText>
      </w:r>
      <w:r>
        <w:rPr>
          <w:rFonts w:hint="eastAsia" w:ascii="宋体" w:hAnsi="宋体" w:cs="宋体"/>
          <w:b/>
          <w:color w:val="auto"/>
          <w:sz w:val="30"/>
          <w:szCs w:val="30"/>
          <w:highlight w:val="none"/>
        </w:rPr>
        <w:fldChar w:fldCharType="separate"/>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HYPERLINK \l _Toc12454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第一章 竞争性磋商公告</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_Toc12454 \h </w:instrText>
      </w:r>
      <w:r>
        <w:rPr>
          <w:color w:val="auto"/>
          <w:sz w:val="30"/>
          <w:szCs w:val="30"/>
          <w:highlight w:val="none"/>
        </w:rPr>
        <w:fldChar w:fldCharType="separate"/>
      </w:r>
      <w:r>
        <w:rPr>
          <w:color w:val="auto"/>
          <w:sz w:val="30"/>
          <w:szCs w:val="30"/>
          <w:highlight w:val="none"/>
        </w:rPr>
        <w:t>1</w:t>
      </w:r>
      <w:r>
        <w:rPr>
          <w:color w:val="auto"/>
          <w:sz w:val="30"/>
          <w:szCs w:val="30"/>
          <w:highlight w:val="none"/>
        </w:rPr>
        <w:fldChar w:fldCharType="end"/>
      </w:r>
      <w:r>
        <w:rPr>
          <w:rFonts w:hint="eastAsia" w:ascii="宋体" w:hAnsi="宋体" w:cs="宋体"/>
          <w:color w:val="auto"/>
          <w:sz w:val="30"/>
          <w:szCs w:val="30"/>
          <w:highlight w:val="none"/>
        </w:rPr>
        <w:fldChar w:fldCharType="end"/>
      </w:r>
    </w:p>
    <w:p w14:paraId="011BDEC8">
      <w:pPr>
        <w:pStyle w:val="14"/>
        <w:tabs>
          <w:tab w:val="right" w:leader="dot" w:pos="9638"/>
          <w:tab w:val="clear" w:pos="8296"/>
        </w:tabs>
        <w:spacing w:line="360" w:lineRule="auto"/>
        <w:rPr>
          <w:color w:val="auto"/>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HYPERLINK \l _Toc18376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第二章 供应商须知</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_Toc18376 \h </w:instrText>
      </w:r>
      <w:r>
        <w:rPr>
          <w:color w:val="auto"/>
          <w:sz w:val="30"/>
          <w:szCs w:val="30"/>
          <w:highlight w:val="none"/>
        </w:rPr>
        <w:fldChar w:fldCharType="separate"/>
      </w:r>
      <w:r>
        <w:rPr>
          <w:color w:val="auto"/>
          <w:sz w:val="30"/>
          <w:szCs w:val="30"/>
          <w:highlight w:val="none"/>
        </w:rPr>
        <w:t>5</w:t>
      </w:r>
      <w:r>
        <w:rPr>
          <w:color w:val="auto"/>
          <w:sz w:val="30"/>
          <w:szCs w:val="30"/>
          <w:highlight w:val="none"/>
        </w:rPr>
        <w:fldChar w:fldCharType="end"/>
      </w:r>
      <w:r>
        <w:rPr>
          <w:rFonts w:hint="eastAsia" w:ascii="宋体" w:hAnsi="宋体" w:cs="宋体"/>
          <w:color w:val="auto"/>
          <w:sz w:val="30"/>
          <w:szCs w:val="30"/>
          <w:highlight w:val="none"/>
        </w:rPr>
        <w:fldChar w:fldCharType="end"/>
      </w:r>
    </w:p>
    <w:p w14:paraId="0510FCFB">
      <w:pPr>
        <w:pStyle w:val="14"/>
        <w:tabs>
          <w:tab w:val="right" w:leader="dot" w:pos="9638"/>
          <w:tab w:val="clear" w:pos="8296"/>
        </w:tabs>
        <w:spacing w:line="360" w:lineRule="auto"/>
        <w:rPr>
          <w:color w:val="auto"/>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HYPERLINK \l _Toc22008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第三章 采购需求（所属行业：批发业）</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_Toc22008 \h </w:instrText>
      </w:r>
      <w:r>
        <w:rPr>
          <w:color w:val="auto"/>
          <w:sz w:val="30"/>
          <w:szCs w:val="30"/>
          <w:highlight w:val="none"/>
        </w:rPr>
        <w:fldChar w:fldCharType="separate"/>
      </w:r>
      <w:r>
        <w:rPr>
          <w:color w:val="auto"/>
          <w:sz w:val="30"/>
          <w:szCs w:val="30"/>
          <w:highlight w:val="none"/>
        </w:rPr>
        <w:t>23</w:t>
      </w:r>
      <w:r>
        <w:rPr>
          <w:color w:val="auto"/>
          <w:sz w:val="30"/>
          <w:szCs w:val="30"/>
          <w:highlight w:val="none"/>
        </w:rPr>
        <w:fldChar w:fldCharType="end"/>
      </w:r>
      <w:r>
        <w:rPr>
          <w:rFonts w:hint="eastAsia" w:ascii="宋体" w:hAnsi="宋体" w:cs="宋体"/>
          <w:color w:val="auto"/>
          <w:sz w:val="30"/>
          <w:szCs w:val="30"/>
          <w:highlight w:val="none"/>
        </w:rPr>
        <w:fldChar w:fldCharType="end"/>
      </w:r>
    </w:p>
    <w:p w14:paraId="6B4D99FF">
      <w:pPr>
        <w:pStyle w:val="14"/>
        <w:tabs>
          <w:tab w:val="right" w:leader="dot" w:pos="9638"/>
          <w:tab w:val="clear" w:pos="8296"/>
        </w:tabs>
        <w:spacing w:line="360" w:lineRule="auto"/>
        <w:rPr>
          <w:color w:val="auto"/>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HYPERLINK \l _Toc9650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第四章 评审程序、评审方法和评审标准</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_Toc9650 \h </w:instrText>
      </w:r>
      <w:r>
        <w:rPr>
          <w:color w:val="auto"/>
          <w:sz w:val="30"/>
          <w:szCs w:val="30"/>
          <w:highlight w:val="none"/>
        </w:rPr>
        <w:fldChar w:fldCharType="separate"/>
      </w:r>
      <w:r>
        <w:rPr>
          <w:color w:val="auto"/>
          <w:sz w:val="30"/>
          <w:szCs w:val="30"/>
          <w:highlight w:val="none"/>
        </w:rPr>
        <w:t>49</w:t>
      </w:r>
      <w:r>
        <w:rPr>
          <w:color w:val="auto"/>
          <w:sz w:val="30"/>
          <w:szCs w:val="30"/>
          <w:highlight w:val="none"/>
        </w:rPr>
        <w:fldChar w:fldCharType="end"/>
      </w:r>
      <w:r>
        <w:rPr>
          <w:rFonts w:hint="eastAsia" w:ascii="宋体" w:hAnsi="宋体" w:cs="宋体"/>
          <w:color w:val="auto"/>
          <w:sz w:val="30"/>
          <w:szCs w:val="30"/>
          <w:highlight w:val="none"/>
        </w:rPr>
        <w:fldChar w:fldCharType="end"/>
      </w:r>
    </w:p>
    <w:p w14:paraId="52A5201F">
      <w:pPr>
        <w:pStyle w:val="14"/>
        <w:tabs>
          <w:tab w:val="right" w:leader="dot" w:pos="9638"/>
          <w:tab w:val="clear" w:pos="8296"/>
        </w:tabs>
        <w:spacing w:line="360" w:lineRule="auto"/>
        <w:rPr>
          <w:color w:val="auto"/>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HYPERLINK \l _Toc28623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第五章 响应文件格式</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_Toc28623 \h </w:instrText>
      </w:r>
      <w:r>
        <w:rPr>
          <w:color w:val="auto"/>
          <w:sz w:val="30"/>
          <w:szCs w:val="30"/>
          <w:highlight w:val="none"/>
        </w:rPr>
        <w:fldChar w:fldCharType="separate"/>
      </w:r>
      <w:r>
        <w:rPr>
          <w:color w:val="auto"/>
          <w:sz w:val="30"/>
          <w:szCs w:val="30"/>
          <w:highlight w:val="none"/>
        </w:rPr>
        <w:t>60</w:t>
      </w:r>
      <w:r>
        <w:rPr>
          <w:color w:val="auto"/>
          <w:sz w:val="30"/>
          <w:szCs w:val="30"/>
          <w:highlight w:val="none"/>
        </w:rPr>
        <w:fldChar w:fldCharType="end"/>
      </w:r>
      <w:r>
        <w:rPr>
          <w:rFonts w:hint="eastAsia" w:ascii="宋体" w:hAnsi="宋体" w:cs="宋体"/>
          <w:color w:val="auto"/>
          <w:sz w:val="30"/>
          <w:szCs w:val="30"/>
          <w:highlight w:val="none"/>
        </w:rPr>
        <w:fldChar w:fldCharType="end"/>
      </w:r>
    </w:p>
    <w:p w14:paraId="3C4A43E6">
      <w:pPr>
        <w:pStyle w:val="14"/>
        <w:tabs>
          <w:tab w:val="right" w:leader="dot" w:pos="9638"/>
          <w:tab w:val="clear" w:pos="8296"/>
        </w:tabs>
        <w:spacing w:line="360" w:lineRule="auto"/>
        <w:rPr>
          <w:color w:val="auto"/>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HYPERLINK \l _Toc11528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第六章 合同文本</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_Toc11528 \h </w:instrText>
      </w:r>
      <w:r>
        <w:rPr>
          <w:color w:val="auto"/>
          <w:sz w:val="30"/>
          <w:szCs w:val="30"/>
          <w:highlight w:val="none"/>
        </w:rPr>
        <w:fldChar w:fldCharType="separate"/>
      </w:r>
      <w:r>
        <w:rPr>
          <w:color w:val="auto"/>
          <w:sz w:val="30"/>
          <w:szCs w:val="30"/>
          <w:highlight w:val="none"/>
        </w:rPr>
        <w:t>85</w:t>
      </w:r>
      <w:r>
        <w:rPr>
          <w:color w:val="auto"/>
          <w:sz w:val="30"/>
          <w:szCs w:val="30"/>
          <w:highlight w:val="none"/>
        </w:rPr>
        <w:fldChar w:fldCharType="end"/>
      </w:r>
      <w:r>
        <w:rPr>
          <w:rFonts w:hint="eastAsia" w:ascii="宋体" w:hAnsi="宋体" w:cs="宋体"/>
          <w:color w:val="auto"/>
          <w:sz w:val="30"/>
          <w:szCs w:val="30"/>
          <w:highlight w:val="none"/>
        </w:rPr>
        <w:fldChar w:fldCharType="end"/>
      </w:r>
    </w:p>
    <w:p w14:paraId="70E471F3">
      <w:pPr>
        <w:pStyle w:val="14"/>
        <w:spacing w:line="360" w:lineRule="auto"/>
        <w:rPr>
          <w:rFonts w:hint="eastAsia" w:ascii="宋体" w:hAnsi="宋体" w:cs="宋体"/>
          <w:color w:val="auto"/>
          <w:sz w:val="30"/>
          <w:szCs w:val="30"/>
          <w:highlight w:val="none"/>
        </w:rPr>
      </w:pPr>
      <w:r>
        <w:rPr>
          <w:rFonts w:hint="eastAsia" w:ascii="宋体" w:hAnsi="宋体" w:cs="宋体"/>
          <w:color w:val="auto"/>
          <w:sz w:val="30"/>
          <w:szCs w:val="30"/>
          <w:highlight w:val="none"/>
        </w:rPr>
        <w:fldChar w:fldCharType="end"/>
      </w:r>
    </w:p>
    <w:p w14:paraId="65738C3B">
      <w:pPr>
        <w:spacing w:line="400" w:lineRule="exact"/>
        <w:jc w:val="left"/>
        <w:rPr>
          <w:rFonts w:hint="eastAsia" w:ascii="宋体" w:hAnsi="宋体" w:cs="宋体"/>
          <w:b/>
          <w:color w:val="auto"/>
          <w:sz w:val="32"/>
          <w:szCs w:val="32"/>
          <w:highlight w:val="none"/>
        </w:rPr>
      </w:pPr>
    </w:p>
    <w:p w14:paraId="2F8D0049">
      <w:pPr>
        <w:pStyle w:val="18"/>
        <w:rPr>
          <w:rFonts w:hint="eastAsia"/>
          <w:color w:val="auto"/>
          <w:highlight w:val="none"/>
        </w:rPr>
      </w:pPr>
    </w:p>
    <w:p w14:paraId="4A75D26C">
      <w:pPr>
        <w:spacing w:line="400" w:lineRule="exact"/>
        <w:jc w:val="center"/>
        <w:rPr>
          <w:rFonts w:hint="eastAsia" w:ascii="宋体" w:hAnsi="宋体" w:cs="宋体"/>
          <w:b/>
          <w:color w:val="auto"/>
          <w:sz w:val="32"/>
          <w:szCs w:val="32"/>
          <w:highlight w:val="none"/>
        </w:rPr>
      </w:pPr>
    </w:p>
    <w:p w14:paraId="1F392C56">
      <w:pPr>
        <w:spacing w:line="400" w:lineRule="exact"/>
        <w:jc w:val="center"/>
        <w:rPr>
          <w:rFonts w:hint="eastAsia" w:ascii="宋体" w:hAnsi="宋体" w:cs="宋体"/>
          <w:b/>
          <w:color w:val="auto"/>
          <w:sz w:val="32"/>
          <w:szCs w:val="32"/>
          <w:highlight w:val="none"/>
        </w:rPr>
      </w:pPr>
    </w:p>
    <w:p w14:paraId="5D61A0C1">
      <w:pPr>
        <w:spacing w:line="400" w:lineRule="exact"/>
        <w:jc w:val="center"/>
        <w:rPr>
          <w:rFonts w:hint="eastAsia" w:ascii="宋体" w:hAnsi="宋体" w:cs="宋体"/>
          <w:b/>
          <w:color w:val="auto"/>
          <w:sz w:val="32"/>
          <w:szCs w:val="32"/>
          <w:highlight w:val="none"/>
        </w:rPr>
      </w:pPr>
    </w:p>
    <w:p w14:paraId="3B3B8BF1">
      <w:pPr>
        <w:spacing w:line="400" w:lineRule="exact"/>
        <w:jc w:val="center"/>
        <w:rPr>
          <w:rFonts w:hint="eastAsia" w:ascii="宋体" w:hAnsi="宋体" w:cs="宋体"/>
          <w:b/>
          <w:color w:val="auto"/>
          <w:sz w:val="32"/>
          <w:szCs w:val="32"/>
          <w:highlight w:val="none"/>
        </w:rPr>
      </w:pPr>
    </w:p>
    <w:p w14:paraId="7B4F3D65">
      <w:pPr>
        <w:spacing w:line="400" w:lineRule="exact"/>
        <w:jc w:val="center"/>
        <w:rPr>
          <w:rFonts w:hint="eastAsia" w:ascii="宋体" w:hAnsi="宋体" w:cs="宋体"/>
          <w:b/>
          <w:color w:val="auto"/>
          <w:sz w:val="32"/>
          <w:szCs w:val="32"/>
          <w:highlight w:val="none"/>
        </w:rPr>
      </w:pPr>
    </w:p>
    <w:p w14:paraId="72CB34A4">
      <w:pPr>
        <w:spacing w:line="400" w:lineRule="exact"/>
        <w:jc w:val="center"/>
        <w:rPr>
          <w:rFonts w:hint="eastAsia" w:ascii="宋体" w:hAnsi="宋体" w:cs="宋体"/>
          <w:b/>
          <w:color w:val="auto"/>
          <w:sz w:val="32"/>
          <w:szCs w:val="32"/>
          <w:highlight w:val="none"/>
        </w:rPr>
      </w:pPr>
    </w:p>
    <w:p w14:paraId="21A87F35">
      <w:pPr>
        <w:spacing w:line="400" w:lineRule="exact"/>
        <w:jc w:val="center"/>
        <w:rPr>
          <w:rFonts w:hint="eastAsia" w:ascii="宋体" w:hAnsi="宋体" w:cs="宋体"/>
          <w:b/>
          <w:color w:val="auto"/>
          <w:sz w:val="32"/>
          <w:szCs w:val="32"/>
          <w:highlight w:val="none"/>
        </w:rPr>
      </w:pPr>
    </w:p>
    <w:p w14:paraId="0F315922">
      <w:pPr>
        <w:spacing w:line="400" w:lineRule="exact"/>
        <w:jc w:val="center"/>
        <w:rPr>
          <w:rFonts w:hint="eastAsia" w:ascii="宋体" w:hAnsi="宋体" w:cs="宋体"/>
          <w:b/>
          <w:color w:val="auto"/>
          <w:sz w:val="32"/>
          <w:szCs w:val="32"/>
          <w:highlight w:val="none"/>
        </w:rPr>
      </w:pPr>
    </w:p>
    <w:p w14:paraId="1AF9D586">
      <w:pPr>
        <w:spacing w:line="400" w:lineRule="exact"/>
        <w:jc w:val="center"/>
        <w:rPr>
          <w:rFonts w:hint="eastAsia" w:ascii="宋体" w:hAnsi="宋体" w:cs="宋体"/>
          <w:b/>
          <w:color w:val="auto"/>
          <w:sz w:val="32"/>
          <w:szCs w:val="32"/>
          <w:highlight w:val="none"/>
        </w:rPr>
      </w:pPr>
    </w:p>
    <w:p w14:paraId="4CA58782">
      <w:pPr>
        <w:spacing w:line="400" w:lineRule="exact"/>
        <w:jc w:val="center"/>
        <w:rPr>
          <w:rFonts w:hint="eastAsia" w:ascii="宋体" w:hAnsi="宋体" w:cs="宋体"/>
          <w:b/>
          <w:color w:val="auto"/>
          <w:sz w:val="32"/>
          <w:szCs w:val="32"/>
          <w:highlight w:val="none"/>
        </w:rPr>
      </w:pPr>
    </w:p>
    <w:p w14:paraId="00BC5165">
      <w:pPr>
        <w:spacing w:line="400" w:lineRule="exact"/>
        <w:jc w:val="center"/>
        <w:rPr>
          <w:rFonts w:hint="eastAsia" w:ascii="宋体" w:hAnsi="宋体" w:cs="宋体"/>
          <w:b/>
          <w:color w:val="auto"/>
          <w:sz w:val="32"/>
          <w:szCs w:val="32"/>
          <w:highlight w:val="none"/>
        </w:rPr>
      </w:pPr>
    </w:p>
    <w:p w14:paraId="5F77CCE5">
      <w:pPr>
        <w:spacing w:line="400" w:lineRule="exact"/>
        <w:jc w:val="center"/>
        <w:rPr>
          <w:rFonts w:hint="eastAsia" w:ascii="宋体" w:hAnsi="宋体" w:cs="宋体"/>
          <w:b/>
          <w:color w:val="auto"/>
          <w:sz w:val="32"/>
          <w:szCs w:val="32"/>
          <w:highlight w:val="none"/>
        </w:rPr>
      </w:pPr>
    </w:p>
    <w:p w14:paraId="20AE6B10">
      <w:pPr>
        <w:spacing w:line="400" w:lineRule="exact"/>
        <w:jc w:val="center"/>
        <w:rPr>
          <w:rFonts w:hint="eastAsia" w:ascii="宋体" w:hAnsi="宋体" w:cs="宋体"/>
          <w:b/>
          <w:color w:val="auto"/>
          <w:sz w:val="32"/>
          <w:szCs w:val="32"/>
          <w:highlight w:val="none"/>
        </w:rPr>
      </w:pPr>
    </w:p>
    <w:p w14:paraId="25222FCD">
      <w:pPr>
        <w:spacing w:line="400" w:lineRule="exact"/>
        <w:jc w:val="center"/>
        <w:rPr>
          <w:rFonts w:hint="eastAsia" w:ascii="宋体" w:hAnsi="宋体" w:cs="宋体"/>
          <w:b/>
          <w:color w:val="auto"/>
          <w:sz w:val="32"/>
          <w:szCs w:val="32"/>
          <w:highlight w:val="none"/>
        </w:rPr>
      </w:pPr>
    </w:p>
    <w:p w14:paraId="2B6826E5">
      <w:pPr>
        <w:spacing w:line="400" w:lineRule="exact"/>
        <w:jc w:val="center"/>
        <w:rPr>
          <w:rFonts w:hint="eastAsia" w:ascii="宋体" w:hAnsi="宋体" w:cs="宋体"/>
          <w:b/>
          <w:color w:val="auto"/>
          <w:sz w:val="32"/>
          <w:szCs w:val="32"/>
          <w:highlight w:val="none"/>
        </w:rPr>
      </w:pPr>
    </w:p>
    <w:p w14:paraId="260711BC">
      <w:pPr>
        <w:spacing w:line="400" w:lineRule="exact"/>
        <w:rPr>
          <w:rFonts w:hint="eastAsia" w:ascii="宋体" w:hAnsi="宋体" w:cs="宋体"/>
          <w:b/>
          <w:color w:val="auto"/>
          <w:sz w:val="32"/>
          <w:szCs w:val="32"/>
          <w:highlight w:val="none"/>
        </w:rPr>
      </w:pPr>
    </w:p>
    <w:p w14:paraId="32F3F0C2">
      <w:pPr>
        <w:pStyle w:val="2"/>
        <w:numPr>
          <w:ilvl w:val="0"/>
          <w:numId w:val="2"/>
        </w:numPr>
        <w:jc w:val="center"/>
        <w:rPr>
          <w:rFonts w:hint="eastAsia" w:ascii="宋体" w:hAnsi="宋体" w:cs="宋体"/>
          <w:color w:val="auto"/>
          <w:highlight w:val="none"/>
        </w:rPr>
        <w:sectPr>
          <w:footerReference r:id="rId4" w:type="first"/>
          <w:footerReference r:id="rId3" w:type="default"/>
          <w:pgSz w:w="11906" w:h="16838"/>
          <w:pgMar w:top="1134" w:right="1134" w:bottom="1134" w:left="1134" w:header="720" w:footer="720" w:gutter="0"/>
          <w:pgNumType w:start="1"/>
          <w:cols w:space="720" w:num="1"/>
          <w:docGrid w:type="lines" w:linePitch="331" w:charSpace="0"/>
        </w:sectPr>
      </w:pPr>
    </w:p>
    <w:p w14:paraId="0DBD8B83">
      <w:pPr>
        <w:pStyle w:val="2"/>
        <w:numPr>
          <w:ilvl w:val="0"/>
          <w:numId w:val="2"/>
        </w:numPr>
        <w:jc w:val="center"/>
        <w:rPr>
          <w:rFonts w:hint="eastAsia" w:ascii="宋体" w:hAnsi="宋体" w:cs="宋体"/>
          <w:color w:val="auto"/>
          <w:highlight w:val="none"/>
        </w:rPr>
      </w:pPr>
      <w:r>
        <w:rPr>
          <w:rFonts w:hint="eastAsia" w:ascii="宋体" w:hAnsi="宋体" w:cs="宋体"/>
          <w:color w:val="auto"/>
          <w:highlight w:val="none"/>
          <w:lang w:val="en-US" w:eastAsia="zh-CN"/>
        </w:rPr>
        <w:t xml:space="preserve"> </w:t>
      </w:r>
      <w:bookmarkStart w:id="0" w:name="_Toc12454"/>
      <w:r>
        <w:rPr>
          <w:rFonts w:hint="eastAsia" w:ascii="宋体" w:hAnsi="宋体" w:cs="宋体"/>
          <w:color w:val="auto"/>
          <w:highlight w:val="none"/>
        </w:rPr>
        <w:t>竞争性磋商公告</w:t>
      </w:r>
      <w:bookmarkEnd w:id="0"/>
    </w:p>
    <w:p w14:paraId="1E3D0B7D">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auto"/>
          <w:szCs w:val="21"/>
          <w:highlight w:val="none"/>
        </w:rPr>
      </w:pPr>
      <w:bookmarkStart w:id="1" w:name="_Hlk37430271"/>
      <w:r>
        <w:rPr>
          <w:rFonts w:hint="eastAsia" w:ascii="宋体" w:hAnsi="宋体" w:cs="宋体"/>
          <w:color w:val="auto"/>
          <w:szCs w:val="21"/>
          <w:highlight w:val="none"/>
        </w:rPr>
        <w:t>项目概况</w:t>
      </w:r>
    </w:p>
    <w:p w14:paraId="156934BB">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贵港监狱民警职工食堂生活物资采购项目</w:t>
      </w:r>
      <w:r>
        <w:rPr>
          <w:rFonts w:hint="eastAsia" w:ascii="宋体" w:hAnsi="宋体" w:cs="宋体"/>
          <w:color w:val="auto"/>
          <w:szCs w:val="21"/>
          <w:highlight w:val="none"/>
        </w:rPr>
        <w:t>项目的潜在供应商应在广西政府采购云平台（https://www.gcy.zfcg.gxzf.gov.cn/）获取竞争性磋商文件，并于</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22</w:t>
      </w:r>
      <w:r>
        <w:rPr>
          <w:rFonts w:hint="eastAsia" w:ascii="宋体" w:hAnsi="宋体" w:cs="宋体"/>
          <w:color w:val="auto"/>
          <w:szCs w:val="21"/>
          <w:highlight w:val="none"/>
          <w:u w:val="single"/>
        </w:rPr>
        <w:t>日9时00分00秒</w:t>
      </w:r>
      <w:r>
        <w:rPr>
          <w:rFonts w:hint="eastAsia" w:ascii="宋体" w:hAnsi="宋体" w:cs="宋体"/>
          <w:bCs/>
          <w:color w:val="auto"/>
          <w:szCs w:val="21"/>
          <w:highlight w:val="none"/>
        </w:rPr>
        <w:t>（北京时间）前提交响应文件</w:t>
      </w:r>
      <w:r>
        <w:rPr>
          <w:rFonts w:hint="eastAsia" w:ascii="宋体" w:hAnsi="宋体" w:cs="宋体"/>
          <w:color w:val="auto"/>
          <w:szCs w:val="21"/>
          <w:highlight w:val="none"/>
        </w:rPr>
        <w:t>。</w:t>
      </w:r>
    </w:p>
    <w:p w14:paraId="6C205C94">
      <w:pPr>
        <w:pStyle w:val="2"/>
        <w:spacing w:before="0" w:after="0" w:line="360" w:lineRule="auto"/>
        <w:ind w:firstLine="422" w:firstLineChars="200"/>
        <w:rPr>
          <w:rFonts w:hint="eastAsia" w:ascii="宋体" w:hAnsi="宋体" w:cs="宋体"/>
          <w:bCs w:val="0"/>
          <w:color w:val="auto"/>
          <w:sz w:val="21"/>
          <w:szCs w:val="21"/>
          <w:highlight w:val="none"/>
        </w:rPr>
      </w:pPr>
      <w:bookmarkStart w:id="2" w:name="_Toc44229878"/>
      <w:bookmarkStart w:id="3" w:name="_Toc28359089"/>
      <w:bookmarkStart w:id="4" w:name="_Toc35393798"/>
      <w:bookmarkStart w:id="5" w:name="_Toc28359012"/>
      <w:bookmarkStart w:id="6" w:name="_Toc35393629"/>
      <w:bookmarkStart w:id="7" w:name="_Toc22650"/>
      <w:bookmarkStart w:id="8" w:name="_Toc22839"/>
      <w:r>
        <w:rPr>
          <w:rFonts w:hint="eastAsia" w:ascii="宋体" w:hAnsi="宋体" w:cs="宋体"/>
          <w:bCs w:val="0"/>
          <w:color w:val="auto"/>
          <w:sz w:val="21"/>
          <w:szCs w:val="21"/>
          <w:highlight w:val="none"/>
        </w:rPr>
        <w:t>一、项目基本情况</w:t>
      </w:r>
      <w:bookmarkEnd w:id="2"/>
      <w:bookmarkEnd w:id="3"/>
      <w:bookmarkEnd w:id="4"/>
      <w:bookmarkEnd w:id="5"/>
      <w:bookmarkEnd w:id="6"/>
      <w:bookmarkEnd w:id="7"/>
      <w:bookmarkEnd w:id="8"/>
    </w:p>
    <w:p w14:paraId="748A69F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项目编号：GXZC2026-C3-001603-GXKL   </w:t>
      </w:r>
    </w:p>
    <w:p w14:paraId="1507FCE3">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 xml:space="preserve"> 项目名称：</w:t>
      </w:r>
      <w:r>
        <w:rPr>
          <w:rFonts w:hint="eastAsia" w:ascii="宋体" w:hAnsi="宋体" w:cs="宋体"/>
          <w:color w:val="auto"/>
          <w:szCs w:val="21"/>
          <w:highlight w:val="none"/>
          <w:lang w:eastAsia="zh-CN"/>
        </w:rPr>
        <w:t>贵港监狱民警职工食堂生活物资采购项目</w:t>
      </w:r>
    </w:p>
    <w:p w14:paraId="7CED9A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采购方式：竞争性磋商</w:t>
      </w:r>
    </w:p>
    <w:p w14:paraId="7183F95C">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 预算金额（元）：23</w:t>
      </w:r>
      <w:r>
        <w:rPr>
          <w:rFonts w:hint="eastAsia" w:ascii="宋体" w:hAnsi="宋体" w:cs="宋体"/>
          <w:color w:val="auto"/>
          <w:szCs w:val="21"/>
          <w:highlight w:val="none"/>
          <w:lang w:val="en-US" w:eastAsia="zh-CN"/>
        </w:rPr>
        <w:t>76000.00</w:t>
      </w:r>
    </w:p>
    <w:p w14:paraId="7BF915DA">
      <w:pPr>
        <w:spacing w:line="360" w:lineRule="auto"/>
        <w:ind w:left="420" w:leftChars="200"/>
        <w:rPr>
          <w:rFonts w:hint="eastAsia" w:ascii="宋体" w:hAnsi="宋体" w:cs="宋体"/>
          <w:color w:val="auto"/>
          <w:szCs w:val="21"/>
          <w:highlight w:val="none"/>
        </w:rPr>
      </w:pPr>
      <w:r>
        <w:rPr>
          <w:rFonts w:hint="eastAsia" w:ascii="宋体" w:hAnsi="宋体"/>
          <w:color w:val="auto"/>
          <w:szCs w:val="21"/>
          <w:highlight w:val="none"/>
        </w:rPr>
        <w:t>简要技术需求或者服务要求</w:t>
      </w:r>
      <w:r>
        <w:rPr>
          <w:rFonts w:hint="eastAsia" w:ascii="宋体" w:hAnsi="宋体" w:cs="宋体"/>
          <w:color w:val="auto"/>
          <w:szCs w:val="21"/>
          <w:highlight w:val="none"/>
        </w:rPr>
        <w:t>：</w:t>
      </w:r>
      <w:r>
        <w:rPr>
          <w:rFonts w:hint="eastAsia" w:ascii="宋体" w:hAnsi="宋体" w:cs="宋体"/>
          <w:color w:val="auto"/>
          <w:szCs w:val="21"/>
          <w:highlight w:val="none"/>
          <w:lang w:eastAsia="zh-CN"/>
        </w:rPr>
        <w:t>贵港监狱民警职工食堂生活物资采购项目</w:t>
      </w:r>
      <w:r>
        <w:rPr>
          <w:rFonts w:hint="eastAsia" w:ascii="宋体" w:hAnsi="宋体" w:cs="宋体"/>
          <w:color w:val="auto"/>
          <w:szCs w:val="21"/>
          <w:highlight w:val="none"/>
        </w:rPr>
        <w:t>1项；如需进一步了解详细内容，详见竞争性磋商文件。</w:t>
      </w:r>
    </w:p>
    <w:p w14:paraId="49051751">
      <w:pPr>
        <w:spacing w:line="360" w:lineRule="auto"/>
        <w:ind w:firstLine="420" w:firstLineChars="200"/>
        <w:rPr>
          <w:rFonts w:hint="default" w:ascii="宋体" w:hAnsi="宋体" w:cs="宋体"/>
          <w:color w:val="auto"/>
          <w:szCs w:val="21"/>
          <w:highlight w:val="none"/>
          <w:lang w:val="en-US"/>
        </w:rPr>
      </w:pPr>
      <w:r>
        <w:rPr>
          <w:rFonts w:hint="eastAsia" w:ascii="宋体" w:hAnsi="宋体" w:cs="宋体"/>
          <w:color w:val="auto"/>
          <w:szCs w:val="21"/>
          <w:highlight w:val="none"/>
        </w:rPr>
        <w:t>最高限价（元）：23</w:t>
      </w:r>
      <w:r>
        <w:rPr>
          <w:rFonts w:hint="eastAsia" w:ascii="宋体" w:hAnsi="宋体" w:cs="宋体"/>
          <w:color w:val="auto"/>
          <w:szCs w:val="21"/>
          <w:highlight w:val="none"/>
          <w:lang w:val="en-US" w:eastAsia="zh-CN"/>
        </w:rPr>
        <w:t>76000.00</w:t>
      </w:r>
    </w:p>
    <w:p w14:paraId="0B2B82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合同履约期限：自签订合同之日起壹年。</w:t>
      </w:r>
    </w:p>
    <w:p w14:paraId="4EF09D35">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本</w:t>
      </w:r>
      <w:r>
        <w:rPr>
          <w:rFonts w:hint="eastAsia" w:ascii="宋体" w:hAnsi="宋体" w:cs="宋体"/>
          <w:color w:val="auto"/>
          <w:szCs w:val="21"/>
          <w:highlight w:val="none"/>
          <w:lang w:val="en-US" w:eastAsia="zh-CN"/>
        </w:rPr>
        <w:t>项目不</w:t>
      </w:r>
      <w:r>
        <w:rPr>
          <w:rFonts w:hint="eastAsia" w:ascii="宋体" w:hAnsi="宋体" w:cs="宋体"/>
          <w:color w:val="auto"/>
          <w:szCs w:val="21"/>
          <w:highlight w:val="none"/>
        </w:rPr>
        <w:t>接受联合体投标</w:t>
      </w:r>
    </w:p>
    <w:p w14:paraId="5D7C9E70">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备注：/</w:t>
      </w:r>
    </w:p>
    <w:p w14:paraId="228861FC">
      <w:pPr>
        <w:spacing w:line="360" w:lineRule="auto"/>
        <w:ind w:firstLine="361" w:firstLineChars="150"/>
        <w:rPr>
          <w:rFonts w:hint="eastAsia" w:ascii="宋体" w:hAnsi="宋体" w:cs="宋体"/>
          <w:b/>
          <w:color w:val="auto"/>
          <w:sz w:val="24"/>
          <w:highlight w:val="none"/>
        </w:rPr>
      </w:pPr>
      <w:bookmarkStart w:id="9" w:name="_Toc71366167"/>
      <w:r>
        <w:rPr>
          <w:rFonts w:hint="eastAsia" w:ascii="宋体" w:hAnsi="宋体" w:cs="宋体"/>
          <w:b/>
          <w:color w:val="auto"/>
          <w:sz w:val="24"/>
          <w:highlight w:val="none"/>
        </w:rPr>
        <w:t>二、申请人的资格条件：</w:t>
      </w:r>
      <w:bookmarkEnd w:id="9"/>
    </w:p>
    <w:p w14:paraId="2278AE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28A581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2.落实政府采购政策需满足的资格要求：本项目属于专门面向小微企业采购的项目，承接服务的供应商应为小微企业或监狱企业或残疾人福利性单位。</w:t>
      </w:r>
    </w:p>
    <w:p w14:paraId="10D2B521">
      <w:pPr>
        <w:spacing w:line="360" w:lineRule="auto"/>
        <w:ind w:firstLine="420" w:firstLineChars="200"/>
        <w:rPr>
          <w:rFonts w:hint="eastAsia" w:ascii="宋体" w:hAnsi="宋体" w:cs="宋体"/>
          <w:color w:val="auto"/>
          <w:spacing w:val="-1"/>
          <w:szCs w:val="21"/>
          <w:highlight w:val="none"/>
        </w:rPr>
      </w:pPr>
      <w:r>
        <w:rPr>
          <w:rFonts w:hint="eastAsia" w:ascii="宋体" w:hAnsi="宋体" w:cs="宋体"/>
          <w:color w:val="auto"/>
          <w:szCs w:val="21"/>
          <w:highlight w:val="none"/>
        </w:rPr>
        <w:t>3.本项目的特定资格要求：供应商必须具有相应有效的《食品经营许可证》或《食品生产许可证》。</w:t>
      </w:r>
    </w:p>
    <w:p w14:paraId="6CE11330">
      <w:pPr>
        <w:spacing w:line="360" w:lineRule="auto"/>
        <w:ind w:firstLine="361" w:firstLineChars="150"/>
        <w:rPr>
          <w:rFonts w:hint="eastAsia" w:ascii="宋体" w:hAnsi="宋体" w:cs="宋体"/>
          <w:b/>
          <w:color w:val="auto"/>
          <w:sz w:val="24"/>
          <w:highlight w:val="none"/>
        </w:rPr>
      </w:pPr>
      <w:bookmarkStart w:id="10" w:name="_Toc71366168"/>
      <w:r>
        <w:rPr>
          <w:rFonts w:hint="eastAsia" w:ascii="宋体" w:hAnsi="宋体" w:cs="宋体"/>
          <w:b/>
          <w:color w:val="auto"/>
          <w:sz w:val="24"/>
          <w:highlight w:val="none"/>
        </w:rPr>
        <w:t>三、获取竞争性磋商文件</w:t>
      </w:r>
      <w:bookmarkEnd w:id="10"/>
    </w:p>
    <w:p w14:paraId="2D102B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日至202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日 ，每天上午00:00至12:00 ，下午12:00至23:59（北京时间，法定节假日除外）</w:t>
      </w:r>
    </w:p>
    <w:p w14:paraId="093118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地点（网址）：广西政府采购云平台（https://www.gcy.zfcg.gxzf.gov.cn/）</w:t>
      </w:r>
    </w:p>
    <w:p w14:paraId="24ABA91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方式：</w:t>
      </w:r>
      <w:r>
        <w:rPr>
          <w:rFonts w:hint="eastAsia" w:ascii="宋体" w:hAnsi="宋体" w:cs="宋体"/>
          <w:bCs/>
          <w:color w:val="auto"/>
          <w:kern w:val="0"/>
          <w:szCs w:val="21"/>
          <w:highlight w:val="none"/>
        </w:rPr>
        <w:t>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color w:val="auto"/>
          <w:szCs w:val="21"/>
          <w:highlight w:val="none"/>
        </w:rPr>
        <w:t>电子</w:t>
      </w:r>
      <w:r>
        <w:rPr>
          <w:rFonts w:hint="eastAsia"/>
          <w:color w:val="auto"/>
          <w:highlight w:val="none"/>
        </w:rPr>
        <w:t>响应文件</w:t>
      </w:r>
      <w:r>
        <w:rPr>
          <w:rFonts w:hint="eastAsia" w:ascii="宋体" w:hAnsi="宋体"/>
          <w:color w:val="auto"/>
          <w:szCs w:val="21"/>
          <w:highlight w:val="none"/>
        </w:rPr>
        <w:t>制作需要基于广西政府采购云平台获取的磋商文件编制，</w:t>
      </w:r>
      <w:r>
        <w:rPr>
          <w:rFonts w:hint="eastAsia" w:ascii="宋体" w:hAnsi="宋体" w:cs="宋体"/>
          <w:bCs/>
          <w:color w:val="auto"/>
          <w:kern w:val="0"/>
          <w:szCs w:val="21"/>
          <w:highlight w:val="none"/>
        </w:rPr>
        <w:t>通过其他方式获取磋商文件的，将有可能导致供应商无法在广西政府采购云平台编制及上传响应文件。</w:t>
      </w:r>
    </w:p>
    <w:p w14:paraId="13F6BA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售价（元）：0 </w:t>
      </w:r>
    </w:p>
    <w:p w14:paraId="78F74A97">
      <w:pPr>
        <w:spacing w:line="360" w:lineRule="auto"/>
        <w:ind w:firstLine="361" w:firstLineChars="150"/>
        <w:rPr>
          <w:rFonts w:hint="eastAsia" w:ascii="宋体" w:hAnsi="宋体" w:cs="宋体"/>
          <w:b/>
          <w:color w:val="auto"/>
          <w:sz w:val="24"/>
          <w:highlight w:val="none"/>
        </w:rPr>
      </w:pPr>
      <w:bookmarkStart w:id="11" w:name="_Toc71366169"/>
      <w:r>
        <w:rPr>
          <w:rFonts w:hint="eastAsia" w:ascii="宋体" w:hAnsi="宋体" w:cs="宋体"/>
          <w:b/>
          <w:color w:val="auto"/>
          <w:sz w:val="24"/>
          <w:highlight w:val="none"/>
        </w:rPr>
        <w:t>四、响应文件提交</w:t>
      </w:r>
      <w:bookmarkEnd w:id="11"/>
    </w:p>
    <w:p w14:paraId="437295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截止时间：202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日9时00分（北京时间）</w:t>
      </w:r>
    </w:p>
    <w:p w14:paraId="437C37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地点（网址）：广西政府采购云平台（https://www.gcy.zfcg.gxzf.gov.cn/）</w:t>
      </w:r>
    </w:p>
    <w:p w14:paraId="0D67A0EB">
      <w:pPr>
        <w:spacing w:line="360" w:lineRule="auto"/>
        <w:ind w:firstLine="361" w:firstLineChars="150"/>
        <w:rPr>
          <w:rFonts w:hint="eastAsia" w:ascii="宋体" w:hAnsi="宋体" w:cs="宋体"/>
          <w:b/>
          <w:color w:val="auto"/>
          <w:sz w:val="24"/>
          <w:highlight w:val="none"/>
        </w:rPr>
      </w:pPr>
      <w:bookmarkStart w:id="12" w:name="_Toc71366170"/>
      <w:r>
        <w:rPr>
          <w:rFonts w:hint="eastAsia" w:ascii="宋体" w:hAnsi="宋体" w:cs="宋体"/>
          <w:b/>
          <w:color w:val="auto"/>
          <w:sz w:val="24"/>
          <w:highlight w:val="none"/>
        </w:rPr>
        <w:t>五、</w:t>
      </w:r>
      <w:bookmarkEnd w:id="12"/>
      <w:r>
        <w:rPr>
          <w:rFonts w:hint="eastAsia" w:ascii="宋体" w:hAnsi="宋体" w:cs="宋体"/>
          <w:b/>
          <w:color w:val="auto"/>
          <w:sz w:val="24"/>
          <w:highlight w:val="none"/>
        </w:rPr>
        <w:t>开启</w:t>
      </w:r>
    </w:p>
    <w:p w14:paraId="08EC5B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日9时00分（北京时间）</w:t>
      </w:r>
    </w:p>
    <w:p w14:paraId="3BA0AD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2.地点：广西政府采购云平台（https://www.gcy.zfcg.gxzf.gov.cn/）</w:t>
      </w:r>
    </w:p>
    <w:p w14:paraId="7E8931A8">
      <w:pPr>
        <w:spacing w:line="360" w:lineRule="auto"/>
        <w:ind w:firstLine="361" w:firstLineChars="150"/>
        <w:rPr>
          <w:rFonts w:hint="eastAsia" w:ascii="宋体" w:hAnsi="宋体" w:cs="宋体"/>
          <w:b/>
          <w:color w:val="auto"/>
          <w:sz w:val="24"/>
          <w:highlight w:val="none"/>
        </w:rPr>
      </w:pPr>
      <w:bookmarkStart w:id="13" w:name="_Toc71366171"/>
      <w:r>
        <w:rPr>
          <w:rFonts w:hint="eastAsia" w:ascii="宋体" w:hAnsi="宋体" w:cs="宋体"/>
          <w:b/>
          <w:color w:val="auto"/>
          <w:sz w:val="24"/>
          <w:highlight w:val="none"/>
        </w:rPr>
        <w:t>六、公告期限</w:t>
      </w:r>
      <w:bookmarkEnd w:id="13"/>
    </w:p>
    <w:p w14:paraId="3C550F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自本公告发布之日起5个工作日。</w:t>
      </w:r>
    </w:p>
    <w:p w14:paraId="7805C3F7">
      <w:pPr>
        <w:spacing w:line="360" w:lineRule="auto"/>
        <w:ind w:firstLine="361" w:firstLineChars="150"/>
        <w:rPr>
          <w:rFonts w:hint="eastAsia" w:ascii="宋体" w:hAnsi="宋体" w:cs="宋体"/>
          <w:b/>
          <w:color w:val="auto"/>
          <w:sz w:val="24"/>
          <w:highlight w:val="none"/>
        </w:rPr>
      </w:pPr>
      <w:bookmarkStart w:id="14" w:name="_Toc71366172"/>
      <w:r>
        <w:rPr>
          <w:rFonts w:hint="eastAsia" w:ascii="宋体" w:hAnsi="宋体" w:cs="宋体"/>
          <w:b/>
          <w:color w:val="auto"/>
          <w:sz w:val="24"/>
          <w:highlight w:val="none"/>
        </w:rPr>
        <w:t>七、其他补充事宜</w:t>
      </w:r>
      <w:bookmarkEnd w:id="14"/>
    </w:p>
    <w:p w14:paraId="4271F51D">
      <w:pPr>
        <w:spacing w:line="360" w:lineRule="auto"/>
        <w:ind w:firstLine="420" w:firstLineChars="200"/>
        <w:rPr>
          <w:rFonts w:hint="eastAsia" w:ascii="宋体" w:hAnsi="宋体" w:cs="宋体"/>
          <w:color w:val="auto"/>
          <w:kern w:val="0"/>
          <w:szCs w:val="21"/>
          <w:highlight w:val="none"/>
        </w:rPr>
      </w:pPr>
      <w:bookmarkStart w:id="15" w:name="_Toc44229885"/>
      <w:bookmarkStart w:id="16" w:name="_Toc28359018"/>
      <w:bookmarkStart w:id="17" w:name="_Toc28359095"/>
      <w:bookmarkStart w:id="18" w:name="_Toc35393805"/>
      <w:bookmarkStart w:id="19" w:name="_Toc35393636"/>
      <w:r>
        <w:rPr>
          <w:rFonts w:hint="eastAsia" w:ascii="宋体" w:hAnsi="宋体" w:cs="宋体"/>
          <w:color w:val="auto"/>
          <w:kern w:val="0"/>
          <w:szCs w:val="21"/>
          <w:highlight w:val="none"/>
        </w:rPr>
        <w:t>1.磋商保证金：</w:t>
      </w:r>
    </w:p>
    <w:p w14:paraId="2FBBA5C2">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（1）磋商保证金：金额</w:t>
      </w:r>
      <w:r>
        <w:rPr>
          <w:rFonts w:hint="eastAsia" w:ascii="宋体" w:hAnsi="宋体" w:cs="宋体"/>
          <w:color w:val="auto"/>
          <w:highlight w:val="none"/>
        </w:rPr>
        <w:t>为人民币贰万元整（¥20000.00）；</w:t>
      </w:r>
    </w:p>
    <w:p w14:paraId="2DBEF463">
      <w:pPr>
        <w:wordWrap w:val="0"/>
        <w:spacing w:line="360" w:lineRule="auto"/>
        <w:ind w:firstLine="525" w:firstLineChars="250"/>
        <w:rPr>
          <w:rFonts w:hint="eastAsia" w:ascii="宋体" w:hAnsi="宋体" w:cs="宋体"/>
          <w:color w:val="auto"/>
          <w:highlight w:val="none"/>
        </w:rPr>
      </w:pPr>
      <w:r>
        <w:rPr>
          <w:rFonts w:hint="eastAsia" w:ascii="宋体" w:hAnsi="宋体" w:cs="宋体"/>
          <w:color w:val="auto"/>
          <w:highlight w:val="none"/>
        </w:rPr>
        <w:t>供应商必须于响应文件递交截止时间前以转账、支票、汇票、本票或者金融机构、担保机构出具的保函等非现金形式提交。</w:t>
      </w:r>
    </w:p>
    <w:p w14:paraId="521D62C9">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kern w:val="0"/>
          <w:szCs w:val="21"/>
          <w:highlight w:val="none"/>
        </w:rPr>
        <w:t>磋商</w:t>
      </w:r>
      <w:r>
        <w:rPr>
          <w:rFonts w:hint="eastAsia" w:ascii="宋体" w:hAnsi="宋体" w:cs="宋体"/>
          <w:color w:val="auto"/>
          <w:highlight w:val="none"/>
        </w:rPr>
        <w:t>保证金交纳的指定账户：</w:t>
      </w:r>
    </w:p>
    <w:p w14:paraId="07B27FF4">
      <w:pPr>
        <w:wordWrap w:val="0"/>
        <w:spacing w:line="360" w:lineRule="auto"/>
        <w:ind w:firstLine="630" w:firstLineChars="300"/>
        <w:rPr>
          <w:rFonts w:hint="eastAsia" w:ascii="宋体" w:hAnsi="宋体" w:cs="宋体"/>
          <w:color w:val="auto"/>
          <w:highlight w:val="none"/>
          <w:lang w:eastAsia="zh-CN"/>
        </w:rPr>
      </w:pPr>
      <w:r>
        <w:rPr>
          <w:rFonts w:hint="eastAsia" w:ascii="宋体" w:hAnsi="宋体" w:cs="宋体"/>
          <w:color w:val="auto"/>
          <w:highlight w:val="none"/>
        </w:rPr>
        <w:t>开户名称：</w:t>
      </w:r>
      <w:r>
        <w:rPr>
          <w:rFonts w:hint="eastAsia" w:ascii="宋体" w:hAnsi="宋体" w:cs="宋体"/>
          <w:color w:val="auto"/>
          <w:highlight w:val="none"/>
          <w:lang w:eastAsia="zh-CN"/>
        </w:rPr>
        <w:t>广西科联招标中心有限公司</w:t>
      </w:r>
    </w:p>
    <w:p w14:paraId="4F2AA557">
      <w:pPr>
        <w:wordWrap w:val="0"/>
        <w:spacing w:line="360" w:lineRule="auto"/>
        <w:ind w:firstLine="630" w:firstLineChars="300"/>
        <w:rPr>
          <w:rFonts w:hint="eastAsia" w:ascii="宋体" w:hAnsi="宋体" w:cs="宋体"/>
          <w:color w:val="auto"/>
          <w:highlight w:val="none"/>
        </w:rPr>
      </w:pPr>
      <w:r>
        <w:rPr>
          <w:rFonts w:hint="eastAsia" w:ascii="宋体" w:hAnsi="宋体" w:cs="宋体"/>
          <w:color w:val="auto"/>
          <w:highlight w:val="none"/>
        </w:rPr>
        <w:t>开户银行：广西北部湾银行南宁市相思湖支行</w:t>
      </w:r>
    </w:p>
    <w:p w14:paraId="78D36E42">
      <w:pPr>
        <w:spacing w:line="360" w:lineRule="auto"/>
        <w:ind w:firstLine="630" w:firstLineChars="300"/>
        <w:rPr>
          <w:rFonts w:hint="eastAsia" w:ascii="宋体" w:hAnsi="宋体" w:cs="宋体"/>
          <w:color w:val="auto"/>
          <w:kern w:val="0"/>
          <w:szCs w:val="21"/>
          <w:highlight w:val="none"/>
        </w:rPr>
      </w:pPr>
      <w:r>
        <w:rPr>
          <w:rFonts w:hint="eastAsia" w:ascii="宋体" w:hAnsi="宋体" w:cs="宋体"/>
          <w:color w:val="auto"/>
          <w:highlight w:val="none"/>
        </w:rPr>
        <w:t>开户账号：8000 5435 9168 889</w:t>
      </w:r>
    </w:p>
    <w:p w14:paraId="4AB5CE63">
      <w:pPr>
        <w:spacing w:line="360" w:lineRule="auto"/>
        <w:ind w:firstLine="420" w:firstLineChars="200"/>
        <w:rPr>
          <w:rFonts w:hint="eastAsia" w:ascii="宋体" w:hAnsi="宋体" w:cs="宋体"/>
          <w:color w:val="auto"/>
          <w:kern w:val="0"/>
          <w:highlight w:val="none"/>
        </w:rPr>
      </w:pPr>
      <w:r>
        <w:rPr>
          <w:rFonts w:hint="eastAsia" w:ascii="宋体" w:hAnsi="宋体" w:cs="宋体"/>
          <w:color w:val="auto"/>
          <w:kern w:val="0"/>
          <w:szCs w:val="21"/>
          <w:highlight w:val="none"/>
        </w:rPr>
        <w:t xml:space="preserve">2. </w:t>
      </w:r>
      <w:r>
        <w:rPr>
          <w:rFonts w:hint="eastAsia" w:ascii="宋体" w:hAnsi="宋体" w:cs="宋体"/>
          <w:color w:val="auto"/>
          <w:kern w:val="0"/>
          <w:highlight w:val="none"/>
        </w:rPr>
        <w:t>本项目需要落实的政府采购政策：</w:t>
      </w:r>
    </w:p>
    <w:p w14:paraId="281287C8">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33B00C1B">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）政府采购促进残疾人就业政策。</w:t>
      </w:r>
    </w:p>
    <w:p w14:paraId="73A49689">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）政府采购支持监狱企业发展。</w:t>
      </w:r>
    </w:p>
    <w:p w14:paraId="2C9F279B">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3.网上查询地址</w:t>
      </w:r>
    </w:p>
    <w:p w14:paraId="54C85583">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中国政府采购网（www.ccgp.gov.cn）、广西政府采购网（zfcg.gxzf.gov.cn）</w:t>
      </w:r>
      <w:bookmarkStart w:id="20" w:name="_Hlk73023815"/>
      <w:r>
        <w:rPr>
          <w:rFonts w:hint="eastAsia" w:ascii="宋体" w:hAnsi="宋体" w:cs="宋体"/>
          <w:color w:val="auto"/>
          <w:kern w:val="0"/>
          <w:szCs w:val="21"/>
          <w:highlight w:val="none"/>
        </w:rPr>
        <w:t>、</w:t>
      </w:r>
      <w:r>
        <w:rPr>
          <w:rFonts w:hint="eastAsia" w:ascii="宋体" w:hAnsi="宋体" w:cs="Arial"/>
          <w:color w:val="auto"/>
          <w:szCs w:val="21"/>
          <w:highlight w:val="none"/>
        </w:rPr>
        <w:t>全国公共资源交易平台（广西•贵港）</w:t>
      </w:r>
      <w:bookmarkEnd w:id="20"/>
      <w:r>
        <w:rPr>
          <w:rFonts w:hint="eastAsia" w:ascii="宋体" w:hAnsi="宋体" w:cs="Arial"/>
          <w:color w:val="auto"/>
          <w:szCs w:val="21"/>
          <w:highlight w:val="none"/>
        </w:rPr>
        <w:t>（http</w:t>
      </w:r>
      <w:r>
        <w:rPr>
          <w:rFonts w:ascii="宋体" w:hAnsi="宋体" w:cs="Arial"/>
          <w:color w:val="auto"/>
          <w:szCs w:val="21"/>
          <w:highlight w:val="none"/>
        </w:rPr>
        <w:t>:</w:t>
      </w:r>
      <w:r>
        <w:rPr>
          <w:rFonts w:hint="eastAsia" w:ascii="宋体" w:hAnsi="宋体" w:cs="Arial"/>
          <w:color w:val="auto"/>
          <w:szCs w:val="21"/>
          <w:highlight w:val="none"/>
        </w:rPr>
        <w:t>//ggzy.jgswj.gxzf.gov.cn/ggggzy/）</w:t>
      </w:r>
      <w:r>
        <w:rPr>
          <w:rFonts w:hint="eastAsia" w:ascii="宋体" w:hAnsi="宋体" w:cs="宋体"/>
          <w:color w:val="auto"/>
          <w:szCs w:val="21"/>
          <w:highlight w:val="none"/>
          <w:lang w:bidi="ar"/>
        </w:rPr>
        <w:t>。</w:t>
      </w:r>
    </w:p>
    <w:p w14:paraId="6AD64861">
      <w:pPr>
        <w:spacing w:line="360" w:lineRule="auto"/>
        <w:ind w:firstLine="420" w:firstLineChars="200"/>
        <w:rPr>
          <w:rFonts w:hint="eastAsia" w:ascii="宋体" w:hAnsi="宋体" w:cs="宋体"/>
          <w:color w:val="auto"/>
          <w:kern w:val="0"/>
          <w:szCs w:val="21"/>
          <w:highlight w:val="none"/>
        </w:rPr>
      </w:pPr>
    </w:p>
    <w:p w14:paraId="09842C1E">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4.监督部门</w:t>
      </w:r>
    </w:p>
    <w:p w14:paraId="039D46F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名  称：</w:t>
      </w:r>
      <w:r>
        <w:rPr>
          <w:rFonts w:hint="eastAsia" w:cs="Arial"/>
          <w:color w:val="auto"/>
          <w:highlight w:val="none"/>
          <w:lang w:val="en-US" w:eastAsia="zh-CN"/>
        </w:rPr>
        <w:t>贵港市财政局政府采购监督管理科。</w:t>
      </w:r>
    </w:p>
    <w:p w14:paraId="3A96E17B">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电  话：</w:t>
      </w:r>
      <w:r>
        <w:rPr>
          <w:rFonts w:hint="eastAsia" w:cs="Arial"/>
          <w:color w:val="auto"/>
          <w:highlight w:val="none"/>
          <w:lang w:val="en-US" w:eastAsia="zh-CN"/>
        </w:rPr>
        <w:t>0775-4555290、0775-4564649</w:t>
      </w:r>
    </w:p>
    <w:p w14:paraId="55EDA375">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8C76653">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6.未被“信用中国”（www.creditchina.gov.cn）、中国政府采购网（www.ccgp.gov.cn）列入失信被执行人、重大税收违法失信主体、政府采购严重违法失信行为记录名单。</w:t>
      </w:r>
    </w:p>
    <w:p w14:paraId="1828CFA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7.供应商竞标注意事项</w:t>
      </w:r>
    </w:p>
    <w:p w14:paraId="58791DC6">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供应商在广西政府采购云平台提交电子响应文件时，请填写参加远程采购活动经办人联系方式。</w:t>
      </w:r>
      <w:r>
        <w:rPr>
          <w:rFonts w:hint="eastAsia" w:ascii="宋体" w:hAnsi="宋体"/>
          <w:color w:val="auto"/>
          <w:szCs w:val="21"/>
          <w:highlight w:val="none"/>
        </w:rPr>
        <w:t>供应商登录广西政府采购云平台，依次进入“服务中心－项目采购－操作流程－电子招投标－</w:t>
      </w:r>
      <w:r>
        <w:rPr>
          <w:rFonts w:hint="eastAsia"/>
          <w:color w:val="auto"/>
          <w:highlight w:val="none"/>
        </w:rPr>
        <w:t>政府采购项目电子交易管理操作指南－供应商</w:t>
      </w:r>
      <w:r>
        <w:rPr>
          <w:rFonts w:hint="eastAsia" w:ascii="宋体" w:hAnsi="宋体"/>
          <w:color w:val="auto"/>
          <w:szCs w:val="21"/>
          <w:highlight w:val="none"/>
        </w:rPr>
        <w:t>”查看电子竞标具体操作流程。</w:t>
      </w:r>
    </w:p>
    <w:p w14:paraId="43F8A708">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626436B4">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7B1B7F36">
      <w:pPr>
        <w:widowControl/>
        <w:spacing w:line="360" w:lineRule="auto"/>
        <w:ind w:firstLine="420" w:firstLineChars="200"/>
        <w:jc w:val="left"/>
        <w:rPr>
          <w:rFonts w:hint="eastAsia"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08021CAC">
      <w:pPr>
        <w:spacing w:line="360" w:lineRule="auto"/>
        <w:ind w:firstLine="308" w:firstLineChars="147"/>
        <w:rPr>
          <w:rFonts w:hint="eastAsia" w:ascii="宋体" w:hAnsi="宋体" w:cs="宋体"/>
          <w:color w:val="auto"/>
          <w:kern w:val="0"/>
          <w:szCs w:val="21"/>
          <w:highlight w:val="none"/>
        </w:rPr>
      </w:pPr>
      <w:r>
        <w:rPr>
          <w:rFonts w:hint="eastAsia" w:ascii="宋体" w:hAnsi="宋体" w:cs="宋体"/>
          <w:color w:val="auto"/>
          <w:kern w:val="0"/>
          <w:szCs w:val="21"/>
          <w:highlight w:val="none"/>
        </w:rPr>
        <w:t>（4）供应商需要在具备有摄像头及语音功能且互联网网络状况良好的电脑登录广西政府采购云平台远程开标大厅参与本次磋商，否则后果自负。</w:t>
      </w:r>
    </w:p>
    <w:p w14:paraId="6199157F">
      <w:pPr>
        <w:spacing w:line="360" w:lineRule="auto"/>
        <w:ind w:firstLine="361" w:firstLineChars="150"/>
        <w:rPr>
          <w:rFonts w:hint="eastAsia" w:ascii="宋体" w:hAnsi="宋体" w:cs="宋体"/>
          <w:color w:val="auto"/>
          <w:sz w:val="24"/>
          <w:highlight w:val="none"/>
        </w:rPr>
      </w:pPr>
      <w:r>
        <w:rPr>
          <w:rFonts w:hint="eastAsia" w:ascii="宋体" w:hAnsi="宋体" w:cs="宋体"/>
          <w:b/>
          <w:color w:val="auto"/>
          <w:sz w:val="24"/>
          <w:highlight w:val="none"/>
        </w:rPr>
        <w:t>八、凡对本次采购提出询问，请按以下方式联系</w:t>
      </w:r>
      <w:r>
        <w:rPr>
          <w:rFonts w:hint="eastAsia" w:ascii="宋体" w:hAnsi="宋体" w:cs="宋体"/>
          <w:color w:val="auto"/>
          <w:sz w:val="24"/>
          <w:highlight w:val="none"/>
        </w:rPr>
        <w:t>。</w:t>
      </w:r>
      <w:bookmarkEnd w:id="15"/>
      <w:bookmarkEnd w:id="16"/>
      <w:bookmarkEnd w:id="17"/>
      <w:bookmarkEnd w:id="18"/>
      <w:bookmarkEnd w:id="19"/>
    </w:p>
    <w:p w14:paraId="2B45BE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3A03577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名    称：广西壮族自治区贵港监狱　</w:t>
      </w:r>
    </w:p>
    <w:p w14:paraId="330BC3C9">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 xml:space="preserve">地    址：贵港市港北区金港大道502号 </w:t>
      </w:r>
    </w:p>
    <w:p w14:paraId="2DAEB81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项目联系人：何益雯</w:t>
      </w:r>
    </w:p>
    <w:p w14:paraId="35EAA325">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联系方式：0775-4580003</w:t>
      </w:r>
    </w:p>
    <w:p w14:paraId="1CCFF8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61DD73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名    称：　</w:t>
      </w:r>
      <w:r>
        <w:rPr>
          <w:rFonts w:hint="eastAsia" w:ascii="宋体" w:hAnsi="宋体" w:cs="宋体"/>
          <w:color w:val="auto"/>
          <w:szCs w:val="21"/>
          <w:highlight w:val="none"/>
          <w:lang w:eastAsia="zh-CN"/>
        </w:rPr>
        <w:t>广西科联招标中心有限公司</w:t>
      </w:r>
      <w:r>
        <w:rPr>
          <w:rFonts w:hint="eastAsia" w:ascii="宋体" w:hAnsi="宋体" w:cs="宋体"/>
          <w:color w:val="auto"/>
          <w:szCs w:val="21"/>
          <w:highlight w:val="none"/>
        </w:rPr>
        <w:t>　</w:t>
      </w:r>
    </w:p>
    <w:p w14:paraId="38463A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址：贵港市金港大道935号财富中心十七楼172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室</w:t>
      </w:r>
    </w:p>
    <w:p w14:paraId="186A07B4">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val="en-US" w:eastAsia="zh-CN"/>
        </w:rPr>
        <w:t>黄韬</w:t>
      </w:r>
      <w:bookmarkStart w:id="52" w:name="_GoBack"/>
      <w:bookmarkEnd w:id="52"/>
    </w:p>
    <w:p w14:paraId="2F076817">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项目联系方式： 0775-</w:t>
      </w:r>
      <w:r>
        <w:rPr>
          <w:rFonts w:hint="eastAsia" w:ascii="宋体" w:hAnsi="宋体" w:eastAsia="宋体" w:cs="宋体"/>
          <w:color w:val="auto"/>
          <w:szCs w:val="21"/>
          <w:highlight w:val="none"/>
          <w:lang w:val="en-US" w:eastAsia="zh-CN"/>
        </w:rPr>
        <w:t>4563700</w:t>
      </w:r>
    </w:p>
    <w:p w14:paraId="66959890">
      <w:pPr>
        <w:spacing w:line="360" w:lineRule="auto"/>
        <w:ind w:firstLine="420" w:firstLineChars="200"/>
        <w:rPr>
          <w:rFonts w:hint="eastAsia" w:ascii="宋体" w:hAnsi="宋体" w:eastAsia="宋体" w:cs="宋体"/>
          <w:color w:val="auto"/>
          <w:szCs w:val="21"/>
          <w:highlight w:val="none"/>
          <w:lang w:eastAsia="zh-CN"/>
        </w:rPr>
      </w:pPr>
    </w:p>
    <w:p w14:paraId="10E339E6">
      <w:pPr>
        <w:spacing w:line="360" w:lineRule="auto"/>
        <w:ind w:firstLine="5880" w:firstLineChars="28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广西科联招标中心有限公司</w:t>
      </w:r>
      <w:r>
        <w:rPr>
          <w:rFonts w:hint="eastAsia" w:ascii="宋体" w:hAnsi="宋体" w:eastAsia="宋体" w:cs="宋体"/>
          <w:color w:val="auto"/>
          <w:szCs w:val="21"/>
          <w:highlight w:val="none"/>
        </w:rPr>
        <w:t xml:space="preserve"> </w:t>
      </w:r>
    </w:p>
    <w:p w14:paraId="3B023B12">
      <w:pPr>
        <w:spacing w:line="360" w:lineRule="auto"/>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 xml:space="preserve"> 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日</w:t>
      </w:r>
    </w:p>
    <w:p w14:paraId="676AD423">
      <w:pPr>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br w:type="page"/>
      </w:r>
    </w:p>
    <w:bookmarkEnd w:id="1"/>
    <w:p w14:paraId="763AC450">
      <w:pPr>
        <w:pStyle w:val="2"/>
        <w:jc w:val="center"/>
        <w:rPr>
          <w:rFonts w:hint="eastAsia" w:ascii="宋体" w:hAnsi="宋体" w:cs="宋体"/>
          <w:color w:val="auto"/>
          <w:highlight w:val="none"/>
        </w:rPr>
      </w:pPr>
      <w:bookmarkStart w:id="21" w:name="_Toc18376"/>
      <w:r>
        <w:rPr>
          <w:rFonts w:hint="eastAsia" w:ascii="宋体" w:hAnsi="宋体" w:cs="宋体"/>
          <w:color w:val="auto"/>
          <w:highlight w:val="none"/>
        </w:rPr>
        <w:t>第二章 供应商须知</w:t>
      </w:r>
      <w:bookmarkEnd w:id="21"/>
    </w:p>
    <w:p w14:paraId="3ACDE661">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p w14:paraId="1CDC16F7">
      <w:pPr>
        <w:spacing w:line="400" w:lineRule="exact"/>
        <w:jc w:val="center"/>
        <w:rPr>
          <w:rFonts w:hint="eastAsia" w:ascii="宋体" w:hAnsi="宋体" w:cs="宋体"/>
          <w:b/>
          <w:color w:val="auto"/>
          <w:sz w:val="32"/>
          <w:szCs w:val="32"/>
          <w:highlight w:val="none"/>
        </w:rPr>
      </w:pPr>
    </w:p>
    <w:tbl>
      <w:tblPr>
        <w:tblStyle w:val="16"/>
        <w:tblW w:w="92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1"/>
        <w:gridCol w:w="8385"/>
      </w:tblGrid>
      <w:tr w14:paraId="4BEAB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71" w:type="dxa"/>
            <w:noWrap w:val="0"/>
            <w:vAlign w:val="top"/>
          </w:tcPr>
          <w:p w14:paraId="75533E7B">
            <w:pPr>
              <w:spacing w:line="312"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8385" w:type="dxa"/>
            <w:noWrap w:val="0"/>
            <w:vAlign w:val="top"/>
          </w:tcPr>
          <w:p w14:paraId="2E1079EF">
            <w:pPr>
              <w:spacing w:line="312"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0DDEB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noWrap w:val="0"/>
            <w:vAlign w:val="center"/>
          </w:tcPr>
          <w:p w14:paraId="62B1A05D">
            <w:pPr>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8385" w:type="dxa"/>
            <w:noWrap w:val="0"/>
            <w:vAlign w:val="center"/>
          </w:tcPr>
          <w:p w14:paraId="405814E9">
            <w:pPr>
              <w:spacing w:line="312" w:lineRule="auto"/>
              <w:rPr>
                <w:rFonts w:hint="eastAsia" w:ascii="宋体" w:hAnsi="宋体" w:cs="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70C2D410">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7E110E70">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71C07D6">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01089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noWrap w:val="0"/>
            <w:vAlign w:val="center"/>
          </w:tcPr>
          <w:p w14:paraId="00959A52">
            <w:pPr>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8385" w:type="dxa"/>
            <w:noWrap w:val="0"/>
            <w:vAlign w:val="center"/>
          </w:tcPr>
          <w:p w14:paraId="1652BDF6">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 详见竞争性磋商公告</w:t>
            </w:r>
          </w:p>
        </w:tc>
      </w:tr>
      <w:tr w14:paraId="26812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noWrap w:val="0"/>
            <w:vAlign w:val="center"/>
          </w:tcPr>
          <w:p w14:paraId="3973A9E5">
            <w:pPr>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8385" w:type="dxa"/>
            <w:noWrap w:val="0"/>
            <w:vAlign w:val="center"/>
          </w:tcPr>
          <w:p w14:paraId="2F4EC403">
            <w:pPr>
              <w:pStyle w:val="6"/>
              <w:spacing w:line="312"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是否允许分包：☑不允许</w:t>
            </w:r>
          </w:p>
        </w:tc>
      </w:tr>
      <w:tr w14:paraId="71B1F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noWrap w:val="0"/>
            <w:vAlign w:val="center"/>
          </w:tcPr>
          <w:p w14:paraId="1725BC01">
            <w:pPr>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12.1.1</w:t>
            </w:r>
          </w:p>
        </w:tc>
        <w:tc>
          <w:tcPr>
            <w:tcW w:w="8385" w:type="dxa"/>
            <w:noWrap w:val="0"/>
            <w:vAlign w:val="center"/>
          </w:tcPr>
          <w:p w14:paraId="21741826">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792F5352">
            <w:pPr>
              <w:pStyle w:val="6"/>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1.法人或者其他组织的营业执照复印件等证明文件（如营业执照或事业单位法人证书或执业许可证等），自然人的身份证复印件；（</w:t>
            </w:r>
            <w:r>
              <w:rPr>
                <w:rFonts w:hint="eastAsia" w:ascii="宋体" w:hAnsi="宋体" w:cs="宋体"/>
                <w:b/>
                <w:color w:val="auto"/>
                <w:szCs w:val="21"/>
                <w:highlight w:val="none"/>
                <w:lang w:val="en-US" w:eastAsia="zh-CN"/>
              </w:rPr>
              <w:t>必须提供，否则响应文件按无效响应处理</w:t>
            </w:r>
            <w:r>
              <w:rPr>
                <w:rFonts w:hint="eastAsia" w:ascii="宋体" w:hAnsi="宋体" w:cs="宋体"/>
                <w:color w:val="auto"/>
                <w:szCs w:val="21"/>
                <w:highlight w:val="none"/>
                <w:lang w:val="en-US" w:eastAsia="zh-CN"/>
              </w:rPr>
              <w:t>）</w:t>
            </w:r>
          </w:p>
          <w:p w14:paraId="7D98633B">
            <w:pPr>
              <w:spacing w:line="360" w:lineRule="auto"/>
              <w:contextualSpacing/>
              <w:rPr>
                <w:rFonts w:hint="eastAsia" w:ascii="宋体" w:hAnsi="宋体" w:cs="宋体"/>
                <w:b/>
                <w:color w:val="auto"/>
                <w:highlight w:val="none"/>
              </w:rPr>
            </w:pPr>
            <w:r>
              <w:rPr>
                <w:rFonts w:hint="eastAsia" w:ascii="宋体" w:hAnsi="宋体" w:cs="宋体"/>
                <w:color w:val="auto"/>
                <w:szCs w:val="21"/>
                <w:highlight w:val="none"/>
              </w:rPr>
              <w:t>2.贵港市政府采购项目投标资格承诺函（格式后附）；</w:t>
            </w:r>
            <w:r>
              <w:rPr>
                <w:rFonts w:hint="eastAsia" w:ascii="宋体" w:hAnsi="宋体" w:cs="宋体"/>
                <w:b/>
                <w:bCs/>
                <w:color w:val="auto"/>
                <w:szCs w:val="21"/>
                <w:highlight w:val="none"/>
              </w:rPr>
              <w:t>（必须提供，否则响应文件按无效响应处理）</w:t>
            </w:r>
            <w:r>
              <w:rPr>
                <w:rFonts w:hint="eastAsia" w:ascii="宋体" w:hAnsi="宋体" w:cs="宋体"/>
                <w:color w:val="auto"/>
                <w:highlight w:val="none"/>
              </w:rPr>
              <w:t>；</w:t>
            </w:r>
          </w:p>
          <w:p w14:paraId="0874A929">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41BCCDD">
            <w:pPr>
              <w:snapToGrid w:val="0"/>
              <w:spacing w:line="360" w:lineRule="auto"/>
              <w:jc w:val="left"/>
              <w:rPr>
                <w:rFonts w:hint="eastAsia" w:ascii="宋体" w:hAnsi="宋体" w:cs="宋体"/>
                <w:b/>
                <w:bCs/>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.竞标声明（格式后附）；</w:t>
            </w:r>
            <w:r>
              <w:rPr>
                <w:rFonts w:hint="eastAsia" w:ascii="宋体" w:hAnsi="宋体" w:cs="宋体"/>
                <w:b/>
                <w:bCs/>
                <w:color w:val="auto"/>
                <w:szCs w:val="21"/>
                <w:highlight w:val="none"/>
              </w:rPr>
              <w:t>（必须提供，否则响应文件按无效响应处理）</w:t>
            </w:r>
          </w:p>
          <w:p w14:paraId="7716A7BC">
            <w:pPr>
              <w:snapToGrid w:val="0"/>
              <w:spacing w:line="360" w:lineRule="auto"/>
              <w:jc w:val="left"/>
              <w:rPr>
                <w:rFonts w:ascii="宋体" w:hAnsi="宋体" w:cs="宋体"/>
                <w:b/>
                <w:bCs/>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.供应商必须具有相应有效的《食品经营许可证》或《食品生产许可证》；</w:t>
            </w:r>
            <w:r>
              <w:rPr>
                <w:rFonts w:hint="eastAsia" w:ascii="宋体" w:hAnsi="宋体" w:cs="宋体"/>
                <w:b/>
                <w:bCs/>
                <w:color w:val="auto"/>
                <w:szCs w:val="21"/>
                <w:highlight w:val="none"/>
              </w:rPr>
              <w:t>（必须提供，否则响应文件按无效响应处理）</w:t>
            </w:r>
          </w:p>
          <w:p w14:paraId="76AD0A11">
            <w:pPr>
              <w:snapToGrid w:val="0"/>
              <w:spacing w:line="360" w:lineRule="auto"/>
              <w:jc w:val="left"/>
              <w:rPr>
                <w:rFonts w:hint="eastAsia" w:ascii="宋体" w:hAnsi="宋体" w:cs="宋体"/>
                <w:b/>
                <w:bCs/>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.中小企业声明函（格式后附）或残疾人福利性单位声明函（格式后附）或监狱企业的证明文件；</w:t>
            </w:r>
            <w:r>
              <w:rPr>
                <w:rFonts w:hint="eastAsia" w:ascii="宋体" w:hAnsi="宋体" w:cs="宋体"/>
                <w:b/>
                <w:bCs/>
                <w:color w:val="auto"/>
                <w:szCs w:val="21"/>
                <w:highlight w:val="none"/>
              </w:rPr>
              <w:t>（必须提供，否则响应文件按无效响应处理）</w:t>
            </w:r>
          </w:p>
          <w:p w14:paraId="056CE4D9">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bCs/>
                <w:color w:val="auto"/>
                <w:szCs w:val="21"/>
                <w:highlight w:val="none"/>
              </w:rPr>
              <w:t>除竞争性磋商文件</w:t>
            </w:r>
            <w:r>
              <w:rPr>
                <w:rFonts w:hint="eastAsia" w:ascii="宋体" w:hAnsi="宋体" w:cs="宋体"/>
                <w:color w:val="auto"/>
                <w:szCs w:val="21"/>
                <w:highlight w:val="none"/>
              </w:rPr>
              <w:t>规定必须提供以外，供应商认为需要提供的其他证明材料；</w:t>
            </w:r>
          </w:p>
          <w:p w14:paraId="0ED3369F">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40BB934F">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1.以上标明“必须提供”材料的，必须加盖供应商电子签章，否则响应文件按无效响应处理。</w:t>
            </w:r>
          </w:p>
          <w:p w14:paraId="22AAC5F0">
            <w:pPr>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2.竞标声明必须由法定代表人在规定签章处签字或盖章或电子签名，并加盖供应商电子签章，否则响应文件按无效响应处理。</w:t>
            </w:r>
          </w:p>
          <w:p w14:paraId="392891CA">
            <w:pPr>
              <w:snapToGrid w:val="0"/>
              <w:spacing w:line="360" w:lineRule="auto"/>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rPr>
              <w:t>3.供应商直接控股、管理关系信息表必须由法定代表人或委托代理人在规定签章处签字或盖章或电子签名，否则响应文件按无效响应处理。</w:t>
            </w:r>
          </w:p>
        </w:tc>
      </w:tr>
      <w:tr w14:paraId="409B5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noWrap w:val="0"/>
            <w:vAlign w:val="center"/>
          </w:tcPr>
          <w:p w14:paraId="55DC525F">
            <w:pPr>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8385" w:type="dxa"/>
            <w:noWrap w:val="0"/>
            <w:vAlign w:val="center"/>
          </w:tcPr>
          <w:p w14:paraId="1DE1B442">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报价文件</w:t>
            </w:r>
          </w:p>
          <w:p w14:paraId="59099460">
            <w:pPr>
              <w:snapToGrid w:val="0"/>
              <w:spacing w:line="360" w:lineRule="auto"/>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1.竞标报价表（格式后附）；</w:t>
            </w:r>
            <w:r>
              <w:rPr>
                <w:rFonts w:hint="eastAsia" w:ascii="宋体" w:hAnsi="宋体" w:cs="宋体"/>
                <w:b/>
                <w:color w:val="auto"/>
                <w:szCs w:val="21"/>
                <w:highlight w:val="none"/>
              </w:rPr>
              <w:t>（必须提供，否则响应文件按无效处理）</w:t>
            </w:r>
          </w:p>
          <w:p w14:paraId="31D25BDE">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2.供应商认为需要提供的其他有关资料。</w:t>
            </w:r>
          </w:p>
          <w:p w14:paraId="22C28B4C">
            <w:pPr>
              <w:spacing w:line="360" w:lineRule="auto"/>
              <w:rPr>
                <w:rFonts w:hint="eastAsia" w:ascii="宋体" w:hAnsi="宋体" w:cs="宋体"/>
                <w:bCs/>
                <w:color w:val="auto"/>
                <w:szCs w:val="21"/>
                <w:highlight w:val="none"/>
              </w:rPr>
            </w:pPr>
            <w:r>
              <w:rPr>
                <w:rFonts w:hint="eastAsia" w:ascii="宋体" w:hAnsi="宋体" w:cs="宋体"/>
                <w:b/>
                <w:color w:val="auto"/>
                <w:szCs w:val="21"/>
                <w:highlight w:val="none"/>
              </w:rPr>
              <w:t>注：以上标明“必须提供”材料属于扫描件或复印件的，必须加盖供应商CA签章，否则电子响应文件作无效处理。</w:t>
            </w:r>
          </w:p>
        </w:tc>
      </w:tr>
      <w:tr w14:paraId="4A736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noWrap w:val="0"/>
            <w:vAlign w:val="center"/>
          </w:tcPr>
          <w:p w14:paraId="208B559C">
            <w:pPr>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12.1.3</w:t>
            </w:r>
          </w:p>
        </w:tc>
        <w:tc>
          <w:tcPr>
            <w:tcW w:w="8385" w:type="dxa"/>
            <w:noWrap w:val="0"/>
            <w:vAlign w:val="center"/>
          </w:tcPr>
          <w:p w14:paraId="73B9239B">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2DB7AAE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E67554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1AACA0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3.法定代表人授权委托书及委托代理人有效身份证正反面复印件（格式后附）；（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39BA25A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4.技术要求响应偏离表（格式后附）；（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EDB051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5.商务要求响应偏离表（格式后附）；（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B3E1305">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6.磋商保证金缴纳证明；</w:t>
            </w:r>
            <w:r>
              <w:rPr>
                <w:rFonts w:hint="eastAsia" w:ascii="宋体" w:hAnsi="宋体" w:cs="宋体"/>
                <w:b/>
                <w:bCs/>
                <w:color w:val="auto"/>
                <w:szCs w:val="21"/>
                <w:highlight w:val="none"/>
              </w:rPr>
              <w:t>（必须提供，否则响应文件按无效响应处理）</w:t>
            </w:r>
          </w:p>
          <w:p w14:paraId="260E872E">
            <w:pPr>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7.服务方案；</w:t>
            </w:r>
            <w:r>
              <w:rPr>
                <w:rFonts w:hint="eastAsia" w:ascii="宋体" w:hAnsi="宋体" w:cs="宋体"/>
                <w:b/>
                <w:bCs/>
                <w:color w:val="auto"/>
                <w:szCs w:val="21"/>
                <w:highlight w:val="none"/>
              </w:rPr>
              <w:t>（如有请提供）</w:t>
            </w:r>
          </w:p>
          <w:p w14:paraId="673BBA9C">
            <w:pPr>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8.拟投入项目实施人员一览表（格式后附）；</w:t>
            </w:r>
            <w:r>
              <w:rPr>
                <w:rFonts w:hint="eastAsia" w:ascii="宋体" w:hAnsi="宋体" w:cs="宋体"/>
                <w:b/>
                <w:bCs/>
                <w:color w:val="auto"/>
                <w:szCs w:val="21"/>
                <w:highlight w:val="none"/>
              </w:rPr>
              <w:t>（如有请提供）</w:t>
            </w:r>
          </w:p>
          <w:p w14:paraId="0FB6D41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9.对应采购需求的商务要求提供的其他文件资料；</w:t>
            </w:r>
          </w:p>
          <w:p w14:paraId="4C93B8D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10.对应采购需求的技术需求提供的其他文件资料；</w:t>
            </w:r>
          </w:p>
          <w:p w14:paraId="5F1F0BE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11.供应商认为需要提供的有关资料。</w:t>
            </w:r>
          </w:p>
          <w:p w14:paraId="14A07ABF">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注： </w:t>
            </w:r>
          </w:p>
          <w:p w14:paraId="42E2693D">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1.法定代表人授权委托书必须由法定代表人及委托代理人签字或盖章或电子签名，并加盖供应商电子签章，否则响应文件按无效响应处理。</w:t>
            </w:r>
          </w:p>
          <w:p w14:paraId="611E1155">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2.以上标明“必须提供”材料的，必须加盖供应商电子签章，否则响应文件按无效响应处理。</w:t>
            </w:r>
          </w:p>
          <w:p w14:paraId="0EF0838E">
            <w:pPr>
              <w:spacing w:line="360" w:lineRule="auto"/>
              <w:ind w:firstLine="413" w:firstLineChars="196"/>
              <w:rPr>
                <w:rFonts w:hint="eastAsia" w:ascii="宋体" w:hAnsi="宋体" w:cs="宋体"/>
                <w:color w:val="auto"/>
                <w:szCs w:val="21"/>
                <w:highlight w:val="none"/>
              </w:rPr>
            </w:pPr>
            <w:r>
              <w:rPr>
                <w:rFonts w:hint="eastAsia" w:ascii="宋体" w:hAnsi="宋体" w:cs="宋体"/>
                <w:b/>
                <w:color w:val="auto"/>
                <w:szCs w:val="21"/>
                <w:highlight w:val="none"/>
              </w:rPr>
              <w:t>3.以上材料未附格式的，由供应商自行拟定。</w:t>
            </w:r>
          </w:p>
        </w:tc>
      </w:tr>
      <w:tr w14:paraId="434C7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871" w:type="dxa"/>
            <w:noWrap w:val="0"/>
            <w:vAlign w:val="center"/>
          </w:tcPr>
          <w:p w14:paraId="15C7DF4F">
            <w:pPr>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8385" w:type="dxa"/>
            <w:noWrap w:val="0"/>
            <w:vAlign w:val="center"/>
          </w:tcPr>
          <w:p w14:paraId="7B929F90">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竞标报价应当包含满足本次竞标全部服务的所有费用。</w:t>
            </w:r>
          </w:p>
          <w:p w14:paraId="00BFC979">
            <w:pPr>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 xml:space="preserve">☑竞标报价包含采购代理服务费 </w:t>
            </w:r>
          </w:p>
          <w:p w14:paraId="69D1DFEC">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竞标报价是履行合同的最终价格，竞标报价包含实施和完成本项目全部工作所需的服务期内所需的一切费用，包括但不限于服务、货物成本、运输（含保险）装卸、搬运、检验、保险、利润、税费、质保期售后服务、雇员费、培训、履约验收、采购代理服务费用以及所有的不定因素的风险等全部相关费用。</w:t>
            </w:r>
          </w:p>
          <w:p w14:paraId="33E554C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1、本项目竞标应以价格折扣系数报价（以%表示，折扣系数报价精确到个位数）。</w:t>
            </w:r>
            <w:r>
              <w:rPr>
                <w:rFonts w:hint="eastAsia" w:ascii="宋体" w:hAnsi="宋体" w:cs="宋体"/>
                <w:b/>
                <w:bCs/>
                <w:color w:val="auto"/>
                <w:szCs w:val="21"/>
                <w:highlight w:val="none"/>
              </w:rPr>
              <w:t>竞标报价范围：≤100%</w:t>
            </w:r>
            <w:r>
              <w:rPr>
                <w:rFonts w:hint="eastAsia" w:ascii="宋体" w:hAnsi="宋体" w:cs="宋体"/>
                <w:color w:val="auto"/>
                <w:szCs w:val="21"/>
                <w:highlight w:val="none"/>
              </w:rPr>
              <w:t>（如：供货产品打九折即竞标折扣系数为90%，以此类推），价格折扣系数必须是固定的（如90%），不得存在区间值（如：90%～100%）。</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必须就《采购需求》中的全部内容作完整唯一报价，不接受有选择的报价，且所报的折扣系数应当适用于每种食材，否则，</w:t>
            </w:r>
            <w:r>
              <w:rPr>
                <w:rFonts w:hint="eastAsia" w:ascii="宋体" w:hAnsi="宋体" w:cs="宋体"/>
                <w:b/>
                <w:bCs/>
                <w:color w:val="auto"/>
                <w:szCs w:val="21"/>
                <w:highlight w:val="none"/>
              </w:rPr>
              <w:t xml:space="preserve">作无效报价处理。 </w:t>
            </w:r>
          </w:p>
          <w:p w14:paraId="653DFCF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2、由于受政策原因和其他不可预测原因，实际结算总价可能小于或大于预算总金额，按实际产生的费用结算，供应商报价时应该考虑此特殊风险。实际采购时，</w:t>
            </w:r>
            <w:r>
              <w:rPr>
                <w:rFonts w:hint="eastAsia" w:ascii="宋体" w:hAnsi="宋体" w:cs="宋体"/>
                <w:color w:val="auto"/>
                <w:szCs w:val="21"/>
                <w:highlight w:val="none"/>
                <w:lang w:val="en-US" w:eastAsia="zh-CN"/>
              </w:rPr>
              <w:t>计划</w:t>
            </w:r>
            <w:r>
              <w:rPr>
                <w:rFonts w:hint="eastAsia" w:ascii="宋体" w:hAnsi="宋体" w:cs="宋体"/>
                <w:color w:val="auto"/>
                <w:szCs w:val="21"/>
                <w:highlight w:val="none"/>
              </w:rPr>
              <w:t>数量仅作竞标报价参考使用，结算时按实际采购数量结算。</w:t>
            </w:r>
          </w:p>
          <w:p w14:paraId="4E8A88F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采购单价=基准单价×成交折扣系数，基准单价按签订合同时双方代表到贵港市城区内大型超市对商品的价格进行采价（特价及促销价除外），如大型超市没有配送的商品，则到贵港市城区的大型农贸市场采价。合同执行后三个月内价格不变，合同执行三个月后，双方根据市场价格变动情况适时做市场调查，肉类产品当月市场价格在合同基准单价基础上下浮动率≥15%时，蔬菜类产品当月市场价格在合同基准单价基础上下浮动率≥20%时，其他类产品当月市场价格在合同基准单价基础上下浮动率≥10%时，可以进行价格调整一次。价格调整由成交供应商或采购人提出基准单价调整申请，由采购人面向市场主体选择贵港市至少三家大型商场、市场、超市</w:t>
            </w:r>
            <w:r>
              <w:rPr>
                <w:rFonts w:hint="eastAsia" w:ascii="宋体" w:hAnsi="宋体" w:cs="宋体"/>
                <w:color w:val="auto"/>
                <w:szCs w:val="21"/>
                <w:highlight w:val="none"/>
                <w:lang w:eastAsia="zh-CN"/>
              </w:rPr>
              <w:t>开展</w:t>
            </w:r>
            <w:r>
              <w:rPr>
                <w:rFonts w:hint="eastAsia" w:ascii="宋体" w:hAnsi="宋体" w:cs="宋体"/>
                <w:color w:val="auto"/>
                <w:szCs w:val="21"/>
                <w:highlight w:val="none"/>
              </w:rPr>
              <w:t>市场调查，由采购人后勤保障部门将调查结果提交至采购</w:t>
            </w:r>
            <w:r>
              <w:rPr>
                <w:rFonts w:hint="eastAsia" w:ascii="宋体" w:hAnsi="宋体" w:cs="宋体"/>
                <w:color w:val="auto"/>
                <w:szCs w:val="21"/>
                <w:highlight w:val="none"/>
                <w:lang w:eastAsia="zh-CN"/>
              </w:rPr>
              <w:t>单位</w:t>
            </w:r>
            <w:r>
              <w:rPr>
                <w:rFonts w:hint="eastAsia" w:ascii="宋体" w:hAnsi="宋体" w:cs="宋体"/>
                <w:color w:val="auto"/>
                <w:szCs w:val="21"/>
                <w:highlight w:val="none"/>
              </w:rPr>
              <w:t>审议拟定新的基准单价。调整后的基准单价乘以响应报价折扣系数为拟定调整的采购单价（拟定调整的采购单价=调整后的基准单价×响应报价折扣系数），拟定调整后的基准单价经采购人审定，经双方确认同意后方可调整价格。基准单价调整后，采购单价为变动后的基准单价×成交折扣系数。</w:t>
            </w:r>
          </w:p>
          <w:p w14:paraId="48C5A837">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4、不论竞标结果如何，</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均应自行承担所有与竞标有关的全部费用。</w:t>
            </w:r>
          </w:p>
        </w:tc>
      </w:tr>
      <w:tr w14:paraId="462B4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noWrap w:val="0"/>
            <w:vAlign w:val="center"/>
          </w:tcPr>
          <w:p w14:paraId="0F8BACEC">
            <w:pPr>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16.2</w:t>
            </w:r>
          </w:p>
        </w:tc>
        <w:tc>
          <w:tcPr>
            <w:tcW w:w="8385" w:type="dxa"/>
            <w:noWrap w:val="0"/>
            <w:vAlign w:val="center"/>
          </w:tcPr>
          <w:p w14:paraId="45DD779F">
            <w:pPr>
              <w:pStyle w:val="4"/>
              <w:widowControl w:val="0"/>
              <w:tabs>
                <w:tab w:val="left" w:pos="720"/>
                <w:tab w:val="left" w:pos="840"/>
              </w:tabs>
              <w:snapToGrid w:val="0"/>
              <w:spacing w:afterLines="0" w:line="312"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竞标有效期：自首次响应文件提交截止之日起90日。</w:t>
            </w:r>
          </w:p>
        </w:tc>
      </w:tr>
      <w:tr w14:paraId="68540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noWrap w:val="0"/>
            <w:vAlign w:val="center"/>
          </w:tcPr>
          <w:p w14:paraId="4BCB52E7">
            <w:pPr>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8385" w:type="dxa"/>
            <w:noWrap w:val="0"/>
            <w:vAlign w:val="center"/>
          </w:tcPr>
          <w:p w14:paraId="78C3AE3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磋商保证金：</w:t>
            </w:r>
          </w:p>
          <w:p w14:paraId="1FD7990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（1）磋商保证金：金额为人民币贰万元整（¥20000.00）；</w:t>
            </w:r>
          </w:p>
          <w:p w14:paraId="3A6E3099">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（2）磋商保证金交纳的指定账户：</w:t>
            </w:r>
          </w:p>
          <w:p w14:paraId="78EE0F9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lang w:eastAsia="zh-CN"/>
              </w:rPr>
              <w:t>广西科联招标中心有限公司</w:t>
            </w:r>
          </w:p>
          <w:p w14:paraId="7FC1805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开户银行：广西北部湾银行南宁市相思湖支行</w:t>
            </w:r>
          </w:p>
          <w:p w14:paraId="7F53A157">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开户账号：8000 5435 9168 889</w:t>
            </w:r>
          </w:p>
          <w:p w14:paraId="434055C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磋商保证金的交纳方式：银行转账、支票、汇票、本票或者金融机构、保险机构出具的保函，禁止采用现钞方式。采用银行转账方式的，在响应文件递交截止时间前交至指定账户并且到账；采用支票、汇票、本票或者保函等方式的，在响应文件递交截止时间前，供应商必须递交单独密封的支票、汇票、本票或者保函原件。否则视为无效磋商保证金。</w:t>
            </w:r>
          </w:p>
          <w:p w14:paraId="7DD2323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相关要求：</w:t>
            </w:r>
          </w:p>
          <w:p w14:paraId="0446CDB5">
            <w:pPr>
              <w:pStyle w:val="6"/>
              <w:spacing w:line="360" w:lineRule="auto"/>
              <w:jc w:val="both"/>
              <w:rPr>
                <w:rFonts w:hint="eastAsia" w:ascii="宋体" w:hAnsi="宋体" w:cs="宋体"/>
                <w:b/>
                <w:bCs/>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cs="宋体"/>
                <w:color w:val="auto"/>
                <w:kern w:val="0"/>
                <w:szCs w:val="21"/>
                <w:highlight w:val="none"/>
                <w:lang w:val="en-US" w:eastAsia="zh-CN"/>
              </w:rPr>
              <w:t>磋商</w:t>
            </w:r>
            <w:r>
              <w:rPr>
                <w:rFonts w:hint="eastAsia" w:ascii="宋体" w:hAnsi="宋体" w:cs="宋体"/>
                <w:color w:val="auto"/>
                <w:szCs w:val="21"/>
                <w:highlight w:val="none"/>
                <w:lang w:val="en-US" w:eastAsia="zh-CN"/>
              </w:rPr>
              <w:t>保证金采用银行转账交纳方式的，供应商转账时请在银行转账底单备注“</w:t>
            </w:r>
            <w:r>
              <w:rPr>
                <w:rFonts w:hint="eastAsia" w:ascii="宋体" w:hAnsi="宋体" w:cs="宋体"/>
                <w:b/>
                <w:color w:val="auto"/>
                <w:szCs w:val="21"/>
                <w:highlight w:val="none"/>
                <w:u w:val="single"/>
                <w:lang w:val="en-US" w:eastAsia="zh-CN"/>
              </w:rPr>
              <w:t>贵港监狱民警职工食堂生活物资采购项目磋商保证金</w:t>
            </w:r>
            <w:r>
              <w:rPr>
                <w:rFonts w:hint="eastAsia" w:ascii="宋体" w:hAnsi="宋体" w:cs="宋体"/>
                <w:color w:val="auto"/>
                <w:szCs w:val="21"/>
                <w:highlight w:val="none"/>
                <w:lang w:val="en-US" w:eastAsia="zh-CN"/>
              </w:rPr>
              <w:t>”，在</w:t>
            </w:r>
            <w:r>
              <w:rPr>
                <w:rFonts w:hint="eastAsia" w:ascii="宋体" w:hAnsi="宋体" w:cs="宋体"/>
                <w:color w:val="auto"/>
                <w:kern w:val="0"/>
                <w:szCs w:val="21"/>
                <w:highlight w:val="none"/>
                <w:lang w:val="en-US" w:eastAsia="zh-CN"/>
              </w:rPr>
              <w:t>响应文件递交截止时间前</w:t>
            </w:r>
            <w:r>
              <w:rPr>
                <w:rFonts w:hint="eastAsia" w:ascii="宋体" w:hAnsi="宋体" w:cs="宋体"/>
                <w:color w:val="auto"/>
                <w:szCs w:val="21"/>
                <w:highlight w:val="none"/>
                <w:lang w:val="en-US" w:eastAsia="zh-CN"/>
              </w:rPr>
              <w:t>交至指定账户并且到账。</w:t>
            </w:r>
            <w:r>
              <w:rPr>
                <w:rFonts w:hint="eastAsia" w:ascii="宋体" w:hAnsi="宋体" w:cs="宋体"/>
                <w:b/>
                <w:bCs/>
                <w:color w:val="auto"/>
                <w:szCs w:val="21"/>
                <w:highlight w:val="none"/>
                <w:lang w:val="en-US" w:eastAsia="zh-CN"/>
              </w:rPr>
              <w:t>供应商应将银行转账底单的复印件作为磋商保证金提交凭证，放置于商务文件中，否则竞标无效。</w:t>
            </w:r>
          </w:p>
          <w:p w14:paraId="0431A4B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2.磋商保证金采用支票、汇票、本票或者金融机构、保险机构出具的保函交纳方式的，</w:t>
            </w:r>
            <w:r>
              <w:rPr>
                <w:rFonts w:hint="eastAsia" w:ascii="宋体" w:hAnsi="宋体" w:cs="宋体"/>
                <w:b/>
                <w:bCs/>
                <w:color w:val="auto"/>
                <w:szCs w:val="21"/>
                <w:highlight w:val="none"/>
              </w:rPr>
              <w:t>供应商应将支票、汇票、本票或者金融机构、保险机构出具的保函的复印件作为磋商保证金提交凭证，放置于商务文件中，否则竞标无效。</w:t>
            </w:r>
            <w:r>
              <w:rPr>
                <w:rFonts w:hint="eastAsia" w:ascii="宋体" w:hAnsi="宋体" w:cs="宋体"/>
                <w:color w:val="auto"/>
                <w:szCs w:val="21"/>
                <w:highlight w:val="none"/>
              </w:rPr>
              <w:t>供应商必须在</w:t>
            </w:r>
            <w:r>
              <w:rPr>
                <w:rFonts w:hint="eastAsia" w:ascii="宋体" w:hAnsi="宋体" w:cs="宋体"/>
                <w:color w:val="auto"/>
                <w:kern w:val="0"/>
                <w:szCs w:val="21"/>
                <w:highlight w:val="none"/>
              </w:rPr>
              <w:t>响应文件递交截止时间前</w:t>
            </w:r>
            <w:r>
              <w:rPr>
                <w:rFonts w:hint="eastAsia" w:ascii="宋体" w:hAnsi="宋体" w:cs="宋体"/>
                <w:color w:val="auto"/>
                <w:szCs w:val="21"/>
                <w:highlight w:val="none"/>
              </w:rPr>
              <w:t>采用现场或邮寄方式（</w:t>
            </w:r>
            <w:r>
              <w:rPr>
                <w:rFonts w:hint="eastAsia" w:ascii="宋体" w:hAnsi="宋体" w:cs="宋体"/>
                <w:color w:val="auto"/>
                <w:szCs w:val="21"/>
                <w:highlight w:val="none"/>
                <w:u w:val="single"/>
              </w:rPr>
              <w:t>现场提交或邮寄地址：贵港市金港大道935号财富中心十七楼172</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室；收件人：</w:t>
            </w:r>
            <w:r>
              <w:rPr>
                <w:rFonts w:hint="eastAsia" w:ascii="宋体" w:hAnsi="宋体" w:cs="宋体"/>
                <w:color w:val="auto"/>
                <w:szCs w:val="21"/>
                <w:highlight w:val="none"/>
                <w:u w:val="single"/>
                <w:lang w:val="en-US" w:eastAsia="zh-CN"/>
              </w:rPr>
              <w:t>黄韬</w:t>
            </w:r>
            <w:r>
              <w:rPr>
                <w:rFonts w:hint="eastAsia" w:ascii="宋体" w:hAnsi="宋体" w:cs="宋体"/>
                <w:color w:val="auto"/>
                <w:szCs w:val="21"/>
                <w:highlight w:val="none"/>
                <w:u w:val="single"/>
              </w:rPr>
              <w:t>；联系方式：0775-456</w:t>
            </w:r>
            <w:r>
              <w:rPr>
                <w:rFonts w:hint="eastAsia" w:ascii="宋体" w:hAnsi="宋体" w:cs="宋体"/>
                <w:color w:val="auto"/>
                <w:szCs w:val="21"/>
                <w:highlight w:val="none"/>
                <w:u w:val="single"/>
                <w:lang w:val="en-US" w:eastAsia="zh-CN"/>
              </w:rPr>
              <w:t>3700</w:t>
            </w:r>
            <w:r>
              <w:rPr>
                <w:rFonts w:hint="eastAsia" w:ascii="宋体" w:hAnsi="宋体" w:cs="宋体"/>
                <w:color w:val="auto"/>
                <w:szCs w:val="21"/>
                <w:highlight w:val="none"/>
              </w:rPr>
              <w:t>）将单独密封的支票、汇票、本票或者金融机构、保险机构出具的保函原件提交给采购人或者采购代理机构，由采购人或者采购代理机构向供应商出具回执（邮寄方式的除外），并妥善保管。</w:t>
            </w:r>
            <w:r>
              <w:rPr>
                <w:rFonts w:hint="eastAsia" w:ascii="宋体" w:hAnsi="宋体" w:cs="宋体"/>
                <w:b/>
                <w:color w:val="auto"/>
                <w:szCs w:val="21"/>
                <w:highlight w:val="none"/>
              </w:rPr>
              <w:t>（采用邮寄方式提交支票、汇票、本票或者</w:t>
            </w:r>
            <w:r>
              <w:rPr>
                <w:rFonts w:hint="eastAsia" w:ascii="宋体" w:hAnsi="宋体" w:cs="宋体"/>
                <w:b/>
                <w:color w:val="auto"/>
                <w:kern w:val="0"/>
                <w:szCs w:val="21"/>
                <w:highlight w:val="none"/>
              </w:rPr>
              <w:t>金融机构</w:t>
            </w:r>
            <w:r>
              <w:rPr>
                <w:rFonts w:hint="eastAsia" w:ascii="宋体" w:hAnsi="宋体" w:cs="宋体"/>
                <w:b/>
                <w:color w:val="auto"/>
                <w:szCs w:val="21"/>
                <w:highlight w:val="none"/>
              </w:rPr>
              <w:t>、保险机构出具的保函原件的，以邮件抵达邮寄地址的时间为准，邮件寄出不等于将原件在规定时间内提交送达）。</w:t>
            </w:r>
          </w:p>
          <w:p w14:paraId="743DB7C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3.供应商为联合体的，可以由联合体中的一方或者多方共同交纳磋商保证金，其交纳的保证金对联合体各方均具有约束力。</w:t>
            </w:r>
          </w:p>
          <w:p w14:paraId="2C20BAC4">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 xml:space="preserve">备注： </w:t>
            </w:r>
          </w:p>
          <w:p w14:paraId="3CCB2ED3">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1.磋商保证金在竞标截止时间后提交的，或者不按规定交纳方式交纳的，或者未足额交纳的（包含保函额度不足的），视为无效磋商保证金。</w:t>
            </w:r>
          </w:p>
          <w:p w14:paraId="415E5E5C">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2.供应商采用现钞方式或者从个人账户（自然人竞标除外）转出的磋商保证金，视为无效磋商保证金。</w:t>
            </w:r>
          </w:p>
          <w:p w14:paraId="0888F78B">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3.支票、汇票或者本票出现无效或者背书情形的，视为无效磋商保证金。</w:t>
            </w:r>
          </w:p>
          <w:p w14:paraId="520AF7D9">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4.保函有效期低于竞标有效期的，视为无效磋商保证金。</w:t>
            </w:r>
          </w:p>
          <w:p w14:paraId="418E8671">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5.采用金融机构、保险机构出具保函的，必须为无条件保函，否则视为无效磋商保证金。</w:t>
            </w:r>
          </w:p>
          <w:p w14:paraId="1D1AD0A4">
            <w:pPr>
              <w:autoSpaceDE w:val="0"/>
              <w:autoSpaceDN w:val="0"/>
              <w:snapToGrid w:val="0"/>
              <w:spacing w:line="360" w:lineRule="auto"/>
              <w:textAlignment w:val="bottom"/>
              <w:rPr>
                <w:rFonts w:ascii="宋体" w:hAnsi="宋体" w:cs="宋体"/>
                <w:b/>
                <w:color w:val="auto"/>
                <w:szCs w:val="21"/>
                <w:highlight w:val="none"/>
              </w:rPr>
            </w:pPr>
            <w:r>
              <w:rPr>
                <w:rFonts w:hint="eastAsia" w:ascii="宋体" w:hAnsi="宋体" w:cs="宋体"/>
                <w:b/>
                <w:color w:val="auto"/>
                <w:szCs w:val="21"/>
                <w:highlight w:val="none"/>
              </w:rPr>
              <w:t>6.广西政府采购云平台暂未支持电子保函功能，故本项目暂不接受电子保函形式的保证金。</w:t>
            </w:r>
          </w:p>
          <w:p w14:paraId="3A28C17A">
            <w:pPr>
              <w:snapToGrid w:val="0"/>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7.公布成交结果后5个工作日原路退回未成交供应商的磋商保证金。</w:t>
            </w:r>
          </w:p>
        </w:tc>
      </w:tr>
      <w:tr w14:paraId="67FE3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871" w:type="dxa"/>
            <w:noWrap w:val="0"/>
            <w:vAlign w:val="center"/>
          </w:tcPr>
          <w:p w14:paraId="5B2868CE">
            <w:pPr>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8385" w:type="dxa"/>
            <w:noWrap w:val="0"/>
            <w:vAlign w:val="center"/>
          </w:tcPr>
          <w:p w14:paraId="496EDCCA">
            <w:pPr>
              <w:snapToGrid w:val="0"/>
              <w:spacing w:line="312" w:lineRule="auto"/>
              <w:rPr>
                <w:rFonts w:hint="eastAsia" w:ascii="宋体" w:hAnsi="宋体" w:cs="宋体"/>
                <w:color w:val="auto"/>
                <w:szCs w:val="21"/>
                <w:highlight w:val="none"/>
              </w:rPr>
            </w:pPr>
            <w:r>
              <w:rPr>
                <w:rFonts w:hint="eastAsia" w:ascii="宋体" w:hAnsi="宋体" w:cs="宋体"/>
                <w:color w:val="auto"/>
                <w:szCs w:val="21"/>
                <w:highlight w:val="none"/>
              </w:rPr>
              <w:t>本项目不接受电子备份响应文件</w:t>
            </w:r>
          </w:p>
        </w:tc>
      </w:tr>
      <w:tr w14:paraId="75636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871" w:type="dxa"/>
            <w:noWrap w:val="0"/>
            <w:vAlign w:val="center"/>
          </w:tcPr>
          <w:p w14:paraId="76AC7C1D">
            <w:pPr>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8385" w:type="dxa"/>
            <w:noWrap w:val="0"/>
            <w:vAlign w:val="center"/>
          </w:tcPr>
          <w:p w14:paraId="7190D269">
            <w:pPr>
              <w:snapToGrid w:val="0"/>
              <w:spacing w:line="312"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首次响应文件提交起止时间：详见竞争性磋商公告。</w:t>
            </w:r>
          </w:p>
          <w:p w14:paraId="7C4892A7">
            <w:pPr>
              <w:snapToGrid w:val="0"/>
              <w:spacing w:line="312"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首次响应文件提交截止时间：详见竞争性磋商公告。</w:t>
            </w:r>
          </w:p>
          <w:p w14:paraId="790AB58F">
            <w:pPr>
              <w:snapToGrid w:val="0"/>
              <w:spacing w:line="312"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首次响应文件提交地点：详见竞争性磋商公告。</w:t>
            </w:r>
          </w:p>
        </w:tc>
      </w:tr>
      <w:tr w14:paraId="4FFBD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noWrap w:val="0"/>
            <w:vAlign w:val="center"/>
          </w:tcPr>
          <w:p w14:paraId="71EF786A">
            <w:pPr>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8385" w:type="dxa"/>
            <w:noWrap w:val="0"/>
            <w:vAlign w:val="center"/>
          </w:tcPr>
          <w:p w14:paraId="62974BF4">
            <w:pPr>
              <w:snapToGrid w:val="0"/>
              <w:spacing w:line="312"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w:t>
            </w:r>
          </w:p>
        </w:tc>
      </w:tr>
      <w:tr w14:paraId="13C08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noWrap w:val="0"/>
            <w:vAlign w:val="center"/>
          </w:tcPr>
          <w:p w14:paraId="12CEDB3B">
            <w:pPr>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25</w:t>
            </w:r>
          </w:p>
        </w:tc>
        <w:tc>
          <w:tcPr>
            <w:tcW w:w="8385" w:type="dxa"/>
            <w:noWrap w:val="0"/>
            <w:vAlign w:val="center"/>
          </w:tcPr>
          <w:p w14:paraId="640F07D3">
            <w:pPr>
              <w:snapToGrid w:val="0"/>
              <w:spacing w:line="312"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首次响应文件的开启：通过广西政府采购云平台实行在线解密开启</w:t>
            </w:r>
          </w:p>
          <w:p w14:paraId="4561002E">
            <w:pPr>
              <w:snapToGrid w:val="0"/>
              <w:spacing w:line="312"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ascii="宋体" w:hAnsi="宋体" w:cs="宋体"/>
                <w:color w:val="auto"/>
                <w:szCs w:val="21"/>
                <w:highlight w:val="none"/>
                <w:u w:val="single"/>
              </w:rPr>
              <w:t xml:space="preserve"> 30 </w:t>
            </w:r>
            <w:r>
              <w:rPr>
                <w:rFonts w:hint="eastAsia" w:ascii="宋体" w:hAnsi="宋体" w:cs="宋体"/>
                <w:color w:val="auto"/>
                <w:szCs w:val="21"/>
                <w:highlight w:val="none"/>
              </w:rPr>
              <w:t>分钟</w:t>
            </w:r>
          </w:p>
        </w:tc>
      </w:tr>
      <w:tr w14:paraId="0EFD5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noWrap w:val="0"/>
            <w:vAlign w:val="center"/>
          </w:tcPr>
          <w:p w14:paraId="23FC1A35">
            <w:pPr>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26.3</w:t>
            </w:r>
          </w:p>
        </w:tc>
        <w:tc>
          <w:tcPr>
            <w:tcW w:w="8385" w:type="dxa"/>
            <w:noWrap w:val="0"/>
            <w:vAlign w:val="center"/>
          </w:tcPr>
          <w:p w14:paraId="24F5EC18">
            <w:pPr>
              <w:snapToGrid w:val="0"/>
              <w:spacing w:line="312" w:lineRule="auto"/>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5E007297">
            <w:pPr>
              <w:snapToGrid w:val="0"/>
              <w:spacing w:line="312" w:lineRule="auto"/>
              <w:jc w:val="left"/>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00B5B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1" w:type="dxa"/>
            <w:noWrap w:val="0"/>
            <w:vAlign w:val="center"/>
          </w:tcPr>
          <w:p w14:paraId="64AC4721">
            <w:pPr>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28.1</w:t>
            </w:r>
          </w:p>
        </w:tc>
        <w:tc>
          <w:tcPr>
            <w:tcW w:w="8385" w:type="dxa"/>
            <w:noWrap w:val="0"/>
            <w:vAlign w:val="center"/>
          </w:tcPr>
          <w:p w14:paraId="0A1B5DF5">
            <w:pPr>
              <w:spacing w:line="312" w:lineRule="auto"/>
              <w:rPr>
                <w:rFonts w:hint="eastAsia" w:ascii="宋体" w:hAnsi="宋体" w:cs="宋体"/>
                <w:color w:val="auto"/>
                <w:highlight w:val="none"/>
              </w:rPr>
            </w:pPr>
            <w:r>
              <w:rPr>
                <w:rFonts w:hint="eastAsia" w:ascii="宋体" w:hAnsi="宋体" w:cs="宋体"/>
                <w:color w:val="auto"/>
                <w:highlight w:val="none"/>
              </w:rPr>
              <w:t>☑本项目收取履约保证金。</w:t>
            </w:r>
          </w:p>
          <w:p w14:paraId="4C71598C">
            <w:pPr>
              <w:spacing w:line="312" w:lineRule="auto"/>
              <w:rPr>
                <w:rFonts w:hint="eastAsia" w:ascii="宋体" w:hAnsi="宋体" w:cs="宋体"/>
                <w:color w:val="auto"/>
                <w:highlight w:val="none"/>
              </w:rPr>
            </w:pPr>
            <w:r>
              <w:rPr>
                <w:rFonts w:hint="eastAsia" w:ascii="宋体" w:hAnsi="宋体" w:cs="宋体"/>
                <w:color w:val="auto"/>
                <w:highlight w:val="none"/>
              </w:rPr>
              <w:t>履约保证金金额：采购预算金额的2%。</w:t>
            </w:r>
          </w:p>
          <w:p w14:paraId="07EA4371">
            <w:pPr>
              <w:spacing w:line="312" w:lineRule="auto"/>
              <w:rPr>
                <w:rFonts w:hint="eastAsia" w:ascii="宋体" w:hAnsi="宋体" w:cs="宋体"/>
                <w:color w:val="auto"/>
                <w:highlight w:val="none"/>
              </w:rPr>
            </w:pPr>
            <w:r>
              <w:rPr>
                <w:rFonts w:hint="eastAsia" w:ascii="宋体" w:hAnsi="宋体" w:cs="宋体"/>
                <w:color w:val="auto"/>
                <w:highlight w:val="none"/>
              </w:rPr>
              <w:t>履约保证金递交方式：银行转账、支票、汇票、本票等非现金方式。</w:t>
            </w:r>
          </w:p>
          <w:p w14:paraId="107CEAC9">
            <w:pPr>
              <w:spacing w:line="312" w:lineRule="auto"/>
              <w:rPr>
                <w:rFonts w:hint="eastAsia" w:ascii="宋体" w:hAnsi="宋体" w:cs="宋体"/>
                <w:color w:val="auto"/>
                <w:highlight w:val="none"/>
              </w:rPr>
            </w:pPr>
            <w:r>
              <w:rPr>
                <w:rFonts w:hint="eastAsia" w:ascii="宋体" w:hAnsi="宋体" w:cs="宋体"/>
                <w:color w:val="auto"/>
                <w:highlight w:val="none"/>
              </w:rPr>
              <w:t>履约保证金</w:t>
            </w:r>
            <w:r>
              <w:rPr>
                <w:rFonts w:hint="eastAsia" w:ascii="宋体" w:hAnsi="宋体" w:cs="宋体"/>
                <w:color w:val="auto"/>
                <w:highlight w:val="none"/>
                <w:lang w:val="en-US" w:eastAsia="zh-CN"/>
              </w:rPr>
              <w:t>递交、</w:t>
            </w:r>
            <w:r>
              <w:rPr>
                <w:rFonts w:hint="eastAsia" w:ascii="宋体" w:hAnsi="宋体" w:cs="宋体"/>
                <w:color w:val="auto"/>
                <w:highlight w:val="none"/>
              </w:rPr>
              <w:t>退付方式、时间及条件：</w:t>
            </w:r>
          </w:p>
          <w:p w14:paraId="2753FF31">
            <w:pPr>
              <w:spacing w:line="312" w:lineRule="auto"/>
              <w:rPr>
                <w:rFonts w:hint="eastAsia" w:ascii="宋体" w:hAnsi="宋体" w:cs="宋体"/>
                <w:color w:val="auto"/>
                <w:highlight w:val="none"/>
              </w:rPr>
            </w:pPr>
            <w:r>
              <w:rPr>
                <w:rFonts w:hint="eastAsia" w:ascii="宋体" w:hAnsi="宋体" w:cs="宋体"/>
                <w:color w:val="auto"/>
                <w:highlight w:val="none"/>
              </w:rPr>
              <w:t>合同签订前，成交供应商按采购预算金额的2%向采购人指定账户交纳履约保证金。成交供应商按照合同要求完成供货工作，合同期满，经采购人验收合格后，履约保证金全额退回（不计利息）。</w:t>
            </w:r>
          </w:p>
          <w:p w14:paraId="5747DD5F">
            <w:pPr>
              <w:spacing w:line="312" w:lineRule="auto"/>
              <w:rPr>
                <w:rFonts w:hint="eastAsia" w:ascii="宋体" w:hAnsi="宋体" w:cs="宋体"/>
                <w:color w:val="auto"/>
                <w:highlight w:val="none"/>
                <w:lang w:val="en-US" w:eastAsia="zh-CN"/>
              </w:rPr>
            </w:pPr>
            <w:r>
              <w:rPr>
                <w:rFonts w:hint="eastAsia" w:ascii="宋体" w:hAnsi="宋体" w:cs="宋体"/>
                <w:color w:val="auto"/>
                <w:highlight w:val="none"/>
              </w:rPr>
              <w:t>履约保证金</w:t>
            </w:r>
            <w:r>
              <w:rPr>
                <w:rFonts w:hint="eastAsia" w:ascii="宋体" w:hAnsi="宋体" w:cs="宋体"/>
                <w:color w:val="auto"/>
                <w:highlight w:val="none"/>
                <w:lang w:val="en-US" w:eastAsia="zh-CN"/>
              </w:rPr>
              <w:t>账户信息：</w:t>
            </w:r>
          </w:p>
          <w:p w14:paraId="712477B0">
            <w:pPr>
              <w:spacing w:line="312" w:lineRule="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账户全称：广西壮族自治区贵港监狱 </w:t>
            </w:r>
          </w:p>
          <w:p w14:paraId="185DB272">
            <w:pPr>
              <w:spacing w:line="312" w:lineRule="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账  号：中国工商银行广西贵港市石油站支行</w:t>
            </w:r>
          </w:p>
          <w:p w14:paraId="0F4CA1B0">
            <w:pPr>
              <w:spacing w:line="312" w:lineRule="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开 户 行： 2111710209264003864</w:t>
            </w:r>
          </w:p>
        </w:tc>
      </w:tr>
      <w:tr w14:paraId="23774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noWrap w:val="0"/>
            <w:vAlign w:val="center"/>
          </w:tcPr>
          <w:p w14:paraId="5E013200">
            <w:pPr>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29.1</w:t>
            </w:r>
          </w:p>
        </w:tc>
        <w:tc>
          <w:tcPr>
            <w:tcW w:w="8385" w:type="dxa"/>
            <w:noWrap w:val="0"/>
            <w:vAlign w:val="center"/>
          </w:tcPr>
          <w:p w14:paraId="16BE1DA6">
            <w:pPr>
              <w:autoSpaceDE w:val="0"/>
              <w:autoSpaceDN w:val="0"/>
              <w:snapToGrid w:val="0"/>
              <w:spacing w:line="312"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26624226">
            <w:pPr>
              <w:autoSpaceDE w:val="0"/>
              <w:autoSpaceDN w:val="0"/>
              <w:snapToGrid w:val="0"/>
              <w:spacing w:line="312"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6AD7E0E1">
            <w:pPr>
              <w:snapToGrid w:val="0"/>
              <w:spacing w:line="312" w:lineRule="auto"/>
              <w:rPr>
                <w:rFonts w:hint="eastAsia"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p w14:paraId="2C6BD267">
            <w:pPr>
              <w:snapToGrid w:val="0"/>
              <w:spacing w:line="312" w:lineRule="auto"/>
              <w:rPr>
                <w:rFonts w:hint="eastAsia" w:ascii="宋体" w:hAnsi="宋体" w:cs="宋体"/>
                <w:color w:val="auto"/>
                <w:szCs w:val="21"/>
                <w:highlight w:val="none"/>
              </w:rPr>
            </w:pPr>
            <w:r>
              <w:rPr>
                <w:rFonts w:hint="eastAsia" w:ascii="宋体" w:hAnsi="宋体" w:cs="宋体"/>
                <w:b/>
                <w:bCs/>
                <w:color w:val="auto"/>
                <w:szCs w:val="21"/>
                <w:highlight w:val="none"/>
              </w:rPr>
              <w:t>合同签订时间：自成交通知书发出之日起25日内与采购人签订政府采购合同。</w:t>
            </w:r>
          </w:p>
        </w:tc>
      </w:tr>
      <w:tr w14:paraId="58A6E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noWrap w:val="0"/>
            <w:vAlign w:val="center"/>
          </w:tcPr>
          <w:p w14:paraId="02F42531">
            <w:pPr>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31.2</w:t>
            </w:r>
          </w:p>
        </w:tc>
        <w:tc>
          <w:tcPr>
            <w:tcW w:w="8385" w:type="dxa"/>
            <w:noWrap w:val="0"/>
            <w:vAlign w:val="center"/>
          </w:tcPr>
          <w:p w14:paraId="000CD1CB">
            <w:pPr>
              <w:pStyle w:val="11"/>
              <w:snapToGrid w:val="0"/>
              <w:spacing w:line="312" w:lineRule="auto"/>
              <w:rPr>
                <w:rFonts w:hint="eastAsia" w:hAnsi="宋体" w:cs="宋体"/>
                <w:color w:val="auto"/>
                <w:kern w:val="2"/>
                <w:sz w:val="21"/>
                <w:highlight w:val="none"/>
                <w:lang w:val="en-US" w:eastAsia="zh-CN"/>
              </w:rPr>
            </w:pPr>
            <w:r>
              <w:rPr>
                <w:rFonts w:hint="eastAsia" w:hAnsi="宋体" w:cs="宋体"/>
                <w:color w:val="auto"/>
                <w:kern w:val="2"/>
                <w:sz w:val="21"/>
                <w:highlight w:val="none"/>
                <w:lang w:val="en-US" w:eastAsia="zh-CN"/>
              </w:rPr>
              <w:t>接收质疑函方式：以书面形式</w:t>
            </w:r>
          </w:p>
          <w:p w14:paraId="08313F44">
            <w:pPr>
              <w:pStyle w:val="11"/>
              <w:snapToGrid w:val="0"/>
              <w:spacing w:line="312" w:lineRule="auto"/>
              <w:rPr>
                <w:rFonts w:hint="eastAsia" w:hAnsi="宋体" w:cs="宋体"/>
                <w:color w:val="auto"/>
                <w:kern w:val="2"/>
                <w:sz w:val="21"/>
                <w:highlight w:val="none"/>
                <w:lang w:val="en-US" w:eastAsia="zh-CN"/>
              </w:rPr>
            </w:pPr>
            <w:r>
              <w:rPr>
                <w:rFonts w:hint="eastAsia" w:hAnsi="宋体" w:cs="宋体"/>
                <w:color w:val="auto"/>
                <w:kern w:val="2"/>
                <w:sz w:val="21"/>
                <w:highlight w:val="none"/>
                <w:lang w:val="en-US" w:eastAsia="zh-CN"/>
              </w:rPr>
              <w:t>质疑联系部门：广西科联招标中心有限公司</w:t>
            </w:r>
          </w:p>
          <w:p w14:paraId="148FFCB4">
            <w:pPr>
              <w:pStyle w:val="11"/>
              <w:snapToGrid w:val="0"/>
              <w:spacing w:line="312" w:lineRule="auto"/>
              <w:rPr>
                <w:rFonts w:hint="default" w:hAnsi="宋体" w:cs="宋体"/>
                <w:color w:val="auto"/>
                <w:kern w:val="2"/>
                <w:sz w:val="21"/>
                <w:highlight w:val="none"/>
                <w:lang w:val="en-US" w:eastAsia="zh-CN"/>
              </w:rPr>
            </w:pPr>
            <w:r>
              <w:rPr>
                <w:rFonts w:hint="eastAsia" w:hAnsi="宋体" w:cs="宋体"/>
                <w:color w:val="auto"/>
                <w:kern w:val="2"/>
                <w:sz w:val="21"/>
                <w:highlight w:val="none"/>
                <w:lang w:val="en-US" w:eastAsia="zh-CN"/>
              </w:rPr>
              <w:t>联系电话：0775-4563700</w:t>
            </w:r>
          </w:p>
          <w:p w14:paraId="7EBE05C0">
            <w:pPr>
              <w:pStyle w:val="11"/>
              <w:snapToGrid w:val="0"/>
              <w:spacing w:line="312" w:lineRule="auto"/>
              <w:rPr>
                <w:rFonts w:hint="eastAsia" w:hAnsi="宋体" w:cs="宋体"/>
                <w:color w:val="auto"/>
                <w:kern w:val="2"/>
                <w:sz w:val="21"/>
                <w:highlight w:val="none"/>
                <w:lang w:val="en-US" w:eastAsia="zh-CN"/>
              </w:rPr>
            </w:pPr>
            <w:r>
              <w:rPr>
                <w:rFonts w:hint="eastAsia" w:hAnsi="宋体" w:cs="宋体"/>
                <w:color w:val="auto"/>
                <w:kern w:val="2"/>
                <w:sz w:val="21"/>
                <w:highlight w:val="none"/>
                <w:lang w:val="en-US" w:eastAsia="zh-CN"/>
              </w:rPr>
              <w:t>通讯地址：贵港市金港大道935号财富中心十七楼1722室</w:t>
            </w:r>
          </w:p>
          <w:p w14:paraId="1C5D8D99">
            <w:pPr>
              <w:pStyle w:val="11"/>
              <w:snapToGrid w:val="0"/>
              <w:spacing w:line="312" w:lineRule="auto"/>
              <w:rPr>
                <w:rFonts w:hint="eastAsia" w:hAnsi="宋体" w:cs="宋体"/>
                <w:color w:val="auto"/>
                <w:sz w:val="21"/>
                <w:highlight w:val="none"/>
                <w:lang w:val="en-US" w:eastAsia="zh-CN"/>
              </w:rPr>
            </w:pPr>
            <w:r>
              <w:rPr>
                <w:rFonts w:hint="eastAsia" w:hAnsi="宋体" w:cs="宋体"/>
                <w:color w:val="auto"/>
                <w:kern w:val="2"/>
                <w:sz w:val="21"/>
                <w:highlight w:val="none"/>
                <w:lang w:val="en-US" w:eastAsia="zh-CN"/>
              </w:rPr>
              <w:t>业务时间：工作日每天上午8时00分到12时00分，下午3时00分到6时00分。</w:t>
            </w:r>
          </w:p>
        </w:tc>
      </w:tr>
      <w:tr w14:paraId="0D67B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1" w:type="dxa"/>
            <w:noWrap w:val="0"/>
            <w:vAlign w:val="center"/>
          </w:tcPr>
          <w:p w14:paraId="070CF799">
            <w:pPr>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32.1</w:t>
            </w:r>
          </w:p>
        </w:tc>
        <w:tc>
          <w:tcPr>
            <w:tcW w:w="8385" w:type="dxa"/>
            <w:noWrap w:val="0"/>
            <w:vAlign w:val="center"/>
          </w:tcPr>
          <w:p w14:paraId="1778E891">
            <w:pPr>
              <w:pStyle w:val="11"/>
              <w:snapToGrid w:val="0"/>
              <w:spacing w:line="312"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1.采购代</w:t>
            </w:r>
            <w:r>
              <w:rPr>
                <w:rFonts w:hint="eastAsia" w:ascii="宋体" w:hAnsi="宋体" w:eastAsia="宋体" w:cs="宋体"/>
                <w:color w:val="auto"/>
                <w:sz w:val="21"/>
                <w:highlight w:val="none"/>
                <w:lang w:val="en-US" w:eastAsia="zh-CN"/>
              </w:rPr>
              <w:t>理服务费</w:t>
            </w:r>
            <w:r>
              <w:rPr>
                <w:rFonts w:hint="eastAsia" w:hAnsi="宋体" w:cs="宋体"/>
                <w:color w:val="auto"/>
                <w:sz w:val="21"/>
                <w:highlight w:val="none"/>
                <w:lang w:val="en-US" w:eastAsia="zh-CN"/>
              </w:rPr>
              <w:t>收取方式：</w:t>
            </w:r>
          </w:p>
          <w:p w14:paraId="12275B5F">
            <w:pPr>
              <w:pStyle w:val="11"/>
              <w:snapToGrid w:val="0"/>
              <w:spacing w:line="312" w:lineRule="auto"/>
              <w:ind w:firstLine="315" w:firstLineChars="150"/>
              <w:rPr>
                <w:rFonts w:hint="eastAsia" w:hAnsi="宋体" w:cs="宋体"/>
                <w:color w:val="auto"/>
                <w:sz w:val="21"/>
                <w:highlight w:val="none"/>
                <w:lang w:val="en-US" w:eastAsia="zh-CN"/>
              </w:rPr>
            </w:pPr>
            <w:r>
              <w:rPr>
                <w:rFonts w:hint="eastAsia" w:hAnsi="宋体" w:cs="宋体"/>
                <w:color w:val="auto"/>
                <w:sz w:val="21"/>
                <w:highlight w:val="none"/>
                <w:lang w:val="en-US" w:eastAsia="zh-CN"/>
              </w:rPr>
              <w:t>☑本项目代理服务费由</w:t>
            </w:r>
            <w:r>
              <w:rPr>
                <w:rFonts w:hint="eastAsia" w:hAnsi="宋体" w:cs="宋体"/>
                <w:color w:val="auto"/>
                <w:sz w:val="21"/>
                <w:highlight w:val="none"/>
                <w:u w:val="single"/>
                <w:lang w:val="en-US" w:eastAsia="zh-CN"/>
              </w:rPr>
              <w:t>成交供应商</w:t>
            </w:r>
            <w:r>
              <w:rPr>
                <w:rFonts w:hint="eastAsia" w:hAnsi="宋体" w:cs="宋体"/>
                <w:color w:val="auto"/>
                <w:sz w:val="21"/>
                <w:highlight w:val="none"/>
                <w:lang w:val="en-US" w:eastAsia="zh-CN"/>
              </w:rPr>
              <w:t>向采购代理机构支付。</w:t>
            </w:r>
          </w:p>
          <w:p w14:paraId="440635D6">
            <w:pPr>
              <w:pStyle w:val="11"/>
              <w:snapToGrid w:val="0"/>
              <w:spacing w:line="312" w:lineRule="auto"/>
              <w:ind w:firstLine="210" w:firstLineChars="100"/>
              <w:rPr>
                <w:rFonts w:hint="eastAsia" w:hAnsi="宋体" w:cs="宋体"/>
                <w:color w:val="auto"/>
                <w:sz w:val="21"/>
                <w:highlight w:val="none"/>
                <w:lang w:val="en-US" w:eastAsia="zh-CN"/>
              </w:rPr>
            </w:pPr>
            <w:r>
              <w:rPr>
                <w:rFonts w:hint="eastAsia" w:hAnsi="宋体" w:cs="宋体"/>
                <w:color w:val="auto"/>
                <w:sz w:val="21"/>
                <w:highlight w:val="none"/>
                <w:lang w:val="en-US" w:eastAsia="zh-CN"/>
              </w:rPr>
              <w:t>□采购人支付。</w:t>
            </w:r>
          </w:p>
          <w:p w14:paraId="14D852F2">
            <w:pPr>
              <w:pStyle w:val="11"/>
              <w:snapToGrid w:val="0"/>
              <w:spacing w:line="312"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2.采购代理服务费收取标准及金额：</w:t>
            </w:r>
          </w:p>
          <w:p w14:paraId="4CE646F2">
            <w:pPr>
              <w:pStyle w:val="11"/>
              <w:snapToGrid w:val="0"/>
              <w:spacing w:line="312" w:lineRule="auto"/>
              <w:ind w:firstLine="315" w:firstLineChars="150"/>
              <w:rPr>
                <w:rFonts w:hint="eastAsia" w:hAnsi="宋体" w:cs="宋体"/>
                <w:color w:val="auto"/>
                <w:sz w:val="21"/>
                <w:highlight w:val="none"/>
                <w:lang w:val="en-US" w:eastAsia="zh-CN"/>
              </w:rPr>
            </w:pPr>
            <w:r>
              <w:rPr>
                <w:rFonts w:hint="eastAsia" w:hAnsi="宋体" w:cs="宋体"/>
                <w:color w:val="auto"/>
                <w:sz w:val="21"/>
                <w:highlight w:val="none"/>
                <w:lang w:val="en-US" w:eastAsia="zh-CN"/>
              </w:rPr>
              <w:t>☑</w:t>
            </w:r>
            <w:r>
              <w:rPr>
                <w:rFonts w:hint="eastAsia" w:hAnsi="宋体" w:cs="宋体"/>
                <w:color w:val="auto"/>
                <w:sz w:val="21"/>
                <w:highlight w:val="none"/>
                <w:u w:val="single"/>
                <w:lang w:val="en-US" w:eastAsia="zh-CN"/>
              </w:rPr>
              <w:t>根据发改价格〔2015〕299号文，按固定金额收费标准，服务费为人民币贰万陆仟零捌元整(¥26008.00)</w:t>
            </w:r>
            <w:r>
              <w:rPr>
                <w:rFonts w:hint="eastAsia" w:hAnsi="宋体" w:cs="宋体"/>
                <w:color w:val="auto"/>
                <w:sz w:val="21"/>
                <w:highlight w:val="none"/>
                <w:lang w:val="en-US" w:eastAsia="zh-CN"/>
              </w:rPr>
              <w:t>。</w:t>
            </w:r>
          </w:p>
          <w:p w14:paraId="3640DE59">
            <w:pPr>
              <w:pStyle w:val="11"/>
              <w:snapToGrid w:val="0"/>
              <w:spacing w:line="312"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 采购代理服务费收取银行账户</w:t>
            </w:r>
          </w:p>
          <w:p w14:paraId="7E5D72A1">
            <w:pPr>
              <w:pStyle w:val="11"/>
              <w:snapToGrid w:val="0"/>
              <w:spacing w:line="312"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单位名称：广西科联招标中心有限公司贵港分公司  </w:t>
            </w:r>
          </w:p>
          <w:p w14:paraId="0F571385">
            <w:pPr>
              <w:pStyle w:val="11"/>
              <w:snapToGrid w:val="0"/>
              <w:spacing w:line="312"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 xml:space="preserve">开户银行：中国建设银行股份有限公司贵港分行科技支行  </w:t>
            </w:r>
          </w:p>
          <w:p w14:paraId="77B47496">
            <w:pPr>
              <w:pStyle w:val="11"/>
              <w:snapToGrid w:val="0"/>
              <w:spacing w:line="312"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银行账号：45050175009000000651</w:t>
            </w:r>
          </w:p>
        </w:tc>
      </w:tr>
      <w:tr w14:paraId="253BF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noWrap w:val="0"/>
            <w:vAlign w:val="center"/>
          </w:tcPr>
          <w:p w14:paraId="366D30B9">
            <w:pPr>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33.1</w:t>
            </w:r>
          </w:p>
        </w:tc>
        <w:tc>
          <w:tcPr>
            <w:tcW w:w="8385" w:type="dxa"/>
            <w:noWrap w:val="0"/>
            <w:vAlign w:val="center"/>
          </w:tcPr>
          <w:p w14:paraId="50035CFC">
            <w:pPr>
              <w:pStyle w:val="11"/>
              <w:snapToGrid w:val="0"/>
              <w:spacing w:line="312" w:lineRule="auto"/>
              <w:rPr>
                <w:rFonts w:hint="eastAsia" w:hAnsi="宋体" w:cs="宋体"/>
                <w:color w:val="auto"/>
                <w:kern w:val="2"/>
                <w:sz w:val="21"/>
                <w:highlight w:val="none"/>
                <w:lang w:val="en-US" w:eastAsia="zh-CN"/>
              </w:rPr>
            </w:pPr>
            <w:r>
              <w:rPr>
                <w:rFonts w:hint="eastAsia" w:hAnsi="宋体" w:cs="宋体"/>
                <w:color w:val="auto"/>
                <w:kern w:val="2"/>
                <w:sz w:val="21"/>
                <w:highlight w:val="none"/>
                <w:lang w:val="en-US" w:eastAsia="zh-CN"/>
              </w:rPr>
              <w:t>解释：构成本磋商文件的各个组成文件应互为解释，互为说明；除磋商文件中有特别规定外，仅适用于竞标阶段的规定，按更正公告（澄清公告）、竞争性磋商公告或者竞标邀请函、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03CEC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871" w:type="dxa"/>
            <w:noWrap w:val="0"/>
            <w:vAlign w:val="center"/>
          </w:tcPr>
          <w:p w14:paraId="42986CA8">
            <w:pPr>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33.2</w:t>
            </w:r>
          </w:p>
        </w:tc>
        <w:tc>
          <w:tcPr>
            <w:tcW w:w="8385" w:type="dxa"/>
            <w:noWrap w:val="0"/>
            <w:vAlign w:val="center"/>
          </w:tcPr>
          <w:p w14:paraId="67D78BCF">
            <w:pPr>
              <w:pStyle w:val="11"/>
              <w:snapToGrid w:val="0"/>
              <w:spacing w:line="312"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4130E263">
            <w:pPr>
              <w:pStyle w:val="11"/>
              <w:snapToGrid w:val="0"/>
              <w:spacing w:line="312" w:lineRule="auto"/>
              <w:rPr>
                <w:rFonts w:hint="eastAsia" w:hAnsi="宋体" w:cs="宋体"/>
                <w:color w:val="auto"/>
                <w:sz w:val="21"/>
                <w:highlight w:val="none"/>
                <w:lang w:val="en-US" w:eastAsia="zh-CN"/>
              </w:rPr>
            </w:pPr>
            <w:r>
              <w:rPr>
                <w:rFonts w:hint="eastAsia" w:hAnsi="宋体" w:cs="宋体"/>
                <w:bCs/>
                <w:color w:val="auto"/>
                <w:sz w:val="21"/>
                <w:highlight w:val="none"/>
                <w:lang w:val="en-US" w:eastAsia="zh-CN"/>
              </w:rPr>
              <w:t>2.本磋商文件所称的“</w:t>
            </w:r>
            <w:r>
              <w:rPr>
                <w:rFonts w:hint="eastAsia" w:hAnsi="宋体" w:cs="宋体"/>
                <w:color w:val="auto"/>
                <w:sz w:val="21"/>
                <w:highlight w:val="none"/>
                <w:lang w:val="en-US" w:eastAsia="zh-CN"/>
              </w:rPr>
              <w:t>电子签章</w:t>
            </w:r>
            <w:r>
              <w:rPr>
                <w:rFonts w:hint="eastAsia" w:hAnsi="宋体" w:cs="宋体"/>
                <w:bCs/>
                <w:color w:val="auto"/>
                <w:sz w:val="21"/>
                <w:highlight w:val="none"/>
                <w:lang w:val="en-US" w:eastAsia="zh-CN"/>
              </w:rPr>
              <w:t>”“电子签名”</w:t>
            </w:r>
            <w:r>
              <w:rPr>
                <w:rFonts w:hint="eastAsia" w:hAnsi="宋体" w:cs="宋体"/>
                <w:color w:val="auto"/>
                <w:sz w:val="21"/>
                <w:highlight w:val="none"/>
                <w:lang w:val="en-US" w:eastAsia="zh-CN"/>
              </w:rPr>
              <w:t>，是指经广西政府采购云平台认可的CA认证的电子签名数据为表现形式的印章，可用于签署电子响应文件，电子印章与实物印章具有同等法律效力，不因其采用电子化表现形式而否定其法律效力。</w:t>
            </w:r>
          </w:p>
          <w:p w14:paraId="33E7DD20">
            <w:pPr>
              <w:pStyle w:val="11"/>
              <w:snapToGrid w:val="0"/>
              <w:spacing w:line="312" w:lineRule="auto"/>
              <w:rPr>
                <w:rFonts w:hint="eastAsia" w:hAnsi="宋体" w:cs="宋体"/>
                <w:bCs/>
                <w:color w:val="auto"/>
                <w:sz w:val="21"/>
                <w:highlight w:val="none"/>
                <w:lang w:val="en-US" w:eastAsia="zh-CN"/>
              </w:rPr>
            </w:pPr>
            <w:r>
              <w:rPr>
                <w:rFonts w:hint="eastAsia" w:hAnsi="宋体" w:cs="宋体"/>
                <w:color w:val="auto"/>
                <w:sz w:val="21"/>
                <w:highlight w:val="none"/>
                <w:lang w:val="en-US" w:eastAsia="zh-CN"/>
              </w:rPr>
              <w:t>3.供应商为其他组织或者自然人时，本磋商文件规定的法定代表人指负责人或者自然人。本磋商文件所称负责人是指参加竞标的其他组织</w:t>
            </w:r>
            <w:r>
              <w:rPr>
                <w:rFonts w:hint="eastAsia" w:hAnsi="宋体" w:cs="宋体"/>
                <w:bCs/>
                <w:color w:val="auto"/>
                <w:sz w:val="21"/>
                <w:highlight w:val="none"/>
                <w:lang w:val="en-US" w:eastAsia="zh-CN"/>
              </w:rPr>
              <w:t>营业执照或者执业许可证等证照上的</w:t>
            </w:r>
            <w:r>
              <w:rPr>
                <w:rFonts w:hint="eastAsia" w:hAnsi="宋体" w:cs="宋体"/>
                <w:color w:val="auto"/>
                <w:sz w:val="21"/>
                <w:highlight w:val="none"/>
                <w:lang w:val="en-US" w:eastAsia="zh-CN"/>
              </w:rPr>
              <w:t>负责人，本磋商文件所称自然人指参与竞标的自然人本人，</w:t>
            </w:r>
            <w:r>
              <w:rPr>
                <w:rFonts w:hint="eastAsia" w:hAnsi="宋体" w:cs="宋体"/>
                <w:bCs/>
                <w:color w:val="auto"/>
                <w:sz w:val="21"/>
                <w:highlight w:val="none"/>
                <w:lang w:val="en-US" w:eastAsia="zh-CN"/>
              </w:rPr>
              <w:t>且应具备独立承担民事责任能力，自然人应当为年满18岁以上成年人（十六周岁以上的未成年人，以自己的劳动收入为主要生活来源的，视为完全民事行为能力人）。</w:t>
            </w:r>
          </w:p>
          <w:p w14:paraId="679BC169">
            <w:pPr>
              <w:pStyle w:val="11"/>
              <w:snapToGrid w:val="0"/>
              <w:spacing w:line="312"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4.本磋商文件中描述供应商的“签字”是指供应商的法定代表人或者委托代理人亲自在文件规定签署处亲笔写上个人的名字的行为，私章、签字章、印鉴、影印等其他形式均不能代替亲笔签字。</w:t>
            </w:r>
          </w:p>
          <w:p w14:paraId="7D237257">
            <w:pPr>
              <w:pStyle w:val="11"/>
              <w:snapToGrid w:val="0"/>
              <w:spacing w:line="312"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5.本磋商文件所称的“以上”“以下”“以内”“届满”，包括本数；所称的“不满”“超过”“以外”，不包括本数。</w:t>
            </w:r>
          </w:p>
        </w:tc>
      </w:tr>
      <w:tr w14:paraId="5CDA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871" w:type="dxa"/>
            <w:noWrap w:val="0"/>
            <w:vAlign w:val="center"/>
          </w:tcPr>
          <w:p w14:paraId="7300355A">
            <w:pPr>
              <w:pStyle w:val="11"/>
              <w:snapToGrid w:val="0"/>
              <w:spacing w:line="312"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其他</w:t>
            </w:r>
          </w:p>
          <w:p w14:paraId="025BE731">
            <w:pPr>
              <w:pStyle w:val="11"/>
              <w:snapToGrid w:val="0"/>
              <w:spacing w:line="312"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事项1</w:t>
            </w:r>
          </w:p>
        </w:tc>
        <w:tc>
          <w:tcPr>
            <w:tcW w:w="8385" w:type="dxa"/>
            <w:noWrap w:val="0"/>
            <w:vAlign w:val="center"/>
          </w:tcPr>
          <w:p w14:paraId="48240508">
            <w:pPr>
              <w:pStyle w:val="11"/>
              <w:snapToGrid w:val="0"/>
              <w:spacing w:line="312"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电子响应文件中所须加盖公章部分均采用CA签章。若竞争性磋商文件中有专门标注的某关联点，并要求供应商在电子投标系统中作出磋商响应的，如供应商未对关联点进行响应或者在电子响应文件其它内容进行描述，造成电子评审不能查询的责任由供应商自行承担。</w:t>
            </w:r>
          </w:p>
        </w:tc>
      </w:tr>
    </w:tbl>
    <w:p w14:paraId="14AC1244">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供应商须知正文</w:t>
      </w:r>
    </w:p>
    <w:p w14:paraId="42139D5C">
      <w:pPr>
        <w:spacing w:line="400" w:lineRule="exact"/>
        <w:jc w:val="center"/>
        <w:rPr>
          <w:rFonts w:hint="eastAsia" w:ascii="宋体" w:hAnsi="宋体" w:cs="宋体"/>
          <w:b/>
          <w:color w:val="auto"/>
          <w:sz w:val="32"/>
          <w:szCs w:val="32"/>
          <w:highlight w:val="none"/>
        </w:rPr>
      </w:pPr>
    </w:p>
    <w:p w14:paraId="78C78B48">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一、总则</w:t>
      </w:r>
    </w:p>
    <w:p w14:paraId="2925A20C">
      <w:pPr>
        <w:spacing w:line="400" w:lineRule="exact"/>
        <w:rPr>
          <w:rFonts w:hint="eastAsia" w:ascii="宋体" w:hAnsi="宋体" w:cs="宋体"/>
          <w:color w:val="auto"/>
          <w:szCs w:val="21"/>
          <w:highlight w:val="none"/>
        </w:rPr>
      </w:pPr>
    </w:p>
    <w:p w14:paraId="7DD5D3C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1.适用范围</w:t>
      </w:r>
    </w:p>
    <w:p w14:paraId="0BAD0F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6F663C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2A3B3BC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2.定义</w:t>
      </w:r>
    </w:p>
    <w:p w14:paraId="2AA77A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27596B9E">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7A40B0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4ED87629">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288B97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“竞标”是指供应商按照本项目竞争性磋商公告或者邀请函规定的方式获取磋商文件、提交响应文件并希望获得标的的行为。</w:t>
      </w:r>
    </w:p>
    <w:p w14:paraId="173FAA8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590049E9">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17E8518A">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2D262CA4">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1480CCD6">
      <w:pPr>
        <w:spacing w:line="360" w:lineRule="auto"/>
        <w:ind w:firstLine="420" w:firstLineChars="200"/>
        <w:contextualSpacing/>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7CBB9E2E">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29B263F5">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4E05FF0B">
      <w:pPr>
        <w:spacing w:line="360" w:lineRule="auto"/>
        <w:ind w:firstLine="420" w:firstLineChars="200"/>
        <w:contextualSpacing/>
        <w:rPr>
          <w:rFonts w:hint="eastAsia" w:ascii="宋体" w:hAnsi="宋体" w:cs="宋体"/>
          <w:color w:val="auto"/>
          <w:szCs w:val="21"/>
          <w:highlight w:val="none"/>
        </w:rPr>
      </w:pPr>
    </w:p>
    <w:p w14:paraId="76CF25C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3.供应商的资格条件</w:t>
      </w:r>
    </w:p>
    <w:p w14:paraId="3BB044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1328021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4.竞标费用</w:t>
      </w:r>
    </w:p>
    <w:p w14:paraId="0C48A3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609FF99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5.联合体竞标</w:t>
      </w:r>
    </w:p>
    <w:p w14:paraId="71860B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5.1本项目不接受联合体竞标。</w:t>
      </w:r>
    </w:p>
    <w:p w14:paraId="30C2265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38C559BB">
      <w:pPr>
        <w:spacing w:line="360" w:lineRule="auto"/>
        <w:ind w:firstLine="420" w:firstLineChars="200"/>
        <w:rPr>
          <w:rFonts w:hint="eastAsia" w:ascii="宋体" w:hAnsi="宋体" w:cs="宋体"/>
          <w:color w:val="auto"/>
          <w:szCs w:val="21"/>
          <w:highlight w:val="none"/>
        </w:rPr>
      </w:pPr>
      <w:bookmarkStart w:id="22" w:name="_Toc254970532"/>
      <w:bookmarkStart w:id="23" w:name="_Toc254970673"/>
      <w:r>
        <w:rPr>
          <w:rFonts w:hint="eastAsia" w:ascii="宋体" w:hAnsi="宋体" w:cs="宋体"/>
          <w:color w:val="auto"/>
          <w:szCs w:val="21"/>
          <w:highlight w:val="none"/>
        </w:rPr>
        <w:t>6.1本项目不允许转包和分包。</w:t>
      </w:r>
    </w:p>
    <w:p w14:paraId="02ADABE6">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7.特别说明</w:t>
      </w:r>
      <w:bookmarkEnd w:id="22"/>
      <w:bookmarkEnd w:id="23"/>
    </w:p>
    <w:p w14:paraId="6D540F87">
      <w:pPr>
        <w:spacing w:line="360" w:lineRule="auto"/>
        <w:ind w:firstLine="420" w:firstLineChars="200"/>
        <w:rPr>
          <w:rFonts w:hint="eastAsia" w:ascii="宋体" w:hAnsi="宋体" w:cs="宋体"/>
          <w:color w:val="auto"/>
          <w:szCs w:val="21"/>
          <w:highlight w:val="none"/>
        </w:rPr>
      </w:pPr>
      <w:bookmarkStart w:id="24" w:name="_8.1提供相同品牌产品且通过资格审查、符合性审查的不同投标人参加同一合"/>
      <w:bookmarkEnd w:id="24"/>
      <w:r>
        <w:rPr>
          <w:rFonts w:hint="eastAsia" w:ascii="宋体" w:hAnsi="宋体" w:cs="宋体"/>
          <w:color w:val="auto"/>
          <w:szCs w:val="21"/>
          <w:highlight w:val="none"/>
        </w:rPr>
        <w:t>7.1</w:t>
      </w:r>
      <w:bookmarkStart w:id="25"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25"/>
    <w:p w14:paraId="001F4A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5B7D29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16DF2D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080E6C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B7B4A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653991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3D13ED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39533D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7DD9B3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9C302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w:t>
      </w:r>
      <w:r>
        <w:rPr>
          <w:rFonts w:hint="eastAsia" w:ascii="宋体" w:hAnsi="宋体" w:cs="宋体"/>
          <w:b/>
          <w:bCs/>
          <w:color w:val="auto"/>
          <w:szCs w:val="21"/>
          <w:highlight w:val="none"/>
        </w:rPr>
        <w:t>响应文件将被视为无效：</w:t>
      </w:r>
    </w:p>
    <w:p w14:paraId="688C8C18">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 xml:space="preserve">（1）不同供应商的响应文件由同一单位或者个人编制； </w:t>
      </w:r>
    </w:p>
    <w:p w14:paraId="5A96A9A5">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（2）不同供应商委托同一单位或者个人办理竞标事宜；</w:t>
      </w:r>
    </w:p>
    <w:p w14:paraId="3F0F580D">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（3）不同的供应商的响应文件载明的项目管理员为同一个人；</w:t>
      </w:r>
    </w:p>
    <w:p w14:paraId="2FC2DDE2">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（4）不同供应商的响应文件异常一致或者报价呈规律性差异；</w:t>
      </w:r>
    </w:p>
    <w:p w14:paraId="5B614686">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（5）不同供应商的响应文件相互混装；</w:t>
      </w:r>
    </w:p>
    <w:p w14:paraId="208B7FAD">
      <w:pPr>
        <w:tabs>
          <w:tab w:val="left" w:pos="6931"/>
        </w:tabs>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（6）不同供应商的磋商保证金从同一单位或者个人账户转出。</w:t>
      </w:r>
      <w:r>
        <w:rPr>
          <w:rFonts w:hint="eastAsia" w:ascii="宋体" w:hAnsi="宋体" w:cs="宋体"/>
          <w:b/>
          <w:bCs/>
          <w:color w:val="auto"/>
          <w:szCs w:val="21"/>
          <w:highlight w:val="none"/>
        </w:rPr>
        <w:tab/>
      </w:r>
    </w:p>
    <w:p w14:paraId="3B444F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648361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31CCCF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7430D9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0554FF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62D11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5ECFF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3463B6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301CF2AE">
      <w:pPr>
        <w:spacing w:line="360" w:lineRule="auto"/>
        <w:ind w:firstLine="420" w:firstLineChars="200"/>
        <w:rPr>
          <w:rFonts w:hint="eastAsia" w:ascii="宋体" w:hAnsi="宋体" w:cs="宋体"/>
          <w:color w:val="auto"/>
          <w:szCs w:val="21"/>
          <w:highlight w:val="none"/>
        </w:rPr>
      </w:pPr>
    </w:p>
    <w:p w14:paraId="38AB4F6C">
      <w:pPr>
        <w:spacing w:line="360" w:lineRule="auto"/>
        <w:ind w:left="1" w:firstLine="417" w:firstLineChars="199"/>
        <w:jc w:val="center"/>
        <w:rPr>
          <w:rFonts w:hint="eastAsia" w:ascii="宋体" w:hAnsi="宋体" w:cs="宋体"/>
          <w:color w:val="auto"/>
          <w:highlight w:val="none"/>
        </w:rPr>
      </w:pPr>
      <w:bookmarkStart w:id="26" w:name="_Toc254970534"/>
      <w:bookmarkStart w:id="27" w:name="_Toc254970675"/>
    </w:p>
    <w:p w14:paraId="58002B31">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二、磋商文件</w:t>
      </w:r>
      <w:bookmarkEnd w:id="26"/>
      <w:bookmarkEnd w:id="27"/>
    </w:p>
    <w:p w14:paraId="124971F2">
      <w:pPr>
        <w:spacing w:line="360" w:lineRule="auto"/>
        <w:rPr>
          <w:rFonts w:hint="eastAsia" w:ascii="宋体" w:hAnsi="宋体" w:cs="宋体"/>
          <w:color w:val="auto"/>
          <w:szCs w:val="21"/>
          <w:highlight w:val="none"/>
        </w:rPr>
      </w:pPr>
    </w:p>
    <w:p w14:paraId="14404AA5">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8.磋商文件的构成</w:t>
      </w:r>
    </w:p>
    <w:p w14:paraId="1C1C137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（1）竞争性磋商公告；</w:t>
      </w:r>
    </w:p>
    <w:p w14:paraId="3052046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（2）供应商须知； </w:t>
      </w:r>
    </w:p>
    <w:p w14:paraId="4283C20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（3）采购需求；</w:t>
      </w:r>
    </w:p>
    <w:p w14:paraId="06220E1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（4）评审程序、评审方法和评审标准；</w:t>
      </w:r>
    </w:p>
    <w:p w14:paraId="5B6B513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（5）响应文件格式；</w:t>
      </w:r>
    </w:p>
    <w:p w14:paraId="74C687F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（6）合同文本。</w:t>
      </w:r>
    </w:p>
    <w:p w14:paraId="2FE4225B">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9.供应商的询问</w:t>
      </w:r>
    </w:p>
    <w:p w14:paraId="4A222B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w:t>
      </w:r>
      <w:r>
        <w:rPr>
          <w:rFonts w:hint="eastAsia" w:ascii="宋体" w:hAnsi="宋体"/>
          <w:color w:val="auto"/>
          <w:szCs w:val="21"/>
          <w:highlight w:val="none"/>
        </w:rPr>
        <w:t>应在</w:t>
      </w:r>
      <w:r>
        <w:rPr>
          <w:rFonts w:hint="eastAsia" w:ascii="宋体" w:hAnsi="宋体" w:cs="宋体"/>
          <w:color w:val="auto"/>
          <w:szCs w:val="21"/>
          <w:highlight w:val="none"/>
        </w:rPr>
        <w:t>提交首次响应文件截止之日前，以书面形式向采购人、采购代理机构提出。</w:t>
      </w:r>
    </w:p>
    <w:p w14:paraId="298E28F2">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3A0502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日</w:t>
      </w:r>
      <w:r>
        <w:rPr>
          <w:rFonts w:hint="eastAsia" w:ascii="宋体" w:hAnsi="宋体" w:cs="宋体"/>
          <w:color w:val="auto"/>
          <w:szCs w:val="21"/>
          <w:highlight w:val="none"/>
        </w:rPr>
        <w:t>前，以书面形式通知所有获取磋商文件的供应商，</w:t>
      </w:r>
      <w:r>
        <w:rPr>
          <w:rFonts w:hint="eastAsia" w:ascii="宋体" w:hAnsi="宋体" w:cs="宋体"/>
          <w:b/>
          <w:bCs/>
          <w:color w:val="auto"/>
          <w:szCs w:val="21"/>
          <w:highlight w:val="none"/>
        </w:rPr>
        <w:t>不足</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日</w:t>
      </w:r>
      <w:r>
        <w:rPr>
          <w:rFonts w:hint="eastAsia" w:ascii="宋体" w:hAnsi="宋体" w:cs="宋体"/>
          <w:color w:val="auto"/>
          <w:szCs w:val="21"/>
          <w:highlight w:val="none"/>
        </w:rPr>
        <w:t>的，应当顺延提交首次响应文件截止之日。澄清或者更正公告在竞争性磋商公告发布媒体上发布，一经发布，视作已以书面形式通知所有获取竞争性磋商文件的潜在供应商，不再另行通知，所有潜在供应商应密切关注竞争性磋商公告发布媒体，因未能及时获知，由此产生的后果均应自行承担</w:t>
      </w:r>
      <w:r>
        <w:rPr>
          <w:rFonts w:hint="eastAsia" w:ascii="宋体" w:hAnsi="宋体" w:cs="宋体"/>
          <w:color w:val="auto"/>
          <w:szCs w:val="21"/>
          <w:highlight w:val="none"/>
          <w:lang w:eastAsia="zh-CN"/>
        </w:rPr>
        <w:t>。</w:t>
      </w:r>
    </w:p>
    <w:p w14:paraId="080AD99F">
      <w:pPr>
        <w:spacing w:line="360" w:lineRule="auto"/>
        <w:rPr>
          <w:rFonts w:hint="eastAsia" w:ascii="宋体" w:hAnsi="宋体" w:cs="宋体"/>
          <w:color w:val="auto"/>
          <w:szCs w:val="21"/>
          <w:highlight w:val="none"/>
        </w:rPr>
      </w:pPr>
    </w:p>
    <w:p w14:paraId="7C06A35C">
      <w:pPr>
        <w:spacing w:line="360" w:lineRule="auto"/>
        <w:jc w:val="center"/>
        <w:rPr>
          <w:rFonts w:hint="eastAsia" w:ascii="宋体" w:hAnsi="宋体" w:cs="宋体"/>
          <w:b/>
          <w:bCs/>
          <w:color w:val="auto"/>
          <w:szCs w:val="21"/>
          <w:highlight w:val="none"/>
        </w:rPr>
      </w:pPr>
      <w:r>
        <w:rPr>
          <w:rFonts w:hint="eastAsia" w:ascii="宋体" w:hAnsi="宋体" w:cs="宋体"/>
          <w:b/>
          <w:bCs/>
          <w:color w:val="auto"/>
          <w:sz w:val="32"/>
          <w:szCs w:val="32"/>
          <w:highlight w:val="none"/>
        </w:rPr>
        <w:t>三、响应文件的编制</w:t>
      </w:r>
    </w:p>
    <w:p w14:paraId="6FF79676">
      <w:pPr>
        <w:spacing w:line="360" w:lineRule="auto"/>
        <w:rPr>
          <w:rFonts w:hint="eastAsia" w:ascii="宋体" w:hAnsi="宋体" w:cs="宋体"/>
          <w:color w:val="auto"/>
          <w:szCs w:val="21"/>
          <w:highlight w:val="none"/>
        </w:rPr>
      </w:pPr>
    </w:p>
    <w:p w14:paraId="6738082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1CD51C8D">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w:t>
      </w:r>
      <w:r>
        <w:rPr>
          <w:rFonts w:hint="eastAsia" w:ascii="宋体" w:hAnsi="宋体" w:cs="宋体"/>
          <w:b/>
          <w:bCs/>
          <w:color w:val="auto"/>
          <w:szCs w:val="21"/>
          <w:highlight w:val="none"/>
        </w:rPr>
        <w:t>响应文件必须对磋商文件提出的要求和条件作出明确响应。</w:t>
      </w:r>
    </w:p>
    <w:p w14:paraId="454C516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12.响应文件的组成</w:t>
      </w:r>
    </w:p>
    <w:p w14:paraId="141FEB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58CDBE26">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1BA02DBB">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4A1CC349">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18D3ADC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13.计量单位</w:t>
      </w:r>
    </w:p>
    <w:p w14:paraId="06DB06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76CC2CB5">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14.竞标的风险</w:t>
      </w:r>
    </w:p>
    <w:p w14:paraId="052945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0819C3A3">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15.竞标报价</w:t>
      </w:r>
    </w:p>
    <w:p w14:paraId="23C58715">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57E67F0A">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7A98861A">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27A23A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15.3.1供应商的竞标报价应符合以下要求，否则响应文件按无效响应处理：</w:t>
      </w:r>
    </w:p>
    <w:p w14:paraId="3EA85379">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（1）供应商必须就“采购需求”中所竞标的全部内容分别作完整唯一总价报价，不得存在漏项报价；</w:t>
      </w:r>
    </w:p>
    <w:p w14:paraId="73ADB3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（2）供应商必须就所竞标的单项内容作唯一报价。</w:t>
      </w:r>
    </w:p>
    <w:p w14:paraId="1C3F49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15.3.2竞标报价（包含首次报价、最后报价）超过所竞标规定的采购预算金额或者最高限价的</w:t>
      </w:r>
      <w:r>
        <w:rPr>
          <w:rFonts w:hint="eastAsia" w:ascii="宋体" w:hAnsi="宋体" w:cs="宋体"/>
          <w:color w:val="auto"/>
          <w:szCs w:val="21"/>
          <w:highlight w:val="none"/>
          <w:lang w:eastAsia="zh-CN"/>
        </w:rPr>
        <w:t>（</w:t>
      </w:r>
      <w:r>
        <w:rPr>
          <w:rFonts w:hint="eastAsia"/>
          <w:lang w:val="en-US" w:eastAsia="zh-CN"/>
        </w:rPr>
        <w:t>本项目按折扣系数报价，竞标报价≤100%</w:t>
      </w:r>
      <w:r>
        <w:rPr>
          <w:rFonts w:hint="eastAsia" w:ascii="宋体" w:hAnsi="宋体" w:cs="宋体"/>
          <w:color w:val="auto"/>
          <w:szCs w:val="21"/>
          <w:highlight w:val="none"/>
          <w:lang w:eastAsia="zh-CN"/>
        </w:rPr>
        <w:t>）</w:t>
      </w:r>
      <w:r>
        <w:rPr>
          <w:rFonts w:hint="eastAsia" w:ascii="宋体" w:hAnsi="宋体" w:cs="宋体"/>
          <w:color w:val="auto"/>
          <w:szCs w:val="21"/>
          <w:highlight w:val="none"/>
        </w:rPr>
        <w:t>，其响应文件将按无效处理。</w:t>
      </w:r>
    </w:p>
    <w:p w14:paraId="076FFD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15.3.3</w:t>
      </w:r>
      <w:bookmarkStart w:id="28" w:name="_Hlk42592874"/>
      <w:r>
        <w:rPr>
          <w:rFonts w:hint="eastAsia" w:ascii="宋体" w:hAnsi="宋体" w:cs="宋体"/>
          <w:color w:val="auto"/>
          <w:szCs w:val="21"/>
          <w:highlight w:val="none"/>
        </w:rPr>
        <w:t>竞标报价（包含首次报价、最后报价）超过分项采购预算金额或者最高限价的</w:t>
      </w:r>
      <w:r>
        <w:rPr>
          <w:rFonts w:hint="eastAsia" w:ascii="宋体" w:hAnsi="宋体" w:cs="宋体"/>
          <w:color w:val="auto"/>
          <w:szCs w:val="21"/>
          <w:highlight w:val="none"/>
          <w:lang w:eastAsia="zh-CN"/>
        </w:rPr>
        <w:t>（</w:t>
      </w:r>
      <w:r>
        <w:rPr>
          <w:rFonts w:hint="eastAsia"/>
          <w:lang w:val="en-US" w:eastAsia="zh-CN"/>
        </w:rPr>
        <w:t>本项目按折扣系数报价，竞标报价≤100%</w:t>
      </w:r>
      <w:r>
        <w:rPr>
          <w:rFonts w:hint="eastAsia" w:ascii="宋体" w:hAnsi="宋体" w:cs="宋体"/>
          <w:color w:val="auto"/>
          <w:szCs w:val="21"/>
          <w:highlight w:val="none"/>
          <w:lang w:eastAsia="zh-CN"/>
        </w:rPr>
        <w:t>）</w:t>
      </w:r>
      <w:r>
        <w:rPr>
          <w:rFonts w:hint="eastAsia" w:ascii="宋体" w:hAnsi="宋体" w:cs="宋体"/>
          <w:color w:val="auto"/>
          <w:szCs w:val="21"/>
          <w:highlight w:val="none"/>
        </w:rPr>
        <w:t>，其响应文件将按无效处理。</w:t>
      </w:r>
    </w:p>
    <w:bookmarkEnd w:id="28"/>
    <w:p w14:paraId="0E97EFE2">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16.竞标有效期</w:t>
      </w:r>
    </w:p>
    <w:p w14:paraId="707505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985A1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竞标有效期应由供应商按“供应商须知前附表”规定的期限作出响应。承诺的竞标有效期低于采购文件规定期限的，供应商的响应文件作无效处理。</w:t>
      </w:r>
    </w:p>
    <w:p w14:paraId="53803F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0AE14F6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17.磋商保证金</w:t>
      </w:r>
    </w:p>
    <w:p w14:paraId="39DB5CA3">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详见采购文件中供应商须知前附表。</w:t>
      </w:r>
    </w:p>
    <w:p w14:paraId="3F93E172">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7488D8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按照本项目磋商文件规定的格式和顺序和广西政府采购云平台的要求编制响应文件并加密。响应文件内容不完整、编排混乱导致响应文件被误读、漏读或者查找不到相关内容的，由此引发的后果由供应商承担。</w:t>
      </w:r>
    </w:p>
    <w:p w14:paraId="0330E4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0F091C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5C0A4A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w:t>
      </w:r>
      <w:r>
        <w:rPr>
          <w:rFonts w:hint="eastAsia" w:ascii="宋体" w:hAnsi="宋体"/>
          <w:b/>
          <w:color w:val="auto"/>
          <w:szCs w:val="21"/>
          <w:highlight w:val="none"/>
        </w:rPr>
        <w:t>并与广西政府采购云平台中获取采购文件的供应商名称一致，</w:t>
      </w:r>
      <w:r>
        <w:rPr>
          <w:rFonts w:hint="eastAsia" w:ascii="宋体" w:hAnsi="宋体" w:cs="宋体"/>
          <w:color w:val="auto"/>
          <w:szCs w:val="21"/>
          <w:highlight w:val="none"/>
        </w:rPr>
        <w:t>供应商为自然人的，标注的供应商名称应与身份证姓名及签名一致，否则其响应文件按无效响应处理。</w:t>
      </w:r>
    </w:p>
    <w:p w14:paraId="6D58B8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1243D178">
      <w:pPr>
        <w:spacing w:line="360" w:lineRule="auto"/>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19.电子</w:t>
      </w:r>
      <w:r>
        <w:rPr>
          <w:rFonts w:hint="eastAsia" w:ascii="宋体" w:hAnsi="宋体" w:cs="宋体"/>
          <w:b/>
          <w:color w:val="auto"/>
          <w:sz w:val="24"/>
          <w:highlight w:val="none"/>
        </w:rPr>
        <w:t>备份响应文件</w:t>
      </w:r>
    </w:p>
    <w:p w14:paraId="46BE65E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电子备份响应文件是指通过在线编制生成且后缀名为“bfbs”的文件，是 </w:t>
      </w:r>
    </w:p>
    <w:p w14:paraId="09D1DC0C">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否接受电子备份响应文件详见“供应商须知前附表”。</w:t>
      </w:r>
    </w:p>
    <w:p w14:paraId="74131C5B">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20.响应文件的提交</w:t>
      </w:r>
    </w:p>
    <w:p w14:paraId="464CFD59">
      <w:pPr>
        <w:spacing w:line="360" w:lineRule="auto"/>
        <w:ind w:firstLine="420" w:firstLineChars="200"/>
        <w:rPr>
          <w:rFonts w:hint="eastAsia" w:ascii="宋体" w:hAnsi="宋体" w:cs="宋体"/>
          <w:b/>
          <w:color w:val="auto"/>
          <w:highlight w:val="none"/>
        </w:rPr>
      </w:pPr>
      <w:r>
        <w:rPr>
          <w:rFonts w:hint="eastAsia" w:ascii="宋体" w:hAnsi="宋体" w:cs="宋体"/>
          <w:bCs/>
          <w:color w:val="auto"/>
          <w:szCs w:val="21"/>
          <w:highlight w:val="none"/>
        </w:rPr>
        <w:t>20.1供应商必须按“供应商须知前附表”规定的</w:t>
      </w:r>
      <w:r>
        <w:rPr>
          <w:rFonts w:hint="eastAsia" w:ascii="宋体" w:hAnsi="宋体" w:cs="宋体"/>
          <w:color w:val="auto"/>
          <w:szCs w:val="21"/>
          <w:highlight w:val="none"/>
        </w:rPr>
        <w:t>时间及</w:t>
      </w:r>
      <w:r>
        <w:rPr>
          <w:rFonts w:hint="eastAsia" w:ascii="宋体" w:hAnsi="宋体" w:cs="宋体"/>
          <w:bCs/>
          <w:color w:val="auto"/>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 xml:space="preserve">。 </w:t>
      </w:r>
      <w:r>
        <w:rPr>
          <w:rFonts w:hint="eastAsia" w:ascii="宋体" w:hAnsi="宋体" w:cs="宋体"/>
          <w:b/>
          <w:color w:val="auto"/>
          <w:highlight w:val="none"/>
        </w:rPr>
        <w:t xml:space="preserve"> </w:t>
      </w:r>
    </w:p>
    <w:p w14:paraId="72F4CAA7">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20.2未在规定时间内提交或者未按照磋商文件要求加密的电子响应文件，广西政府采购云平台将拒收。</w:t>
      </w:r>
    </w:p>
    <w:p w14:paraId="43265AD2">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21F00B21">
      <w:pPr>
        <w:snapToGrid w:val="0"/>
        <w:spacing w:line="360" w:lineRule="auto"/>
        <w:ind w:firstLine="420"/>
        <w:jc w:val="left"/>
        <w:rPr>
          <w:rFonts w:hint="eastAsia" w:ascii="宋体" w:hAnsi="宋体" w:cs="宋体"/>
          <w:color w:val="auto"/>
          <w:szCs w:val="21"/>
          <w:highlight w:val="none"/>
        </w:rPr>
      </w:pPr>
      <w:bookmarkStart w:id="29" w:name="_Toc254970684"/>
      <w:bookmarkStart w:id="30" w:name="_Toc254970543"/>
      <w:r>
        <w:rPr>
          <w:rFonts w:hint="eastAsia" w:ascii="宋体" w:hAnsi="宋体" w:cs="宋体"/>
          <w:color w:val="auto"/>
          <w:szCs w:val="21"/>
          <w:highlight w:val="none"/>
        </w:rPr>
        <w:t>21.1</w:t>
      </w:r>
      <w:r>
        <w:rPr>
          <w:rFonts w:hint="eastAsia" w:ascii="宋体" w:hAnsi="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r>
        <w:rPr>
          <w:rFonts w:hint="eastAsia" w:ascii="宋体" w:hAnsi="宋体" w:cs="宋体"/>
          <w:color w:val="auto"/>
          <w:szCs w:val="21"/>
          <w:highlight w:val="none"/>
        </w:rPr>
        <w:t>（补充、修改或者撤回方式可登录广西政府采购云平台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进入“服务中心”中查看 “电子投标文件制作与投送教程”）</w:t>
      </w:r>
    </w:p>
    <w:bookmarkEnd w:id="29"/>
    <w:bookmarkEnd w:id="30"/>
    <w:p w14:paraId="7A1D3BA4">
      <w:pPr>
        <w:pStyle w:val="19"/>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21.2在提交响应文件截止时间前，除供应商补充、修改或者撤回响应文件外，任何单位和个人不得解密或提取响应文件。</w:t>
      </w:r>
    </w:p>
    <w:p w14:paraId="433438D3">
      <w:pPr>
        <w:spacing w:line="360" w:lineRule="auto"/>
        <w:ind w:firstLine="482" w:firstLineChars="200"/>
        <w:rPr>
          <w:rFonts w:hint="eastAsia" w:ascii="宋体" w:hAnsi="宋体" w:cs="宋体"/>
          <w:b/>
          <w:bCs/>
          <w:color w:val="auto"/>
          <w:sz w:val="24"/>
          <w:highlight w:val="none"/>
        </w:rPr>
      </w:pPr>
      <w:bookmarkStart w:id="31" w:name="_Hlk45702405"/>
      <w:r>
        <w:rPr>
          <w:rFonts w:hint="eastAsia" w:ascii="宋体" w:hAnsi="宋体" w:cs="宋体"/>
          <w:b/>
          <w:bCs/>
          <w:color w:val="auto"/>
          <w:sz w:val="24"/>
          <w:highlight w:val="none"/>
        </w:rPr>
        <w:t>22.响应文件的退回</w:t>
      </w:r>
    </w:p>
    <w:p w14:paraId="556515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3414830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23.截止时间后的撤回</w:t>
      </w:r>
    </w:p>
    <w:p w14:paraId="7B5285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供应商在首次电子响应文件提交截止时间后向采购人、采购代理机构书面申请撤回电子响应文件的，除此之外采购人和采购代理机构对已开启的电子响应文件概不退回</w:t>
      </w:r>
      <w:r>
        <w:rPr>
          <w:rFonts w:hint="eastAsia" w:ascii="宋体" w:hAnsi="宋体" w:cs="宋体"/>
          <w:color w:val="auto"/>
          <w:szCs w:val="21"/>
          <w:highlight w:val="none"/>
        </w:rPr>
        <w:t>。</w:t>
      </w:r>
    </w:p>
    <w:bookmarkEnd w:id="31"/>
    <w:p w14:paraId="59A61FF2">
      <w:pPr>
        <w:spacing w:line="360" w:lineRule="auto"/>
        <w:rPr>
          <w:rFonts w:hint="eastAsia" w:ascii="宋体" w:hAnsi="宋体" w:cs="宋体"/>
          <w:color w:val="auto"/>
          <w:szCs w:val="21"/>
          <w:highlight w:val="none"/>
        </w:rPr>
      </w:pPr>
    </w:p>
    <w:p w14:paraId="09BB5A8F">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四、评审及磋商</w:t>
      </w:r>
    </w:p>
    <w:p w14:paraId="031D0500">
      <w:pPr>
        <w:spacing w:line="360" w:lineRule="auto"/>
        <w:ind w:left="420" w:firstLine="420"/>
        <w:rPr>
          <w:rFonts w:hint="eastAsia" w:ascii="宋体" w:hAnsi="宋体" w:cs="宋体"/>
          <w:color w:val="auto"/>
          <w:szCs w:val="21"/>
          <w:highlight w:val="none"/>
        </w:rPr>
      </w:pPr>
    </w:p>
    <w:p w14:paraId="472D2FC7">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24.磋商小组成立</w:t>
      </w:r>
    </w:p>
    <w:p w14:paraId="76B263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及以上单数组成。</w:t>
      </w:r>
    </w:p>
    <w:p w14:paraId="30127E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CE3A4D9">
      <w:pPr>
        <w:spacing w:line="360" w:lineRule="auto"/>
        <w:ind w:firstLine="420" w:firstLineChars="200"/>
        <w:rPr>
          <w:rFonts w:hint="eastAsia" w:hAnsi="宋体"/>
          <w:bCs/>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1E1CAC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24.4参加过采购项目前期咨询论证的专家，不得参加该采购项目的评审活动。</w:t>
      </w:r>
    </w:p>
    <w:p w14:paraId="01D9B36B">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25.首次响应文件的开启和解密</w:t>
      </w:r>
    </w:p>
    <w:p w14:paraId="6C14BA53">
      <w:pPr>
        <w:spacing w:line="360" w:lineRule="auto"/>
        <w:ind w:firstLine="420" w:firstLineChars="200"/>
        <w:rPr>
          <w:rFonts w:hint="eastAsia"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auto"/>
          <w:highlight w:val="none"/>
        </w:rPr>
        <w:t>采购代理机构依托广西政府采购云平台向各供应商发出电子加密响应文件【开始解密】通知，由供应商按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rFonts w:hint="eastAsia" w:ascii="宋体" w:hAnsi="宋体" w:cs="宋体"/>
          <w:b/>
          <w:color w:val="auto"/>
          <w:highlight w:val="none"/>
        </w:rPr>
        <w:t>。</w:t>
      </w:r>
    </w:p>
    <w:p w14:paraId="2D26231B">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2173DC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26.1本项目的评审方法为综合评分法。</w:t>
      </w:r>
    </w:p>
    <w:p w14:paraId="77EBEF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26.2磋商小组按照“第四章 评审程序、评审方法和评审标准”规定的方法、评审因素、标准和程序对响应文件进行评审。</w:t>
      </w:r>
    </w:p>
    <w:p w14:paraId="55FDE4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26.3 商务/技术要求允许负偏离的条款数详见“供应商须知前附表”。</w:t>
      </w:r>
    </w:p>
    <w:p w14:paraId="4BB449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26.4磋商小组成员要依法独立评审，并对评审意见承担个人责任。磋商小组成员对需要共同认定的事项存在争议的，按照少数服从多数的原则作出结论。持不同意见的磋商小组成员应当在评审报告上签署不同意见并说明理由，否则视为同意。</w:t>
      </w:r>
    </w:p>
    <w:p w14:paraId="0382F4B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26.5电子交易活动的中止。采购过程中出现以下情形，导致电子交易平台无法正常运行，或者无法保证电子交易的公平、公正和安全时，采购机构可中止电子交易活动：</w:t>
      </w:r>
    </w:p>
    <w:p w14:paraId="352EF12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24DA2FF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5FB82AE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362C4BF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（4）病毒发作导致不能进行正常操作的； </w:t>
      </w:r>
    </w:p>
    <w:p w14:paraId="326E5D6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（5）其他无法保证电子交易的公平、公正和安全的情况。</w:t>
      </w:r>
    </w:p>
    <w:p w14:paraId="19A92D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做出妥善保密处理，并报财政部门备案。</w:t>
      </w:r>
    </w:p>
    <w:p w14:paraId="38B76EA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1F22BA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w:t>
      </w:r>
      <w:r>
        <w:rPr>
          <w:rFonts w:hint="eastAsia" w:ascii="宋体" w:hAnsi="宋体" w:cs="宋体"/>
          <w:b/>
          <w:bCs/>
          <w:color w:val="auto"/>
          <w:szCs w:val="21"/>
          <w:highlight w:val="none"/>
        </w:rPr>
        <w:t>5个工作日</w:t>
      </w:r>
      <w:r>
        <w:rPr>
          <w:rFonts w:hint="eastAsia" w:ascii="宋体" w:hAnsi="宋体" w:cs="宋体"/>
          <w:color w:val="auto"/>
          <w:szCs w:val="21"/>
          <w:highlight w:val="none"/>
        </w:rPr>
        <w:t>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1570F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32" w:name="_Hlk66782294"/>
      <w:r>
        <w:rPr>
          <w:rFonts w:hint="eastAsia" w:ascii="宋体" w:hAnsi="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32"/>
    </w:p>
    <w:p w14:paraId="64858F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27.3出现下列情形之一的，采购人或者采购代理机构应当终止竞争性磋商采购活动，发布项目终止公告并说明原因，重新开展采购活动：</w:t>
      </w:r>
    </w:p>
    <w:p w14:paraId="64502B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31B3FB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43EE414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（3）除“第四章 评审程序、评审方法和评审标准”第4.3条规定的情形外，在采购过程中符合要求的供应商或者报价未超过采购预算的供应商不足3家的。</w:t>
      </w:r>
    </w:p>
    <w:p w14:paraId="5C5B61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5DF9E1A5">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28.履约保证金</w:t>
      </w:r>
    </w:p>
    <w:p w14:paraId="6EBB76EC">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本项目收取履约保证金。</w:t>
      </w:r>
    </w:p>
    <w:p w14:paraId="1D6F2737">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履约保证金金额：采购预算金额的2%。</w:t>
      </w:r>
    </w:p>
    <w:p w14:paraId="056BEB9F">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履约保证金递交方式：银行转账、支票、汇票、本票等非现金方式。</w:t>
      </w:r>
    </w:p>
    <w:p w14:paraId="246652BE">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履约保证金退付方式、时间及条件：</w:t>
      </w:r>
    </w:p>
    <w:p w14:paraId="11B6E55B">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合同签订前，成交供应商按采购预算金额的2%向采购人指定账户交纳履约保证金。成交供应商按照合同要求完成供货工作，合同期满，经采购人验收合格后，履约保证金全额退回（不计利息）。</w:t>
      </w:r>
    </w:p>
    <w:p w14:paraId="552E8418">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29.签订合同</w:t>
      </w:r>
    </w:p>
    <w:p w14:paraId="7E7CE1B7">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612BED41">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769C77B0">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69775900">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0D5D0514">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F48E169">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04AEA62C">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2980E301">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67CE4225">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30.政府采购合同公告</w:t>
      </w:r>
    </w:p>
    <w:p w14:paraId="5B85B7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D892E9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31. 询问、质疑和投诉</w:t>
      </w:r>
    </w:p>
    <w:p w14:paraId="65FDEF99">
      <w:pPr>
        <w:pStyle w:val="5"/>
        <w:spacing w:line="360" w:lineRule="auto"/>
        <w:rPr>
          <w:rFonts w:hint="eastAsia" w:ascii="宋体" w:hAnsi="宋体" w:cs="宋体"/>
          <w:color w:val="auto"/>
          <w:szCs w:val="21"/>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cs="宋体"/>
          <w:color w:val="auto"/>
          <w:szCs w:val="21"/>
          <w:highlight w:val="none"/>
        </w:rPr>
        <w:t>但答复的内容不得涉及商业秘密</w:t>
      </w:r>
      <w:r>
        <w:rPr>
          <w:rFonts w:hint="eastAsia" w:ascii="宋体" w:hAnsi="宋体" w:cs="宋体"/>
          <w:color w:val="auto"/>
          <w:highlight w:val="none"/>
        </w:rPr>
        <w:t>。</w:t>
      </w:r>
    </w:p>
    <w:p w14:paraId="3FCE0D7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52A045C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（1）对可以质疑的磋商文件提出质疑的，为收到磋商文件之日或者竞争性磋商公告期限届满之日；</w:t>
      </w:r>
    </w:p>
    <w:p w14:paraId="47552AC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5D98F91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7D8ED64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F10719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6F18054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26067F9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0972627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4F0091F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28065D8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6AA5386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32137F1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6651B94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2E0EB2B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68D5337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45518CA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3C6F3F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F9B0AC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32.其他内容</w:t>
      </w:r>
    </w:p>
    <w:p w14:paraId="1262CA7D">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代理服务收取标准及缴费账户详见“供应商须知前附表”，供应商为联合体的，可以由联合体中的一方或者多方共同交纳代理服务费。</w:t>
      </w:r>
    </w:p>
    <w:p w14:paraId="2AEF819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33.需要补充的其他内容</w:t>
      </w:r>
    </w:p>
    <w:p w14:paraId="069270D8">
      <w:pPr>
        <w:pStyle w:val="11"/>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本磋商文件解释规则详见“供应商须知前附表”。</w:t>
      </w:r>
    </w:p>
    <w:p w14:paraId="793A549C">
      <w:pPr>
        <w:pStyle w:val="11"/>
        <w:spacing w:line="360" w:lineRule="auto"/>
        <w:ind w:firstLine="420" w:firstLineChars="200"/>
        <w:textAlignment w:val="center"/>
        <w:rPr>
          <w:rFonts w:hAnsi="宋体" w:cs="宋体"/>
          <w:color w:val="auto"/>
          <w:kern w:val="2"/>
          <w:sz w:val="21"/>
          <w:highlight w:val="none"/>
        </w:rPr>
      </w:pPr>
      <w:r>
        <w:rPr>
          <w:rFonts w:hAnsi="宋体" w:cs="宋体"/>
          <w:color w:val="auto"/>
          <w:kern w:val="2"/>
          <w:sz w:val="21"/>
          <w:highlight w:val="none"/>
        </w:rPr>
        <w:t>33.2</w:t>
      </w:r>
      <w:r>
        <w:rPr>
          <w:rFonts w:hint="eastAsia" w:hAnsi="宋体" w:cs="宋体"/>
          <w:color w:val="auto"/>
          <w:kern w:val="2"/>
          <w:sz w:val="21"/>
          <w:highlight w:val="none"/>
        </w:rPr>
        <w:t xml:space="preserve"> 其他事项详见“供应商须知前附表”。</w:t>
      </w:r>
    </w:p>
    <w:p w14:paraId="174AAE38">
      <w:pPr>
        <w:pStyle w:val="11"/>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3.3</w:t>
      </w:r>
      <w:r>
        <w:rPr>
          <w:rFonts w:hint="eastAsia" w:hAnsi="宋体" w:cs="宋体"/>
          <w:color w:val="auto"/>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6464729F">
      <w:pPr>
        <w:pStyle w:val="11"/>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2628DF5E">
      <w:pPr>
        <w:pStyle w:val="11"/>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458497B9">
      <w:pPr>
        <w:pStyle w:val="11"/>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4DE2B9E">
      <w:pPr>
        <w:pStyle w:val="11"/>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7A295A3F">
      <w:pPr>
        <w:spacing w:line="312" w:lineRule="auto"/>
        <w:ind w:firstLine="420" w:firstLineChars="200"/>
        <w:rPr>
          <w:rFonts w:hint="eastAsia" w:ascii="宋体" w:hAnsi="宋体" w:cs="宋体"/>
          <w:color w:val="auto"/>
          <w:highlight w:val="none"/>
        </w:rPr>
      </w:pPr>
      <w:r>
        <w:rPr>
          <w:rFonts w:hint="eastAsia" w:hAnsi="宋体" w:cs="宋体"/>
          <w:color w:val="auto"/>
          <w:highlight w:val="none"/>
        </w:rPr>
        <w:t>依据本磋商文件规定享受扶持政策获得政府采购合同的，小微企业不得将合同分包给大中型企业，中型企业不得将合同分包给大型企业。</w:t>
      </w:r>
      <w:r>
        <w:rPr>
          <w:rFonts w:hint="eastAsia" w:ascii="宋体" w:hAnsi="宋体" w:cs="宋体"/>
          <w:b/>
          <w:color w:val="auto"/>
          <w:highlight w:val="none"/>
        </w:rPr>
        <w:br w:type="page"/>
      </w:r>
      <w:r>
        <w:rPr>
          <w:rFonts w:hint="eastAsia" w:ascii="宋体" w:hAnsi="宋体" w:cs="宋体"/>
          <w:bCs/>
          <w:color w:val="auto"/>
          <w:sz w:val="32"/>
          <w:szCs w:val="32"/>
          <w:highlight w:val="none"/>
        </w:rPr>
        <w:t>附件1：</w:t>
      </w:r>
    </w:p>
    <w:p w14:paraId="0C1C4030">
      <w:pPr>
        <w:widowControl/>
        <w:shd w:val="clear" w:color="auto" w:fill="FFFFFF"/>
        <w:spacing w:line="480" w:lineRule="atLeast"/>
        <w:jc w:val="center"/>
        <w:rPr>
          <w:rFonts w:hint="eastAsia" w:ascii="宋体" w:hAnsi="宋体"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04588F03">
      <w:pPr>
        <w:widowControl/>
        <w:shd w:val="clear" w:color="auto" w:fill="FFFFFF"/>
        <w:spacing w:line="480" w:lineRule="atLeast"/>
        <w:jc w:val="center"/>
        <w:rPr>
          <w:rFonts w:hint="eastAsia" w:ascii="宋体" w:hAnsi="宋体" w:cs="宋体"/>
          <w:color w:val="auto"/>
          <w:kern w:val="0"/>
          <w:sz w:val="32"/>
          <w:szCs w:val="32"/>
          <w:highlight w:val="none"/>
        </w:rPr>
      </w:pPr>
    </w:p>
    <w:p w14:paraId="0F7F3E25">
      <w:pPr>
        <w:widowControl/>
        <w:shd w:val="clear" w:color="auto" w:fill="FFFFFF"/>
        <w:snapToGrid w:val="0"/>
        <w:spacing w:line="320" w:lineRule="atLeas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提供的货物（或工程、服务）进行了验收，验收情况如下：</w:t>
      </w:r>
    </w:p>
    <w:tbl>
      <w:tblPr>
        <w:tblStyle w:val="16"/>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31040584">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603C4A18">
            <w:pPr>
              <w:widowControl/>
              <w:snapToGrid w:val="0"/>
              <w:spacing w:before="100" w:beforeAutospacing="1" w:after="100" w:afterAutospacing="1" w:line="320" w:lineRule="atLeast"/>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6187E20A">
            <w:pPr>
              <w:widowControl/>
              <w:snapToGrid w:val="0"/>
              <w:spacing w:before="100" w:beforeAutospacing="1" w:after="100" w:afterAutospacing="1" w:line="32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sym w:font="Wingdings 2" w:char="00A3"/>
            </w:r>
            <w:r>
              <w:rPr>
                <w:rFonts w:hint="eastAsia" w:ascii="宋体" w:hAnsi="宋体" w:cs="宋体"/>
                <w:color w:val="auto"/>
                <w:kern w:val="0"/>
                <w:szCs w:val="21"/>
                <w:highlight w:val="none"/>
              </w:rPr>
              <w:t xml:space="preserve">自行验收 </w:t>
            </w:r>
            <w:r>
              <w:rPr>
                <w:rFonts w:hint="eastAsia" w:ascii="宋体" w:hAnsi="宋体" w:cs="宋体"/>
                <w:color w:val="auto"/>
                <w:kern w:val="0"/>
                <w:szCs w:val="21"/>
                <w:highlight w:val="none"/>
              </w:rPr>
              <w:sym w:font="Wingdings 2" w:char="00A3"/>
            </w:r>
            <w:r>
              <w:rPr>
                <w:rFonts w:hint="eastAsia" w:ascii="宋体" w:hAnsi="宋体" w:cs="宋体"/>
                <w:color w:val="auto"/>
                <w:kern w:val="0"/>
                <w:szCs w:val="21"/>
                <w:highlight w:val="none"/>
              </w:rPr>
              <w:t>委托验收</w:t>
            </w:r>
          </w:p>
        </w:tc>
      </w:tr>
      <w:tr w14:paraId="3069BDBC">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2C9D8046">
            <w:pPr>
              <w:widowControl/>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64711AC4">
            <w:pPr>
              <w:widowControl/>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7D6F1DFB">
            <w:pPr>
              <w:widowControl/>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货物型号规格、标准及配置等（或技术要求、标准）</w:t>
            </w:r>
          </w:p>
        </w:tc>
        <w:tc>
          <w:tcPr>
            <w:tcW w:w="863" w:type="dxa"/>
            <w:gridSpan w:val="2"/>
            <w:tcBorders>
              <w:top w:val="nil"/>
              <w:left w:val="nil"/>
              <w:bottom w:val="single" w:color="auto" w:sz="8" w:space="0"/>
              <w:right w:val="single" w:color="auto" w:sz="8" w:space="0"/>
            </w:tcBorders>
            <w:noWrap w:val="0"/>
            <w:vAlign w:val="center"/>
          </w:tcPr>
          <w:p w14:paraId="6C895231">
            <w:pPr>
              <w:widowControl/>
              <w:snapToGrid w:val="0"/>
              <w:spacing w:before="100" w:beforeAutospacing="1" w:after="100" w:afterAutospacing="1" w:line="32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1428" w:type="dxa"/>
            <w:tcBorders>
              <w:top w:val="nil"/>
              <w:left w:val="nil"/>
              <w:bottom w:val="single" w:color="auto" w:sz="8" w:space="0"/>
              <w:right w:val="single" w:color="auto" w:sz="8" w:space="0"/>
            </w:tcBorders>
            <w:noWrap w:val="0"/>
            <w:vAlign w:val="center"/>
          </w:tcPr>
          <w:p w14:paraId="05E4031D">
            <w:pPr>
              <w:widowControl/>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金额</w:t>
            </w:r>
          </w:p>
        </w:tc>
      </w:tr>
      <w:tr w14:paraId="455B29D9">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662B604C">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7AE5FB7C">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7529761C">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57A8FDC3">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3FB58662">
            <w:pPr>
              <w:widowControl/>
              <w:spacing w:before="100" w:beforeAutospacing="1" w:after="100" w:afterAutospacing="1" w:line="240" w:lineRule="atLeast"/>
              <w:jc w:val="center"/>
              <w:rPr>
                <w:rFonts w:hint="eastAsia" w:ascii="宋体" w:hAnsi="宋体" w:cs="宋体"/>
                <w:color w:val="auto"/>
                <w:kern w:val="0"/>
                <w:szCs w:val="21"/>
                <w:highlight w:val="none"/>
              </w:rPr>
            </w:pPr>
          </w:p>
        </w:tc>
      </w:tr>
      <w:tr w14:paraId="067D2913">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6DD51C4A">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02FF484B">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4E657F7F">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3D7C269C">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2DB06285">
            <w:pPr>
              <w:widowControl/>
              <w:spacing w:before="100" w:beforeAutospacing="1" w:after="100" w:afterAutospacing="1" w:line="240" w:lineRule="atLeast"/>
              <w:jc w:val="center"/>
              <w:rPr>
                <w:rFonts w:hint="eastAsia" w:ascii="宋体" w:hAnsi="宋体" w:cs="宋体"/>
                <w:color w:val="auto"/>
                <w:kern w:val="0"/>
                <w:szCs w:val="21"/>
                <w:highlight w:val="none"/>
              </w:rPr>
            </w:pPr>
          </w:p>
        </w:tc>
      </w:tr>
      <w:tr w14:paraId="1F8CF991">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5D3C87CE">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21569C51">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38EC46F2">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7E287E8F">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3E165E1C">
            <w:pPr>
              <w:widowControl/>
              <w:spacing w:before="100" w:beforeAutospacing="1" w:after="100" w:afterAutospacing="1" w:line="240" w:lineRule="atLeast"/>
              <w:jc w:val="center"/>
              <w:rPr>
                <w:rFonts w:hint="eastAsia" w:ascii="宋体" w:hAnsi="宋体" w:cs="宋体"/>
                <w:color w:val="auto"/>
                <w:kern w:val="0"/>
                <w:szCs w:val="21"/>
                <w:highlight w:val="none"/>
              </w:rPr>
            </w:pPr>
          </w:p>
        </w:tc>
      </w:tr>
      <w:tr w14:paraId="13019FE3">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7F187739">
            <w:pPr>
              <w:widowControl/>
              <w:snapToGrid w:val="0"/>
              <w:spacing w:before="100" w:beforeAutospacing="1" w:after="100" w:afterAutospacing="1" w:line="320" w:lineRule="atLeast"/>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641AC395">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31171485">
            <w:pPr>
              <w:widowControl/>
              <w:spacing w:before="100" w:beforeAutospacing="1" w:after="100" w:afterAutospacing="1" w:line="240" w:lineRule="atLeast"/>
              <w:jc w:val="center"/>
              <w:rPr>
                <w:rFonts w:hint="eastAsia" w:ascii="宋体" w:hAnsi="宋体" w:cs="宋体"/>
                <w:color w:val="auto"/>
                <w:kern w:val="0"/>
                <w:szCs w:val="21"/>
                <w:highlight w:val="none"/>
              </w:rPr>
            </w:pPr>
          </w:p>
        </w:tc>
      </w:tr>
      <w:tr w14:paraId="7D8012C9">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0BA5D7BB">
            <w:pPr>
              <w:widowControl/>
              <w:snapToGrid w:val="0"/>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71CCA079">
        <w:tblPrEx>
          <w:tblCellMar>
            <w:top w:w="0" w:type="dxa"/>
            <w:left w:w="0" w:type="dxa"/>
            <w:bottom w:w="0" w:type="dxa"/>
            <w:right w:w="0" w:type="dxa"/>
          </w:tblCellMar>
        </w:tblPrEx>
        <w:trPr>
          <w:trHeight w:val="52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1115ADE2">
            <w:pPr>
              <w:widowControl/>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343F4F2C">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0681522F">
            <w:pPr>
              <w:widowControl/>
              <w:snapToGrid w:val="0"/>
              <w:spacing w:before="100" w:beforeAutospacing="1" w:after="100" w:afterAutospacing="1" w:line="320" w:lineRule="atLeast"/>
              <w:ind w:firstLine="46"/>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14:paraId="4ACCE24B">
            <w:pPr>
              <w:widowControl/>
              <w:spacing w:before="100" w:beforeAutospacing="1" w:after="100" w:afterAutospacing="1" w:line="240" w:lineRule="atLeast"/>
              <w:jc w:val="center"/>
              <w:rPr>
                <w:rFonts w:hint="eastAsia" w:ascii="宋体" w:hAnsi="宋体" w:cs="宋体"/>
                <w:color w:val="auto"/>
                <w:kern w:val="0"/>
                <w:szCs w:val="21"/>
                <w:highlight w:val="none"/>
              </w:rPr>
            </w:pPr>
          </w:p>
        </w:tc>
      </w:tr>
      <w:tr w14:paraId="57D96FA8">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4D99579">
            <w:pPr>
              <w:widowControl/>
              <w:snapToGrid w:val="0"/>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3C8EF50">
            <w:pPr>
              <w:widowControl/>
              <w:snapToGrid w:val="0"/>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应按采购合同、竞争性磋商文件、竞标响应文件及验收方案等进行验收；并核对成交供应商在安装调试等方面是否违反合同约定或服务规范要求、提供的质量保证证明材料是否齐全、应有的配件及附件是否达到合同约定等。可附件)</w:t>
            </w:r>
          </w:p>
        </w:tc>
      </w:tr>
      <w:tr w14:paraId="0E3E5306">
        <w:tblPrEx>
          <w:tblCellMar>
            <w:top w:w="0" w:type="dxa"/>
            <w:left w:w="0" w:type="dxa"/>
            <w:bottom w:w="0" w:type="dxa"/>
            <w:right w:w="0" w:type="dxa"/>
          </w:tblCellMar>
        </w:tblPrEx>
        <w:trPr>
          <w:trHeight w:val="101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8D9D0C2">
            <w:pPr>
              <w:widowControl/>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14:paraId="7E527D75">
            <w:pPr>
              <w:widowControl/>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19F6B91C">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015B7AB0">
            <w:pPr>
              <w:widowControl/>
              <w:jc w:val="left"/>
              <w:rPr>
                <w:rFonts w:hint="eastAsia" w:ascii="宋体" w:hAnsi="宋体" w:cs="宋体"/>
                <w:color w:val="auto"/>
                <w:kern w:val="0"/>
                <w:szCs w:val="21"/>
                <w:highlight w:val="none"/>
              </w:rPr>
            </w:pPr>
          </w:p>
        </w:tc>
        <w:tc>
          <w:tcPr>
            <w:tcW w:w="6816" w:type="dxa"/>
            <w:gridSpan w:val="7"/>
            <w:tcBorders>
              <w:top w:val="nil"/>
              <w:left w:val="nil"/>
              <w:bottom w:val="single" w:color="auto" w:sz="8" w:space="0"/>
              <w:right w:val="single" w:color="auto" w:sz="8" w:space="0"/>
            </w:tcBorders>
            <w:noWrap w:val="0"/>
            <w:vAlign w:val="center"/>
          </w:tcPr>
          <w:p w14:paraId="3AA8A334">
            <w:pPr>
              <w:widowControl/>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2DFC4C24">
            <w:pPr>
              <w:widowControl/>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p>
        </w:tc>
      </w:tr>
      <w:tr w14:paraId="333C4D78">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A020E54">
            <w:pPr>
              <w:widowControl/>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2F2779E7">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7AA87294">
            <w:pPr>
              <w:widowControl/>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5E1E2A05">
            <w:pPr>
              <w:widowControl/>
              <w:spacing w:before="100" w:beforeAutospacing="1" w:after="100" w:afterAutospacing="1" w:line="320" w:lineRule="atLeast"/>
              <w:ind w:firstLine="74"/>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3C25D747">
        <w:tblPrEx>
          <w:tblCellMar>
            <w:top w:w="0" w:type="dxa"/>
            <w:left w:w="0" w:type="dxa"/>
            <w:bottom w:w="0" w:type="dxa"/>
            <w:right w:w="0" w:type="dxa"/>
          </w:tblCellMar>
        </w:tblPrEx>
        <w:trPr>
          <w:trHeight w:val="90" w:hRule="atLeast"/>
          <w:jc w:val="center"/>
        </w:trPr>
        <w:tc>
          <w:tcPr>
            <w:tcW w:w="4152" w:type="dxa"/>
            <w:gridSpan w:val="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2EB6A92">
            <w:pPr>
              <w:widowControl/>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成交供应商负责人签字或盖章：</w:t>
            </w:r>
          </w:p>
          <w:p w14:paraId="60560BDA">
            <w:pPr>
              <w:widowControl/>
              <w:spacing w:before="100" w:beforeAutospacing="1" w:after="100" w:afterAutospacing="1" w:line="320" w:lineRule="atLeast"/>
              <w:jc w:val="left"/>
              <w:rPr>
                <w:rFonts w:hint="eastAsia" w:ascii="宋体" w:hAnsi="宋体" w:cs="宋体"/>
                <w:color w:val="auto"/>
                <w:kern w:val="0"/>
                <w:szCs w:val="21"/>
                <w:highlight w:val="none"/>
              </w:rPr>
            </w:pPr>
          </w:p>
          <w:p w14:paraId="721F3A26">
            <w:pPr>
              <w:widowControl/>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293" w:type="dxa"/>
            <w:gridSpan w:val="4"/>
            <w:tcBorders>
              <w:top w:val="single" w:color="auto" w:sz="4" w:space="0"/>
              <w:left w:val="single" w:color="auto" w:sz="4" w:space="0"/>
              <w:bottom w:val="single" w:color="auto" w:sz="4" w:space="0"/>
              <w:right w:val="single" w:color="auto" w:sz="4" w:space="0"/>
            </w:tcBorders>
            <w:noWrap w:val="0"/>
            <w:vAlign w:val="center"/>
          </w:tcPr>
          <w:p w14:paraId="30C20D47">
            <w:pPr>
              <w:widowControl/>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采购人或受托机构的意见（盖章）：</w:t>
            </w:r>
          </w:p>
          <w:p w14:paraId="50405A9A">
            <w:pPr>
              <w:widowControl/>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p>
          <w:p w14:paraId="6DCFCA44">
            <w:pPr>
              <w:widowControl/>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71577D32">
      <w:pPr>
        <w:pStyle w:val="2"/>
        <w:numPr>
          <w:ilvl w:val="0"/>
          <w:numId w:val="3"/>
        </w:numPr>
        <w:jc w:val="center"/>
        <w:rPr>
          <w:rFonts w:hint="eastAsia" w:ascii="宋体" w:hAnsi="宋体" w:cs="宋体"/>
          <w:color w:val="auto"/>
          <w:highlight w:val="none"/>
        </w:rPr>
      </w:pPr>
      <w:bookmarkStart w:id="33" w:name="_Toc22008"/>
      <w:r>
        <w:rPr>
          <w:rFonts w:hint="eastAsia" w:ascii="宋体" w:hAnsi="宋体" w:cs="宋体"/>
          <w:color w:val="auto"/>
          <w:highlight w:val="none"/>
          <w:lang w:eastAsia="zh-CN"/>
        </w:rPr>
        <w:t>采购</w:t>
      </w:r>
      <w:r>
        <w:rPr>
          <w:rFonts w:hint="eastAsia" w:ascii="宋体" w:hAnsi="宋体" w:cs="宋体"/>
          <w:color w:val="auto"/>
          <w:highlight w:val="none"/>
        </w:rPr>
        <w:t>需求</w:t>
      </w:r>
      <w:r>
        <w:rPr>
          <w:rFonts w:hint="eastAsia" w:ascii="宋体" w:hAnsi="宋体" w:cs="宋体"/>
          <w:color w:val="auto"/>
          <w:highlight w:val="none"/>
          <w:lang w:eastAsia="zh-CN"/>
        </w:rPr>
        <w:t>（所属行业：批发业）</w:t>
      </w:r>
      <w:bookmarkEnd w:id="33"/>
    </w:p>
    <w:p w14:paraId="414412D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说明：1. 为落实政府采购政策需满足的要求</w:t>
      </w:r>
    </w:p>
    <w:p w14:paraId="60E6B1F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本竞争性磋商采购文件所称中小企业必须符合《政府采购促进中小企业发展管理办法》（财库〔2020〕46号）的规定。</w:t>
      </w:r>
    </w:p>
    <w:p w14:paraId="7C6CC57E">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 “实质性要求”是指采购需求中带“▲”的条款或者不能负偏离的条款或者已经指明不满足按响应文件按无效处理的条款。</w:t>
      </w:r>
    </w:p>
    <w:p w14:paraId="74051892">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3.供应商应根据自身实际情况如实响应磋商文件，对磋商文件提出的要求和条件作出明确响应，否则将作无效响应处理。</w:t>
      </w:r>
    </w:p>
    <w:p w14:paraId="40BBA72A">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4.供应商必须自行为其竞标产品侵犯他人的知识产权或者专利成果的行为承担相应法律责任。</w:t>
      </w:r>
    </w:p>
    <w:p w14:paraId="35FAB961">
      <w:pPr>
        <w:rPr>
          <w:rFonts w:hint="eastAsia"/>
          <w:b/>
          <w:bCs/>
          <w:color w:val="auto"/>
          <w:sz w:val="28"/>
          <w:szCs w:val="28"/>
          <w:highlight w:val="none"/>
        </w:rPr>
      </w:pPr>
      <w:r>
        <w:rPr>
          <w:rFonts w:hint="eastAsia"/>
          <w:b/>
          <w:bCs/>
          <w:color w:val="auto"/>
          <w:sz w:val="28"/>
          <w:szCs w:val="28"/>
          <w:highlight w:val="none"/>
        </w:rPr>
        <w:t>一、技术要求</w:t>
      </w:r>
    </w:p>
    <w:tbl>
      <w:tblPr>
        <w:tblStyle w:val="16"/>
        <w:tblW w:w="0" w:type="auto"/>
        <w:jc w:val="center"/>
        <w:tblLayout w:type="fixed"/>
        <w:tblCellMar>
          <w:top w:w="0" w:type="dxa"/>
          <w:left w:w="108" w:type="dxa"/>
          <w:bottom w:w="0" w:type="dxa"/>
          <w:right w:w="108" w:type="dxa"/>
        </w:tblCellMar>
      </w:tblPr>
      <w:tblGrid>
        <w:gridCol w:w="664"/>
        <w:gridCol w:w="1644"/>
        <w:gridCol w:w="848"/>
        <w:gridCol w:w="5167"/>
      </w:tblGrid>
      <w:tr w14:paraId="5C8524CF">
        <w:tblPrEx>
          <w:tblCellMar>
            <w:top w:w="0" w:type="dxa"/>
            <w:left w:w="108" w:type="dxa"/>
            <w:bottom w:w="0" w:type="dxa"/>
            <w:right w:w="108" w:type="dxa"/>
          </w:tblCellMar>
        </w:tblPrEx>
        <w:trPr>
          <w:trHeight w:val="560"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3661B59">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5B836CB3">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货物名称</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0444DE15">
            <w:pPr>
              <w:pStyle w:val="20"/>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数量及单位</w:t>
            </w:r>
          </w:p>
        </w:tc>
        <w:tc>
          <w:tcPr>
            <w:tcW w:w="5167" w:type="dxa"/>
            <w:tcBorders>
              <w:top w:val="single" w:color="000000" w:sz="4" w:space="0"/>
              <w:left w:val="single" w:color="000000" w:sz="4" w:space="0"/>
              <w:bottom w:val="single" w:color="000000" w:sz="4" w:space="0"/>
              <w:right w:val="single" w:color="000000" w:sz="4" w:space="0"/>
            </w:tcBorders>
            <w:noWrap w:val="0"/>
            <w:vAlign w:val="center"/>
          </w:tcPr>
          <w:p w14:paraId="398A5389">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技术参数要求</w:t>
            </w:r>
          </w:p>
        </w:tc>
      </w:tr>
      <w:tr w14:paraId="075FAB5B">
        <w:tblPrEx>
          <w:tblCellMar>
            <w:top w:w="0" w:type="dxa"/>
            <w:left w:w="108" w:type="dxa"/>
            <w:bottom w:w="0" w:type="dxa"/>
            <w:right w:w="108" w:type="dxa"/>
          </w:tblCellMar>
        </w:tblPrEx>
        <w:trPr>
          <w:trHeight w:val="560"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DADACAA">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63A90097">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食用油类</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6231994E">
            <w:pPr>
              <w:pStyle w:val="20"/>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1项</w:t>
            </w:r>
          </w:p>
        </w:tc>
        <w:tc>
          <w:tcPr>
            <w:tcW w:w="5167" w:type="dxa"/>
            <w:tcBorders>
              <w:top w:val="single" w:color="000000" w:sz="4" w:space="0"/>
              <w:left w:val="single" w:color="000000" w:sz="4" w:space="0"/>
              <w:bottom w:val="single" w:color="000000" w:sz="4" w:space="0"/>
              <w:right w:val="single" w:color="000000" w:sz="4" w:space="0"/>
            </w:tcBorders>
            <w:noWrap w:val="0"/>
            <w:vAlign w:val="center"/>
          </w:tcPr>
          <w:p w14:paraId="02850208">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color w:val="auto"/>
                <w:szCs w:val="21"/>
                <w:highlight w:val="none"/>
              </w:rPr>
              <w:t>必须是在市场上流通的，</w:t>
            </w:r>
            <w:r>
              <w:rPr>
                <w:rFonts w:hint="eastAsia" w:ascii="宋体" w:hAnsi="宋体" w:eastAsia="宋体" w:cs="宋体"/>
                <w:color w:val="auto"/>
                <w:kern w:val="0"/>
                <w:sz w:val="20"/>
                <w:szCs w:val="20"/>
                <w:highlight w:val="none"/>
                <w:lang w:val="en-US" w:eastAsia="zh-CN" w:bidi="ar"/>
              </w:rPr>
              <w:t>产品符合国家及行业相关标准，有“SC”标志。</w:t>
            </w:r>
          </w:p>
          <w:p w14:paraId="2D5A76EE">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配送的产品必须是新生产3个月内的新油，不得掺杂掺假，以次充好。食用油的包装、运输和储存必须符合保质、保量、运输安全和分类等储存的要求，严防污染。每批次产品必须提供食品安监部门或国家承认的检测机构出具的检测报告。</w:t>
            </w:r>
          </w:p>
          <w:p w14:paraId="180D88B1">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食用油必须取得食品生产许可证和产品合格证、外包装标明保质期及生产日期。</w:t>
            </w:r>
          </w:p>
          <w:p w14:paraId="641C453A">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产品原料必须为非转基因原料。</w:t>
            </w:r>
          </w:p>
        </w:tc>
      </w:tr>
      <w:tr w14:paraId="54965318">
        <w:tblPrEx>
          <w:tblCellMar>
            <w:top w:w="0" w:type="dxa"/>
            <w:left w:w="108" w:type="dxa"/>
            <w:bottom w:w="0" w:type="dxa"/>
            <w:right w:w="108" w:type="dxa"/>
          </w:tblCellMar>
        </w:tblPrEx>
        <w:trPr>
          <w:trHeight w:val="560"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B1C45FA">
            <w:pPr>
              <w:pStyle w:val="20"/>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588E7E34">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奶制品及饮品</w:t>
            </w:r>
          </w:p>
        </w:tc>
        <w:tc>
          <w:tcPr>
            <w:tcW w:w="848" w:type="dxa"/>
            <w:tcBorders>
              <w:top w:val="single" w:color="000000" w:sz="4" w:space="0"/>
              <w:left w:val="single" w:color="000000" w:sz="4" w:space="0"/>
              <w:bottom w:val="single" w:color="000000" w:sz="4" w:space="0"/>
              <w:right w:val="single" w:color="auto" w:sz="4" w:space="0"/>
            </w:tcBorders>
            <w:noWrap w:val="0"/>
            <w:vAlign w:val="center"/>
          </w:tcPr>
          <w:p w14:paraId="60B03AEB">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1项</w:t>
            </w:r>
          </w:p>
        </w:tc>
        <w:tc>
          <w:tcPr>
            <w:tcW w:w="5167" w:type="dxa"/>
            <w:tcBorders>
              <w:top w:val="single" w:color="auto" w:sz="4" w:space="0"/>
              <w:left w:val="single" w:color="auto" w:sz="4" w:space="0"/>
              <w:right w:val="single" w:color="auto" w:sz="4" w:space="0"/>
            </w:tcBorders>
            <w:noWrap w:val="0"/>
            <w:vAlign w:val="center"/>
          </w:tcPr>
          <w:p w14:paraId="219BD61E">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通过感官鉴别包装内产品，依靠视觉、嗅觉、味觉、触觉等鉴定食品的外观形态、色泽、气味、滋味和硬度(稠度)是否符合质量要求。</w:t>
            </w:r>
          </w:p>
          <w:p w14:paraId="7299CB37">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必须定型包装、有明显的标签、生产日期、生产厂家、保质期、产品合格证、贮存条件、执行产品标准号等，且必须符合《食品安全法》的相关规定。</w:t>
            </w:r>
          </w:p>
          <w:p w14:paraId="05D3499D">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有保质期限的商品剩余保存期不得少于原有保质期的</w:t>
            </w:r>
            <w:r>
              <w:rPr>
                <w:rFonts w:hint="eastAsia" w:ascii="宋体" w:hAnsi="宋体" w:eastAsia="宋体" w:cs="宋体"/>
                <w:color w:val="auto"/>
                <w:highlight w:val="none"/>
                <w:lang w:val="en-US" w:eastAsia="zh-CN"/>
              </w:rPr>
              <w:t>二分之一</w:t>
            </w:r>
            <w:r>
              <w:rPr>
                <w:rFonts w:hint="eastAsia" w:ascii="宋体" w:hAnsi="宋体" w:eastAsia="宋体" w:cs="宋体"/>
                <w:color w:val="auto"/>
                <w:highlight w:val="none"/>
              </w:rPr>
              <w:t>。</w:t>
            </w:r>
          </w:p>
        </w:tc>
      </w:tr>
      <w:tr w14:paraId="6B48B5F0">
        <w:tblPrEx>
          <w:tblCellMar>
            <w:top w:w="0" w:type="dxa"/>
            <w:left w:w="108" w:type="dxa"/>
            <w:bottom w:w="0" w:type="dxa"/>
            <w:right w:w="108" w:type="dxa"/>
          </w:tblCellMar>
        </w:tblPrEx>
        <w:trPr>
          <w:trHeight w:val="627"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2264BB6">
            <w:pPr>
              <w:pStyle w:val="20"/>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2AACD9DA">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生鲜时蔬、水果类</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0FABB6FE">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1项</w:t>
            </w:r>
          </w:p>
        </w:tc>
        <w:tc>
          <w:tcPr>
            <w:tcW w:w="5167" w:type="dxa"/>
            <w:tcBorders>
              <w:top w:val="single" w:color="auto" w:sz="4" w:space="0"/>
              <w:left w:val="single" w:color="000000" w:sz="4" w:space="0"/>
              <w:bottom w:val="single" w:color="auto" w:sz="4" w:space="0"/>
              <w:right w:val="single" w:color="000000" w:sz="4" w:space="0"/>
            </w:tcBorders>
            <w:noWrap w:val="0"/>
            <w:vAlign w:val="center"/>
          </w:tcPr>
          <w:p w14:paraId="5492BCCB">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水果外表光亮无斑点、新鲜、清洁、形状正常、大小均匀、成熟度适中、无软皮、无腐烂、无污染异味、无病虫损害、通过快速检测农药残留含量不超过食品安全标准限量，且符合现行《食用农产品市场销售质量安全监督管理办法》的要求。</w:t>
            </w:r>
          </w:p>
          <w:p w14:paraId="214D273C">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2、质量要求： 必须符合国家食品安全卫生标准。符合《食品安全法》要求，尽量采用当地时令新鲜水果，水果可食用率必须达95%以上。</w:t>
            </w:r>
          </w:p>
          <w:p w14:paraId="67CDFA77">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各种蔬菜外观具有新鲜的状态，无蔫萎、干枯、损伤、变色、病变、虫害侵蚀、叶片发黄等。</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4、块根类蔬菜无根须、无泥沙、无空心、无老帮，无叶子枯黄。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5、瓜类蔬菜：允许果形有轻微缺点，但不得变形、过熟。无变色、变软、擦伤、枯萎、无破裂。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6、各类蔬菜可食用率不小于98%，其中枸杞叶、玉米粒可食用率不小于99%，韭黄可食用率不小于100%。</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7、不霉烂变质，符合卫生安全要求，蔬菜残留农药检测不超标，酶抑制率小于50%。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8、同一品种的蔬菜供应不能连续超过3餐，一个星期内的普通大众化蔬菜品种要达到三种以上。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9、提供的蔬菜无虫害、无腐烂，不能有黄叶、泥沙等杂质，采摘时期适宜，交验时无滴水现象。</w:t>
            </w:r>
          </w:p>
        </w:tc>
      </w:tr>
      <w:tr w14:paraId="4F83576D">
        <w:tblPrEx>
          <w:tblCellMar>
            <w:top w:w="0" w:type="dxa"/>
            <w:left w:w="108" w:type="dxa"/>
            <w:bottom w:w="0" w:type="dxa"/>
            <w:right w:w="108" w:type="dxa"/>
          </w:tblCellMar>
        </w:tblPrEx>
        <w:trPr>
          <w:trHeight w:val="1878" w:hRule="atLeast"/>
          <w:jc w:val="center"/>
        </w:trPr>
        <w:tc>
          <w:tcPr>
            <w:tcW w:w="664" w:type="dxa"/>
            <w:tcBorders>
              <w:top w:val="single" w:color="000000" w:sz="4" w:space="0"/>
              <w:left w:val="single" w:color="000000" w:sz="4" w:space="0"/>
              <w:right w:val="single" w:color="000000" w:sz="4" w:space="0"/>
            </w:tcBorders>
            <w:noWrap w:val="0"/>
            <w:vAlign w:val="center"/>
          </w:tcPr>
          <w:p w14:paraId="57F182F0">
            <w:pPr>
              <w:pStyle w:val="20"/>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p>
        </w:tc>
        <w:tc>
          <w:tcPr>
            <w:tcW w:w="1644" w:type="dxa"/>
            <w:tcBorders>
              <w:top w:val="single" w:color="000000" w:sz="4" w:space="0"/>
              <w:left w:val="single" w:color="000000" w:sz="4" w:space="0"/>
              <w:right w:val="single" w:color="auto" w:sz="4" w:space="0"/>
            </w:tcBorders>
            <w:noWrap w:val="0"/>
            <w:vAlign w:val="center"/>
          </w:tcPr>
          <w:p w14:paraId="6ED68B75">
            <w:pPr>
              <w:pStyle w:val="2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鱼及水产</w:t>
            </w:r>
            <w:r>
              <w:rPr>
                <w:rFonts w:hint="eastAsia" w:ascii="宋体" w:hAnsi="宋体" w:eastAsia="宋体" w:cs="宋体"/>
                <w:color w:val="auto"/>
                <w:highlight w:val="none"/>
                <w:lang w:val="en-US" w:eastAsia="zh-CN"/>
              </w:rPr>
              <w:t>类</w:t>
            </w:r>
          </w:p>
        </w:tc>
        <w:tc>
          <w:tcPr>
            <w:tcW w:w="848" w:type="dxa"/>
            <w:tcBorders>
              <w:top w:val="single" w:color="auto" w:sz="4" w:space="0"/>
              <w:left w:val="single" w:color="auto" w:sz="4" w:space="0"/>
              <w:right w:val="single" w:color="auto" w:sz="4" w:space="0"/>
            </w:tcBorders>
            <w:noWrap w:val="0"/>
            <w:vAlign w:val="center"/>
          </w:tcPr>
          <w:p w14:paraId="3C8600B0">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1项</w:t>
            </w:r>
          </w:p>
        </w:tc>
        <w:tc>
          <w:tcPr>
            <w:tcW w:w="5167" w:type="dxa"/>
            <w:tcBorders>
              <w:top w:val="single" w:color="auto" w:sz="4" w:space="0"/>
              <w:left w:val="single" w:color="auto" w:sz="4" w:space="0"/>
              <w:right w:val="single" w:color="auto" w:sz="4" w:space="0"/>
            </w:tcBorders>
            <w:noWrap w:val="0"/>
            <w:vAlign w:val="center"/>
          </w:tcPr>
          <w:p w14:paraId="36F0AEDB">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1、质量要求：成活率 100%，形态正常，无畸形，体态匀称，无伤痕；体表具有正常的体色和光泽，鳞片完整紧密，不易脱落，无病灶；眼球明亮饱满，角膜清晰；鳃丝清晰，呈鲜红或紫红色，无异味，无黏液或有少量透明黏液；鱼的肌肉紧密，有弹性，整体有鲜鱼固有的腥气味，无异味。</w:t>
            </w:r>
          </w:p>
          <w:p w14:paraId="7E27C8B2">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2、食材大小根据采购人每日采购需求定。</w:t>
            </w:r>
          </w:p>
          <w:p w14:paraId="344AABE5">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3、如需剖杀的鱼，要做到鱼鳞刮除干净，去内脏、鱼鳃、腹内黑膜，鱼肉无变质情况。</w:t>
            </w:r>
          </w:p>
          <w:p w14:paraId="603B75DC">
            <w:pPr>
              <w:pStyle w:val="2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新鲜活虾，虾头虾尾完整,有一定的弯曲度、虾身较挺；色泽：新鲜的虾皮壳发亮，呈青白色；肉质：新鲜虾肉质坚实、细嫩。</w:t>
            </w:r>
          </w:p>
          <w:p w14:paraId="521D30CB">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、必须符合《中华人民共和国食品安全法》相关的要求。</w:t>
            </w:r>
          </w:p>
        </w:tc>
      </w:tr>
      <w:tr w14:paraId="3F59E65C">
        <w:tblPrEx>
          <w:tblCellMar>
            <w:top w:w="0" w:type="dxa"/>
            <w:left w:w="108" w:type="dxa"/>
            <w:bottom w:w="0" w:type="dxa"/>
            <w:right w:w="108" w:type="dxa"/>
          </w:tblCellMar>
        </w:tblPrEx>
        <w:trPr>
          <w:trHeight w:val="440"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E0A738F">
            <w:pPr>
              <w:pStyle w:val="20"/>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5EA89324">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畜肉类</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58B2C39C">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1项</w:t>
            </w:r>
          </w:p>
        </w:tc>
        <w:tc>
          <w:tcPr>
            <w:tcW w:w="5167" w:type="dxa"/>
            <w:tcBorders>
              <w:top w:val="single" w:color="auto" w:sz="4" w:space="0"/>
              <w:left w:val="single" w:color="000000" w:sz="4" w:space="0"/>
              <w:right w:val="single" w:color="000000" w:sz="4" w:space="0"/>
            </w:tcBorders>
            <w:noWrap w:val="0"/>
            <w:vAlign w:val="center"/>
          </w:tcPr>
          <w:p w14:paraId="2246D441">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▲1、供应的肉类产品必须符合我国《中华人民共和国食品安全法》的要求，达到国家有关食品标准和卫生标准，无毒害、无腐烂变质。</w:t>
            </w:r>
          </w:p>
          <w:p w14:paraId="22C67B6A">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▲2、供货时间：每日上午8时30分前必须到达贵港监狱办公区或监管区。</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3、要求必须是生鲜放心肉，去除筋、杂物，肉质鲜嫩，不注水，符合食品卫生要求；对于鲜猪手脚等，必须去除一切杂毛污物，无异味，交货以干净、新鲜、大小适中为标准。供应的猪肉、牛肉等肉类产品必须是当天宰杀合格的新鲜肉类，含内脏、头、尾，全净膛，表皮洁净，膘厚适中，颜色正常，无腐烂、无异味、无注水现象、病猪。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4、供货时必须提供《动物检疫合格证明》《肉品品质检验合格证》等检验检疫证明。</w:t>
            </w:r>
            <w:r>
              <w:rPr>
                <w:rFonts w:hint="eastAsia" w:ascii="宋体" w:hAnsi="宋体" w:eastAsia="宋体" w:cs="宋体"/>
                <w:color w:val="auto"/>
                <w:highlight w:val="none"/>
              </w:rPr>
              <w:br w:type="textWrapping"/>
            </w:r>
            <w:r>
              <w:rPr>
                <w:rFonts w:hint="eastAsia" w:ascii="宋体" w:hAnsi="宋体" w:eastAsia="宋体" w:cs="宋体"/>
                <w:color w:val="auto"/>
                <w:highlight w:val="none"/>
              </w:rPr>
              <w:t>5、品质良好，无异味，无病毒，颜色、气味正常，弹性好。</w:t>
            </w:r>
            <w:r>
              <w:rPr>
                <w:rFonts w:hint="eastAsia" w:ascii="宋体" w:hAnsi="宋体" w:eastAsia="宋体" w:cs="宋体"/>
                <w:color w:val="auto"/>
                <w:highlight w:val="none"/>
              </w:rPr>
              <w:br w:type="textWrapping"/>
            </w:r>
            <w:r>
              <w:rPr>
                <w:rFonts w:hint="eastAsia" w:ascii="宋体" w:hAnsi="宋体" w:eastAsia="宋体" w:cs="宋体"/>
                <w:color w:val="auto"/>
                <w:highlight w:val="none"/>
              </w:rPr>
              <w:t>6、猪肉类：</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(1)肉质有弹性，手指轻按、指压陷部分立刻恢复、脂肪为白色或乳白色、整体色泽光滑、切面红色、微微湿润但不粘手、无淤血、无注水、无寄生虫；</w:t>
            </w:r>
            <w:r>
              <w:rPr>
                <w:rFonts w:hint="eastAsia" w:ascii="宋体" w:hAnsi="宋体" w:eastAsia="宋体" w:cs="宋体"/>
                <w:color w:val="auto"/>
                <w:highlight w:val="none"/>
              </w:rPr>
              <w:br w:type="textWrapping"/>
            </w:r>
            <w:r>
              <w:rPr>
                <w:rFonts w:hint="eastAsia" w:ascii="宋体" w:hAnsi="宋体" w:eastAsia="宋体" w:cs="宋体"/>
                <w:color w:val="auto"/>
                <w:highlight w:val="none"/>
              </w:rPr>
              <w:t>(2)五花肉：带皮的肥瘦猪肉，肌肉与脂肪相间多层；</w:t>
            </w:r>
            <w:r>
              <w:rPr>
                <w:rFonts w:hint="eastAsia" w:ascii="宋体" w:hAnsi="宋体" w:eastAsia="宋体" w:cs="宋体"/>
                <w:color w:val="auto"/>
                <w:highlight w:val="none"/>
              </w:rPr>
              <w:br w:type="textWrapping"/>
            </w:r>
            <w:r>
              <w:rPr>
                <w:rFonts w:hint="eastAsia" w:ascii="宋体" w:hAnsi="宋体" w:eastAsia="宋体" w:cs="宋体"/>
                <w:color w:val="auto"/>
                <w:highlight w:val="none"/>
              </w:rPr>
              <w:t>(3)瘦肉：基本为瘦肉，无肥肉，骨腱少；</w:t>
            </w:r>
            <w:r>
              <w:rPr>
                <w:rFonts w:hint="eastAsia" w:ascii="宋体" w:hAnsi="宋体" w:eastAsia="宋体" w:cs="宋体"/>
                <w:color w:val="auto"/>
                <w:highlight w:val="none"/>
              </w:rPr>
              <w:br w:type="textWrapping"/>
            </w:r>
            <w:r>
              <w:rPr>
                <w:rFonts w:hint="eastAsia" w:ascii="宋体" w:hAnsi="宋体" w:eastAsia="宋体" w:cs="宋体"/>
                <w:color w:val="auto"/>
                <w:highlight w:val="none"/>
              </w:rPr>
              <w:t>(4)猪扒：圆而长的通脊肉，全部是瘦肉，肉质红嫩，紧密；</w:t>
            </w:r>
            <w:r>
              <w:rPr>
                <w:rFonts w:hint="eastAsia" w:ascii="宋体" w:hAnsi="宋体" w:eastAsia="宋体" w:cs="宋体"/>
                <w:color w:val="auto"/>
                <w:highlight w:val="none"/>
              </w:rPr>
              <w:br w:type="textWrapping"/>
            </w:r>
            <w:r>
              <w:rPr>
                <w:rFonts w:hint="eastAsia" w:ascii="宋体" w:hAnsi="宋体" w:eastAsia="宋体" w:cs="宋体"/>
                <w:color w:val="auto"/>
                <w:highlight w:val="none"/>
              </w:rPr>
              <w:t>(5)排骨：带肉的排骨，不带肥油，厚实，完整，不得</w:t>
            </w:r>
            <w:r>
              <w:rPr>
                <w:rFonts w:hint="eastAsia" w:ascii="宋体" w:hAnsi="宋体" w:eastAsia="宋体" w:cs="宋体"/>
                <w:color w:val="auto"/>
                <w:highlight w:val="none"/>
                <w:lang w:eastAsia="zh-CN"/>
              </w:rPr>
              <w:t>剔除</w:t>
            </w:r>
            <w:r>
              <w:rPr>
                <w:rFonts w:hint="eastAsia" w:ascii="宋体" w:hAnsi="宋体" w:eastAsia="宋体" w:cs="宋体"/>
                <w:color w:val="auto"/>
                <w:highlight w:val="none"/>
              </w:rPr>
              <w:t>，骨肉不分离；</w:t>
            </w:r>
            <w:r>
              <w:rPr>
                <w:rFonts w:hint="eastAsia" w:ascii="宋体" w:hAnsi="宋体" w:eastAsia="宋体" w:cs="宋体"/>
                <w:color w:val="auto"/>
                <w:highlight w:val="none"/>
              </w:rPr>
              <w:br w:type="textWrapping"/>
            </w:r>
            <w:r>
              <w:rPr>
                <w:rFonts w:hint="eastAsia" w:ascii="宋体" w:hAnsi="宋体" w:eastAsia="宋体" w:cs="宋体"/>
                <w:color w:val="auto"/>
                <w:highlight w:val="none"/>
              </w:rPr>
              <w:t>(6)猪龙骨：剔除了里脊肉的脊椎骨，色泽肉红，不带皮，不带油；</w:t>
            </w:r>
            <w:r>
              <w:rPr>
                <w:rFonts w:hint="eastAsia" w:ascii="宋体" w:hAnsi="宋体" w:eastAsia="宋体" w:cs="宋体"/>
                <w:color w:val="auto"/>
                <w:highlight w:val="none"/>
              </w:rPr>
              <w:br w:type="textWrapping"/>
            </w:r>
            <w:r>
              <w:rPr>
                <w:rFonts w:hint="eastAsia" w:ascii="宋体" w:hAnsi="宋体" w:eastAsia="宋体" w:cs="宋体"/>
                <w:color w:val="auto"/>
                <w:highlight w:val="none"/>
              </w:rPr>
              <w:t>(7)汤骨猪蹄：腿骨，圆管形、浅黄骨髓充满全部管状骨腔，带部分肌肉、干净、完整、无毛、无黑斑、无指甲、表皮光滑、肉质有弹性；</w:t>
            </w:r>
            <w:r>
              <w:rPr>
                <w:rFonts w:hint="eastAsia" w:ascii="宋体" w:hAnsi="宋体" w:eastAsia="宋体" w:cs="宋体"/>
                <w:color w:val="auto"/>
                <w:highlight w:val="none"/>
              </w:rPr>
              <w:br w:type="textWrapping"/>
            </w:r>
            <w:r>
              <w:rPr>
                <w:rFonts w:hint="eastAsia" w:ascii="宋体" w:hAnsi="宋体" w:eastAsia="宋体" w:cs="宋体"/>
                <w:color w:val="auto"/>
                <w:highlight w:val="none"/>
              </w:rPr>
              <w:t>(8)猪耳：无种猪耳、无毛、无异味、色泽正常。</w:t>
            </w:r>
            <w:r>
              <w:rPr>
                <w:rFonts w:hint="eastAsia" w:ascii="宋体" w:hAnsi="宋体" w:eastAsia="宋体" w:cs="宋体"/>
                <w:color w:val="auto"/>
                <w:highlight w:val="none"/>
              </w:rPr>
              <w:br w:type="textWrapping"/>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、牛羊肉类、鲜肉：肉色深红、肉质有弹性、</w:t>
            </w:r>
            <w:r>
              <w:rPr>
                <w:rFonts w:hint="eastAsia" w:ascii="宋体" w:hAnsi="宋体" w:eastAsia="宋体" w:cs="宋体"/>
                <w:color w:val="auto"/>
                <w:highlight w:val="none"/>
                <w:lang w:val="en-US" w:eastAsia="zh-CN"/>
              </w:rPr>
              <w:t>73</w:t>
            </w:r>
            <w:r>
              <w:rPr>
                <w:rFonts w:hint="eastAsia" w:ascii="宋体" w:hAnsi="宋体" w:eastAsia="宋体" w:cs="宋体"/>
                <w:color w:val="auto"/>
                <w:highlight w:val="none"/>
              </w:rPr>
              <w:t>指压陷部分立刻恢复，切面有光泽及微湿润，极小渗出物；具有浓郁的牛羊肉气味，脂肪白色或乳白色，无寄生虫，无注水。</w:t>
            </w:r>
            <w:r>
              <w:rPr>
                <w:rFonts w:hint="eastAsia" w:ascii="宋体" w:hAnsi="宋体" w:eastAsia="宋体" w:cs="宋体"/>
                <w:color w:val="auto"/>
                <w:highlight w:val="none"/>
              </w:rPr>
              <w:br w:type="textWrapping"/>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 xml:space="preserve">、冻肉：肌肉红色均匀、有光泽、脂肪白色或微黄、肌肉外表微干或有风干膜、或外表湿润、但不粘手、肌肉结构紧密、有坚实感、肌纤维韧性强。                                                      </w:t>
            </w:r>
          </w:p>
        </w:tc>
      </w:tr>
      <w:tr w14:paraId="0CBB9E0D">
        <w:tblPrEx>
          <w:tblCellMar>
            <w:top w:w="0" w:type="dxa"/>
            <w:left w:w="108" w:type="dxa"/>
            <w:bottom w:w="0" w:type="dxa"/>
            <w:right w:w="108" w:type="dxa"/>
          </w:tblCellMar>
        </w:tblPrEx>
        <w:trPr>
          <w:trHeight w:val="920"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68DA143">
            <w:pPr>
              <w:pStyle w:val="20"/>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25ADEA3A">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禽肉类</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48A5F5DD">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1项</w:t>
            </w:r>
          </w:p>
        </w:tc>
        <w:tc>
          <w:tcPr>
            <w:tcW w:w="5167" w:type="dxa"/>
            <w:tcBorders>
              <w:top w:val="single" w:color="auto" w:sz="4" w:space="0"/>
              <w:left w:val="single" w:color="000000" w:sz="4" w:space="0"/>
              <w:bottom w:val="single" w:color="auto" w:sz="4" w:space="0"/>
              <w:right w:val="single" w:color="000000" w:sz="4" w:space="0"/>
            </w:tcBorders>
            <w:noWrap w:val="0"/>
            <w:vAlign w:val="center"/>
          </w:tcPr>
          <w:p w14:paraId="1EB37048">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▲1、必须符合国家食品安全标准，具有动物检验检疫合格证明。</w:t>
            </w:r>
          </w:p>
          <w:p w14:paraId="1F321255">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鸡、鸭、乳鸽类产品质量标准：具有该品种应有的外形特征、大小符合要求、眼球饱满、皮肤有光泽、因品种不同而呈淡黄、淡红、灰白或灰黑等色、肌肉切面发光、外表微干或微湿润、不粘手、指压后的凹陷立即恢复，具有鲜鸡、鸭、肉正常气味，淤血斑无或极少。表皮光滑而有光泽、肉质弹性好且丰满、表皮无毛或少毛、无破皮、无花皮、无显眼淤块；无注水、肚内无一切内脏、无血水、无异味；不能有骨折和因骨折破皮而使骨头外露。</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（1）外观：新鲜肉色泽光润,肉的断面呈淡红色,稍湿润,但不粘,肉的液体透明；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（2）硬度:新鲜肉的刀断面,肉质紧密、富有弹性,用手按后能迅速恢复原状；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（3）气味:新鲜肉具有每种家畜肉的特有气味；</w:t>
            </w:r>
            <w:r>
              <w:rPr>
                <w:rFonts w:hint="eastAsia" w:ascii="宋体" w:hAnsi="宋体" w:eastAsia="宋体" w:cs="宋体"/>
                <w:color w:val="auto"/>
                <w:highlight w:val="none"/>
              </w:rPr>
              <w:br w:type="textWrapping"/>
            </w:r>
            <w:r>
              <w:rPr>
                <w:rFonts w:hint="eastAsia" w:ascii="宋体" w:hAnsi="宋体" w:eastAsia="宋体" w:cs="宋体"/>
                <w:color w:val="auto"/>
                <w:highlight w:val="none"/>
              </w:rPr>
              <w:t>（4）脂肪:新鲜肉的脂肪分布均匀,没有酸败味和臭味,并保持原有色泽。</w:t>
            </w:r>
            <w:r>
              <w:rPr>
                <w:rFonts w:hint="eastAsia" w:ascii="宋体" w:hAnsi="宋体" w:eastAsia="宋体" w:cs="宋体"/>
                <w:color w:val="auto"/>
                <w:highlight w:val="none"/>
              </w:rPr>
              <w:br w:type="textWrapping"/>
            </w:r>
            <w:r>
              <w:rPr>
                <w:rFonts w:hint="eastAsia" w:ascii="宋体" w:hAnsi="宋体" w:eastAsia="宋体" w:cs="宋体"/>
                <w:color w:val="auto"/>
                <w:highlight w:val="none"/>
              </w:rPr>
              <w:t>（5）</w:t>
            </w:r>
            <w:r>
              <w:rPr>
                <w:rFonts w:hint="eastAsia" w:ascii="宋体" w:hAnsi="宋体" w:eastAsia="宋体" w:cs="宋体"/>
                <w:color w:val="auto"/>
                <w:highlight w:val="none"/>
                <w:lang w:eastAsia="zh-CN"/>
              </w:rPr>
              <w:t>供应商供货时提供</w:t>
            </w:r>
            <w:r>
              <w:rPr>
                <w:rFonts w:hint="eastAsia" w:ascii="宋体" w:hAnsi="宋体" w:eastAsia="宋体" w:cs="宋体"/>
                <w:color w:val="auto"/>
                <w:highlight w:val="none"/>
              </w:rPr>
              <w:t>养殖场出具有效养殖周期证明，养殖周期≥3个月。</w:t>
            </w:r>
          </w:p>
        </w:tc>
      </w:tr>
      <w:tr w14:paraId="330910B3">
        <w:tblPrEx>
          <w:tblCellMar>
            <w:top w:w="0" w:type="dxa"/>
            <w:left w:w="108" w:type="dxa"/>
            <w:bottom w:w="0" w:type="dxa"/>
            <w:right w:w="108" w:type="dxa"/>
          </w:tblCellMar>
        </w:tblPrEx>
        <w:trPr>
          <w:trHeight w:val="7245"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3A313E5">
            <w:pPr>
              <w:pStyle w:val="20"/>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w:t>
            </w:r>
          </w:p>
        </w:tc>
        <w:tc>
          <w:tcPr>
            <w:tcW w:w="1644" w:type="dxa"/>
            <w:tcBorders>
              <w:top w:val="single" w:color="000000" w:sz="4" w:space="0"/>
              <w:left w:val="single" w:color="000000" w:sz="4" w:space="0"/>
              <w:right w:val="single" w:color="000000" w:sz="4" w:space="0"/>
            </w:tcBorders>
            <w:noWrap w:val="0"/>
            <w:vAlign w:val="center"/>
          </w:tcPr>
          <w:p w14:paraId="2119CFCF">
            <w:pPr>
              <w:pStyle w:val="2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鲜湿米粉、面食、糕点等早餐类、豆制品类</w:t>
            </w:r>
          </w:p>
        </w:tc>
        <w:tc>
          <w:tcPr>
            <w:tcW w:w="848" w:type="dxa"/>
            <w:tcBorders>
              <w:top w:val="single" w:color="000000" w:sz="4" w:space="0"/>
              <w:left w:val="single" w:color="000000" w:sz="4" w:space="0"/>
              <w:right w:val="single" w:color="000000" w:sz="4" w:space="0"/>
            </w:tcBorders>
            <w:noWrap w:val="0"/>
            <w:vAlign w:val="center"/>
          </w:tcPr>
          <w:p w14:paraId="67EC772D">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1项</w:t>
            </w:r>
          </w:p>
        </w:tc>
        <w:tc>
          <w:tcPr>
            <w:tcW w:w="5167" w:type="dxa"/>
            <w:tcBorders>
              <w:top w:val="single" w:color="auto" w:sz="4" w:space="0"/>
              <w:left w:val="single" w:color="000000" w:sz="4" w:space="0"/>
              <w:right w:val="single" w:color="000000" w:sz="4" w:space="0"/>
            </w:tcBorders>
            <w:noWrap w:val="0"/>
            <w:vAlign w:val="center"/>
          </w:tcPr>
          <w:p w14:paraId="1F2EF7D8">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1、保证生产日期新鲜且符合食品安全国家标准和《食品安全法》要求，具有生产许可证编号及有“SC”食品生产许可证编号。</w:t>
            </w:r>
          </w:p>
          <w:p w14:paraId="6F83AA24">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2、包装用机械封装、无毒、无害塑料袋（直接接触食品的包装必须为食品级），包装的正面需印有产品名称及生产日期和保质期，外包装必须符合《食品安全法》的相关规定，产品要求为即产即销。</w:t>
            </w:r>
          </w:p>
          <w:p w14:paraId="0A90046C">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3、保质期：达到国家规定要求，供货时的剩余保存时间不得少于保质期的二分之一。 </w:t>
            </w:r>
          </w:p>
          <w:p w14:paraId="30E2C13B">
            <w:pPr>
              <w:pStyle w:val="20"/>
              <w:spacing w:line="360" w:lineRule="auto"/>
              <w:rPr>
                <w:rFonts w:hint="eastAsia" w:ascii="宋体" w:hAnsi="宋体" w:eastAsia="宋体" w:cs="宋体"/>
                <w:color w:val="auto"/>
                <w:highlight w:val="none"/>
              </w:rPr>
            </w:pPr>
          </w:p>
        </w:tc>
      </w:tr>
      <w:tr w14:paraId="744604FF">
        <w:tblPrEx>
          <w:tblCellMar>
            <w:top w:w="0" w:type="dxa"/>
            <w:left w:w="108" w:type="dxa"/>
            <w:bottom w:w="0" w:type="dxa"/>
            <w:right w:w="108" w:type="dxa"/>
          </w:tblCellMar>
        </w:tblPrEx>
        <w:trPr>
          <w:trHeight w:val="720"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0A19FA7">
            <w:pPr>
              <w:pStyle w:val="20"/>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8</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285464EB">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蛋品类</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182AA495">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1项</w:t>
            </w:r>
          </w:p>
        </w:tc>
        <w:tc>
          <w:tcPr>
            <w:tcW w:w="5167" w:type="dxa"/>
            <w:tcBorders>
              <w:top w:val="single" w:color="auto" w:sz="4" w:space="0"/>
              <w:left w:val="single" w:color="000000" w:sz="4" w:space="0"/>
              <w:bottom w:val="single" w:color="auto" w:sz="4" w:space="0"/>
              <w:right w:val="single" w:color="000000" w:sz="4" w:space="0"/>
            </w:tcBorders>
            <w:noWrap w:val="0"/>
            <w:vAlign w:val="center"/>
          </w:tcPr>
          <w:p w14:paraId="0A7B7B2E">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禽蛋类规格要求：单个鸡蛋重 60g 以上</w:t>
            </w:r>
            <w:r>
              <w:rPr>
                <w:rFonts w:hint="eastAsia" w:ascii="宋体" w:hAnsi="宋体" w:eastAsia="宋体" w:cs="宋体"/>
                <w:color w:val="auto"/>
                <w:highlight w:val="none"/>
                <w:lang w:eastAsia="zh-CN"/>
              </w:rPr>
              <w:t>，要求配送的鸡蛋必须是新鲜生产，</w:t>
            </w:r>
            <w:r>
              <w:rPr>
                <w:rFonts w:hint="eastAsia" w:ascii="宋体" w:hAnsi="宋体" w:eastAsia="宋体" w:cs="宋体"/>
                <w:color w:val="auto"/>
                <w:highlight w:val="none"/>
              </w:rPr>
              <w:t>蛋体要求：蛋体大小均匀，无斑点、无粪便、无血迹、无污染、无颜色差异；蛋壳清洁，有外蛋壳膜，不破裂，蛋形正常，色泽鲜明；胚胎未发育；健康鸡群下蛋，严禁使用违禁药品，无公害、无药残、无激素。</w:t>
            </w:r>
          </w:p>
        </w:tc>
      </w:tr>
      <w:tr w14:paraId="2A2D8080">
        <w:tblPrEx>
          <w:tblCellMar>
            <w:top w:w="0" w:type="dxa"/>
            <w:left w:w="108" w:type="dxa"/>
            <w:bottom w:w="0" w:type="dxa"/>
            <w:right w:w="108" w:type="dxa"/>
          </w:tblCellMar>
        </w:tblPrEx>
        <w:trPr>
          <w:trHeight w:val="560"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B80C33B">
            <w:pPr>
              <w:pStyle w:val="20"/>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7D0E0251">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大米类</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53B17CBB">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1项</w:t>
            </w:r>
          </w:p>
        </w:tc>
        <w:tc>
          <w:tcPr>
            <w:tcW w:w="5167" w:type="dxa"/>
            <w:tcBorders>
              <w:top w:val="single" w:color="auto" w:sz="4" w:space="0"/>
              <w:left w:val="single" w:color="000000" w:sz="4" w:space="0"/>
              <w:bottom w:val="single" w:color="auto" w:sz="4" w:space="0"/>
              <w:right w:val="single" w:color="000000" w:sz="4" w:space="0"/>
            </w:tcBorders>
            <w:noWrap w:val="0"/>
            <w:vAlign w:val="center"/>
          </w:tcPr>
          <w:p w14:paraId="790401D3">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▲1、大米质量必须符合现行GB/T 1354-2018标准，有“SC”食品生产许可证编号。</w:t>
            </w:r>
          </w:p>
          <w:p w14:paraId="186EC7AC">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2、每批次产品必须提供食品安监部门或国家承认的检测机构出具的检测报告。采购人有权抽查核验。</w:t>
            </w:r>
          </w:p>
          <w:p w14:paraId="2A3AF281">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3、大米中的黄粒米限度为1%；呈清白色或精白色，具有光泽呈半透明状，大小均匀，颗粒饱满，表面光滑、完整，无虫，不含杂物（如沙石、色素等异物）。</w:t>
            </w:r>
          </w:p>
          <w:p w14:paraId="401717DC">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、产品包装要求机械封装，印上产品名称、生产厂家、生产日期、保质期，外包装必须符合《食品安全法》的相关规定。</w:t>
            </w:r>
          </w:p>
        </w:tc>
      </w:tr>
      <w:tr w14:paraId="263BB124">
        <w:tblPrEx>
          <w:tblCellMar>
            <w:top w:w="0" w:type="dxa"/>
            <w:left w:w="108" w:type="dxa"/>
            <w:bottom w:w="0" w:type="dxa"/>
            <w:right w:w="108" w:type="dxa"/>
          </w:tblCellMar>
        </w:tblPrEx>
        <w:trPr>
          <w:trHeight w:val="560"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8A13B38">
            <w:pPr>
              <w:pStyle w:val="20"/>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37A5915C">
            <w:pPr>
              <w:pStyle w:val="2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调味品类</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7DBFF59A">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1项</w:t>
            </w:r>
          </w:p>
        </w:tc>
        <w:tc>
          <w:tcPr>
            <w:tcW w:w="5167" w:type="dxa"/>
            <w:tcBorders>
              <w:top w:val="single" w:color="000000" w:sz="4" w:space="0"/>
              <w:left w:val="single" w:color="000000" w:sz="4" w:space="0"/>
              <w:right w:val="single" w:color="000000" w:sz="4" w:space="0"/>
            </w:tcBorders>
            <w:noWrap w:val="0"/>
            <w:vAlign w:val="center"/>
          </w:tcPr>
          <w:p w14:paraId="2BE3A6DC">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▲1、供应的调味品必须符合《中华人民共和国食品安全法》的要求，达到国家食品标准和卫生标准，有“SC”食品生产许可证编号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无毒害、无变质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色泽正常，具有该品种固有香味，滋味无异味。</w:t>
            </w:r>
          </w:p>
          <w:p w14:paraId="1FE3E5FE">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2、达到国家规定要求，剩余保存时间不得少于保质期的二分之一。保证生产日期新鲜且符合食品安全国家标准和食品安全法要求。</w:t>
            </w:r>
          </w:p>
        </w:tc>
      </w:tr>
      <w:tr w14:paraId="281A3A8C">
        <w:tblPrEx>
          <w:tblCellMar>
            <w:top w:w="0" w:type="dxa"/>
            <w:left w:w="108" w:type="dxa"/>
            <w:bottom w:w="0" w:type="dxa"/>
            <w:right w:w="108" w:type="dxa"/>
          </w:tblCellMar>
        </w:tblPrEx>
        <w:trPr>
          <w:trHeight w:val="320"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1BEE445">
            <w:pPr>
              <w:pStyle w:val="20"/>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3C732EE7">
            <w:pPr>
              <w:pStyle w:val="20"/>
              <w:spacing w:line="360" w:lineRule="auto"/>
              <w:rPr>
                <w:rFonts w:hint="default" w:ascii="宋体" w:hAnsi="宋体" w:eastAsia="宋体" w:cs="宋体"/>
                <w:color w:val="auto"/>
                <w:highlight w:val="none"/>
                <w:lang w:val="en-US"/>
              </w:rPr>
            </w:pPr>
            <w:r>
              <w:rPr>
                <w:rFonts w:hint="eastAsia" w:ascii="宋体" w:hAnsi="宋体" w:eastAsia="宋体" w:cs="宋体"/>
                <w:color w:val="auto"/>
                <w:highlight w:val="none"/>
                <w:lang w:val="en-US" w:eastAsia="zh-CN"/>
              </w:rPr>
              <w:t>一次性打包包装类</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33E24B27">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1项</w:t>
            </w:r>
          </w:p>
        </w:tc>
        <w:tc>
          <w:tcPr>
            <w:tcW w:w="5167" w:type="dxa"/>
            <w:tcBorders>
              <w:top w:val="single" w:color="000000" w:sz="4" w:space="0"/>
              <w:left w:val="single" w:color="000000" w:sz="4" w:space="0"/>
              <w:right w:val="single" w:color="000000" w:sz="4" w:space="0"/>
            </w:tcBorders>
            <w:noWrap w:val="0"/>
            <w:vAlign w:val="top"/>
          </w:tcPr>
          <w:p w14:paraId="7E0C3ABF">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产品符合国家规定食品级标准</w:t>
            </w:r>
          </w:p>
        </w:tc>
      </w:tr>
      <w:tr w14:paraId="0222088D">
        <w:tblPrEx>
          <w:tblCellMar>
            <w:top w:w="0" w:type="dxa"/>
            <w:left w:w="108" w:type="dxa"/>
            <w:bottom w:w="0" w:type="dxa"/>
            <w:right w:w="108" w:type="dxa"/>
          </w:tblCellMar>
        </w:tblPrEx>
        <w:trPr>
          <w:trHeight w:val="320"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18A6008">
            <w:pPr>
              <w:pStyle w:val="20"/>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7F296370">
            <w:pPr>
              <w:pStyle w:val="20"/>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日用品类</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033EAE89">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1项</w:t>
            </w:r>
          </w:p>
        </w:tc>
        <w:tc>
          <w:tcPr>
            <w:tcW w:w="5167" w:type="dxa"/>
            <w:tcBorders>
              <w:top w:val="single" w:color="000000" w:sz="4" w:space="0"/>
              <w:left w:val="single" w:color="000000" w:sz="4" w:space="0"/>
              <w:right w:val="single" w:color="000000" w:sz="4" w:space="0"/>
            </w:tcBorders>
            <w:noWrap w:val="0"/>
            <w:vAlign w:val="top"/>
          </w:tcPr>
          <w:p w14:paraId="3AC9EF43">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符合国家规定标准</w:t>
            </w:r>
          </w:p>
        </w:tc>
      </w:tr>
    </w:tbl>
    <w:p w14:paraId="4A9C0BFB">
      <w:pPr>
        <w:spacing w:line="312" w:lineRule="auto"/>
        <w:jc w:val="left"/>
        <w:rPr>
          <w:rFonts w:hint="eastAsia" w:ascii="宋体" w:hAnsi="宋体" w:cs="宋体"/>
          <w:b/>
          <w:bCs/>
          <w:color w:val="auto"/>
          <w:sz w:val="28"/>
          <w:szCs w:val="28"/>
          <w:highlight w:val="none"/>
        </w:rPr>
      </w:pPr>
    </w:p>
    <w:p w14:paraId="076879AD">
      <w:pPr>
        <w:spacing w:line="312" w:lineRule="auto"/>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二、商务要求</w:t>
      </w:r>
    </w:p>
    <w:tbl>
      <w:tblPr>
        <w:tblStyle w:val="16"/>
        <w:tblW w:w="97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41"/>
        <w:gridCol w:w="7600"/>
      </w:tblGrid>
      <w:tr w14:paraId="44F3F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141" w:type="dxa"/>
            <w:tcBorders>
              <w:top w:val="single" w:color="auto" w:sz="4" w:space="0"/>
              <w:left w:val="single" w:color="auto" w:sz="4" w:space="0"/>
              <w:bottom w:val="single" w:color="auto" w:sz="4" w:space="0"/>
              <w:right w:val="single" w:color="auto" w:sz="4" w:space="0"/>
            </w:tcBorders>
            <w:noWrap w:val="0"/>
            <w:vAlign w:val="center"/>
          </w:tcPr>
          <w:p w14:paraId="3140DF2A">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▲交付（实施）的时间（期限）和地点（范围）</w:t>
            </w:r>
          </w:p>
        </w:tc>
        <w:tc>
          <w:tcPr>
            <w:tcW w:w="7600" w:type="dxa"/>
            <w:tcBorders>
              <w:top w:val="single" w:color="auto" w:sz="4" w:space="0"/>
              <w:left w:val="single" w:color="auto" w:sz="4" w:space="0"/>
              <w:bottom w:val="single" w:color="auto" w:sz="4" w:space="0"/>
              <w:right w:val="single" w:color="auto" w:sz="4" w:space="0"/>
            </w:tcBorders>
            <w:noWrap w:val="0"/>
            <w:vAlign w:val="center"/>
          </w:tcPr>
          <w:p w14:paraId="389BA1E4">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1、交付（实施）的时间（期限）：自签订合同之日起壹年。</w:t>
            </w:r>
          </w:p>
          <w:p w14:paraId="1C0CD2D3">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2、交付（实施）的地点（范围）：贵港监狱办公区、贵港监狱监管区。</w:t>
            </w:r>
          </w:p>
        </w:tc>
      </w:tr>
      <w:tr w14:paraId="3AA383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141" w:type="dxa"/>
            <w:tcBorders>
              <w:top w:val="single" w:color="auto" w:sz="4" w:space="0"/>
              <w:left w:val="single" w:color="auto" w:sz="4" w:space="0"/>
              <w:bottom w:val="single" w:color="auto" w:sz="4" w:space="0"/>
              <w:right w:val="single" w:color="auto" w:sz="4" w:space="0"/>
            </w:tcBorders>
            <w:noWrap w:val="0"/>
            <w:vAlign w:val="center"/>
          </w:tcPr>
          <w:p w14:paraId="58E4DE01">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▲合同签订时间</w:t>
            </w:r>
          </w:p>
        </w:tc>
        <w:tc>
          <w:tcPr>
            <w:tcW w:w="7600" w:type="dxa"/>
            <w:tcBorders>
              <w:top w:val="single" w:color="auto" w:sz="4" w:space="0"/>
              <w:left w:val="single" w:color="auto" w:sz="4" w:space="0"/>
              <w:bottom w:val="single" w:color="auto" w:sz="4" w:space="0"/>
              <w:right w:val="single" w:color="auto" w:sz="4" w:space="0"/>
            </w:tcBorders>
            <w:noWrap w:val="0"/>
            <w:vAlign w:val="center"/>
          </w:tcPr>
          <w:p w14:paraId="1CE543A3">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自成交通知书发出之日起25日内。</w:t>
            </w:r>
          </w:p>
        </w:tc>
      </w:tr>
      <w:tr w14:paraId="6C658C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141" w:type="dxa"/>
            <w:tcBorders>
              <w:top w:val="single" w:color="auto" w:sz="4" w:space="0"/>
              <w:left w:val="single" w:color="auto" w:sz="4" w:space="0"/>
              <w:bottom w:val="single" w:color="auto" w:sz="4" w:space="0"/>
              <w:right w:val="single" w:color="auto" w:sz="4" w:space="0"/>
            </w:tcBorders>
            <w:noWrap w:val="0"/>
            <w:vAlign w:val="center"/>
          </w:tcPr>
          <w:p w14:paraId="57F4F655">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▲质量验收</w:t>
            </w:r>
          </w:p>
        </w:tc>
        <w:tc>
          <w:tcPr>
            <w:tcW w:w="7600" w:type="dxa"/>
            <w:tcBorders>
              <w:top w:val="single" w:color="auto" w:sz="4" w:space="0"/>
              <w:left w:val="single" w:color="auto" w:sz="4" w:space="0"/>
              <w:bottom w:val="single" w:color="auto" w:sz="4" w:space="0"/>
              <w:right w:val="single" w:color="auto" w:sz="4" w:space="0"/>
            </w:tcBorders>
            <w:noWrap w:val="0"/>
            <w:vAlign w:val="top"/>
          </w:tcPr>
          <w:p w14:paraId="04A74BF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1、严格按国家食品卫生标准要求执行，《中华人民共和国食品安全法》禁止经营的食品一律不得采购和使用，严禁使用“三无”、有毒、有害、过期、变质、假冒伪劣等不合格食品原材料加工食品。</w:t>
            </w:r>
          </w:p>
          <w:p w14:paraId="279EA27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2、配货时如</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提供的产品发生质量问题，供应商实行“包退包换”，并承担所发生的费用。</w:t>
            </w:r>
          </w:p>
          <w:p w14:paraId="3A230357">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3、质保期：按国家或行业规定标准执行。</w:t>
            </w:r>
          </w:p>
        </w:tc>
      </w:tr>
      <w:tr w14:paraId="0E85A3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141" w:type="dxa"/>
            <w:tcBorders>
              <w:top w:val="single" w:color="auto" w:sz="4" w:space="0"/>
              <w:left w:val="single" w:color="auto" w:sz="4" w:space="0"/>
              <w:bottom w:val="single" w:color="auto" w:sz="4" w:space="0"/>
              <w:right w:val="single" w:color="auto" w:sz="4" w:space="0"/>
            </w:tcBorders>
            <w:noWrap w:val="0"/>
            <w:vAlign w:val="center"/>
          </w:tcPr>
          <w:p w14:paraId="13EB8F79">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▲安全责任</w:t>
            </w:r>
          </w:p>
        </w:tc>
        <w:tc>
          <w:tcPr>
            <w:tcW w:w="7600" w:type="dxa"/>
            <w:tcBorders>
              <w:top w:val="single" w:color="auto" w:sz="4" w:space="0"/>
              <w:left w:val="single" w:color="auto" w:sz="4" w:space="0"/>
              <w:bottom w:val="single" w:color="auto" w:sz="4" w:space="0"/>
              <w:right w:val="single" w:color="auto" w:sz="4" w:space="0"/>
            </w:tcBorders>
            <w:noWrap w:val="0"/>
            <w:vAlign w:val="top"/>
          </w:tcPr>
          <w:p w14:paraId="055E7602">
            <w:pPr>
              <w:spacing w:line="312"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1、成交供应商应充分理解并认真遵循本采购文件的要求。所提供的货物必须满足采购文件要求，并可追溯，检验合格、无毒、无害、无辐射、无侵权，符合国家有关卫生、质量、包装和保质标准。</w:t>
            </w:r>
          </w:p>
          <w:p w14:paraId="77389B10">
            <w:pPr>
              <w:spacing w:line="312"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w:t>
            </w:r>
            <w:r>
              <w:rPr>
                <w:rFonts w:hint="eastAsia"/>
                <w:bCs/>
                <w:color w:val="auto"/>
                <w:highlight w:val="none"/>
              </w:rPr>
              <w:t>成交供应商提供的蔬菜必须保证每日新鲜，且取得无公害认证优先选择，并符合食品卫生安全法要求。成交供应商安排</w:t>
            </w:r>
            <w:r>
              <w:rPr>
                <w:rFonts w:hint="eastAsia"/>
                <w:color w:val="auto"/>
                <w:szCs w:val="21"/>
                <w:highlight w:val="none"/>
              </w:rPr>
              <w:t>专人每天负责</w:t>
            </w:r>
            <w:r>
              <w:rPr>
                <w:rFonts w:hint="eastAsia"/>
                <w:bCs/>
                <w:color w:val="auto"/>
                <w:highlight w:val="none"/>
              </w:rPr>
              <w:t>对</w:t>
            </w:r>
            <w:r>
              <w:rPr>
                <w:rFonts w:hint="eastAsia"/>
                <w:color w:val="auto"/>
                <w:szCs w:val="21"/>
                <w:highlight w:val="none"/>
              </w:rPr>
              <w:t>每批次蔬菜做农残检测并记录，如对检测结果有疑问，采购人有权送样抽检</w:t>
            </w:r>
            <w:r>
              <w:rPr>
                <w:rFonts w:hint="eastAsia"/>
                <w:bCs/>
                <w:color w:val="auto"/>
                <w:highlight w:val="none"/>
              </w:rPr>
              <w:t>，如含量超标将要求成交供应商无条件退货或换货。出现一次含量超标情况的，处以成交供应商货物标的价的三倍罚款，罚款由当月供货结算款中扣除。合同期内出现三次以上含量超标情况的，采购人有权终止合同。</w:t>
            </w:r>
          </w:p>
          <w:p w14:paraId="763C9CD7">
            <w:pPr>
              <w:spacing w:line="312"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依据产品质量监督检验所提供的质量标准，供应商提供的产品必须是经过质量监督管理部门检验并取得合格证明的产品，每批次货物提供时应交存货物质量合格证明、产品质量检测合格报告或检疫报告复印件。鲜猪肉、鲜鸡鸭等禽畜产品必须具有动物检验检疫证明。</w:t>
            </w:r>
          </w:p>
          <w:p w14:paraId="752757A1">
            <w:pPr>
              <w:spacing w:line="312"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4、成交供应商应严格遵守《中华人民共和国食品安全法》和《</w:t>
            </w:r>
            <w:bookmarkStart w:id="34" w:name="OLE_LINK1"/>
            <w:r>
              <w:rPr>
                <w:rFonts w:hint="eastAsia" w:ascii="宋体" w:hAnsi="宋体" w:cs="宋体"/>
                <w:bCs/>
                <w:color w:val="auto"/>
                <w:szCs w:val="21"/>
                <w:highlight w:val="none"/>
              </w:rPr>
              <w:t>中华人民共和国动物</w:t>
            </w:r>
            <w:r>
              <w:rPr>
                <w:rFonts w:hint="eastAsia" w:ascii="宋体" w:hAnsi="宋体" w:cs="宋体"/>
                <w:bCs/>
                <w:color w:val="auto"/>
                <w:szCs w:val="21"/>
                <w:highlight w:val="none"/>
                <w:lang w:val="en-US" w:eastAsia="zh-CN"/>
              </w:rPr>
              <w:t>防</w:t>
            </w:r>
            <w:r>
              <w:rPr>
                <w:rFonts w:hint="eastAsia" w:ascii="宋体" w:hAnsi="宋体" w:cs="宋体"/>
                <w:bCs/>
                <w:color w:val="auto"/>
                <w:szCs w:val="21"/>
                <w:highlight w:val="none"/>
              </w:rPr>
              <w:t>疫法</w:t>
            </w:r>
            <w:bookmarkEnd w:id="34"/>
            <w:r>
              <w:rPr>
                <w:rFonts w:hint="eastAsia" w:ascii="宋体" w:hAnsi="宋体" w:cs="宋体"/>
                <w:bCs/>
                <w:color w:val="auto"/>
                <w:szCs w:val="21"/>
                <w:highlight w:val="none"/>
              </w:rPr>
              <w:t>》等相关规定，所提供的产品是合格安全的产品，一经发现供应以下食品，采购人除全部退货外，将取消成交供应商的供货资格，成交供应商并承担由此造成的经济责任和法律责任。</w:t>
            </w:r>
          </w:p>
          <w:p w14:paraId="3ABC6D6B">
            <w:pPr>
              <w:spacing w:line="312"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(1)腐败变质、油脂酸败、霉变、生虫、污秽不洁、混有异物或者其他感官性状异常，对人体健康有害的；</w:t>
            </w:r>
          </w:p>
          <w:p w14:paraId="2CDC9320">
            <w:pPr>
              <w:spacing w:line="312"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(2)含有毒、有害物质或者被有害物质污染，对人体健康有害的；</w:t>
            </w:r>
          </w:p>
          <w:p w14:paraId="113A1061">
            <w:pPr>
              <w:spacing w:line="312"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(3)含有致病性寄生虫、微生物或者微生物含量超过国家限定标准的；</w:t>
            </w:r>
          </w:p>
          <w:p w14:paraId="2F2D2865">
            <w:pPr>
              <w:spacing w:line="312"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(4)未经动物检疫部门检疫、检验或者检疫、检验不合格的肉类及其制品；</w:t>
            </w:r>
          </w:p>
          <w:p w14:paraId="7396949D">
            <w:pPr>
              <w:spacing w:line="312"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(5)病死、毒死或者死因不明的禽、畜、兽、水产动物等及其制品；</w:t>
            </w:r>
          </w:p>
          <w:p w14:paraId="421A6257">
            <w:pPr>
              <w:spacing w:line="312"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(6)掺假、掺杂、伪造，影响营养、卫生的；</w:t>
            </w:r>
          </w:p>
          <w:p w14:paraId="4A1B084A">
            <w:pPr>
              <w:spacing w:line="312"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(7)用非食品原料加工的，加入非食品用化学物质或者将非食品当作食品的；</w:t>
            </w:r>
          </w:p>
          <w:p w14:paraId="7A4B4802">
            <w:pPr>
              <w:spacing w:line="312"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(8)超过保质期限的。</w:t>
            </w:r>
          </w:p>
          <w:p w14:paraId="633915B9">
            <w:pPr>
              <w:spacing w:line="312"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5、成交供应商在成交前未购买</w:t>
            </w:r>
            <w:r>
              <w:rPr>
                <w:rFonts w:hint="eastAsia" w:ascii="宋体" w:hAnsi="宋体" w:cs="宋体"/>
                <w:color w:val="auto"/>
                <w:szCs w:val="21"/>
                <w:highlight w:val="none"/>
              </w:rPr>
              <w:t>食品安全责任保险的，</w:t>
            </w:r>
            <w:r>
              <w:rPr>
                <w:rFonts w:hint="eastAsia" w:ascii="宋体" w:hAnsi="宋体" w:cs="宋体"/>
                <w:bCs/>
                <w:color w:val="auto"/>
                <w:szCs w:val="21"/>
                <w:highlight w:val="none"/>
              </w:rPr>
              <w:t>签订合同后一个月内必须到相关的保险公司进行投保，投保险种为食品安全责任保险，否则采购人有权终止合同。</w:t>
            </w:r>
          </w:p>
          <w:p w14:paraId="0515DE32">
            <w:pPr>
              <w:numPr>
                <w:ilvl w:val="0"/>
                <w:numId w:val="4"/>
              </w:numPr>
              <w:spacing w:line="312"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安全监管要求：</w:t>
            </w:r>
          </w:p>
          <w:p w14:paraId="78C7D4FA">
            <w:pPr>
              <w:spacing w:line="312" w:lineRule="auto"/>
              <w:rPr>
                <w:rFonts w:hint="eastAsia" w:ascii="宋体" w:hAnsi="宋体" w:cs="宋体"/>
                <w:bCs/>
                <w:color w:val="auto"/>
                <w:szCs w:val="21"/>
                <w:highlight w:val="none"/>
              </w:rPr>
            </w:pPr>
            <w:r>
              <w:rPr>
                <w:rFonts w:hint="eastAsia" w:ascii="宋体" w:hAnsi="宋体" w:cs="宋体"/>
                <w:bCs/>
                <w:color w:val="auto"/>
                <w:szCs w:val="21"/>
                <w:highlight w:val="none"/>
              </w:rPr>
              <w:t>（1）建立健全并严格执行各项食品卫生安全管理制度。严格执行原材料进货查验制度、购销登记制度、索证索票制度、商品质量承诺制度、检测检验制度以及其他按照行业管理规定必须健全的各项管理制度。</w:t>
            </w:r>
          </w:p>
          <w:p w14:paraId="1F87BE78">
            <w:pPr>
              <w:snapToGrid w:val="0"/>
              <w:spacing w:line="360" w:lineRule="auto"/>
              <w:rPr>
                <w:rFonts w:hint="eastAsia" w:ascii="宋体" w:hAnsi="宋体" w:cs="宋体"/>
                <w:color w:val="auto"/>
                <w:szCs w:val="21"/>
                <w:highlight w:val="none"/>
              </w:rPr>
            </w:pPr>
            <w:r>
              <w:rPr>
                <w:rFonts w:hint="eastAsia" w:ascii="宋体" w:hAnsi="宋体" w:cs="宋体"/>
                <w:bCs/>
                <w:color w:val="auto"/>
                <w:szCs w:val="21"/>
                <w:highlight w:val="none"/>
              </w:rPr>
              <w:t>（2）如因供应商的食材质量问题，导致采购单位发生食品安全事故，因此造成的损失和责任由供应商全部承担；造成重大食品安全事故的，采购人可以单方解除合同，供应商要赔偿因此造成的全部损失并依法承担有关责任。</w:t>
            </w:r>
          </w:p>
        </w:tc>
      </w:tr>
      <w:tr w14:paraId="6E0180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141" w:type="dxa"/>
            <w:tcBorders>
              <w:top w:val="single" w:color="auto" w:sz="4" w:space="0"/>
              <w:left w:val="single" w:color="auto" w:sz="4" w:space="0"/>
              <w:bottom w:val="single" w:color="auto" w:sz="4" w:space="0"/>
              <w:right w:val="single" w:color="auto" w:sz="4" w:space="0"/>
            </w:tcBorders>
            <w:noWrap w:val="0"/>
            <w:vAlign w:val="center"/>
          </w:tcPr>
          <w:p w14:paraId="4A137C88">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xml:space="preserve">▲配送人员、车辆 </w:t>
            </w:r>
          </w:p>
        </w:tc>
        <w:tc>
          <w:tcPr>
            <w:tcW w:w="7600" w:type="dxa"/>
            <w:tcBorders>
              <w:top w:val="single" w:color="auto" w:sz="4" w:space="0"/>
              <w:left w:val="single" w:color="auto" w:sz="4" w:space="0"/>
              <w:bottom w:val="single" w:color="auto" w:sz="4" w:space="0"/>
              <w:right w:val="single" w:color="auto" w:sz="4" w:space="0"/>
            </w:tcBorders>
            <w:noWrap w:val="0"/>
            <w:vAlign w:val="top"/>
          </w:tcPr>
          <w:p w14:paraId="33CF88B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供应商成交后必须由持有健康证的固定人员送货，至少配置1辆</w:t>
            </w:r>
            <w:r>
              <w:rPr>
                <w:rFonts w:hint="eastAsia" w:ascii="宋体" w:hAnsi="宋体" w:cs="宋体"/>
                <w:color w:val="auto"/>
                <w:kern w:val="1"/>
                <w:szCs w:val="21"/>
                <w:highlight w:val="none"/>
              </w:rPr>
              <w:t>“轻型厢式货车”作为</w:t>
            </w:r>
            <w:r>
              <w:rPr>
                <w:rFonts w:hint="eastAsia" w:ascii="宋体" w:hAnsi="宋体" w:cs="宋体"/>
                <w:color w:val="auto"/>
                <w:szCs w:val="21"/>
                <w:highlight w:val="none"/>
              </w:rPr>
              <w:t>专用车，在办理好进入监区相关手续后不得变动，如临时非固定人员送货，须取得采购人同意。（签订合同时采购人核验固定送货人员的健康证、身份证）</w:t>
            </w:r>
          </w:p>
        </w:tc>
      </w:tr>
      <w:tr w14:paraId="0AC438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141" w:type="dxa"/>
            <w:tcBorders>
              <w:top w:val="single" w:color="auto" w:sz="4" w:space="0"/>
              <w:left w:val="single" w:color="auto" w:sz="4" w:space="0"/>
              <w:bottom w:val="single" w:color="auto" w:sz="4" w:space="0"/>
              <w:right w:val="single" w:color="auto" w:sz="4" w:space="0"/>
            </w:tcBorders>
            <w:noWrap w:val="0"/>
            <w:vAlign w:val="center"/>
          </w:tcPr>
          <w:p w14:paraId="192D8FFE">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xml:space="preserve">▲配送要求 </w:t>
            </w:r>
          </w:p>
        </w:tc>
        <w:tc>
          <w:tcPr>
            <w:tcW w:w="7600" w:type="dxa"/>
            <w:tcBorders>
              <w:top w:val="single" w:color="auto" w:sz="4" w:space="0"/>
              <w:left w:val="single" w:color="auto" w:sz="4" w:space="0"/>
              <w:bottom w:val="single" w:color="auto" w:sz="4" w:space="0"/>
              <w:right w:val="single" w:color="auto" w:sz="4" w:space="0"/>
            </w:tcBorders>
            <w:noWrap w:val="0"/>
            <w:vAlign w:val="top"/>
          </w:tcPr>
          <w:p w14:paraId="6BF892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必须按照采购人通知的时间、数量、品种、品质要求及承诺的价格准时送货，经验收合格后签字确认，不能以任何理由推托，一旦影响到采购人工作的正常运转，供应商应承担相应的经济赔偿。如配送时间超过约定时间60分钟、数量不足约定的90%、品种非合同约定品种、质量不合格等，须在60分钟内补足或调换。第一次须按配送金额全额赔偿损失，第二次须按配送金额的2倍赔偿损失，第三次采购人可以终止合同并扣罚所有的履约保证金。如果供应商非不可抗力原因故意不供货的，采购人有权终止采购合同并扣罚所有的履约保证金。</w:t>
            </w:r>
          </w:p>
          <w:p w14:paraId="1D9361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2、在收到采购人发出订货通知后，供应商最迟在次日上午8时30分前必须将采购人所订的货物送达贵港监狱办公区或贵港监管区。</w:t>
            </w:r>
          </w:p>
          <w:p w14:paraId="1341D681">
            <w:pPr>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3、紧急供货要求：在收到采购人发出紧急供货通知后，供应商最迟2小时内完成当次紧急供货。</w:t>
            </w:r>
            <w:r>
              <w:rPr>
                <w:rFonts w:hint="eastAsia"/>
                <w:color w:val="auto"/>
                <w:szCs w:val="21"/>
                <w:highlight w:val="none"/>
              </w:rPr>
              <w:t>成交供应商承诺按采购人的要求按时按质按量送货，出现不新鲜劣质食品问题的供应商应于1小时内退换货，出现所需食材缺货情况的供应商需及时配合采购人在保证食品安全的前提下就近采购，按照程序出账。</w:t>
            </w:r>
          </w:p>
          <w:p w14:paraId="5417A0C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4、供应商必须在双方约定的时间内将货物送到贵港监狱办公区或贵港监管区，运输费用由供应商承担。</w:t>
            </w:r>
          </w:p>
        </w:tc>
      </w:tr>
      <w:tr w14:paraId="1AD465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141" w:type="dxa"/>
            <w:tcBorders>
              <w:top w:val="single" w:color="auto" w:sz="4" w:space="0"/>
              <w:left w:val="single" w:color="auto" w:sz="4" w:space="0"/>
              <w:bottom w:val="single" w:color="auto" w:sz="4" w:space="0"/>
              <w:right w:val="single" w:color="auto" w:sz="4" w:space="0"/>
            </w:tcBorders>
            <w:noWrap w:val="0"/>
            <w:vAlign w:val="center"/>
          </w:tcPr>
          <w:p w14:paraId="60B3EB4A">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7600" w:type="dxa"/>
            <w:tcBorders>
              <w:top w:val="single" w:color="auto" w:sz="4" w:space="0"/>
              <w:left w:val="single" w:color="auto" w:sz="4" w:space="0"/>
              <w:bottom w:val="single" w:color="auto" w:sz="4" w:space="0"/>
              <w:right w:val="single" w:color="auto" w:sz="4" w:space="0"/>
            </w:tcBorders>
            <w:noWrap w:val="0"/>
            <w:vAlign w:val="top"/>
          </w:tcPr>
          <w:p w14:paraId="4CD044CD">
            <w:pPr>
              <w:numPr>
                <w:ilvl w:val="0"/>
                <w:numId w:val="5"/>
              </w:num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因疫情、自然灾害等不可预见的因素，导致配送工作无法及时、按质按量配送，应当及时通知采购人，尽可能的减轻对采购人造成的损失，并应当在合理期限内提供相关证明，由此产生的损失和费用由成交供应商负责。</w:t>
            </w:r>
          </w:p>
          <w:p w14:paraId="14F33EE1">
            <w:pPr>
              <w:numPr>
                <w:ilvl w:val="0"/>
                <w:numId w:val="5"/>
              </w:numPr>
              <w:spacing w:line="360" w:lineRule="auto"/>
              <w:ind w:firstLine="210" w:firstLineChars="100"/>
              <w:rPr>
                <w:rFonts w:hint="eastAsia" w:ascii="宋体" w:hAnsi="宋体" w:cs="宋体"/>
                <w:color w:val="auto"/>
                <w:szCs w:val="21"/>
                <w:highlight w:val="none"/>
              </w:rPr>
            </w:pPr>
            <w:r>
              <w:rPr>
                <w:rFonts w:hint="eastAsia" w:ascii="宋体" w:hAnsi="宋体" w:cs="宋体"/>
                <w:szCs w:val="20"/>
                <w:highlight w:val="none"/>
              </w:rPr>
              <w:t>如</w:t>
            </w:r>
            <w:r>
              <w:rPr>
                <w:rFonts w:hint="eastAsia" w:ascii="宋体" w:hAnsi="宋体" w:cs="宋体"/>
                <w:szCs w:val="20"/>
                <w:highlight w:val="none"/>
                <w:lang w:val="en-US" w:eastAsia="zh-CN"/>
              </w:rPr>
              <w:t>采购人</w:t>
            </w:r>
            <w:r>
              <w:rPr>
                <w:rFonts w:hint="eastAsia" w:ascii="宋体" w:hAnsi="宋体" w:cs="宋体"/>
                <w:szCs w:val="20"/>
                <w:highlight w:val="none"/>
              </w:rPr>
              <w:t>因不可抗力原因、政策调整原因、上级要求原因等需变更或终止合同的，</w:t>
            </w:r>
            <w:r>
              <w:rPr>
                <w:rFonts w:hint="eastAsia" w:ascii="宋体" w:hAnsi="宋体" w:cs="宋体"/>
                <w:szCs w:val="20"/>
                <w:highlight w:val="none"/>
                <w:lang w:val="en-US" w:eastAsia="zh-CN"/>
              </w:rPr>
              <w:t>需提前一个月告知供应商，采购人</w:t>
            </w:r>
            <w:r>
              <w:rPr>
                <w:rFonts w:hint="eastAsia" w:ascii="宋体" w:hAnsi="宋体" w:cs="宋体"/>
                <w:szCs w:val="20"/>
                <w:highlight w:val="none"/>
              </w:rPr>
              <w:t>可无条件解除合同，不负变更或终止合同的违约责任。</w:t>
            </w:r>
          </w:p>
          <w:p w14:paraId="06BF6562">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如有以下情形之一的，</w:t>
            </w:r>
            <w:r>
              <w:rPr>
                <w:rFonts w:hint="eastAsia" w:ascii="宋体" w:hAnsi="宋体" w:cs="宋体"/>
                <w:bCs/>
                <w:color w:val="auto"/>
                <w:szCs w:val="21"/>
                <w:highlight w:val="none"/>
              </w:rPr>
              <w:t>终止合同，情节严重的，没收履约保证金</w:t>
            </w:r>
            <w:r>
              <w:rPr>
                <w:rFonts w:hint="eastAsia" w:ascii="宋体" w:hAnsi="宋体" w:cs="宋体"/>
                <w:color w:val="auto"/>
                <w:szCs w:val="21"/>
                <w:highlight w:val="none"/>
              </w:rPr>
              <w:t>。</w:t>
            </w:r>
          </w:p>
          <w:p w14:paraId="070F69C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①严重违法违规，被食品安全监管部门或其他部门处罚的；</w:t>
            </w:r>
          </w:p>
          <w:p w14:paraId="2B0111A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②虚开发票，套取资金，被监察、审计、财政、物价、税务等有关部门查实的；</w:t>
            </w:r>
          </w:p>
          <w:p w14:paraId="472BA8B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③因食品原材料问题而发生食品安全事故，造成不良后果的；</w:t>
            </w:r>
          </w:p>
          <w:p w14:paraId="25ED23A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④被食品药品监督局抽检食品原材料发现存在严重质量问题的；</w:t>
            </w:r>
          </w:p>
          <w:p w14:paraId="37CE9F0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⑤被媒体曝光，造成不良影响的；</w:t>
            </w:r>
          </w:p>
          <w:p w14:paraId="4E11D64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⑥被吊销或注销食品生产许可证或者食品经营许可证的；</w:t>
            </w:r>
          </w:p>
          <w:p w14:paraId="05F395C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⑦存在严重短斤缺两行为的；</w:t>
            </w:r>
          </w:p>
          <w:p w14:paraId="14B029F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⑧食材价格明显高于当地市场价格的；</w:t>
            </w:r>
          </w:p>
          <w:p w14:paraId="619F600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⑨其他违反采购人采购配送规定，上级主管部门认定应退出的。</w:t>
            </w:r>
          </w:p>
        </w:tc>
      </w:tr>
      <w:tr w14:paraId="28B02B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141" w:type="dxa"/>
            <w:tcBorders>
              <w:top w:val="single" w:color="auto" w:sz="4" w:space="0"/>
              <w:left w:val="single" w:color="auto" w:sz="4" w:space="0"/>
              <w:bottom w:val="single" w:color="auto" w:sz="4" w:space="0"/>
              <w:right w:val="single" w:color="auto" w:sz="4" w:space="0"/>
            </w:tcBorders>
            <w:noWrap w:val="0"/>
            <w:vAlign w:val="center"/>
          </w:tcPr>
          <w:p w14:paraId="1648FB41">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▲付款条件</w:t>
            </w:r>
          </w:p>
        </w:tc>
        <w:tc>
          <w:tcPr>
            <w:tcW w:w="7600" w:type="dxa"/>
            <w:tcBorders>
              <w:top w:val="single" w:color="auto" w:sz="4" w:space="0"/>
              <w:left w:val="single" w:color="auto" w:sz="4" w:space="0"/>
              <w:bottom w:val="single" w:color="auto" w:sz="4" w:space="0"/>
              <w:right w:val="single" w:color="auto" w:sz="4" w:space="0"/>
            </w:tcBorders>
            <w:noWrap w:val="0"/>
            <w:vAlign w:val="top"/>
          </w:tcPr>
          <w:p w14:paraId="510B780D">
            <w:pPr>
              <w:spacing w:line="360" w:lineRule="auto"/>
              <w:ind w:left="720" w:hanging="72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lang w:val="en-US" w:eastAsia="zh-CN"/>
              </w:rPr>
              <w:t>本项目合同款</w:t>
            </w:r>
            <w:r>
              <w:rPr>
                <w:rFonts w:hint="eastAsia" w:ascii="宋体" w:hAnsi="宋体" w:cs="宋体"/>
                <w:color w:val="auto"/>
                <w:szCs w:val="21"/>
                <w:highlight w:val="none"/>
              </w:rPr>
              <w:t>以人民币付款。</w:t>
            </w:r>
          </w:p>
          <w:p w14:paraId="2E320FF0">
            <w:pPr>
              <w:spacing w:line="360" w:lineRule="auto"/>
              <w:ind w:left="720" w:hanging="720"/>
              <w:rPr>
                <w:rFonts w:hint="eastAsia" w:ascii="宋体" w:hAnsi="宋体" w:cs="宋体"/>
                <w:color w:val="auto"/>
                <w:szCs w:val="21"/>
                <w:highlight w:val="none"/>
              </w:rPr>
            </w:pPr>
            <w:r>
              <w:rPr>
                <w:rFonts w:hint="eastAsia" w:ascii="宋体" w:hAnsi="宋体" w:cs="宋体"/>
                <w:color w:val="auto"/>
                <w:szCs w:val="21"/>
                <w:highlight w:val="none"/>
              </w:rPr>
              <w:t xml:space="preserve">2、分批供货，每批次货款根据双方确认的单价及该批次的供货数量进行结算。 </w:t>
            </w:r>
          </w:p>
          <w:p w14:paraId="032F664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3、本项目无预付款，签订合同后，当月合同款次月结算，且供应商须提交合法发票，采购人收到发票之日起1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 xml:space="preserve">个工作日内支付结算款金额。  </w:t>
            </w:r>
          </w:p>
          <w:p w14:paraId="599A6DD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4、签订合同方、收款方、出具发票方均必须与成交供应商名称一致。</w:t>
            </w:r>
          </w:p>
        </w:tc>
      </w:tr>
      <w:tr w14:paraId="009169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141" w:type="dxa"/>
            <w:tcBorders>
              <w:top w:val="single" w:color="auto" w:sz="4" w:space="0"/>
              <w:left w:val="single" w:color="auto" w:sz="4" w:space="0"/>
              <w:bottom w:val="single" w:color="auto" w:sz="4" w:space="0"/>
              <w:right w:val="single" w:color="auto" w:sz="4" w:space="0"/>
            </w:tcBorders>
            <w:noWrap w:val="0"/>
            <w:vAlign w:val="center"/>
          </w:tcPr>
          <w:p w14:paraId="229E8428">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▲报价要求</w:t>
            </w:r>
          </w:p>
        </w:tc>
        <w:tc>
          <w:tcPr>
            <w:tcW w:w="7600" w:type="dxa"/>
            <w:tcBorders>
              <w:top w:val="single" w:color="auto" w:sz="4" w:space="0"/>
              <w:left w:val="single" w:color="auto" w:sz="4" w:space="0"/>
              <w:bottom w:val="single" w:color="auto" w:sz="4" w:space="0"/>
              <w:right w:val="single" w:color="auto" w:sz="4" w:space="0"/>
            </w:tcBorders>
            <w:noWrap w:val="0"/>
            <w:vAlign w:val="top"/>
          </w:tcPr>
          <w:p w14:paraId="43151AE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竞标报价是履行合同的最终价格，竞标报价包含实施和完成本项目全部工作所需的服务期内所需的一切费用，包括但不限于服务、货物成本、运输（含保险）装卸、搬运、检验、保险、利润、税费、质保期</w:t>
            </w:r>
            <w:bookmarkStart w:id="35" w:name="OLE_LINK2"/>
            <w:r>
              <w:rPr>
                <w:rFonts w:hint="eastAsia" w:ascii="宋体" w:hAnsi="宋体" w:cs="宋体"/>
                <w:color w:val="auto"/>
                <w:szCs w:val="21"/>
                <w:highlight w:val="none"/>
              </w:rPr>
              <w:t>售后服务、雇员费、培训</w:t>
            </w:r>
            <w:bookmarkEnd w:id="35"/>
            <w:r>
              <w:rPr>
                <w:rFonts w:hint="eastAsia" w:ascii="宋体" w:hAnsi="宋体" w:cs="宋体"/>
                <w:color w:val="auto"/>
                <w:szCs w:val="21"/>
                <w:highlight w:val="none"/>
              </w:rPr>
              <w:t>、履约验收、采购代理服务费用以及所有的不定因素的风险等全部相关费用。</w:t>
            </w:r>
          </w:p>
          <w:p w14:paraId="4EF5B7D2">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1、本项目竞标应以价格折扣系数报价（以%表示，折扣系数报价精确到个位数）。</w:t>
            </w:r>
            <w:r>
              <w:rPr>
                <w:rFonts w:hint="eastAsia" w:ascii="宋体" w:hAnsi="宋体" w:cs="宋体"/>
                <w:b/>
                <w:bCs/>
                <w:color w:val="auto"/>
                <w:szCs w:val="21"/>
                <w:highlight w:val="none"/>
              </w:rPr>
              <w:t>竞标报价范围：≤100%</w:t>
            </w:r>
            <w:r>
              <w:rPr>
                <w:rFonts w:hint="eastAsia" w:ascii="宋体" w:hAnsi="宋体" w:cs="宋体"/>
                <w:color w:val="auto"/>
                <w:szCs w:val="21"/>
                <w:highlight w:val="none"/>
              </w:rPr>
              <w:t>（如：供货产品打九折即竞标折扣系数为90%，以此类推），价格折扣系数必须是固定的（如90%），不得存在区间值（如：90%～100%）。</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必须就《采购需求》中的全部内容作完整唯一报价，不接受有选择的报价，且所报的折扣系数应当适用于每种食材，否则，</w:t>
            </w:r>
            <w:r>
              <w:rPr>
                <w:rFonts w:hint="eastAsia" w:ascii="宋体" w:hAnsi="宋体" w:cs="宋体"/>
                <w:b/>
                <w:bCs/>
                <w:color w:val="auto"/>
                <w:szCs w:val="21"/>
                <w:highlight w:val="none"/>
              </w:rPr>
              <w:t xml:space="preserve">作无效报价处理。 </w:t>
            </w:r>
          </w:p>
          <w:p w14:paraId="02BA7C09">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2、由于受疫情防控原因、政策原因和其他不可预测原因，实际结算总价可能小于或大于预算总金额，按实际产生的费用结算，供应商报价时应该考虑此特殊风险。实际采购时，</w:t>
            </w:r>
            <w:r>
              <w:rPr>
                <w:rFonts w:hint="eastAsia" w:ascii="宋体" w:hAnsi="宋体" w:cs="宋体"/>
                <w:color w:val="auto"/>
                <w:szCs w:val="21"/>
                <w:highlight w:val="none"/>
                <w:lang w:val="en-US" w:eastAsia="zh-CN"/>
              </w:rPr>
              <w:t>计划</w:t>
            </w:r>
            <w:r>
              <w:rPr>
                <w:rFonts w:hint="eastAsia" w:ascii="宋体" w:hAnsi="宋体" w:cs="宋体"/>
                <w:color w:val="auto"/>
                <w:szCs w:val="21"/>
                <w:highlight w:val="none"/>
              </w:rPr>
              <w:t>数量仅作竞标报价参考使用，结算时按实际采购数量结算。</w:t>
            </w:r>
          </w:p>
          <w:p w14:paraId="76053D0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采购单价=基准单价×成交折扣系数，基准单价按签订合同时双方代表到贵港市城区内大型超市对商品的价格进行采价（特价及促销价除外），如大型超市没有配送的商品，则到贵港市城区的大型农贸市场采价。合同执行后三个月内价格不变，合同执行三个月后，双方根据市场价格变动情况适时做市场调查，肉类产品当月市场价格在合同基准单价基础上下浮动率≥15%时，蔬菜类产品当月市场价格在合同基准单价基础上下浮动率≥20%时，其他类产品当月市场价格在合同基准单价基础上下浮动率≥10%时，可以进行价格调整一次。价格调整由成交供应商或采购人提出基准单价调整申请，由采购人面向市场主体选择贵港市至少三家大型商场、市场、超市</w:t>
            </w:r>
            <w:r>
              <w:rPr>
                <w:rFonts w:hint="eastAsia" w:ascii="宋体" w:hAnsi="宋体" w:cs="宋体"/>
                <w:color w:val="auto"/>
                <w:szCs w:val="21"/>
                <w:highlight w:val="none"/>
                <w:lang w:eastAsia="zh-CN"/>
              </w:rPr>
              <w:t>开展</w:t>
            </w:r>
            <w:r>
              <w:rPr>
                <w:rFonts w:hint="eastAsia" w:ascii="宋体" w:hAnsi="宋体" w:cs="宋体"/>
                <w:color w:val="auto"/>
                <w:szCs w:val="21"/>
                <w:highlight w:val="none"/>
              </w:rPr>
              <w:t>市场调查，由采购人后勤保障部门将调查结果提交至</w:t>
            </w:r>
            <w:r>
              <w:rPr>
                <w:rFonts w:hint="eastAsia" w:ascii="宋体" w:hAnsi="宋体" w:cs="宋体"/>
                <w:color w:val="auto"/>
                <w:szCs w:val="21"/>
                <w:highlight w:val="none"/>
                <w:lang w:eastAsia="zh-CN"/>
              </w:rPr>
              <w:t>采购单位</w:t>
            </w:r>
            <w:r>
              <w:rPr>
                <w:rFonts w:hint="eastAsia" w:ascii="宋体" w:hAnsi="宋体" w:cs="宋体"/>
                <w:color w:val="auto"/>
                <w:szCs w:val="21"/>
                <w:highlight w:val="none"/>
              </w:rPr>
              <w:t>审议拟定新的基准单价。调整后的基准单价乘以响应报价折扣系数为拟定调整的采购单价（拟定调整的采购单价=调整后的基准单价×响应报价折扣系数），拟定调整后的基准单价经采购人审定，经双方确认同意后方可调整价格。基准单价调整后，采购单价为变动后的基准单价×成交折扣系数。</w:t>
            </w:r>
          </w:p>
          <w:p w14:paraId="18E207B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4、不论竞标结果如何，</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均应自行承担所有与竞标有关的全部费用。</w:t>
            </w:r>
          </w:p>
        </w:tc>
      </w:tr>
      <w:tr w14:paraId="458C0A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141" w:type="dxa"/>
            <w:tcBorders>
              <w:top w:val="single" w:color="auto" w:sz="4" w:space="0"/>
              <w:left w:val="single" w:color="auto" w:sz="4" w:space="0"/>
              <w:bottom w:val="single" w:color="auto" w:sz="4" w:space="0"/>
              <w:right w:val="single" w:color="auto" w:sz="4" w:space="0"/>
            </w:tcBorders>
            <w:noWrap w:val="0"/>
            <w:vAlign w:val="center"/>
          </w:tcPr>
          <w:p w14:paraId="41984A5D">
            <w:pPr>
              <w:snapToGrid w:val="0"/>
              <w:spacing w:line="360" w:lineRule="auto"/>
              <w:jc w:val="center"/>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对配送供应商供应能力要求</w:t>
            </w:r>
          </w:p>
        </w:tc>
        <w:tc>
          <w:tcPr>
            <w:tcW w:w="7600" w:type="dxa"/>
            <w:tcBorders>
              <w:top w:val="single" w:color="auto" w:sz="4" w:space="0"/>
              <w:left w:val="single" w:color="auto" w:sz="4" w:space="0"/>
              <w:bottom w:val="single" w:color="auto" w:sz="4" w:space="0"/>
              <w:right w:val="single" w:color="auto" w:sz="4" w:space="0"/>
            </w:tcBorders>
            <w:noWrap w:val="0"/>
            <w:vAlign w:val="center"/>
          </w:tcPr>
          <w:p w14:paraId="3E0B5BEA">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1、配送供应商须具备较强的基地生产或稳定食品原材料采购供应渠道。</w:t>
            </w:r>
          </w:p>
          <w:p w14:paraId="53C3F2AB">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2、具备足够的符合安全卫生标准的封闭厢式保鲜专用配送车辆及符合食品运输要求的固定司机。拟投入人员相关证照、健康证等报采购单位备案。</w:t>
            </w:r>
          </w:p>
          <w:p w14:paraId="332530EF">
            <w:pPr>
              <w:spacing w:line="360" w:lineRule="auto"/>
              <w:jc w:val="left"/>
              <w:rPr>
                <w:rFonts w:hint="eastAsia" w:ascii="宋体" w:hAnsi="宋体" w:cs="宋体"/>
                <w:bCs/>
                <w:color w:val="auto"/>
                <w:szCs w:val="21"/>
                <w:highlight w:val="none"/>
              </w:rPr>
            </w:pPr>
            <w:r>
              <w:rPr>
                <w:rFonts w:hint="eastAsia" w:ascii="宋体" w:hAnsi="宋体" w:cs="宋体"/>
                <w:color w:val="auto"/>
                <w:szCs w:val="21"/>
                <w:highlight w:val="none"/>
              </w:rPr>
              <w:t>3、可追溯体系和监管体系要求。配送供应商能够对生产和销售的食品材料追溯种植源头，对原材料从生产到加工每个环节实行实时监督，实行商品质量责任制，有严格的质量管理、质量监督、质量保证体系，有稳定的进货渠道。销售商品在保质期内，商品质量、卫生检测合格，符合国家标准、行业标准。</w:t>
            </w:r>
          </w:p>
        </w:tc>
      </w:tr>
    </w:tbl>
    <w:p w14:paraId="1FB2A189">
      <w:pPr>
        <w:spacing w:line="312" w:lineRule="auto"/>
        <w:jc w:val="lef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三、</w:t>
      </w:r>
      <w:r>
        <w:rPr>
          <w:rFonts w:hint="eastAsia" w:ascii="宋体" w:hAnsi="宋体" w:eastAsia="宋体" w:cs="宋体"/>
          <w:b/>
          <w:bCs/>
          <w:color w:val="auto"/>
          <w:sz w:val="28"/>
          <w:szCs w:val="28"/>
          <w:highlight w:val="none"/>
        </w:rPr>
        <w:t>与实现项目目标相关的其他要求</w:t>
      </w:r>
    </w:p>
    <w:tbl>
      <w:tblPr>
        <w:tblStyle w:val="16"/>
        <w:tblW w:w="97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41"/>
        <w:gridCol w:w="7600"/>
      </w:tblGrid>
      <w:tr w14:paraId="6A8ABB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741" w:type="dxa"/>
            <w:gridSpan w:val="2"/>
            <w:tcBorders>
              <w:top w:val="single" w:color="auto" w:sz="4" w:space="0"/>
              <w:left w:val="single" w:color="auto" w:sz="4" w:space="0"/>
              <w:bottom w:val="single" w:color="auto" w:sz="4" w:space="0"/>
              <w:right w:val="single" w:color="auto" w:sz="4" w:space="0"/>
            </w:tcBorders>
            <w:noWrap w:val="0"/>
            <w:vAlign w:val="center"/>
          </w:tcPr>
          <w:p w14:paraId="6A2F593A">
            <w:pPr>
              <w:snapToGrid w:val="0"/>
              <w:spacing w:line="360" w:lineRule="auto"/>
              <w:jc w:val="left"/>
              <w:rPr>
                <w:rFonts w:hint="eastAsia" w:ascii="宋体" w:hAnsi="宋体" w:cs="宋体"/>
                <w:b/>
                <w:bCs/>
                <w:color w:val="auto"/>
                <w:szCs w:val="21"/>
                <w:highlight w:val="none"/>
              </w:rPr>
            </w:pPr>
            <w:r>
              <w:rPr>
                <w:rFonts w:hint="eastAsia" w:ascii="宋体" w:hAnsi="宋体" w:cs="宋体"/>
                <w:b/>
                <w:color w:val="auto"/>
                <w:szCs w:val="21"/>
                <w:highlight w:val="none"/>
              </w:rPr>
              <w:t>（一）供应商的履约能力要求</w:t>
            </w:r>
          </w:p>
        </w:tc>
      </w:tr>
      <w:tr w14:paraId="5B148A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141" w:type="dxa"/>
            <w:tcBorders>
              <w:top w:val="single" w:color="auto" w:sz="4" w:space="0"/>
              <w:left w:val="single" w:color="auto" w:sz="4" w:space="0"/>
              <w:bottom w:val="single" w:color="auto" w:sz="4" w:space="0"/>
              <w:right w:val="single" w:color="auto" w:sz="4" w:space="0"/>
            </w:tcBorders>
            <w:noWrap w:val="0"/>
            <w:vAlign w:val="center"/>
          </w:tcPr>
          <w:p w14:paraId="55F72340">
            <w:pPr>
              <w:spacing w:line="360" w:lineRule="auto"/>
              <w:jc w:val="center"/>
              <w:rPr>
                <w:rFonts w:hint="eastAsia" w:ascii="宋体" w:hAnsi="宋体" w:cs="宋体"/>
                <w:b/>
                <w:color w:val="auto"/>
                <w:szCs w:val="21"/>
                <w:highlight w:val="none"/>
              </w:rPr>
            </w:pPr>
            <w:r>
              <w:rPr>
                <w:rFonts w:hint="eastAsia" w:ascii="宋体" w:hAnsi="宋体" w:cs="宋体"/>
                <w:color w:val="auto"/>
                <w:szCs w:val="21"/>
                <w:highlight w:val="none"/>
              </w:rPr>
              <w:t>管理体系要求</w:t>
            </w:r>
          </w:p>
        </w:tc>
        <w:tc>
          <w:tcPr>
            <w:tcW w:w="7600" w:type="dxa"/>
            <w:tcBorders>
              <w:top w:val="single" w:color="auto" w:sz="4" w:space="0"/>
              <w:left w:val="single" w:color="auto" w:sz="4" w:space="0"/>
              <w:bottom w:val="single" w:color="auto" w:sz="4" w:space="0"/>
              <w:right w:val="single" w:color="auto" w:sz="4" w:space="0"/>
            </w:tcBorders>
            <w:noWrap w:val="0"/>
            <w:vAlign w:val="center"/>
          </w:tcPr>
          <w:p w14:paraId="4BF54F95">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无</w:t>
            </w:r>
          </w:p>
        </w:tc>
      </w:tr>
      <w:tr w14:paraId="79430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141" w:type="dxa"/>
            <w:tcBorders>
              <w:top w:val="single" w:color="auto" w:sz="4" w:space="0"/>
              <w:left w:val="single" w:color="auto" w:sz="4" w:space="0"/>
              <w:bottom w:val="single" w:color="auto" w:sz="4" w:space="0"/>
              <w:right w:val="single" w:color="auto" w:sz="4" w:space="0"/>
            </w:tcBorders>
            <w:noWrap w:val="0"/>
            <w:vAlign w:val="center"/>
          </w:tcPr>
          <w:p w14:paraId="44EB4DBA">
            <w:pPr>
              <w:spacing w:line="360" w:lineRule="auto"/>
              <w:jc w:val="center"/>
              <w:rPr>
                <w:rFonts w:hint="eastAsia" w:ascii="宋体" w:hAnsi="宋体" w:cs="宋体"/>
                <w:b/>
                <w:color w:val="auto"/>
                <w:szCs w:val="21"/>
                <w:highlight w:val="none"/>
              </w:rPr>
            </w:pPr>
            <w:r>
              <w:rPr>
                <w:rFonts w:hint="eastAsia" w:ascii="宋体" w:hAnsi="宋体" w:cs="宋体"/>
                <w:color w:val="auto"/>
                <w:szCs w:val="21"/>
                <w:highlight w:val="none"/>
              </w:rPr>
              <w:t>业绩要求</w:t>
            </w:r>
          </w:p>
        </w:tc>
        <w:tc>
          <w:tcPr>
            <w:tcW w:w="7600" w:type="dxa"/>
            <w:tcBorders>
              <w:top w:val="single" w:color="auto" w:sz="4" w:space="0"/>
              <w:left w:val="single" w:color="auto" w:sz="4" w:space="0"/>
              <w:bottom w:val="single" w:color="auto" w:sz="4" w:space="0"/>
              <w:right w:val="single" w:color="auto" w:sz="4" w:space="0"/>
            </w:tcBorders>
            <w:noWrap w:val="0"/>
            <w:vAlign w:val="center"/>
          </w:tcPr>
          <w:p w14:paraId="0B8E8455">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无</w:t>
            </w:r>
          </w:p>
        </w:tc>
      </w:tr>
      <w:tr w14:paraId="4D0EED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741" w:type="dxa"/>
            <w:gridSpan w:val="2"/>
            <w:tcBorders>
              <w:top w:val="single" w:color="auto" w:sz="4" w:space="0"/>
              <w:left w:val="single" w:color="auto" w:sz="4" w:space="0"/>
              <w:bottom w:val="single" w:color="auto" w:sz="4" w:space="0"/>
              <w:right w:val="single" w:color="auto" w:sz="4" w:space="0"/>
            </w:tcBorders>
            <w:noWrap w:val="0"/>
            <w:vAlign w:val="center"/>
          </w:tcPr>
          <w:p w14:paraId="204844EE">
            <w:pPr>
              <w:spacing w:line="360" w:lineRule="auto"/>
              <w:jc w:val="left"/>
              <w:rPr>
                <w:rFonts w:hint="eastAsia" w:ascii="宋体" w:hAnsi="宋体" w:cs="宋体"/>
                <w:color w:val="auto"/>
                <w:szCs w:val="21"/>
                <w:highlight w:val="none"/>
              </w:rPr>
            </w:pPr>
            <w:r>
              <w:rPr>
                <w:rFonts w:hint="eastAsia" w:ascii="宋体" w:hAnsi="宋体" w:cs="宋体"/>
                <w:b/>
                <w:color w:val="auto"/>
                <w:szCs w:val="21"/>
                <w:highlight w:val="none"/>
              </w:rPr>
              <w:t>（二）验收标准</w:t>
            </w:r>
          </w:p>
        </w:tc>
      </w:tr>
      <w:tr w14:paraId="419640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141" w:type="dxa"/>
            <w:tcBorders>
              <w:top w:val="single" w:color="auto" w:sz="4" w:space="0"/>
              <w:left w:val="single" w:color="auto" w:sz="4" w:space="0"/>
              <w:bottom w:val="single" w:color="auto" w:sz="4" w:space="0"/>
              <w:right w:val="single" w:color="auto" w:sz="4" w:space="0"/>
            </w:tcBorders>
            <w:noWrap w:val="0"/>
            <w:vAlign w:val="center"/>
          </w:tcPr>
          <w:p w14:paraId="3395D85B">
            <w:pPr>
              <w:snapToGrid w:val="0"/>
              <w:spacing w:line="360" w:lineRule="auto"/>
              <w:jc w:val="center"/>
              <w:rPr>
                <w:rFonts w:hint="eastAsia" w:ascii="宋体" w:hAnsi="宋体" w:cs="宋体"/>
                <w:color w:val="auto"/>
                <w:szCs w:val="21"/>
                <w:highlight w:val="none"/>
              </w:rPr>
            </w:pPr>
            <w:r>
              <w:rPr>
                <w:rFonts w:hint="eastAsia" w:ascii="宋体" w:hAnsi="宋体" w:cs="宋体"/>
                <w:b w:val="0"/>
                <w:bCs/>
                <w:color w:val="auto"/>
                <w:szCs w:val="21"/>
                <w:highlight w:val="none"/>
              </w:rPr>
              <w:t>验收标准</w:t>
            </w:r>
          </w:p>
        </w:tc>
        <w:tc>
          <w:tcPr>
            <w:tcW w:w="7600" w:type="dxa"/>
            <w:tcBorders>
              <w:top w:val="single" w:color="auto" w:sz="4" w:space="0"/>
              <w:left w:val="single" w:color="auto" w:sz="4" w:space="0"/>
              <w:bottom w:val="single" w:color="auto" w:sz="4" w:space="0"/>
              <w:right w:val="single" w:color="auto" w:sz="4" w:space="0"/>
            </w:tcBorders>
            <w:noWrap w:val="0"/>
            <w:vAlign w:val="center"/>
          </w:tcPr>
          <w:p w14:paraId="3F2EA0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物料的验收工作由采购人和成交供应商共同进行。成交供应商提供的产品须经过采购单位验收人员的感官检验、外观检验和试用检验，若产品外观、包装、形式不符合要求、感官检验不能达到食品卫生要求，当即拒收；整改后成交供应商不能满足食品的质量及售后服务要求时，采购人有权进行处罚或终止合同。</w:t>
            </w:r>
          </w:p>
          <w:p w14:paraId="03ABE9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验收工作的一般程序为：根据食品</w:t>
            </w:r>
            <w:r>
              <w:rPr>
                <w:rFonts w:hint="eastAsia" w:ascii="宋体" w:hAnsi="宋体" w:cs="宋体"/>
                <w:color w:val="auto"/>
                <w:szCs w:val="21"/>
                <w:highlight w:val="none"/>
                <w:lang w:val="en-US" w:eastAsia="zh-CN"/>
              </w:rPr>
              <w:t>采</w:t>
            </w:r>
            <w:r>
              <w:rPr>
                <w:rFonts w:hint="eastAsia" w:ascii="宋体" w:hAnsi="宋体" w:cs="宋体"/>
                <w:color w:val="auto"/>
                <w:szCs w:val="21"/>
                <w:highlight w:val="none"/>
              </w:rPr>
              <w:t>购清单的具体要求，对所购物料进行清点、外观检查以及对物料的各项指标和性能进行实测，并逐项记录。检测结束后，验收人员在验收单上签字。对未能通过验收的，一律退货、更换直至验收合格。</w:t>
            </w:r>
          </w:p>
        </w:tc>
      </w:tr>
      <w:tr w14:paraId="075F39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741" w:type="dxa"/>
            <w:gridSpan w:val="2"/>
            <w:tcBorders>
              <w:top w:val="single" w:color="auto" w:sz="4" w:space="0"/>
              <w:left w:val="single" w:color="auto" w:sz="4" w:space="0"/>
              <w:bottom w:val="single" w:color="auto" w:sz="4" w:space="0"/>
              <w:right w:val="single" w:color="auto" w:sz="4" w:space="0"/>
            </w:tcBorders>
            <w:noWrap w:val="0"/>
            <w:vAlign w:val="center"/>
          </w:tcPr>
          <w:p w14:paraId="6F014101">
            <w:pPr>
              <w:snapToGrid w:val="0"/>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（三）其他要求</w:t>
            </w:r>
          </w:p>
        </w:tc>
      </w:tr>
      <w:tr w14:paraId="678C1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141" w:type="dxa"/>
            <w:tcBorders>
              <w:top w:val="single" w:color="auto" w:sz="4" w:space="0"/>
              <w:left w:val="single" w:color="auto" w:sz="4" w:space="0"/>
              <w:bottom w:val="single" w:color="auto" w:sz="4" w:space="0"/>
              <w:right w:val="single" w:color="auto" w:sz="4" w:space="0"/>
            </w:tcBorders>
            <w:noWrap w:val="0"/>
            <w:vAlign w:val="center"/>
          </w:tcPr>
          <w:p w14:paraId="30E89D2E">
            <w:pPr>
              <w:spacing w:line="360" w:lineRule="auto"/>
              <w:jc w:val="center"/>
              <w:rPr>
                <w:rFonts w:hint="eastAsia" w:ascii="宋体" w:hAnsi="宋体" w:cs="宋体"/>
                <w:b/>
                <w:color w:val="auto"/>
                <w:szCs w:val="21"/>
                <w:highlight w:val="none"/>
              </w:rPr>
            </w:pPr>
            <w:r>
              <w:rPr>
                <w:rFonts w:hint="eastAsia" w:ascii="宋体" w:hAnsi="宋体" w:cs="宋体"/>
                <w:color w:val="auto"/>
                <w:szCs w:val="21"/>
                <w:highlight w:val="none"/>
              </w:rPr>
              <w:t>其他要求</w:t>
            </w:r>
          </w:p>
        </w:tc>
        <w:tc>
          <w:tcPr>
            <w:tcW w:w="7600" w:type="dxa"/>
            <w:tcBorders>
              <w:top w:val="single" w:color="auto" w:sz="4" w:space="0"/>
              <w:left w:val="single" w:color="auto" w:sz="4" w:space="0"/>
              <w:bottom w:val="single" w:color="auto" w:sz="4" w:space="0"/>
              <w:right w:val="single" w:color="auto" w:sz="4" w:space="0"/>
            </w:tcBorders>
            <w:noWrap w:val="0"/>
            <w:vAlign w:val="center"/>
          </w:tcPr>
          <w:p w14:paraId="09A7190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供应商根据本项目采购文件要求，于响应文件中提供相应的</w:t>
            </w:r>
            <w:r>
              <w:rPr>
                <w:rFonts w:hint="eastAsia" w:ascii="宋体" w:hAnsi="宋体" w:cs="宋体"/>
                <w:b/>
                <w:bCs/>
                <w:color w:val="auto"/>
                <w:szCs w:val="21"/>
                <w:highlight w:val="none"/>
              </w:rPr>
              <w:t>“配送方案、食品安全与质量保障能力、售后服务、</w:t>
            </w:r>
            <w:r>
              <w:rPr>
                <w:rFonts w:hint="eastAsia" w:ascii="宋体" w:hAnsi="宋体" w:cs="宋体"/>
                <w:b/>
                <w:color w:val="auto"/>
                <w:kern w:val="1"/>
                <w:szCs w:val="21"/>
                <w:highlight w:val="none"/>
              </w:rPr>
              <w:t>管理制度、</w:t>
            </w:r>
            <w:r>
              <w:rPr>
                <w:rFonts w:hint="eastAsia" w:ascii="宋体" w:hAnsi="宋体" w:cs="宋体"/>
                <w:b/>
                <w:bCs/>
                <w:color w:val="auto"/>
                <w:szCs w:val="21"/>
                <w:highlight w:val="none"/>
              </w:rPr>
              <w:t>应急方案、配送能力、拟投入人员、供应商承诺或购买《食品安全责任保险》、业绩”</w:t>
            </w:r>
            <w:r>
              <w:rPr>
                <w:rFonts w:hint="eastAsia" w:ascii="宋体" w:hAnsi="宋体" w:cs="宋体"/>
                <w:color w:val="auto"/>
                <w:szCs w:val="21"/>
                <w:highlight w:val="none"/>
              </w:rPr>
              <w:t>等内容。</w:t>
            </w:r>
          </w:p>
        </w:tc>
      </w:tr>
    </w:tbl>
    <w:p w14:paraId="49A11A35">
      <w:pPr>
        <w:rPr>
          <w:rFonts w:ascii="黑体" w:hAnsi="黑体" w:eastAsia="黑体" w:cs="黑体"/>
          <w:color w:val="auto"/>
          <w:sz w:val="32"/>
          <w:szCs w:val="32"/>
          <w:highlight w:val="none"/>
        </w:rPr>
      </w:pPr>
      <w:r>
        <w:rPr>
          <w:rFonts w:hint="eastAsia" w:ascii="宋体" w:hAnsi="宋体" w:cs="宋体"/>
          <w:color w:val="auto"/>
          <w:szCs w:val="21"/>
          <w:highlight w:val="none"/>
        </w:rPr>
        <w:br w:type="page"/>
      </w:r>
      <w:r>
        <w:rPr>
          <w:rFonts w:hint="eastAsia" w:ascii="黑体" w:hAnsi="黑体" w:eastAsia="黑体" w:cs="黑体"/>
          <w:color w:val="auto"/>
          <w:sz w:val="24"/>
          <w:highlight w:val="none"/>
        </w:rPr>
        <w:t>附件</w:t>
      </w:r>
    </w:p>
    <w:p w14:paraId="044F250E">
      <w:pPr>
        <w:pStyle w:val="8"/>
        <w:jc w:val="center"/>
        <w:rPr>
          <w:rFonts w:hint="eastAsia"/>
          <w:b/>
          <w:color w:val="auto"/>
          <w:sz w:val="28"/>
          <w:szCs w:val="28"/>
          <w:highlight w:val="none"/>
        </w:rPr>
      </w:pPr>
      <w:r>
        <w:rPr>
          <w:rFonts w:hint="eastAsia"/>
          <w:b/>
          <w:color w:val="auto"/>
          <w:sz w:val="28"/>
          <w:szCs w:val="28"/>
          <w:highlight w:val="none"/>
        </w:rPr>
        <w:t>中小企业划型标准规定</w:t>
      </w:r>
    </w:p>
    <w:p w14:paraId="623344D2">
      <w:pPr>
        <w:pStyle w:val="8"/>
        <w:jc w:val="center"/>
        <w:rPr>
          <w:rFonts w:ascii="宋体" w:hAnsi="宋体"/>
          <w:color w:val="auto"/>
          <w:szCs w:val="21"/>
          <w:highlight w:val="none"/>
        </w:rPr>
      </w:pPr>
      <w:r>
        <w:rPr>
          <w:rFonts w:hint="eastAsia" w:ascii="宋体" w:hAnsi="宋体"/>
          <w:color w:val="auto"/>
          <w:szCs w:val="21"/>
          <w:highlight w:val="none"/>
        </w:rPr>
        <w:t>工信部联企业〔2011〕300号</w:t>
      </w:r>
    </w:p>
    <w:p w14:paraId="4857C285">
      <w:pPr>
        <w:pStyle w:val="8"/>
        <w:rPr>
          <w:rFonts w:hint="eastAsia"/>
          <w:color w:val="auto"/>
          <w:sz w:val="24"/>
          <w:szCs w:val="21"/>
          <w:highlight w:val="none"/>
        </w:rPr>
      </w:pPr>
    </w:p>
    <w:p w14:paraId="3A1DFEED">
      <w:pPr>
        <w:pStyle w:val="8"/>
        <w:rPr>
          <w:color w:val="auto"/>
          <w:szCs w:val="21"/>
          <w:highlight w:val="none"/>
        </w:rPr>
      </w:pPr>
      <w:r>
        <w:rPr>
          <w:rFonts w:hint="eastAsia"/>
          <w:color w:val="auto"/>
          <w:szCs w:val="21"/>
          <w:highlight w:val="none"/>
        </w:rPr>
        <w:t>　　一、根据《中华人民共和国中小企业促进法》和《国务院关于进一步促进中小企业发展的若干意见》</w:t>
      </w:r>
      <w:r>
        <w:rPr>
          <w:color w:val="auto"/>
          <w:szCs w:val="21"/>
          <w:highlight w:val="none"/>
        </w:rPr>
        <w:t>(</w:t>
      </w:r>
      <w:r>
        <w:rPr>
          <w:rFonts w:hint="eastAsia"/>
          <w:color w:val="auto"/>
          <w:szCs w:val="21"/>
          <w:highlight w:val="none"/>
        </w:rPr>
        <w:t>国发〔2011〕</w:t>
      </w:r>
      <w:r>
        <w:rPr>
          <w:color w:val="auto"/>
          <w:szCs w:val="21"/>
          <w:highlight w:val="none"/>
        </w:rPr>
        <w:t>36</w:t>
      </w:r>
      <w:r>
        <w:rPr>
          <w:rFonts w:hint="eastAsia"/>
          <w:color w:val="auto"/>
          <w:szCs w:val="21"/>
          <w:highlight w:val="none"/>
        </w:rPr>
        <w:t>号</w:t>
      </w:r>
      <w:r>
        <w:rPr>
          <w:color w:val="auto"/>
          <w:szCs w:val="21"/>
          <w:highlight w:val="none"/>
        </w:rPr>
        <w:t>)</w:t>
      </w:r>
      <w:r>
        <w:rPr>
          <w:rFonts w:hint="eastAsia"/>
          <w:color w:val="auto"/>
          <w:szCs w:val="21"/>
          <w:highlight w:val="none"/>
        </w:rPr>
        <w:t>，制定本规定。</w:t>
      </w:r>
    </w:p>
    <w:p w14:paraId="7C2E9212">
      <w:pPr>
        <w:pStyle w:val="8"/>
        <w:rPr>
          <w:color w:val="auto"/>
          <w:szCs w:val="21"/>
          <w:highlight w:val="none"/>
        </w:rPr>
      </w:pPr>
      <w:r>
        <w:rPr>
          <w:rFonts w:hint="eastAsia"/>
          <w:color w:val="auto"/>
          <w:szCs w:val="21"/>
          <w:highlight w:val="none"/>
        </w:rPr>
        <w:t>　　二、中小企业划分为中型、小型、微型三种类型，具体标准根据企业从业人员、营业收入、资产总额等指标，结合行业特点制定。</w:t>
      </w:r>
    </w:p>
    <w:p w14:paraId="14E6027E">
      <w:pPr>
        <w:pStyle w:val="8"/>
        <w:rPr>
          <w:color w:val="auto"/>
          <w:szCs w:val="21"/>
          <w:highlight w:val="none"/>
        </w:rPr>
      </w:pPr>
      <w:r>
        <w:rPr>
          <w:rFonts w:hint="eastAsia"/>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75AE510">
      <w:pPr>
        <w:pStyle w:val="8"/>
        <w:rPr>
          <w:color w:val="auto"/>
          <w:szCs w:val="21"/>
          <w:highlight w:val="none"/>
        </w:rPr>
      </w:pPr>
      <w:r>
        <w:rPr>
          <w:rFonts w:hint="eastAsia"/>
          <w:color w:val="auto"/>
          <w:szCs w:val="21"/>
          <w:highlight w:val="none"/>
        </w:rPr>
        <w:t>　　四、各行业划型标准为：</w:t>
      </w:r>
    </w:p>
    <w:p w14:paraId="10AF04F1">
      <w:pPr>
        <w:pStyle w:val="8"/>
        <w:rPr>
          <w:color w:val="auto"/>
          <w:szCs w:val="21"/>
          <w:highlight w:val="none"/>
        </w:rPr>
      </w:pPr>
      <w:r>
        <w:rPr>
          <w:rFonts w:hint="eastAsia"/>
          <w:color w:val="auto"/>
          <w:szCs w:val="21"/>
          <w:highlight w:val="none"/>
        </w:rPr>
        <w:t>　　（一）农、林、牧、渔业。营业收入</w:t>
      </w:r>
      <w:r>
        <w:rPr>
          <w:color w:val="auto"/>
          <w:szCs w:val="21"/>
          <w:highlight w:val="none"/>
        </w:rPr>
        <w:t>20000</w:t>
      </w:r>
      <w:r>
        <w:rPr>
          <w:rFonts w:hint="eastAsia"/>
          <w:color w:val="auto"/>
          <w:szCs w:val="21"/>
          <w:highlight w:val="none"/>
        </w:rPr>
        <w:t>万元以下的为中小微型企业。其中，营业收入</w:t>
      </w:r>
      <w:r>
        <w:rPr>
          <w:color w:val="auto"/>
          <w:szCs w:val="21"/>
          <w:highlight w:val="none"/>
        </w:rPr>
        <w:t>500</w:t>
      </w:r>
      <w:r>
        <w:rPr>
          <w:rFonts w:hint="eastAsia"/>
          <w:color w:val="auto"/>
          <w:szCs w:val="21"/>
          <w:highlight w:val="none"/>
        </w:rPr>
        <w:t>万元及以上的为中型企业，营业收入</w:t>
      </w:r>
      <w:r>
        <w:rPr>
          <w:color w:val="auto"/>
          <w:szCs w:val="21"/>
          <w:highlight w:val="none"/>
        </w:rPr>
        <w:t>50</w:t>
      </w:r>
      <w:r>
        <w:rPr>
          <w:rFonts w:hint="eastAsia"/>
          <w:color w:val="auto"/>
          <w:szCs w:val="21"/>
          <w:highlight w:val="none"/>
        </w:rPr>
        <w:t>万元及以上的为小型企业，营业收入</w:t>
      </w:r>
      <w:r>
        <w:rPr>
          <w:color w:val="auto"/>
          <w:szCs w:val="21"/>
          <w:highlight w:val="none"/>
        </w:rPr>
        <w:t>50</w:t>
      </w:r>
      <w:r>
        <w:rPr>
          <w:rFonts w:hint="eastAsia"/>
          <w:color w:val="auto"/>
          <w:szCs w:val="21"/>
          <w:highlight w:val="none"/>
        </w:rPr>
        <w:t>万元以下的为微型企业。</w:t>
      </w:r>
    </w:p>
    <w:p w14:paraId="6F966167">
      <w:pPr>
        <w:pStyle w:val="8"/>
        <w:rPr>
          <w:color w:val="auto"/>
          <w:szCs w:val="21"/>
          <w:highlight w:val="none"/>
        </w:rPr>
      </w:pPr>
      <w:r>
        <w:rPr>
          <w:rFonts w:hint="eastAsia"/>
          <w:color w:val="auto"/>
          <w:szCs w:val="21"/>
          <w:highlight w:val="none"/>
        </w:rPr>
        <w:t>　　（二）工业。从业人员</w:t>
      </w:r>
      <w:r>
        <w:rPr>
          <w:color w:val="auto"/>
          <w:szCs w:val="21"/>
          <w:highlight w:val="none"/>
        </w:rPr>
        <w:t>1000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300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300</w:t>
      </w:r>
      <w:r>
        <w:rPr>
          <w:rFonts w:hint="eastAsia"/>
          <w:color w:val="auto"/>
          <w:szCs w:val="21"/>
          <w:highlight w:val="none"/>
        </w:rPr>
        <w:t>万元以下的为微型企业。</w:t>
      </w:r>
    </w:p>
    <w:p w14:paraId="068D18EF">
      <w:pPr>
        <w:pStyle w:val="8"/>
        <w:rPr>
          <w:color w:val="auto"/>
          <w:szCs w:val="21"/>
          <w:highlight w:val="none"/>
        </w:rPr>
      </w:pPr>
      <w:r>
        <w:rPr>
          <w:rFonts w:hint="eastAsia"/>
          <w:color w:val="auto"/>
          <w:szCs w:val="21"/>
          <w:highlight w:val="none"/>
        </w:rPr>
        <w:t>　　（三）建筑业。营业收入</w:t>
      </w:r>
      <w:r>
        <w:rPr>
          <w:color w:val="auto"/>
          <w:szCs w:val="21"/>
          <w:highlight w:val="none"/>
        </w:rPr>
        <w:t>80000</w:t>
      </w:r>
      <w:r>
        <w:rPr>
          <w:rFonts w:hint="eastAsia"/>
          <w:color w:val="auto"/>
          <w:szCs w:val="21"/>
          <w:highlight w:val="none"/>
        </w:rPr>
        <w:t>万元以下或资产总额</w:t>
      </w:r>
      <w:r>
        <w:rPr>
          <w:color w:val="auto"/>
          <w:szCs w:val="21"/>
          <w:highlight w:val="none"/>
        </w:rPr>
        <w:t>80000</w:t>
      </w:r>
      <w:r>
        <w:rPr>
          <w:rFonts w:hint="eastAsia"/>
          <w:color w:val="auto"/>
          <w:szCs w:val="21"/>
          <w:highlight w:val="none"/>
        </w:rPr>
        <w:t>万元以下的为中小微型企业。其中，营业收入</w:t>
      </w:r>
      <w:r>
        <w:rPr>
          <w:color w:val="auto"/>
          <w:szCs w:val="21"/>
          <w:highlight w:val="none"/>
        </w:rPr>
        <w:t>6000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300</w:t>
      </w:r>
      <w:r>
        <w:rPr>
          <w:rFonts w:hint="eastAsia"/>
          <w:color w:val="auto"/>
          <w:szCs w:val="21"/>
          <w:highlight w:val="none"/>
        </w:rPr>
        <w:t>万元及以上，且资产总额</w:t>
      </w:r>
      <w:r>
        <w:rPr>
          <w:color w:val="auto"/>
          <w:szCs w:val="21"/>
          <w:highlight w:val="none"/>
        </w:rPr>
        <w:t>300</w:t>
      </w:r>
      <w:r>
        <w:rPr>
          <w:rFonts w:hint="eastAsia"/>
          <w:color w:val="auto"/>
          <w:szCs w:val="21"/>
          <w:highlight w:val="none"/>
        </w:rPr>
        <w:t>万元及以上的为小型企业；营业收入</w:t>
      </w:r>
      <w:r>
        <w:rPr>
          <w:color w:val="auto"/>
          <w:szCs w:val="21"/>
          <w:highlight w:val="none"/>
        </w:rPr>
        <w:t>300</w:t>
      </w:r>
      <w:r>
        <w:rPr>
          <w:rFonts w:hint="eastAsia"/>
          <w:color w:val="auto"/>
          <w:szCs w:val="21"/>
          <w:highlight w:val="none"/>
        </w:rPr>
        <w:t>万元以下或资产总额</w:t>
      </w:r>
      <w:r>
        <w:rPr>
          <w:color w:val="auto"/>
          <w:szCs w:val="21"/>
          <w:highlight w:val="none"/>
        </w:rPr>
        <w:t>300</w:t>
      </w:r>
      <w:r>
        <w:rPr>
          <w:rFonts w:hint="eastAsia"/>
          <w:color w:val="auto"/>
          <w:szCs w:val="21"/>
          <w:highlight w:val="none"/>
        </w:rPr>
        <w:t>万元以下的为微型企业。</w:t>
      </w:r>
    </w:p>
    <w:p w14:paraId="189DB880">
      <w:pPr>
        <w:pStyle w:val="8"/>
        <w:rPr>
          <w:color w:val="auto"/>
          <w:szCs w:val="21"/>
          <w:highlight w:val="none"/>
        </w:rPr>
      </w:pPr>
      <w:r>
        <w:rPr>
          <w:rFonts w:hint="eastAsia"/>
          <w:color w:val="auto"/>
          <w:szCs w:val="21"/>
          <w:highlight w:val="none"/>
        </w:rPr>
        <w:t>　　（四）批发业。从业人员</w:t>
      </w:r>
      <w:r>
        <w:rPr>
          <w:color w:val="auto"/>
          <w:szCs w:val="21"/>
          <w:highlight w:val="none"/>
        </w:rPr>
        <w:t>200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20</w:t>
      </w:r>
      <w:r>
        <w:rPr>
          <w:rFonts w:hint="eastAsia"/>
          <w:color w:val="auto"/>
          <w:szCs w:val="21"/>
          <w:highlight w:val="none"/>
        </w:rPr>
        <w:t>人及以上，且营业收入</w:t>
      </w:r>
      <w:r>
        <w:rPr>
          <w:color w:val="auto"/>
          <w:szCs w:val="21"/>
          <w:highlight w:val="none"/>
        </w:rPr>
        <w:t>5000</w:t>
      </w:r>
      <w:r>
        <w:rPr>
          <w:rFonts w:hint="eastAsia"/>
          <w:color w:val="auto"/>
          <w:szCs w:val="21"/>
          <w:highlight w:val="none"/>
        </w:rPr>
        <w:t>万元及以上的为中型企业；从业人员</w:t>
      </w:r>
      <w:r>
        <w:rPr>
          <w:color w:val="auto"/>
          <w:szCs w:val="21"/>
          <w:highlight w:val="none"/>
        </w:rPr>
        <w:t>5</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万元及以上的为小型企业；从业人员</w:t>
      </w:r>
      <w:r>
        <w:rPr>
          <w:color w:val="auto"/>
          <w:szCs w:val="21"/>
          <w:highlight w:val="none"/>
        </w:rPr>
        <w:t>5</w:t>
      </w:r>
      <w:r>
        <w:rPr>
          <w:rFonts w:hint="eastAsia"/>
          <w:color w:val="auto"/>
          <w:szCs w:val="21"/>
          <w:highlight w:val="none"/>
        </w:rPr>
        <w:t>人以下或营业收入</w:t>
      </w:r>
      <w:r>
        <w:rPr>
          <w:color w:val="auto"/>
          <w:szCs w:val="21"/>
          <w:highlight w:val="none"/>
        </w:rPr>
        <w:t>1000</w:t>
      </w:r>
      <w:r>
        <w:rPr>
          <w:rFonts w:hint="eastAsia"/>
          <w:color w:val="auto"/>
          <w:szCs w:val="21"/>
          <w:highlight w:val="none"/>
        </w:rPr>
        <w:t>万元以下的为微型企业。</w:t>
      </w:r>
    </w:p>
    <w:p w14:paraId="598A79D8">
      <w:pPr>
        <w:pStyle w:val="8"/>
        <w:rPr>
          <w:color w:val="auto"/>
          <w:szCs w:val="21"/>
          <w:highlight w:val="none"/>
        </w:rPr>
      </w:pPr>
      <w:r>
        <w:rPr>
          <w:rFonts w:hint="eastAsia"/>
          <w:color w:val="auto"/>
          <w:szCs w:val="21"/>
          <w:highlight w:val="none"/>
        </w:rPr>
        <w:t>　　（五）零售业。从业人员</w:t>
      </w:r>
      <w:r>
        <w:rPr>
          <w:color w:val="auto"/>
          <w:szCs w:val="21"/>
          <w:highlight w:val="none"/>
        </w:rPr>
        <w:t>300</w:t>
      </w:r>
      <w:r>
        <w:rPr>
          <w:rFonts w:hint="eastAsia"/>
          <w:color w:val="auto"/>
          <w:szCs w:val="21"/>
          <w:highlight w:val="none"/>
        </w:rPr>
        <w:t>人以下或营业收入</w:t>
      </w:r>
      <w:r>
        <w:rPr>
          <w:color w:val="auto"/>
          <w:szCs w:val="21"/>
          <w:highlight w:val="none"/>
        </w:rPr>
        <w:t>20000</w:t>
      </w:r>
      <w:r>
        <w:rPr>
          <w:rFonts w:hint="eastAsia"/>
          <w:color w:val="auto"/>
          <w:szCs w:val="21"/>
          <w:highlight w:val="none"/>
        </w:rPr>
        <w:t>万元以下的为中小微型企业。其中，从业人员</w:t>
      </w:r>
      <w:r>
        <w:rPr>
          <w:color w:val="auto"/>
          <w:szCs w:val="21"/>
          <w:highlight w:val="none"/>
        </w:rPr>
        <w:t>50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7403EB3A">
      <w:pPr>
        <w:pStyle w:val="8"/>
        <w:rPr>
          <w:color w:val="auto"/>
          <w:szCs w:val="21"/>
          <w:highlight w:val="none"/>
        </w:rPr>
      </w:pPr>
      <w:r>
        <w:rPr>
          <w:rFonts w:hint="eastAsia"/>
          <w:color w:val="auto"/>
          <w:szCs w:val="21"/>
          <w:highlight w:val="none"/>
        </w:rPr>
        <w:t>　　（六）交通运输业。从业人员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3000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200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200</w:t>
      </w:r>
      <w:r>
        <w:rPr>
          <w:rFonts w:hint="eastAsia"/>
          <w:color w:val="auto"/>
          <w:szCs w:val="21"/>
          <w:highlight w:val="none"/>
        </w:rPr>
        <w:t>万元以下的为微型企业。</w:t>
      </w:r>
    </w:p>
    <w:p w14:paraId="65F2F1AF">
      <w:pPr>
        <w:pStyle w:val="8"/>
        <w:rPr>
          <w:color w:val="auto"/>
          <w:szCs w:val="21"/>
          <w:highlight w:val="none"/>
        </w:rPr>
      </w:pPr>
      <w:r>
        <w:rPr>
          <w:rFonts w:hint="eastAsia"/>
          <w:color w:val="auto"/>
          <w:szCs w:val="21"/>
          <w:highlight w:val="none"/>
        </w:rPr>
        <w:t>　　（七）仓储业。从业人员</w:t>
      </w:r>
      <w:r>
        <w:rPr>
          <w:color w:val="auto"/>
          <w:szCs w:val="21"/>
          <w:highlight w:val="none"/>
        </w:rPr>
        <w:t>200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39AE041B">
      <w:pPr>
        <w:pStyle w:val="8"/>
        <w:rPr>
          <w:color w:val="auto"/>
          <w:szCs w:val="21"/>
          <w:highlight w:val="none"/>
        </w:rPr>
      </w:pPr>
      <w:r>
        <w:rPr>
          <w:rFonts w:hint="eastAsia"/>
          <w:color w:val="auto"/>
          <w:szCs w:val="21"/>
          <w:highlight w:val="none"/>
        </w:rPr>
        <w:t>　　（八）邮政业。从业人员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03F1C694">
      <w:pPr>
        <w:pStyle w:val="8"/>
        <w:rPr>
          <w:color w:val="auto"/>
          <w:szCs w:val="21"/>
          <w:highlight w:val="none"/>
        </w:rPr>
      </w:pPr>
      <w:r>
        <w:rPr>
          <w:rFonts w:hint="eastAsia"/>
          <w:color w:val="auto"/>
          <w:szCs w:val="21"/>
          <w:highlight w:val="none"/>
        </w:rPr>
        <w:t>　　（九）住宿业。从业人员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754AC36D">
      <w:pPr>
        <w:pStyle w:val="8"/>
        <w:rPr>
          <w:color w:val="auto"/>
          <w:szCs w:val="21"/>
          <w:highlight w:val="none"/>
        </w:rPr>
      </w:pPr>
      <w:r>
        <w:rPr>
          <w:rFonts w:hint="eastAsia"/>
          <w:color w:val="auto"/>
          <w:szCs w:val="21"/>
          <w:highlight w:val="none"/>
        </w:rPr>
        <w:t>　　（十）餐饮业。从业人员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18B8B8FA">
      <w:pPr>
        <w:pStyle w:val="8"/>
        <w:rPr>
          <w:color w:val="auto"/>
          <w:szCs w:val="21"/>
          <w:highlight w:val="none"/>
        </w:rPr>
      </w:pPr>
      <w:r>
        <w:rPr>
          <w:rFonts w:hint="eastAsia"/>
          <w:color w:val="auto"/>
          <w:szCs w:val="21"/>
          <w:highlight w:val="none"/>
        </w:rPr>
        <w:t>　　（十一）信息传输业。从业人员</w:t>
      </w:r>
      <w:r>
        <w:rPr>
          <w:color w:val="auto"/>
          <w:szCs w:val="21"/>
          <w:highlight w:val="none"/>
        </w:rPr>
        <w:t>2000</w:t>
      </w:r>
      <w:r>
        <w:rPr>
          <w:rFonts w:hint="eastAsia"/>
          <w:color w:val="auto"/>
          <w:szCs w:val="21"/>
          <w:highlight w:val="none"/>
        </w:rPr>
        <w:t>人以下或营业收入</w:t>
      </w:r>
      <w:r>
        <w:rPr>
          <w:color w:val="auto"/>
          <w:szCs w:val="21"/>
          <w:highlight w:val="none"/>
        </w:rPr>
        <w:t>100000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2A9AC3F0">
      <w:pPr>
        <w:pStyle w:val="8"/>
        <w:rPr>
          <w:color w:val="auto"/>
          <w:szCs w:val="21"/>
          <w:highlight w:val="none"/>
        </w:rPr>
      </w:pPr>
      <w:r>
        <w:rPr>
          <w:rFonts w:hint="eastAsia"/>
          <w:color w:val="auto"/>
          <w:szCs w:val="21"/>
          <w:highlight w:val="none"/>
        </w:rPr>
        <w:t>　　（十二）软件和信息技术服务业。从业人员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50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50</w:t>
      </w:r>
      <w:r>
        <w:rPr>
          <w:rFonts w:hint="eastAsia"/>
          <w:color w:val="auto"/>
          <w:szCs w:val="21"/>
          <w:highlight w:val="none"/>
        </w:rPr>
        <w:t>万元以下的为微型企业。</w:t>
      </w:r>
    </w:p>
    <w:p w14:paraId="1CA14BC0">
      <w:pPr>
        <w:pStyle w:val="8"/>
        <w:rPr>
          <w:color w:val="auto"/>
          <w:szCs w:val="21"/>
          <w:highlight w:val="none"/>
        </w:rPr>
      </w:pPr>
      <w:r>
        <w:rPr>
          <w:rFonts w:hint="eastAsia"/>
          <w:color w:val="auto"/>
          <w:szCs w:val="21"/>
          <w:highlight w:val="none"/>
        </w:rPr>
        <w:t>　　（十三）房地产开发经营。营业收入</w:t>
      </w:r>
      <w:r>
        <w:rPr>
          <w:color w:val="auto"/>
          <w:szCs w:val="21"/>
          <w:highlight w:val="none"/>
        </w:rPr>
        <w:t>200000</w:t>
      </w:r>
      <w:r>
        <w:rPr>
          <w:rFonts w:hint="eastAsia"/>
          <w:color w:val="auto"/>
          <w:szCs w:val="21"/>
          <w:highlight w:val="none"/>
        </w:rPr>
        <w:t>万元以下或资产总额</w:t>
      </w:r>
      <w:r>
        <w:rPr>
          <w:color w:val="auto"/>
          <w:szCs w:val="21"/>
          <w:highlight w:val="none"/>
        </w:rPr>
        <w:t>10000</w:t>
      </w:r>
      <w:r>
        <w:rPr>
          <w:rFonts w:hint="eastAsia"/>
          <w:color w:val="auto"/>
          <w:szCs w:val="21"/>
          <w:highlight w:val="none"/>
        </w:rPr>
        <w:t>万元以下的为中小微型企业。其中，营业收入</w:t>
      </w:r>
      <w:r>
        <w:rPr>
          <w:color w:val="auto"/>
          <w:szCs w:val="21"/>
          <w:highlight w:val="none"/>
        </w:rPr>
        <w:t>1000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100</w:t>
      </w:r>
      <w:r>
        <w:rPr>
          <w:rFonts w:hint="eastAsia"/>
          <w:color w:val="auto"/>
          <w:szCs w:val="21"/>
          <w:highlight w:val="none"/>
        </w:rPr>
        <w:t>万元及以上，且资产总额</w:t>
      </w:r>
      <w:r>
        <w:rPr>
          <w:color w:val="auto"/>
          <w:szCs w:val="21"/>
          <w:highlight w:val="none"/>
        </w:rPr>
        <w:t>2000</w:t>
      </w:r>
      <w:r>
        <w:rPr>
          <w:rFonts w:hint="eastAsia"/>
          <w:color w:val="auto"/>
          <w:szCs w:val="21"/>
          <w:highlight w:val="none"/>
        </w:rPr>
        <w:t>万元及以上的为小型企业；营业收入</w:t>
      </w:r>
      <w:r>
        <w:rPr>
          <w:color w:val="auto"/>
          <w:szCs w:val="21"/>
          <w:highlight w:val="none"/>
        </w:rPr>
        <w:t>100</w:t>
      </w:r>
      <w:r>
        <w:rPr>
          <w:rFonts w:hint="eastAsia"/>
          <w:color w:val="auto"/>
          <w:szCs w:val="21"/>
          <w:highlight w:val="none"/>
        </w:rPr>
        <w:t>万元以下或资产总额</w:t>
      </w:r>
      <w:r>
        <w:rPr>
          <w:color w:val="auto"/>
          <w:szCs w:val="21"/>
          <w:highlight w:val="none"/>
        </w:rPr>
        <w:t>2000</w:t>
      </w:r>
      <w:r>
        <w:rPr>
          <w:rFonts w:hint="eastAsia"/>
          <w:color w:val="auto"/>
          <w:szCs w:val="21"/>
          <w:highlight w:val="none"/>
        </w:rPr>
        <w:t>万元以下的为微型企业。</w:t>
      </w:r>
    </w:p>
    <w:p w14:paraId="063C74CB">
      <w:pPr>
        <w:pStyle w:val="8"/>
        <w:rPr>
          <w:color w:val="auto"/>
          <w:szCs w:val="21"/>
          <w:highlight w:val="none"/>
        </w:rPr>
      </w:pPr>
      <w:r>
        <w:rPr>
          <w:rFonts w:hint="eastAsia"/>
          <w:color w:val="auto"/>
          <w:szCs w:val="21"/>
          <w:highlight w:val="none"/>
        </w:rPr>
        <w:t>　　（十四）物业管理。从业人员</w:t>
      </w:r>
      <w:r>
        <w:rPr>
          <w:color w:val="auto"/>
          <w:szCs w:val="21"/>
          <w:highlight w:val="none"/>
        </w:rPr>
        <w:t>1000</w:t>
      </w:r>
      <w:r>
        <w:rPr>
          <w:rFonts w:hint="eastAsia"/>
          <w:color w:val="auto"/>
          <w:szCs w:val="21"/>
          <w:highlight w:val="none"/>
        </w:rPr>
        <w:t>人以下或营业收入</w:t>
      </w:r>
      <w:r>
        <w:rPr>
          <w:color w:val="auto"/>
          <w:szCs w:val="21"/>
          <w:highlight w:val="none"/>
        </w:rPr>
        <w:t>5000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万元及以上的为小型企业；从业人员</w:t>
      </w:r>
      <w:r>
        <w:rPr>
          <w:color w:val="auto"/>
          <w:szCs w:val="21"/>
          <w:highlight w:val="none"/>
        </w:rPr>
        <w:t>100</w:t>
      </w:r>
      <w:r>
        <w:rPr>
          <w:rFonts w:hint="eastAsia"/>
          <w:color w:val="auto"/>
          <w:szCs w:val="21"/>
          <w:highlight w:val="none"/>
        </w:rPr>
        <w:t>人以下或营业收入</w:t>
      </w:r>
      <w:r>
        <w:rPr>
          <w:color w:val="auto"/>
          <w:szCs w:val="21"/>
          <w:highlight w:val="none"/>
        </w:rPr>
        <w:t>500</w:t>
      </w:r>
      <w:r>
        <w:rPr>
          <w:rFonts w:hint="eastAsia"/>
          <w:color w:val="auto"/>
          <w:szCs w:val="21"/>
          <w:highlight w:val="none"/>
        </w:rPr>
        <w:t>万元以下的为微型企业。</w:t>
      </w:r>
    </w:p>
    <w:p w14:paraId="38EA9064">
      <w:pPr>
        <w:pStyle w:val="8"/>
        <w:rPr>
          <w:color w:val="auto"/>
          <w:szCs w:val="21"/>
          <w:highlight w:val="none"/>
        </w:rPr>
      </w:pPr>
      <w:r>
        <w:rPr>
          <w:rFonts w:hint="eastAsia"/>
          <w:color w:val="auto"/>
          <w:szCs w:val="21"/>
          <w:highlight w:val="none"/>
        </w:rPr>
        <w:t>　　（十五）租赁和商务服务业。从业人员</w:t>
      </w:r>
      <w:r>
        <w:rPr>
          <w:color w:val="auto"/>
          <w:szCs w:val="21"/>
          <w:highlight w:val="none"/>
        </w:rPr>
        <w:t>300</w:t>
      </w:r>
      <w:r>
        <w:rPr>
          <w:rFonts w:hint="eastAsia"/>
          <w:color w:val="auto"/>
          <w:szCs w:val="21"/>
          <w:highlight w:val="none"/>
        </w:rPr>
        <w:t>人以下或资产总额</w:t>
      </w:r>
      <w:r>
        <w:rPr>
          <w:color w:val="auto"/>
          <w:szCs w:val="21"/>
          <w:highlight w:val="none"/>
        </w:rPr>
        <w:t>120000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人及以上，且资产总额</w:t>
      </w:r>
      <w:r>
        <w:rPr>
          <w:color w:val="auto"/>
          <w:szCs w:val="21"/>
          <w:highlight w:val="none"/>
        </w:rPr>
        <w:t>8000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人及以上，且资产总额</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人以下或资产总额</w:t>
      </w:r>
      <w:r>
        <w:rPr>
          <w:color w:val="auto"/>
          <w:szCs w:val="21"/>
          <w:highlight w:val="none"/>
        </w:rPr>
        <w:t>100</w:t>
      </w:r>
      <w:r>
        <w:rPr>
          <w:rFonts w:hint="eastAsia"/>
          <w:color w:val="auto"/>
          <w:szCs w:val="21"/>
          <w:highlight w:val="none"/>
        </w:rPr>
        <w:t>万元以下的为微型企业。</w:t>
      </w:r>
    </w:p>
    <w:p w14:paraId="0419046E">
      <w:pPr>
        <w:pStyle w:val="8"/>
        <w:rPr>
          <w:color w:val="auto"/>
          <w:szCs w:val="21"/>
          <w:highlight w:val="none"/>
        </w:rPr>
      </w:pPr>
      <w:r>
        <w:rPr>
          <w:rFonts w:hint="eastAsia"/>
          <w:color w:val="auto"/>
          <w:szCs w:val="21"/>
          <w:highlight w:val="none"/>
        </w:rPr>
        <w:t>　　（十六）其他未列明行业。从业人员</w:t>
      </w:r>
      <w:r>
        <w:rPr>
          <w:color w:val="auto"/>
          <w:szCs w:val="21"/>
          <w:highlight w:val="none"/>
        </w:rPr>
        <w:t>300</w:t>
      </w:r>
      <w:r>
        <w:rPr>
          <w:rFonts w:hint="eastAsia"/>
          <w:color w:val="auto"/>
          <w:szCs w:val="21"/>
          <w:highlight w:val="none"/>
        </w:rPr>
        <w:t>人以下的为中小微型企业。其中，从业人员</w:t>
      </w:r>
      <w:r>
        <w:rPr>
          <w:color w:val="auto"/>
          <w:szCs w:val="21"/>
          <w:highlight w:val="none"/>
        </w:rPr>
        <w:t>100</w:t>
      </w:r>
      <w:r>
        <w:rPr>
          <w:rFonts w:hint="eastAsia"/>
          <w:color w:val="auto"/>
          <w:szCs w:val="21"/>
          <w:highlight w:val="none"/>
        </w:rPr>
        <w:t>人及以上的为中型企业；从业人员</w:t>
      </w:r>
      <w:r>
        <w:rPr>
          <w:color w:val="auto"/>
          <w:szCs w:val="21"/>
          <w:highlight w:val="none"/>
        </w:rPr>
        <w:t>10</w:t>
      </w:r>
      <w:r>
        <w:rPr>
          <w:rFonts w:hint="eastAsia"/>
          <w:color w:val="auto"/>
          <w:szCs w:val="21"/>
          <w:highlight w:val="none"/>
        </w:rPr>
        <w:t>人及以上的为小型企业；从业人员</w:t>
      </w:r>
      <w:r>
        <w:rPr>
          <w:color w:val="auto"/>
          <w:szCs w:val="21"/>
          <w:highlight w:val="none"/>
        </w:rPr>
        <w:t>10</w:t>
      </w:r>
      <w:r>
        <w:rPr>
          <w:rFonts w:hint="eastAsia"/>
          <w:color w:val="auto"/>
          <w:szCs w:val="21"/>
          <w:highlight w:val="none"/>
        </w:rPr>
        <w:t>人以下的为微型企业。</w:t>
      </w:r>
    </w:p>
    <w:p w14:paraId="3E0E42F0">
      <w:pPr>
        <w:pStyle w:val="8"/>
        <w:rPr>
          <w:color w:val="auto"/>
          <w:szCs w:val="21"/>
          <w:highlight w:val="none"/>
        </w:rPr>
      </w:pPr>
      <w:r>
        <w:rPr>
          <w:rFonts w:hint="eastAsia"/>
          <w:color w:val="auto"/>
          <w:szCs w:val="21"/>
          <w:highlight w:val="none"/>
        </w:rPr>
        <w:t>　　五、企业类型的划分以统计部门的统计数据为依据。</w:t>
      </w:r>
    </w:p>
    <w:p w14:paraId="6906B677">
      <w:pPr>
        <w:pStyle w:val="8"/>
        <w:rPr>
          <w:color w:val="auto"/>
          <w:szCs w:val="21"/>
          <w:highlight w:val="none"/>
        </w:rPr>
      </w:pPr>
      <w:r>
        <w:rPr>
          <w:rFonts w:hint="eastAsia"/>
          <w:color w:val="auto"/>
          <w:szCs w:val="21"/>
          <w:highlight w:val="none"/>
        </w:rPr>
        <w:t>　　六、本规定适用于在中华人民共和国境内依法设立的各类所有制和各种组织形式的企业。个体工商户和本规定以外的行业，参照本规定进行划型。</w:t>
      </w:r>
    </w:p>
    <w:p w14:paraId="62C02A52">
      <w:pPr>
        <w:pStyle w:val="8"/>
        <w:rPr>
          <w:color w:val="auto"/>
          <w:szCs w:val="21"/>
          <w:highlight w:val="none"/>
        </w:rPr>
      </w:pPr>
      <w:r>
        <w:rPr>
          <w:rFonts w:hint="eastAsia"/>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13831E2C">
      <w:pPr>
        <w:pStyle w:val="8"/>
        <w:rPr>
          <w:color w:val="auto"/>
          <w:szCs w:val="21"/>
          <w:highlight w:val="none"/>
        </w:rPr>
      </w:pPr>
      <w:r>
        <w:rPr>
          <w:rFonts w:hint="eastAsia"/>
          <w:color w:val="auto"/>
          <w:szCs w:val="21"/>
          <w:highlight w:val="none"/>
        </w:rPr>
        <w:t>　　八、本规定由工业和信息化部、国家统计局会同有关部门根据《国民经济行业分类》修订情况和企业发展变化情况适时修订。</w:t>
      </w:r>
    </w:p>
    <w:p w14:paraId="17E914F2">
      <w:pPr>
        <w:pStyle w:val="8"/>
        <w:rPr>
          <w:color w:val="auto"/>
          <w:szCs w:val="21"/>
          <w:highlight w:val="none"/>
        </w:rPr>
      </w:pPr>
      <w:r>
        <w:rPr>
          <w:rFonts w:hint="eastAsia"/>
          <w:color w:val="auto"/>
          <w:szCs w:val="21"/>
          <w:highlight w:val="none"/>
        </w:rPr>
        <w:t>　　九、本规定由工业和信息化部、国家统计局会同有关部门负责解释。</w:t>
      </w:r>
    </w:p>
    <w:p w14:paraId="260F75B7">
      <w:pPr>
        <w:pStyle w:val="8"/>
        <w:ind w:firstLine="420"/>
        <w:rPr>
          <w:rFonts w:hint="eastAsia"/>
          <w:color w:val="auto"/>
          <w:szCs w:val="21"/>
          <w:highlight w:val="none"/>
        </w:rPr>
      </w:pPr>
      <w:r>
        <w:rPr>
          <w:rFonts w:hint="eastAsia"/>
          <w:color w:val="auto"/>
          <w:szCs w:val="21"/>
          <w:highlight w:val="none"/>
        </w:rPr>
        <w:t>十、本规定自发布之日起执行，原国家经贸委、原国家计委、财政部和国家统计局</w:t>
      </w:r>
      <w:r>
        <w:rPr>
          <w:color w:val="auto"/>
          <w:szCs w:val="21"/>
          <w:highlight w:val="none"/>
        </w:rPr>
        <w:t>2003</w:t>
      </w:r>
      <w:r>
        <w:rPr>
          <w:rFonts w:hint="eastAsia"/>
          <w:color w:val="auto"/>
          <w:szCs w:val="21"/>
          <w:highlight w:val="none"/>
        </w:rPr>
        <w:t>年颁布的《中小企业标准暂行规定》同时废止。</w:t>
      </w:r>
    </w:p>
    <w:p w14:paraId="28602006">
      <w:pPr>
        <w:pStyle w:val="8"/>
        <w:ind w:firstLine="420"/>
        <w:rPr>
          <w:color w:val="auto"/>
          <w:szCs w:val="21"/>
          <w:highlight w:val="none"/>
        </w:rPr>
      </w:pPr>
      <w:r>
        <w:rPr>
          <w:rFonts w:hint="eastAsia"/>
          <w:color w:val="auto"/>
          <w:szCs w:val="21"/>
          <w:highlight w:val="none"/>
        </w:rPr>
        <w:br w:type="page"/>
      </w:r>
    </w:p>
    <w:p w14:paraId="0DF968A1">
      <w:pPr>
        <w:pStyle w:val="2"/>
        <w:jc w:val="center"/>
        <w:rPr>
          <w:rFonts w:hint="eastAsia" w:ascii="宋体" w:hAnsi="宋体" w:cs="宋体"/>
          <w:color w:val="auto"/>
          <w:highlight w:val="none"/>
        </w:rPr>
      </w:pPr>
      <w:bookmarkStart w:id="36" w:name="_Toc9650"/>
      <w:r>
        <w:rPr>
          <w:rFonts w:hint="eastAsia" w:ascii="宋体" w:hAnsi="宋体" w:cs="宋体"/>
          <w:color w:val="auto"/>
          <w:highlight w:val="none"/>
        </w:rPr>
        <w:t>第四章 评审程序、评审方法和评审标准</w:t>
      </w:r>
      <w:bookmarkEnd w:id="36"/>
    </w:p>
    <w:p w14:paraId="2D4B5C5E">
      <w:pPr>
        <w:pStyle w:val="12"/>
        <w:rPr>
          <w:rFonts w:hint="eastAsia" w:ascii="宋体" w:hAnsi="宋体" w:cs="宋体"/>
          <w:color w:val="auto"/>
          <w:highlight w:val="none"/>
        </w:rPr>
      </w:pPr>
    </w:p>
    <w:p w14:paraId="1F74D739">
      <w:pPr>
        <w:spacing w:line="400" w:lineRule="exact"/>
        <w:ind w:firstLine="562"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rPr>
        <w:t>一、评审程序和评审方法</w:t>
      </w:r>
    </w:p>
    <w:p w14:paraId="5BA487B8">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72244905">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560262A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6008704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 “信用中国”网站(www.creditchina.gov.cn)、中国政府采购网(www.ccgp.gov.cn)。</w:t>
      </w:r>
    </w:p>
    <w:p w14:paraId="04552B2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711088B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28727F8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3759D8A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7E5ACF26">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1</w:t>
      </w:r>
      <w:r>
        <w:rPr>
          <w:rFonts w:hint="eastAsia" w:ascii="宋体" w:hAnsi="宋体" w:cs="宋体"/>
          <w:b/>
          <w:bCs/>
          <w:color w:val="auto"/>
          <w:szCs w:val="21"/>
          <w:highlight w:val="none"/>
        </w:rPr>
        <w:t>.3供应商有下列情形之一的，资格审查不通过，其响应文件按无效响应处理：</w:t>
      </w:r>
    </w:p>
    <w:p w14:paraId="53EEF282">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rPr>
        <w:t>1</w:t>
      </w:r>
      <w:r>
        <w:rPr>
          <w:rFonts w:hint="eastAsia" w:ascii="宋体" w:hAnsi="宋体" w:cs="宋体"/>
          <w:b/>
          <w:bCs/>
          <w:color w:val="auto"/>
          <w:szCs w:val="21"/>
          <w:highlight w:val="none"/>
        </w:rPr>
        <w:t>）不具备磋商文件中规定的资格要求的；</w:t>
      </w:r>
    </w:p>
    <w:p w14:paraId="21E5141F">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（2）未按磋商文件规定的方式获取本磋商文件的供应商；</w:t>
      </w:r>
    </w:p>
    <w:p w14:paraId="67B21694">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rPr>
        <w:t>3</w:t>
      </w:r>
      <w:r>
        <w:rPr>
          <w:rFonts w:hint="eastAsia" w:ascii="宋体" w:hAnsi="宋体" w:cs="宋体"/>
          <w:b/>
          <w:bCs/>
          <w:color w:val="auto"/>
          <w:szCs w:val="21"/>
          <w:highlight w:val="none"/>
        </w:rPr>
        <w:t>）响应文件的资格证明文件缺少任一项“供应商须知前附表”资格证明文件规定的“必须提供”的文件资料的；</w:t>
      </w:r>
    </w:p>
    <w:p w14:paraId="703F35C3">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rPr>
        <w:t>4</w:t>
      </w:r>
      <w:r>
        <w:rPr>
          <w:rFonts w:hint="eastAsia" w:ascii="宋体" w:hAnsi="宋体" w:cs="宋体"/>
          <w:b/>
          <w:bCs/>
          <w:color w:val="auto"/>
          <w:szCs w:val="21"/>
          <w:highlight w:val="none"/>
        </w:rPr>
        <w:t>）响应文件中的资格证明文件出现任一项不符合“供应商须知前附表”资格证明文件规定的“必须提供”的文件资料要求或者无效的；</w:t>
      </w:r>
    </w:p>
    <w:p w14:paraId="54FFE11C">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rPr>
        <w:t>5</w:t>
      </w:r>
      <w:r>
        <w:rPr>
          <w:rFonts w:hint="eastAsia" w:ascii="宋体" w:hAnsi="宋体" w:cs="宋体"/>
          <w:b/>
          <w:bCs/>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37024A3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38850EFA">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21E4F9A2">
      <w:pPr>
        <w:spacing w:line="360" w:lineRule="auto"/>
        <w:ind w:firstLine="420" w:firstLineChars="200"/>
        <w:rPr>
          <w:rFonts w:hint="eastAsia" w:ascii="宋体" w:hAnsi="宋体" w:cs="宋体"/>
          <w:color w:val="auto"/>
          <w:szCs w:val="21"/>
          <w:highlight w:val="none"/>
        </w:rPr>
      </w:pPr>
      <w:bookmarkStart w:id="37"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37"/>
    <w:p w14:paraId="0336E60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5D256DD">
      <w:pPr>
        <w:spacing w:line="360" w:lineRule="auto"/>
        <w:ind w:firstLine="420" w:firstLineChars="200"/>
        <w:rPr>
          <w:rFonts w:hint="eastAsia"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1F3B7F4C">
      <w:pPr>
        <w:spacing w:line="360" w:lineRule="auto"/>
        <w:ind w:firstLine="420" w:firstLineChars="200"/>
        <w:rPr>
          <w:rFonts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4B8BC010">
      <w:pPr>
        <w:spacing w:line="360" w:lineRule="auto"/>
        <w:ind w:firstLine="396" w:firstLineChars="200"/>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536ACE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6FD8AD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0E2A0C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781A73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551C15B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3A5ECE3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7D67BD14">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在评审时，如发现下列情形之一的，将被视为响应文件无效处理：</w:t>
      </w:r>
    </w:p>
    <w:p w14:paraId="087BF7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5861ACB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055855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270DAC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5A8331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EC576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5）商务、技术要求允许负偏离的条款数超过“供应商须知前附表”规定项数的；</w:t>
      </w:r>
    </w:p>
    <w:p w14:paraId="4F91CA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3D1D85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6A08B7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0F2C44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4F77950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255B0E8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1）虚假竞标，或者出现其他情形而导致被磋商小组认定无效；</w:t>
      </w:r>
    </w:p>
    <w:p w14:paraId="7AD752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bookmarkStart w:id="38"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38"/>
    </w:p>
    <w:p w14:paraId="58C412A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3）响应文件标注的项目名称或者项目编号与磋商文件标注的项目名称或者项目编号不一致的；</w:t>
      </w:r>
    </w:p>
    <w:p w14:paraId="0A9D53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w:t>
      </w:r>
      <w:r>
        <w:rPr>
          <w:rFonts w:hint="eastAsia" w:ascii="宋体" w:hAnsi="宋体"/>
          <w:color w:val="auto"/>
          <w:szCs w:val="21"/>
          <w:highlight w:val="none"/>
        </w:rPr>
        <w:t>竞争性磋商文件明确不允许分包，响应文件拟分包的；</w:t>
      </w:r>
    </w:p>
    <w:p w14:paraId="79FDD1A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5）未响应磋商文件实质性要求；</w:t>
      </w:r>
    </w:p>
    <w:p w14:paraId="4401B3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16）法律、法规和磋商文件规定的其他无效情形。</w:t>
      </w:r>
    </w:p>
    <w:p w14:paraId="4CAC88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0FA876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报价文件中规定的“竞标报价表”；</w:t>
      </w:r>
    </w:p>
    <w:p w14:paraId="2E6CCF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2）未采用折扣系数报价或者未按照磋商文件标明的币种报价；</w:t>
      </w:r>
    </w:p>
    <w:p w14:paraId="169F8E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4BC50C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4）竞标报价（包含首次报价、最后报价）超过所竞标分标规定的采购预算金额或者最高限价的（本项目按折扣系数报价，竞标报价≤100%）；</w:t>
      </w:r>
      <w:bookmarkStart w:id="39" w:name="_Hlk42596405"/>
      <w:r>
        <w:rPr>
          <w:rFonts w:hint="eastAsia" w:ascii="宋体" w:hAnsi="宋体" w:cs="宋体"/>
          <w:color w:val="auto"/>
          <w:szCs w:val="21"/>
          <w:highlight w:val="none"/>
        </w:rPr>
        <w:t>分项竞标报价（包含首次报价、最后报价）</w:t>
      </w:r>
      <w:bookmarkEnd w:id="39"/>
      <w:bookmarkStart w:id="40" w:name="_Hlk42596276"/>
      <w:r>
        <w:rPr>
          <w:rFonts w:hint="eastAsia" w:ascii="宋体" w:hAnsi="宋体" w:cs="宋体"/>
          <w:color w:val="auto"/>
          <w:szCs w:val="21"/>
          <w:highlight w:val="none"/>
        </w:rPr>
        <w:t>超过磋商文件分项采购预算金额或者最高限价的</w:t>
      </w:r>
      <w:bookmarkEnd w:id="40"/>
      <w:r>
        <w:rPr>
          <w:rFonts w:hint="eastAsia" w:ascii="宋体" w:hAnsi="宋体" w:cs="宋体"/>
          <w:color w:val="auto"/>
          <w:szCs w:val="21"/>
          <w:highlight w:val="none"/>
        </w:rPr>
        <w:t>（本项目按折扣系数报价，竞标报价≤100%）；</w:t>
      </w:r>
    </w:p>
    <w:p w14:paraId="673904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本项目按折扣系数报价，竞标报价≤100%）；或者经供应商确认修正后分项竞标报价（包含首次报价、最后报价）超过磋商文件分项采购预算金额或者最高限价的</w:t>
      </w:r>
      <w:r>
        <w:rPr>
          <w:rFonts w:hint="eastAsia" w:ascii="宋体" w:hAnsi="宋体" w:cs="宋体"/>
          <w:color w:val="auto"/>
          <w:szCs w:val="21"/>
          <w:highlight w:val="none"/>
          <w:lang w:eastAsia="zh-CN"/>
        </w:rPr>
        <w:t>（</w:t>
      </w:r>
      <w:r>
        <w:rPr>
          <w:rFonts w:hint="eastAsia"/>
          <w:highlight w:val="none"/>
          <w:lang w:val="en-US" w:eastAsia="zh-CN"/>
        </w:rPr>
        <w:t>本项目按折扣系数报价，竞标报价≤100%</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018191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73BF58C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2C2F64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w:t>
      </w:r>
    </w:p>
    <w:p w14:paraId="00B0A7BC">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6CBD0D9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w:t>
      </w:r>
      <w:r>
        <w:rPr>
          <w:color w:val="auto"/>
          <w:highlight w:val="none"/>
        </w:rPr>
        <w:t>在规定时间内在广西政府采购云平台上参加</w:t>
      </w:r>
      <w:r>
        <w:rPr>
          <w:rFonts w:hint="eastAsia"/>
          <w:color w:val="auto"/>
          <w:highlight w:val="none"/>
        </w:rPr>
        <w:t>磋商</w:t>
      </w:r>
      <w:r>
        <w:rPr>
          <w:rFonts w:hint="eastAsia" w:ascii="宋体" w:hAnsi="宋体" w:cs="宋体"/>
          <w:color w:val="auto"/>
          <w:szCs w:val="21"/>
          <w:highlight w:val="none"/>
        </w:rPr>
        <w:t>，未在规定时间内参加磋商的视同放弃参加磋商权利，其响应文件按无效响应处理。</w:t>
      </w:r>
    </w:p>
    <w:p w14:paraId="2426648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D56DBE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743201C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1EB9B6E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67B23D31">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w:t>
      </w:r>
    </w:p>
    <w:p w14:paraId="3355FB21">
      <w:pPr>
        <w:tabs>
          <w:tab w:val="left" w:pos="2835"/>
        </w:tabs>
        <w:spacing w:line="360" w:lineRule="auto"/>
        <w:ind w:firstLine="420" w:firstLineChars="200"/>
        <w:rPr>
          <w:rFonts w:hint="eastAsia"/>
          <w:color w:val="auto"/>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EF91CC1">
      <w:pPr>
        <w:tabs>
          <w:tab w:val="left" w:pos="2835"/>
        </w:tabs>
        <w:spacing w:line="360" w:lineRule="auto"/>
        <w:ind w:firstLine="420" w:firstLineChars="200"/>
        <w:rPr>
          <w:rFonts w:hint="eastAsia" w:ascii="宋体" w:hAnsi="宋体" w:cs="宋体"/>
          <w:color w:val="auto"/>
          <w:szCs w:val="21"/>
          <w:highlight w:val="none"/>
        </w:rPr>
      </w:pPr>
      <w:r>
        <w:rPr>
          <w:color w:val="auto"/>
          <w:highlight w:val="none"/>
        </w:rPr>
        <w:t>3.8除本章第3.7条情形</w:t>
      </w:r>
      <w:r>
        <w:rPr>
          <w:rFonts w:hint="eastAsia"/>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5219184B">
      <w:pP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3E771C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磋商文件能够详细列明采购标的的技术、服务要求的，磋商结束后，磋商小组应当要求所有继续参加磋商的供应商在规定时间内在广西政府采购云平台开标大厅提交最后报价，除本章第</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14:paraId="78323B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1C5D7BB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highlight w:val="none"/>
        </w:rPr>
        <w:t>本</w:t>
      </w:r>
      <w:r>
        <w:rPr>
          <w:rFonts w:ascii="宋体" w:hAnsi="宋体" w:cs="宋体"/>
          <w:color w:val="auto"/>
          <w:szCs w:val="21"/>
          <w:highlight w:val="none"/>
        </w:rPr>
        <w:t>章第3.7条情</w:t>
      </w:r>
      <w:r>
        <w:rPr>
          <w:color w:val="auto"/>
          <w:highlight w:val="none"/>
        </w:rPr>
        <w:t>形的，</w:t>
      </w:r>
      <w:r>
        <w:rPr>
          <w:rFonts w:hint="eastAsia" w:ascii="宋体" w:hAnsi="宋体" w:cs="宋体"/>
          <w:color w:val="auto"/>
          <w:szCs w:val="21"/>
          <w:highlight w:val="none"/>
        </w:rPr>
        <w:t>提交最后报价的供应商可以为2家。</w:t>
      </w:r>
    </w:p>
    <w:p w14:paraId="1D3AE50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5466F7C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14:paraId="73BDCE9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28DBC50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0B95B55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0074DC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4B12B5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w:t>
      </w:r>
      <w:r>
        <w:rPr>
          <w:rFonts w:hint="eastAsia" w:ascii="宋体" w:hAnsi="宋体" w:cs="宋体"/>
          <w:color w:val="auto"/>
          <w:szCs w:val="21"/>
          <w:highlight w:val="none"/>
          <w:lang w:eastAsia="zh-CN"/>
        </w:rPr>
        <w:t>（</w:t>
      </w:r>
      <w:r>
        <w:rPr>
          <w:rFonts w:hint="eastAsia"/>
          <w:color w:val="auto"/>
          <w:highlight w:val="none"/>
          <w:lang w:val="en-US" w:eastAsia="zh-CN"/>
        </w:rPr>
        <w:t>本项目按折扣系数报价，竞标报价≤100%</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670A05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w:t>
      </w:r>
      <w:r>
        <w:rPr>
          <w:rFonts w:hint="eastAsia" w:ascii="宋体" w:hAnsi="宋体" w:cs="宋体"/>
          <w:color w:val="auto"/>
          <w:szCs w:val="21"/>
          <w:highlight w:val="none"/>
          <w:lang w:eastAsia="zh-CN"/>
        </w:rPr>
        <w:t>（</w:t>
      </w:r>
      <w:r>
        <w:rPr>
          <w:rFonts w:hint="eastAsia"/>
          <w:color w:val="auto"/>
          <w:highlight w:val="none"/>
          <w:lang w:val="en-US" w:eastAsia="zh-CN"/>
        </w:rPr>
        <w:t>本项目按折扣系数报价，竞标报价≤100%</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3375CE6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7E11C9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2AD05497">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val="en-US" w:eastAsia="zh-CN"/>
        </w:rPr>
        <w:t>4.11</w:t>
      </w:r>
      <w:r>
        <w:rPr>
          <w:rFonts w:hint="eastAsia" w:ascii="宋体" w:hAnsi="宋体"/>
          <w:color w:val="auto"/>
          <w:kern w:val="0"/>
          <w:szCs w:val="21"/>
          <w:highlight w:val="none"/>
        </w:rPr>
        <w:t>异常低价审查</w:t>
      </w:r>
    </w:p>
    <w:p w14:paraId="63DDE81A">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val="en-US" w:eastAsia="zh-CN"/>
        </w:rPr>
        <w:t>4.11</w:t>
      </w:r>
      <w:r>
        <w:rPr>
          <w:rFonts w:hint="eastAsia" w:ascii="宋体" w:hAnsi="宋体"/>
          <w:color w:val="auto"/>
          <w:kern w:val="0"/>
          <w:szCs w:val="21"/>
          <w:highlight w:val="none"/>
        </w:rPr>
        <w:t>.1根据《关于推动解决政府采购异常低价问题的通知》财库〔2026〕2号文件，政府采购评审中出现下列情形之一的，磋商小组应当启动异常低价投标（响应）审查程序：</w:t>
      </w:r>
    </w:p>
    <w:p w14:paraId="0B0E5B0E">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（1）投标（响应）报价低于全部通过符合性审查供应商投标（响应）报价平均值65%的，即投标（响应）报价&lt;全部通过符合性审查供应商投标（响应）报价平均值×65%；</w:t>
      </w:r>
    </w:p>
    <w:p w14:paraId="664D2611">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（2）投标（响应）报价低于通过符合性审查的次低报价供应商投标（响应）报价65%的，即投标（响应）报价&lt;通过符合性审查的次低报价供应商投标（响应）报价×65%；</w:t>
      </w:r>
    </w:p>
    <w:p w14:paraId="1439F50C">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（3）投标（响应）报价低于采购项目最高限价65%的（本项目按折扣系数报价，竞标报价≤100%），即投标（响应）报价&lt;采购项目最高限价×65%；</w:t>
      </w:r>
    </w:p>
    <w:p w14:paraId="15C3C6A1">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（4）磋商小组基于专业判断，认为供应商报价过低，有可能影响产品质量或者不能诚信履约的其他情形。</w:t>
      </w:r>
    </w:p>
    <w:p w14:paraId="53819B0B">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磋商小组启动异常低价投标（响应）审查后，属于</w:t>
      </w:r>
      <w:r>
        <w:rPr>
          <w:rFonts w:hint="eastAsia" w:ascii="宋体" w:hAnsi="宋体"/>
          <w:color w:val="auto"/>
          <w:kern w:val="0"/>
          <w:szCs w:val="21"/>
          <w:highlight w:val="none"/>
          <w:lang w:val="en-US" w:eastAsia="zh-CN"/>
        </w:rPr>
        <w:t>4.11.</w:t>
      </w:r>
      <w:r>
        <w:rPr>
          <w:rFonts w:hint="eastAsia" w:ascii="宋体" w:hAnsi="宋体"/>
          <w:color w:val="auto"/>
          <w:kern w:val="0"/>
          <w:szCs w:val="21"/>
          <w:highlight w:val="none"/>
        </w:rPr>
        <w:t>1中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995C5B0">
      <w:pPr>
        <w:spacing w:line="360" w:lineRule="auto"/>
        <w:ind w:firstLine="420" w:firstLineChars="200"/>
        <w:rPr>
          <w:rFonts w:hint="eastAsia" w:ascii="宋体" w:hAnsi="宋体" w:cs="宋体"/>
          <w:color w:val="auto"/>
          <w:szCs w:val="21"/>
          <w:highlight w:val="none"/>
        </w:rPr>
      </w:pPr>
      <w:r>
        <w:rPr>
          <w:rFonts w:hint="eastAsia" w:ascii="宋体" w:hAnsi="宋体"/>
          <w:color w:val="auto"/>
          <w:kern w:val="0"/>
          <w:szCs w:val="21"/>
          <w:highlight w:val="none"/>
          <w:lang w:val="en-US" w:eastAsia="zh-CN"/>
        </w:rPr>
        <w:t>（6）</w:t>
      </w:r>
      <w:r>
        <w:rPr>
          <w:rFonts w:hint="eastAsia" w:ascii="Times New Roman" w:hAnsi="宋体"/>
          <w:color w:val="auto"/>
          <w:szCs w:val="22"/>
          <w:highlight w:val="none"/>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284014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最后报价结束后，磋商小组不得再与供应商进行任何形式的商谈。</w:t>
      </w:r>
    </w:p>
    <w:p w14:paraId="20380ED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5CF78BA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2A0642B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398F583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64F2E8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74205C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3F2E1BB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w:t>
      </w:r>
      <w:r>
        <w:rPr>
          <w:rFonts w:hint="eastAsia"/>
          <w:lang w:val="en-US" w:eastAsia="zh-CN"/>
        </w:rPr>
        <w:t>（如有）</w:t>
      </w:r>
      <w:r>
        <w:rPr>
          <w:rFonts w:hint="eastAsia" w:ascii="宋体" w:hAnsi="宋体" w:cs="宋体"/>
          <w:color w:val="auto"/>
          <w:szCs w:val="21"/>
          <w:highlight w:val="none"/>
        </w:rPr>
        <w:t>的价格，评审价只是作为评审时使用。最终成交供应商的成交金额等于最后报价（如有修正，以确认修正后的最后报价为准）。</w:t>
      </w:r>
    </w:p>
    <w:p w14:paraId="1FF98929">
      <w:pPr>
        <w:spacing w:line="360" w:lineRule="auto"/>
        <w:ind w:firstLine="420" w:firstLineChars="200"/>
        <w:rPr>
          <w:rFonts w:hint="eastAsia" w:ascii="宋体" w:hAnsi="宋体"/>
          <w:color w:val="auto"/>
          <w:kern w:val="0"/>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ascii="宋体" w:hAnsi="宋体"/>
          <w:color w:val="auto"/>
          <w:kern w:val="0"/>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p>
    <w:p w14:paraId="14E042EC">
      <w:pPr>
        <w:spacing w:line="360" w:lineRule="auto"/>
        <w:ind w:firstLine="420" w:firstLineChars="200"/>
        <w:rPr>
          <w:rFonts w:hint="eastAsia" w:ascii="宋体" w:hAnsi="宋体" w:cs="宋体"/>
          <w:color w:val="auto"/>
          <w:szCs w:val="21"/>
          <w:highlight w:val="none"/>
        </w:rPr>
      </w:pPr>
      <w:r>
        <w:rPr>
          <w:rFonts w:ascii="宋体" w:hAnsi="宋体"/>
          <w:color w:val="auto"/>
          <w:kern w:val="0"/>
          <w:szCs w:val="21"/>
          <w:highlight w:val="none"/>
        </w:rPr>
        <w:t>5.6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DECEBAF">
      <w:pPr>
        <w:spacing w:line="360" w:lineRule="auto"/>
        <w:ind w:firstLine="321" w:firstLineChars="100"/>
        <w:rPr>
          <w:rFonts w:ascii="宋体" w:hAnsi="宋体"/>
          <w:b/>
          <w:color w:val="auto"/>
          <w:sz w:val="32"/>
          <w:szCs w:val="32"/>
          <w:highlight w:val="none"/>
        </w:rPr>
      </w:pPr>
      <w:r>
        <w:rPr>
          <w:rFonts w:hint="eastAsia" w:ascii="宋体" w:hAnsi="宋体"/>
          <w:b/>
          <w:color w:val="auto"/>
          <w:sz w:val="32"/>
          <w:szCs w:val="32"/>
          <w:highlight w:val="none"/>
        </w:rPr>
        <w:t>二、评审标准</w:t>
      </w:r>
    </w:p>
    <w:p w14:paraId="17C4A7EA">
      <w:pPr>
        <w:spacing w:line="360" w:lineRule="auto"/>
        <w:ind w:firstLine="420" w:firstLineChars="200"/>
        <w:rPr>
          <w:rFonts w:hint="eastAsia" w:ascii="宋体" w:hAnsi="宋体" w:cs="宋体"/>
          <w:b/>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评审依据：磋商小组将以磋商响应文件为评审依据，对供应商的报价、技术、商务等方面内容按百</w:t>
      </w:r>
      <w:r>
        <w:rPr>
          <w:rFonts w:hint="eastAsia" w:ascii="宋体" w:hAnsi="宋体"/>
          <w:b/>
          <w:color w:val="auto"/>
          <w:szCs w:val="21"/>
          <w:highlight w:val="none"/>
        </w:rPr>
        <w:t>分制打分。（计分方法按四舍五入取至百分位）。</w:t>
      </w:r>
    </w:p>
    <w:tbl>
      <w:tblPr>
        <w:tblStyle w:val="16"/>
        <w:tblW w:w="9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172"/>
        <w:gridCol w:w="1037"/>
        <w:gridCol w:w="7141"/>
      </w:tblGrid>
      <w:tr w14:paraId="3FCF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ign w:val="center"/>
          </w:tcPr>
          <w:p w14:paraId="603A77C2">
            <w:pPr>
              <w:jc w:val="center"/>
              <w:rPr>
                <w:rFonts w:hint="eastAsia" w:ascii="宋体" w:hAnsi="宋体" w:cs="宋体"/>
                <w:bCs/>
                <w:color w:val="auto"/>
                <w:szCs w:val="21"/>
                <w:highlight w:val="none"/>
              </w:rPr>
            </w:pPr>
            <w:r>
              <w:rPr>
                <w:rFonts w:hint="eastAsia" w:ascii="宋体" w:hAnsi="宋体" w:cs="宋体"/>
                <w:bCs/>
                <w:color w:val="auto"/>
                <w:szCs w:val="21"/>
                <w:highlight w:val="none"/>
              </w:rPr>
              <w:t>序号</w:t>
            </w:r>
          </w:p>
        </w:tc>
        <w:tc>
          <w:tcPr>
            <w:tcW w:w="1172" w:type="dxa"/>
            <w:noWrap/>
            <w:vAlign w:val="center"/>
          </w:tcPr>
          <w:p w14:paraId="001D537A">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评审因素及分值</w:t>
            </w:r>
          </w:p>
        </w:tc>
        <w:tc>
          <w:tcPr>
            <w:tcW w:w="1037" w:type="dxa"/>
            <w:noWrap/>
            <w:vAlign w:val="center"/>
          </w:tcPr>
          <w:p w14:paraId="76CCF3C5">
            <w:pPr>
              <w:jc w:val="center"/>
              <w:rPr>
                <w:rFonts w:hint="eastAsia" w:ascii="宋体" w:hAnsi="宋体" w:cs="宋体"/>
                <w:bCs/>
                <w:color w:val="auto"/>
                <w:szCs w:val="21"/>
                <w:highlight w:val="none"/>
              </w:rPr>
            </w:pPr>
            <w:r>
              <w:rPr>
                <w:rFonts w:hint="eastAsia" w:ascii="宋体" w:hAnsi="宋体" w:cs="宋体"/>
                <w:bCs/>
                <w:color w:val="auto"/>
                <w:szCs w:val="21"/>
                <w:highlight w:val="none"/>
              </w:rPr>
              <w:t>分项分值</w:t>
            </w:r>
          </w:p>
        </w:tc>
        <w:tc>
          <w:tcPr>
            <w:tcW w:w="7141" w:type="dxa"/>
            <w:noWrap/>
            <w:vAlign w:val="center"/>
          </w:tcPr>
          <w:p w14:paraId="1FD4FF03">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r>
      <w:tr w14:paraId="6C60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8" w:type="dxa"/>
            <w:noWrap/>
            <w:vAlign w:val="center"/>
          </w:tcPr>
          <w:p w14:paraId="3286C0D5">
            <w:pPr>
              <w:jc w:val="center"/>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1172" w:type="dxa"/>
            <w:noWrap/>
            <w:vAlign w:val="center"/>
          </w:tcPr>
          <w:p w14:paraId="1C41DDF8">
            <w:pPr>
              <w:jc w:val="center"/>
              <w:rPr>
                <w:rFonts w:hint="eastAsia" w:ascii="宋体" w:hAnsi="宋体" w:cs="宋体"/>
                <w:b/>
                <w:color w:val="auto"/>
                <w:szCs w:val="21"/>
                <w:highlight w:val="none"/>
              </w:rPr>
            </w:pPr>
            <w:r>
              <w:rPr>
                <w:rFonts w:hint="eastAsia" w:ascii="宋体" w:hAnsi="宋体" w:cs="宋体"/>
                <w:b/>
                <w:color w:val="auto"/>
                <w:szCs w:val="21"/>
                <w:highlight w:val="none"/>
              </w:rPr>
              <w:t>竞标报价</w:t>
            </w:r>
          </w:p>
          <w:p w14:paraId="1C266A98">
            <w:pPr>
              <w:jc w:val="center"/>
              <w:rPr>
                <w:rFonts w:hint="eastAsia"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30</w:t>
            </w:r>
            <w:r>
              <w:rPr>
                <w:rFonts w:hint="eastAsia" w:ascii="宋体" w:hAnsi="宋体" w:cs="宋体"/>
                <w:b/>
                <w:color w:val="auto"/>
                <w:szCs w:val="21"/>
                <w:highlight w:val="none"/>
              </w:rPr>
              <w:t>分）</w:t>
            </w:r>
          </w:p>
        </w:tc>
        <w:tc>
          <w:tcPr>
            <w:tcW w:w="1037" w:type="dxa"/>
            <w:noWrap/>
            <w:vAlign w:val="center"/>
          </w:tcPr>
          <w:p w14:paraId="651C268E">
            <w:pPr>
              <w:jc w:val="center"/>
              <w:rPr>
                <w:rFonts w:hint="eastAsia" w:ascii="宋体" w:hAnsi="宋体" w:cs="宋体"/>
                <w:bCs/>
                <w:color w:val="auto"/>
                <w:szCs w:val="21"/>
                <w:highlight w:val="none"/>
              </w:rPr>
            </w:pPr>
            <w:r>
              <w:rPr>
                <w:rFonts w:hint="eastAsia" w:ascii="宋体" w:hAnsi="宋体" w:cs="宋体"/>
                <w:b/>
                <w:color w:val="auto"/>
                <w:szCs w:val="21"/>
                <w:highlight w:val="none"/>
              </w:rPr>
              <w:t>价格分（</w:t>
            </w:r>
            <w:r>
              <w:rPr>
                <w:rFonts w:hint="eastAsia" w:ascii="宋体" w:hAnsi="宋体" w:cs="宋体"/>
                <w:b/>
                <w:color w:val="auto"/>
                <w:szCs w:val="21"/>
                <w:highlight w:val="none"/>
                <w:lang w:val="en-US" w:eastAsia="zh-CN"/>
              </w:rPr>
              <w:t>30</w:t>
            </w:r>
            <w:r>
              <w:rPr>
                <w:rFonts w:hint="eastAsia" w:ascii="宋体" w:hAnsi="宋体" w:cs="宋体"/>
                <w:b/>
                <w:color w:val="auto"/>
                <w:szCs w:val="21"/>
                <w:highlight w:val="none"/>
              </w:rPr>
              <w:t>分）</w:t>
            </w:r>
          </w:p>
        </w:tc>
        <w:tc>
          <w:tcPr>
            <w:tcW w:w="7141" w:type="dxa"/>
            <w:noWrap/>
            <w:vAlign w:val="center"/>
          </w:tcPr>
          <w:p w14:paraId="31F786B9">
            <w:pPr>
              <w:wordWrap w:val="0"/>
              <w:spacing w:line="4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项目为专门面向小微企业项目，按照《政府采购促进中小企业发展管理办法》（财库〔2020〕46号）的规定，对小微企业的最后报价不再执行价格评审优惠的扶持政策。评审价等于最后报价，评审价只是作为评审时使用，成交供应商的成交折扣系数等于的竞标最终折扣系数。。</w:t>
            </w:r>
          </w:p>
          <w:p w14:paraId="5D1EA3E0">
            <w:pPr>
              <w:wordWrap w:val="0"/>
              <w:spacing w:line="460" w:lineRule="exact"/>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）以进入比较与评价环节的最低的评审价为基准价，基准价得分为</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p w14:paraId="3B7941A5">
            <w:pPr>
              <w:wordWrap w:val="0"/>
              <w:spacing w:line="460" w:lineRule="exact"/>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）价格分计算公式：</w:t>
            </w:r>
          </w:p>
          <w:p w14:paraId="6BD4B0BA">
            <w:pPr>
              <w:wordWrap w:val="0"/>
              <w:spacing w:line="460" w:lineRule="exact"/>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价格分=评审基准价／竞标折扣系数报价×</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tc>
      </w:tr>
      <w:tr w14:paraId="5414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8" w:type="dxa"/>
            <w:vMerge w:val="restart"/>
            <w:noWrap/>
            <w:vAlign w:val="center"/>
          </w:tcPr>
          <w:p w14:paraId="759EE3EB">
            <w:pPr>
              <w:jc w:val="center"/>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1172" w:type="dxa"/>
            <w:vMerge w:val="restart"/>
            <w:noWrap/>
            <w:vAlign w:val="center"/>
          </w:tcPr>
          <w:p w14:paraId="6A5E123C">
            <w:pPr>
              <w:jc w:val="center"/>
              <w:rPr>
                <w:rFonts w:hint="eastAsia" w:ascii="宋体" w:hAnsi="宋体" w:cs="宋体"/>
                <w:b/>
                <w:color w:val="auto"/>
                <w:szCs w:val="21"/>
                <w:highlight w:val="none"/>
              </w:rPr>
            </w:pPr>
            <w:r>
              <w:rPr>
                <w:rFonts w:hint="eastAsia" w:ascii="宋体" w:hAnsi="宋体" w:cs="宋体"/>
                <w:b/>
                <w:color w:val="auto"/>
                <w:szCs w:val="21"/>
                <w:highlight w:val="none"/>
              </w:rPr>
              <w:t>技术分（满分</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8分）</w:t>
            </w:r>
          </w:p>
        </w:tc>
        <w:tc>
          <w:tcPr>
            <w:tcW w:w="1037" w:type="dxa"/>
            <w:noWrap/>
            <w:vAlign w:val="center"/>
          </w:tcPr>
          <w:p w14:paraId="4CA0A9A7">
            <w:pPr>
              <w:snapToGrid w:val="0"/>
              <w:jc w:val="center"/>
              <w:rPr>
                <w:rFonts w:hint="eastAsia" w:ascii="宋体" w:hAnsi="宋体" w:cs="宋体"/>
                <w:bCs/>
                <w:color w:val="auto"/>
                <w:szCs w:val="21"/>
                <w:highlight w:val="none"/>
              </w:rPr>
            </w:pPr>
            <w:r>
              <w:rPr>
                <w:rFonts w:hint="eastAsia" w:ascii="宋体" w:hAnsi="宋体" w:cs="宋体"/>
                <w:b/>
                <w:bCs/>
                <w:color w:val="auto"/>
                <w:szCs w:val="21"/>
                <w:highlight w:val="none"/>
              </w:rPr>
              <w:t>（1）配送方案（1</w:t>
            </w:r>
            <w:r>
              <w:rPr>
                <w:rFonts w:hint="eastAsia" w:ascii="宋体" w:hAnsi="宋体" w:cs="宋体"/>
                <w:b/>
                <w:bCs/>
                <w:color w:val="auto"/>
                <w:szCs w:val="21"/>
                <w:highlight w:val="none"/>
                <w:lang w:val="en-US" w:eastAsia="zh-CN"/>
              </w:rPr>
              <w:t>0</w:t>
            </w:r>
            <w:r>
              <w:rPr>
                <w:rFonts w:hint="eastAsia" w:ascii="宋体" w:hAnsi="宋体" w:cs="宋体"/>
                <w:b/>
                <w:bCs/>
                <w:color w:val="auto"/>
                <w:szCs w:val="21"/>
                <w:highlight w:val="none"/>
              </w:rPr>
              <w:t>分）</w:t>
            </w:r>
          </w:p>
        </w:tc>
        <w:tc>
          <w:tcPr>
            <w:tcW w:w="7141" w:type="dxa"/>
            <w:noWrap/>
            <w:vAlign w:val="center"/>
          </w:tcPr>
          <w:p w14:paraId="1E42F4D8">
            <w:pPr>
              <w:wordWrap w:val="0"/>
              <w:spacing w:line="460" w:lineRule="exact"/>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一档（</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分）</w:t>
            </w:r>
            <w:r>
              <w:rPr>
                <w:rFonts w:hint="eastAsia" w:ascii="宋体" w:hAnsi="宋体" w:cs="宋体"/>
                <w:color w:val="auto"/>
                <w:szCs w:val="21"/>
                <w:highlight w:val="none"/>
              </w:rPr>
              <w:t>：配送方案</w:t>
            </w:r>
            <w:r>
              <w:rPr>
                <w:rFonts w:hint="eastAsia" w:ascii="宋体" w:hAnsi="宋体" w:cs="宋体"/>
                <w:color w:val="auto"/>
                <w:szCs w:val="21"/>
                <w:highlight w:val="none"/>
                <w:lang w:val="en-US" w:eastAsia="zh-CN"/>
              </w:rPr>
              <w:t>粗略</w:t>
            </w:r>
            <w:r>
              <w:rPr>
                <w:rFonts w:hint="eastAsia" w:ascii="宋体" w:hAnsi="宋体" w:cs="宋体"/>
                <w:color w:val="auto"/>
                <w:szCs w:val="21"/>
                <w:highlight w:val="none"/>
              </w:rPr>
              <w:t>，配送服务方案</w:t>
            </w:r>
            <w:r>
              <w:rPr>
                <w:rFonts w:hint="eastAsia" w:ascii="宋体" w:hAnsi="宋体" w:cs="宋体"/>
                <w:color w:val="auto"/>
                <w:szCs w:val="21"/>
                <w:highlight w:val="none"/>
                <w:lang w:val="en-US" w:eastAsia="zh-CN"/>
              </w:rPr>
              <w:t>达不到项目需求</w:t>
            </w:r>
            <w:r>
              <w:rPr>
                <w:rFonts w:hint="eastAsia" w:ascii="宋体" w:hAnsi="宋体" w:cs="宋体"/>
                <w:color w:val="auto"/>
                <w:szCs w:val="21"/>
                <w:highlight w:val="none"/>
              </w:rPr>
              <w:t>，针对采购人实际需求的描述</w:t>
            </w:r>
            <w:r>
              <w:rPr>
                <w:rFonts w:hint="eastAsia" w:ascii="宋体" w:hAnsi="宋体" w:cs="宋体"/>
                <w:color w:val="auto"/>
                <w:szCs w:val="21"/>
                <w:highlight w:val="none"/>
                <w:lang w:val="en-US" w:eastAsia="zh-CN"/>
              </w:rPr>
              <w:t>简单</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无法</w:t>
            </w:r>
            <w:r>
              <w:rPr>
                <w:rFonts w:hint="eastAsia" w:ascii="宋体" w:hAnsi="宋体" w:cs="宋体"/>
                <w:color w:val="auto"/>
                <w:szCs w:val="21"/>
                <w:highlight w:val="none"/>
              </w:rPr>
              <w:t>保证配送服务的质量。</w:t>
            </w:r>
          </w:p>
          <w:p w14:paraId="0634F9A0">
            <w:pPr>
              <w:wordWrap w:val="0"/>
              <w:spacing w:line="460" w:lineRule="exact"/>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一档（</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分）</w:t>
            </w:r>
            <w:r>
              <w:rPr>
                <w:rFonts w:hint="eastAsia" w:ascii="宋体" w:hAnsi="宋体" w:cs="宋体"/>
                <w:color w:val="auto"/>
                <w:szCs w:val="21"/>
                <w:highlight w:val="none"/>
              </w:rPr>
              <w:t>：配送方案</w:t>
            </w:r>
            <w:r>
              <w:rPr>
                <w:rFonts w:hint="eastAsia" w:ascii="宋体" w:hAnsi="宋体" w:cs="宋体"/>
                <w:color w:val="auto"/>
                <w:szCs w:val="21"/>
                <w:highlight w:val="none"/>
                <w:lang w:val="en-US" w:eastAsia="zh-CN"/>
              </w:rPr>
              <w:t>简单</w:t>
            </w:r>
            <w:r>
              <w:rPr>
                <w:rFonts w:hint="eastAsia" w:ascii="宋体" w:hAnsi="宋体" w:cs="宋体"/>
                <w:color w:val="auto"/>
                <w:szCs w:val="21"/>
                <w:highlight w:val="none"/>
              </w:rPr>
              <w:t>，配送服务方案</w:t>
            </w:r>
            <w:r>
              <w:rPr>
                <w:rFonts w:hint="eastAsia" w:ascii="宋体" w:hAnsi="宋体" w:cs="宋体"/>
                <w:color w:val="auto"/>
                <w:szCs w:val="21"/>
                <w:highlight w:val="none"/>
                <w:lang w:val="en-US" w:eastAsia="zh-CN"/>
              </w:rPr>
              <w:t>达到项目需求</w:t>
            </w:r>
            <w:r>
              <w:rPr>
                <w:rFonts w:hint="eastAsia" w:ascii="宋体" w:hAnsi="宋体" w:cs="宋体"/>
                <w:color w:val="auto"/>
                <w:szCs w:val="21"/>
                <w:highlight w:val="none"/>
              </w:rPr>
              <w:t>，针对采购人实际需求的描述较为简略，但能确保配送服务的正常进行。</w:t>
            </w:r>
          </w:p>
          <w:p w14:paraId="7BF4E539">
            <w:pPr>
              <w:wordWrap w:val="0"/>
              <w:spacing w:line="460" w:lineRule="exact"/>
              <w:ind w:firstLine="420" w:firstLineChars="200"/>
              <w:jc w:val="left"/>
              <w:rPr>
                <w:rFonts w:hint="eastAsia" w:ascii="宋体" w:hAnsi="宋体" w:cs="宋体"/>
                <w:color w:val="auto"/>
                <w:szCs w:val="21"/>
                <w:highlight w:val="none"/>
              </w:rPr>
            </w:pPr>
          </w:p>
          <w:p w14:paraId="0558AB61">
            <w:pPr>
              <w:wordWrap w:val="0"/>
              <w:spacing w:line="460" w:lineRule="exact"/>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二档（</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分）</w:t>
            </w:r>
            <w:r>
              <w:rPr>
                <w:rFonts w:hint="eastAsia" w:ascii="宋体" w:hAnsi="宋体" w:cs="宋体"/>
                <w:color w:val="auto"/>
                <w:szCs w:val="21"/>
                <w:highlight w:val="none"/>
              </w:rPr>
              <w:t>：项目配送供货时间</w:t>
            </w:r>
            <w:r>
              <w:rPr>
                <w:rFonts w:hint="eastAsia" w:ascii="宋体" w:hAnsi="宋体" w:cs="宋体"/>
                <w:color w:val="auto"/>
                <w:szCs w:val="21"/>
                <w:highlight w:val="none"/>
                <w:lang w:val="en-US" w:eastAsia="zh-CN"/>
              </w:rPr>
              <w:t>能</w:t>
            </w:r>
            <w:r>
              <w:rPr>
                <w:rFonts w:hint="eastAsia" w:ascii="宋体" w:hAnsi="宋体" w:cs="宋体"/>
                <w:color w:val="auto"/>
                <w:szCs w:val="21"/>
                <w:highlight w:val="none"/>
              </w:rPr>
              <w:t>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需求，配送方案</w:t>
            </w:r>
            <w:r>
              <w:rPr>
                <w:rFonts w:hint="eastAsia"/>
                <w:color w:val="auto"/>
                <w:highlight w:val="none"/>
                <w:lang w:val="en-US" w:eastAsia="zh-CN"/>
              </w:rPr>
              <w:t>先进</w:t>
            </w:r>
            <w:r>
              <w:rPr>
                <w:rFonts w:hint="eastAsia" w:ascii="宋体" w:hAnsi="宋体" w:cs="宋体"/>
                <w:color w:val="auto"/>
                <w:szCs w:val="21"/>
                <w:highlight w:val="none"/>
              </w:rPr>
              <w:t>。针对采购人实际需求的描述</w:t>
            </w:r>
            <w:r>
              <w:rPr>
                <w:rFonts w:hint="eastAsia" w:ascii="宋体" w:hAnsi="宋体" w:cs="宋体"/>
                <w:color w:val="auto"/>
                <w:szCs w:val="21"/>
                <w:highlight w:val="none"/>
                <w:lang w:val="en-US" w:eastAsia="zh-CN"/>
              </w:rPr>
              <w:t>清晰</w:t>
            </w:r>
            <w:r>
              <w:rPr>
                <w:rFonts w:hint="eastAsia" w:ascii="宋体" w:hAnsi="宋体" w:cs="宋体"/>
                <w:color w:val="auto"/>
                <w:szCs w:val="21"/>
                <w:highlight w:val="none"/>
              </w:rPr>
              <w:t>，具体实施步骤和要求的阐述</w:t>
            </w:r>
            <w:r>
              <w:rPr>
                <w:rFonts w:hint="eastAsia" w:ascii="宋体" w:hAnsi="宋体" w:cs="宋体"/>
                <w:color w:val="auto"/>
                <w:szCs w:val="21"/>
                <w:highlight w:val="none"/>
                <w:lang w:val="en-US" w:eastAsia="zh-CN"/>
              </w:rPr>
              <w:t>简单</w:t>
            </w:r>
            <w:r>
              <w:rPr>
                <w:rFonts w:hint="eastAsia" w:ascii="宋体" w:hAnsi="宋体" w:cs="宋体"/>
                <w:color w:val="auto"/>
                <w:szCs w:val="21"/>
                <w:highlight w:val="none"/>
              </w:rPr>
              <w:t>，但能确保配送服务的正常进行。</w:t>
            </w:r>
          </w:p>
          <w:p w14:paraId="112847C9">
            <w:pPr>
              <w:wordWrap w:val="0"/>
              <w:spacing w:line="460" w:lineRule="exact"/>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三档（</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分）</w:t>
            </w:r>
            <w:r>
              <w:rPr>
                <w:rFonts w:hint="eastAsia" w:ascii="宋体" w:hAnsi="宋体" w:cs="宋体"/>
                <w:color w:val="auto"/>
                <w:szCs w:val="21"/>
                <w:highlight w:val="none"/>
              </w:rPr>
              <w:t>：项目配送体系</w:t>
            </w:r>
            <w:r>
              <w:rPr>
                <w:rFonts w:hint="eastAsia" w:ascii="宋体" w:hAnsi="宋体" w:cs="宋体"/>
                <w:color w:val="auto"/>
                <w:szCs w:val="21"/>
                <w:highlight w:val="none"/>
                <w:lang w:val="en-US" w:eastAsia="zh-CN"/>
              </w:rPr>
              <w:t>有针对性</w:t>
            </w:r>
            <w:r>
              <w:rPr>
                <w:rFonts w:hint="eastAsia" w:ascii="宋体" w:hAnsi="宋体" w:cs="宋体"/>
                <w:color w:val="auto"/>
                <w:szCs w:val="21"/>
                <w:highlight w:val="none"/>
              </w:rPr>
              <w:t>，供货时间安排得当。配送方案</w:t>
            </w:r>
            <w:r>
              <w:rPr>
                <w:rFonts w:hint="eastAsia" w:ascii="宋体" w:hAnsi="宋体" w:cs="宋体"/>
                <w:color w:val="auto"/>
                <w:szCs w:val="21"/>
                <w:highlight w:val="none"/>
                <w:lang w:val="en-US" w:eastAsia="zh-CN"/>
              </w:rPr>
              <w:t>能</w:t>
            </w:r>
            <w:r>
              <w:rPr>
                <w:rFonts w:hint="eastAsia" w:ascii="宋体" w:hAnsi="宋体" w:cs="宋体"/>
                <w:color w:val="auto"/>
                <w:szCs w:val="21"/>
                <w:highlight w:val="none"/>
              </w:rPr>
              <w:t>满足</w:t>
            </w:r>
            <w:r>
              <w:rPr>
                <w:rFonts w:hint="eastAsia" w:ascii="宋体" w:hAnsi="宋体" w:cs="宋体"/>
                <w:color w:val="auto"/>
                <w:szCs w:val="21"/>
                <w:highlight w:val="none"/>
                <w:lang w:val="en-US" w:eastAsia="zh-CN"/>
              </w:rPr>
              <w:t>项目</w:t>
            </w:r>
            <w:r>
              <w:rPr>
                <w:rFonts w:hint="eastAsia" w:ascii="宋体" w:hAnsi="宋体" w:cs="宋体"/>
                <w:color w:val="auto"/>
                <w:szCs w:val="21"/>
                <w:highlight w:val="none"/>
              </w:rPr>
              <w:t>需求。针对采购人实际需求描述</w:t>
            </w:r>
            <w:r>
              <w:rPr>
                <w:rFonts w:hint="eastAsia" w:ascii="宋体" w:hAnsi="宋体" w:cs="宋体"/>
                <w:color w:val="auto"/>
                <w:szCs w:val="21"/>
                <w:highlight w:val="none"/>
                <w:lang w:val="en-US" w:eastAsia="zh-CN"/>
              </w:rPr>
              <w:t>清晰</w:t>
            </w:r>
            <w:r>
              <w:rPr>
                <w:rFonts w:hint="eastAsia" w:ascii="宋体" w:hAnsi="宋体" w:cs="宋体"/>
                <w:color w:val="auto"/>
                <w:szCs w:val="21"/>
                <w:highlight w:val="none"/>
              </w:rPr>
              <w:t>，具体实施步骤和要求</w:t>
            </w:r>
            <w:r>
              <w:rPr>
                <w:rFonts w:hint="eastAsia" w:ascii="宋体" w:hAnsi="宋体" w:cs="宋体"/>
                <w:color w:val="auto"/>
                <w:szCs w:val="21"/>
                <w:highlight w:val="none"/>
                <w:lang w:val="en-US" w:eastAsia="zh-CN"/>
              </w:rPr>
              <w:t>清晰</w:t>
            </w:r>
            <w:r>
              <w:rPr>
                <w:rFonts w:hint="eastAsia" w:ascii="宋体" w:hAnsi="宋体" w:cs="宋体"/>
                <w:color w:val="auto"/>
                <w:szCs w:val="21"/>
                <w:highlight w:val="none"/>
              </w:rPr>
              <w:t>。</w:t>
            </w:r>
          </w:p>
          <w:p w14:paraId="69CDDB12">
            <w:pPr>
              <w:wordWrap w:val="0"/>
              <w:spacing w:line="460" w:lineRule="exact"/>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五档（</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分）</w:t>
            </w:r>
            <w:r>
              <w:rPr>
                <w:rFonts w:hint="eastAsia" w:ascii="宋体" w:hAnsi="宋体" w:cs="宋体"/>
                <w:color w:val="auto"/>
                <w:szCs w:val="21"/>
                <w:highlight w:val="none"/>
              </w:rPr>
              <w:t>：项目配送体系</w:t>
            </w:r>
            <w:r>
              <w:rPr>
                <w:rFonts w:hint="eastAsia" w:ascii="宋体" w:hAnsi="宋体" w:cs="宋体"/>
                <w:color w:val="auto"/>
                <w:szCs w:val="21"/>
                <w:highlight w:val="none"/>
                <w:lang w:val="en-US" w:eastAsia="zh-CN"/>
              </w:rPr>
              <w:t>有针对性</w:t>
            </w:r>
            <w:r>
              <w:rPr>
                <w:rFonts w:hint="eastAsia" w:ascii="宋体" w:hAnsi="宋体" w:cs="宋体"/>
                <w:color w:val="auto"/>
                <w:szCs w:val="21"/>
                <w:highlight w:val="none"/>
              </w:rPr>
              <w:t>，供货时间安排</w:t>
            </w:r>
            <w:r>
              <w:rPr>
                <w:rFonts w:hint="eastAsia" w:ascii="宋体" w:hAnsi="宋体" w:cs="宋体"/>
                <w:color w:val="auto"/>
                <w:szCs w:val="21"/>
                <w:highlight w:val="none"/>
                <w:lang w:val="en-US" w:eastAsia="zh-CN"/>
              </w:rPr>
              <w:t>有契合采购需求</w:t>
            </w:r>
            <w:r>
              <w:rPr>
                <w:rFonts w:hint="eastAsia" w:ascii="宋体" w:hAnsi="宋体" w:cs="宋体"/>
                <w:color w:val="auto"/>
                <w:szCs w:val="21"/>
                <w:highlight w:val="none"/>
              </w:rPr>
              <w:t>。针对项目实际，提供</w:t>
            </w:r>
            <w:r>
              <w:rPr>
                <w:rFonts w:hint="eastAsia" w:ascii="宋体" w:hAnsi="宋体" w:cs="宋体"/>
                <w:color w:val="auto"/>
                <w:szCs w:val="21"/>
                <w:highlight w:val="none"/>
                <w:lang w:val="en-US" w:eastAsia="zh-CN"/>
              </w:rPr>
              <w:t>针对性</w:t>
            </w:r>
            <w:r>
              <w:rPr>
                <w:rFonts w:hint="eastAsia" w:ascii="宋体" w:hAnsi="宋体" w:cs="宋体"/>
                <w:color w:val="auto"/>
                <w:szCs w:val="21"/>
                <w:highlight w:val="none"/>
              </w:rPr>
              <w:t>的配送服务方案，描述</w:t>
            </w:r>
            <w:r>
              <w:rPr>
                <w:rFonts w:hint="eastAsia" w:ascii="宋体" w:hAnsi="宋体" w:cs="宋体"/>
                <w:color w:val="auto"/>
                <w:szCs w:val="21"/>
                <w:highlight w:val="none"/>
                <w:lang w:val="en-US" w:eastAsia="zh-CN"/>
              </w:rPr>
              <w:t>清晰详细</w:t>
            </w:r>
            <w:r>
              <w:rPr>
                <w:rFonts w:hint="eastAsia" w:ascii="宋体" w:hAnsi="宋体" w:cs="宋体"/>
                <w:color w:val="auto"/>
                <w:szCs w:val="21"/>
                <w:highlight w:val="none"/>
              </w:rPr>
              <w:t>，实施步骤和要求</w:t>
            </w:r>
            <w:r>
              <w:rPr>
                <w:rFonts w:hint="eastAsia" w:ascii="宋体" w:hAnsi="宋体" w:cs="宋体"/>
                <w:color w:val="auto"/>
                <w:szCs w:val="21"/>
                <w:highlight w:val="none"/>
                <w:lang w:val="en-US" w:eastAsia="zh-CN"/>
              </w:rPr>
              <w:t>清晰</w:t>
            </w:r>
            <w:r>
              <w:rPr>
                <w:rFonts w:hint="eastAsia" w:ascii="宋体" w:hAnsi="宋体" w:cs="宋体"/>
                <w:color w:val="auto"/>
                <w:szCs w:val="21"/>
                <w:highlight w:val="none"/>
              </w:rPr>
              <w:t>，具备可行性，充分满足项目需求。除保证配送服务业务外，还配备有机动人员应对紧急事件处理。。</w:t>
            </w:r>
          </w:p>
          <w:p w14:paraId="3148971F">
            <w:pPr>
              <w:wordWrap w:val="0"/>
              <w:spacing w:line="460" w:lineRule="exact"/>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注：未提供或未达到一档要求的本项不得分。</w:t>
            </w:r>
          </w:p>
        </w:tc>
      </w:tr>
      <w:tr w14:paraId="6979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8" w:type="dxa"/>
            <w:vMerge w:val="continue"/>
            <w:noWrap/>
            <w:vAlign w:val="center"/>
          </w:tcPr>
          <w:p w14:paraId="426FD0AF">
            <w:pPr>
              <w:jc w:val="center"/>
              <w:rPr>
                <w:rFonts w:hint="eastAsia" w:ascii="宋体" w:hAnsi="宋体" w:cs="宋体"/>
                <w:b/>
                <w:color w:val="auto"/>
                <w:szCs w:val="21"/>
                <w:highlight w:val="none"/>
              </w:rPr>
            </w:pPr>
          </w:p>
        </w:tc>
        <w:tc>
          <w:tcPr>
            <w:tcW w:w="1172" w:type="dxa"/>
            <w:vMerge w:val="continue"/>
            <w:noWrap/>
            <w:vAlign w:val="center"/>
          </w:tcPr>
          <w:p w14:paraId="62EA62CB">
            <w:pPr>
              <w:jc w:val="center"/>
              <w:rPr>
                <w:rFonts w:hint="eastAsia" w:ascii="宋体" w:hAnsi="宋体" w:cs="宋体"/>
                <w:b/>
                <w:color w:val="auto"/>
                <w:szCs w:val="21"/>
                <w:highlight w:val="none"/>
              </w:rPr>
            </w:pPr>
          </w:p>
        </w:tc>
        <w:tc>
          <w:tcPr>
            <w:tcW w:w="1037" w:type="dxa"/>
            <w:noWrap/>
            <w:vAlign w:val="center"/>
          </w:tcPr>
          <w:p w14:paraId="6215B772">
            <w:pPr>
              <w:snapToGrid w:val="0"/>
              <w:jc w:val="center"/>
              <w:rPr>
                <w:rFonts w:hint="eastAsia" w:ascii="宋体" w:hAnsi="宋体" w:cs="宋体"/>
                <w:bCs/>
                <w:color w:val="auto"/>
                <w:szCs w:val="21"/>
                <w:highlight w:val="none"/>
              </w:rPr>
            </w:pPr>
            <w:r>
              <w:rPr>
                <w:rFonts w:hint="eastAsia" w:ascii="宋体" w:hAnsi="宋体" w:cs="宋体"/>
                <w:b/>
                <w:bCs/>
                <w:color w:val="auto"/>
                <w:szCs w:val="21"/>
                <w:highlight w:val="none"/>
              </w:rPr>
              <w:t>（2）食品安全与质量保障能力（1</w:t>
            </w:r>
            <w:r>
              <w:rPr>
                <w:rFonts w:hint="eastAsia" w:ascii="宋体" w:hAnsi="宋体" w:cs="宋体"/>
                <w:b/>
                <w:bCs/>
                <w:color w:val="auto"/>
                <w:szCs w:val="21"/>
                <w:highlight w:val="none"/>
                <w:lang w:val="en-US" w:eastAsia="zh-CN"/>
              </w:rPr>
              <w:t>0</w:t>
            </w:r>
            <w:r>
              <w:rPr>
                <w:rFonts w:hint="eastAsia" w:ascii="宋体" w:hAnsi="宋体" w:cs="宋体"/>
                <w:b/>
                <w:bCs/>
                <w:color w:val="auto"/>
                <w:szCs w:val="21"/>
                <w:highlight w:val="none"/>
              </w:rPr>
              <w:t>分）</w:t>
            </w:r>
          </w:p>
        </w:tc>
        <w:tc>
          <w:tcPr>
            <w:tcW w:w="7141" w:type="dxa"/>
            <w:noWrap/>
            <w:vAlign w:val="center"/>
          </w:tcPr>
          <w:p w14:paraId="46789ED5">
            <w:pPr>
              <w:wordWrap w:val="0"/>
              <w:spacing w:line="4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包括进货采购渠道、食材控制管理措施、检验检疫措施、食材质量标准、追溯方式等。</w:t>
            </w:r>
          </w:p>
          <w:p w14:paraId="4D8C02BD">
            <w:pPr>
              <w:wordWrap w:val="0"/>
              <w:spacing w:line="460" w:lineRule="exact"/>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一档（</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分）</w:t>
            </w:r>
            <w:r>
              <w:rPr>
                <w:rFonts w:hint="eastAsia" w:ascii="宋体" w:hAnsi="宋体" w:cs="宋体"/>
                <w:color w:val="auto"/>
                <w:szCs w:val="21"/>
                <w:highlight w:val="none"/>
              </w:rPr>
              <w:t>：食材安全措施在进货渠道、食材控制管理、检验检疫、质量标准管控和追溯方式等方面的描述</w:t>
            </w:r>
            <w:r>
              <w:rPr>
                <w:rFonts w:hint="eastAsia"/>
                <w:color w:val="auto"/>
                <w:highlight w:val="none"/>
                <w:lang w:val="en-US" w:eastAsia="zh-CN"/>
              </w:rPr>
              <w:t>简略</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无法</w:t>
            </w:r>
            <w:r>
              <w:rPr>
                <w:rFonts w:hint="eastAsia" w:ascii="宋体" w:hAnsi="宋体" w:cs="宋体"/>
                <w:color w:val="auto"/>
                <w:szCs w:val="21"/>
                <w:highlight w:val="none"/>
              </w:rPr>
              <w:t>达到</w:t>
            </w:r>
            <w:r>
              <w:rPr>
                <w:rFonts w:hint="eastAsia" w:ascii="宋体" w:hAnsi="宋体" w:cs="宋体"/>
                <w:color w:val="auto"/>
                <w:szCs w:val="21"/>
                <w:highlight w:val="none"/>
                <w:lang w:val="en-US" w:eastAsia="zh-CN"/>
              </w:rPr>
              <w:t>项目</w:t>
            </w:r>
            <w:r>
              <w:rPr>
                <w:rFonts w:hint="eastAsia" w:ascii="宋体" w:hAnsi="宋体" w:cs="宋体"/>
                <w:color w:val="auto"/>
                <w:szCs w:val="21"/>
                <w:highlight w:val="none"/>
              </w:rPr>
              <w:t>的要求。</w:t>
            </w:r>
          </w:p>
          <w:p w14:paraId="26B58205">
            <w:pPr>
              <w:wordWrap w:val="0"/>
              <w:spacing w:line="460" w:lineRule="exact"/>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二档（</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分）</w:t>
            </w:r>
            <w:r>
              <w:rPr>
                <w:rFonts w:hint="eastAsia" w:ascii="宋体" w:hAnsi="宋体" w:cs="宋体"/>
                <w:color w:val="auto"/>
                <w:szCs w:val="21"/>
                <w:highlight w:val="none"/>
              </w:rPr>
              <w:t>：食材安全措施中，进货渠道、食材控制管理措施、检验检疫措施、食材质量标准管控措施、追溯方式等方面的描述虽清晰，</w:t>
            </w:r>
            <w:r>
              <w:rPr>
                <w:rFonts w:hint="eastAsia" w:ascii="宋体" w:hAnsi="宋体" w:cs="宋体"/>
                <w:color w:val="auto"/>
                <w:szCs w:val="21"/>
                <w:highlight w:val="none"/>
                <w:lang w:val="en-US" w:eastAsia="zh-CN"/>
              </w:rPr>
              <w:t>但较为简略</w:t>
            </w:r>
            <w:r>
              <w:rPr>
                <w:rFonts w:hint="eastAsia" w:ascii="宋体" w:hAnsi="宋体" w:cs="宋体"/>
                <w:color w:val="auto"/>
                <w:szCs w:val="21"/>
                <w:highlight w:val="none"/>
              </w:rPr>
              <w:t>。</w:t>
            </w:r>
          </w:p>
          <w:p w14:paraId="4F1BF4F5">
            <w:pPr>
              <w:wordWrap w:val="0"/>
              <w:spacing w:line="460" w:lineRule="exact"/>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三档（</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分）</w:t>
            </w:r>
            <w:r>
              <w:rPr>
                <w:rFonts w:hint="eastAsia" w:ascii="宋体" w:hAnsi="宋体" w:cs="宋体"/>
                <w:color w:val="auto"/>
                <w:szCs w:val="21"/>
                <w:highlight w:val="none"/>
              </w:rPr>
              <w:t>：</w:t>
            </w:r>
            <w:r>
              <w:rPr>
                <w:rFonts w:hint="eastAsia" w:ascii="宋体" w:hAnsi="宋体" w:cs="宋体"/>
                <w:bCs/>
                <w:color w:val="auto"/>
                <w:szCs w:val="21"/>
                <w:highlight w:val="none"/>
              </w:rPr>
              <w:t>对进货采购渠道、食材控制管理措施、食材质量标准、追溯方式等描述较清晰详细，检验检疫措施较</w:t>
            </w:r>
            <w:r>
              <w:rPr>
                <w:rFonts w:hint="eastAsia" w:ascii="宋体" w:hAnsi="宋体" w:cs="宋体"/>
                <w:bCs/>
                <w:color w:val="auto"/>
                <w:szCs w:val="21"/>
                <w:highlight w:val="none"/>
                <w:lang w:val="en-US" w:eastAsia="zh-CN"/>
              </w:rPr>
              <w:t>有针对性</w:t>
            </w:r>
            <w:r>
              <w:rPr>
                <w:rFonts w:hint="eastAsia" w:ascii="宋体" w:hAnsi="宋体" w:cs="宋体"/>
                <w:bCs/>
                <w:color w:val="auto"/>
                <w:szCs w:val="21"/>
                <w:highlight w:val="none"/>
              </w:rPr>
              <w:t>,承诺主动开展检验工作,并能提供食品安监部门或国家承认的检测机构</w:t>
            </w:r>
            <w:r>
              <w:rPr>
                <w:rFonts w:hint="eastAsia"/>
                <w:color w:val="auto"/>
                <w:highlight w:val="none"/>
              </w:rPr>
              <w:t>出具的</w:t>
            </w:r>
            <w:r>
              <w:rPr>
                <w:rFonts w:hint="eastAsia" w:ascii="宋体" w:hAnsi="宋体" w:cs="宋体"/>
                <w:bCs/>
                <w:color w:val="auto"/>
                <w:szCs w:val="21"/>
                <w:highlight w:val="none"/>
              </w:rPr>
              <w:t>检测报告</w:t>
            </w:r>
            <w:r>
              <w:rPr>
                <w:rFonts w:hint="eastAsia" w:ascii="宋体" w:hAnsi="宋体" w:cs="宋体"/>
                <w:color w:val="auto"/>
                <w:szCs w:val="21"/>
                <w:highlight w:val="none"/>
              </w:rPr>
              <w:t>。</w:t>
            </w:r>
          </w:p>
          <w:p w14:paraId="0F4FE8BC">
            <w:pPr>
              <w:wordWrap w:val="0"/>
              <w:spacing w:line="460" w:lineRule="exact"/>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四档（</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分）</w:t>
            </w:r>
            <w:r>
              <w:rPr>
                <w:rFonts w:hint="eastAsia" w:ascii="宋体" w:hAnsi="宋体" w:cs="宋体"/>
                <w:color w:val="auto"/>
                <w:szCs w:val="21"/>
                <w:highlight w:val="none"/>
              </w:rPr>
              <w:t>：</w:t>
            </w:r>
            <w:r>
              <w:rPr>
                <w:rFonts w:hint="eastAsia" w:ascii="宋体" w:hAnsi="宋体" w:cs="宋体"/>
                <w:bCs/>
                <w:color w:val="auto"/>
                <w:szCs w:val="21"/>
                <w:highlight w:val="none"/>
              </w:rPr>
              <w:t>对进货采购渠道、食材控制管理措施、食材质量标准、追溯方式等描述较清晰详细，检验检疫措施</w:t>
            </w:r>
            <w:r>
              <w:rPr>
                <w:rFonts w:hint="eastAsia" w:ascii="宋体" w:hAnsi="宋体" w:cs="宋体"/>
                <w:bCs/>
                <w:color w:val="auto"/>
                <w:szCs w:val="21"/>
                <w:highlight w:val="none"/>
                <w:lang w:val="en-US" w:eastAsia="zh-CN"/>
              </w:rPr>
              <w:t>有针对性</w:t>
            </w:r>
            <w:r>
              <w:rPr>
                <w:rFonts w:hint="eastAsia" w:ascii="宋体" w:hAnsi="宋体" w:cs="宋体"/>
                <w:bCs/>
                <w:color w:val="auto"/>
                <w:szCs w:val="21"/>
                <w:highlight w:val="none"/>
              </w:rPr>
              <w:t>，能严格进行食材质量把关，承诺主动开展检验工作,并能每季度提供食品安监部门或国家承认的检测机构</w:t>
            </w:r>
            <w:r>
              <w:rPr>
                <w:rFonts w:hint="eastAsia"/>
                <w:color w:val="auto"/>
                <w:highlight w:val="none"/>
              </w:rPr>
              <w:t>出具</w:t>
            </w:r>
            <w:r>
              <w:rPr>
                <w:rFonts w:hint="eastAsia" w:ascii="宋体" w:hAnsi="宋体" w:cs="宋体"/>
                <w:bCs/>
                <w:color w:val="auto"/>
                <w:szCs w:val="21"/>
                <w:highlight w:val="none"/>
              </w:rPr>
              <w:t>检测报告</w:t>
            </w:r>
            <w:r>
              <w:rPr>
                <w:rFonts w:hint="eastAsia" w:ascii="宋体" w:hAnsi="宋体" w:cs="宋体"/>
                <w:color w:val="auto"/>
                <w:szCs w:val="21"/>
                <w:highlight w:val="none"/>
              </w:rPr>
              <w:t>。</w:t>
            </w:r>
          </w:p>
          <w:p w14:paraId="1D104FEB">
            <w:pPr>
              <w:wordWrap w:val="0"/>
              <w:spacing w:line="460" w:lineRule="exact"/>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五档（1</w:t>
            </w:r>
            <w:r>
              <w:rPr>
                <w:rFonts w:hint="eastAsia" w:ascii="宋体" w:hAnsi="宋体" w:cs="宋体"/>
                <w:b/>
                <w:bCs/>
                <w:color w:val="auto"/>
                <w:szCs w:val="21"/>
                <w:highlight w:val="none"/>
                <w:lang w:val="en-US" w:eastAsia="zh-CN"/>
              </w:rPr>
              <w:t>0</w:t>
            </w:r>
            <w:r>
              <w:rPr>
                <w:rFonts w:hint="eastAsia" w:ascii="宋体" w:hAnsi="宋体" w:cs="宋体"/>
                <w:b/>
                <w:bCs/>
                <w:color w:val="auto"/>
                <w:szCs w:val="21"/>
                <w:highlight w:val="none"/>
              </w:rPr>
              <w:t>分）</w:t>
            </w:r>
            <w:r>
              <w:rPr>
                <w:rFonts w:hint="eastAsia" w:ascii="宋体" w:hAnsi="宋体" w:cs="宋体"/>
                <w:color w:val="auto"/>
                <w:szCs w:val="21"/>
                <w:highlight w:val="none"/>
              </w:rPr>
              <w:t>：</w:t>
            </w:r>
            <w:r>
              <w:rPr>
                <w:rFonts w:hint="eastAsia" w:ascii="宋体" w:hAnsi="宋体" w:cs="宋体"/>
                <w:bCs/>
                <w:color w:val="auto"/>
                <w:szCs w:val="21"/>
                <w:highlight w:val="none"/>
              </w:rPr>
              <w:t>对进货采购渠道、食材控制管理措施、食材质量标准、追溯方式等描述较清晰详细，检验检疫措施科学</w:t>
            </w:r>
            <w:r>
              <w:rPr>
                <w:rFonts w:hint="eastAsia" w:ascii="宋体" w:hAnsi="宋体" w:cs="宋体"/>
                <w:bCs/>
                <w:color w:val="auto"/>
                <w:szCs w:val="21"/>
                <w:highlight w:val="none"/>
                <w:lang w:val="en-US" w:eastAsia="zh-CN"/>
              </w:rPr>
              <w:t>且有针对性</w:t>
            </w:r>
            <w:r>
              <w:rPr>
                <w:rFonts w:hint="eastAsia" w:ascii="宋体" w:hAnsi="宋体" w:cs="宋体"/>
                <w:bCs/>
                <w:color w:val="auto"/>
                <w:szCs w:val="21"/>
                <w:highlight w:val="none"/>
              </w:rPr>
              <w:t>，各项措施安排详细具体，能严格进行食材质量把关，承诺主动开展检验工作,并能每月提供食品安监部门或国家承认的检测机构</w:t>
            </w:r>
            <w:r>
              <w:rPr>
                <w:rFonts w:hint="eastAsia"/>
                <w:color w:val="auto"/>
                <w:highlight w:val="none"/>
              </w:rPr>
              <w:t>出具</w:t>
            </w:r>
            <w:r>
              <w:rPr>
                <w:rFonts w:hint="eastAsia" w:ascii="宋体" w:hAnsi="宋体" w:cs="宋体"/>
                <w:bCs/>
                <w:color w:val="auto"/>
                <w:szCs w:val="21"/>
                <w:highlight w:val="none"/>
              </w:rPr>
              <w:t>检测报告</w:t>
            </w:r>
            <w:r>
              <w:rPr>
                <w:rFonts w:hint="eastAsia" w:ascii="宋体" w:hAnsi="宋体" w:cs="宋体"/>
                <w:color w:val="auto"/>
                <w:szCs w:val="21"/>
                <w:highlight w:val="none"/>
              </w:rPr>
              <w:t>。</w:t>
            </w:r>
          </w:p>
          <w:p w14:paraId="53646735">
            <w:pPr>
              <w:wordWrap w:val="0"/>
              <w:spacing w:line="460" w:lineRule="exact"/>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注：未提供或未达到一档要求的本项不得分。</w:t>
            </w:r>
          </w:p>
        </w:tc>
      </w:tr>
      <w:tr w14:paraId="3F6A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8" w:type="dxa"/>
            <w:vMerge w:val="continue"/>
            <w:noWrap/>
            <w:vAlign w:val="center"/>
          </w:tcPr>
          <w:p w14:paraId="08BC0F40">
            <w:pPr>
              <w:jc w:val="center"/>
              <w:rPr>
                <w:rFonts w:hint="eastAsia" w:ascii="宋体" w:hAnsi="宋体" w:cs="宋体"/>
                <w:b/>
                <w:color w:val="auto"/>
                <w:szCs w:val="21"/>
                <w:highlight w:val="none"/>
              </w:rPr>
            </w:pPr>
          </w:p>
        </w:tc>
        <w:tc>
          <w:tcPr>
            <w:tcW w:w="1172" w:type="dxa"/>
            <w:vMerge w:val="continue"/>
            <w:noWrap/>
            <w:vAlign w:val="center"/>
          </w:tcPr>
          <w:p w14:paraId="03755558">
            <w:pPr>
              <w:jc w:val="center"/>
              <w:rPr>
                <w:rFonts w:hint="eastAsia" w:ascii="宋体" w:hAnsi="宋体" w:cs="宋体"/>
                <w:b/>
                <w:color w:val="auto"/>
                <w:szCs w:val="21"/>
                <w:highlight w:val="none"/>
              </w:rPr>
            </w:pPr>
          </w:p>
        </w:tc>
        <w:tc>
          <w:tcPr>
            <w:tcW w:w="1037" w:type="dxa"/>
            <w:noWrap/>
            <w:vAlign w:val="center"/>
          </w:tcPr>
          <w:p w14:paraId="134D958D">
            <w:pPr>
              <w:snapToGrid w:val="0"/>
              <w:jc w:val="center"/>
              <w:rPr>
                <w:rFonts w:hint="eastAsia" w:ascii="宋体" w:hAnsi="宋体" w:cs="宋体"/>
                <w:bCs/>
                <w:color w:val="auto"/>
                <w:szCs w:val="21"/>
                <w:highlight w:val="none"/>
              </w:rPr>
            </w:pPr>
            <w:r>
              <w:rPr>
                <w:rFonts w:hint="eastAsia" w:ascii="宋体" w:hAnsi="宋体" w:cs="宋体"/>
                <w:b/>
                <w:bCs/>
                <w:color w:val="auto"/>
                <w:szCs w:val="21"/>
                <w:highlight w:val="none"/>
              </w:rPr>
              <w:t>（3）售后服务方案（1</w:t>
            </w:r>
            <w:r>
              <w:rPr>
                <w:rFonts w:hint="eastAsia" w:ascii="宋体" w:hAnsi="宋体" w:cs="宋体"/>
                <w:b/>
                <w:bCs/>
                <w:color w:val="auto"/>
                <w:szCs w:val="21"/>
                <w:highlight w:val="none"/>
                <w:lang w:val="en-US" w:eastAsia="zh-CN"/>
              </w:rPr>
              <w:t>0</w:t>
            </w:r>
            <w:r>
              <w:rPr>
                <w:rFonts w:hint="eastAsia" w:ascii="宋体" w:hAnsi="宋体" w:cs="宋体"/>
                <w:b/>
                <w:bCs/>
                <w:color w:val="auto"/>
                <w:szCs w:val="21"/>
                <w:highlight w:val="none"/>
              </w:rPr>
              <w:t>分）</w:t>
            </w:r>
          </w:p>
        </w:tc>
        <w:tc>
          <w:tcPr>
            <w:tcW w:w="7141" w:type="dxa"/>
            <w:noWrap/>
            <w:vAlign w:val="center"/>
          </w:tcPr>
          <w:p w14:paraId="2F21DEAD">
            <w:pPr>
              <w:wordWrap w:val="0"/>
              <w:spacing w:line="460" w:lineRule="exact"/>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一档（</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分）</w:t>
            </w:r>
            <w:r>
              <w:rPr>
                <w:rFonts w:hint="eastAsia" w:ascii="宋体" w:hAnsi="宋体" w:cs="宋体"/>
                <w:color w:val="auto"/>
                <w:szCs w:val="21"/>
                <w:highlight w:val="none"/>
              </w:rPr>
              <w:t>：承诺退换完成时间不超过60分钟，售后服务承诺仅具备基础性，服务承诺</w:t>
            </w:r>
            <w:r>
              <w:rPr>
                <w:rFonts w:hint="eastAsia" w:ascii="宋体" w:hAnsi="宋体" w:cs="宋体"/>
                <w:color w:val="auto"/>
                <w:szCs w:val="21"/>
                <w:highlight w:val="none"/>
                <w:lang w:val="en-US" w:eastAsia="zh-CN"/>
              </w:rPr>
              <w:t>无法达到项目需求</w:t>
            </w:r>
            <w:r>
              <w:rPr>
                <w:rFonts w:hint="eastAsia" w:ascii="宋体" w:hAnsi="宋体" w:cs="宋体"/>
                <w:color w:val="auto"/>
                <w:szCs w:val="21"/>
                <w:highlight w:val="none"/>
              </w:rPr>
              <w:t>。</w:t>
            </w:r>
          </w:p>
          <w:p w14:paraId="54E8C857">
            <w:pPr>
              <w:wordWrap w:val="0"/>
              <w:spacing w:line="460" w:lineRule="exact"/>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二档（</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分）</w:t>
            </w:r>
            <w:r>
              <w:rPr>
                <w:rFonts w:hint="eastAsia" w:ascii="宋体" w:hAnsi="宋体" w:cs="宋体"/>
                <w:color w:val="auto"/>
                <w:szCs w:val="21"/>
                <w:highlight w:val="none"/>
              </w:rPr>
              <w:t xml:space="preserve">：承诺退换完成时间在45分钟以内，但服务承诺、措施以及后期服务承诺缺乏针对性。 </w:t>
            </w:r>
          </w:p>
          <w:p w14:paraId="56F55921">
            <w:pPr>
              <w:wordWrap w:val="0"/>
              <w:spacing w:line="460" w:lineRule="exact"/>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三档（</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分）</w:t>
            </w:r>
            <w:r>
              <w:rPr>
                <w:rFonts w:hint="eastAsia" w:ascii="宋体" w:hAnsi="宋体" w:cs="宋体"/>
                <w:color w:val="auto"/>
                <w:szCs w:val="21"/>
                <w:highlight w:val="none"/>
              </w:rPr>
              <w:t>：</w:t>
            </w:r>
            <w:r>
              <w:rPr>
                <w:rFonts w:hint="eastAsia" w:ascii="宋体" w:hAnsi="宋体" w:cs="宋体"/>
                <w:color w:val="auto"/>
                <w:kern w:val="0"/>
                <w:szCs w:val="21"/>
                <w:highlight w:val="none"/>
              </w:rPr>
              <w:t>售后服务方案详细具体，产品发生质量问题提供有详细具体的处理措施，</w:t>
            </w:r>
            <w:r>
              <w:rPr>
                <w:rFonts w:hint="eastAsia" w:ascii="宋体" w:hAnsi="宋体" w:cs="宋体"/>
                <w:bCs/>
                <w:color w:val="auto"/>
                <w:szCs w:val="21"/>
                <w:highlight w:val="none"/>
              </w:rPr>
              <w:t>承诺退换时间30分钟以内</w:t>
            </w:r>
            <w:r>
              <w:rPr>
                <w:rFonts w:hint="eastAsia" w:ascii="宋体" w:hAnsi="宋体" w:cs="宋体"/>
                <w:color w:val="auto"/>
                <w:kern w:val="0"/>
                <w:szCs w:val="21"/>
                <w:highlight w:val="none"/>
              </w:rPr>
              <w:t>，提供固定的响应服务的联系人和联系电话等方面的情况</w:t>
            </w:r>
            <w:r>
              <w:rPr>
                <w:rFonts w:hint="eastAsia" w:ascii="宋体" w:hAnsi="宋体" w:cs="宋体"/>
                <w:bCs/>
                <w:color w:val="auto"/>
                <w:szCs w:val="21"/>
                <w:highlight w:val="none"/>
              </w:rPr>
              <w:t>，后期服务承诺及措施具体可行。</w:t>
            </w:r>
          </w:p>
          <w:p w14:paraId="33207E75">
            <w:pPr>
              <w:wordWrap w:val="0"/>
              <w:spacing w:line="460" w:lineRule="exact"/>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四档（</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分）</w:t>
            </w:r>
            <w:r>
              <w:rPr>
                <w:rFonts w:hint="eastAsia" w:ascii="宋体" w:hAnsi="宋体" w:cs="宋体"/>
                <w:color w:val="auto"/>
                <w:szCs w:val="21"/>
                <w:highlight w:val="none"/>
              </w:rPr>
              <w:t>：</w:t>
            </w:r>
            <w:r>
              <w:rPr>
                <w:rFonts w:hint="eastAsia" w:ascii="宋体" w:hAnsi="宋体" w:cs="宋体"/>
                <w:color w:val="auto"/>
                <w:kern w:val="0"/>
                <w:szCs w:val="21"/>
                <w:highlight w:val="none"/>
              </w:rPr>
              <w:t>售后服务方案科学</w:t>
            </w:r>
            <w:r>
              <w:rPr>
                <w:rFonts w:hint="eastAsia" w:ascii="宋体" w:hAnsi="宋体" w:cs="宋体"/>
                <w:color w:val="auto"/>
                <w:kern w:val="0"/>
                <w:szCs w:val="21"/>
                <w:highlight w:val="none"/>
                <w:lang w:val="en-US" w:eastAsia="zh-CN"/>
              </w:rPr>
              <w:t>且有针对性</w:t>
            </w:r>
            <w:r>
              <w:rPr>
                <w:rFonts w:hint="eastAsia" w:ascii="宋体" w:hAnsi="宋体" w:cs="宋体"/>
                <w:color w:val="auto"/>
                <w:kern w:val="0"/>
                <w:szCs w:val="21"/>
                <w:highlight w:val="none"/>
              </w:rPr>
              <w:t>，产品出现质量问题承诺无条件退换，</w:t>
            </w:r>
            <w:r>
              <w:rPr>
                <w:rFonts w:hint="eastAsia" w:ascii="宋体" w:hAnsi="宋体" w:cs="宋体"/>
                <w:bCs/>
                <w:color w:val="auto"/>
                <w:szCs w:val="21"/>
                <w:highlight w:val="none"/>
              </w:rPr>
              <w:t>承诺退换时间30分钟以内，</w:t>
            </w:r>
            <w:r>
              <w:rPr>
                <w:rFonts w:hint="eastAsia" w:ascii="宋体" w:hAnsi="宋体" w:cs="宋体"/>
                <w:color w:val="auto"/>
                <w:kern w:val="0"/>
                <w:szCs w:val="21"/>
                <w:highlight w:val="none"/>
              </w:rPr>
              <w:t>提供固定的响应服务的联系人和联系电话等方面的情况，拟投入的售后服务人员职责明确，</w:t>
            </w:r>
            <w:r>
              <w:rPr>
                <w:rFonts w:hint="eastAsia" w:ascii="宋体" w:hAnsi="宋体" w:cs="宋体"/>
                <w:bCs/>
                <w:color w:val="auto"/>
                <w:szCs w:val="21"/>
                <w:highlight w:val="none"/>
              </w:rPr>
              <w:t>后期服务承诺及措施</w:t>
            </w:r>
            <w:r>
              <w:rPr>
                <w:rFonts w:hint="eastAsia" w:ascii="宋体" w:hAnsi="宋体" w:cs="宋体"/>
                <w:bCs/>
                <w:color w:val="auto"/>
                <w:szCs w:val="21"/>
                <w:highlight w:val="none"/>
                <w:lang w:val="en-US" w:eastAsia="zh-CN"/>
              </w:rPr>
              <w:t>具有针对性</w:t>
            </w:r>
            <w:r>
              <w:rPr>
                <w:rFonts w:hint="eastAsia" w:ascii="宋体" w:hAnsi="宋体" w:cs="宋体"/>
                <w:color w:val="auto"/>
                <w:szCs w:val="21"/>
                <w:highlight w:val="none"/>
              </w:rPr>
              <w:t>。</w:t>
            </w:r>
          </w:p>
          <w:p w14:paraId="3757FB42">
            <w:pPr>
              <w:wordWrap w:val="0"/>
              <w:spacing w:line="460" w:lineRule="exact"/>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五档（</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分）</w:t>
            </w:r>
            <w:r>
              <w:rPr>
                <w:rFonts w:hint="eastAsia" w:ascii="宋体" w:hAnsi="宋体" w:cs="宋体"/>
                <w:color w:val="auto"/>
                <w:szCs w:val="21"/>
                <w:highlight w:val="none"/>
              </w:rPr>
              <w:t>：</w:t>
            </w:r>
            <w:r>
              <w:rPr>
                <w:rFonts w:hint="eastAsia" w:ascii="宋体" w:hAnsi="宋体" w:cs="宋体"/>
                <w:color w:val="auto"/>
                <w:kern w:val="0"/>
                <w:szCs w:val="21"/>
                <w:highlight w:val="none"/>
              </w:rPr>
              <w:t>售后服务方案科学</w:t>
            </w:r>
            <w:r>
              <w:rPr>
                <w:rFonts w:hint="eastAsia" w:ascii="宋体" w:hAnsi="宋体" w:cs="宋体"/>
                <w:color w:val="auto"/>
                <w:kern w:val="0"/>
                <w:szCs w:val="21"/>
                <w:highlight w:val="none"/>
                <w:lang w:val="en-US" w:eastAsia="zh-CN"/>
              </w:rPr>
              <w:t>且有针对性</w:t>
            </w:r>
            <w:r>
              <w:rPr>
                <w:rFonts w:hint="eastAsia" w:ascii="宋体" w:hAnsi="宋体" w:cs="宋体"/>
                <w:color w:val="auto"/>
                <w:kern w:val="0"/>
                <w:szCs w:val="21"/>
                <w:highlight w:val="none"/>
              </w:rPr>
              <w:t>，产品出现质量问题承诺无条件退换，</w:t>
            </w:r>
            <w:r>
              <w:rPr>
                <w:rFonts w:hint="eastAsia" w:ascii="宋体" w:hAnsi="宋体" w:cs="宋体"/>
                <w:bCs/>
                <w:color w:val="auto"/>
                <w:szCs w:val="21"/>
                <w:highlight w:val="none"/>
              </w:rPr>
              <w:t>承诺退换时间30分钟以内</w:t>
            </w:r>
            <w:r>
              <w:rPr>
                <w:rFonts w:hint="eastAsia" w:ascii="宋体" w:hAnsi="宋体" w:cs="宋体"/>
                <w:color w:val="auto"/>
                <w:kern w:val="0"/>
                <w:szCs w:val="21"/>
                <w:highlight w:val="none"/>
              </w:rPr>
              <w:t>，</w:t>
            </w:r>
            <w:r>
              <w:rPr>
                <w:rFonts w:hint="eastAsia" w:ascii="宋体" w:hAnsi="宋体" w:cs="宋体"/>
                <w:color w:val="auto"/>
                <w:highlight w:val="none"/>
              </w:rPr>
              <w:t>且提供包含具体退换货组织、保障措施的退换货承诺</w:t>
            </w:r>
            <w:r>
              <w:rPr>
                <w:rFonts w:hint="eastAsia" w:ascii="宋体" w:hAnsi="宋体" w:cs="宋体"/>
                <w:color w:val="auto"/>
                <w:kern w:val="0"/>
                <w:szCs w:val="21"/>
                <w:highlight w:val="none"/>
              </w:rPr>
              <w:t>，拟投入的售后服务人员职责明确，提供固定的响应服务的联系人和联系电话等方面的情况，</w:t>
            </w:r>
            <w:r>
              <w:rPr>
                <w:rFonts w:hint="eastAsia" w:ascii="宋体" w:hAnsi="宋体" w:cs="宋体"/>
                <w:bCs/>
                <w:color w:val="auto"/>
                <w:szCs w:val="21"/>
                <w:highlight w:val="none"/>
              </w:rPr>
              <w:t>后期服务承诺及措施</w:t>
            </w:r>
            <w:r>
              <w:rPr>
                <w:rFonts w:hint="eastAsia" w:ascii="宋体" w:hAnsi="宋体" w:cs="宋体"/>
                <w:bCs/>
                <w:color w:val="auto"/>
                <w:szCs w:val="21"/>
                <w:highlight w:val="none"/>
                <w:lang w:val="en-US" w:eastAsia="zh-CN"/>
              </w:rPr>
              <w:t>有针对性</w:t>
            </w:r>
            <w:r>
              <w:rPr>
                <w:rFonts w:hint="eastAsia" w:ascii="宋体" w:hAnsi="宋体" w:cs="宋体"/>
                <w:bCs/>
                <w:color w:val="auto"/>
                <w:szCs w:val="21"/>
                <w:highlight w:val="none"/>
              </w:rPr>
              <w:t>，</w:t>
            </w:r>
            <w:r>
              <w:rPr>
                <w:rFonts w:hint="eastAsia" w:ascii="宋体" w:hAnsi="宋体"/>
                <w:bCs/>
                <w:color w:val="auto"/>
                <w:kern w:val="0"/>
                <w:szCs w:val="21"/>
                <w:highlight w:val="none"/>
                <w:lang w:eastAsia="zh-CN"/>
              </w:rPr>
              <w:t>符合项目特点。</w:t>
            </w:r>
            <w:r>
              <w:rPr>
                <w:rFonts w:hint="eastAsia" w:ascii="宋体" w:hAnsi="宋体" w:cs="宋体"/>
                <w:bCs/>
                <w:color w:val="auto"/>
                <w:szCs w:val="21"/>
                <w:highlight w:val="none"/>
              </w:rPr>
              <w:t>后期售后服务方式多样有效，</w:t>
            </w:r>
            <w:r>
              <w:rPr>
                <w:rFonts w:hint="eastAsia" w:ascii="宋体" w:hAnsi="宋体" w:cs="宋体"/>
                <w:bCs/>
                <w:color w:val="auto"/>
                <w:szCs w:val="21"/>
                <w:highlight w:val="none"/>
                <w:lang w:val="en-US" w:eastAsia="zh-CN"/>
              </w:rPr>
              <w:t>有各种应对措施</w:t>
            </w:r>
            <w:r>
              <w:rPr>
                <w:rFonts w:hint="eastAsia" w:ascii="宋体" w:hAnsi="宋体" w:cs="宋体"/>
                <w:bCs/>
                <w:color w:val="auto"/>
                <w:szCs w:val="21"/>
                <w:highlight w:val="none"/>
              </w:rPr>
              <w:t>。</w:t>
            </w:r>
          </w:p>
          <w:p w14:paraId="06F17AAC">
            <w:pPr>
              <w:wordWrap w:val="0"/>
              <w:spacing w:line="460" w:lineRule="exact"/>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注：未提供或未达到一档要求的本项不得分。</w:t>
            </w:r>
          </w:p>
        </w:tc>
      </w:tr>
      <w:tr w14:paraId="3905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8" w:type="dxa"/>
            <w:vMerge w:val="continue"/>
            <w:noWrap/>
            <w:vAlign w:val="center"/>
          </w:tcPr>
          <w:p w14:paraId="0640C31E">
            <w:pPr>
              <w:jc w:val="center"/>
              <w:rPr>
                <w:rFonts w:hint="eastAsia" w:ascii="宋体" w:hAnsi="宋体" w:cs="宋体"/>
                <w:b/>
                <w:color w:val="auto"/>
                <w:szCs w:val="21"/>
                <w:highlight w:val="none"/>
              </w:rPr>
            </w:pPr>
          </w:p>
        </w:tc>
        <w:tc>
          <w:tcPr>
            <w:tcW w:w="1172" w:type="dxa"/>
            <w:vMerge w:val="continue"/>
            <w:noWrap/>
            <w:vAlign w:val="center"/>
          </w:tcPr>
          <w:p w14:paraId="02E5E313">
            <w:pPr>
              <w:jc w:val="center"/>
              <w:rPr>
                <w:rFonts w:hint="eastAsia" w:ascii="宋体" w:hAnsi="宋体" w:cs="宋体"/>
                <w:b/>
                <w:color w:val="auto"/>
                <w:szCs w:val="21"/>
                <w:highlight w:val="none"/>
              </w:rPr>
            </w:pPr>
          </w:p>
        </w:tc>
        <w:tc>
          <w:tcPr>
            <w:tcW w:w="1037" w:type="dxa"/>
            <w:noWrap/>
            <w:vAlign w:val="center"/>
          </w:tcPr>
          <w:p w14:paraId="5B5352A9">
            <w:pPr>
              <w:jc w:val="center"/>
              <w:rPr>
                <w:rFonts w:hint="eastAsia" w:ascii="宋体" w:hAnsi="宋体" w:cs="宋体"/>
                <w:bCs/>
                <w:color w:val="auto"/>
                <w:szCs w:val="21"/>
                <w:highlight w:val="none"/>
              </w:rPr>
            </w:pPr>
            <w:r>
              <w:rPr>
                <w:rFonts w:hint="eastAsia" w:ascii="宋体" w:hAnsi="宋体" w:cs="宋体"/>
                <w:b/>
                <w:color w:val="auto"/>
                <w:kern w:val="1"/>
                <w:szCs w:val="21"/>
                <w:highlight w:val="none"/>
              </w:rPr>
              <w:t>（4）管理制度分（满分1</w:t>
            </w:r>
            <w:r>
              <w:rPr>
                <w:rFonts w:hint="eastAsia" w:ascii="宋体" w:hAnsi="宋体" w:cs="宋体"/>
                <w:b/>
                <w:color w:val="auto"/>
                <w:kern w:val="1"/>
                <w:szCs w:val="21"/>
                <w:highlight w:val="none"/>
                <w:lang w:val="en-US" w:eastAsia="zh-CN"/>
              </w:rPr>
              <w:t>0</w:t>
            </w:r>
            <w:r>
              <w:rPr>
                <w:rFonts w:hint="eastAsia" w:ascii="宋体" w:hAnsi="宋体" w:cs="宋体"/>
                <w:b/>
                <w:color w:val="auto"/>
                <w:kern w:val="1"/>
                <w:szCs w:val="21"/>
                <w:highlight w:val="none"/>
              </w:rPr>
              <w:t>分）</w:t>
            </w:r>
          </w:p>
        </w:tc>
        <w:tc>
          <w:tcPr>
            <w:tcW w:w="7141" w:type="dxa"/>
            <w:noWrap/>
            <w:vAlign w:val="center"/>
          </w:tcPr>
          <w:p w14:paraId="20233F5B">
            <w:pPr>
              <w:widowControl/>
              <w:spacing w:line="360" w:lineRule="auto"/>
              <w:ind w:firstLine="422"/>
              <w:rPr>
                <w:rFonts w:hint="eastAsia" w:ascii="宋体" w:hAnsi="宋体" w:cs="宋体"/>
                <w:color w:val="auto"/>
                <w:kern w:val="1"/>
                <w:szCs w:val="21"/>
                <w:highlight w:val="none"/>
              </w:rPr>
            </w:pPr>
            <w:r>
              <w:rPr>
                <w:rFonts w:hint="eastAsia" w:ascii="宋体" w:hAnsi="宋体" w:cs="宋体"/>
                <w:b/>
                <w:bCs/>
                <w:color w:val="auto"/>
                <w:kern w:val="1"/>
                <w:szCs w:val="21"/>
                <w:highlight w:val="none"/>
              </w:rPr>
              <w:t>一档（</w:t>
            </w:r>
            <w:r>
              <w:rPr>
                <w:rFonts w:hint="eastAsia" w:ascii="宋体" w:hAnsi="宋体" w:cs="宋体"/>
                <w:b/>
                <w:bCs/>
                <w:color w:val="auto"/>
                <w:kern w:val="1"/>
                <w:szCs w:val="21"/>
                <w:highlight w:val="none"/>
                <w:lang w:val="en-US" w:eastAsia="zh-CN"/>
              </w:rPr>
              <w:t>2</w:t>
            </w:r>
            <w:r>
              <w:rPr>
                <w:rFonts w:hint="eastAsia" w:ascii="宋体" w:hAnsi="宋体" w:cs="宋体"/>
                <w:b/>
                <w:bCs/>
                <w:color w:val="auto"/>
                <w:kern w:val="1"/>
                <w:szCs w:val="21"/>
                <w:highlight w:val="none"/>
              </w:rPr>
              <w:t>分）：</w:t>
            </w:r>
            <w:r>
              <w:rPr>
                <w:rFonts w:hint="eastAsia" w:ascii="宋体" w:hAnsi="宋体" w:cs="宋体"/>
                <w:color w:val="auto"/>
                <w:kern w:val="1"/>
                <w:szCs w:val="21"/>
                <w:highlight w:val="none"/>
              </w:rPr>
              <w:t>供应商提供的管理制度</w:t>
            </w:r>
            <w:r>
              <w:rPr>
                <w:rFonts w:hint="eastAsia" w:ascii="宋体" w:hAnsi="宋体" w:cs="宋体"/>
                <w:color w:val="auto"/>
                <w:kern w:val="1"/>
                <w:szCs w:val="21"/>
                <w:highlight w:val="none"/>
                <w:lang w:val="en-US" w:eastAsia="zh-CN"/>
              </w:rPr>
              <w:t>不能</w:t>
            </w:r>
            <w:r>
              <w:rPr>
                <w:rFonts w:hint="eastAsia" w:ascii="宋体" w:hAnsi="宋体" w:cs="宋体"/>
                <w:color w:val="auto"/>
                <w:kern w:val="1"/>
                <w:szCs w:val="21"/>
                <w:highlight w:val="none"/>
              </w:rPr>
              <w:t>满足采购需求，制度</w:t>
            </w:r>
            <w:r>
              <w:rPr>
                <w:rFonts w:hint="eastAsia" w:ascii="宋体" w:hAnsi="宋体" w:cs="宋体"/>
                <w:color w:val="auto"/>
                <w:kern w:val="1"/>
                <w:szCs w:val="21"/>
                <w:highlight w:val="none"/>
                <w:lang w:val="en-US" w:eastAsia="zh-CN"/>
              </w:rPr>
              <w:t>不</w:t>
            </w:r>
            <w:r>
              <w:rPr>
                <w:rFonts w:hint="eastAsia" w:ascii="宋体" w:hAnsi="宋体" w:cs="宋体"/>
                <w:color w:val="auto"/>
                <w:kern w:val="1"/>
                <w:szCs w:val="21"/>
                <w:highlight w:val="none"/>
              </w:rPr>
              <w:t>完整；</w:t>
            </w:r>
          </w:p>
          <w:p w14:paraId="133C769D">
            <w:pPr>
              <w:widowControl/>
              <w:spacing w:line="360" w:lineRule="auto"/>
              <w:ind w:firstLine="422"/>
              <w:rPr>
                <w:rFonts w:hint="eastAsia" w:ascii="宋体" w:hAnsi="宋体" w:cs="宋体"/>
                <w:color w:val="auto"/>
                <w:kern w:val="1"/>
                <w:szCs w:val="21"/>
                <w:highlight w:val="none"/>
              </w:rPr>
            </w:pPr>
            <w:r>
              <w:rPr>
                <w:rFonts w:hint="eastAsia" w:ascii="宋体" w:hAnsi="宋体" w:cs="宋体"/>
                <w:b/>
                <w:bCs/>
                <w:color w:val="auto"/>
                <w:kern w:val="1"/>
                <w:szCs w:val="21"/>
                <w:highlight w:val="none"/>
              </w:rPr>
              <w:t>二档（</w:t>
            </w:r>
            <w:r>
              <w:rPr>
                <w:rFonts w:hint="eastAsia" w:ascii="宋体" w:hAnsi="宋体" w:cs="宋体"/>
                <w:b/>
                <w:bCs/>
                <w:color w:val="auto"/>
                <w:kern w:val="1"/>
                <w:szCs w:val="21"/>
                <w:highlight w:val="none"/>
                <w:lang w:val="en-US" w:eastAsia="zh-CN"/>
              </w:rPr>
              <w:t>4</w:t>
            </w:r>
            <w:r>
              <w:rPr>
                <w:rFonts w:hint="eastAsia" w:ascii="宋体" w:hAnsi="宋体" w:cs="宋体"/>
                <w:b/>
                <w:bCs/>
                <w:color w:val="auto"/>
                <w:kern w:val="1"/>
                <w:szCs w:val="21"/>
                <w:highlight w:val="none"/>
              </w:rPr>
              <w:t>分）：</w:t>
            </w:r>
            <w:r>
              <w:rPr>
                <w:rFonts w:hint="eastAsia" w:ascii="宋体" w:hAnsi="宋体" w:cs="宋体"/>
                <w:color w:val="auto"/>
                <w:kern w:val="1"/>
                <w:szCs w:val="21"/>
                <w:highlight w:val="none"/>
              </w:rPr>
              <w:t>供应商提供的管理制度</w:t>
            </w:r>
            <w:r>
              <w:rPr>
                <w:rFonts w:hint="eastAsia" w:ascii="宋体" w:hAnsi="宋体" w:cs="宋体"/>
                <w:color w:val="auto"/>
                <w:kern w:val="1"/>
                <w:szCs w:val="21"/>
                <w:highlight w:val="none"/>
                <w:lang w:val="en-US" w:eastAsia="zh-CN"/>
              </w:rPr>
              <w:t>仅能</w:t>
            </w:r>
            <w:r>
              <w:rPr>
                <w:rFonts w:hint="eastAsia" w:ascii="宋体" w:hAnsi="宋体" w:cs="宋体"/>
                <w:color w:val="auto"/>
                <w:kern w:val="1"/>
                <w:szCs w:val="21"/>
                <w:highlight w:val="none"/>
              </w:rPr>
              <w:t>满足采购需求，管理规章制度各项目内容</w:t>
            </w:r>
            <w:r>
              <w:rPr>
                <w:rFonts w:hint="eastAsia" w:ascii="宋体" w:hAnsi="宋体" w:cs="宋体"/>
                <w:color w:val="auto"/>
                <w:kern w:val="1"/>
                <w:szCs w:val="21"/>
                <w:highlight w:val="none"/>
                <w:lang w:val="en-US" w:eastAsia="zh-CN"/>
              </w:rPr>
              <w:t>较为简略</w:t>
            </w:r>
            <w:r>
              <w:rPr>
                <w:rFonts w:hint="eastAsia" w:ascii="宋体" w:hAnsi="宋体" w:cs="宋体"/>
                <w:color w:val="auto"/>
                <w:kern w:val="1"/>
                <w:szCs w:val="21"/>
                <w:highlight w:val="none"/>
              </w:rPr>
              <w:t>；</w:t>
            </w:r>
          </w:p>
          <w:p w14:paraId="47BB7688">
            <w:pPr>
              <w:widowControl/>
              <w:spacing w:line="360" w:lineRule="auto"/>
              <w:ind w:firstLine="422"/>
              <w:rPr>
                <w:rFonts w:hint="eastAsia" w:ascii="宋体" w:hAnsi="宋体" w:cs="宋体"/>
                <w:color w:val="auto"/>
                <w:kern w:val="1"/>
                <w:szCs w:val="21"/>
                <w:highlight w:val="none"/>
              </w:rPr>
            </w:pPr>
            <w:r>
              <w:rPr>
                <w:rFonts w:hint="eastAsia" w:ascii="宋体" w:hAnsi="宋体" w:cs="宋体"/>
                <w:b/>
                <w:bCs/>
                <w:color w:val="auto"/>
                <w:kern w:val="1"/>
                <w:szCs w:val="21"/>
                <w:highlight w:val="none"/>
              </w:rPr>
              <w:t>三档（</w:t>
            </w:r>
            <w:r>
              <w:rPr>
                <w:rFonts w:hint="eastAsia" w:ascii="宋体" w:hAnsi="宋体" w:cs="宋体"/>
                <w:b/>
                <w:bCs/>
                <w:color w:val="auto"/>
                <w:kern w:val="1"/>
                <w:szCs w:val="21"/>
                <w:highlight w:val="none"/>
                <w:lang w:val="en-US" w:eastAsia="zh-CN"/>
              </w:rPr>
              <w:t>6</w:t>
            </w:r>
            <w:r>
              <w:rPr>
                <w:rFonts w:hint="eastAsia" w:ascii="宋体" w:hAnsi="宋体" w:cs="宋体"/>
                <w:b/>
                <w:bCs/>
                <w:color w:val="auto"/>
                <w:kern w:val="1"/>
                <w:szCs w:val="21"/>
                <w:highlight w:val="none"/>
              </w:rPr>
              <w:t>分）</w:t>
            </w:r>
            <w:r>
              <w:rPr>
                <w:rFonts w:hint="eastAsia" w:ascii="宋体" w:hAnsi="宋体" w:cs="宋体"/>
                <w:color w:val="auto"/>
                <w:kern w:val="1"/>
                <w:szCs w:val="21"/>
                <w:highlight w:val="none"/>
              </w:rPr>
              <w:t>：供应商提供的管理制度满足采购需求，管理规章制度各项目内容较详细，操作具备可行性，制度包含食材供应服务质量管理；</w:t>
            </w:r>
          </w:p>
          <w:p w14:paraId="0BAACF75">
            <w:pPr>
              <w:widowControl/>
              <w:spacing w:line="360" w:lineRule="auto"/>
              <w:ind w:firstLine="422"/>
              <w:rPr>
                <w:rFonts w:hint="eastAsia" w:ascii="宋体" w:hAnsi="宋体" w:cs="宋体"/>
                <w:color w:val="auto"/>
                <w:kern w:val="1"/>
                <w:szCs w:val="21"/>
                <w:highlight w:val="none"/>
              </w:rPr>
            </w:pPr>
            <w:r>
              <w:rPr>
                <w:rFonts w:hint="eastAsia" w:ascii="宋体" w:hAnsi="宋体" w:cs="宋体"/>
                <w:b/>
                <w:bCs/>
                <w:color w:val="auto"/>
                <w:kern w:val="1"/>
                <w:szCs w:val="21"/>
                <w:highlight w:val="none"/>
              </w:rPr>
              <w:t>四档（</w:t>
            </w:r>
            <w:r>
              <w:rPr>
                <w:rFonts w:hint="eastAsia" w:ascii="宋体" w:hAnsi="宋体" w:cs="宋体"/>
                <w:b/>
                <w:bCs/>
                <w:color w:val="auto"/>
                <w:kern w:val="1"/>
                <w:szCs w:val="21"/>
                <w:highlight w:val="none"/>
                <w:lang w:val="en-US" w:eastAsia="zh-CN"/>
              </w:rPr>
              <w:t>8</w:t>
            </w:r>
            <w:r>
              <w:rPr>
                <w:rFonts w:hint="eastAsia" w:ascii="宋体" w:hAnsi="宋体" w:cs="宋体"/>
                <w:b/>
                <w:bCs/>
                <w:color w:val="auto"/>
                <w:kern w:val="1"/>
                <w:szCs w:val="21"/>
                <w:highlight w:val="none"/>
              </w:rPr>
              <w:t>分）：</w:t>
            </w:r>
            <w:r>
              <w:rPr>
                <w:rFonts w:hint="eastAsia" w:ascii="宋体" w:hAnsi="宋体" w:cs="宋体"/>
                <w:color w:val="auto"/>
                <w:kern w:val="1"/>
                <w:szCs w:val="21"/>
                <w:highlight w:val="none"/>
              </w:rPr>
              <w:t>供应商提供的管理制度满足采购需求，管理规章制度各项目内容详细，操作具备可行性，制度包含食材供应服务质量管理、安全控制措施管理等；</w:t>
            </w:r>
          </w:p>
          <w:p w14:paraId="62DC15A2">
            <w:pPr>
              <w:widowControl/>
              <w:spacing w:line="360" w:lineRule="auto"/>
              <w:ind w:firstLine="422"/>
              <w:rPr>
                <w:rFonts w:hint="eastAsia" w:ascii="宋体" w:hAnsi="宋体" w:cs="宋体"/>
                <w:color w:val="auto"/>
                <w:kern w:val="1"/>
                <w:szCs w:val="21"/>
                <w:highlight w:val="none"/>
              </w:rPr>
            </w:pPr>
            <w:r>
              <w:rPr>
                <w:rFonts w:hint="eastAsia" w:ascii="宋体" w:hAnsi="宋体" w:cs="宋体"/>
                <w:b/>
                <w:bCs/>
                <w:color w:val="auto"/>
                <w:kern w:val="1"/>
                <w:szCs w:val="21"/>
                <w:highlight w:val="none"/>
              </w:rPr>
              <w:t>五档（1</w:t>
            </w:r>
            <w:r>
              <w:rPr>
                <w:rFonts w:hint="eastAsia" w:ascii="宋体" w:hAnsi="宋体" w:cs="宋体"/>
                <w:b/>
                <w:bCs/>
                <w:color w:val="auto"/>
                <w:kern w:val="1"/>
                <w:szCs w:val="21"/>
                <w:highlight w:val="none"/>
                <w:lang w:val="en-US" w:eastAsia="zh-CN"/>
              </w:rPr>
              <w:t>0</w:t>
            </w:r>
            <w:r>
              <w:rPr>
                <w:rFonts w:hint="eastAsia" w:ascii="宋体" w:hAnsi="宋体" w:cs="宋体"/>
                <w:b/>
                <w:bCs/>
                <w:color w:val="auto"/>
                <w:kern w:val="1"/>
                <w:szCs w:val="21"/>
                <w:highlight w:val="none"/>
              </w:rPr>
              <w:t>分）：</w:t>
            </w:r>
            <w:r>
              <w:rPr>
                <w:rFonts w:hint="eastAsia" w:ascii="宋体" w:hAnsi="宋体" w:cs="宋体"/>
                <w:color w:val="auto"/>
                <w:kern w:val="1"/>
                <w:szCs w:val="21"/>
                <w:highlight w:val="none"/>
              </w:rPr>
              <w:t>供应商提供的管理制度完全满足采购需求，管理规章制度各项目内容详细，操作具备可行性</w:t>
            </w:r>
            <w:r>
              <w:rPr>
                <w:rFonts w:hint="eastAsia" w:ascii="宋体" w:hAnsi="宋体" w:cs="宋体"/>
                <w:color w:val="auto"/>
                <w:kern w:val="1"/>
                <w:szCs w:val="21"/>
                <w:highlight w:val="none"/>
                <w:lang w:eastAsia="zh-CN"/>
              </w:rPr>
              <w:t>、</w:t>
            </w:r>
            <w:r>
              <w:rPr>
                <w:rFonts w:hint="eastAsia" w:ascii="宋体" w:hAnsi="宋体" w:cs="宋体"/>
                <w:color w:val="auto"/>
                <w:kern w:val="1"/>
                <w:szCs w:val="21"/>
                <w:highlight w:val="none"/>
              </w:rPr>
              <w:t>针对性</w:t>
            </w:r>
            <w:r>
              <w:rPr>
                <w:rFonts w:hint="eastAsia" w:ascii="宋体" w:hAnsi="宋体" w:cs="宋体"/>
                <w:color w:val="auto"/>
                <w:kern w:val="1"/>
                <w:szCs w:val="21"/>
                <w:highlight w:val="none"/>
                <w:lang w:eastAsia="zh-CN"/>
              </w:rPr>
              <w:t>。</w:t>
            </w:r>
            <w:r>
              <w:rPr>
                <w:rFonts w:hint="eastAsia" w:ascii="宋体" w:hAnsi="宋体" w:cs="宋体"/>
                <w:color w:val="auto"/>
                <w:kern w:val="1"/>
                <w:szCs w:val="21"/>
                <w:highlight w:val="none"/>
              </w:rPr>
              <w:t>制度包含食材供应服务质量管理、安全控制措施管理、人力资源管理、财务管理、风险管理等。</w:t>
            </w:r>
          </w:p>
          <w:p w14:paraId="022D419B">
            <w:pPr>
              <w:widowControl/>
              <w:spacing w:line="360" w:lineRule="auto"/>
              <w:ind w:firstLine="422"/>
              <w:rPr>
                <w:rFonts w:hint="eastAsia" w:ascii="宋体" w:hAnsi="宋体" w:cs="宋体"/>
                <w:color w:val="auto"/>
                <w:highlight w:val="none"/>
              </w:rPr>
            </w:pPr>
            <w:r>
              <w:rPr>
                <w:rFonts w:hint="eastAsia" w:ascii="宋体" w:hAnsi="宋体" w:cs="宋体"/>
                <w:color w:val="auto"/>
                <w:kern w:val="1"/>
                <w:szCs w:val="21"/>
                <w:highlight w:val="none"/>
              </w:rPr>
              <w:t>注：未提供或提供的不符合要求的不得分。</w:t>
            </w:r>
          </w:p>
        </w:tc>
      </w:tr>
      <w:tr w14:paraId="632C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8" w:type="dxa"/>
            <w:vMerge w:val="continue"/>
            <w:noWrap/>
            <w:vAlign w:val="center"/>
          </w:tcPr>
          <w:p w14:paraId="7A52F30A">
            <w:pPr>
              <w:jc w:val="center"/>
              <w:rPr>
                <w:rFonts w:hint="eastAsia" w:ascii="宋体" w:hAnsi="宋体" w:cs="宋体"/>
                <w:b/>
                <w:color w:val="auto"/>
                <w:szCs w:val="21"/>
                <w:highlight w:val="none"/>
              </w:rPr>
            </w:pPr>
          </w:p>
        </w:tc>
        <w:tc>
          <w:tcPr>
            <w:tcW w:w="1172" w:type="dxa"/>
            <w:vMerge w:val="continue"/>
            <w:noWrap/>
            <w:vAlign w:val="center"/>
          </w:tcPr>
          <w:p w14:paraId="0B41A0EA">
            <w:pPr>
              <w:jc w:val="center"/>
              <w:rPr>
                <w:rFonts w:hint="eastAsia" w:ascii="宋体" w:hAnsi="宋体" w:cs="宋体"/>
                <w:b/>
                <w:color w:val="auto"/>
                <w:szCs w:val="21"/>
                <w:highlight w:val="none"/>
              </w:rPr>
            </w:pPr>
          </w:p>
        </w:tc>
        <w:tc>
          <w:tcPr>
            <w:tcW w:w="1037" w:type="dxa"/>
            <w:noWrap/>
            <w:vAlign w:val="center"/>
          </w:tcPr>
          <w:p w14:paraId="02732BCD">
            <w:pPr>
              <w:snapToGrid w:val="0"/>
              <w:jc w:val="center"/>
              <w:rPr>
                <w:rFonts w:hint="eastAsia" w:ascii="宋体" w:hAnsi="宋体" w:cs="宋体"/>
                <w:b/>
                <w:bCs/>
                <w:color w:val="auto"/>
                <w:szCs w:val="21"/>
                <w:highlight w:val="none"/>
              </w:rPr>
            </w:pPr>
            <w:r>
              <w:rPr>
                <w:rFonts w:hint="eastAsia" w:ascii="宋体" w:hAnsi="宋体" w:cs="宋体"/>
                <w:b/>
                <w:bCs/>
                <w:color w:val="auto"/>
                <w:szCs w:val="21"/>
                <w:highlight w:val="none"/>
              </w:rPr>
              <w:t>（5）应急方案（满分8分）</w:t>
            </w:r>
          </w:p>
        </w:tc>
        <w:tc>
          <w:tcPr>
            <w:tcW w:w="7141" w:type="dxa"/>
            <w:noWrap/>
            <w:vAlign w:val="center"/>
          </w:tcPr>
          <w:p w14:paraId="45538DAA">
            <w:pPr>
              <w:widowControl/>
              <w:spacing w:line="440" w:lineRule="exact"/>
              <w:ind w:firstLine="422" w:firstLineChars="20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一档（2分）：</w:t>
            </w:r>
            <w:r>
              <w:rPr>
                <w:rFonts w:hint="eastAsia" w:ascii="宋体" w:hAnsi="宋体" w:cs="宋体"/>
                <w:color w:val="auto"/>
                <w:szCs w:val="21"/>
                <w:highlight w:val="none"/>
              </w:rPr>
              <w:t>响应文件中</w:t>
            </w:r>
            <w:r>
              <w:rPr>
                <w:rFonts w:hint="eastAsia" w:ascii="宋体" w:hAnsi="宋体" w:cs="宋体"/>
                <w:color w:val="auto"/>
                <w:highlight w:val="none"/>
              </w:rPr>
              <w:t>的</w:t>
            </w:r>
            <w:r>
              <w:rPr>
                <w:rFonts w:hint="eastAsia" w:ascii="宋体" w:hAnsi="宋体" w:cs="宋体"/>
                <w:color w:val="auto"/>
                <w:szCs w:val="21"/>
                <w:highlight w:val="none"/>
              </w:rPr>
              <w:t>应急预案方案内容有应急组成员、保证供货应急预案、食材质量问题处理预案、仓库火灾应急预案说明。</w:t>
            </w:r>
          </w:p>
          <w:p w14:paraId="63BA8747">
            <w:pPr>
              <w:widowControl/>
              <w:spacing w:line="440" w:lineRule="exact"/>
              <w:ind w:firstLine="422" w:firstLineChars="200"/>
              <w:rPr>
                <w:rFonts w:hint="eastAsia" w:ascii="宋体" w:hAnsi="宋体" w:cs="宋体"/>
                <w:color w:val="auto"/>
                <w:kern w:val="0"/>
                <w:szCs w:val="21"/>
                <w:highlight w:val="none"/>
              </w:rPr>
            </w:pPr>
            <w:r>
              <w:rPr>
                <w:rFonts w:hint="eastAsia" w:ascii="宋体" w:hAnsi="宋体" w:cs="宋体"/>
                <w:b/>
                <w:bCs/>
                <w:color w:val="auto"/>
                <w:kern w:val="0"/>
                <w:szCs w:val="21"/>
                <w:highlight w:val="none"/>
              </w:rPr>
              <w:t>二档（4分）：</w:t>
            </w:r>
            <w:r>
              <w:rPr>
                <w:rFonts w:hint="eastAsia" w:ascii="宋体" w:hAnsi="宋体" w:cs="宋体"/>
                <w:color w:val="auto"/>
                <w:szCs w:val="21"/>
                <w:highlight w:val="none"/>
              </w:rPr>
              <w:t>响应文件中</w:t>
            </w:r>
            <w:r>
              <w:rPr>
                <w:rFonts w:hint="eastAsia" w:ascii="宋体" w:hAnsi="宋体" w:cs="宋体"/>
                <w:color w:val="auto"/>
                <w:highlight w:val="none"/>
              </w:rPr>
              <w:t>的</w:t>
            </w:r>
            <w:r>
              <w:rPr>
                <w:rFonts w:hint="eastAsia" w:ascii="宋体" w:hAnsi="宋体" w:cs="宋体"/>
                <w:color w:val="auto"/>
                <w:szCs w:val="21"/>
                <w:highlight w:val="none"/>
              </w:rPr>
              <w:t>应急预案方案内容有应急组成员、保证供货应急预案、食材质量问题处理预案、仓库火灾应急预案、食材运输应急预案说明。能在60分钟内到达现场处理紧急事件。问题食材发生紧急事件处理预案内容简洁实用。</w:t>
            </w:r>
          </w:p>
          <w:p w14:paraId="17BE9109">
            <w:pPr>
              <w:widowControl/>
              <w:spacing w:line="440" w:lineRule="exact"/>
              <w:ind w:firstLine="422" w:firstLineChars="20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三档（6分）：</w:t>
            </w:r>
            <w:r>
              <w:rPr>
                <w:rFonts w:hint="eastAsia" w:ascii="宋体" w:hAnsi="宋体" w:cs="宋体"/>
                <w:color w:val="auto"/>
                <w:szCs w:val="21"/>
                <w:highlight w:val="none"/>
              </w:rPr>
              <w:t>响应文件中</w:t>
            </w:r>
            <w:r>
              <w:rPr>
                <w:rFonts w:hint="eastAsia" w:ascii="宋体" w:hAnsi="宋体" w:cs="宋体"/>
                <w:color w:val="auto"/>
                <w:highlight w:val="none"/>
              </w:rPr>
              <w:t>的</w:t>
            </w:r>
            <w:r>
              <w:rPr>
                <w:rFonts w:hint="eastAsia" w:ascii="宋体" w:hAnsi="宋体" w:cs="宋体"/>
                <w:color w:val="auto"/>
                <w:szCs w:val="21"/>
                <w:highlight w:val="none"/>
              </w:rPr>
              <w:t>应急预案方案内容有应急组成员、保证供货应急预案、食材质量问题处理预案、仓库火灾应急预案、食材运输应急预案、供货响应应急预案说明。对配送及应急处理的响应时间不超过10分钟，能在45分钟内到达现场处理紧急事件，问题食材发生紧急事件处理预案内容具体，具有一定针对性；</w:t>
            </w:r>
          </w:p>
          <w:p w14:paraId="6A1C10D6">
            <w:pPr>
              <w:wordWrap w:val="0"/>
              <w:spacing w:line="460" w:lineRule="exact"/>
              <w:ind w:firstLine="422" w:firstLineChars="200"/>
              <w:jc w:val="left"/>
              <w:rPr>
                <w:rFonts w:hint="eastAsia" w:ascii="宋体" w:hAnsi="宋体" w:cs="宋体"/>
                <w:color w:val="auto"/>
                <w:szCs w:val="21"/>
                <w:highlight w:val="none"/>
              </w:rPr>
            </w:pPr>
            <w:r>
              <w:rPr>
                <w:rFonts w:hint="eastAsia" w:ascii="宋体" w:hAnsi="宋体" w:cs="宋体"/>
                <w:b/>
                <w:bCs/>
                <w:color w:val="auto"/>
                <w:kern w:val="0"/>
                <w:szCs w:val="21"/>
                <w:highlight w:val="none"/>
              </w:rPr>
              <w:t>四档（8分）：</w:t>
            </w:r>
            <w:r>
              <w:rPr>
                <w:rFonts w:hint="eastAsia" w:ascii="宋体" w:hAnsi="宋体" w:cs="宋体"/>
                <w:color w:val="auto"/>
                <w:szCs w:val="21"/>
                <w:highlight w:val="none"/>
              </w:rPr>
              <w:t>响应文件中</w:t>
            </w:r>
            <w:r>
              <w:rPr>
                <w:rFonts w:hint="eastAsia" w:ascii="宋体" w:hAnsi="宋体" w:cs="宋体"/>
                <w:color w:val="auto"/>
                <w:highlight w:val="none"/>
              </w:rPr>
              <w:t>的</w:t>
            </w:r>
            <w:r>
              <w:rPr>
                <w:rFonts w:hint="eastAsia" w:ascii="宋体" w:hAnsi="宋体" w:cs="宋体"/>
                <w:color w:val="auto"/>
                <w:szCs w:val="21"/>
                <w:highlight w:val="none"/>
              </w:rPr>
              <w:t>应急预案方案内容有详细的应急组成员、保证供货应急预案、食材质量问题处理预案、仓库火灾应急预案、食材运输应急预案、供货响应应急预案、食材中毒应急预案、不可预见性突发事件应急预案说明，方案陈述全面。对配送和应急处理的响应迅速，不超过5分钟。处理紧急事件时，能在30分钟内到达现场。针对问题食材发生的紧急事件，制定了具体且有针对性的处理预案。</w:t>
            </w:r>
          </w:p>
          <w:p w14:paraId="5596C062">
            <w:pPr>
              <w:widowControl/>
              <w:spacing w:line="44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注：未提供或未达到一档要求的本项不得分。</w:t>
            </w:r>
          </w:p>
        </w:tc>
      </w:tr>
      <w:tr w14:paraId="171E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8" w:type="dxa"/>
            <w:vMerge w:val="restart"/>
            <w:noWrap/>
            <w:vAlign w:val="center"/>
          </w:tcPr>
          <w:p w14:paraId="7FBC74D4">
            <w:pPr>
              <w:jc w:val="center"/>
              <w:rPr>
                <w:rFonts w:hint="eastAsia" w:ascii="宋体" w:hAnsi="宋体" w:cs="宋体"/>
                <w:b/>
                <w:color w:val="auto"/>
                <w:szCs w:val="21"/>
                <w:highlight w:val="none"/>
              </w:rPr>
            </w:pPr>
            <w:r>
              <w:rPr>
                <w:rFonts w:hint="eastAsia" w:ascii="宋体" w:hAnsi="宋体" w:cs="宋体"/>
                <w:b/>
                <w:color w:val="auto"/>
                <w:szCs w:val="21"/>
                <w:highlight w:val="none"/>
              </w:rPr>
              <w:t>3</w:t>
            </w:r>
          </w:p>
        </w:tc>
        <w:tc>
          <w:tcPr>
            <w:tcW w:w="1172" w:type="dxa"/>
            <w:vMerge w:val="restart"/>
            <w:noWrap/>
            <w:vAlign w:val="center"/>
          </w:tcPr>
          <w:p w14:paraId="092FBDC4">
            <w:pPr>
              <w:jc w:val="center"/>
              <w:rPr>
                <w:rFonts w:hint="eastAsia" w:ascii="宋体" w:hAnsi="宋体" w:cs="宋体"/>
                <w:b/>
                <w:color w:val="auto"/>
                <w:szCs w:val="21"/>
                <w:highlight w:val="none"/>
              </w:rPr>
            </w:pPr>
            <w:r>
              <w:rPr>
                <w:rFonts w:hint="eastAsia" w:ascii="宋体" w:hAnsi="宋体" w:cs="宋体"/>
                <w:b/>
                <w:color w:val="auto"/>
                <w:szCs w:val="21"/>
                <w:highlight w:val="none"/>
              </w:rPr>
              <w:t>商务分（满分</w:t>
            </w:r>
            <w:r>
              <w:rPr>
                <w:rFonts w:hint="eastAsia" w:ascii="宋体" w:hAnsi="宋体" w:cs="宋体"/>
                <w:b/>
                <w:color w:val="auto"/>
                <w:szCs w:val="21"/>
                <w:highlight w:val="none"/>
                <w:lang w:val="en-US" w:eastAsia="zh-CN"/>
              </w:rPr>
              <w:t>22</w:t>
            </w:r>
            <w:r>
              <w:rPr>
                <w:rFonts w:hint="eastAsia" w:ascii="宋体" w:hAnsi="宋体" w:cs="宋体"/>
                <w:b/>
                <w:color w:val="auto"/>
                <w:szCs w:val="21"/>
                <w:highlight w:val="none"/>
              </w:rPr>
              <w:t>分）</w:t>
            </w:r>
          </w:p>
        </w:tc>
        <w:tc>
          <w:tcPr>
            <w:tcW w:w="1037" w:type="dxa"/>
            <w:noWrap/>
            <w:vAlign w:val="center"/>
          </w:tcPr>
          <w:p w14:paraId="600B837F">
            <w:pPr>
              <w:snapToGrid w:val="0"/>
              <w:jc w:val="center"/>
              <w:rPr>
                <w:rFonts w:hint="eastAsia" w:ascii="宋体" w:hAnsi="宋体" w:cs="宋体"/>
                <w:bCs/>
                <w:color w:val="auto"/>
                <w:szCs w:val="21"/>
                <w:highlight w:val="none"/>
              </w:rPr>
            </w:pPr>
            <w:r>
              <w:rPr>
                <w:rFonts w:hint="eastAsia" w:ascii="宋体" w:hAnsi="宋体" w:cs="宋体"/>
                <w:b/>
                <w:bCs/>
                <w:color w:val="auto"/>
                <w:szCs w:val="21"/>
                <w:highlight w:val="none"/>
              </w:rPr>
              <w:t>（1）配送能力（满分4分）</w:t>
            </w:r>
          </w:p>
        </w:tc>
        <w:tc>
          <w:tcPr>
            <w:tcW w:w="7141" w:type="dxa"/>
            <w:noWrap/>
            <w:vAlign w:val="top"/>
          </w:tcPr>
          <w:p w14:paraId="43B702D8">
            <w:pPr>
              <w:spacing w:line="460" w:lineRule="exact"/>
              <w:ind w:firstLine="420"/>
              <w:jc w:val="left"/>
              <w:rPr>
                <w:rFonts w:ascii="宋体" w:hAnsi="宋体" w:cs="宋体"/>
                <w:color w:val="auto"/>
                <w:kern w:val="1"/>
                <w:szCs w:val="21"/>
                <w:highlight w:val="none"/>
              </w:rPr>
            </w:pPr>
            <w:r>
              <w:rPr>
                <w:rFonts w:hint="eastAsia" w:ascii="宋体" w:hAnsi="宋体" w:cs="宋体"/>
                <w:color w:val="auto"/>
                <w:kern w:val="1"/>
                <w:szCs w:val="21"/>
                <w:highlight w:val="none"/>
              </w:rPr>
              <w:t>供应商拟投入本项目自有或租赁“</w:t>
            </w:r>
            <w:r>
              <w:rPr>
                <w:rFonts w:hint="eastAsia" w:ascii="宋体" w:hAnsi="宋体" w:cs="宋体"/>
                <w:color w:val="auto"/>
                <w:kern w:val="1"/>
                <w:szCs w:val="21"/>
                <w:highlight w:val="none"/>
                <w:lang w:val="en-US" w:eastAsia="zh-CN"/>
              </w:rPr>
              <w:t>冷藏</w:t>
            </w:r>
            <w:r>
              <w:rPr>
                <w:rFonts w:hint="eastAsia" w:ascii="宋体" w:hAnsi="宋体" w:cs="宋体"/>
                <w:color w:val="auto"/>
                <w:kern w:val="1"/>
                <w:szCs w:val="21"/>
                <w:highlight w:val="none"/>
              </w:rPr>
              <w:t>厢式货车”至少2辆及以上，投入2辆的得2分，供应商每增加投入1辆“轻型厢式货车”加1分，满分4分。</w:t>
            </w:r>
          </w:p>
          <w:p w14:paraId="185295C4">
            <w:pPr>
              <w:wordWrap w:val="0"/>
              <w:spacing w:line="4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注：投入的车辆必须为检验合格期内，【自有车辆必须提供车辆行驶证或购买车辆发票（车辆所有人为法定代表人名字或供应商单位名字）扫描件，并提供车辆正面、侧面、后面实拍照片且清晰可辨等证明文件】；【租赁车辆必须提供行驶证或购买发票（所有人为出租方），及租赁合同扫描件（租车时必须提供，租赁期须包含本项目服务期），并提供车辆正面、侧面、后面车辆实拍照片且清晰可辨等证明文件】，所提供的扫描件须加盖供应商公章，未按要求提供相关材料或扫描不清晰导致无法识别的不计得分。</w:t>
            </w:r>
          </w:p>
          <w:p w14:paraId="66B59B21">
            <w:pPr>
              <w:wordWrap w:val="0"/>
              <w:spacing w:line="4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签订合同后核查行驶证、发票及租赁合同原件，如发现虚假应标则监督部门将取消其供货资格。</w:t>
            </w:r>
          </w:p>
        </w:tc>
      </w:tr>
      <w:tr w14:paraId="14FC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jc w:val="center"/>
        </w:trPr>
        <w:tc>
          <w:tcPr>
            <w:tcW w:w="638" w:type="dxa"/>
            <w:vMerge w:val="continue"/>
            <w:noWrap/>
            <w:vAlign w:val="center"/>
          </w:tcPr>
          <w:p w14:paraId="5D83778C">
            <w:pPr>
              <w:jc w:val="center"/>
              <w:rPr>
                <w:rFonts w:hint="eastAsia" w:ascii="宋体" w:hAnsi="宋体" w:cs="宋体"/>
                <w:b/>
                <w:color w:val="auto"/>
                <w:szCs w:val="21"/>
                <w:highlight w:val="none"/>
              </w:rPr>
            </w:pPr>
          </w:p>
        </w:tc>
        <w:tc>
          <w:tcPr>
            <w:tcW w:w="1172" w:type="dxa"/>
            <w:vMerge w:val="continue"/>
            <w:noWrap/>
            <w:vAlign w:val="center"/>
          </w:tcPr>
          <w:p w14:paraId="3E6102F7">
            <w:pPr>
              <w:jc w:val="center"/>
              <w:rPr>
                <w:rFonts w:hint="eastAsia" w:ascii="宋体" w:hAnsi="宋体" w:cs="宋体"/>
                <w:b/>
                <w:color w:val="auto"/>
                <w:szCs w:val="21"/>
                <w:highlight w:val="none"/>
              </w:rPr>
            </w:pPr>
          </w:p>
        </w:tc>
        <w:tc>
          <w:tcPr>
            <w:tcW w:w="1037" w:type="dxa"/>
            <w:noWrap/>
            <w:vAlign w:val="center"/>
          </w:tcPr>
          <w:p w14:paraId="70D5C742">
            <w:pPr>
              <w:snapToGrid w:val="0"/>
              <w:jc w:val="center"/>
              <w:rPr>
                <w:rFonts w:hint="eastAsia" w:ascii="宋体" w:hAnsi="宋体" w:cs="宋体"/>
                <w:bCs/>
                <w:color w:val="auto"/>
                <w:szCs w:val="21"/>
                <w:highlight w:val="none"/>
              </w:rPr>
            </w:pPr>
            <w:r>
              <w:rPr>
                <w:rFonts w:hint="eastAsia" w:ascii="宋体" w:hAnsi="宋体" w:cs="宋体"/>
                <w:b/>
                <w:bCs/>
                <w:color w:val="auto"/>
                <w:szCs w:val="21"/>
                <w:highlight w:val="none"/>
              </w:rPr>
              <w:t>（2）拟投入人员（满分</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分）</w:t>
            </w:r>
          </w:p>
        </w:tc>
        <w:tc>
          <w:tcPr>
            <w:tcW w:w="7141" w:type="dxa"/>
            <w:noWrap/>
            <w:vAlign w:val="top"/>
          </w:tcPr>
          <w:p w14:paraId="3D78BA83">
            <w:pPr>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供应商拟投入本项目的项目实施人员</w:t>
            </w:r>
            <w:r>
              <w:rPr>
                <w:rFonts w:hint="eastAsia" w:ascii="宋体" w:hAnsi="宋体" w:cs="宋体"/>
                <w:color w:val="auto"/>
                <w:kern w:val="1"/>
                <w:szCs w:val="21"/>
                <w:highlight w:val="none"/>
              </w:rPr>
              <w:t>至少</w:t>
            </w:r>
            <w:r>
              <w:rPr>
                <w:rFonts w:hint="eastAsia" w:ascii="宋体" w:hAnsi="宋体" w:cs="宋体"/>
                <w:color w:val="auto"/>
                <w:szCs w:val="21"/>
                <w:highlight w:val="none"/>
              </w:rPr>
              <w:t>4人</w:t>
            </w:r>
            <w:r>
              <w:rPr>
                <w:rFonts w:hint="eastAsia" w:ascii="宋体" w:hAnsi="宋体" w:cs="宋体"/>
                <w:color w:val="auto"/>
                <w:kern w:val="1"/>
                <w:szCs w:val="21"/>
                <w:highlight w:val="none"/>
              </w:rPr>
              <w:t>及以上</w:t>
            </w:r>
            <w:r>
              <w:rPr>
                <w:rFonts w:hint="eastAsia" w:ascii="宋体" w:hAnsi="宋体" w:cs="宋体"/>
                <w:color w:val="auto"/>
                <w:szCs w:val="21"/>
                <w:highlight w:val="none"/>
              </w:rPr>
              <w:t>（含配送司机），</w:t>
            </w:r>
            <w:r>
              <w:rPr>
                <w:rFonts w:hint="eastAsia" w:ascii="宋体" w:hAnsi="宋体" w:cs="宋体"/>
                <w:color w:val="auto"/>
                <w:kern w:val="1"/>
                <w:szCs w:val="21"/>
                <w:highlight w:val="none"/>
              </w:rPr>
              <w:t>投入4人的</w:t>
            </w:r>
            <w:r>
              <w:rPr>
                <w:rFonts w:ascii="宋体" w:hAnsi="宋体" w:cs="宋体"/>
                <w:color w:val="auto"/>
                <w:kern w:val="1"/>
                <w:szCs w:val="21"/>
                <w:highlight w:val="none"/>
              </w:rPr>
              <w:t>得</w:t>
            </w:r>
            <w:r>
              <w:rPr>
                <w:rFonts w:hint="eastAsia" w:ascii="宋体" w:hAnsi="宋体" w:cs="宋体"/>
                <w:color w:val="auto"/>
                <w:kern w:val="1"/>
                <w:szCs w:val="21"/>
                <w:highlight w:val="none"/>
              </w:rPr>
              <w:t>2</w:t>
            </w:r>
            <w:r>
              <w:rPr>
                <w:rFonts w:ascii="宋体" w:hAnsi="宋体" w:cs="宋体"/>
                <w:color w:val="auto"/>
                <w:kern w:val="1"/>
                <w:szCs w:val="21"/>
                <w:highlight w:val="none"/>
              </w:rPr>
              <w:t>分，</w:t>
            </w:r>
            <w:r>
              <w:rPr>
                <w:rFonts w:hint="eastAsia" w:ascii="宋体" w:hAnsi="宋体" w:cs="宋体"/>
                <w:color w:val="auto"/>
                <w:szCs w:val="21"/>
                <w:highlight w:val="none"/>
              </w:rPr>
              <w:t>每增加1人得0.5分，本项满分</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p w14:paraId="1EAC10CA">
            <w:pPr>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注：响应文件须附供应商与拟投入人员签订的劳动合同扫描件（或其他证明其为供应商单位员工证明材料）、身份证扫描件、有效的健康证扫描件；拟投入配送司机有效的健康证扫描件、身份证扫描件、驾驶证扫描件及劳动合同扫描件（或其他证明其为供应商单位员工证明材料）</w:t>
            </w:r>
            <w:r>
              <w:rPr>
                <w:rFonts w:hint="eastAsia" w:ascii="宋体" w:hAnsi="宋体" w:cs="宋体"/>
                <w:color w:val="auto"/>
                <w:kern w:val="1"/>
                <w:szCs w:val="21"/>
                <w:highlight w:val="none"/>
              </w:rPr>
              <w:t>。</w:t>
            </w:r>
          </w:p>
        </w:tc>
      </w:tr>
      <w:tr w14:paraId="288F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9" w:hRule="atLeast"/>
          <w:jc w:val="center"/>
        </w:trPr>
        <w:tc>
          <w:tcPr>
            <w:tcW w:w="638" w:type="dxa"/>
            <w:vMerge w:val="continue"/>
            <w:noWrap/>
            <w:vAlign w:val="center"/>
          </w:tcPr>
          <w:p w14:paraId="6F1B6D3B">
            <w:pPr>
              <w:jc w:val="center"/>
              <w:rPr>
                <w:rFonts w:hint="eastAsia" w:ascii="宋体" w:hAnsi="宋体" w:cs="宋体"/>
                <w:b/>
                <w:color w:val="auto"/>
                <w:szCs w:val="21"/>
                <w:highlight w:val="none"/>
              </w:rPr>
            </w:pPr>
          </w:p>
        </w:tc>
        <w:tc>
          <w:tcPr>
            <w:tcW w:w="1172" w:type="dxa"/>
            <w:vMerge w:val="continue"/>
            <w:noWrap/>
            <w:vAlign w:val="center"/>
          </w:tcPr>
          <w:p w14:paraId="043B0A46">
            <w:pPr>
              <w:jc w:val="center"/>
              <w:rPr>
                <w:rFonts w:hint="eastAsia" w:ascii="宋体" w:hAnsi="宋体" w:cs="宋体"/>
                <w:b/>
                <w:color w:val="auto"/>
                <w:szCs w:val="21"/>
                <w:highlight w:val="none"/>
              </w:rPr>
            </w:pPr>
          </w:p>
        </w:tc>
        <w:tc>
          <w:tcPr>
            <w:tcW w:w="1037" w:type="dxa"/>
            <w:noWrap/>
            <w:vAlign w:val="center"/>
          </w:tcPr>
          <w:p w14:paraId="7799D0C9">
            <w:pPr>
              <w:snapToGrid w:val="0"/>
              <w:jc w:val="center"/>
              <w:rPr>
                <w:rFonts w:hint="eastAsia" w:ascii="宋体" w:hAnsi="宋体" w:cs="宋体"/>
                <w:bCs/>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）供应商承诺或购买《食品安全责任保险》（有效期内）（满分</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分）</w:t>
            </w:r>
          </w:p>
        </w:tc>
        <w:tc>
          <w:tcPr>
            <w:tcW w:w="7141" w:type="dxa"/>
            <w:noWrap/>
            <w:vAlign w:val="top"/>
          </w:tcPr>
          <w:p w14:paraId="54CE716F">
            <w:pPr>
              <w:spacing w:line="460" w:lineRule="exact"/>
              <w:ind w:firstLine="422"/>
              <w:jc w:val="left"/>
              <w:rPr>
                <w:rFonts w:hint="eastAsia" w:ascii="宋体" w:hAnsi="宋体" w:cs="宋体"/>
                <w:color w:val="auto"/>
                <w:kern w:val="1"/>
                <w:szCs w:val="21"/>
                <w:highlight w:val="none"/>
              </w:rPr>
            </w:pPr>
            <w:r>
              <w:rPr>
                <w:rFonts w:hint="eastAsia" w:ascii="宋体" w:hAnsi="宋体" w:cs="宋体"/>
                <w:b/>
                <w:bCs/>
                <w:color w:val="auto"/>
                <w:kern w:val="1"/>
                <w:szCs w:val="21"/>
                <w:highlight w:val="none"/>
              </w:rPr>
              <w:t>一档（</w:t>
            </w:r>
            <w:r>
              <w:rPr>
                <w:rFonts w:hint="eastAsia" w:ascii="宋体" w:hAnsi="宋体" w:cs="宋体"/>
                <w:b/>
                <w:bCs/>
                <w:color w:val="auto"/>
                <w:kern w:val="1"/>
                <w:szCs w:val="21"/>
                <w:highlight w:val="none"/>
                <w:lang w:val="en-US" w:eastAsia="zh-CN"/>
              </w:rPr>
              <w:t>1</w:t>
            </w:r>
            <w:r>
              <w:rPr>
                <w:rFonts w:hint="eastAsia" w:ascii="宋体" w:hAnsi="宋体" w:cs="宋体"/>
                <w:b/>
                <w:bCs/>
                <w:color w:val="auto"/>
                <w:kern w:val="1"/>
                <w:szCs w:val="21"/>
                <w:highlight w:val="none"/>
              </w:rPr>
              <w:t>分）</w:t>
            </w:r>
            <w:r>
              <w:rPr>
                <w:rFonts w:hint="eastAsia" w:ascii="宋体" w:hAnsi="宋体" w:cs="宋体"/>
                <w:color w:val="auto"/>
                <w:kern w:val="1"/>
                <w:szCs w:val="21"/>
                <w:highlight w:val="none"/>
              </w:rPr>
              <w:t>：供应商承诺在成交后购买《食品安全责任保险》的得0.5分。（响应文件中提供相应承诺函）</w:t>
            </w:r>
          </w:p>
          <w:p w14:paraId="3AFECD19">
            <w:pPr>
              <w:spacing w:line="460" w:lineRule="exact"/>
              <w:ind w:firstLine="422"/>
              <w:jc w:val="left"/>
              <w:rPr>
                <w:rFonts w:hint="eastAsia" w:ascii="宋体" w:hAnsi="宋体" w:cs="宋体"/>
                <w:color w:val="auto"/>
                <w:kern w:val="1"/>
                <w:szCs w:val="21"/>
                <w:highlight w:val="none"/>
              </w:rPr>
            </w:pPr>
            <w:r>
              <w:rPr>
                <w:rFonts w:hint="eastAsia" w:ascii="宋体" w:hAnsi="宋体" w:cs="宋体"/>
                <w:b/>
                <w:bCs/>
                <w:color w:val="auto"/>
                <w:kern w:val="1"/>
                <w:szCs w:val="21"/>
                <w:highlight w:val="none"/>
              </w:rPr>
              <w:t>二档（</w:t>
            </w:r>
            <w:r>
              <w:rPr>
                <w:rFonts w:hint="eastAsia" w:ascii="宋体" w:hAnsi="宋体" w:cs="宋体"/>
                <w:b/>
                <w:bCs/>
                <w:color w:val="auto"/>
                <w:kern w:val="1"/>
                <w:szCs w:val="21"/>
                <w:highlight w:val="none"/>
                <w:lang w:val="en-US" w:eastAsia="zh-CN"/>
              </w:rPr>
              <w:t>2</w:t>
            </w:r>
            <w:r>
              <w:rPr>
                <w:rFonts w:hint="eastAsia" w:ascii="宋体" w:hAnsi="宋体" w:cs="宋体"/>
                <w:b/>
                <w:bCs/>
                <w:color w:val="auto"/>
                <w:kern w:val="1"/>
                <w:szCs w:val="21"/>
                <w:highlight w:val="none"/>
              </w:rPr>
              <w:t>分）</w:t>
            </w:r>
            <w:r>
              <w:rPr>
                <w:rFonts w:hint="eastAsia" w:ascii="宋体" w:hAnsi="宋体" w:cs="宋体"/>
                <w:color w:val="auto"/>
                <w:kern w:val="1"/>
                <w:szCs w:val="21"/>
                <w:highlight w:val="none"/>
              </w:rPr>
              <w:t>：供应商已购买《食品安全责任保险》且保额500万元（不含）以下的得1分。</w:t>
            </w:r>
          </w:p>
          <w:p w14:paraId="18212B46">
            <w:pPr>
              <w:spacing w:line="460" w:lineRule="exact"/>
              <w:ind w:firstLine="422"/>
              <w:jc w:val="left"/>
              <w:rPr>
                <w:rFonts w:hint="eastAsia" w:ascii="宋体" w:hAnsi="宋体" w:cs="宋体"/>
                <w:color w:val="auto"/>
                <w:kern w:val="1"/>
                <w:szCs w:val="21"/>
                <w:highlight w:val="none"/>
              </w:rPr>
            </w:pPr>
            <w:r>
              <w:rPr>
                <w:rFonts w:hint="eastAsia" w:ascii="宋体" w:hAnsi="宋体" w:cs="宋体"/>
                <w:b/>
                <w:bCs/>
                <w:color w:val="auto"/>
                <w:kern w:val="1"/>
                <w:szCs w:val="21"/>
                <w:highlight w:val="none"/>
              </w:rPr>
              <w:t>三档（</w:t>
            </w:r>
            <w:r>
              <w:rPr>
                <w:rFonts w:hint="eastAsia" w:ascii="宋体" w:hAnsi="宋体" w:cs="宋体"/>
                <w:b/>
                <w:bCs/>
                <w:color w:val="auto"/>
                <w:kern w:val="1"/>
                <w:szCs w:val="21"/>
                <w:highlight w:val="none"/>
                <w:lang w:val="en-US" w:eastAsia="zh-CN"/>
              </w:rPr>
              <w:t>3</w:t>
            </w:r>
            <w:r>
              <w:rPr>
                <w:rFonts w:hint="eastAsia" w:ascii="宋体" w:hAnsi="宋体" w:cs="宋体"/>
                <w:b/>
                <w:bCs/>
                <w:color w:val="auto"/>
                <w:kern w:val="1"/>
                <w:szCs w:val="21"/>
                <w:highlight w:val="none"/>
              </w:rPr>
              <w:t>分）</w:t>
            </w:r>
            <w:r>
              <w:rPr>
                <w:rFonts w:hint="eastAsia" w:ascii="宋体" w:hAnsi="宋体" w:cs="宋体"/>
                <w:color w:val="auto"/>
                <w:kern w:val="1"/>
                <w:szCs w:val="21"/>
                <w:highlight w:val="none"/>
              </w:rPr>
              <w:t>：供应商已购买《食品安全责任保险》且保额500万（含）-</w:t>
            </w:r>
            <w:r>
              <w:rPr>
                <w:rFonts w:hint="eastAsia" w:ascii="宋体" w:hAnsi="宋体" w:cs="宋体"/>
                <w:color w:val="auto"/>
                <w:kern w:val="1"/>
                <w:szCs w:val="21"/>
                <w:highlight w:val="none"/>
                <w:lang w:val="en-US" w:eastAsia="zh-CN"/>
              </w:rPr>
              <w:t>2</w:t>
            </w:r>
            <w:r>
              <w:rPr>
                <w:rFonts w:hint="eastAsia" w:ascii="宋体" w:hAnsi="宋体" w:cs="宋体"/>
                <w:color w:val="auto"/>
                <w:kern w:val="1"/>
                <w:szCs w:val="21"/>
                <w:highlight w:val="none"/>
              </w:rPr>
              <w:t>000万（不含）的得1.5分。</w:t>
            </w:r>
          </w:p>
          <w:p w14:paraId="7183D246">
            <w:pPr>
              <w:spacing w:line="460" w:lineRule="exact"/>
              <w:ind w:firstLine="422"/>
              <w:jc w:val="left"/>
              <w:rPr>
                <w:rFonts w:hint="eastAsia" w:ascii="宋体" w:hAnsi="宋体" w:cs="宋体"/>
                <w:color w:val="auto"/>
                <w:kern w:val="1"/>
                <w:szCs w:val="21"/>
                <w:highlight w:val="none"/>
              </w:rPr>
            </w:pPr>
            <w:r>
              <w:rPr>
                <w:rFonts w:hint="eastAsia" w:ascii="宋体" w:hAnsi="宋体" w:cs="宋体"/>
                <w:b/>
                <w:bCs/>
                <w:color w:val="auto"/>
                <w:kern w:val="1"/>
                <w:szCs w:val="21"/>
                <w:highlight w:val="none"/>
              </w:rPr>
              <w:t>四档（</w:t>
            </w:r>
            <w:r>
              <w:rPr>
                <w:rFonts w:hint="eastAsia" w:ascii="宋体" w:hAnsi="宋体" w:cs="宋体"/>
                <w:b/>
                <w:bCs/>
                <w:color w:val="auto"/>
                <w:kern w:val="1"/>
                <w:szCs w:val="21"/>
                <w:highlight w:val="none"/>
                <w:lang w:val="en-US" w:eastAsia="zh-CN"/>
              </w:rPr>
              <w:t>5</w:t>
            </w:r>
            <w:r>
              <w:rPr>
                <w:rFonts w:hint="eastAsia" w:ascii="宋体" w:hAnsi="宋体" w:cs="宋体"/>
                <w:b/>
                <w:bCs/>
                <w:color w:val="auto"/>
                <w:kern w:val="1"/>
                <w:szCs w:val="21"/>
                <w:highlight w:val="none"/>
              </w:rPr>
              <w:t>分）</w:t>
            </w:r>
            <w:r>
              <w:rPr>
                <w:rFonts w:hint="eastAsia" w:ascii="宋体" w:hAnsi="宋体" w:cs="宋体"/>
                <w:color w:val="auto"/>
                <w:kern w:val="1"/>
                <w:szCs w:val="21"/>
                <w:highlight w:val="none"/>
              </w:rPr>
              <w:t>：供应商已购买《食品安全责任保险》且保额</w:t>
            </w:r>
            <w:r>
              <w:rPr>
                <w:rFonts w:hint="eastAsia" w:ascii="宋体" w:hAnsi="宋体" w:cs="宋体"/>
                <w:color w:val="auto"/>
                <w:kern w:val="1"/>
                <w:szCs w:val="21"/>
                <w:highlight w:val="none"/>
                <w:lang w:val="en-US" w:eastAsia="zh-CN"/>
              </w:rPr>
              <w:t>2</w:t>
            </w:r>
            <w:r>
              <w:rPr>
                <w:rFonts w:hint="eastAsia" w:ascii="宋体" w:hAnsi="宋体" w:cs="宋体"/>
                <w:color w:val="auto"/>
                <w:kern w:val="1"/>
                <w:szCs w:val="21"/>
                <w:highlight w:val="none"/>
              </w:rPr>
              <w:t>000万（含）以上得2分。</w:t>
            </w:r>
          </w:p>
          <w:p w14:paraId="76DD83C5">
            <w:pPr>
              <w:spacing w:line="460" w:lineRule="exact"/>
              <w:ind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（只按保额最高计分，不重复累计）。</w:t>
            </w:r>
          </w:p>
          <w:p w14:paraId="2967CB74">
            <w:pPr>
              <w:spacing w:line="460" w:lineRule="exact"/>
              <w:ind w:firstLine="420"/>
              <w:jc w:val="left"/>
              <w:rPr>
                <w:rFonts w:hint="eastAsia" w:ascii="宋体" w:hAnsi="宋体" w:cs="宋体"/>
                <w:color w:val="auto"/>
                <w:highlight w:val="none"/>
              </w:rPr>
            </w:pPr>
            <w:r>
              <w:rPr>
                <w:rFonts w:hint="eastAsia" w:ascii="宋体" w:hAnsi="宋体" w:cs="宋体"/>
                <w:b/>
                <w:bCs/>
                <w:color w:val="auto"/>
                <w:kern w:val="1"/>
                <w:szCs w:val="21"/>
                <w:highlight w:val="none"/>
              </w:rPr>
              <w:t>注：供应商已购买《食品安全责任保险》的，在响应文件中提供相关有效保单及发票证明的扫描件。供应商承诺在成交后购买的，在签订本项目合同时提供购买《食品安全责任保险》合同或保单证明核查。</w:t>
            </w:r>
          </w:p>
        </w:tc>
      </w:tr>
      <w:tr w14:paraId="0950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8" w:type="dxa"/>
            <w:vMerge w:val="continue"/>
            <w:noWrap/>
            <w:vAlign w:val="center"/>
          </w:tcPr>
          <w:p w14:paraId="2721CBCC">
            <w:pPr>
              <w:jc w:val="center"/>
              <w:rPr>
                <w:rFonts w:hint="eastAsia" w:ascii="宋体" w:hAnsi="宋体" w:cs="宋体"/>
                <w:b/>
                <w:color w:val="auto"/>
                <w:szCs w:val="21"/>
                <w:highlight w:val="none"/>
              </w:rPr>
            </w:pPr>
          </w:p>
        </w:tc>
        <w:tc>
          <w:tcPr>
            <w:tcW w:w="1172" w:type="dxa"/>
            <w:vMerge w:val="continue"/>
            <w:noWrap/>
            <w:vAlign w:val="center"/>
          </w:tcPr>
          <w:p w14:paraId="4143EEE6">
            <w:pPr>
              <w:jc w:val="center"/>
              <w:rPr>
                <w:rFonts w:hint="eastAsia" w:ascii="宋体" w:hAnsi="宋体" w:cs="宋体"/>
                <w:b/>
                <w:color w:val="auto"/>
                <w:szCs w:val="21"/>
                <w:highlight w:val="none"/>
              </w:rPr>
            </w:pPr>
          </w:p>
        </w:tc>
        <w:tc>
          <w:tcPr>
            <w:tcW w:w="1037" w:type="dxa"/>
            <w:noWrap/>
            <w:vAlign w:val="center"/>
          </w:tcPr>
          <w:p w14:paraId="5D24C0B2">
            <w:pPr>
              <w:snapToGrid w:val="0"/>
              <w:jc w:val="center"/>
              <w:rPr>
                <w:rFonts w:hint="eastAsia" w:ascii="宋体" w:hAnsi="宋体" w:cs="宋体"/>
                <w:bCs/>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）业绩（满分</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分）</w:t>
            </w:r>
          </w:p>
        </w:tc>
        <w:tc>
          <w:tcPr>
            <w:tcW w:w="7141" w:type="dxa"/>
            <w:noWrap/>
            <w:vAlign w:val="top"/>
          </w:tcPr>
          <w:p w14:paraId="1AA75EBB">
            <w:pPr>
              <w:wordWrap w:val="0"/>
              <w:spacing w:line="46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1"/>
                <w:szCs w:val="21"/>
                <w:highlight w:val="none"/>
              </w:rPr>
              <w:t>供应商202</w:t>
            </w:r>
            <w:r>
              <w:rPr>
                <w:rFonts w:hint="eastAsia" w:ascii="宋体" w:hAnsi="宋体" w:cs="宋体"/>
                <w:color w:val="auto"/>
                <w:kern w:val="1"/>
                <w:szCs w:val="21"/>
                <w:highlight w:val="none"/>
                <w:lang w:val="en-US" w:eastAsia="zh-CN"/>
              </w:rPr>
              <w:t>4</w:t>
            </w:r>
            <w:r>
              <w:rPr>
                <w:rFonts w:hint="eastAsia" w:ascii="宋体" w:hAnsi="宋体" w:cs="宋体"/>
                <w:color w:val="auto"/>
                <w:kern w:val="1"/>
                <w:szCs w:val="21"/>
                <w:highlight w:val="none"/>
              </w:rPr>
              <w:t>年1月1日以来</w:t>
            </w:r>
            <w:r>
              <w:rPr>
                <w:rFonts w:hint="eastAsia"/>
                <w:lang w:val="en-US" w:eastAsia="zh-CN"/>
              </w:rPr>
              <w:t>具有</w:t>
            </w:r>
            <w:r>
              <w:rPr>
                <w:rFonts w:hint="eastAsia" w:ascii="宋体" w:hAnsi="宋体" w:cs="宋体"/>
                <w:color w:val="auto"/>
                <w:kern w:val="1"/>
                <w:szCs w:val="21"/>
                <w:highlight w:val="none"/>
              </w:rPr>
              <w:t>类似食堂食品供应服务的业绩【须在响应文件中提供</w:t>
            </w:r>
            <w:r>
              <w:rPr>
                <w:rFonts w:hint="eastAsia"/>
                <w:lang w:val="en-US" w:eastAsia="zh-CN"/>
              </w:rPr>
              <w:t>相应业绩的</w:t>
            </w:r>
            <w:r>
              <w:rPr>
                <w:rFonts w:hint="eastAsia" w:ascii="宋体" w:hAnsi="宋体" w:cs="宋体"/>
                <w:color w:val="auto"/>
                <w:kern w:val="1"/>
                <w:szCs w:val="21"/>
                <w:highlight w:val="none"/>
              </w:rPr>
              <w:t>中标（成交）通知书扫描件或签订的合同扫描件，否则将不予加分】，每个得1分，最多得</w:t>
            </w:r>
            <w:r>
              <w:rPr>
                <w:rFonts w:hint="eastAsia" w:ascii="宋体" w:hAnsi="宋体" w:cs="宋体"/>
                <w:color w:val="auto"/>
                <w:kern w:val="1"/>
                <w:szCs w:val="21"/>
                <w:highlight w:val="none"/>
                <w:lang w:val="en-US" w:eastAsia="zh-CN"/>
              </w:rPr>
              <w:t>4</w:t>
            </w:r>
            <w:r>
              <w:rPr>
                <w:rFonts w:hint="eastAsia" w:ascii="宋体" w:hAnsi="宋体" w:cs="宋体"/>
                <w:color w:val="auto"/>
                <w:kern w:val="1"/>
                <w:szCs w:val="21"/>
                <w:highlight w:val="none"/>
              </w:rPr>
              <w:t>分。</w:t>
            </w:r>
          </w:p>
        </w:tc>
      </w:tr>
    </w:tbl>
    <w:p w14:paraId="1D77E26F">
      <w:pPr>
        <w:pStyle w:val="11"/>
        <w:spacing w:line="360" w:lineRule="auto"/>
        <w:ind w:firstLine="420"/>
        <w:rPr>
          <w:rFonts w:hint="eastAsia" w:hAnsi="宋体" w:cs="宋体"/>
          <w:b/>
          <w:color w:val="auto"/>
          <w:sz w:val="21"/>
          <w:highlight w:val="none"/>
        </w:rPr>
      </w:pPr>
      <w:r>
        <w:rPr>
          <w:rFonts w:hint="eastAsia" w:ascii="宋体" w:hAnsi="宋体" w:cs="宋体"/>
          <w:b/>
          <w:bCs/>
          <w:color w:val="auto"/>
          <w:szCs w:val="21"/>
          <w:highlight w:val="none"/>
          <w:lang w:eastAsia="zh-CN"/>
        </w:rPr>
        <w:t>注：</w:t>
      </w:r>
      <w:r>
        <w:rPr>
          <w:rFonts w:hint="eastAsia" w:ascii="宋体" w:hAnsi="宋体" w:cs="宋体"/>
          <w:b/>
          <w:bCs/>
          <w:color w:val="auto"/>
          <w:szCs w:val="21"/>
          <w:highlight w:val="none"/>
        </w:rPr>
        <w:t>总得分为以上各项评审因素得分合计</w:t>
      </w:r>
    </w:p>
    <w:p w14:paraId="0B31E276">
      <w:pPr>
        <w:spacing w:line="400" w:lineRule="exact"/>
        <w:ind w:firstLine="422" w:firstLineChars="200"/>
        <w:rPr>
          <w:rFonts w:hint="eastAsia" w:ascii="宋体" w:hAnsi="宋体" w:cs="宋体"/>
          <w:b/>
          <w:color w:val="auto"/>
          <w:szCs w:val="21"/>
          <w:highlight w:val="none"/>
        </w:rPr>
      </w:pPr>
    </w:p>
    <w:p w14:paraId="43078582">
      <w:pPr>
        <w:spacing w:line="400" w:lineRule="exact"/>
        <w:ind w:firstLine="422" w:firstLineChars="200"/>
        <w:rPr>
          <w:rFonts w:hint="eastAsia" w:ascii="宋体" w:hAnsi="宋体" w:cs="宋体"/>
          <w:b/>
          <w:color w:val="auto"/>
          <w:szCs w:val="21"/>
          <w:highlight w:val="none"/>
        </w:rPr>
      </w:pPr>
    </w:p>
    <w:p w14:paraId="49A34B07">
      <w:pPr>
        <w:spacing w:line="360" w:lineRule="auto"/>
        <w:ind w:firstLine="321" w:firstLineChars="100"/>
        <w:rPr>
          <w:rFonts w:hint="eastAsia" w:ascii="宋体" w:hAnsi="宋体"/>
          <w:b/>
          <w:color w:val="auto"/>
          <w:sz w:val="32"/>
          <w:szCs w:val="32"/>
          <w:highlight w:val="none"/>
        </w:rPr>
      </w:pPr>
      <w:r>
        <w:rPr>
          <w:rFonts w:hint="eastAsia" w:ascii="宋体" w:hAnsi="宋体"/>
          <w:b/>
          <w:color w:val="auto"/>
          <w:sz w:val="32"/>
          <w:szCs w:val="32"/>
          <w:highlight w:val="none"/>
        </w:rPr>
        <w:t>三、成交候选人推荐原则</w:t>
      </w:r>
    </w:p>
    <w:p w14:paraId="67969C7E">
      <w:pPr>
        <w:spacing w:line="360" w:lineRule="auto"/>
        <w:ind w:firstLine="420" w:firstLineChars="200"/>
        <w:rPr>
          <w:rFonts w:hint="eastAsia" w:ascii="宋体" w:hAnsi="宋体"/>
          <w:color w:val="auto"/>
          <w:szCs w:val="21"/>
          <w:highlight w:val="none"/>
        </w:rPr>
      </w:pPr>
      <w:r>
        <w:rPr>
          <w:rFonts w:ascii="宋体" w:hAnsi="宋体"/>
          <w:bCs/>
          <w:color w:val="auto"/>
          <w:szCs w:val="21"/>
          <w:highlight w:val="none"/>
        </w:rPr>
        <w:t>7.</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14:paraId="3AD2863D">
      <w:pPr>
        <w:pStyle w:val="2"/>
        <w:jc w:val="center"/>
        <w:rPr>
          <w:rFonts w:hint="eastAsia" w:ascii="宋体" w:hAnsi="宋体" w:cs="宋体"/>
          <w:color w:val="auto"/>
          <w:highlight w:val="none"/>
        </w:rPr>
      </w:pPr>
      <w:r>
        <w:rPr>
          <w:rFonts w:hint="eastAsia" w:ascii="宋体" w:hAnsi="宋体" w:cs="宋体"/>
          <w:color w:val="auto"/>
          <w:highlight w:val="none"/>
        </w:rPr>
        <w:br w:type="page"/>
      </w:r>
    </w:p>
    <w:p w14:paraId="6E6708AB">
      <w:pPr>
        <w:pStyle w:val="2"/>
        <w:jc w:val="center"/>
        <w:rPr>
          <w:rFonts w:hint="eastAsia" w:ascii="宋体" w:hAnsi="宋体" w:cs="宋体"/>
          <w:color w:val="auto"/>
          <w:highlight w:val="none"/>
        </w:rPr>
      </w:pPr>
    </w:p>
    <w:p w14:paraId="7AED507D">
      <w:pPr>
        <w:pStyle w:val="2"/>
        <w:jc w:val="center"/>
        <w:rPr>
          <w:rFonts w:hint="eastAsia" w:ascii="宋体" w:hAnsi="宋体" w:cs="宋体"/>
          <w:color w:val="auto"/>
          <w:highlight w:val="none"/>
        </w:rPr>
      </w:pPr>
      <w:bookmarkStart w:id="41" w:name="_Toc28623"/>
      <w:r>
        <w:rPr>
          <w:rFonts w:hint="eastAsia" w:ascii="宋体" w:hAnsi="宋体" w:cs="宋体"/>
          <w:color w:val="auto"/>
          <w:highlight w:val="none"/>
        </w:rPr>
        <w:t>第五章 响应文件格式</w:t>
      </w:r>
      <w:bookmarkEnd w:id="41"/>
    </w:p>
    <w:p w14:paraId="6B56CF40">
      <w:pPr>
        <w:spacing w:line="240" w:lineRule="atLeast"/>
        <w:rPr>
          <w:rFonts w:hint="eastAsia" w:ascii="宋体" w:hAnsi="宋体" w:cs="宋体"/>
          <w:b/>
          <w:color w:val="auto"/>
          <w:sz w:val="32"/>
          <w:szCs w:val="32"/>
          <w:highlight w:val="none"/>
        </w:rPr>
      </w:pPr>
    </w:p>
    <w:p w14:paraId="73B26401">
      <w:pPr>
        <w:spacing w:line="240" w:lineRule="atLeast"/>
        <w:rPr>
          <w:rFonts w:hint="eastAsia" w:ascii="宋体" w:hAnsi="宋体" w:cs="宋体"/>
          <w:b/>
          <w:bCs/>
          <w:color w:val="auto"/>
          <w:sz w:val="24"/>
          <w:highlight w:val="none"/>
        </w:rPr>
      </w:pPr>
    </w:p>
    <w:p w14:paraId="70424088">
      <w:pPr>
        <w:snapToGrid w:val="0"/>
        <w:spacing w:before="160" w:beforeLines="50" w:after="50"/>
        <w:rPr>
          <w:rFonts w:hint="eastAsia" w:ascii="宋体" w:hAnsi="宋体" w:cs="宋体"/>
          <w:color w:val="auto"/>
          <w:sz w:val="24"/>
          <w:szCs w:val="20"/>
          <w:highlight w:val="none"/>
        </w:rPr>
      </w:pPr>
    </w:p>
    <w:p w14:paraId="79D269E8">
      <w:pPr>
        <w:snapToGrid w:val="0"/>
        <w:spacing w:before="160" w:beforeLines="50" w:after="50"/>
        <w:jc w:val="center"/>
        <w:rPr>
          <w:rFonts w:hint="eastAsia" w:ascii="宋体" w:hAnsi="宋体" w:cs="宋体"/>
          <w:bCs/>
          <w:color w:val="auto"/>
          <w:sz w:val="24"/>
          <w:szCs w:val="20"/>
          <w:highlight w:val="none"/>
        </w:rPr>
      </w:pPr>
    </w:p>
    <w:p w14:paraId="33EC408A">
      <w:pPr>
        <w:snapToGrid w:val="0"/>
        <w:spacing w:before="16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1E480684">
      <w:pPr>
        <w:snapToGrid w:val="0"/>
        <w:spacing w:before="160" w:beforeLines="50" w:after="50"/>
        <w:rPr>
          <w:rFonts w:hint="eastAsia" w:ascii="宋体" w:hAnsi="宋体" w:cs="宋体"/>
          <w:bCs/>
          <w:color w:val="auto"/>
          <w:sz w:val="24"/>
          <w:szCs w:val="20"/>
          <w:highlight w:val="none"/>
        </w:rPr>
      </w:pPr>
    </w:p>
    <w:p w14:paraId="251CE2EA">
      <w:pPr>
        <w:snapToGrid w:val="0"/>
        <w:spacing w:before="160" w:beforeLines="50" w:after="50"/>
        <w:rPr>
          <w:rFonts w:hint="eastAsia" w:ascii="宋体" w:hAnsi="宋体" w:cs="宋体"/>
          <w:bCs/>
          <w:color w:val="auto"/>
          <w:sz w:val="24"/>
          <w:szCs w:val="20"/>
          <w:highlight w:val="none"/>
        </w:rPr>
      </w:pPr>
    </w:p>
    <w:p w14:paraId="67ADE76C">
      <w:pPr>
        <w:snapToGrid w:val="0"/>
        <w:spacing w:before="160" w:beforeLines="50" w:after="50"/>
        <w:rPr>
          <w:rFonts w:hint="eastAsia" w:ascii="宋体" w:hAnsi="宋体" w:cs="宋体"/>
          <w:bCs/>
          <w:color w:val="auto"/>
          <w:sz w:val="32"/>
          <w:szCs w:val="32"/>
          <w:highlight w:val="none"/>
        </w:rPr>
      </w:pPr>
    </w:p>
    <w:p w14:paraId="0EB7BDE2">
      <w:pPr>
        <w:snapToGrid w:val="0"/>
        <w:spacing w:before="16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40750328">
      <w:pPr>
        <w:snapToGrid w:val="0"/>
        <w:spacing w:before="160" w:beforeLines="50" w:after="50"/>
        <w:ind w:firstLine="480" w:firstLineChars="150"/>
        <w:rPr>
          <w:rFonts w:hint="eastAsia" w:ascii="宋体" w:hAnsi="宋体" w:cs="宋体"/>
          <w:bCs/>
          <w:color w:val="auto"/>
          <w:sz w:val="32"/>
          <w:szCs w:val="32"/>
          <w:highlight w:val="none"/>
        </w:rPr>
      </w:pPr>
    </w:p>
    <w:p w14:paraId="741D51D7">
      <w:pPr>
        <w:snapToGrid w:val="0"/>
        <w:spacing w:before="16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6FC128EA">
      <w:pPr>
        <w:snapToGrid w:val="0"/>
        <w:spacing w:before="160" w:beforeLines="50" w:after="50"/>
        <w:ind w:firstLine="480" w:firstLineChars="150"/>
        <w:rPr>
          <w:rFonts w:hint="eastAsia" w:ascii="宋体" w:hAnsi="宋体" w:cs="宋体"/>
          <w:bCs/>
          <w:color w:val="auto"/>
          <w:sz w:val="32"/>
          <w:szCs w:val="32"/>
          <w:highlight w:val="none"/>
        </w:rPr>
      </w:pPr>
    </w:p>
    <w:p w14:paraId="1A68E521">
      <w:pPr>
        <w:snapToGrid w:val="0"/>
        <w:spacing w:before="16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75DA7D11">
      <w:pPr>
        <w:snapToGrid w:val="0"/>
        <w:spacing w:before="160" w:beforeLines="50" w:after="50"/>
        <w:rPr>
          <w:rFonts w:hint="eastAsia" w:ascii="宋体" w:hAnsi="宋体" w:cs="宋体"/>
          <w:bCs/>
          <w:color w:val="auto"/>
          <w:sz w:val="32"/>
          <w:szCs w:val="32"/>
          <w:highlight w:val="none"/>
        </w:rPr>
      </w:pPr>
    </w:p>
    <w:p w14:paraId="7D4C50B6">
      <w:pPr>
        <w:snapToGrid w:val="0"/>
        <w:spacing w:before="160" w:beforeLines="50" w:after="50"/>
        <w:ind w:firstLine="480" w:firstLineChars="150"/>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首次响应文件提交截止时间前不得启封</w:t>
      </w:r>
    </w:p>
    <w:p w14:paraId="1DB881AA">
      <w:pPr>
        <w:snapToGrid w:val="0"/>
        <w:spacing w:before="160" w:beforeLines="50" w:after="50"/>
        <w:ind w:firstLine="5440" w:firstLineChars="1700"/>
        <w:jc w:val="center"/>
        <w:rPr>
          <w:rFonts w:hint="eastAsia" w:ascii="宋体" w:hAnsi="宋体" w:cs="宋体"/>
          <w:bCs/>
          <w:color w:val="auto"/>
          <w:sz w:val="32"/>
          <w:szCs w:val="32"/>
          <w:highlight w:val="none"/>
        </w:rPr>
      </w:pPr>
    </w:p>
    <w:p w14:paraId="4025738A">
      <w:pPr>
        <w:snapToGrid w:val="0"/>
        <w:spacing w:before="160" w:beforeLines="50" w:after="50"/>
        <w:ind w:firstLine="645"/>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17DFBC49">
      <w:pPr>
        <w:rPr>
          <w:rFonts w:hint="eastAsia" w:ascii="宋体" w:hAnsi="宋体" w:cs="宋体"/>
          <w:b/>
          <w:color w:val="auto"/>
          <w:sz w:val="32"/>
          <w:szCs w:val="32"/>
          <w:highlight w:val="none"/>
        </w:rPr>
      </w:pPr>
      <w:r>
        <w:rPr>
          <w:rFonts w:hint="eastAsia" w:ascii="宋体" w:hAnsi="宋体" w:cs="宋体"/>
          <w:bCs/>
          <w:color w:val="auto"/>
          <w:sz w:val="24"/>
          <w:highlight w:val="none"/>
        </w:rPr>
        <w:br w:type="page"/>
      </w:r>
      <w:bookmarkStart w:id="42" w:name="_Toc35611516"/>
      <w:bookmarkStart w:id="43" w:name="_Toc31728084"/>
      <w:bookmarkStart w:id="44" w:name="_Toc35611438"/>
      <w:bookmarkStart w:id="45" w:name="_Toc71366186"/>
      <w:bookmarkStart w:id="46" w:name="_Toc44229899"/>
      <w:bookmarkStart w:id="47" w:name="_Toc31723070"/>
      <w:r>
        <w:rPr>
          <w:rFonts w:hint="eastAsia" w:ascii="宋体" w:hAnsi="宋体" w:cs="宋体"/>
          <w:b/>
          <w:color w:val="auto"/>
          <w:sz w:val="32"/>
          <w:szCs w:val="32"/>
          <w:highlight w:val="none"/>
        </w:rPr>
        <w:t>一、资格证明文件格式</w:t>
      </w:r>
      <w:bookmarkEnd w:id="42"/>
      <w:bookmarkEnd w:id="43"/>
      <w:bookmarkEnd w:id="44"/>
      <w:bookmarkEnd w:id="45"/>
      <w:bookmarkEnd w:id="46"/>
      <w:bookmarkEnd w:id="47"/>
    </w:p>
    <w:p w14:paraId="611B01FB">
      <w:pPr>
        <w:snapToGrid w:val="0"/>
        <w:spacing w:before="160" w:beforeLines="50" w:after="50" w:line="360" w:lineRule="auto"/>
        <w:jc w:val="left"/>
        <w:rPr>
          <w:rFonts w:hint="eastAsia" w:ascii="宋体" w:hAnsi="宋体" w:cs="宋体"/>
          <w:b/>
          <w:color w:val="auto"/>
          <w:sz w:val="24"/>
          <w:highlight w:val="none"/>
        </w:rPr>
      </w:pPr>
      <w:r>
        <w:rPr>
          <w:rFonts w:hint="eastAsia" w:ascii="宋体" w:hAnsi="宋体" w:cs="宋体"/>
          <w:b/>
          <w:color w:val="auto"/>
          <w:sz w:val="32"/>
          <w:szCs w:val="32"/>
          <w:highlight w:val="none"/>
        </w:rPr>
        <w:t>1.资格证明文件封面格式：</w:t>
      </w:r>
      <w:r>
        <w:rPr>
          <w:rFonts w:hint="eastAsia" w:ascii="宋体" w:hAnsi="宋体" w:cs="宋体"/>
          <w:b/>
          <w:color w:val="auto"/>
          <w:sz w:val="24"/>
          <w:highlight w:val="none"/>
        </w:rPr>
        <w:t xml:space="preserve"> </w:t>
      </w:r>
    </w:p>
    <w:p w14:paraId="5CEF679B">
      <w:pPr>
        <w:snapToGrid w:val="0"/>
        <w:spacing w:before="160" w:beforeLines="50" w:after="50"/>
        <w:jc w:val="center"/>
        <w:rPr>
          <w:rFonts w:hint="eastAsia" w:ascii="宋体" w:hAnsi="宋体" w:cs="宋体"/>
          <w:color w:val="auto"/>
          <w:sz w:val="44"/>
          <w:szCs w:val="44"/>
          <w:highlight w:val="none"/>
        </w:rPr>
      </w:pPr>
    </w:p>
    <w:p w14:paraId="2D448E2B">
      <w:pPr>
        <w:snapToGrid w:val="0"/>
        <w:spacing w:before="160" w:beforeLines="50" w:after="50"/>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电 子 响 应 文 件</w:t>
      </w:r>
    </w:p>
    <w:p w14:paraId="1DAB2437">
      <w:pPr>
        <w:snapToGrid w:val="0"/>
        <w:spacing w:before="160" w:beforeLines="50" w:after="50"/>
        <w:rPr>
          <w:rFonts w:hint="eastAsia" w:ascii="宋体" w:hAnsi="宋体" w:cs="宋体"/>
          <w:color w:val="auto"/>
          <w:sz w:val="24"/>
          <w:szCs w:val="20"/>
          <w:highlight w:val="none"/>
        </w:rPr>
      </w:pPr>
    </w:p>
    <w:p w14:paraId="5A190187">
      <w:pPr>
        <w:snapToGrid w:val="0"/>
        <w:spacing w:before="16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资  格  证  明  文  件</w:t>
      </w:r>
    </w:p>
    <w:p w14:paraId="04F64DFE">
      <w:pPr>
        <w:snapToGrid w:val="0"/>
        <w:spacing w:before="160" w:beforeLines="50" w:after="50"/>
        <w:rPr>
          <w:rFonts w:hint="eastAsia" w:ascii="宋体" w:hAnsi="宋体" w:cs="宋体"/>
          <w:bCs/>
          <w:color w:val="auto"/>
          <w:sz w:val="24"/>
          <w:szCs w:val="20"/>
          <w:highlight w:val="none"/>
        </w:rPr>
      </w:pPr>
    </w:p>
    <w:p w14:paraId="6CD6D4D5">
      <w:pPr>
        <w:snapToGrid w:val="0"/>
        <w:spacing w:before="160" w:beforeLines="50" w:after="50"/>
        <w:rPr>
          <w:rFonts w:hint="eastAsia" w:ascii="宋体" w:hAnsi="宋体" w:cs="宋体"/>
          <w:bCs/>
          <w:color w:val="auto"/>
          <w:sz w:val="24"/>
          <w:szCs w:val="20"/>
          <w:highlight w:val="none"/>
        </w:rPr>
      </w:pPr>
    </w:p>
    <w:p w14:paraId="069559DF">
      <w:pPr>
        <w:snapToGrid w:val="0"/>
        <w:spacing w:before="160" w:beforeLines="50" w:after="50"/>
        <w:rPr>
          <w:rFonts w:hint="eastAsia" w:ascii="宋体" w:hAnsi="宋体" w:cs="宋体"/>
          <w:bCs/>
          <w:color w:val="auto"/>
          <w:sz w:val="24"/>
          <w:szCs w:val="20"/>
          <w:highlight w:val="none"/>
        </w:rPr>
      </w:pPr>
    </w:p>
    <w:p w14:paraId="1741CAE2">
      <w:pPr>
        <w:snapToGrid w:val="0"/>
        <w:spacing w:before="160" w:beforeLines="50" w:after="50"/>
        <w:rPr>
          <w:rFonts w:hint="eastAsia" w:ascii="宋体" w:hAnsi="宋体" w:cs="宋体"/>
          <w:bCs/>
          <w:color w:val="auto"/>
          <w:sz w:val="24"/>
          <w:szCs w:val="20"/>
          <w:highlight w:val="none"/>
        </w:rPr>
      </w:pPr>
    </w:p>
    <w:p w14:paraId="4152C002">
      <w:pPr>
        <w:snapToGrid w:val="0"/>
        <w:spacing w:before="160" w:beforeLines="50" w:after="50"/>
        <w:rPr>
          <w:rFonts w:hint="eastAsia" w:ascii="宋体" w:hAnsi="宋体" w:cs="宋体"/>
          <w:bCs/>
          <w:color w:val="auto"/>
          <w:sz w:val="24"/>
          <w:szCs w:val="20"/>
          <w:highlight w:val="none"/>
        </w:rPr>
      </w:pPr>
    </w:p>
    <w:p w14:paraId="4BB487E7">
      <w:pPr>
        <w:snapToGrid w:val="0"/>
        <w:spacing w:before="16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06AD41DC">
      <w:pPr>
        <w:snapToGrid w:val="0"/>
        <w:spacing w:before="160" w:beforeLines="50" w:after="50"/>
        <w:ind w:firstLine="720" w:firstLineChars="225"/>
        <w:rPr>
          <w:rFonts w:hint="eastAsia" w:ascii="宋体" w:hAnsi="宋体" w:cs="宋体"/>
          <w:bCs/>
          <w:color w:val="auto"/>
          <w:sz w:val="32"/>
          <w:szCs w:val="32"/>
          <w:highlight w:val="none"/>
        </w:rPr>
      </w:pPr>
    </w:p>
    <w:p w14:paraId="7ABE71F5">
      <w:pPr>
        <w:snapToGrid w:val="0"/>
        <w:spacing w:before="16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3011BB92">
      <w:pPr>
        <w:snapToGrid w:val="0"/>
        <w:spacing w:before="16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4D268838">
      <w:pPr>
        <w:pStyle w:val="5"/>
        <w:snapToGrid w:val="0"/>
        <w:spacing w:before="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D838D2D">
      <w:pPr>
        <w:snapToGrid w:val="0"/>
        <w:spacing w:before="160" w:beforeLines="50" w:after="50"/>
        <w:ind w:firstLine="640" w:firstLineChars="200"/>
        <w:rPr>
          <w:rFonts w:hint="eastAsia" w:ascii="宋体" w:hAnsi="宋体" w:cs="宋体"/>
          <w:bCs/>
          <w:color w:val="auto"/>
          <w:sz w:val="32"/>
          <w:szCs w:val="32"/>
          <w:highlight w:val="none"/>
        </w:rPr>
      </w:pPr>
    </w:p>
    <w:p w14:paraId="4AC4A1AC">
      <w:pPr>
        <w:pStyle w:val="5"/>
        <w:snapToGrid w:val="0"/>
        <w:spacing w:before="50" w:after="50"/>
        <w:ind w:firstLine="720" w:firstLineChars="225"/>
        <w:rPr>
          <w:rFonts w:hint="eastAsia" w:ascii="宋体" w:hAnsi="宋体" w:cs="宋体"/>
          <w:bCs/>
          <w:color w:val="auto"/>
          <w:sz w:val="32"/>
          <w:szCs w:val="32"/>
          <w:highlight w:val="none"/>
        </w:rPr>
      </w:pPr>
    </w:p>
    <w:p w14:paraId="07C1B02B">
      <w:pPr>
        <w:pStyle w:val="5"/>
        <w:snapToGrid w:val="0"/>
        <w:spacing w:before="50" w:after="50"/>
        <w:ind w:firstLine="720" w:firstLineChars="225"/>
        <w:rPr>
          <w:rFonts w:hint="eastAsia" w:ascii="宋体" w:hAnsi="宋体" w:cs="宋体"/>
          <w:bCs/>
          <w:color w:val="auto"/>
          <w:sz w:val="32"/>
          <w:szCs w:val="32"/>
          <w:highlight w:val="none"/>
        </w:rPr>
      </w:pPr>
    </w:p>
    <w:p w14:paraId="24949072">
      <w:pPr>
        <w:pStyle w:val="5"/>
        <w:snapToGrid w:val="0"/>
        <w:spacing w:before="50" w:after="50"/>
        <w:ind w:firstLine="1280" w:firstLineChars="400"/>
        <w:rPr>
          <w:rFonts w:hint="eastAsia" w:ascii="宋体" w:hAnsi="宋体" w:cs="宋体"/>
          <w:bCs/>
          <w:color w:val="auto"/>
          <w:sz w:val="32"/>
          <w:szCs w:val="32"/>
          <w:highlight w:val="none"/>
        </w:rPr>
      </w:pPr>
    </w:p>
    <w:p w14:paraId="6F7C4D22">
      <w:pPr>
        <w:snapToGrid w:val="0"/>
        <w:spacing w:before="16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3C9EB461">
      <w:pPr>
        <w:snapToGrid w:val="0"/>
        <w:spacing w:before="160" w:beforeLines="50" w:after="50" w:line="360" w:lineRule="auto"/>
        <w:ind w:left="142"/>
        <w:jc w:val="left"/>
        <w:rPr>
          <w:rFonts w:hint="eastAsia"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2.资格证明文件目录</w:t>
      </w:r>
    </w:p>
    <w:p w14:paraId="1A168796">
      <w:pPr>
        <w:snapToGrid w:val="0"/>
        <w:spacing w:before="160" w:beforeLines="50" w:after="50" w:line="360" w:lineRule="auto"/>
        <w:ind w:firstLine="645"/>
        <w:rPr>
          <w:rFonts w:hint="eastAsia"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6491B7A7">
      <w:pPr>
        <w:snapToGrid w:val="0"/>
        <w:spacing w:before="16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5F444F9B">
      <w:pPr>
        <w:spacing w:line="300" w:lineRule="auto"/>
        <w:rPr>
          <w:rFonts w:hint="eastAsia" w:ascii="宋体" w:hAnsi="宋体" w:cs="宋体"/>
          <w:color w:val="auto"/>
          <w:szCs w:val="21"/>
          <w:highlight w:val="none"/>
        </w:rPr>
      </w:pPr>
    </w:p>
    <w:p w14:paraId="44AB5413">
      <w:pPr>
        <w:spacing w:line="300" w:lineRule="auto"/>
        <w:rPr>
          <w:rFonts w:hint="eastAsia" w:ascii="宋体" w:hAnsi="宋体" w:cs="宋体"/>
          <w:color w:val="auto"/>
          <w:szCs w:val="21"/>
          <w:highlight w:val="none"/>
        </w:rPr>
      </w:pPr>
    </w:p>
    <w:p w14:paraId="3DE33F95">
      <w:pPr>
        <w:spacing w:line="300" w:lineRule="auto"/>
        <w:rPr>
          <w:rFonts w:hint="eastAsia" w:ascii="宋体" w:hAnsi="宋体" w:cs="宋体"/>
          <w:color w:val="auto"/>
          <w:szCs w:val="21"/>
          <w:highlight w:val="none"/>
        </w:rPr>
      </w:pPr>
    </w:p>
    <w:p w14:paraId="13EF7972">
      <w:pPr>
        <w:spacing w:line="300" w:lineRule="auto"/>
        <w:rPr>
          <w:rFonts w:hint="eastAsia" w:ascii="宋体" w:hAnsi="宋体" w:cs="宋体"/>
          <w:color w:val="auto"/>
          <w:szCs w:val="21"/>
          <w:highlight w:val="none"/>
        </w:rPr>
      </w:pPr>
    </w:p>
    <w:p w14:paraId="0E6ADF22">
      <w:pPr>
        <w:spacing w:line="300" w:lineRule="auto"/>
        <w:rPr>
          <w:rFonts w:hint="eastAsia" w:ascii="宋体" w:hAnsi="宋体" w:cs="宋体"/>
          <w:color w:val="auto"/>
          <w:szCs w:val="21"/>
          <w:highlight w:val="none"/>
        </w:rPr>
      </w:pPr>
    </w:p>
    <w:p w14:paraId="5FFF4285">
      <w:pPr>
        <w:spacing w:line="300" w:lineRule="auto"/>
        <w:rPr>
          <w:rFonts w:hint="eastAsia" w:ascii="宋体" w:hAnsi="宋体" w:cs="宋体"/>
          <w:color w:val="auto"/>
          <w:szCs w:val="21"/>
          <w:highlight w:val="none"/>
        </w:rPr>
      </w:pPr>
    </w:p>
    <w:p w14:paraId="035FBBAF">
      <w:pPr>
        <w:spacing w:line="300" w:lineRule="auto"/>
        <w:rPr>
          <w:rFonts w:hint="eastAsia" w:ascii="宋体" w:hAnsi="宋体" w:cs="宋体"/>
          <w:color w:val="auto"/>
          <w:szCs w:val="21"/>
          <w:highlight w:val="none"/>
        </w:rPr>
      </w:pPr>
    </w:p>
    <w:p w14:paraId="58C26F50">
      <w:pPr>
        <w:spacing w:line="300" w:lineRule="auto"/>
        <w:rPr>
          <w:rFonts w:hint="eastAsia" w:ascii="宋体" w:hAnsi="宋体" w:cs="宋体"/>
          <w:color w:val="auto"/>
          <w:szCs w:val="21"/>
          <w:highlight w:val="none"/>
        </w:rPr>
      </w:pPr>
    </w:p>
    <w:p w14:paraId="13B19288">
      <w:pPr>
        <w:spacing w:line="300" w:lineRule="auto"/>
        <w:rPr>
          <w:rFonts w:hint="eastAsia" w:ascii="宋体" w:hAnsi="宋体" w:cs="宋体"/>
          <w:color w:val="auto"/>
          <w:szCs w:val="21"/>
          <w:highlight w:val="none"/>
        </w:rPr>
      </w:pPr>
    </w:p>
    <w:p w14:paraId="30DCDF58">
      <w:pPr>
        <w:spacing w:line="300" w:lineRule="auto"/>
        <w:rPr>
          <w:rFonts w:hint="eastAsia" w:ascii="宋体" w:hAnsi="宋体" w:cs="宋体"/>
          <w:color w:val="auto"/>
          <w:szCs w:val="21"/>
          <w:highlight w:val="none"/>
        </w:rPr>
      </w:pPr>
    </w:p>
    <w:p w14:paraId="646C1C54">
      <w:pPr>
        <w:spacing w:line="300" w:lineRule="auto"/>
        <w:rPr>
          <w:rFonts w:hint="eastAsia" w:ascii="宋体" w:hAnsi="宋体" w:cs="宋体"/>
          <w:color w:val="auto"/>
          <w:szCs w:val="21"/>
          <w:highlight w:val="none"/>
        </w:rPr>
      </w:pPr>
    </w:p>
    <w:p w14:paraId="10B9E477">
      <w:pPr>
        <w:spacing w:line="300" w:lineRule="auto"/>
        <w:rPr>
          <w:rFonts w:hint="eastAsia" w:ascii="宋体" w:hAnsi="宋体" w:cs="宋体"/>
          <w:color w:val="auto"/>
          <w:szCs w:val="21"/>
          <w:highlight w:val="none"/>
        </w:rPr>
      </w:pPr>
    </w:p>
    <w:p w14:paraId="7C8D47AD">
      <w:pPr>
        <w:spacing w:line="300" w:lineRule="auto"/>
        <w:rPr>
          <w:rFonts w:hint="eastAsia" w:ascii="宋体" w:hAnsi="宋体" w:cs="宋体"/>
          <w:color w:val="auto"/>
          <w:szCs w:val="21"/>
          <w:highlight w:val="none"/>
        </w:rPr>
      </w:pPr>
    </w:p>
    <w:p w14:paraId="5D2D6E3D">
      <w:pPr>
        <w:spacing w:line="300" w:lineRule="auto"/>
        <w:rPr>
          <w:rFonts w:hint="eastAsia" w:ascii="宋体" w:hAnsi="宋体" w:cs="宋体"/>
          <w:color w:val="auto"/>
          <w:szCs w:val="21"/>
          <w:highlight w:val="none"/>
        </w:rPr>
      </w:pPr>
    </w:p>
    <w:p w14:paraId="4678FA71">
      <w:pPr>
        <w:spacing w:line="300" w:lineRule="auto"/>
        <w:rPr>
          <w:rFonts w:hint="eastAsia" w:ascii="宋体" w:hAnsi="宋体" w:cs="宋体"/>
          <w:color w:val="auto"/>
          <w:szCs w:val="21"/>
          <w:highlight w:val="none"/>
        </w:rPr>
      </w:pPr>
    </w:p>
    <w:p w14:paraId="46124E44">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 xml:space="preserve"> </w:t>
      </w:r>
    </w:p>
    <w:p w14:paraId="1AE8F7FF">
      <w:pPr>
        <w:wordWrap w:val="0"/>
        <w:spacing w:before="160" w:beforeLines="50" w:after="50" w:line="320" w:lineRule="exact"/>
        <w:ind w:right="482" w:firstLine="210" w:firstLineChars="100"/>
        <w:contextualSpacing/>
        <w:jc w:val="center"/>
        <w:rPr>
          <w:rFonts w:hint="eastAsia" w:ascii="宋体" w:hAnsi="宋体" w:cs="宋体"/>
          <w:color w:val="auto"/>
          <w:szCs w:val="21"/>
          <w:highlight w:val="none"/>
        </w:rPr>
      </w:pPr>
    </w:p>
    <w:p w14:paraId="41ECAA5F">
      <w:pPr>
        <w:widowControl/>
        <w:overflowPunct w:val="0"/>
        <w:spacing w:line="520" w:lineRule="exact"/>
        <w:jc w:val="center"/>
        <w:rPr>
          <w:rFonts w:ascii="宋体" w:hAnsi="宋体" w:cs="宋体"/>
          <w:b/>
          <w:sz w:val="32"/>
          <w:szCs w:val="32"/>
        </w:rPr>
      </w:pPr>
      <w:r>
        <w:rPr>
          <w:rFonts w:hint="eastAsia" w:ascii="宋体" w:hAnsi="宋体" w:cs="宋体"/>
          <w:b/>
          <w:sz w:val="32"/>
          <w:szCs w:val="32"/>
        </w:rPr>
        <w:t>贵港市政府采购项目投标资格承诺函</w:t>
      </w:r>
    </w:p>
    <w:p w14:paraId="49207BF3">
      <w:pPr>
        <w:widowControl/>
        <w:spacing w:line="360" w:lineRule="auto"/>
        <w:ind w:firstLine="420" w:firstLineChars="200"/>
        <w:jc w:val="left"/>
        <w:rPr>
          <w:rFonts w:ascii="宋体" w:hAnsi="宋体" w:cs="宋体"/>
          <w:kern w:val="0"/>
          <w:szCs w:val="21"/>
          <w:lang w:bidi="ar"/>
        </w:rPr>
      </w:pPr>
    </w:p>
    <w:p w14:paraId="41270181">
      <w:pPr>
        <w:widowControl/>
        <w:spacing w:line="360" w:lineRule="auto"/>
        <w:ind w:firstLine="480" w:firstLineChars="200"/>
        <w:jc w:val="left"/>
        <w:rPr>
          <w:rFonts w:ascii="宋体" w:hAnsi="宋体" w:cs="宋体"/>
          <w:sz w:val="24"/>
        </w:rPr>
      </w:pPr>
      <w:r>
        <w:rPr>
          <w:rFonts w:hint="eastAsia" w:ascii="宋体" w:hAnsi="宋体" w:cs="宋体"/>
          <w:kern w:val="0"/>
          <w:sz w:val="24"/>
          <w:lang w:bidi="ar"/>
        </w:rPr>
        <w:t xml:space="preserve">本公司郑重承诺，根据《中华人民共和国政府采购法》第二十二条的规定，本公司为参加政府采购活动的合格供应商。即本公司同时满足以下条件： </w:t>
      </w:r>
    </w:p>
    <w:p w14:paraId="77C9F6F7">
      <w:pPr>
        <w:widowControl/>
        <w:spacing w:line="360" w:lineRule="auto"/>
        <w:ind w:firstLine="480" w:firstLineChars="200"/>
        <w:jc w:val="left"/>
        <w:rPr>
          <w:rFonts w:ascii="宋体" w:hAnsi="宋体" w:cs="宋体"/>
          <w:sz w:val="24"/>
        </w:rPr>
      </w:pPr>
      <w:r>
        <w:rPr>
          <w:rFonts w:hint="eastAsia" w:ascii="宋体" w:hAnsi="宋体" w:cs="宋体"/>
          <w:kern w:val="0"/>
          <w:sz w:val="24"/>
          <w:lang w:bidi="ar"/>
        </w:rPr>
        <w:t xml:space="preserve">1.具有独立承担民事责任的能力。 </w:t>
      </w:r>
    </w:p>
    <w:p w14:paraId="4F79C35D">
      <w:pPr>
        <w:widowControl/>
        <w:spacing w:line="360" w:lineRule="auto"/>
        <w:ind w:firstLine="480" w:firstLineChars="200"/>
        <w:jc w:val="left"/>
        <w:rPr>
          <w:rFonts w:ascii="宋体" w:hAnsi="宋体" w:cs="宋体"/>
          <w:sz w:val="24"/>
        </w:rPr>
      </w:pPr>
      <w:r>
        <w:rPr>
          <w:rFonts w:hint="eastAsia" w:ascii="宋体" w:hAnsi="宋体" w:cs="宋体"/>
          <w:kern w:val="0"/>
          <w:sz w:val="24"/>
          <w:lang w:bidi="ar"/>
        </w:rPr>
        <w:t xml:space="preserve">2.具有良好的商业信誉和健全的财务会计制度。 </w:t>
      </w:r>
    </w:p>
    <w:p w14:paraId="0B28D947">
      <w:pPr>
        <w:widowControl/>
        <w:spacing w:line="360" w:lineRule="auto"/>
        <w:ind w:firstLine="480" w:firstLineChars="200"/>
        <w:jc w:val="left"/>
        <w:rPr>
          <w:rFonts w:ascii="宋体" w:hAnsi="宋体" w:cs="宋体"/>
          <w:sz w:val="24"/>
        </w:rPr>
      </w:pPr>
      <w:r>
        <w:rPr>
          <w:rFonts w:hint="eastAsia" w:ascii="宋体" w:hAnsi="宋体" w:cs="宋体"/>
          <w:kern w:val="0"/>
          <w:sz w:val="24"/>
          <w:lang w:bidi="ar"/>
        </w:rPr>
        <w:t xml:space="preserve">3.具有履行合同所必需的设备和专业技术能力。 </w:t>
      </w:r>
    </w:p>
    <w:p w14:paraId="7F3325F1">
      <w:pPr>
        <w:widowControl/>
        <w:spacing w:line="360" w:lineRule="auto"/>
        <w:ind w:firstLine="480" w:firstLineChars="200"/>
        <w:jc w:val="left"/>
        <w:rPr>
          <w:rFonts w:ascii="宋体" w:hAnsi="宋体" w:cs="宋体"/>
          <w:sz w:val="24"/>
        </w:rPr>
      </w:pPr>
      <w:r>
        <w:rPr>
          <w:rFonts w:hint="eastAsia" w:ascii="宋体" w:hAnsi="宋体" w:cs="宋体"/>
          <w:kern w:val="0"/>
          <w:sz w:val="24"/>
          <w:lang w:bidi="ar"/>
        </w:rPr>
        <w:t xml:space="preserve">4.有依法缴纳税收和社会保障资金的良好记录。 </w:t>
      </w:r>
    </w:p>
    <w:p w14:paraId="2895FA06">
      <w:pPr>
        <w:widowControl/>
        <w:spacing w:line="360" w:lineRule="auto"/>
        <w:ind w:firstLine="480" w:firstLineChars="200"/>
        <w:jc w:val="left"/>
        <w:rPr>
          <w:rFonts w:ascii="宋体" w:hAnsi="宋体" w:cs="宋体"/>
          <w:sz w:val="24"/>
        </w:rPr>
      </w:pPr>
      <w:r>
        <w:rPr>
          <w:rFonts w:hint="eastAsia" w:ascii="宋体" w:hAnsi="宋体" w:cs="宋体"/>
          <w:kern w:val="0"/>
          <w:sz w:val="24"/>
          <w:lang w:bidi="ar"/>
        </w:rPr>
        <w:t xml:space="preserve">5. 提交响应文件截止日期前三年内，在经营活动中没有重大违法记录。 </w:t>
      </w:r>
    </w:p>
    <w:p w14:paraId="719453CC">
      <w:pPr>
        <w:widowControl/>
        <w:spacing w:line="360" w:lineRule="auto"/>
        <w:ind w:firstLine="480" w:firstLineChars="200"/>
        <w:jc w:val="left"/>
        <w:rPr>
          <w:rFonts w:ascii="宋体" w:hAnsi="宋体" w:cs="宋体"/>
          <w:kern w:val="0"/>
          <w:sz w:val="24"/>
          <w:lang w:bidi="ar"/>
        </w:rPr>
      </w:pPr>
      <w:r>
        <w:rPr>
          <w:rFonts w:hint="eastAsia" w:ascii="宋体" w:hAnsi="宋体" w:cs="宋体"/>
          <w:kern w:val="0"/>
          <w:sz w:val="24"/>
          <w:lang w:bidi="ar"/>
        </w:rPr>
        <w:t xml:space="preserve">本公司对上述承诺的真实性负责，并接受政府采购、税务、社会保障等监督管理部门、采购文件规定的资格审查机构、社会公众的监督和检查。如有虚假，将依法承担相应责任。 </w:t>
      </w:r>
    </w:p>
    <w:p w14:paraId="21A515E3">
      <w:pPr>
        <w:widowControl/>
        <w:spacing w:line="360" w:lineRule="auto"/>
        <w:ind w:firstLine="480" w:firstLineChars="200"/>
        <w:jc w:val="left"/>
        <w:rPr>
          <w:rFonts w:ascii="宋体" w:hAnsi="宋体" w:cs="宋体"/>
          <w:kern w:val="0"/>
          <w:sz w:val="24"/>
          <w:lang w:bidi="ar"/>
        </w:rPr>
      </w:pPr>
    </w:p>
    <w:p w14:paraId="799FD2D4">
      <w:pPr>
        <w:widowControl/>
        <w:spacing w:line="360" w:lineRule="auto"/>
        <w:ind w:firstLine="480" w:firstLineChars="200"/>
        <w:jc w:val="left"/>
        <w:rPr>
          <w:rFonts w:ascii="宋体" w:hAnsi="宋体" w:cs="宋体"/>
          <w:kern w:val="0"/>
          <w:sz w:val="24"/>
          <w:lang w:bidi="ar"/>
        </w:rPr>
      </w:pPr>
    </w:p>
    <w:p w14:paraId="6A9FE9ED">
      <w:pPr>
        <w:widowControl/>
        <w:spacing w:line="360" w:lineRule="auto"/>
        <w:jc w:val="center"/>
        <w:rPr>
          <w:rFonts w:ascii="宋体" w:hAnsi="宋体" w:cs="宋体"/>
          <w:sz w:val="24"/>
        </w:rPr>
      </w:pPr>
      <w:r>
        <w:rPr>
          <w:rFonts w:hint="eastAsia" w:ascii="宋体" w:hAnsi="宋体" w:cs="宋体"/>
          <w:kern w:val="0"/>
          <w:sz w:val="24"/>
          <w:lang w:bidi="ar"/>
        </w:rPr>
        <w:t xml:space="preserve">                                                     </w:t>
      </w:r>
    </w:p>
    <w:p w14:paraId="6BB0C6BD">
      <w:pPr>
        <w:widowControl/>
        <w:spacing w:line="360" w:lineRule="auto"/>
        <w:jc w:val="center"/>
        <w:rPr>
          <w:rFonts w:ascii="宋体" w:hAnsi="宋体" w:cs="宋体"/>
          <w:kern w:val="0"/>
          <w:sz w:val="24"/>
          <w:lang w:bidi="ar"/>
        </w:rPr>
      </w:pPr>
      <w:r>
        <w:rPr>
          <w:rFonts w:hint="eastAsia" w:ascii="宋体" w:hAnsi="宋体" w:cs="宋体"/>
          <w:kern w:val="0"/>
          <w:sz w:val="24"/>
          <w:lang w:bidi="ar"/>
        </w:rPr>
        <w:t xml:space="preserve">                             法定代表人（</w:t>
      </w:r>
      <w:r>
        <w:rPr>
          <w:rFonts w:hint="eastAsia"/>
          <w:sz w:val="24"/>
        </w:rPr>
        <w:t>签字或盖章</w:t>
      </w:r>
      <w:r>
        <w:rPr>
          <w:rFonts w:hint="eastAsia" w:ascii="宋体" w:hAnsi="宋体" w:cs="宋体"/>
          <w:kern w:val="0"/>
          <w:sz w:val="24"/>
          <w:lang w:bidi="ar"/>
        </w:rPr>
        <w:t xml:space="preserve">）：   </w:t>
      </w:r>
    </w:p>
    <w:p w14:paraId="056C8AF2">
      <w:pPr>
        <w:autoSpaceDE w:val="0"/>
        <w:autoSpaceDN w:val="0"/>
        <w:spacing w:line="360" w:lineRule="exact"/>
        <w:ind w:left="4365" w:leftChars="1850" w:hanging="480" w:hangingChars="200"/>
        <w:rPr>
          <w:rFonts w:ascii="宋体" w:hAnsi="宋体" w:eastAsia="宋体" w:cs="宋体"/>
          <w:kern w:val="0"/>
          <w:sz w:val="24"/>
          <w:szCs w:val="24"/>
        </w:rPr>
      </w:pPr>
      <w:r>
        <w:rPr>
          <w:rFonts w:hint="eastAsia" w:ascii="宋体" w:hAnsi="宋体" w:cs="宋体"/>
          <w:kern w:val="0"/>
          <w:sz w:val="24"/>
          <w:lang w:bidi="ar"/>
        </w:rPr>
        <w:t xml:space="preserve">       </w:t>
      </w:r>
      <w:r>
        <w:rPr>
          <w:rFonts w:hint="eastAsia" w:ascii="宋体" w:hAnsi="宋体" w:eastAsia="宋体" w:cs="宋体"/>
          <w:kern w:val="0"/>
          <w:sz w:val="24"/>
          <w:szCs w:val="24"/>
        </w:rPr>
        <w:t>供应商名称（盖公章）：</w:t>
      </w:r>
    </w:p>
    <w:p w14:paraId="4A4ADB75">
      <w:pPr>
        <w:widowControl/>
        <w:wordWrap w:val="0"/>
        <w:spacing w:line="360" w:lineRule="auto"/>
        <w:ind w:firstLine="2160" w:firstLineChars="900"/>
        <w:jc w:val="center"/>
        <w:rPr>
          <w:rFonts w:ascii="宋体" w:hAnsi="宋体" w:cs="宋体"/>
          <w:sz w:val="24"/>
        </w:rPr>
      </w:pPr>
      <w:r>
        <w:rPr>
          <w:rFonts w:hint="eastAsia" w:ascii="宋体" w:hAnsi="宋体" w:cs="宋体"/>
          <w:kern w:val="0"/>
          <w:sz w:val="24"/>
          <w:lang w:bidi="ar"/>
        </w:rPr>
        <w:t xml:space="preserve">日期：   年   月   日      </w:t>
      </w:r>
    </w:p>
    <w:p w14:paraId="060FBD52">
      <w:pPr>
        <w:spacing w:line="3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供应商直接控股、管理关系信息表</w:t>
      </w:r>
    </w:p>
    <w:p w14:paraId="7A70AE11">
      <w:pPr>
        <w:snapToGrid w:val="0"/>
        <w:spacing w:before="160" w:beforeLines="50" w:after="50" w:line="360" w:lineRule="auto"/>
        <w:jc w:val="center"/>
        <w:rPr>
          <w:rFonts w:hint="eastAsia" w:ascii="宋体" w:hAnsi="宋体" w:cs="宋体"/>
          <w:b/>
          <w:color w:val="auto"/>
          <w:sz w:val="24"/>
          <w:highlight w:val="none"/>
        </w:rPr>
      </w:pPr>
    </w:p>
    <w:p w14:paraId="7B9FEDCC">
      <w:pPr>
        <w:spacing w:line="360" w:lineRule="auto"/>
        <w:contextualSpacing/>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供应商直接控股股东信息表</w:t>
      </w:r>
    </w:p>
    <w:p w14:paraId="55A24926">
      <w:pPr>
        <w:spacing w:line="360" w:lineRule="auto"/>
        <w:contextualSpacing/>
        <w:jc w:val="center"/>
        <w:rPr>
          <w:rFonts w:hint="eastAsia" w:ascii="宋体" w:hAnsi="宋体" w:cs="宋体"/>
          <w:b/>
          <w:color w:val="auto"/>
          <w:sz w:val="24"/>
          <w:highlight w:val="none"/>
        </w:rPr>
      </w:pPr>
    </w:p>
    <w:tbl>
      <w:tblPr>
        <w:tblStyle w:val="16"/>
        <w:tblW w:w="10147" w:type="dxa"/>
        <w:jc w:val="center"/>
        <w:shd w:val="clear" w:color="auto" w:fill="FBFBFB"/>
        <w:tblLayout w:type="fixed"/>
        <w:tblCellMar>
          <w:top w:w="0" w:type="dxa"/>
          <w:left w:w="0" w:type="dxa"/>
          <w:bottom w:w="0" w:type="dxa"/>
          <w:right w:w="0" w:type="dxa"/>
        </w:tblCellMar>
      </w:tblPr>
      <w:tblGrid>
        <w:gridCol w:w="880"/>
        <w:gridCol w:w="2655"/>
        <w:gridCol w:w="1574"/>
        <w:gridCol w:w="4168"/>
        <w:gridCol w:w="870"/>
      </w:tblGrid>
      <w:tr w14:paraId="4EC60E55">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741C06">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EFE9A4">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57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8352E2">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16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521B83">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DA2EAD">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524D28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FAB452">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079896">
            <w:pPr>
              <w:widowControl/>
              <w:spacing w:line="360" w:lineRule="auto"/>
              <w:contextualSpacing/>
              <w:jc w:val="center"/>
              <w:rPr>
                <w:rFonts w:hint="eastAsia" w:ascii="宋体" w:hAnsi="宋体" w:cs="宋体"/>
                <w:color w:val="auto"/>
                <w:kern w:val="0"/>
                <w:sz w:val="24"/>
                <w:highlight w:val="none"/>
              </w:rPr>
            </w:pPr>
          </w:p>
        </w:tc>
        <w:tc>
          <w:tcPr>
            <w:tcW w:w="157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E2AAF0">
            <w:pPr>
              <w:widowControl/>
              <w:spacing w:line="360" w:lineRule="auto"/>
              <w:contextualSpacing/>
              <w:jc w:val="center"/>
              <w:rPr>
                <w:rFonts w:hint="eastAsia" w:ascii="宋体" w:hAnsi="宋体" w:cs="宋体"/>
                <w:color w:val="auto"/>
                <w:kern w:val="0"/>
                <w:sz w:val="24"/>
                <w:highlight w:val="none"/>
              </w:rPr>
            </w:pPr>
          </w:p>
        </w:tc>
        <w:tc>
          <w:tcPr>
            <w:tcW w:w="416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AE00D6">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BA5021">
            <w:pPr>
              <w:widowControl/>
              <w:spacing w:line="360" w:lineRule="auto"/>
              <w:contextualSpacing/>
              <w:jc w:val="center"/>
              <w:rPr>
                <w:rFonts w:hint="eastAsia" w:ascii="宋体" w:hAnsi="宋体" w:cs="宋体"/>
                <w:color w:val="auto"/>
                <w:kern w:val="0"/>
                <w:sz w:val="24"/>
                <w:highlight w:val="none"/>
              </w:rPr>
            </w:pPr>
          </w:p>
        </w:tc>
      </w:tr>
      <w:tr w14:paraId="1CE11DE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E3B1F7">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2A9033">
            <w:pPr>
              <w:widowControl/>
              <w:spacing w:line="360" w:lineRule="auto"/>
              <w:contextualSpacing/>
              <w:jc w:val="center"/>
              <w:rPr>
                <w:rFonts w:hint="eastAsia" w:ascii="宋体" w:hAnsi="宋体" w:cs="宋体"/>
                <w:color w:val="auto"/>
                <w:kern w:val="0"/>
                <w:sz w:val="24"/>
                <w:highlight w:val="none"/>
              </w:rPr>
            </w:pPr>
          </w:p>
        </w:tc>
        <w:tc>
          <w:tcPr>
            <w:tcW w:w="157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A78838">
            <w:pPr>
              <w:widowControl/>
              <w:spacing w:line="360" w:lineRule="auto"/>
              <w:contextualSpacing/>
              <w:jc w:val="center"/>
              <w:rPr>
                <w:rFonts w:hint="eastAsia" w:ascii="宋体" w:hAnsi="宋体" w:cs="宋体"/>
                <w:color w:val="auto"/>
                <w:kern w:val="0"/>
                <w:sz w:val="24"/>
                <w:highlight w:val="none"/>
              </w:rPr>
            </w:pPr>
          </w:p>
        </w:tc>
        <w:tc>
          <w:tcPr>
            <w:tcW w:w="416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0C907C">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74AF37">
            <w:pPr>
              <w:widowControl/>
              <w:spacing w:line="360" w:lineRule="auto"/>
              <w:contextualSpacing/>
              <w:jc w:val="center"/>
              <w:rPr>
                <w:rFonts w:hint="eastAsia" w:ascii="宋体" w:hAnsi="宋体" w:cs="宋体"/>
                <w:color w:val="auto"/>
                <w:kern w:val="0"/>
                <w:sz w:val="24"/>
                <w:highlight w:val="none"/>
              </w:rPr>
            </w:pPr>
          </w:p>
        </w:tc>
      </w:tr>
      <w:tr w14:paraId="79E8226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FCA82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21091F">
            <w:pPr>
              <w:widowControl/>
              <w:spacing w:line="360" w:lineRule="auto"/>
              <w:contextualSpacing/>
              <w:jc w:val="center"/>
              <w:rPr>
                <w:rFonts w:hint="eastAsia" w:ascii="宋体" w:hAnsi="宋体" w:cs="宋体"/>
                <w:color w:val="auto"/>
                <w:kern w:val="0"/>
                <w:sz w:val="24"/>
                <w:highlight w:val="none"/>
              </w:rPr>
            </w:pPr>
          </w:p>
        </w:tc>
        <w:tc>
          <w:tcPr>
            <w:tcW w:w="157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CF18A6">
            <w:pPr>
              <w:widowControl/>
              <w:spacing w:line="360" w:lineRule="auto"/>
              <w:contextualSpacing/>
              <w:jc w:val="center"/>
              <w:rPr>
                <w:rFonts w:hint="eastAsia" w:ascii="宋体" w:hAnsi="宋体" w:cs="宋体"/>
                <w:color w:val="auto"/>
                <w:kern w:val="0"/>
                <w:sz w:val="24"/>
                <w:highlight w:val="none"/>
              </w:rPr>
            </w:pPr>
          </w:p>
        </w:tc>
        <w:tc>
          <w:tcPr>
            <w:tcW w:w="416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5A039B">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F1D0A9">
            <w:pPr>
              <w:widowControl/>
              <w:spacing w:line="360" w:lineRule="auto"/>
              <w:contextualSpacing/>
              <w:jc w:val="center"/>
              <w:rPr>
                <w:rFonts w:hint="eastAsia" w:ascii="宋体" w:hAnsi="宋体" w:cs="宋体"/>
                <w:color w:val="auto"/>
                <w:kern w:val="0"/>
                <w:sz w:val="24"/>
                <w:highlight w:val="none"/>
              </w:rPr>
            </w:pPr>
          </w:p>
        </w:tc>
      </w:tr>
      <w:tr w14:paraId="672675B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69CAB9">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E387EB">
            <w:pPr>
              <w:widowControl/>
              <w:spacing w:line="360" w:lineRule="auto"/>
              <w:contextualSpacing/>
              <w:jc w:val="center"/>
              <w:rPr>
                <w:rFonts w:hint="eastAsia" w:ascii="宋体" w:hAnsi="宋体" w:cs="宋体"/>
                <w:color w:val="auto"/>
                <w:kern w:val="0"/>
                <w:sz w:val="24"/>
                <w:highlight w:val="none"/>
              </w:rPr>
            </w:pPr>
          </w:p>
        </w:tc>
        <w:tc>
          <w:tcPr>
            <w:tcW w:w="157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F891B7">
            <w:pPr>
              <w:widowControl/>
              <w:spacing w:line="360" w:lineRule="auto"/>
              <w:contextualSpacing/>
              <w:jc w:val="center"/>
              <w:rPr>
                <w:rFonts w:hint="eastAsia" w:ascii="宋体" w:hAnsi="宋体" w:cs="宋体"/>
                <w:color w:val="auto"/>
                <w:kern w:val="0"/>
                <w:sz w:val="24"/>
                <w:highlight w:val="none"/>
              </w:rPr>
            </w:pPr>
          </w:p>
        </w:tc>
        <w:tc>
          <w:tcPr>
            <w:tcW w:w="416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682BBE">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F40E45">
            <w:pPr>
              <w:widowControl/>
              <w:spacing w:line="360" w:lineRule="auto"/>
              <w:contextualSpacing/>
              <w:jc w:val="center"/>
              <w:rPr>
                <w:rFonts w:hint="eastAsia" w:ascii="宋体" w:hAnsi="宋体" w:cs="宋体"/>
                <w:color w:val="auto"/>
                <w:kern w:val="0"/>
                <w:sz w:val="24"/>
                <w:highlight w:val="none"/>
              </w:rPr>
            </w:pPr>
          </w:p>
        </w:tc>
      </w:tr>
    </w:tbl>
    <w:p w14:paraId="198C96BB">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0A7B1527">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481CE3E">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1A26D381">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3.供应商不存在直接控股股东的，则在“直接控股股东名称”中填“无”。</w:t>
      </w:r>
    </w:p>
    <w:p w14:paraId="1531F43A">
      <w:pPr>
        <w:spacing w:line="360" w:lineRule="auto"/>
        <w:ind w:firstLine="420" w:firstLineChars="200"/>
        <w:contextualSpacing/>
        <w:jc w:val="left"/>
        <w:rPr>
          <w:rFonts w:hint="eastAsia" w:ascii="宋体" w:hAnsi="宋体" w:cs="宋体"/>
          <w:color w:val="auto"/>
          <w:szCs w:val="21"/>
          <w:highlight w:val="none"/>
        </w:rPr>
      </w:pPr>
    </w:p>
    <w:p w14:paraId="26C79C47">
      <w:pPr>
        <w:spacing w:line="360" w:lineRule="auto"/>
        <w:ind w:firstLine="560" w:firstLineChars="200"/>
        <w:contextualSpacing/>
        <w:jc w:val="left"/>
        <w:rPr>
          <w:rFonts w:hint="eastAsia" w:ascii="宋体" w:hAnsi="宋体" w:cs="宋体"/>
          <w:color w:val="auto"/>
          <w:sz w:val="28"/>
          <w:szCs w:val="28"/>
          <w:highlight w:val="none"/>
        </w:rPr>
      </w:pPr>
    </w:p>
    <w:p w14:paraId="5DD3F994">
      <w:pPr>
        <w:spacing w:line="360" w:lineRule="auto"/>
        <w:ind w:right="-817" w:rightChars="-389"/>
        <w:contextualSpacing/>
        <w:jc w:val="center"/>
        <w:rPr>
          <w:rFonts w:hint="eastAsia" w:ascii="宋体" w:hAnsi="宋体" w:cs="宋体"/>
          <w:color w:val="auto"/>
          <w:sz w:val="24"/>
          <w:highlight w:val="none"/>
        </w:rPr>
      </w:pPr>
      <w:r>
        <w:rPr>
          <w:rFonts w:hint="eastAsia" w:ascii="宋体" w:hAnsi="宋体" w:cs="宋体"/>
          <w:color w:val="auto"/>
          <w:sz w:val="24"/>
          <w:highlight w:val="none"/>
        </w:rPr>
        <w:t xml:space="preserve">        法定代表人或者委托代理人（签字或盖章或电子签名）：</w:t>
      </w:r>
    </w:p>
    <w:p w14:paraId="1BB11960">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供应商（公章或电子签章）：</w:t>
      </w:r>
    </w:p>
    <w:p w14:paraId="23CF6762">
      <w:pPr>
        <w:spacing w:line="360" w:lineRule="auto"/>
        <w:ind w:firstLine="480" w:firstLineChars="200"/>
        <w:contextualSpacing/>
        <w:jc w:val="right"/>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369794D9">
      <w:pPr>
        <w:snapToGrid w:val="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2B92D8D2">
      <w:pPr>
        <w:spacing w:line="3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供应商直接管理关系信息表</w:t>
      </w:r>
    </w:p>
    <w:p w14:paraId="42681A1A">
      <w:pPr>
        <w:snapToGrid w:val="0"/>
        <w:spacing w:line="360" w:lineRule="auto"/>
        <w:jc w:val="center"/>
        <w:rPr>
          <w:rFonts w:hint="eastAsia" w:ascii="宋体" w:hAnsi="宋体" w:cs="宋体"/>
          <w:b/>
          <w:color w:val="auto"/>
          <w:sz w:val="24"/>
          <w:highlight w:val="none"/>
        </w:rPr>
      </w:pPr>
    </w:p>
    <w:tbl>
      <w:tblPr>
        <w:tblStyle w:val="16"/>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DD8D864">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FDB2FA">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2B69B4">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819DE5">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B3E979">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D4FF4E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EE965D">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C1B9A7">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D0D96D">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5F55A9">
            <w:pPr>
              <w:widowControl/>
              <w:spacing w:line="360" w:lineRule="auto"/>
              <w:contextualSpacing/>
              <w:jc w:val="center"/>
              <w:rPr>
                <w:rFonts w:hint="eastAsia" w:ascii="宋体" w:hAnsi="宋体" w:cs="宋体"/>
                <w:color w:val="auto"/>
                <w:kern w:val="0"/>
                <w:sz w:val="24"/>
                <w:highlight w:val="none"/>
              </w:rPr>
            </w:pPr>
          </w:p>
        </w:tc>
      </w:tr>
      <w:tr w14:paraId="5E7A573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CB9C3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B9E852">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A16178">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0DAE1F">
            <w:pPr>
              <w:widowControl/>
              <w:spacing w:line="360" w:lineRule="auto"/>
              <w:contextualSpacing/>
              <w:jc w:val="center"/>
              <w:rPr>
                <w:rFonts w:hint="eastAsia" w:ascii="宋体" w:hAnsi="宋体" w:cs="宋体"/>
                <w:color w:val="auto"/>
                <w:kern w:val="0"/>
                <w:sz w:val="24"/>
                <w:highlight w:val="none"/>
              </w:rPr>
            </w:pPr>
          </w:p>
        </w:tc>
      </w:tr>
      <w:tr w14:paraId="5290A4C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AFAE7B">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D55061">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6B1EBE">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84C03C">
            <w:pPr>
              <w:widowControl/>
              <w:spacing w:line="360" w:lineRule="auto"/>
              <w:contextualSpacing/>
              <w:jc w:val="center"/>
              <w:rPr>
                <w:rFonts w:hint="eastAsia" w:ascii="宋体" w:hAnsi="宋体" w:cs="宋体"/>
                <w:color w:val="auto"/>
                <w:kern w:val="0"/>
                <w:sz w:val="24"/>
                <w:highlight w:val="none"/>
              </w:rPr>
            </w:pPr>
          </w:p>
        </w:tc>
      </w:tr>
      <w:tr w14:paraId="280B3EA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1555BA">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406B3A">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D0F34E">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E0911A">
            <w:pPr>
              <w:widowControl/>
              <w:spacing w:line="360" w:lineRule="auto"/>
              <w:contextualSpacing/>
              <w:jc w:val="center"/>
              <w:rPr>
                <w:rFonts w:hint="eastAsia" w:ascii="宋体" w:hAnsi="宋体" w:cs="宋体"/>
                <w:color w:val="auto"/>
                <w:kern w:val="0"/>
                <w:sz w:val="24"/>
                <w:highlight w:val="none"/>
              </w:rPr>
            </w:pPr>
          </w:p>
        </w:tc>
      </w:tr>
    </w:tbl>
    <w:p w14:paraId="52BB9896">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510F26D8">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464BEE77">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1E7E074F">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3.供应商不存在直接管理关系的，则在“直接管理关系单位名称”中填“无”。</w:t>
      </w:r>
    </w:p>
    <w:p w14:paraId="4419A07D">
      <w:pPr>
        <w:spacing w:line="360" w:lineRule="auto"/>
        <w:contextualSpacing/>
        <w:jc w:val="left"/>
        <w:rPr>
          <w:rFonts w:hint="eastAsia" w:ascii="宋体" w:hAnsi="宋体" w:cs="宋体"/>
          <w:color w:val="auto"/>
          <w:sz w:val="28"/>
          <w:szCs w:val="28"/>
          <w:highlight w:val="none"/>
        </w:rPr>
      </w:pPr>
    </w:p>
    <w:p w14:paraId="4035C926">
      <w:pPr>
        <w:spacing w:line="360" w:lineRule="auto"/>
        <w:contextualSpacing/>
        <w:jc w:val="left"/>
        <w:rPr>
          <w:rFonts w:hint="eastAsia" w:ascii="宋体" w:hAnsi="宋体" w:cs="宋体"/>
          <w:color w:val="auto"/>
          <w:sz w:val="28"/>
          <w:szCs w:val="28"/>
          <w:highlight w:val="none"/>
        </w:rPr>
      </w:pPr>
    </w:p>
    <w:p w14:paraId="42CB43C1">
      <w:pPr>
        <w:spacing w:line="360" w:lineRule="auto"/>
        <w:contextualSpacing/>
        <w:jc w:val="left"/>
        <w:rPr>
          <w:rFonts w:hint="eastAsia" w:ascii="宋体" w:hAnsi="宋体" w:cs="宋体"/>
          <w:color w:val="auto"/>
          <w:sz w:val="28"/>
          <w:szCs w:val="28"/>
          <w:highlight w:val="none"/>
        </w:rPr>
      </w:pPr>
    </w:p>
    <w:p w14:paraId="42650222">
      <w:pPr>
        <w:spacing w:line="360" w:lineRule="auto"/>
        <w:contextualSpacing/>
        <w:jc w:val="left"/>
        <w:rPr>
          <w:rFonts w:hint="eastAsia" w:ascii="宋体" w:hAnsi="宋体" w:cs="宋体"/>
          <w:color w:val="auto"/>
          <w:sz w:val="28"/>
          <w:szCs w:val="28"/>
          <w:highlight w:val="none"/>
        </w:rPr>
      </w:pPr>
    </w:p>
    <w:p w14:paraId="4B615D48">
      <w:pPr>
        <w:spacing w:line="360" w:lineRule="auto"/>
        <w:contextualSpacing/>
        <w:jc w:val="left"/>
        <w:rPr>
          <w:rFonts w:hint="eastAsia" w:ascii="宋体" w:hAnsi="宋体" w:cs="宋体"/>
          <w:color w:val="auto"/>
          <w:sz w:val="28"/>
          <w:szCs w:val="28"/>
          <w:highlight w:val="none"/>
        </w:rPr>
      </w:pPr>
    </w:p>
    <w:p w14:paraId="67566965">
      <w:pPr>
        <w:spacing w:line="360" w:lineRule="auto"/>
        <w:contextualSpacing/>
        <w:jc w:val="left"/>
        <w:rPr>
          <w:rFonts w:hint="eastAsia" w:ascii="宋体" w:hAnsi="宋体" w:cs="宋体"/>
          <w:color w:val="auto"/>
          <w:sz w:val="28"/>
          <w:szCs w:val="28"/>
          <w:highlight w:val="none"/>
        </w:rPr>
      </w:pPr>
    </w:p>
    <w:p w14:paraId="68770DB9">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法定代表人或者委托代理人（签字或盖章或电子签名）：</w:t>
      </w:r>
      <w:r>
        <w:rPr>
          <w:rFonts w:hint="eastAsia" w:ascii="宋体" w:hAnsi="宋体" w:cs="宋体"/>
          <w:color w:val="auto"/>
          <w:sz w:val="24"/>
          <w:highlight w:val="none"/>
          <w:u w:val="single"/>
        </w:rPr>
        <w:t xml:space="preserve">                   </w:t>
      </w:r>
    </w:p>
    <w:p w14:paraId="64A9B0BB">
      <w:pPr>
        <w:spacing w:line="360" w:lineRule="auto"/>
        <w:ind w:right="480" w:firstLine="3360" w:firstLineChars="1400"/>
        <w:contextualSpacing/>
        <w:rPr>
          <w:rFonts w:hint="eastAsia" w:ascii="宋体" w:hAnsi="宋体" w:cs="宋体"/>
          <w:color w:val="auto"/>
          <w:sz w:val="24"/>
          <w:highlight w:val="none"/>
        </w:rPr>
      </w:pPr>
      <w:r>
        <w:rPr>
          <w:rFonts w:hint="eastAsia" w:ascii="宋体" w:hAnsi="宋体" w:cs="宋体"/>
          <w:color w:val="auto"/>
          <w:sz w:val="24"/>
          <w:highlight w:val="none"/>
        </w:rPr>
        <w:t>供应商（电子签章）：</w:t>
      </w:r>
      <w:r>
        <w:rPr>
          <w:rFonts w:hint="eastAsia" w:ascii="宋体" w:hAnsi="宋体" w:cs="宋体"/>
          <w:color w:val="auto"/>
          <w:sz w:val="24"/>
          <w:highlight w:val="none"/>
          <w:u w:val="single"/>
        </w:rPr>
        <w:t xml:space="preserve">                </w:t>
      </w:r>
    </w:p>
    <w:p w14:paraId="04418326">
      <w:pPr>
        <w:spacing w:line="360" w:lineRule="auto"/>
        <w:ind w:firstLine="480" w:firstLineChars="200"/>
        <w:contextualSpacing/>
        <w:jc w:val="left"/>
        <w:rPr>
          <w:rFonts w:hint="eastAsia" w:ascii="宋体" w:hAnsi="宋体" w:cs="宋体"/>
          <w:color w:val="auto"/>
          <w:sz w:val="28"/>
          <w:szCs w:val="28"/>
          <w:highlight w:val="none"/>
        </w:rPr>
      </w:pPr>
      <w:r>
        <w:rPr>
          <w:rFonts w:hint="eastAsia" w:ascii="宋体" w:hAnsi="宋体" w:cs="宋体"/>
          <w:color w:val="auto"/>
          <w:sz w:val="24"/>
          <w:highlight w:val="none"/>
        </w:rPr>
        <w:t xml:space="preserve">                                        年    月    日</w:t>
      </w:r>
    </w:p>
    <w:p w14:paraId="3997ECB7">
      <w:pPr>
        <w:spacing w:line="320" w:lineRule="exact"/>
        <w:jc w:val="center"/>
        <w:rPr>
          <w:rFonts w:hint="eastAsia" w:ascii="宋体" w:hAnsi="宋体" w:cs="宋体"/>
          <w:b/>
          <w:color w:val="auto"/>
          <w:sz w:val="32"/>
          <w:szCs w:val="32"/>
          <w:highlight w:val="none"/>
        </w:rPr>
      </w:pPr>
      <w:r>
        <w:rPr>
          <w:rFonts w:hint="eastAsia" w:ascii="宋体" w:hAnsi="宋体" w:cs="宋体"/>
          <w:color w:val="auto"/>
          <w:sz w:val="28"/>
          <w:szCs w:val="28"/>
          <w:highlight w:val="none"/>
        </w:rPr>
        <w:br w:type="page"/>
      </w:r>
      <w:r>
        <w:rPr>
          <w:rFonts w:hint="eastAsia" w:ascii="宋体" w:hAnsi="宋体" w:cs="宋体"/>
          <w:b/>
          <w:color w:val="auto"/>
          <w:sz w:val="32"/>
          <w:szCs w:val="32"/>
          <w:highlight w:val="none"/>
        </w:rPr>
        <w:t>竞标声明</w:t>
      </w:r>
    </w:p>
    <w:p w14:paraId="60F01047">
      <w:pPr>
        <w:spacing w:line="320" w:lineRule="exact"/>
        <w:jc w:val="center"/>
        <w:rPr>
          <w:rFonts w:hint="eastAsia" w:ascii="宋体" w:hAnsi="宋体" w:cs="宋体"/>
          <w:color w:val="auto"/>
          <w:sz w:val="24"/>
          <w:szCs w:val="20"/>
          <w:highlight w:val="none"/>
        </w:rPr>
      </w:pPr>
    </w:p>
    <w:p w14:paraId="7D0F0A1F">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ACBB69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9B9BEC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5DDFC80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6A2A114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1D4CA6D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5714CF2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721107B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2277F51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0BD9A08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65AF796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16F63A8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08FEE1C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75248F8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05BA6F3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208419D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447E9B9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4A4DA6C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FE43C9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2A70F2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3AEEF0E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54C0363">
      <w:pPr>
        <w:pStyle w:val="11"/>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6C889C45">
      <w:pPr>
        <w:pStyle w:val="11"/>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w:t>
      </w:r>
      <w:r>
        <w:rPr>
          <w:rFonts w:hint="eastAsia" w:hAnsi="宋体" w:cs="宋体"/>
          <w:color w:val="auto"/>
          <w:sz w:val="24"/>
          <w:szCs w:val="24"/>
          <w:highlight w:val="none"/>
          <w:lang w:eastAsia="zh-CN"/>
        </w:rPr>
        <w:t>邮箱</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03BB9D85">
      <w:pPr>
        <w:pStyle w:val="10"/>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04B85249">
      <w:pPr>
        <w:pStyle w:val="10"/>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771D08A2">
      <w:pPr>
        <w:pStyle w:val="10"/>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0BDCA709">
      <w:pPr>
        <w:spacing w:line="360" w:lineRule="auto"/>
        <w:contextualSpacing/>
        <w:jc w:val="left"/>
        <w:rPr>
          <w:rFonts w:hint="eastAsia" w:ascii="宋体" w:hAnsi="宋体" w:cs="宋体"/>
          <w:b/>
          <w:color w:val="auto"/>
          <w:sz w:val="24"/>
          <w:highlight w:val="none"/>
        </w:rPr>
      </w:pPr>
      <w:r>
        <w:rPr>
          <w:rFonts w:hint="eastAsia" w:ascii="宋体" w:hAnsi="宋体" w:cs="宋体"/>
          <w:b/>
          <w:color w:val="auto"/>
          <w:sz w:val="24"/>
          <w:highlight w:val="none"/>
        </w:rPr>
        <w:t>注：如为联合体竞标，盖章处须加盖联合体牵头人电子签章并由联合体牵头人法定代表人分别签字或者盖章或者电子签名，否则响应文件按无效处理。</w:t>
      </w:r>
    </w:p>
    <w:p w14:paraId="7A2C56DE">
      <w:pPr>
        <w:spacing w:line="360" w:lineRule="auto"/>
        <w:contextualSpacing/>
        <w:jc w:val="left"/>
        <w:rPr>
          <w:rFonts w:hint="eastAsia" w:ascii="宋体" w:hAnsi="宋体" w:cs="宋体"/>
          <w:color w:val="auto"/>
          <w:szCs w:val="21"/>
          <w:highlight w:val="none"/>
        </w:rPr>
      </w:pPr>
    </w:p>
    <w:p w14:paraId="7CFEAABE">
      <w:pPr>
        <w:spacing w:line="360" w:lineRule="auto"/>
        <w:ind w:right="-817" w:rightChars="-389"/>
        <w:contextualSpacing/>
        <w:jc w:val="center"/>
        <w:rPr>
          <w:rFonts w:hint="eastAsia" w:ascii="宋体" w:hAnsi="宋体" w:cs="宋体"/>
          <w:color w:val="auto"/>
          <w:sz w:val="24"/>
          <w:highlight w:val="none"/>
        </w:rPr>
      </w:pPr>
      <w:r>
        <w:rPr>
          <w:rFonts w:hint="eastAsia" w:ascii="宋体" w:hAnsi="宋体" w:cs="宋体"/>
          <w:color w:val="auto"/>
          <w:sz w:val="24"/>
          <w:highlight w:val="none"/>
        </w:rPr>
        <w:t>法定代表人（签字或盖章或电子签名）：</w:t>
      </w:r>
    </w:p>
    <w:p w14:paraId="01CC84DA">
      <w:pPr>
        <w:spacing w:line="360" w:lineRule="auto"/>
        <w:ind w:firstLine="4320" w:firstLineChars="1800"/>
        <w:contextualSpacing/>
        <w:rPr>
          <w:rFonts w:hint="eastAsia" w:ascii="宋体" w:hAnsi="宋体" w:cs="宋体"/>
          <w:color w:val="auto"/>
          <w:szCs w:val="21"/>
          <w:highlight w:val="none"/>
          <w:u w:val="single"/>
        </w:rPr>
      </w:pPr>
      <w:r>
        <w:rPr>
          <w:rFonts w:hint="eastAsia" w:ascii="宋体" w:hAnsi="宋体" w:cs="宋体"/>
          <w:color w:val="auto"/>
          <w:sz w:val="24"/>
          <w:highlight w:val="none"/>
        </w:rPr>
        <w:t>供应商（公章或电子签章）：</w:t>
      </w:r>
      <w:r>
        <w:rPr>
          <w:rFonts w:hint="eastAsia" w:ascii="宋体" w:hAnsi="宋体" w:cs="宋体"/>
          <w:color w:val="auto"/>
          <w:highlight w:val="none"/>
        </w:rPr>
        <w:t xml:space="preserve">      </w:t>
      </w:r>
      <w:r>
        <w:rPr>
          <w:rFonts w:hint="eastAsia" w:ascii="宋体" w:hAnsi="宋体" w:cs="宋体"/>
          <w:color w:val="auto"/>
          <w:szCs w:val="21"/>
          <w:highlight w:val="none"/>
        </w:rPr>
        <w:t xml:space="preserve">    </w:t>
      </w:r>
    </w:p>
    <w:p w14:paraId="0297DA23">
      <w:pPr>
        <w:pStyle w:val="10"/>
        <w:tabs>
          <w:tab w:val="left" w:pos="939"/>
        </w:tabs>
        <w:spacing w:line="360" w:lineRule="auto"/>
        <w:ind w:left="0" w:leftChars="0" w:firstLine="420" w:firstLineChars="200"/>
        <w:rPr>
          <w:rFonts w:hint="eastAsia" w:ascii="宋体" w:hAnsi="宋体" w:cs="宋体"/>
          <w:color w:val="auto"/>
          <w:sz w:val="24"/>
          <w:highlight w:val="none"/>
        </w:rPr>
      </w:pPr>
      <w:r>
        <w:rPr>
          <w:rFonts w:hint="eastAsia" w:ascii="宋体" w:hAnsi="宋体" w:cs="宋体"/>
          <w:color w:val="auto"/>
          <w:szCs w:val="21"/>
          <w:highlight w:val="none"/>
        </w:rPr>
        <w:t xml:space="preserve">                                                        </w:t>
      </w:r>
      <w:r>
        <w:rPr>
          <w:rFonts w:hint="eastAsia" w:ascii="宋体" w:hAnsi="宋体" w:cs="宋体"/>
          <w:color w:val="auto"/>
          <w:highlight w:val="none"/>
        </w:rPr>
        <w:t xml:space="preserve"> 年    月    日</w:t>
      </w:r>
    </w:p>
    <w:p w14:paraId="2CF296E8">
      <w:pPr>
        <w:snapToGrid w:val="0"/>
        <w:spacing w:before="160" w:beforeLines="50" w:after="50"/>
        <w:ind w:right="480" w:firstLine="321" w:firstLineChars="100"/>
        <w:rPr>
          <w:rFonts w:hint="eastAsia" w:ascii="宋体" w:hAnsi="宋体" w:cs="宋体"/>
          <w:b/>
          <w:bCs/>
          <w:color w:val="auto"/>
          <w:sz w:val="32"/>
          <w:szCs w:val="32"/>
          <w:highlight w:val="none"/>
        </w:rPr>
      </w:pPr>
    </w:p>
    <w:p w14:paraId="2784CD69">
      <w:pPr>
        <w:snapToGrid w:val="0"/>
        <w:spacing w:before="160" w:beforeLines="50" w:after="50"/>
        <w:ind w:right="480" w:firstLine="321" w:firstLineChars="100"/>
        <w:rPr>
          <w:rFonts w:hint="eastAsia" w:ascii="宋体" w:hAnsi="宋体" w:cs="宋体"/>
          <w:b/>
          <w:bCs/>
          <w:color w:val="auto"/>
          <w:sz w:val="32"/>
          <w:szCs w:val="32"/>
          <w:highlight w:val="none"/>
        </w:rPr>
      </w:pPr>
    </w:p>
    <w:p w14:paraId="39C96407">
      <w:pPr>
        <w:snapToGrid w:val="0"/>
        <w:spacing w:before="160" w:beforeLines="50" w:after="50"/>
        <w:ind w:right="480" w:firstLine="321" w:firstLineChars="100"/>
        <w:rPr>
          <w:rFonts w:hint="eastAsia" w:ascii="宋体" w:hAnsi="宋体" w:cs="宋体"/>
          <w:b/>
          <w:bCs/>
          <w:color w:val="auto"/>
          <w:sz w:val="32"/>
          <w:szCs w:val="32"/>
          <w:highlight w:val="none"/>
        </w:rPr>
      </w:pPr>
    </w:p>
    <w:p w14:paraId="0EB04B66">
      <w:pPr>
        <w:snapToGrid w:val="0"/>
        <w:spacing w:before="160" w:beforeLines="50" w:after="50"/>
        <w:ind w:right="480" w:firstLine="321" w:firstLineChars="100"/>
        <w:rPr>
          <w:rFonts w:hint="eastAsia" w:ascii="宋体" w:hAnsi="宋体" w:cs="宋体"/>
          <w:b/>
          <w:bCs/>
          <w:color w:val="auto"/>
          <w:sz w:val="32"/>
          <w:szCs w:val="32"/>
          <w:highlight w:val="none"/>
        </w:rPr>
      </w:pPr>
    </w:p>
    <w:p w14:paraId="555C6D3B">
      <w:pPr>
        <w:snapToGrid w:val="0"/>
        <w:spacing w:before="160" w:beforeLines="50" w:after="50"/>
        <w:ind w:right="480" w:firstLine="321" w:firstLineChars="100"/>
        <w:rPr>
          <w:rFonts w:hint="eastAsia" w:ascii="宋体" w:hAnsi="宋体" w:cs="宋体"/>
          <w:b/>
          <w:bCs/>
          <w:color w:val="auto"/>
          <w:sz w:val="32"/>
          <w:szCs w:val="32"/>
          <w:highlight w:val="none"/>
        </w:rPr>
      </w:pPr>
    </w:p>
    <w:p w14:paraId="1C995D88">
      <w:pPr>
        <w:snapToGrid w:val="0"/>
        <w:spacing w:before="160" w:beforeLines="50" w:after="50"/>
        <w:ind w:right="480" w:firstLine="321" w:firstLineChars="100"/>
        <w:rPr>
          <w:rFonts w:hint="eastAsia" w:ascii="宋体" w:hAnsi="宋体" w:cs="宋体"/>
          <w:b/>
          <w:bCs/>
          <w:color w:val="auto"/>
          <w:sz w:val="32"/>
          <w:szCs w:val="32"/>
          <w:highlight w:val="none"/>
        </w:rPr>
      </w:pPr>
    </w:p>
    <w:p w14:paraId="4F85BB87">
      <w:pPr>
        <w:snapToGrid w:val="0"/>
        <w:spacing w:before="160" w:beforeLines="50" w:after="50"/>
        <w:ind w:right="480" w:firstLine="321" w:firstLineChars="100"/>
        <w:rPr>
          <w:rFonts w:hint="eastAsia" w:ascii="宋体" w:hAnsi="宋体" w:cs="宋体"/>
          <w:b/>
          <w:bCs/>
          <w:color w:val="auto"/>
          <w:sz w:val="32"/>
          <w:szCs w:val="32"/>
          <w:highlight w:val="none"/>
        </w:rPr>
      </w:pPr>
    </w:p>
    <w:p w14:paraId="496EE7D8">
      <w:pPr>
        <w:snapToGrid w:val="0"/>
        <w:spacing w:before="160" w:beforeLines="50" w:after="50"/>
        <w:ind w:right="480" w:firstLine="321" w:firstLineChars="100"/>
        <w:rPr>
          <w:rFonts w:hint="eastAsia" w:ascii="宋体" w:hAnsi="宋体" w:cs="宋体"/>
          <w:b/>
          <w:bCs/>
          <w:color w:val="auto"/>
          <w:sz w:val="32"/>
          <w:szCs w:val="32"/>
          <w:highlight w:val="none"/>
        </w:rPr>
      </w:pPr>
    </w:p>
    <w:p w14:paraId="16EB2F3E">
      <w:pPr>
        <w:snapToGrid w:val="0"/>
        <w:spacing w:before="160" w:beforeLines="50" w:after="50"/>
        <w:ind w:right="480" w:firstLine="321" w:firstLineChars="100"/>
        <w:rPr>
          <w:rFonts w:hint="eastAsia" w:ascii="宋体" w:hAnsi="宋体" w:cs="宋体"/>
          <w:b/>
          <w:bCs/>
          <w:color w:val="auto"/>
          <w:sz w:val="32"/>
          <w:szCs w:val="32"/>
          <w:highlight w:val="none"/>
        </w:rPr>
      </w:pPr>
    </w:p>
    <w:p w14:paraId="0DB2B2D9">
      <w:pPr>
        <w:snapToGrid w:val="0"/>
        <w:spacing w:before="160" w:beforeLines="50" w:after="50"/>
        <w:ind w:right="480" w:firstLine="321" w:firstLineChars="100"/>
        <w:rPr>
          <w:rFonts w:hint="eastAsia" w:ascii="宋体" w:hAnsi="宋体" w:cs="宋体"/>
          <w:b/>
          <w:bCs/>
          <w:color w:val="auto"/>
          <w:sz w:val="32"/>
          <w:szCs w:val="32"/>
          <w:highlight w:val="none"/>
        </w:rPr>
      </w:pPr>
    </w:p>
    <w:p w14:paraId="462B6F53">
      <w:pPr>
        <w:snapToGrid w:val="0"/>
        <w:spacing w:before="160" w:beforeLines="50" w:after="50"/>
        <w:ind w:right="480" w:firstLine="321" w:firstLineChars="100"/>
        <w:rPr>
          <w:rFonts w:hint="eastAsia" w:ascii="宋体" w:hAnsi="宋体" w:cs="宋体"/>
          <w:b/>
          <w:bCs/>
          <w:color w:val="auto"/>
          <w:sz w:val="32"/>
          <w:szCs w:val="32"/>
          <w:highlight w:val="none"/>
        </w:rPr>
      </w:pPr>
    </w:p>
    <w:p w14:paraId="67C6A47D">
      <w:pPr>
        <w:snapToGrid w:val="0"/>
        <w:spacing w:before="160" w:beforeLines="50" w:after="50"/>
        <w:ind w:right="480" w:firstLine="321" w:firstLineChars="100"/>
        <w:rPr>
          <w:rFonts w:hint="eastAsia" w:ascii="宋体" w:hAnsi="宋体" w:cs="宋体"/>
          <w:b/>
          <w:bCs/>
          <w:color w:val="auto"/>
          <w:sz w:val="32"/>
          <w:szCs w:val="32"/>
          <w:highlight w:val="none"/>
        </w:rPr>
      </w:pPr>
    </w:p>
    <w:p w14:paraId="7EC55189">
      <w:pPr>
        <w:snapToGrid w:val="0"/>
        <w:spacing w:before="160" w:beforeLines="50" w:after="50"/>
        <w:ind w:right="480" w:firstLine="321" w:firstLineChars="100"/>
        <w:rPr>
          <w:rFonts w:hint="eastAsia" w:ascii="宋体" w:hAnsi="宋体" w:cs="宋体"/>
          <w:b/>
          <w:bCs/>
          <w:color w:val="auto"/>
          <w:sz w:val="32"/>
          <w:szCs w:val="32"/>
          <w:highlight w:val="none"/>
        </w:rPr>
      </w:pPr>
    </w:p>
    <w:p w14:paraId="2A39A5D9">
      <w:pPr>
        <w:spacing w:line="360" w:lineRule="auto"/>
        <w:ind w:right="420"/>
        <w:contextualSpacing/>
        <w:jc w:val="left"/>
        <w:rPr>
          <w:rFonts w:hint="eastAsia" w:ascii="宋体" w:hAnsi="宋体" w:cs="宋体"/>
          <w:b/>
          <w:color w:val="auto"/>
          <w:sz w:val="32"/>
          <w:szCs w:val="32"/>
          <w:highlight w:val="none"/>
        </w:rPr>
      </w:pP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 xml:space="preserve">报价文件格式 </w:t>
      </w:r>
    </w:p>
    <w:p w14:paraId="1AAB7CB4">
      <w:pPr>
        <w:snapToGrid w:val="0"/>
        <w:spacing w:before="160" w:beforeLines="50" w:after="50"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1.报价文件封面格式</w:t>
      </w:r>
    </w:p>
    <w:p w14:paraId="73920473">
      <w:pPr>
        <w:snapToGrid w:val="0"/>
        <w:spacing w:before="160" w:beforeLines="5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0CB8DF7A">
      <w:pPr>
        <w:snapToGrid w:val="0"/>
        <w:spacing w:before="160" w:beforeLines="50" w:after="50"/>
        <w:jc w:val="center"/>
        <w:rPr>
          <w:rFonts w:hint="eastAsia"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0B015354">
      <w:pPr>
        <w:snapToGrid w:val="0"/>
        <w:spacing w:before="160" w:beforeLines="50" w:after="50"/>
        <w:rPr>
          <w:rFonts w:hint="eastAsia" w:ascii="宋体" w:hAnsi="宋体" w:cs="宋体"/>
          <w:color w:val="auto"/>
          <w:sz w:val="24"/>
          <w:szCs w:val="20"/>
          <w:highlight w:val="none"/>
        </w:rPr>
      </w:pPr>
    </w:p>
    <w:p w14:paraId="347E8605">
      <w:pPr>
        <w:snapToGrid w:val="0"/>
        <w:spacing w:before="160" w:beforeLines="50" w:after="50"/>
        <w:rPr>
          <w:rFonts w:hint="eastAsia" w:ascii="宋体" w:hAnsi="宋体" w:cs="宋体"/>
          <w:color w:val="auto"/>
          <w:sz w:val="24"/>
          <w:szCs w:val="20"/>
          <w:highlight w:val="none"/>
        </w:rPr>
      </w:pPr>
    </w:p>
    <w:p w14:paraId="5E38C725">
      <w:pPr>
        <w:snapToGrid w:val="0"/>
        <w:spacing w:before="16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报  价  文  件</w:t>
      </w:r>
    </w:p>
    <w:p w14:paraId="00D3349D">
      <w:pPr>
        <w:snapToGrid w:val="0"/>
        <w:spacing w:before="160" w:beforeLines="50" w:after="50"/>
        <w:rPr>
          <w:rFonts w:hint="eastAsia" w:ascii="宋体" w:hAnsi="宋体" w:cs="宋体"/>
          <w:bCs/>
          <w:color w:val="auto"/>
          <w:sz w:val="24"/>
          <w:szCs w:val="20"/>
          <w:highlight w:val="none"/>
        </w:rPr>
      </w:pPr>
    </w:p>
    <w:p w14:paraId="1760BA14">
      <w:pPr>
        <w:snapToGrid w:val="0"/>
        <w:spacing w:before="160" w:beforeLines="50" w:after="50"/>
        <w:rPr>
          <w:rFonts w:hint="eastAsia" w:ascii="宋体" w:hAnsi="宋体" w:cs="宋体"/>
          <w:bCs/>
          <w:color w:val="auto"/>
          <w:sz w:val="24"/>
          <w:szCs w:val="20"/>
          <w:highlight w:val="none"/>
        </w:rPr>
      </w:pPr>
    </w:p>
    <w:p w14:paraId="6134AB5C">
      <w:pPr>
        <w:snapToGrid w:val="0"/>
        <w:spacing w:before="160" w:beforeLines="50" w:after="50"/>
        <w:rPr>
          <w:rFonts w:hint="eastAsia" w:ascii="宋体" w:hAnsi="宋体" w:cs="宋体"/>
          <w:bCs/>
          <w:color w:val="auto"/>
          <w:sz w:val="24"/>
          <w:szCs w:val="20"/>
          <w:highlight w:val="none"/>
        </w:rPr>
      </w:pPr>
    </w:p>
    <w:p w14:paraId="08CCC7F2">
      <w:pPr>
        <w:snapToGrid w:val="0"/>
        <w:spacing w:before="160" w:beforeLines="50" w:after="50"/>
        <w:rPr>
          <w:rFonts w:hint="eastAsia" w:ascii="宋体" w:hAnsi="宋体" w:cs="宋体"/>
          <w:bCs/>
          <w:color w:val="auto"/>
          <w:sz w:val="24"/>
          <w:szCs w:val="20"/>
          <w:highlight w:val="none"/>
        </w:rPr>
      </w:pPr>
    </w:p>
    <w:p w14:paraId="246BE277">
      <w:pPr>
        <w:snapToGrid w:val="0"/>
        <w:spacing w:before="160" w:beforeLines="50" w:after="50"/>
        <w:rPr>
          <w:rFonts w:hint="eastAsia" w:ascii="宋体" w:hAnsi="宋体" w:cs="宋体"/>
          <w:bCs/>
          <w:color w:val="auto"/>
          <w:sz w:val="24"/>
          <w:szCs w:val="20"/>
          <w:highlight w:val="none"/>
        </w:rPr>
      </w:pPr>
    </w:p>
    <w:p w14:paraId="59655701">
      <w:pPr>
        <w:snapToGrid w:val="0"/>
        <w:spacing w:before="16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454321D9">
      <w:pPr>
        <w:snapToGrid w:val="0"/>
        <w:spacing w:before="160" w:beforeLines="50" w:after="50"/>
        <w:ind w:firstLine="720" w:firstLineChars="225"/>
        <w:rPr>
          <w:rFonts w:hint="eastAsia" w:ascii="宋体" w:hAnsi="宋体" w:cs="宋体"/>
          <w:bCs/>
          <w:color w:val="auto"/>
          <w:sz w:val="32"/>
          <w:szCs w:val="32"/>
          <w:highlight w:val="none"/>
        </w:rPr>
      </w:pPr>
    </w:p>
    <w:p w14:paraId="504C1334">
      <w:pPr>
        <w:snapToGrid w:val="0"/>
        <w:spacing w:before="16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7EE3F26B">
      <w:pPr>
        <w:snapToGrid w:val="0"/>
        <w:spacing w:before="16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4E53CCAF">
      <w:pPr>
        <w:pStyle w:val="5"/>
        <w:snapToGrid w:val="0"/>
        <w:spacing w:before="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535490D1">
      <w:pPr>
        <w:pStyle w:val="5"/>
        <w:snapToGrid w:val="0"/>
        <w:spacing w:before="50" w:after="50"/>
        <w:ind w:firstLine="640" w:firstLineChars="200"/>
        <w:rPr>
          <w:rFonts w:hint="eastAsia" w:ascii="宋体" w:hAnsi="宋体" w:cs="宋体"/>
          <w:bCs/>
          <w:color w:val="auto"/>
          <w:sz w:val="32"/>
          <w:szCs w:val="32"/>
          <w:highlight w:val="none"/>
        </w:rPr>
      </w:pPr>
    </w:p>
    <w:p w14:paraId="2E9CDAC0">
      <w:pPr>
        <w:pStyle w:val="5"/>
        <w:snapToGrid w:val="0"/>
        <w:spacing w:before="50" w:after="50"/>
        <w:ind w:firstLine="720" w:firstLineChars="225"/>
        <w:rPr>
          <w:rFonts w:hint="eastAsia" w:ascii="宋体" w:hAnsi="宋体" w:cs="宋体"/>
          <w:bCs/>
          <w:color w:val="auto"/>
          <w:sz w:val="32"/>
          <w:szCs w:val="32"/>
          <w:highlight w:val="none"/>
        </w:rPr>
      </w:pPr>
    </w:p>
    <w:p w14:paraId="0FF77CB5">
      <w:pPr>
        <w:pStyle w:val="5"/>
        <w:snapToGrid w:val="0"/>
        <w:spacing w:before="50" w:after="50"/>
        <w:ind w:firstLine="0"/>
        <w:rPr>
          <w:rFonts w:hint="eastAsia" w:ascii="宋体" w:hAnsi="宋体" w:cs="宋体"/>
          <w:bCs/>
          <w:color w:val="auto"/>
          <w:sz w:val="32"/>
          <w:szCs w:val="32"/>
          <w:highlight w:val="none"/>
        </w:rPr>
      </w:pPr>
    </w:p>
    <w:p w14:paraId="56AA31F6">
      <w:pPr>
        <w:pStyle w:val="5"/>
        <w:snapToGrid w:val="0"/>
        <w:spacing w:before="50" w:after="50"/>
        <w:ind w:firstLine="1280" w:firstLineChars="400"/>
        <w:rPr>
          <w:rFonts w:hint="eastAsia" w:ascii="宋体" w:hAnsi="宋体" w:cs="宋体"/>
          <w:bCs/>
          <w:color w:val="auto"/>
          <w:sz w:val="32"/>
          <w:szCs w:val="32"/>
          <w:highlight w:val="none"/>
        </w:rPr>
      </w:pPr>
    </w:p>
    <w:p w14:paraId="73B7A438">
      <w:pPr>
        <w:snapToGrid w:val="0"/>
        <w:spacing w:before="16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383DBE1D">
      <w:pPr>
        <w:snapToGrid w:val="0"/>
        <w:spacing w:before="160" w:beforeLines="50" w:after="50" w:line="360" w:lineRule="auto"/>
        <w:ind w:left="142"/>
        <w:jc w:val="left"/>
        <w:rPr>
          <w:rFonts w:hint="eastAsia" w:ascii="宋体" w:hAnsi="宋体" w:cs="宋体"/>
          <w:b/>
          <w:bCs/>
          <w:color w:val="auto"/>
          <w:sz w:val="24"/>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2.报价文件目录</w:t>
      </w:r>
    </w:p>
    <w:p w14:paraId="2637FC23">
      <w:pPr>
        <w:spacing w:line="520" w:lineRule="exact"/>
        <w:jc w:val="center"/>
        <w:rPr>
          <w:rFonts w:hint="eastAsia" w:ascii="宋体" w:hAnsi="宋体" w:cs="宋体"/>
          <w:b/>
          <w:bCs/>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r>
        <w:rPr>
          <w:rFonts w:hint="eastAsia" w:ascii="宋体" w:hAnsi="宋体" w:cs="宋体"/>
          <w:b/>
          <w:bCs/>
          <w:color w:val="auto"/>
          <w:sz w:val="32"/>
          <w:szCs w:val="32"/>
          <w:highlight w:val="none"/>
        </w:rPr>
        <w:br w:type="page"/>
      </w:r>
    </w:p>
    <w:p w14:paraId="6BB2C7C8">
      <w:pPr>
        <w:spacing w:line="520" w:lineRule="exact"/>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竞  标  报  价  表</w:t>
      </w:r>
    </w:p>
    <w:p w14:paraId="7409722C">
      <w:pPr>
        <w:spacing w:line="520" w:lineRule="exact"/>
        <w:jc w:val="center"/>
        <w:rPr>
          <w:rFonts w:hint="eastAsia" w:ascii="宋体" w:hAnsi="宋体" w:cs="宋体"/>
          <w:b/>
          <w:color w:val="auto"/>
          <w:sz w:val="30"/>
          <w:szCs w:val="30"/>
          <w:highlight w:val="none"/>
        </w:rPr>
      </w:pPr>
    </w:p>
    <w:p w14:paraId="1B39AD3D">
      <w:pPr>
        <w:snapToGrid w:val="0"/>
        <w:spacing w:before="50" w:after="50" w:line="440" w:lineRule="exact"/>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BA49C70">
      <w:pPr>
        <w:snapToGrid w:val="0"/>
        <w:spacing w:before="50" w:after="50" w:line="440" w:lineRule="exac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16"/>
        <w:tblpPr w:leftFromText="180" w:rightFromText="180" w:vertAnchor="text" w:horzAnchor="page" w:tblpXSpec="center" w:tblpY="449"/>
        <w:tblOverlap w:val="never"/>
        <w:tblW w:w="9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563"/>
        <w:gridCol w:w="3913"/>
        <w:gridCol w:w="2047"/>
      </w:tblGrid>
      <w:tr w14:paraId="24C4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178A5ECF">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203A91BA">
            <w:pPr>
              <w:snapToGrid w:val="0"/>
              <w:spacing w:before="50" w:after="50"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服务项目名称</w:t>
            </w:r>
          </w:p>
        </w:tc>
        <w:tc>
          <w:tcPr>
            <w:tcW w:w="3913" w:type="dxa"/>
            <w:tcBorders>
              <w:top w:val="single" w:color="auto" w:sz="4" w:space="0"/>
              <w:left w:val="single" w:color="auto" w:sz="4" w:space="0"/>
              <w:bottom w:val="single" w:color="auto" w:sz="4" w:space="0"/>
              <w:right w:val="single" w:color="auto" w:sz="4" w:space="0"/>
            </w:tcBorders>
            <w:noWrap w:val="0"/>
            <w:vAlign w:val="center"/>
          </w:tcPr>
          <w:p w14:paraId="2293D8A9">
            <w:pPr>
              <w:snapToGrid w:val="0"/>
              <w:spacing w:before="50" w:after="50"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数量及单位</w:t>
            </w:r>
          </w:p>
        </w:tc>
        <w:tc>
          <w:tcPr>
            <w:tcW w:w="2047" w:type="dxa"/>
            <w:tcBorders>
              <w:top w:val="single" w:color="auto" w:sz="4" w:space="0"/>
              <w:left w:val="single" w:color="auto" w:sz="4" w:space="0"/>
              <w:bottom w:val="single" w:color="auto" w:sz="4" w:space="0"/>
              <w:right w:val="single" w:color="auto" w:sz="4" w:space="0"/>
            </w:tcBorders>
            <w:noWrap w:val="0"/>
            <w:vAlign w:val="center"/>
          </w:tcPr>
          <w:p w14:paraId="2760DEAE">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竞标折扣系数</w:t>
            </w:r>
          </w:p>
        </w:tc>
      </w:tr>
      <w:tr w14:paraId="5BD6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26F37FF5">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1</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2BE4DBB9">
            <w:pPr>
              <w:snapToGrid w:val="0"/>
              <w:spacing w:before="50" w:after="50" w:line="360" w:lineRule="auto"/>
              <w:jc w:val="center"/>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贵港监狱民警职工食堂生活物资采购项目</w:t>
            </w:r>
          </w:p>
        </w:tc>
        <w:tc>
          <w:tcPr>
            <w:tcW w:w="3913" w:type="dxa"/>
            <w:tcBorders>
              <w:top w:val="single" w:color="auto" w:sz="4" w:space="0"/>
              <w:left w:val="single" w:color="auto" w:sz="4" w:space="0"/>
              <w:bottom w:val="single" w:color="auto" w:sz="4" w:space="0"/>
              <w:right w:val="single" w:color="auto" w:sz="4" w:space="0"/>
            </w:tcBorders>
            <w:noWrap w:val="0"/>
            <w:vAlign w:val="center"/>
          </w:tcPr>
          <w:p w14:paraId="547AB278">
            <w:pPr>
              <w:snapToGrid w:val="0"/>
              <w:spacing w:before="50" w:after="50" w:line="360" w:lineRule="auto"/>
              <w:jc w:val="center"/>
              <w:rPr>
                <w:rFonts w:hint="eastAsia" w:ascii="宋体" w:hAnsi="宋体" w:cs="宋体"/>
                <w:b/>
                <w:bCs/>
                <w:color w:val="auto"/>
                <w:szCs w:val="21"/>
                <w:highlight w:val="none"/>
              </w:rPr>
            </w:pPr>
            <w:r>
              <w:rPr>
                <w:rFonts w:hint="eastAsia" w:ascii="宋体" w:hAnsi="宋体" w:cs="宋体"/>
                <w:color w:val="auto"/>
                <w:szCs w:val="21"/>
                <w:highlight w:val="none"/>
              </w:rPr>
              <w:t>1项</w:t>
            </w:r>
          </w:p>
        </w:tc>
        <w:tc>
          <w:tcPr>
            <w:tcW w:w="2047" w:type="dxa"/>
            <w:tcBorders>
              <w:top w:val="single" w:color="auto" w:sz="4" w:space="0"/>
              <w:left w:val="single" w:color="auto" w:sz="4" w:space="0"/>
              <w:bottom w:val="single" w:color="auto" w:sz="4" w:space="0"/>
              <w:right w:val="single" w:color="auto" w:sz="4" w:space="0"/>
            </w:tcBorders>
            <w:noWrap w:val="0"/>
            <w:vAlign w:val="center"/>
          </w:tcPr>
          <w:p w14:paraId="02CECA65">
            <w:pPr>
              <w:spacing w:line="360" w:lineRule="auto"/>
              <w:jc w:val="center"/>
              <w:rPr>
                <w:rFonts w:hint="eastAsia" w:ascii="宋体" w:hAnsi="宋体" w:cs="宋体"/>
                <w:b/>
                <w:bCs/>
                <w:color w:val="auto"/>
                <w:szCs w:val="21"/>
                <w:highlight w:val="none"/>
              </w:rPr>
            </w:pPr>
            <w:r>
              <w:rPr>
                <w:rFonts w:hint="eastAsia" w:ascii="宋体" w:hAnsi="宋体" w:cs="宋体"/>
                <w:b/>
                <w:color w:val="auto"/>
                <w:szCs w:val="21"/>
                <w:highlight w:val="none"/>
              </w:rPr>
              <w:t>%</w:t>
            </w:r>
          </w:p>
        </w:tc>
      </w:tr>
      <w:tr w14:paraId="1B68A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9224" w:type="dxa"/>
            <w:gridSpan w:val="4"/>
            <w:tcBorders>
              <w:top w:val="single" w:color="auto" w:sz="4" w:space="0"/>
              <w:left w:val="single" w:color="auto" w:sz="4" w:space="0"/>
              <w:bottom w:val="single" w:color="auto" w:sz="4" w:space="0"/>
              <w:right w:val="single" w:color="auto" w:sz="4" w:space="0"/>
            </w:tcBorders>
            <w:noWrap w:val="0"/>
            <w:vAlign w:val="center"/>
          </w:tcPr>
          <w:p w14:paraId="0597F9ED">
            <w:pPr>
              <w:spacing w:line="360" w:lineRule="auto"/>
              <w:jc w:val="left"/>
              <w:rPr>
                <w:rFonts w:hint="eastAsia" w:ascii="宋体" w:hAnsi="宋体" w:cs="宋体"/>
                <w:b/>
                <w:color w:val="auto"/>
                <w:szCs w:val="21"/>
                <w:highlight w:val="none"/>
              </w:rPr>
            </w:pPr>
            <w:r>
              <w:rPr>
                <w:rFonts w:hint="eastAsia" w:ascii="宋体" w:hAnsi="宋体" w:cs="宋体"/>
                <w:color w:val="auto"/>
                <w:spacing w:val="-6"/>
                <w:szCs w:val="21"/>
                <w:highlight w:val="none"/>
              </w:rPr>
              <w:t>竞标折扣系数：（大写）百分之</w:t>
            </w:r>
            <w:r>
              <w:rPr>
                <w:rFonts w:hint="eastAsia" w:ascii="宋体" w:hAnsi="宋体" w:cs="宋体"/>
                <w:color w:val="auto"/>
                <w:spacing w:val="-6"/>
                <w:szCs w:val="21"/>
                <w:highlight w:val="none"/>
                <w:u w:val="single"/>
              </w:rPr>
              <w:t xml:space="preserve">         </w:t>
            </w:r>
          </w:p>
        </w:tc>
      </w:tr>
      <w:tr w14:paraId="34E5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9224" w:type="dxa"/>
            <w:gridSpan w:val="4"/>
            <w:tcBorders>
              <w:top w:val="single" w:color="auto" w:sz="4" w:space="0"/>
              <w:left w:val="single" w:color="auto" w:sz="4" w:space="0"/>
              <w:bottom w:val="single" w:color="auto" w:sz="4" w:space="0"/>
              <w:right w:val="single" w:color="auto" w:sz="4" w:space="0"/>
            </w:tcBorders>
            <w:noWrap w:val="0"/>
            <w:vAlign w:val="center"/>
          </w:tcPr>
          <w:p w14:paraId="1AC8F364">
            <w:pPr>
              <w:snapToGrid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服务期限：自签订合同之日起壹年</w:t>
            </w:r>
            <w:r>
              <w:rPr>
                <w:rFonts w:hint="eastAsia" w:ascii="宋体" w:hAnsi="宋体" w:cs="宋体"/>
                <w:color w:val="auto"/>
                <w:szCs w:val="21"/>
                <w:highlight w:val="none"/>
                <w:lang w:eastAsia="zh-CN"/>
              </w:rPr>
              <w:t>。</w:t>
            </w:r>
          </w:p>
        </w:tc>
      </w:tr>
      <w:tr w14:paraId="5197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9224" w:type="dxa"/>
            <w:gridSpan w:val="4"/>
            <w:tcBorders>
              <w:top w:val="single" w:color="auto" w:sz="4" w:space="0"/>
              <w:left w:val="single" w:color="auto" w:sz="4" w:space="0"/>
              <w:bottom w:val="single" w:color="auto" w:sz="4" w:space="0"/>
              <w:right w:val="single" w:color="auto" w:sz="4" w:space="0"/>
            </w:tcBorders>
            <w:noWrap w:val="0"/>
            <w:vAlign w:val="center"/>
          </w:tcPr>
          <w:p w14:paraId="4568A86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1、本项目竞标应以价格折扣系数报价（以%表示，折扣系数报价精确到个位数）。</w:t>
            </w:r>
            <w:r>
              <w:rPr>
                <w:rFonts w:hint="eastAsia" w:ascii="宋体" w:hAnsi="宋体" w:cs="宋体"/>
                <w:b/>
                <w:bCs/>
                <w:color w:val="auto"/>
                <w:szCs w:val="21"/>
                <w:highlight w:val="none"/>
              </w:rPr>
              <w:t>竞标报价范围：≤100%</w:t>
            </w:r>
            <w:r>
              <w:rPr>
                <w:rFonts w:hint="eastAsia" w:ascii="宋体" w:hAnsi="宋体" w:cs="宋体"/>
                <w:color w:val="auto"/>
                <w:szCs w:val="21"/>
                <w:highlight w:val="none"/>
              </w:rPr>
              <w:t>（如：供货产品打九折即竞标折扣系数为90%，以此类推），价格折扣系数必须是固定的（如90%），不得存在区间值（如：90%～100%）。</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必须就《采购需求》中的全部内容作完整唯一报价，不接受有选择的报价，且所报的折扣系数应当适用于每种食材，否则，</w:t>
            </w:r>
            <w:r>
              <w:rPr>
                <w:rFonts w:hint="eastAsia" w:ascii="宋体" w:hAnsi="宋体" w:cs="宋体"/>
                <w:b/>
                <w:bCs/>
                <w:color w:val="auto"/>
                <w:szCs w:val="21"/>
                <w:highlight w:val="none"/>
              </w:rPr>
              <w:t xml:space="preserve">作无效报价处理。 </w:t>
            </w:r>
          </w:p>
          <w:p w14:paraId="12A7005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2、由于受疫情防控原因、政策原因和其他不可预测原因，实际结算总价可能小于或大于预算总金额，按实际产生的费用结算，供应商报价时应该考虑此特殊风险。实际采购时，</w:t>
            </w:r>
            <w:r>
              <w:rPr>
                <w:rFonts w:hint="eastAsia" w:ascii="宋体" w:hAnsi="宋体" w:cs="宋体"/>
                <w:color w:val="auto"/>
                <w:szCs w:val="21"/>
                <w:highlight w:val="none"/>
                <w:lang w:val="en-US" w:eastAsia="zh-CN"/>
              </w:rPr>
              <w:t>计划</w:t>
            </w:r>
            <w:r>
              <w:rPr>
                <w:rFonts w:hint="eastAsia" w:ascii="宋体" w:hAnsi="宋体" w:cs="宋体"/>
                <w:color w:val="auto"/>
                <w:szCs w:val="21"/>
                <w:highlight w:val="none"/>
              </w:rPr>
              <w:t>数量仅作竞标报价参考使用，结算时按实际采购数量结算。</w:t>
            </w:r>
          </w:p>
          <w:p w14:paraId="4098AB2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采购单价=基准单价×成交折扣系数，基准单价按签订合同时双方代表到贵港市城区内大型超市对商品的价格进行采价（特价及促销价除外），如大型超市没有配送的商品，则到贵港市城区的大型农贸市场采价。合同执行后三个月内价格不变，合同执行三个月后，双方根据市场价格变动情况适时做市场调查，肉类产品当月市场价格在合同基准单价基础上下浮动率≥15%时，蔬菜类产品当月市场价格在合同基准单价基础上下浮动率≥20%时，其他类产品当月市场价格在合同基准单价基础上下浮动率≥10%时，可以进行价格调整一次。价格调整由成交供应商或采购人提出基准单价调整申请，由采购人面向市场主体选择贵港市至少三家大型商场、市场、超市</w:t>
            </w:r>
            <w:r>
              <w:rPr>
                <w:rFonts w:hint="eastAsia" w:ascii="宋体" w:hAnsi="宋体" w:cs="宋体"/>
                <w:color w:val="auto"/>
                <w:szCs w:val="21"/>
                <w:highlight w:val="none"/>
                <w:lang w:eastAsia="zh-CN"/>
              </w:rPr>
              <w:t>开展</w:t>
            </w:r>
            <w:r>
              <w:rPr>
                <w:rFonts w:hint="eastAsia" w:ascii="宋体" w:hAnsi="宋体" w:cs="宋体"/>
                <w:color w:val="auto"/>
                <w:szCs w:val="21"/>
                <w:highlight w:val="none"/>
              </w:rPr>
              <w:t>市场调查，由采购人后勤保障部门将调查结果提交至</w:t>
            </w:r>
            <w:r>
              <w:rPr>
                <w:rFonts w:hint="eastAsia" w:ascii="宋体" w:hAnsi="宋体" w:cs="宋体"/>
                <w:color w:val="auto"/>
                <w:szCs w:val="21"/>
                <w:highlight w:val="none"/>
                <w:lang w:eastAsia="zh-CN"/>
              </w:rPr>
              <w:t>采购单位</w:t>
            </w:r>
            <w:r>
              <w:rPr>
                <w:rFonts w:hint="eastAsia" w:ascii="宋体" w:hAnsi="宋体" w:cs="宋体"/>
                <w:color w:val="auto"/>
                <w:szCs w:val="21"/>
                <w:highlight w:val="none"/>
              </w:rPr>
              <w:t>物价委员会审议拟定新的基准单价。调整后的基准单价乘以响应报价折扣系数为拟定调整的采购单价（拟定调整的采购单价=调整后的基准单价×响应报价折扣系数），拟定调整后的基准单价经采购人党委审定，经双方确认同意后方可调整价格。基准单价调整后，采购单价为变动后的基准单价×成交折扣系数。</w:t>
            </w:r>
          </w:p>
          <w:p w14:paraId="05EB800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4、不论竞标结果如何，</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均应自行承担所有与竞标有关的全部费用。</w:t>
            </w:r>
          </w:p>
        </w:tc>
      </w:tr>
    </w:tbl>
    <w:p w14:paraId="4049CC1C">
      <w:pPr>
        <w:snapToGrid w:val="0"/>
        <w:spacing w:before="50" w:after="50" w:line="440" w:lineRule="exact"/>
        <w:rPr>
          <w:rFonts w:hint="eastAsia" w:ascii="宋体" w:hAnsi="宋体" w:cs="宋体"/>
          <w:color w:val="auto"/>
          <w:sz w:val="24"/>
          <w:highlight w:val="none"/>
        </w:rPr>
      </w:pPr>
    </w:p>
    <w:p w14:paraId="062C4E41">
      <w:pPr>
        <w:snapToGrid w:val="0"/>
        <w:spacing w:before="50" w:after="50" w:line="440" w:lineRule="exact"/>
        <w:rPr>
          <w:rFonts w:hint="eastAsia" w:ascii="宋体" w:hAnsi="宋体" w:cs="宋体"/>
          <w:color w:val="auto"/>
          <w:sz w:val="24"/>
          <w:highlight w:val="none"/>
        </w:rPr>
      </w:pPr>
    </w:p>
    <w:p w14:paraId="321C441F">
      <w:pPr>
        <w:snapToGrid w:val="0"/>
        <w:spacing w:before="50" w:after="50" w:line="440" w:lineRule="exact"/>
        <w:rPr>
          <w:rFonts w:hint="eastAsia" w:ascii="宋体" w:hAnsi="宋体" w:cs="宋体"/>
          <w:color w:val="auto"/>
          <w:sz w:val="24"/>
          <w:highlight w:val="none"/>
        </w:rPr>
      </w:pPr>
    </w:p>
    <w:p w14:paraId="4EAB1436">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27BA6775">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4F2FD19A">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5CDE7BA9">
      <w:pPr>
        <w:spacing w:line="360" w:lineRule="auto"/>
        <w:ind w:firstLine="480" w:firstLineChars="200"/>
        <w:contextualSpacing/>
        <w:jc w:val="left"/>
        <w:rPr>
          <w:rFonts w:ascii="宋体" w:hAnsi="宋体" w:cs="仿宋_GB2312"/>
          <w:b/>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否则其响应文件按无效响应处理。</w:t>
      </w:r>
    </w:p>
    <w:p w14:paraId="7EB6761F">
      <w:pPr>
        <w:spacing w:line="360" w:lineRule="auto"/>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 如为联合体竞标，</w:t>
      </w:r>
      <w:r>
        <w:rPr>
          <w:rFonts w:hint="eastAsia" w:ascii="宋体" w:hAnsi="宋体"/>
          <w:color w:val="auto"/>
          <w:spacing w:val="-6"/>
          <w:sz w:val="24"/>
          <w:highlight w:val="none"/>
        </w:rPr>
        <w:t xml:space="preserve"> 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7650F038">
      <w:pPr>
        <w:snapToGrid w:val="0"/>
        <w:spacing w:before="50" w:after="50" w:line="360" w:lineRule="auto"/>
        <w:ind w:firstLine="480" w:firstLineChars="200"/>
        <w:rPr>
          <w:rFonts w:hint="eastAsia" w:ascii="宋体" w:hAnsi="宋体" w:cs="宋体"/>
          <w:b/>
          <w:color w:val="auto"/>
          <w:spacing w:val="-6"/>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否则其响应文件按无效响应处理。</w:t>
      </w:r>
    </w:p>
    <w:p w14:paraId="7ABC5B56">
      <w:pPr>
        <w:snapToGrid w:val="0"/>
        <w:spacing w:before="50" w:after="50"/>
        <w:ind w:firstLine="458" w:firstLineChars="200"/>
        <w:rPr>
          <w:rFonts w:hint="eastAsia" w:ascii="宋体" w:hAnsi="宋体" w:cs="宋体"/>
          <w:b/>
          <w:color w:val="auto"/>
          <w:spacing w:val="-6"/>
          <w:sz w:val="24"/>
          <w:highlight w:val="none"/>
        </w:rPr>
      </w:pPr>
    </w:p>
    <w:p w14:paraId="4E60A399">
      <w:pPr>
        <w:snapToGrid w:val="0"/>
        <w:spacing w:before="50" w:after="50"/>
        <w:ind w:firstLine="458" w:firstLineChars="200"/>
        <w:rPr>
          <w:rFonts w:hint="eastAsia" w:ascii="宋体" w:hAnsi="宋体" w:cs="宋体"/>
          <w:b/>
          <w:color w:val="auto"/>
          <w:spacing w:val="-6"/>
          <w:sz w:val="24"/>
          <w:highlight w:val="none"/>
        </w:rPr>
      </w:pPr>
    </w:p>
    <w:p w14:paraId="103DED19">
      <w:pPr>
        <w:spacing w:line="360" w:lineRule="auto"/>
        <w:ind w:right="-817" w:rightChars="-389"/>
        <w:contextualSpacing/>
        <w:jc w:val="center"/>
        <w:rPr>
          <w:rFonts w:hint="eastAsia" w:ascii="宋体" w:hAnsi="宋体" w:cs="宋体"/>
          <w:color w:val="auto"/>
          <w:sz w:val="24"/>
          <w:highlight w:val="none"/>
        </w:rPr>
      </w:pPr>
      <w:r>
        <w:rPr>
          <w:rFonts w:hint="eastAsia" w:ascii="宋体" w:hAnsi="宋体" w:cs="宋体"/>
          <w:color w:val="auto"/>
          <w:sz w:val="24"/>
          <w:highlight w:val="none"/>
        </w:rPr>
        <w:t>法定代表人或者委托代理人（签字或盖章或电子签名）：</w:t>
      </w:r>
    </w:p>
    <w:p w14:paraId="453AFABC">
      <w:pPr>
        <w:snapToGrid w:val="0"/>
        <w:spacing w:before="50" w:after="50" w:line="440" w:lineRule="exact"/>
        <w:ind w:right="-817" w:rightChars="-389" w:firstLine="2640" w:firstLineChars="1100"/>
        <w:rPr>
          <w:rFonts w:hint="eastAsia" w:ascii="宋体" w:hAnsi="宋体" w:cs="宋体"/>
          <w:color w:val="auto"/>
          <w:sz w:val="24"/>
          <w:highlight w:val="none"/>
        </w:rPr>
      </w:pPr>
      <w:r>
        <w:rPr>
          <w:rFonts w:hint="eastAsia" w:ascii="宋体" w:hAnsi="宋体" w:cs="宋体"/>
          <w:color w:val="auto"/>
          <w:sz w:val="24"/>
          <w:highlight w:val="none"/>
        </w:rPr>
        <w:t xml:space="preserve">供应商（公章或电子签章）：      </w:t>
      </w:r>
    </w:p>
    <w:p w14:paraId="2EB067D2">
      <w:pPr>
        <w:spacing w:line="360" w:lineRule="auto"/>
        <w:ind w:right="420" w:firstLine="4800" w:firstLineChars="2000"/>
        <w:contextualSpacing/>
        <w:jc w:val="left"/>
        <w:rPr>
          <w:rFonts w:hint="eastAsia" w:ascii="宋体" w:hAnsi="宋体" w:cs="宋体"/>
          <w:b/>
          <w:color w:val="auto"/>
          <w:sz w:val="32"/>
          <w:szCs w:val="32"/>
          <w:highlight w:val="none"/>
        </w:rPr>
      </w:pPr>
      <w:r>
        <w:rPr>
          <w:rFonts w:hint="eastAsia" w:ascii="宋体" w:hAnsi="宋体" w:cs="宋体"/>
          <w:color w:val="auto"/>
          <w:sz w:val="24"/>
          <w:highlight w:val="none"/>
        </w:rPr>
        <w:t>日期：   年   月   日</w:t>
      </w:r>
      <w:r>
        <w:rPr>
          <w:rFonts w:hint="eastAsia" w:ascii="宋体" w:hAnsi="宋体" w:cs="宋体"/>
          <w:b/>
          <w:bCs/>
          <w:color w:val="auto"/>
          <w:sz w:val="24"/>
          <w:highlight w:val="none"/>
        </w:rPr>
        <w:br w:type="page"/>
      </w:r>
      <w:r>
        <w:rPr>
          <w:rFonts w:hint="eastAsia" w:ascii="宋体" w:hAnsi="宋体" w:cs="宋体"/>
          <w:b/>
          <w:bCs/>
          <w:color w:val="auto"/>
          <w:sz w:val="32"/>
          <w:szCs w:val="32"/>
          <w:highlight w:val="none"/>
        </w:rPr>
        <w:t>三、</w:t>
      </w:r>
      <w:r>
        <w:rPr>
          <w:rFonts w:hint="eastAsia" w:ascii="宋体" w:hAnsi="宋体" w:cs="宋体"/>
          <w:b/>
          <w:color w:val="auto"/>
          <w:sz w:val="32"/>
          <w:szCs w:val="32"/>
          <w:highlight w:val="none"/>
        </w:rPr>
        <w:t xml:space="preserve">商务技术文件格式 </w:t>
      </w:r>
    </w:p>
    <w:p w14:paraId="357D3858">
      <w:pPr>
        <w:snapToGrid w:val="0"/>
        <w:spacing w:before="160" w:beforeLines="50" w:after="50"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1.商务技术文件封面格式</w:t>
      </w:r>
    </w:p>
    <w:p w14:paraId="09DEC1A0">
      <w:pPr>
        <w:snapToGrid w:val="0"/>
        <w:spacing w:before="160" w:beforeLines="5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33F51168">
      <w:pPr>
        <w:snapToGrid w:val="0"/>
        <w:spacing w:before="160" w:beforeLines="50" w:after="50"/>
        <w:jc w:val="center"/>
        <w:rPr>
          <w:rFonts w:hint="eastAsia"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581A7CF0">
      <w:pPr>
        <w:snapToGrid w:val="0"/>
        <w:spacing w:before="160" w:beforeLines="50" w:after="50"/>
        <w:rPr>
          <w:rFonts w:hint="eastAsia" w:ascii="宋体" w:hAnsi="宋体" w:cs="宋体"/>
          <w:color w:val="auto"/>
          <w:sz w:val="24"/>
          <w:szCs w:val="20"/>
          <w:highlight w:val="none"/>
        </w:rPr>
      </w:pPr>
    </w:p>
    <w:p w14:paraId="2BEFC63E">
      <w:pPr>
        <w:snapToGrid w:val="0"/>
        <w:spacing w:before="160" w:beforeLines="50" w:after="50"/>
        <w:rPr>
          <w:rFonts w:hint="eastAsia" w:ascii="宋体" w:hAnsi="宋体" w:cs="宋体"/>
          <w:color w:val="auto"/>
          <w:sz w:val="24"/>
          <w:szCs w:val="20"/>
          <w:highlight w:val="none"/>
        </w:rPr>
      </w:pPr>
    </w:p>
    <w:p w14:paraId="26331A94">
      <w:pPr>
        <w:snapToGrid w:val="0"/>
        <w:spacing w:before="16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商  务  技  术  文  件</w:t>
      </w:r>
    </w:p>
    <w:p w14:paraId="6A6EF15B">
      <w:pPr>
        <w:snapToGrid w:val="0"/>
        <w:spacing w:before="160" w:beforeLines="50" w:after="50"/>
        <w:rPr>
          <w:rFonts w:hint="eastAsia" w:ascii="宋体" w:hAnsi="宋体" w:cs="宋体"/>
          <w:bCs/>
          <w:color w:val="auto"/>
          <w:sz w:val="24"/>
          <w:szCs w:val="20"/>
          <w:highlight w:val="none"/>
        </w:rPr>
      </w:pPr>
    </w:p>
    <w:p w14:paraId="78D53EA9">
      <w:pPr>
        <w:snapToGrid w:val="0"/>
        <w:spacing w:before="160" w:beforeLines="50" w:after="50"/>
        <w:rPr>
          <w:rFonts w:hint="eastAsia" w:ascii="宋体" w:hAnsi="宋体" w:cs="宋体"/>
          <w:bCs/>
          <w:color w:val="auto"/>
          <w:sz w:val="24"/>
          <w:szCs w:val="20"/>
          <w:highlight w:val="none"/>
        </w:rPr>
      </w:pPr>
    </w:p>
    <w:p w14:paraId="4CA3BB5A">
      <w:pPr>
        <w:snapToGrid w:val="0"/>
        <w:spacing w:before="160" w:beforeLines="50" w:after="50"/>
        <w:rPr>
          <w:rFonts w:hint="eastAsia" w:ascii="宋体" w:hAnsi="宋体" w:cs="宋体"/>
          <w:bCs/>
          <w:color w:val="auto"/>
          <w:sz w:val="24"/>
          <w:szCs w:val="20"/>
          <w:highlight w:val="none"/>
        </w:rPr>
      </w:pPr>
    </w:p>
    <w:p w14:paraId="16B3FE57">
      <w:pPr>
        <w:snapToGrid w:val="0"/>
        <w:spacing w:before="160" w:beforeLines="50" w:after="50"/>
        <w:rPr>
          <w:rFonts w:hint="eastAsia" w:ascii="宋体" w:hAnsi="宋体" w:cs="宋体"/>
          <w:bCs/>
          <w:color w:val="auto"/>
          <w:sz w:val="24"/>
          <w:szCs w:val="20"/>
          <w:highlight w:val="none"/>
        </w:rPr>
      </w:pPr>
    </w:p>
    <w:p w14:paraId="2DC8173A">
      <w:pPr>
        <w:snapToGrid w:val="0"/>
        <w:spacing w:before="160" w:beforeLines="50" w:after="50"/>
        <w:rPr>
          <w:rFonts w:hint="eastAsia" w:ascii="宋体" w:hAnsi="宋体" w:cs="宋体"/>
          <w:bCs/>
          <w:color w:val="auto"/>
          <w:sz w:val="24"/>
          <w:szCs w:val="20"/>
          <w:highlight w:val="none"/>
        </w:rPr>
      </w:pPr>
    </w:p>
    <w:p w14:paraId="0E1E752E">
      <w:pPr>
        <w:snapToGrid w:val="0"/>
        <w:spacing w:before="16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156C8246">
      <w:pPr>
        <w:snapToGrid w:val="0"/>
        <w:spacing w:before="160" w:beforeLines="50" w:after="50"/>
        <w:ind w:firstLine="720" w:firstLineChars="225"/>
        <w:rPr>
          <w:rFonts w:hint="eastAsia" w:ascii="宋体" w:hAnsi="宋体" w:cs="宋体"/>
          <w:bCs/>
          <w:color w:val="auto"/>
          <w:sz w:val="32"/>
          <w:szCs w:val="32"/>
          <w:highlight w:val="none"/>
        </w:rPr>
      </w:pPr>
    </w:p>
    <w:p w14:paraId="08B536E2">
      <w:pPr>
        <w:snapToGrid w:val="0"/>
        <w:spacing w:before="16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6133FDB5">
      <w:pPr>
        <w:snapToGrid w:val="0"/>
        <w:spacing w:before="16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29C5CCC8">
      <w:pPr>
        <w:pStyle w:val="5"/>
        <w:snapToGrid w:val="0"/>
        <w:spacing w:before="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FEBB3A0">
      <w:pPr>
        <w:pStyle w:val="5"/>
        <w:snapToGrid w:val="0"/>
        <w:spacing w:before="50" w:after="50"/>
        <w:ind w:firstLine="640" w:firstLineChars="200"/>
        <w:rPr>
          <w:rFonts w:hint="eastAsia" w:ascii="宋体" w:hAnsi="宋体" w:cs="宋体"/>
          <w:bCs/>
          <w:color w:val="auto"/>
          <w:sz w:val="32"/>
          <w:szCs w:val="32"/>
          <w:highlight w:val="none"/>
        </w:rPr>
      </w:pPr>
    </w:p>
    <w:p w14:paraId="41D47C78">
      <w:pPr>
        <w:pStyle w:val="5"/>
        <w:snapToGrid w:val="0"/>
        <w:spacing w:before="50" w:after="50"/>
        <w:ind w:firstLine="720" w:firstLineChars="225"/>
        <w:rPr>
          <w:rFonts w:hint="eastAsia" w:ascii="宋体" w:hAnsi="宋体" w:cs="宋体"/>
          <w:bCs/>
          <w:color w:val="auto"/>
          <w:sz w:val="32"/>
          <w:szCs w:val="32"/>
          <w:highlight w:val="none"/>
        </w:rPr>
      </w:pPr>
    </w:p>
    <w:p w14:paraId="56D4ED57">
      <w:pPr>
        <w:pStyle w:val="5"/>
        <w:snapToGrid w:val="0"/>
        <w:spacing w:before="50" w:after="50"/>
        <w:ind w:firstLine="0"/>
        <w:rPr>
          <w:rFonts w:hint="eastAsia" w:ascii="宋体" w:hAnsi="宋体" w:cs="宋体"/>
          <w:bCs/>
          <w:color w:val="auto"/>
          <w:sz w:val="32"/>
          <w:szCs w:val="32"/>
          <w:highlight w:val="none"/>
        </w:rPr>
      </w:pPr>
    </w:p>
    <w:p w14:paraId="42184D8C">
      <w:pPr>
        <w:pStyle w:val="5"/>
        <w:snapToGrid w:val="0"/>
        <w:spacing w:before="50" w:after="50"/>
        <w:ind w:firstLine="1280" w:firstLineChars="400"/>
        <w:rPr>
          <w:rFonts w:hint="eastAsia" w:ascii="宋体" w:hAnsi="宋体" w:cs="宋体"/>
          <w:bCs/>
          <w:color w:val="auto"/>
          <w:sz w:val="32"/>
          <w:szCs w:val="32"/>
          <w:highlight w:val="none"/>
        </w:rPr>
      </w:pPr>
    </w:p>
    <w:p w14:paraId="65BB2030">
      <w:pPr>
        <w:snapToGrid w:val="0"/>
        <w:spacing w:before="16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557DAA16">
      <w:pPr>
        <w:snapToGrid w:val="0"/>
        <w:spacing w:before="160" w:beforeLines="50" w:after="50" w:line="360" w:lineRule="auto"/>
        <w:ind w:right="480" w:firstLine="240" w:firstLineChars="100"/>
        <w:jc w:val="left"/>
        <w:rPr>
          <w:rFonts w:hint="eastAsia"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2.商务技术文件目录</w:t>
      </w:r>
    </w:p>
    <w:p w14:paraId="0AF13B4A">
      <w:pPr>
        <w:snapToGrid w:val="0"/>
        <w:spacing w:before="160" w:beforeLines="50" w:after="50"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27FF816A">
      <w:pPr>
        <w:spacing w:line="400" w:lineRule="exact"/>
        <w:rPr>
          <w:rFonts w:hint="eastAsia" w:ascii="宋体" w:hAnsi="宋体" w:cs="宋体"/>
          <w:color w:val="auto"/>
          <w:sz w:val="32"/>
          <w:szCs w:val="32"/>
          <w:highlight w:val="none"/>
        </w:rPr>
      </w:pPr>
    </w:p>
    <w:p w14:paraId="09DCC695">
      <w:pPr>
        <w:spacing w:line="520" w:lineRule="exact"/>
        <w:jc w:val="center"/>
        <w:rPr>
          <w:rFonts w:hint="eastAsia" w:ascii="宋体" w:hAnsi="宋体" w:cs="宋体"/>
          <w:color w:val="auto"/>
          <w:sz w:val="32"/>
          <w:szCs w:val="32"/>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无串通竞标行为的承诺函</w:t>
      </w:r>
    </w:p>
    <w:p w14:paraId="237E8FA2">
      <w:pPr>
        <w:spacing w:line="360" w:lineRule="auto"/>
        <w:ind w:firstLine="640" w:firstLineChars="200"/>
        <w:contextualSpacing/>
        <w:rPr>
          <w:rFonts w:hint="eastAsia" w:ascii="宋体" w:hAnsi="宋体" w:cs="宋体"/>
          <w:color w:val="auto"/>
          <w:sz w:val="32"/>
          <w:szCs w:val="32"/>
          <w:highlight w:val="none"/>
        </w:rPr>
      </w:pPr>
    </w:p>
    <w:p w14:paraId="34586605">
      <w:pPr>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4208E1B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 </w:t>
      </w:r>
    </w:p>
    <w:p w14:paraId="131CB73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02CD3BB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7AC259A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同供应商的响应文件异常一致或者竞标报价呈规律性差异；</w:t>
      </w:r>
    </w:p>
    <w:p w14:paraId="25A8338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5.不同供应商的响应文件相互混装；</w:t>
      </w:r>
    </w:p>
    <w:p w14:paraId="1B1DC57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072B9A67">
      <w:pPr>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7FD1FB2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1851304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00971F6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2ADCFFA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6132FEF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12AA0EC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06CC77D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14323A79">
      <w:pPr>
        <w:spacing w:line="360" w:lineRule="auto"/>
        <w:ind w:firstLine="480" w:firstLineChars="200"/>
        <w:contextualSpacing/>
        <w:rPr>
          <w:rFonts w:hint="eastAsia" w:ascii="宋体" w:hAnsi="宋体" w:cs="宋体"/>
          <w:color w:val="auto"/>
          <w:sz w:val="24"/>
          <w:highlight w:val="none"/>
        </w:rPr>
      </w:pPr>
    </w:p>
    <w:p w14:paraId="52085A16">
      <w:pPr>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3A4CD29A">
      <w:pPr>
        <w:spacing w:line="360" w:lineRule="auto"/>
        <w:contextualSpacing/>
        <w:rPr>
          <w:rFonts w:hint="eastAsia" w:ascii="宋体" w:hAnsi="宋体" w:cs="宋体"/>
          <w:color w:val="auto"/>
          <w:sz w:val="24"/>
          <w:highlight w:val="none"/>
        </w:rPr>
      </w:pPr>
    </w:p>
    <w:p w14:paraId="3D2B59A7">
      <w:pPr>
        <w:spacing w:line="360" w:lineRule="auto"/>
        <w:ind w:firstLine="480" w:firstLineChars="200"/>
        <w:contextualSpacing/>
        <w:jc w:val="center"/>
        <w:rPr>
          <w:rFonts w:hint="eastAsia" w:ascii="宋体" w:hAnsi="宋体" w:cs="宋体"/>
          <w:color w:val="auto"/>
          <w:sz w:val="24"/>
          <w:highlight w:val="none"/>
        </w:rPr>
      </w:pPr>
      <w:r>
        <w:rPr>
          <w:rFonts w:hint="eastAsia" w:ascii="宋体" w:hAnsi="宋体" w:cs="宋体"/>
          <w:color w:val="auto"/>
          <w:sz w:val="24"/>
          <w:highlight w:val="none"/>
        </w:rPr>
        <w:t>供应商名称（公章或电子签章）：</w:t>
      </w:r>
    </w:p>
    <w:p w14:paraId="11162956">
      <w:pPr>
        <w:spacing w:line="360" w:lineRule="auto"/>
        <w:ind w:firstLine="480" w:firstLineChars="200"/>
        <w:contextualSpacing/>
        <w:jc w:val="center"/>
        <w:rPr>
          <w:rFonts w:hint="eastAsia" w:ascii="宋体" w:hAnsi="宋体" w:cs="宋体"/>
          <w:color w:val="auto"/>
          <w:sz w:val="32"/>
          <w:szCs w:val="32"/>
          <w:highlight w:val="none"/>
        </w:rPr>
      </w:pPr>
      <w:r>
        <w:rPr>
          <w:rFonts w:hint="eastAsia" w:ascii="宋体" w:hAnsi="宋体" w:cs="宋体"/>
          <w:color w:val="auto"/>
          <w:sz w:val="24"/>
          <w:highlight w:val="none"/>
        </w:rPr>
        <w:t xml:space="preserve">                               年   月   日</w:t>
      </w:r>
    </w:p>
    <w:p w14:paraId="41996AFA">
      <w:pPr>
        <w:spacing w:line="520" w:lineRule="exact"/>
        <w:jc w:val="center"/>
        <w:rPr>
          <w:rFonts w:hint="eastAsia" w:ascii="宋体" w:hAnsi="宋体" w:cs="宋体"/>
          <w:color w:val="auto"/>
          <w:sz w:val="32"/>
          <w:szCs w:val="32"/>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4"/>
          <w:szCs w:val="44"/>
          <w:highlight w:val="none"/>
        </w:rPr>
        <w:t>法定代表人证明书</w:t>
      </w:r>
    </w:p>
    <w:p w14:paraId="5095FE4B">
      <w:pPr>
        <w:spacing w:line="360" w:lineRule="auto"/>
        <w:ind w:left="540"/>
        <w:contextualSpacing/>
        <w:rPr>
          <w:rFonts w:hint="eastAsia" w:ascii="宋体" w:hAnsi="宋体" w:cs="宋体"/>
          <w:color w:val="auto"/>
          <w:sz w:val="32"/>
          <w:szCs w:val="32"/>
          <w:highlight w:val="none"/>
        </w:rPr>
      </w:pPr>
    </w:p>
    <w:p w14:paraId="430C0E9D">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2F81935A">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01BBA611">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00765D48">
      <w:pPr>
        <w:spacing w:line="360" w:lineRule="auto"/>
        <w:ind w:left="540"/>
        <w:contextualSpacing/>
        <w:rPr>
          <w:rFonts w:hint="eastAsia"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6C0E4842">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0D1702F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38A606FB">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特此证明。</w:t>
      </w:r>
    </w:p>
    <w:p w14:paraId="3D861344">
      <w:pPr>
        <w:spacing w:line="360" w:lineRule="auto"/>
        <w:ind w:left="540"/>
        <w:contextualSpacing/>
        <w:rPr>
          <w:rFonts w:hint="eastAsia" w:ascii="宋体" w:hAnsi="宋体" w:cs="宋体"/>
          <w:color w:val="auto"/>
          <w:sz w:val="24"/>
          <w:highlight w:val="none"/>
        </w:rPr>
      </w:pPr>
    </w:p>
    <w:p w14:paraId="4F342EC3">
      <w:pPr>
        <w:spacing w:line="360" w:lineRule="auto"/>
        <w:ind w:left="540"/>
        <w:contextualSpacing/>
        <w:rPr>
          <w:rFonts w:hint="eastAsia" w:ascii="宋体" w:hAnsi="宋体" w:cs="宋体"/>
          <w:color w:val="auto"/>
          <w:sz w:val="24"/>
          <w:highlight w:val="none"/>
        </w:rPr>
      </w:pPr>
    </w:p>
    <w:p w14:paraId="5612F52E">
      <w:pPr>
        <w:spacing w:line="360" w:lineRule="auto"/>
        <w:ind w:left="540"/>
        <w:contextualSpacing/>
        <w:rPr>
          <w:rFonts w:hint="eastAsia" w:ascii="宋体" w:hAnsi="宋体" w:cs="宋体"/>
          <w:color w:val="auto"/>
          <w:sz w:val="24"/>
          <w:highlight w:val="none"/>
        </w:rPr>
      </w:pPr>
    </w:p>
    <w:p w14:paraId="6AFB47D0">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6C0E1600">
      <w:pPr>
        <w:spacing w:line="360" w:lineRule="auto"/>
        <w:ind w:left="540"/>
        <w:contextualSpacing/>
        <w:rPr>
          <w:rFonts w:hint="eastAsia" w:ascii="宋体" w:hAnsi="宋体" w:cs="宋体"/>
          <w:color w:val="auto"/>
          <w:sz w:val="24"/>
          <w:highlight w:val="none"/>
        </w:rPr>
      </w:pPr>
    </w:p>
    <w:p w14:paraId="3B9DAA33">
      <w:pPr>
        <w:spacing w:line="360" w:lineRule="auto"/>
        <w:ind w:firstLine="4080" w:firstLineChars="1700"/>
        <w:contextualSpacing/>
        <w:rPr>
          <w:rFonts w:hint="eastAsia" w:ascii="宋体" w:hAnsi="宋体" w:cs="宋体"/>
          <w:color w:val="auto"/>
          <w:sz w:val="24"/>
          <w:highlight w:val="none"/>
        </w:rPr>
      </w:pPr>
      <w:r>
        <w:rPr>
          <w:rFonts w:hint="eastAsia" w:ascii="宋体" w:hAnsi="宋体" w:cs="宋体"/>
          <w:color w:val="auto"/>
          <w:sz w:val="24"/>
          <w:highlight w:val="none"/>
        </w:rPr>
        <w:t>供应商名称（公章或电子签章）：</w:t>
      </w:r>
    </w:p>
    <w:p w14:paraId="296E56D8">
      <w:pPr>
        <w:spacing w:line="360" w:lineRule="auto"/>
        <w:ind w:firstLine="4080" w:firstLineChars="1700"/>
        <w:contextualSpacing/>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752A189">
      <w:pPr>
        <w:spacing w:line="360" w:lineRule="auto"/>
        <w:contextualSpacing/>
        <w:jc w:val="center"/>
        <w:rPr>
          <w:rFonts w:hint="eastAsia" w:ascii="宋体" w:hAnsi="宋体" w:cs="宋体"/>
          <w:b/>
          <w:color w:val="auto"/>
          <w:sz w:val="24"/>
          <w:highlight w:val="none"/>
        </w:rPr>
      </w:pPr>
    </w:p>
    <w:p w14:paraId="7C8638FD">
      <w:pPr>
        <w:spacing w:line="360" w:lineRule="auto"/>
        <w:contextualSpacing/>
        <w:jc w:val="left"/>
        <w:rPr>
          <w:rFonts w:hint="eastAsia" w:ascii="宋体" w:hAnsi="宋体" w:cs="宋体"/>
          <w:color w:val="auto"/>
          <w:sz w:val="24"/>
          <w:highlight w:val="none"/>
        </w:rPr>
      </w:pPr>
    </w:p>
    <w:p w14:paraId="085AD496">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注：自然人竞标的无需提供，联合体竞标的只需牵头人出具。</w:t>
      </w:r>
    </w:p>
    <w:p w14:paraId="7DA7454B">
      <w:pPr>
        <w:adjustRightInd w:val="0"/>
        <w:snapToGrid w:val="0"/>
        <w:spacing w:line="300" w:lineRule="auto"/>
        <w:jc w:val="left"/>
        <w:rPr>
          <w:rFonts w:hint="eastAsia" w:ascii="宋体" w:hAnsi="宋体" w:cs="宋体"/>
          <w:b/>
          <w:color w:val="auto"/>
          <w:szCs w:val="21"/>
          <w:highlight w:val="none"/>
        </w:rPr>
      </w:pPr>
    </w:p>
    <w:p w14:paraId="55665C47">
      <w:pPr>
        <w:spacing w:line="50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 xml:space="preserve"> </w:t>
      </w:r>
    </w:p>
    <w:p w14:paraId="09A7FD67">
      <w:pPr>
        <w:spacing w:line="52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授权委托书</w:t>
      </w:r>
    </w:p>
    <w:p w14:paraId="72EF4436">
      <w:pPr>
        <w:spacing w:line="52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（非联合体竞标格式）</w:t>
      </w:r>
    </w:p>
    <w:p w14:paraId="694B2334">
      <w:pPr>
        <w:spacing w:line="520" w:lineRule="exact"/>
        <w:jc w:val="center"/>
        <w:rPr>
          <w:rFonts w:hint="eastAsia" w:ascii="宋体" w:hAnsi="宋体" w:cs="宋体"/>
          <w:color w:val="auto"/>
          <w:sz w:val="44"/>
          <w:szCs w:val="44"/>
          <w:highlight w:val="none"/>
        </w:rPr>
      </w:pPr>
      <w:r>
        <w:rPr>
          <w:rFonts w:hint="eastAsia" w:ascii="宋体" w:hAnsi="宋体" w:cs="宋体"/>
          <w:color w:val="auto"/>
          <w:sz w:val="32"/>
          <w:szCs w:val="32"/>
          <w:highlight w:val="none"/>
        </w:rPr>
        <w:t>（如有委托时）</w:t>
      </w:r>
    </w:p>
    <w:p w14:paraId="6324FCD2">
      <w:pPr>
        <w:spacing w:line="520" w:lineRule="exact"/>
        <w:rPr>
          <w:rFonts w:hint="eastAsia" w:ascii="宋体" w:hAnsi="宋体" w:cs="宋体"/>
          <w:color w:val="auto"/>
          <w:sz w:val="32"/>
          <w:szCs w:val="32"/>
          <w:highlight w:val="none"/>
        </w:rPr>
      </w:pPr>
    </w:p>
    <w:p w14:paraId="7887134A">
      <w:pPr>
        <w:spacing w:line="360" w:lineRule="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FAE42C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4B17758D">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我方对委托代理人的签字或者电子签名事项负全部责任。</w:t>
      </w:r>
    </w:p>
    <w:p w14:paraId="22A9F00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0BD475F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038D0DD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3B435121">
      <w:pPr>
        <w:spacing w:line="360" w:lineRule="auto"/>
        <w:rPr>
          <w:rFonts w:hint="eastAsia" w:ascii="宋体" w:hAnsi="宋体" w:cs="宋体"/>
          <w:color w:val="auto"/>
          <w:sz w:val="24"/>
          <w:highlight w:val="none"/>
        </w:rPr>
      </w:pPr>
    </w:p>
    <w:p w14:paraId="4F02C7A6">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委托代理人（签字或盖章或电子签名）：     法定代表人（签字或盖章或电子签名）：                    </w:t>
      </w:r>
    </w:p>
    <w:p w14:paraId="78627E1E">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3C0B367D">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0B743428">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供应商（公章或电子签章）：                      </w:t>
      </w:r>
    </w:p>
    <w:p w14:paraId="05BADF73">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708E4FB9">
      <w:pPr>
        <w:spacing w:line="360" w:lineRule="auto"/>
        <w:rPr>
          <w:rFonts w:hint="eastAsia" w:ascii="宋体" w:hAnsi="宋体" w:cs="宋体"/>
          <w:color w:val="auto"/>
          <w:sz w:val="24"/>
          <w:highlight w:val="none"/>
        </w:rPr>
      </w:pPr>
    </w:p>
    <w:p w14:paraId="296CC98F">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注：1. 法定代表人必须在授权委托书上签字或者盖章或者电子签名，委托代理人必须在授权委托书上签字或者电子签名，</w:t>
      </w:r>
      <w:r>
        <w:rPr>
          <w:rFonts w:hint="eastAsia" w:ascii="宋体" w:hAnsi="宋体" w:cs="宋体"/>
          <w:b/>
          <w:color w:val="auto"/>
          <w:sz w:val="24"/>
          <w:highlight w:val="none"/>
        </w:rPr>
        <w:t>否则其响应文件按无效响应处理。</w:t>
      </w:r>
    </w:p>
    <w:p w14:paraId="6AB402E8">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w:t>
      </w:r>
      <w:bookmarkStart w:id="48" w:name="_Hlk65853109"/>
      <w:bookmarkStart w:id="49" w:name="_Hlk65853542"/>
      <w:r>
        <w:rPr>
          <w:rFonts w:hint="eastAsia" w:ascii="宋体" w:hAnsi="宋体" w:cs="宋体"/>
          <w:color w:val="auto"/>
          <w:sz w:val="24"/>
          <w:highlight w:val="none"/>
        </w:rPr>
        <w:t>法人、其他组织竞标时“我方”是指“我单位”，自然人竞标时“我方”是指“本人”。</w:t>
      </w:r>
      <w:bookmarkEnd w:id="48"/>
    </w:p>
    <w:bookmarkEnd w:id="49"/>
    <w:p w14:paraId="233EFE8D">
      <w:pPr>
        <w:spacing w:line="360" w:lineRule="auto"/>
        <w:ind w:firstLine="420" w:firstLineChars="200"/>
        <w:jc w:val="left"/>
        <w:rPr>
          <w:rFonts w:hint="eastAsia" w:ascii="宋体" w:hAnsi="宋体" w:cs="宋体"/>
          <w:color w:val="auto"/>
          <w:szCs w:val="21"/>
          <w:highlight w:val="none"/>
        </w:rPr>
      </w:pPr>
    </w:p>
    <w:p w14:paraId="53B6F80E">
      <w:pPr>
        <w:spacing w:line="36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r>
        <w:rPr>
          <w:rFonts w:hint="eastAsia" w:ascii="宋体" w:hAnsi="宋体" w:cs="宋体"/>
          <w:color w:val="auto"/>
          <w:sz w:val="32"/>
          <w:szCs w:val="32"/>
          <w:highlight w:val="none"/>
        </w:rPr>
        <w:t>技术要求响应偏离表</w:t>
      </w:r>
    </w:p>
    <w:p w14:paraId="0211B996">
      <w:pPr>
        <w:spacing w:line="360" w:lineRule="exact"/>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采购项目编号：                 </w:t>
      </w:r>
    </w:p>
    <w:p w14:paraId="39C1CD56">
      <w:pPr>
        <w:spacing w:line="360" w:lineRule="exact"/>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采购项目名称：                 </w:t>
      </w:r>
    </w:p>
    <w:p w14:paraId="2FD8A917">
      <w:pPr>
        <w:snapToGrid w:val="0"/>
        <w:spacing w:before="50" w:line="520" w:lineRule="exact"/>
        <w:jc w:val="left"/>
        <w:rPr>
          <w:rFonts w:hint="eastAsia" w:ascii="宋体" w:hAnsi="宋体" w:cs="宋体"/>
          <w:color w:val="auto"/>
          <w:szCs w:val="21"/>
          <w:highlight w:val="none"/>
          <w:u w:val="single"/>
        </w:rPr>
      </w:pPr>
    </w:p>
    <w:tbl>
      <w:tblPr>
        <w:tblStyle w:val="16"/>
        <w:tblpPr w:leftFromText="180" w:rightFromText="180" w:vertAnchor="text" w:horzAnchor="margin" w:tblpY="-9"/>
        <w:tblOverlap w:val="never"/>
        <w:tblW w:w="991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7"/>
        <w:gridCol w:w="2175"/>
        <w:gridCol w:w="2289"/>
        <w:gridCol w:w="2094"/>
        <w:gridCol w:w="2094"/>
      </w:tblGrid>
      <w:tr w14:paraId="3E6ECB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1267" w:type="dxa"/>
            <w:tcBorders>
              <w:top w:val="single" w:color="auto" w:sz="4" w:space="0"/>
              <w:left w:val="single" w:color="auto" w:sz="4" w:space="0"/>
              <w:bottom w:val="single" w:color="auto" w:sz="4" w:space="0"/>
              <w:right w:val="single" w:color="auto" w:sz="4" w:space="0"/>
            </w:tcBorders>
            <w:noWrap w:val="0"/>
            <w:vAlign w:val="center"/>
          </w:tcPr>
          <w:p w14:paraId="008A6AD3">
            <w:pPr>
              <w:pStyle w:val="9"/>
              <w:spacing w:line="360" w:lineRule="auto"/>
              <w:ind w:firstLine="0" w:firstLineChars="0"/>
              <w:contextualSpacing/>
              <w:jc w:val="center"/>
              <w:rPr>
                <w:rFonts w:hint="eastAsia" w:ascii="宋体" w:hAnsi="宋体" w:cs="宋体"/>
                <w:color w:val="auto"/>
                <w:szCs w:val="21"/>
                <w:highlight w:val="none"/>
                <w:lang w:val="en-US" w:eastAsia="zh-CN"/>
              </w:rPr>
            </w:pPr>
            <w:r>
              <w:rPr>
                <w:rFonts w:hint="eastAsia" w:ascii="宋体" w:hAnsi="宋体" w:eastAsia="宋体" w:cs="仿宋_GB2312"/>
                <w:color w:val="auto"/>
                <w:kern w:val="2"/>
                <w:sz w:val="24"/>
                <w:szCs w:val="24"/>
                <w:highlight w:val="none"/>
                <w:lang w:val="en-US" w:eastAsia="zh-CN"/>
              </w:rPr>
              <w:t>序号</w:t>
            </w:r>
          </w:p>
        </w:tc>
        <w:tc>
          <w:tcPr>
            <w:tcW w:w="2175" w:type="dxa"/>
            <w:tcBorders>
              <w:top w:val="single" w:color="auto" w:sz="4" w:space="0"/>
              <w:left w:val="single" w:color="auto" w:sz="4" w:space="0"/>
              <w:bottom w:val="single" w:color="auto" w:sz="4" w:space="0"/>
              <w:right w:val="single" w:color="auto" w:sz="4" w:space="0"/>
            </w:tcBorders>
            <w:noWrap w:val="0"/>
            <w:vAlign w:val="center"/>
          </w:tcPr>
          <w:p w14:paraId="7DCD2E56">
            <w:pPr>
              <w:pStyle w:val="9"/>
              <w:spacing w:line="360" w:lineRule="auto"/>
              <w:ind w:firstLine="0" w:firstLineChars="0"/>
              <w:contextualSpacing/>
              <w:jc w:val="center"/>
              <w:rPr>
                <w:rFonts w:hint="eastAsia" w:ascii="宋体" w:hAnsi="宋体" w:cs="宋体"/>
                <w:color w:val="auto"/>
                <w:szCs w:val="21"/>
                <w:highlight w:val="none"/>
                <w:lang w:val="en-US" w:eastAsia="zh-CN"/>
              </w:rPr>
            </w:pPr>
            <w:r>
              <w:rPr>
                <w:rFonts w:hint="eastAsia" w:ascii="宋体" w:hAnsi="宋体" w:eastAsia="宋体" w:cs="仿宋_GB2312"/>
                <w:color w:val="auto"/>
                <w:kern w:val="2"/>
                <w:sz w:val="24"/>
                <w:szCs w:val="24"/>
                <w:highlight w:val="none"/>
                <w:lang w:val="en-US" w:eastAsia="zh-CN"/>
              </w:rPr>
              <w:t>货物名称</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4047885F">
            <w:pPr>
              <w:pStyle w:val="9"/>
              <w:spacing w:line="360" w:lineRule="auto"/>
              <w:ind w:firstLine="0" w:firstLineChars="0"/>
              <w:contextualSpacing/>
              <w:jc w:val="center"/>
              <w:rPr>
                <w:rFonts w:hint="eastAsia" w:ascii="宋体" w:hAnsi="宋体" w:cs="宋体"/>
                <w:color w:val="auto"/>
                <w:szCs w:val="21"/>
                <w:highlight w:val="none"/>
                <w:lang w:val="en-US" w:eastAsia="zh-CN"/>
              </w:rPr>
            </w:pPr>
            <w:r>
              <w:rPr>
                <w:rFonts w:hint="eastAsia" w:ascii="宋体" w:hAnsi="宋体" w:eastAsia="宋体" w:cs="仿宋_GB2312"/>
                <w:color w:val="auto"/>
                <w:kern w:val="2"/>
                <w:sz w:val="24"/>
                <w:szCs w:val="24"/>
                <w:highlight w:val="none"/>
                <w:lang w:val="en-US" w:eastAsia="zh-CN"/>
              </w:rPr>
              <w:t>磋商文件技术要求</w:t>
            </w:r>
          </w:p>
        </w:tc>
        <w:tc>
          <w:tcPr>
            <w:tcW w:w="2094" w:type="dxa"/>
            <w:tcBorders>
              <w:top w:val="single" w:color="auto" w:sz="4" w:space="0"/>
              <w:left w:val="single" w:color="auto" w:sz="4" w:space="0"/>
              <w:bottom w:val="single" w:color="auto" w:sz="4" w:space="0"/>
              <w:right w:val="single" w:color="auto" w:sz="4" w:space="0"/>
            </w:tcBorders>
            <w:noWrap w:val="0"/>
            <w:vAlign w:val="center"/>
          </w:tcPr>
          <w:p w14:paraId="1F336CE8">
            <w:pPr>
              <w:pStyle w:val="9"/>
              <w:spacing w:line="360" w:lineRule="auto"/>
              <w:ind w:firstLine="0" w:firstLineChars="0"/>
              <w:contextualSpacing/>
              <w:jc w:val="center"/>
              <w:rPr>
                <w:rFonts w:hint="eastAsia" w:ascii="宋体" w:hAnsi="宋体" w:cs="宋体"/>
                <w:color w:val="auto"/>
                <w:szCs w:val="21"/>
                <w:highlight w:val="none"/>
                <w:lang w:val="en-US" w:eastAsia="zh-CN"/>
              </w:rPr>
            </w:pPr>
            <w:r>
              <w:rPr>
                <w:rFonts w:hint="eastAsia" w:ascii="宋体" w:hAnsi="宋体" w:eastAsia="宋体" w:cs="仿宋_GB2312"/>
                <w:color w:val="auto"/>
                <w:kern w:val="2"/>
                <w:sz w:val="24"/>
                <w:szCs w:val="24"/>
                <w:highlight w:val="none"/>
                <w:lang w:val="en-US" w:eastAsia="zh-CN"/>
              </w:rPr>
              <w:t>竞标响应</w:t>
            </w:r>
          </w:p>
        </w:tc>
        <w:tc>
          <w:tcPr>
            <w:tcW w:w="2094" w:type="dxa"/>
            <w:tcBorders>
              <w:top w:val="single" w:color="auto" w:sz="4" w:space="0"/>
              <w:left w:val="single" w:color="auto" w:sz="4" w:space="0"/>
              <w:bottom w:val="single" w:color="auto" w:sz="4" w:space="0"/>
              <w:right w:val="single" w:color="auto" w:sz="4" w:space="0"/>
            </w:tcBorders>
            <w:noWrap w:val="0"/>
            <w:vAlign w:val="center"/>
          </w:tcPr>
          <w:p w14:paraId="36BFC6CC">
            <w:pPr>
              <w:pStyle w:val="9"/>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偏离说明</w:t>
            </w:r>
          </w:p>
        </w:tc>
      </w:tr>
      <w:tr w14:paraId="06165C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1267" w:type="dxa"/>
            <w:tcBorders>
              <w:top w:val="single" w:color="auto" w:sz="4" w:space="0"/>
              <w:left w:val="single" w:color="auto" w:sz="4" w:space="0"/>
              <w:bottom w:val="single" w:color="auto" w:sz="4" w:space="0"/>
              <w:right w:val="single" w:color="auto" w:sz="4" w:space="0"/>
            </w:tcBorders>
            <w:noWrap w:val="0"/>
            <w:vAlign w:val="center"/>
          </w:tcPr>
          <w:p w14:paraId="72E6D207">
            <w:pPr>
              <w:spacing w:line="520" w:lineRule="exact"/>
              <w:jc w:val="center"/>
              <w:rPr>
                <w:rFonts w:hint="eastAsia" w:ascii="宋体" w:hAnsi="宋体" w:cs="宋体"/>
                <w:color w:val="auto"/>
                <w:szCs w:val="21"/>
                <w:highlight w:val="none"/>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71F8383D">
            <w:pPr>
              <w:snapToGrid w:val="0"/>
              <w:spacing w:before="160" w:beforeLines="50" w:line="520" w:lineRule="exact"/>
              <w:jc w:val="center"/>
              <w:rPr>
                <w:rFonts w:hint="eastAsia" w:ascii="宋体" w:hAnsi="宋体" w:cs="宋体"/>
                <w:color w:val="auto"/>
                <w:szCs w:val="21"/>
                <w:highlight w:val="none"/>
              </w:rPr>
            </w:pPr>
          </w:p>
        </w:tc>
        <w:tc>
          <w:tcPr>
            <w:tcW w:w="2289" w:type="dxa"/>
            <w:tcBorders>
              <w:top w:val="single" w:color="auto" w:sz="4" w:space="0"/>
              <w:left w:val="single" w:color="auto" w:sz="4" w:space="0"/>
              <w:bottom w:val="single" w:color="auto" w:sz="4" w:space="0"/>
              <w:right w:val="single" w:color="auto" w:sz="4" w:space="0"/>
            </w:tcBorders>
            <w:noWrap w:val="0"/>
            <w:vAlign w:val="center"/>
          </w:tcPr>
          <w:p w14:paraId="5E545791">
            <w:pPr>
              <w:snapToGrid w:val="0"/>
              <w:spacing w:before="160" w:beforeLines="50" w:line="520" w:lineRule="exact"/>
              <w:jc w:val="center"/>
              <w:rPr>
                <w:rFonts w:hint="eastAsia" w:ascii="宋体" w:hAnsi="宋体" w:cs="宋体"/>
                <w:color w:val="auto"/>
                <w:szCs w:val="21"/>
                <w:highlight w:val="none"/>
              </w:rPr>
            </w:pPr>
          </w:p>
        </w:tc>
        <w:tc>
          <w:tcPr>
            <w:tcW w:w="2094" w:type="dxa"/>
            <w:tcBorders>
              <w:top w:val="single" w:color="auto" w:sz="4" w:space="0"/>
              <w:left w:val="single" w:color="auto" w:sz="4" w:space="0"/>
              <w:bottom w:val="single" w:color="auto" w:sz="4" w:space="0"/>
              <w:right w:val="single" w:color="auto" w:sz="4" w:space="0"/>
            </w:tcBorders>
            <w:noWrap w:val="0"/>
            <w:vAlign w:val="center"/>
          </w:tcPr>
          <w:p w14:paraId="13015D7F">
            <w:pPr>
              <w:snapToGrid w:val="0"/>
              <w:spacing w:before="160" w:beforeLines="50" w:line="520" w:lineRule="exact"/>
              <w:jc w:val="center"/>
              <w:rPr>
                <w:rFonts w:hint="eastAsia" w:ascii="宋体" w:hAnsi="宋体" w:cs="宋体"/>
                <w:color w:val="auto"/>
                <w:szCs w:val="21"/>
                <w:highlight w:val="none"/>
              </w:rPr>
            </w:pPr>
          </w:p>
        </w:tc>
        <w:tc>
          <w:tcPr>
            <w:tcW w:w="2094" w:type="dxa"/>
            <w:tcBorders>
              <w:top w:val="single" w:color="auto" w:sz="4" w:space="0"/>
              <w:left w:val="single" w:color="auto" w:sz="4" w:space="0"/>
              <w:bottom w:val="single" w:color="auto" w:sz="4" w:space="0"/>
              <w:right w:val="single" w:color="auto" w:sz="4" w:space="0"/>
            </w:tcBorders>
            <w:noWrap w:val="0"/>
            <w:vAlign w:val="center"/>
          </w:tcPr>
          <w:p w14:paraId="12F1883C">
            <w:pPr>
              <w:snapToGrid w:val="0"/>
              <w:spacing w:before="160" w:beforeLines="50" w:line="520" w:lineRule="exact"/>
              <w:jc w:val="center"/>
              <w:rPr>
                <w:rFonts w:hint="eastAsia" w:ascii="宋体" w:hAnsi="宋体" w:cs="宋体"/>
                <w:color w:val="auto"/>
                <w:szCs w:val="21"/>
                <w:highlight w:val="none"/>
              </w:rPr>
            </w:pPr>
          </w:p>
        </w:tc>
      </w:tr>
      <w:tr w14:paraId="17BF5C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1267" w:type="dxa"/>
            <w:tcBorders>
              <w:top w:val="single" w:color="auto" w:sz="4" w:space="0"/>
              <w:left w:val="single" w:color="auto" w:sz="4" w:space="0"/>
              <w:bottom w:val="single" w:color="auto" w:sz="4" w:space="0"/>
              <w:right w:val="single" w:color="auto" w:sz="4" w:space="0"/>
            </w:tcBorders>
            <w:noWrap w:val="0"/>
            <w:vAlign w:val="center"/>
          </w:tcPr>
          <w:p w14:paraId="3FC5006B">
            <w:pPr>
              <w:spacing w:line="520" w:lineRule="exact"/>
              <w:jc w:val="center"/>
              <w:rPr>
                <w:rFonts w:hint="eastAsia" w:ascii="宋体" w:hAnsi="宋体" w:cs="宋体"/>
                <w:color w:val="auto"/>
                <w:szCs w:val="21"/>
                <w:highlight w:val="none"/>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2B4A5AA2">
            <w:pPr>
              <w:snapToGrid w:val="0"/>
              <w:spacing w:before="160" w:beforeLines="50" w:line="520" w:lineRule="exact"/>
              <w:jc w:val="center"/>
              <w:rPr>
                <w:rFonts w:hint="eastAsia" w:ascii="宋体" w:hAnsi="宋体" w:cs="宋体"/>
                <w:color w:val="auto"/>
                <w:szCs w:val="21"/>
                <w:highlight w:val="none"/>
              </w:rPr>
            </w:pPr>
          </w:p>
        </w:tc>
        <w:tc>
          <w:tcPr>
            <w:tcW w:w="2289" w:type="dxa"/>
            <w:tcBorders>
              <w:top w:val="single" w:color="auto" w:sz="4" w:space="0"/>
              <w:left w:val="single" w:color="auto" w:sz="4" w:space="0"/>
              <w:bottom w:val="single" w:color="auto" w:sz="4" w:space="0"/>
              <w:right w:val="single" w:color="auto" w:sz="4" w:space="0"/>
            </w:tcBorders>
            <w:noWrap w:val="0"/>
            <w:vAlign w:val="center"/>
          </w:tcPr>
          <w:p w14:paraId="6B75834C">
            <w:pPr>
              <w:snapToGrid w:val="0"/>
              <w:spacing w:before="160" w:beforeLines="50" w:line="520" w:lineRule="exact"/>
              <w:ind w:left="43"/>
              <w:jc w:val="center"/>
              <w:rPr>
                <w:rFonts w:hint="eastAsia" w:ascii="宋体" w:hAnsi="宋体" w:cs="宋体"/>
                <w:color w:val="auto"/>
                <w:szCs w:val="21"/>
                <w:highlight w:val="none"/>
              </w:rPr>
            </w:pPr>
          </w:p>
        </w:tc>
        <w:tc>
          <w:tcPr>
            <w:tcW w:w="2094" w:type="dxa"/>
            <w:tcBorders>
              <w:top w:val="single" w:color="auto" w:sz="4" w:space="0"/>
              <w:left w:val="single" w:color="auto" w:sz="4" w:space="0"/>
              <w:bottom w:val="single" w:color="auto" w:sz="4" w:space="0"/>
              <w:right w:val="single" w:color="auto" w:sz="4" w:space="0"/>
            </w:tcBorders>
            <w:noWrap w:val="0"/>
            <w:vAlign w:val="center"/>
          </w:tcPr>
          <w:p w14:paraId="4317E3A1">
            <w:pPr>
              <w:snapToGrid w:val="0"/>
              <w:spacing w:before="160" w:beforeLines="50" w:line="520" w:lineRule="exact"/>
              <w:ind w:left="43"/>
              <w:jc w:val="center"/>
              <w:rPr>
                <w:rFonts w:hint="eastAsia" w:ascii="宋体" w:hAnsi="宋体" w:cs="宋体"/>
                <w:color w:val="auto"/>
                <w:szCs w:val="21"/>
                <w:highlight w:val="none"/>
              </w:rPr>
            </w:pPr>
          </w:p>
        </w:tc>
        <w:tc>
          <w:tcPr>
            <w:tcW w:w="2094" w:type="dxa"/>
            <w:tcBorders>
              <w:top w:val="single" w:color="auto" w:sz="4" w:space="0"/>
              <w:left w:val="single" w:color="auto" w:sz="4" w:space="0"/>
              <w:bottom w:val="single" w:color="auto" w:sz="4" w:space="0"/>
              <w:right w:val="single" w:color="auto" w:sz="4" w:space="0"/>
            </w:tcBorders>
            <w:noWrap w:val="0"/>
            <w:vAlign w:val="center"/>
          </w:tcPr>
          <w:p w14:paraId="291DB69D">
            <w:pPr>
              <w:snapToGrid w:val="0"/>
              <w:spacing w:before="160" w:beforeLines="50" w:line="520" w:lineRule="exact"/>
              <w:ind w:left="43"/>
              <w:jc w:val="center"/>
              <w:rPr>
                <w:rFonts w:hint="eastAsia" w:ascii="宋体" w:hAnsi="宋体" w:cs="宋体"/>
                <w:color w:val="auto"/>
                <w:szCs w:val="21"/>
                <w:highlight w:val="none"/>
              </w:rPr>
            </w:pPr>
          </w:p>
        </w:tc>
      </w:tr>
      <w:tr w14:paraId="271803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1267" w:type="dxa"/>
            <w:tcBorders>
              <w:top w:val="single" w:color="auto" w:sz="4" w:space="0"/>
              <w:left w:val="single" w:color="auto" w:sz="4" w:space="0"/>
              <w:bottom w:val="single" w:color="auto" w:sz="4" w:space="0"/>
              <w:right w:val="single" w:color="auto" w:sz="4" w:space="0"/>
            </w:tcBorders>
            <w:noWrap w:val="0"/>
            <w:vAlign w:val="center"/>
          </w:tcPr>
          <w:p w14:paraId="0C4351AF">
            <w:pPr>
              <w:snapToGrid w:val="0"/>
              <w:spacing w:before="160" w:beforeLines="50" w:line="520" w:lineRule="exact"/>
              <w:jc w:val="center"/>
              <w:rPr>
                <w:rFonts w:hint="eastAsia" w:ascii="宋体" w:hAnsi="宋体" w:cs="宋体"/>
                <w:color w:val="auto"/>
                <w:szCs w:val="21"/>
                <w:highlight w:val="none"/>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6801F074">
            <w:pPr>
              <w:snapToGrid w:val="0"/>
              <w:spacing w:before="160" w:beforeLines="50" w:line="520" w:lineRule="exact"/>
              <w:jc w:val="center"/>
              <w:rPr>
                <w:rFonts w:hint="eastAsia" w:ascii="宋体" w:hAnsi="宋体" w:cs="宋体"/>
                <w:color w:val="auto"/>
                <w:szCs w:val="21"/>
                <w:highlight w:val="none"/>
              </w:rPr>
            </w:pPr>
          </w:p>
        </w:tc>
        <w:tc>
          <w:tcPr>
            <w:tcW w:w="2289" w:type="dxa"/>
            <w:tcBorders>
              <w:top w:val="single" w:color="auto" w:sz="4" w:space="0"/>
              <w:left w:val="single" w:color="auto" w:sz="4" w:space="0"/>
              <w:bottom w:val="single" w:color="auto" w:sz="4" w:space="0"/>
              <w:right w:val="single" w:color="auto" w:sz="4" w:space="0"/>
            </w:tcBorders>
            <w:noWrap w:val="0"/>
            <w:vAlign w:val="center"/>
          </w:tcPr>
          <w:p w14:paraId="1C47C8AE">
            <w:pPr>
              <w:snapToGrid w:val="0"/>
              <w:spacing w:before="160" w:beforeLines="50" w:line="520" w:lineRule="exact"/>
              <w:jc w:val="center"/>
              <w:rPr>
                <w:rFonts w:hint="eastAsia" w:ascii="宋体" w:hAnsi="宋体" w:cs="宋体"/>
                <w:color w:val="auto"/>
                <w:szCs w:val="21"/>
                <w:highlight w:val="none"/>
              </w:rPr>
            </w:pPr>
          </w:p>
        </w:tc>
        <w:tc>
          <w:tcPr>
            <w:tcW w:w="2094" w:type="dxa"/>
            <w:tcBorders>
              <w:top w:val="single" w:color="auto" w:sz="4" w:space="0"/>
              <w:left w:val="single" w:color="auto" w:sz="4" w:space="0"/>
              <w:bottom w:val="single" w:color="auto" w:sz="4" w:space="0"/>
              <w:right w:val="single" w:color="auto" w:sz="4" w:space="0"/>
            </w:tcBorders>
            <w:noWrap w:val="0"/>
            <w:vAlign w:val="center"/>
          </w:tcPr>
          <w:p w14:paraId="6ECEEECD">
            <w:pPr>
              <w:snapToGrid w:val="0"/>
              <w:spacing w:before="160" w:beforeLines="50" w:line="520" w:lineRule="exact"/>
              <w:jc w:val="center"/>
              <w:rPr>
                <w:rFonts w:hint="eastAsia" w:ascii="宋体" w:hAnsi="宋体" w:cs="宋体"/>
                <w:color w:val="auto"/>
                <w:szCs w:val="21"/>
                <w:highlight w:val="none"/>
              </w:rPr>
            </w:pPr>
          </w:p>
        </w:tc>
        <w:tc>
          <w:tcPr>
            <w:tcW w:w="2094" w:type="dxa"/>
            <w:tcBorders>
              <w:top w:val="single" w:color="auto" w:sz="4" w:space="0"/>
              <w:left w:val="single" w:color="auto" w:sz="4" w:space="0"/>
              <w:bottom w:val="single" w:color="auto" w:sz="4" w:space="0"/>
              <w:right w:val="single" w:color="auto" w:sz="4" w:space="0"/>
            </w:tcBorders>
            <w:noWrap w:val="0"/>
            <w:vAlign w:val="center"/>
          </w:tcPr>
          <w:p w14:paraId="17E853DA">
            <w:pPr>
              <w:snapToGrid w:val="0"/>
              <w:spacing w:before="160" w:beforeLines="50" w:line="520" w:lineRule="exact"/>
              <w:jc w:val="center"/>
              <w:rPr>
                <w:rFonts w:hint="eastAsia" w:ascii="宋体" w:hAnsi="宋体" w:cs="宋体"/>
                <w:color w:val="auto"/>
                <w:szCs w:val="21"/>
                <w:highlight w:val="none"/>
              </w:rPr>
            </w:pPr>
          </w:p>
        </w:tc>
      </w:tr>
      <w:tr w14:paraId="175106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267" w:type="dxa"/>
            <w:tcBorders>
              <w:top w:val="single" w:color="auto" w:sz="4" w:space="0"/>
              <w:left w:val="single" w:color="auto" w:sz="4" w:space="0"/>
              <w:bottom w:val="single" w:color="auto" w:sz="4" w:space="0"/>
              <w:right w:val="single" w:color="auto" w:sz="4" w:space="0"/>
            </w:tcBorders>
            <w:noWrap w:val="0"/>
            <w:vAlign w:val="center"/>
          </w:tcPr>
          <w:p w14:paraId="286CC0BD">
            <w:pPr>
              <w:snapToGrid w:val="0"/>
              <w:spacing w:before="160" w:beforeLines="50" w:line="520" w:lineRule="exact"/>
              <w:jc w:val="center"/>
              <w:rPr>
                <w:rFonts w:hint="eastAsia" w:ascii="宋体" w:hAnsi="宋体" w:cs="宋体"/>
                <w:color w:val="auto"/>
                <w:szCs w:val="21"/>
                <w:highlight w:val="none"/>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4D05A956">
            <w:pPr>
              <w:snapToGrid w:val="0"/>
              <w:spacing w:before="160" w:beforeLines="50" w:line="520" w:lineRule="exact"/>
              <w:jc w:val="center"/>
              <w:rPr>
                <w:rFonts w:hint="eastAsia" w:ascii="宋体" w:hAnsi="宋体" w:cs="宋体"/>
                <w:color w:val="auto"/>
                <w:szCs w:val="21"/>
                <w:highlight w:val="none"/>
              </w:rPr>
            </w:pPr>
          </w:p>
        </w:tc>
        <w:tc>
          <w:tcPr>
            <w:tcW w:w="2289" w:type="dxa"/>
            <w:tcBorders>
              <w:top w:val="single" w:color="auto" w:sz="4" w:space="0"/>
              <w:left w:val="single" w:color="auto" w:sz="4" w:space="0"/>
              <w:bottom w:val="single" w:color="auto" w:sz="4" w:space="0"/>
              <w:right w:val="single" w:color="auto" w:sz="4" w:space="0"/>
            </w:tcBorders>
            <w:noWrap w:val="0"/>
            <w:vAlign w:val="center"/>
          </w:tcPr>
          <w:p w14:paraId="1B029731">
            <w:pPr>
              <w:snapToGrid w:val="0"/>
              <w:spacing w:before="160" w:beforeLines="50" w:line="520" w:lineRule="exact"/>
              <w:jc w:val="center"/>
              <w:rPr>
                <w:rFonts w:hint="eastAsia" w:ascii="宋体" w:hAnsi="宋体" w:cs="宋体"/>
                <w:color w:val="auto"/>
                <w:szCs w:val="21"/>
                <w:highlight w:val="none"/>
              </w:rPr>
            </w:pPr>
          </w:p>
        </w:tc>
        <w:tc>
          <w:tcPr>
            <w:tcW w:w="2094" w:type="dxa"/>
            <w:tcBorders>
              <w:top w:val="single" w:color="auto" w:sz="4" w:space="0"/>
              <w:left w:val="single" w:color="auto" w:sz="4" w:space="0"/>
              <w:bottom w:val="single" w:color="auto" w:sz="4" w:space="0"/>
              <w:right w:val="single" w:color="auto" w:sz="4" w:space="0"/>
            </w:tcBorders>
            <w:noWrap w:val="0"/>
            <w:vAlign w:val="center"/>
          </w:tcPr>
          <w:p w14:paraId="213360DD">
            <w:pPr>
              <w:snapToGrid w:val="0"/>
              <w:spacing w:before="160" w:beforeLines="50" w:line="520" w:lineRule="exact"/>
              <w:jc w:val="center"/>
              <w:rPr>
                <w:rFonts w:hint="eastAsia" w:ascii="宋体" w:hAnsi="宋体" w:cs="宋体"/>
                <w:color w:val="auto"/>
                <w:szCs w:val="21"/>
                <w:highlight w:val="none"/>
              </w:rPr>
            </w:pPr>
          </w:p>
        </w:tc>
        <w:tc>
          <w:tcPr>
            <w:tcW w:w="2094" w:type="dxa"/>
            <w:tcBorders>
              <w:top w:val="single" w:color="auto" w:sz="4" w:space="0"/>
              <w:left w:val="single" w:color="auto" w:sz="4" w:space="0"/>
              <w:bottom w:val="single" w:color="auto" w:sz="4" w:space="0"/>
              <w:right w:val="single" w:color="auto" w:sz="4" w:space="0"/>
            </w:tcBorders>
            <w:noWrap w:val="0"/>
            <w:vAlign w:val="center"/>
          </w:tcPr>
          <w:p w14:paraId="5CEFAFBF">
            <w:pPr>
              <w:snapToGrid w:val="0"/>
              <w:spacing w:before="160" w:beforeLines="50" w:line="520" w:lineRule="exact"/>
              <w:jc w:val="center"/>
              <w:rPr>
                <w:rFonts w:hint="eastAsia" w:ascii="宋体" w:hAnsi="宋体" w:cs="宋体"/>
                <w:color w:val="auto"/>
                <w:szCs w:val="21"/>
                <w:highlight w:val="none"/>
              </w:rPr>
            </w:pPr>
          </w:p>
        </w:tc>
      </w:tr>
    </w:tbl>
    <w:p w14:paraId="5545FACA">
      <w:pPr>
        <w:pStyle w:val="7"/>
        <w:spacing w:after="0" w:line="360" w:lineRule="auto"/>
        <w:contextualSpacing/>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17D78F6B">
      <w:pPr>
        <w:spacing w:line="360" w:lineRule="auto"/>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1. 说明：应对照磋商文件“第三章 采购需求”中的技术要求逐条作出明确响应，并作出偏离说明。</w:t>
      </w:r>
    </w:p>
    <w:p w14:paraId="4FA8A592">
      <w:pPr>
        <w:spacing w:line="360" w:lineRule="auto"/>
        <w:contextualSpacing/>
        <w:jc w:val="left"/>
        <w:rPr>
          <w:rFonts w:hint="eastAsia" w:ascii="宋体" w:hAnsi="宋体" w:cs="宋体"/>
          <w:color w:val="auto"/>
          <w:sz w:val="24"/>
          <w:highlight w:val="none"/>
          <w:u w:val="single"/>
        </w:rPr>
      </w:pPr>
      <w:r>
        <w:rPr>
          <w:rFonts w:hint="eastAsia" w:ascii="宋体" w:hAnsi="宋体" w:cs="宋体"/>
          <w:color w:val="auto"/>
          <w:kern w:val="0"/>
          <w:sz w:val="24"/>
          <w:highlight w:val="none"/>
        </w:rPr>
        <w:t>2.供应商应根据自身的承诺，对照磋商文件要求，在“偏离说明”中注明“正偏离”“负偏离”或者“无偏离”。既不属于“正偏离”也不属于“负偏离”即为“无偏离”。</w:t>
      </w:r>
    </w:p>
    <w:p w14:paraId="67FA81E5">
      <w:pPr>
        <w:spacing w:line="360" w:lineRule="auto"/>
        <w:ind w:right="-817" w:rightChars="-389"/>
        <w:contextualSpacing/>
        <w:rPr>
          <w:rFonts w:hint="eastAsia" w:ascii="宋体" w:hAnsi="宋体" w:cs="宋体"/>
          <w:color w:val="auto"/>
          <w:sz w:val="24"/>
          <w:highlight w:val="none"/>
        </w:rPr>
      </w:pPr>
    </w:p>
    <w:p w14:paraId="3035AD54">
      <w:pPr>
        <w:spacing w:line="360" w:lineRule="auto"/>
        <w:ind w:right="-817" w:rightChars="-389"/>
        <w:contextualSpacing/>
        <w:jc w:val="center"/>
        <w:rPr>
          <w:rFonts w:hint="eastAsia" w:ascii="宋体" w:hAnsi="宋体" w:cs="宋体"/>
          <w:color w:val="auto"/>
          <w:sz w:val="24"/>
          <w:highlight w:val="none"/>
        </w:rPr>
      </w:pPr>
      <w:r>
        <w:rPr>
          <w:rFonts w:hint="eastAsia" w:ascii="宋体" w:hAnsi="宋体" w:cs="宋体"/>
          <w:color w:val="auto"/>
          <w:sz w:val="24"/>
          <w:highlight w:val="none"/>
        </w:rPr>
        <w:t>法定代表人或者委托代理人（签字或盖章或电子签名）：</w:t>
      </w:r>
    </w:p>
    <w:p w14:paraId="7C6C197F">
      <w:pPr>
        <w:spacing w:line="360" w:lineRule="auto"/>
        <w:ind w:right="-817" w:rightChars="-389" w:firstLine="2640" w:firstLineChars="1100"/>
        <w:contextualSpacing/>
        <w:rPr>
          <w:rFonts w:hint="eastAsia" w:ascii="宋体" w:hAnsi="宋体" w:cs="宋体"/>
          <w:color w:val="auto"/>
          <w:sz w:val="24"/>
          <w:highlight w:val="none"/>
        </w:rPr>
      </w:pPr>
      <w:r>
        <w:rPr>
          <w:rFonts w:hint="eastAsia" w:ascii="宋体" w:hAnsi="宋体" w:cs="宋体"/>
          <w:color w:val="auto"/>
          <w:sz w:val="24"/>
          <w:highlight w:val="none"/>
        </w:rPr>
        <w:t xml:space="preserve">供应商（公章或电子签章）：      </w:t>
      </w:r>
    </w:p>
    <w:p w14:paraId="688E77F8">
      <w:pPr>
        <w:spacing w:line="360" w:lineRule="auto"/>
        <w:ind w:right="-817" w:rightChars="-389" w:firstLine="4080" w:firstLineChars="1700"/>
        <w:contextualSpacing/>
        <w:rPr>
          <w:rFonts w:hint="eastAsia" w:ascii="宋体" w:hAnsi="宋体" w:cs="宋体"/>
          <w:b/>
          <w:color w:val="auto"/>
          <w:sz w:val="32"/>
          <w:szCs w:val="32"/>
          <w:highlight w:val="none"/>
        </w:rPr>
      </w:pPr>
      <w:r>
        <w:rPr>
          <w:rFonts w:hint="eastAsia" w:ascii="宋体" w:hAnsi="宋体" w:cs="宋体"/>
          <w:color w:val="auto"/>
          <w:sz w:val="24"/>
          <w:highlight w:val="none"/>
        </w:rPr>
        <w:t>日期：   年   月   日</w:t>
      </w:r>
    </w:p>
    <w:p w14:paraId="520DDED3">
      <w:pPr>
        <w:spacing w:line="360" w:lineRule="exact"/>
        <w:jc w:val="center"/>
        <w:rPr>
          <w:rFonts w:hint="eastAsia" w:ascii="宋体" w:hAnsi="宋体" w:cs="宋体"/>
          <w:color w:val="auto"/>
          <w:sz w:val="32"/>
          <w:szCs w:val="32"/>
          <w:highlight w:val="none"/>
        </w:rPr>
      </w:pPr>
    </w:p>
    <w:p w14:paraId="3423F0AF">
      <w:pPr>
        <w:spacing w:line="360" w:lineRule="exact"/>
        <w:jc w:val="center"/>
        <w:rPr>
          <w:rFonts w:hint="eastAsia" w:ascii="宋体" w:hAnsi="宋体" w:cs="宋体"/>
          <w:color w:val="auto"/>
          <w:sz w:val="32"/>
          <w:szCs w:val="32"/>
          <w:highlight w:val="none"/>
        </w:rPr>
      </w:pPr>
    </w:p>
    <w:p w14:paraId="260E2B31">
      <w:pPr>
        <w:spacing w:line="360" w:lineRule="exact"/>
        <w:jc w:val="center"/>
        <w:rPr>
          <w:rFonts w:hint="eastAsia" w:ascii="宋体" w:hAnsi="宋体" w:cs="宋体"/>
          <w:color w:val="auto"/>
          <w:sz w:val="32"/>
          <w:szCs w:val="32"/>
          <w:highlight w:val="none"/>
        </w:rPr>
      </w:pPr>
    </w:p>
    <w:p w14:paraId="4F76FE15">
      <w:pPr>
        <w:pStyle w:val="8"/>
        <w:rPr>
          <w:rFonts w:hint="eastAsia" w:ascii="宋体" w:hAnsi="宋体" w:cs="宋体"/>
          <w:color w:val="auto"/>
          <w:sz w:val="32"/>
          <w:szCs w:val="32"/>
          <w:highlight w:val="none"/>
        </w:rPr>
      </w:pPr>
    </w:p>
    <w:p w14:paraId="2D4CCBB6">
      <w:pPr>
        <w:rPr>
          <w:rFonts w:hint="eastAsia" w:ascii="宋体" w:hAnsi="宋体" w:cs="宋体"/>
          <w:color w:val="auto"/>
          <w:sz w:val="32"/>
          <w:szCs w:val="32"/>
          <w:highlight w:val="none"/>
        </w:rPr>
      </w:pPr>
    </w:p>
    <w:p w14:paraId="6F25DB07">
      <w:pPr>
        <w:pStyle w:val="8"/>
        <w:rPr>
          <w:rFonts w:hint="eastAsia" w:ascii="宋体" w:hAnsi="宋体" w:cs="宋体"/>
          <w:color w:val="auto"/>
          <w:sz w:val="32"/>
          <w:szCs w:val="32"/>
          <w:highlight w:val="none"/>
        </w:rPr>
      </w:pPr>
    </w:p>
    <w:p w14:paraId="28B2C7F9">
      <w:pPr>
        <w:rPr>
          <w:rFonts w:hint="eastAsia" w:ascii="宋体" w:hAnsi="宋体" w:cs="宋体"/>
          <w:color w:val="auto"/>
          <w:highlight w:val="none"/>
        </w:rPr>
      </w:pPr>
    </w:p>
    <w:p w14:paraId="16B3A4FA">
      <w:pPr>
        <w:spacing w:line="360" w:lineRule="exact"/>
        <w:jc w:val="center"/>
        <w:rPr>
          <w:rFonts w:hint="eastAsia" w:ascii="宋体" w:hAnsi="宋体" w:cs="宋体"/>
          <w:color w:val="auto"/>
          <w:sz w:val="32"/>
          <w:szCs w:val="32"/>
          <w:highlight w:val="none"/>
        </w:rPr>
      </w:pPr>
    </w:p>
    <w:p w14:paraId="2E8BE96F">
      <w:pPr>
        <w:spacing w:line="360" w:lineRule="exact"/>
        <w:jc w:val="center"/>
        <w:rPr>
          <w:rFonts w:hint="eastAsia" w:ascii="宋体" w:hAnsi="宋体" w:cs="宋体"/>
          <w:bCs/>
          <w:color w:val="auto"/>
          <w:sz w:val="44"/>
          <w:szCs w:val="44"/>
          <w:highlight w:val="none"/>
        </w:rPr>
      </w:pPr>
      <w:r>
        <w:rPr>
          <w:rFonts w:hint="eastAsia" w:ascii="宋体" w:hAnsi="宋体" w:cs="宋体"/>
          <w:b/>
          <w:color w:val="auto"/>
          <w:sz w:val="36"/>
          <w:szCs w:val="36"/>
          <w:highlight w:val="none"/>
        </w:rPr>
        <w:t>商务要求响应偏离表格式</w:t>
      </w:r>
    </w:p>
    <w:p w14:paraId="688FE942">
      <w:pPr>
        <w:spacing w:line="360" w:lineRule="exact"/>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采购项目编号：                 </w:t>
      </w:r>
    </w:p>
    <w:p w14:paraId="704F7E26">
      <w:pPr>
        <w:spacing w:line="360" w:lineRule="exact"/>
        <w:jc w:val="left"/>
        <w:rPr>
          <w:rFonts w:hint="eastAsia" w:ascii="宋体" w:hAnsi="宋体" w:cs="宋体"/>
          <w:color w:val="auto"/>
          <w:sz w:val="24"/>
          <w:highlight w:val="none"/>
        </w:rPr>
      </w:pPr>
      <w:r>
        <w:rPr>
          <w:rFonts w:hint="eastAsia" w:ascii="宋体" w:hAnsi="宋体" w:cs="宋体"/>
          <w:color w:val="auto"/>
          <w:szCs w:val="21"/>
          <w:highlight w:val="none"/>
          <w:u w:val="single"/>
        </w:rPr>
        <w:t xml:space="preserve">采购项目名称：                 </w:t>
      </w:r>
    </w:p>
    <w:p w14:paraId="0EBDE95E">
      <w:pPr>
        <w:snapToGrid w:val="0"/>
        <w:spacing w:before="50" w:line="520" w:lineRule="exact"/>
        <w:jc w:val="left"/>
        <w:rPr>
          <w:rFonts w:hint="eastAsia" w:ascii="宋体" w:hAnsi="宋体" w:cs="宋体"/>
          <w:color w:val="auto"/>
          <w:szCs w:val="21"/>
          <w:highlight w:val="none"/>
          <w:u w:val="single"/>
        </w:rPr>
      </w:pPr>
    </w:p>
    <w:tbl>
      <w:tblPr>
        <w:tblStyle w:val="16"/>
        <w:tblpPr w:leftFromText="180" w:rightFromText="180" w:vertAnchor="text" w:horzAnchor="margin"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076"/>
        <w:gridCol w:w="2386"/>
      </w:tblGrid>
      <w:tr w14:paraId="36A398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47CE40F">
            <w:pPr>
              <w:snapToGrid w:val="0"/>
              <w:spacing w:before="160" w:beforeLines="50" w:line="520" w:lineRule="exact"/>
              <w:jc w:val="center"/>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货物名称</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736C3A66">
            <w:pPr>
              <w:snapToGrid w:val="0"/>
              <w:spacing w:before="160" w:beforeLines="50" w:line="520" w:lineRule="exact"/>
              <w:jc w:val="center"/>
              <w:rPr>
                <w:rFonts w:hint="eastAsia" w:ascii="宋体" w:hAnsi="宋体" w:cs="宋体"/>
                <w:color w:val="auto"/>
                <w:szCs w:val="21"/>
                <w:highlight w:val="none"/>
              </w:rPr>
            </w:pPr>
            <w:r>
              <w:rPr>
                <w:rFonts w:hint="eastAsia" w:ascii="宋体" w:hAnsi="宋体" w:cs="宋体"/>
                <w:color w:val="auto"/>
                <w:szCs w:val="21"/>
                <w:highlight w:val="none"/>
              </w:rPr>
              <w:t>磋商文件商务要求</w:t>
            </w:r>
          </w:p>
        </w:tc>
        <w:tc>
          <w:tcPr>
            <w:tcW w:w="2076" w:type="dxa"/>
            <w:tcBorders>
              <w:top w:val="single" w:color="auto" w:sz="4" w:space="0"/>
              <w:left w:val="single" w:color="auto" w:sz="4" w:space="0"/>
              <w:bottom w:val="single" w:color="auto" w:sz="4" w:space="0"/>
              <w:right w:val="single" w:color="auto" w:sz="4" w:space="0"/>
            </w:tcBorders>
            <w:noWrap w:val="0"/>
            <w:vAlign w:val="center"/>
          </w:tcPr>
          <w:p w14:paraId="223CF917">
            <w:pPr>
              <w:snapToGrid w:val="0"/>
              <w:spacing w:before="160" w:beforeLines="50" w:line="520" w:lineRule="exact"/>
              <w:jc w:val="center"/>
              <w:rPr>
                <w:rFonts w:hint="eastAsia" w:ascii="宋体" w:hAnsi="宋体" w:cs="宋体"/>
                <w:color w:val="auto"/>
                <w:szCs w:val="21"/>
                <w:highlight w:val="none"/>
              </w:rPr>
            </w:pPr>
            <w:r>
              <w:rPr>
                <w:rFonts w:hint="eastAsia" w:ascii="宋体" w:hAnsi="宋体" w:cs="宋体"/>
                <w:color w:val="auto"/>
                <w:szCs w:val="21"/>
                <w:highlight w:val="none"/>
              </w:rPr>
              <w:t>供应商的响应</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79720950">
            <w:pPr>
              <w:snapToGrid w:val="0"/>
              <w:spacing w:before="160" w:beforeLines="50" w:line="52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2F2711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485F117A">
            <w:pPr>
              <w:spacing w:line="520" w:lineRule="exact"/>
              <w:jc w:val="center"/>
              <w:rPr>
                <w:rFonts w:hint="eastAsia"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AC60AA8">
            <w:pPr>
              <w:snapToGrid w:val="0"/>
              <w:spacing w:before="160" w:beforeLines="50" w:line="520" w:lineRule="exact"/>
              <w:jc w:val="center"/>
              <w:rPr>
                <w:rFonts w:hint="eastAsia" w:ascii="宋体" w:hAnsi="宋体" w:cs="宋体"/>
                <w:color w:val="auto"/>
                <w:szCs w:val="21"/>
                <w:highlight w:val="none"/>
              </w:rPr>
            </w:pPr>
          </w:p>
        </w:tc>
        <w:tc>
          <w:tcPr>
            <w:tcW w:w="2076" w:type="dxa"/>
            <w:tcBorders>
              <w:top w:val="single" w:color="auto" w:sz="4" w:space="0"/>
              <w:left w:val="single" w:color="auto" w:sz="4" w:space="0"/>
              <w:bottom w:val="single" w:color="auto" w:sz="4" w:space="0"/>
              <w:right w:val="single" w:color="auto" w:sz="4" w:space="0"/>
            </w:tcBorders>
            <w:noWrap w:val="0"/>
            <w:vAlign w:val="center"/>
          </w:tcPr>
          <w:p w14:paraId="3E510DD8">
            <w:pPr>
              <w:snapToGrid w:val="0"/>
              <w:spacing w:before="160" w:beforeLines="50" w:line="520" w:lineRule="exact"/>
              <w:jc w:val="center"/>
              <w:rPr>
                <w:rFonts w:hint="eastAsia" w:ascii="宋体" w:hAnsi="宋体" w:cs="宋体"/>
                <w:color w:val="auto"/>
                <w:szCs w:val="21"/>
                <w:highlight w:val="none"/>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564121DC">
            <w:pPr>
              <w:snapToGrid w:val="0"/>
              <w:spacing w:before="160" w:beforeLines="50" w:line="520" w:lineRule="exact"/>
              <w:jc w:val="center"/>
              <w:rPr>
                <w:rFonts w:hint="eastAsia" w:ascii="宋体" w:hAnsi="宋体" w:cs="宋体"/>
                <w:color w:val="auto"/>
                <w:szCs w:val="21"/>
                <w:highlight w:val="none"/>
              </w:rPr>
            </w:pPr>
          </w:p>
        </w:tc>
      </w:tr>
      <w:tr w14:paraId="224353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6661DF31">
            <w:pPr>
              <w:spacing w:line="520" w:lineRule="exact"/>
              <w:jc w:val="center"/>
              <w:rPr>
                <w:rFonts w:hint="eastAsia"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E8452C1">
            <w:pPr>
              <w:snapToGrid w:val="0"/>
              <w:spacing w:before="160" w:beforeLines="50" w:line="520" w:lineRule="exact"/>
              <w:jc w:val="center"/>
              <w:rPr>
                <w:rFonts w:hint="eastAsia" w:ascii="宋体" w:hAnsi="宋体" w:cs="宋体"/>
                <w:color w:val="auto"/>
                <w:szCs w:val="21"/>
                <w:highlight w:val="none"/>
              </w:rPr>
            </w:pPr>
          </w:p>
        </w:tc>
        <w:tc>
          <w:tcPr>
            <w:tcW w:w="2076" w:type="dxa"/>
            <w:tcBorders>
              <w:top w:val="single" w:color="auto" w:sz="4" w:space="0"/>
              <w:left w:val="single" w:color="auto" w:sz="4" w:space="0"/>
              <w:bottom w:val="single" w:color="auto" w:sz="4" w:space="0"/>
              <w:right w:val="single" w:color="auto" w:sz="4" w:space="0"/>
            </w:tcBorders>
            <w:noWrap w:val="0"/>
            <w:vAlign w:val="center"/>
          </w:tcPr>
          <w:p w14:paraId="26F77FCE">
            <w:pPr>
              <w:snapToGrid w:val="0"/>
              <w:spacing w:before="160" w:beforeLines="50" w:line="520" w:lineRule="exact"/>
              <w:ind w:left="43"/>
              <w:jc w:val="center"/>
              <w:rPr>
                <w:rFonts w:hint="eastAsia" w:ascii="宋体" w:hAnsi="宋体" w:cs="宋体"/>
                <w:color w:val="auto"/>
                <w:szCs w:val="21"/>
                <w:highlight w:val="none"/>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74B70736">
            <w:pPr>
              <w:snapToGrid w:val="0"/>
              <w:spacing w:before="160" w:beforeLines="50" w:line="520" w:lineRule="exact"/>
              <w:ind w:left="43"/>
              <w:jc w:val="center"/>
              <w:rPr>
                <w:rFonts w:hint="eastAsia" w:ascii="宋体" w:hAnsi="宋体" w:cs="宋体"/>
                <w:color w:val="auto"/>
                <w:szCs w:val="21"/>
                <w:highlight w:val="none"/>
              </w:rPr>
            </w:pPr>
          </w:p>
        </w:tc>
      </w:tr>
      <w:tr w14:paraId="50953B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B27E4E7">
            <w:pPr>
              <w:snapToGrid w:val="0"/>
              <w:spacing w:before="160" w:beforeLines="50" w:line="520" w:lineRule="exact"/>
              <w:jc w:val="center"/>
              <w:rPr>
                <w:rFonts w:hint="eastAsia"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4546CAB">
            <w:pPr>
              <w:snapToGrid w:val="0"/>
              <w:spacing w:before="160" w:beforeLines="50" w:line="520" w:lineRule="exact"/>
              <w:jc w:val="center"/>
              <w:rPr>
                <w:rFonts w:hint="eastAsia" w:ascii="宋体" w:hAnsi="宋体" w:cs="宋体"/>
                <w:color w:val="auto"/>
                <w:szCs w:val="21"/>
                <w:highlight w:val="none"/>
              </w:rPr>
            </w:pPr>
          </w:p>
        </w:tc>
        <w:tc>
          <w:tcPr>
            <w:tcW w:w="2076" w:type="dxa"/>
            <w:tcBorders>
              <w:top w:val="single" w:color="auto" w:sz="4" w:space="0"/>
              <w:left w:val="single" w:color="auto" w:sz="4" w:space="0"/>
              <w:bottom w:val="single" w:color="auto" w:sz="4" w:space="0"/>
              <w:right w:val="single" w:color="auto" w:sz="4" w:space="0"/>
            </w:tcBorders>
            <w:noWrap w:val="0"/>
            <w:vAlign w:val="center"/>
          </w:tcPr>
          <w:p w14:paraId="5DDE55CC">
            <w:pPr>
              <w:snapToGrid w:val="0"/>
              <w:spacing w:before="160" w:beforeLines="50" w:line="520" w:lineRule="exact"/>
              <w:jc w:val="center"/>
              <w:rPr>
                <w:rFonts w:hint="eastAsia" w:ascii="宋体" w:hAnsi="宋体" w:cs="宋体"/>
                <w:color w:val="auto"/>
                <w:szCs w:val="21"/>
                <w:highlight w:val="none"/>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2552F560">
            <w:pPr>
              <w:snapToGrid w:val="0"/>
              <w:spacing w:before="160" w:beforeLines="50" w:line="520" w:lineRule="exact"/>
              <w:jc w:val="center"/>
              <w:rPr>
                <w:rFonts w:hint="eastAsia" w:ascii="宋体" w:hAnsi="宋体" w:cs="宋体"/>
                <w:color w:val="auto"/>
                <w:szCs w:val="21"/>
                <w:highlight w:val="none"/>
              </w:rPr>
            </w:pPr>
          </w:p>
        </w:tc>
      </w:tr>
      <w:tr w14:paraId="768DDD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5EF5E9E0">
            <w:pPr>
              <w:snapToGrid w:val="0"/>
              <w:spacing w:before="160" w:beforeLines="50" w:line="520" w:lineRule="exact"/>
              <w:jc w:val="center"/>
              <w:rPr>
                <w:rFonts w:hint="eastAsia"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E6D6744">
            <w:pPr>
              <w:snapToGrid w:val="0"/>
              <w:spacing w:before="160" w:beforeLines="50" w:line="520" w:lineRule="exact"/>
              <w:jc w:val="center"/>
              <w:rPr>
                <w:rFonts w:hint="eastAsia" w:ascii="宋体" w:hAnsi="宋体" w:cs="宋体"/>
                <w:color w:val="auto"/>
                <w:szCs w:val="21"/>
                <w:highlight w:val="none"/>
              </w:rPr>
            </w:pPr>
          </w:p>
        </w:tc>
        <w:tc>
          <w:tcPr>
            <w:tcW w:w="2076" w:type="dxa"/>
            <w:tcBorders>
              <w:top w:val="single" w:color="auto" w:sz="4" w:space="0"/>
              <w:left w:val="single" w:color="auto" w:sz="4" w:space="0"/>
              <w:bottom w:val="single" w:color="auto" w:sz="4" w:space="0"/>
              <w:right w:val="single" w:color="auto" w:sz="4" w:space="0"/>
            </w:tcBorders>
            <w:noWrap w:val="0"/>
            <w:vAlign w:val="center"/>
          </w:tcPr>
          <w:p w14:paraId="0BF954C2">
            <w:pPr>
              <w:snapToGrid w:val="0"/>
              <w:spacing w:before="160" w:beforeLines="50" w:line="520" w:lineRule="exact"/>
              <w:jc w:val="center"/>
              <w:rPr>
                <w:rFonts w:hint="eastAsia" w:ascii="宋体" w:hAnsi="宋体" w:cs="宋体"/>
                <w:color w:val="auto"/>
                <w:szCs w:val="21"/>
                <w:highlight w:val="none"/>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1C8A5E7B">
            <w:pPr>
              <w:snapToGrid w:val="0"/>
              <w:spacing w:before="160" w:beforeLines="50" w:line="520" w:lineRule="exact"/>
              <w:jc w:val="center"/>
              <w:rPr>
                <w:rFonts w:hint="eastAsia" w:ascii="宋体" w:hAnsi="宋体" w:cs="宋体"/>
                <w:color w:val="auto"/>
                <w:szCs w:val="21"/>
                <w:highlight w:val="none"/>
              </w:rPr>
            </w:pPr>
          </w:p>
        </w:tc>
      </w:tr>
    </w:tbl>
    <w:p w14:paraId="72AC3024">
      <w:pPr>
        <w:spacing w:line="360" w:lineRule="auto"/>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w:t>
      </w:r>
    </w:p>
    <w:p w14:paraId="1416B9D0">
      <w:pPr>
        <w:spacing w:line="360" w:lineRule="auto"/>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1. 说明：应对照磋商文件“第三章 采购需求”中的商务要求逐条作出明确响应，并作出偏离说明。</w:t>
      </w:r>
    </w:p>
    <w:p w14:paraId="37DC1758">
      <w:pPr>
        <w:spacing w:line="360" w:lineRule="auto"/>
        <w:contextualSpacing/>
        <w:jc w:val="left"/>
        <w:rPr>
          <w:rFonts w:hint="eastAsia" w:ascii="宋体" w:hAnsi="宋体" w:cs="宋体"/>
          <w:color w:val="auto"/>
          <w:sz w:val="24"/>
          <w:highlight w:val="none"/>
          <w:u w:val="single"/>
        </w:rPr>
      </w:pPr>
      <w:r>
        <w:rPr>
          <w:rFonts w:hint="eastAsia" w:ascii="宋体" w:hAnsi="宋体" w:cs="宋体"/>
          <w:color w:val="auto"/>
          <w:kern w:val="0"/>
          <w:sz w:val="24"/>
          <w:highlight w:val="none"/>
        </w:rPr>
        <w:t>2.供应商应根据自身的承诺，对照磋商文件要求在“偏离说明”中注明“正偏离”“负偏离”或者“无偏离”。既不属于“正偏离”也不属于“负偏离”即为“无偏离”。</w:t>
      </w:r>
    </w:p>
    <w:p w14:paraId="417A2BFF">
      <w:pPr>
        <w:spacing w:line="360" w:lineRule="auto"/>
        <w:ind w:right="-817" w:rightChars="-389"/>
        <w:contextualSpacing/>
        <w:rPr>
          <w:rFonts w:hint="eastAsia" w:ascii="宋体" w:hAnsi="宋体" w:cs="宋体"/>
          <w:color w:val="auto"/>
          <w:sz w:val="24"/>
          <w:highlight w:val="none"/>
        </w:rPr>
      </w:pPr>
    </w:p>
    <w:p w14:paraId="536BEF4A">
      <w:pPr>
        <w:spacing w:line="360" w:lineRule="auto"/>
        <w:ind w:right="-817" w:rightChars="-389"/>
        <w:contextualSpacing/>
        <w:jc w:val="center"/>
        <w:rPr>
          <w:rFonts w:hint="eastAsia" w:ascii="宋体" w:hAnsi="宋体" w:cs="宋体"/>
          <w:color w:val="auto"/>
          <w:sz w:val="24"/>
          <w:highlight w:val="none"/>
        </w:rPr>
      </w:pPr>
      <w:r>
        <w:rPr>
          <w:rFonts w:hint="eastAsia" w:ascii="宋体" w:hAnsi="宋体" w:cs="宋体"/>
          <w:color w:val="auto"/>
          <w:sz w:val="24"/>
          <w:highlight w:val="none"/>
        </w:rPr>
        <w:t>法定代表人或者委托代理人（签字或盖章或电子签名）：</w:t>
      </w:r>
    </w:p>
    <w:p w14:paraId="066A917B">
      <w:pPr>
        <w:spacing w:line="360" w:lineRule="auto"/>
        <w:ind w:right="-817" w:rightChars="-389" w:firstLine="2640" w:firstLineChars="1100"/>
        <w:contextualSpacing/>
        <w:rPr>
          <w:rFonts w:hint="eastAsia" w:ascii="宋体" w:hAnsi="宋体" w:cs="宋体"/>
          <w:color w:val="auto"/>
          <w:sz w:val="24"/>
          <w:highlight w:val="none"/>
        </w:rPr>
      </w:pPr>
      <w:r>
        <w:rPr>
          <w:rFonts w:hint="eastAsia" w:ascii="宋体" w:hAnsi="宋体" w:cs="宋体"/>
          <w:color w:val="auto"/>
          <w:sz w:val="24"/>
          <w:highlight w:val="none"/>
        </w:rPr>
        <w:t xml:space="preserve">供应商（公章或电子签章）：      </w:t>
      </w:r>
    </w:p>
    <w:p w14:paraId="5A9432E3">
      <w:pPr>
        <w:spacing w:line="360" w:lineRule="auto"/>
        <w:ind w:right="-817" w:rightChars="-389" w:firstLine="4080" w:firstLineChars="1700"/>
        <w:contextualSpacing/>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6ABB18E9">
      <w:pPr>
        <w:spacing w:line="360" w:lineRule="auto"/>
        <w:ind w:right="-817" w:rightChars="-389" w:firstLine="4080" w:firstLineChars="1700"/>
        <w:contextualSpacing/>
        <w:rPr>
          <w:rFonts w:hint="eastAsia" w:ascii="宋体" w:hAnsi="宋体" w:cs="宋体"/>
          <w:color w:val="auto"/>
          <w:sz w:val="24"/>
          <w:highlight w:val="none"/>
        </w:rPr>
      </w:pPr>
      <w:r>
        <w:rPr>
          <w:rFonts w:hint="eastAsia" w:ascii="宋体" w:hAnsi="宋体" w:cs="宋体"/>
          <w:color w:val="auto"/>
          <w:sz w:val="24"/>
          <w:highlight w:val="none"/>
        </w:rPr>
        <w:br w:type="page"/>
      </w:r>
    </w:p>
    <w:p w14:paraId="544534DC">
      <w:pPr>
        <w:widowControl/>
        <w:kinsoku w:val="0"/>
        <w:autoSpaceDE w:val="0"/>
        <w:autoSpaceDN w:val="0"/>
        <w:adjustRightInd w:val="0"/>
        <w:snapToGrid w:val="0"/>
        <w:spacing w:line="225" w:lineRule="auto"/>
        <w:jc w:val="center"/>
        <w:textAlignment w:val="baseline"/>
        <w:rPr>
          <w:rFonts w:ascii="宋体" w:hAnsi="宋体" w:cs="宋体"/>
          <w:snapToGrid w:val="0"/>
          <w:color w:val="auto"/>
          <w:kern w:val="0"/>
          <w:sz w:val="31"/>
          <w:szCs w:val="31"/>
          <w:highlight w:val="none"/>
        </w:rPr>
      </w:pPr>
      <w:r>
        <w:rPr>
          <w:rFonts w:hint="eastAsia" w:ascii="宋体" w:hAnsi="宋体" w:cs="宋体"/>
          <w:snapToGrid w:val="0"/>
          <w:color w:val="auto"/>
          <w:spacing w:val="9"/>
          <w:kern w:val="0"/>
          <w:sz w:val="31"/>
          <w:szCs w:val="31"/>
          <w:highlight w:val="none"/>
        </w:rPr>
        <w:t>项目实施人员一览表</w:t>
      </w:r>
    </w:p>
    <w:p w14:paraId="30C6CF25">
      <w:pPr>
        <w:widowControl/>
        <w:kinsoku w:val="0"/>
        <w:autoSpaceDE w:val="0"/>
        <w:autoSpaceDN w:val="0"/>
        <w:adjustRightInd w:val="0"/>
        <w:snapToGrid w:val="0"/>
        <w:spacing w:before="78" w:line="219" w:lineRule="auto"/>
        <w:ind w:left="122"/>
        <w:jc w:val="left"/>
        <w:textAlignment w:val="baseline"/>
        <w:rPr>
          <w:rFonts w:ascii="宋体" w:hAnsi="宋体" w:cs="宋体"/>
          <w:snapToGrid w:val="0"/>
          <w:color w:val="auto"/>
          <w:kern w:val="0"/>
          <w:sz w:val="24"/>
          <w:highlight w:val="none"/>
        </w:rPr>
      </w:pPr>
      <w:r>
        <w:rPr>
          <w:rFonts w:ascii="宋体" w:hAnsi="宋体" w:cs="宋体"/>
          <w:snapToGrid w:val="0"/>
          <w:color w:val="auto"/>
          <w:spacing w:val="-2"/>
          <w:kern w:val="0"/>
          <w:sz w:val="24"/>
          <w:highlight w:val="none"/>
        </w:rPr>
        <w:t>采购项目编号：</w:t>
      </w:r>
    </w:p>
    <w:p w14:paraId="32B3D953">
      <w:pPr>
        <w:widowControl/>
        <w:kinsoku w:val="0"/>
        <w:autoSpaceDE w:val="0"/>
        <w:autoSpaceDN w:val="0"/>
        <w:adjustRightInd w:val="0"/>
        <w:snapToGrid w:val="0"/>
        <w:spacing w:before="183" w:line="219" w:lineRule="auto"/>
        <w:ind w:left="122"/>
        <w:jc w:val="left"/>
        <w:textAlignment w:val="baseline"/>
        <w:rPr>
          <w:rFonts w:ascii="宋体" w:hAnsi="宋体" w:cs="宋体"/>
          <w:snapToGrid w:val="0"/>
          <w:color w:val="auto"/>
          <w:kern w:val="0"/>
          <w:sz w:val="24"/>
          <w:highlight w:val="none"/>
        </w:rPr>
      </w:pPr>
      <w:r>
        <w:rPr>
          <w:rFonts w:ascii="宋体" w:hAnsi="宋体" w:cs="宋体"/>
          <w:snapToGrid w:val="0"/>
          <w:color w:val="auto"/>
          <w:spacing w:val="-2"/>
          <w:kern w:val="0"/>
          <w:sz w:val="24"/>
          <w:highlight w:val="none"/>
        </w:rPr>
        <w:t>采购项目名称：</w:t>
      </w:r>
    </w:p>
    <w:p w14:paraId="12D8DC14">
      <w:pPr>
        <w:widowControl/>
        <w:kinsoku w:val="0"/>
        <w:autoSpaceDE w:val="0"/>
        <w:autoSpaceDN w:val="0"/>
        <w:adjustRightInd w:val="0"/>
        <w:snapToGrid w:val="0"/>
        <w:spacing w:line="68" w:lineRule="exact"/>
        <w:jc w:val="left"/>
        <w:textAlignment w:val="baseline"/>
        <w:rPr>
          <w:rFonts w:ascii="Arial" w:hAnsi="Arial" w:cs="Arial"/>
          <w:snapToGrid w:val="0"/>
          <w:color w:val="auto"/>
          <w:kern w:val="0"/>
          <w:szCs w:val="21"/>
          <w:highlight w:val="none"/>
        </w:rPr>
      </w:pPr>
    </w:p>
    <w:tbl>
      <w:tblPr>
        <w:tblStyle w:val="16"/>
        <w:tblW w:w="9043"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2"/>
        <w:gridCol w:w="1275"/>
        <w:gridCol w:w="1983"/>
        <w:gridCol w:w="1419"/>
        <w:gridCol w:w="1556"/>
        <w:gridCol w:w="1138"/>
      </w:tblGrid>
      <w:tr w14:paraId="11F2D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3" w:hRule="atLeast"/>
        </w:trPr>
        <w:tc>
          <w:tcPr>
            <w:tcW w:w="1672" w:type="dxa"/>
            <w:noWrap w:val="0"/>
            <w:vAlign w:val="top"/>
          </w:tcPr>
          <w:p w14:paraId="36E9634B">
            <w:pPr>
              <w:widowControl/>
              <w:kinsoku w:val="0"/>
              <w:autoSpaceDE w:val="0"/>
              <w:autoSpaceDN w:val="0"/>
              <w:adjustRightInd w:val="0"/>
              <w:snapToGrid w:val="0"/>
              <w:spacing w:line="316" w:lineRule="auto"/>
              <w:jc w:val="left"/>
              <w:textAlignment w:val="baseline"/>
              <w:rPr>
                <w:rFonts w:ascii="Arial" w:hAnsi="Arial" w:cs="Arial"/>
                <w:snapToGrid w:val="0"/>
                <w:color w:val="auto"/>
                <w:kern w:val="0"/>
                <w:szCs w:val="21"/>
                <w:highlight w:val="none"/>
              </w:rPr>
            </w:pPr>
          </w:p>
          <w:p w14:paraId="51FBA930">
            <w:pPr>
              <w:widowControl/>
              <w:kinsoku w:val="0"/>
              <w:autoSpaceDE w:val="0"/>
              <w:autoSpaceDN w:val="0"/>
              <w:adjustRightInd w:val="0"/>
              <w:snapToGrid w:val="0"/>
              <w:spacing w:line="316" w:lineRule="auto"/>
              <w:jc w:val="left"/>
              <w:textAlignment w:val="baseline"/>
              <w:rPr>
                <w:rFonts w:ascii="Arial" w:hAnsi="Arial" w:cs="Arial"/>
                <w:snapToGrid w:val="0"/>
                <w:color w:val="auto"/>
                <w:kern w:val="0"/>
                <w:szCs w:val="21"/>
                <w:highlight w:val="none"/>
              </w:rPr>
            </w:pPr>
          </w:p>
          <w:p w14:paraId="4766D4E1">
            <w:pPr>
              <w:widowControl/>
              <w:kinsoku w:val="0"/>
              <w:autoSpaceDE w:val="0"/>
              <w:autoSpaceDN w:val="0"/>
              <w:adjustRightInd w:val="0"/>
              <w:snapToGrid w:val="0"/>
              <w:spacing w:line="317" w:lineRule="auto"/>
              <w:jc w:val="left"/>
              <w:textAlignment w:val="baseline"/>
              <w:rPr>
                <w:rFonts w:ascii="Arial" w:hAnsi="Arial" w:cs="Arial"/>
                <w:snapToGrid w:val="0"/>
                <w:color w:val="auto"/>
                <w:kern w:val="0"/>
                <w:szCs w:val="21"/>
                <w:highlight w:val="none"/>
              </w:rPr>
            </w:pPr>
          </w:p>
          <w:p w14:paraId="492A4563">
            <w:pPr>
              <w:widowControl/>
              <w:kinsoku w:val="0"/>
              <w:autoSpaceDE w:val="0"/>
              <w:autoSpaceDN w:val="0"/>
              <w:adjustRightInd w:val="0"/>
              <w:snapToGrid w:val="0"/>
              <w:spacing w:before="78" w:line="219" w:lineRule="auto"/>
              <w:ind w:left="6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sz w:val="24"/>
                <w:highlight w:val="none"/>
                <w:lang w:eastAsia="en-US"/>
              </w:rPr>
              <w:t>姓名</w:t>
            </w:r>
          </w:p>
        </w:tc>
        <w:tc>
          <w:tcPr>
            <w:tcW w:w="1275" w:type="dxa"/>
            <w:noWrap w:val="0"/>
            <w:vAlign w:val="top"/>
          </w:tcPr>
          <w:p w14:paraId="24242A8A">
            <w:pPr>
              <w:widowControl/>
              <w:kinsoku w:val="0"/>
              <w:autoSpaceDE w:val="0"/>
              <w:autoSpaceDN w:val="0"/>
              <w:adjustRightInd w:val="0"/>
              <w:snapToGrid w:val="0"/>
              <w:spacing w:line="316" w:lineRule="auto"/>
              <w:jc w:val="left"/>
              <w:textAlignment w:val="baseline"/>
              <w:rPr>
                <w:rFonts w:ascii="Arial" w:hAnsi="Arial" w:cs="Arial"/>
                <w:snapToGrid w:val="0"/>
                <w:color w:val="auto"/>
                <w:kern w:val="0"/>
                <w:szCs w:val="21"/>
                <w:highlight w:val="none"/>
                <w:lang w:eastAsia="en-US"/>
              </w:rPr>
            </w:pPr>
          </w:p>
          <w:p w14:paraId="0DAF6BC9">
            <w:pPr>
              <w:widowControl/>
              <w:kinsoku w:val="0"/>
              <w:autoSpaceDE w:val="0"/>
              <w:autoSpaceDN w:val="0"/>
              <w:adjustRightInd w:val="0"/>
              <w:snapToGrid w:val="0"/>
              <w:spacing w:line="316" w:lineRule="auto"/>
              <w:jc w:val="left"/>
              <w:textAlignment w:val="baseline"/>
              <w:rPr>
                <w:rFonts w:ascii="Arial" w:hAnsi="Arial" w:cs="Arial"/>
                <w:snapToGrid w:val="0"/>
                <w:color w:val="auto"/>
                <w:kern w:val="0"/>
                <w:szCs w:val="21"/>
                <w:highlight w:val="none"/>
                <w:lang w:eastAsia="en-US"/>
              </w:rPr>
            </w:pPr>
          </w:p>
          <w:p w14:paraId="373C5447">
            <w:pPr>
              <w:widowControl/>
              <w:kinsoku w:val="0"/>
              <w:autoSpaceDE w:val="0"/>
              <w:autoSpaceDN w:val="0"/>
              <w:adjustRightInd w:val="0"/>
              <w:snapToGrid w:val="0"/>
              <w:spacing w:line="317" w:lineRule="auto"/>
              <w:jc w:val="left"/>
              <w:textAlignment w:val="baseline"/>
              <w:rPr>
                <w:rFonts w:ascii="Arial" w:hAnsi="Arial" w:cs="Arial"/>
                <w:snapToGrid w:val="0"/>
                <w:color w:val="auto"/>
                <w:kern w:val="0"/>
                <w:szCs w:val="21"/>
                <w:highlight w:val="none"/>
                <w:lang w:eastAsia="en-US"/>
              </w:rPr>
            </w:pPr>
          </w:p>
          <w:p w14:paraId="1AF45352">
            <w:pPr>
              <w:widowControl/>
              <w:kinsoku w:val="0"/>
              <w:autoSpaceDE w:val="0"/>
              <w:autoSpaceDN w:val="0"/>
              <w:adjustRightInd w:val="0"/>
              <w:snapToGrid w:val="0"/>
              <w:spacing w:before="78" w:line="219"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6"/>
                <w:kern w:val="0"/>
                <w:sz w:val="24"/>
                <w:highlight w:val="none"/>
                <w:lang w:eastAsia="en-US"/>
              </w:rPr>
              <w:t>职务</w:t>
            </w:r>
          </w:p>
        </w:tc>
        <w:tc>
          <w:tcPr>
            <w:tcW w:w="1983" w:type="dxa"/>
            <w:noWrap w:val="0"/>
            <w:vAlign w:val="top"/>
          </w:tcPr>
          <w:p w14:paraId="1D451CDB">
            <w:pPr>
              <w:widowControl/>
              <w:kinsoku w:val="0"/>
              <w:autoSpaceDE w:val="0"/>
              <w:autoSpaceDN w:val="0"/>
              <w:adjustRightInd w:val="0"/>
              <w:snapToGrid w:val="0"/>
              <w:spacing w:before="152" w:line="219" w:lineRule="auto"/>
              <w:ind w:left="27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专业技术资格</w:t>
            </w:r>
          </w:p>
          <w:p w14:paraId="5136A9B7">
            <w:pPr>
              <w:widowControl/>
              <w:kinsoku w:val="0"/>
              <w:autoSpaceDE w:val="0"/>
              <w:autoSpaceDN w:val="0"/>
              <w:adjustRightInd w:val="0"/>
              <w:snapToGrid w:val="0"/>
              <w:spacing w:before="153" w:line="221" w:lineRule="auto"/>
              <w:ind w:left="17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3"/>
                <w:kern w:val="0"/>
                <w:sz w:val="24"/>
                <w:highlight w:val="none"/>
              </w:rPr>
              <w:t>（职称）或者职</w:t>
            </w:r>
          </w:p>
          <w:p w14:paraId="7BFA2FD4">
            <w:pPr>
              <w:widowControl/>
              <w:kinsoku w:val="0"/>
              <w:autoSpaceDE w:val="0"/>
              <w:autoSpaceDN w:val="0"/>
              <w:adjustRightInd w:val="0"/>
              <w:snapToGrid w:val="0"/>
              <w:spacing w:before="155" w:line="219" w:lineRule="auto"/>
              <w:ind w:left="157"/>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业资格或者执业</w:t>
            </w:r>
          </w:p>
          <w:p w14:paraId="006FE63A">
            <w:pPr>
              <w:widowControl/>
              <w:kinsoku w:val="0"/>
              <w:autoSpaceDE w:val="0"/>
              <w:autoSpaceDN w:val="0"/>
              <w:adjustRightInd w:val="0"/>
              <w:snapToGrid w:val="0"/>
              <w:spacing w:before="154" w:line="219" w:lineRule="auto"/>
              <w:ind w:left="16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3"/>
                <w:kern w:val="0"/>
                <w:sz w:val="24"/>
                <w:highlight w:val="none"/>
              </w:rPr>
              <w:t>资格证或者其他</w:t>
            </w:r>
          </w:p>
          <w:p w14:paraId="1BEB9C78">
            <w:pPr>
              <w:widowControl/>
              <w:kinsoku w:val="0"/>
              <w:autoSpaceDE w:val="0"/>
              <w:autoSpaceDN w:val="0"/>
              <w:adjustRightInd w:val="0"/>
              <w:snapToGrid w:val="0"/>
              <w:spacing w:before="153" w:line="219" w:lineRule="auto"/>
              <w:ind w:left="75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sz w:val="24"/>
                <w:highlight w:val="none"/>
                <w:lang w:eastAsia="en-US"/>
              </w:rPr>
              <w:t>证书</w:t>
            </w:r>
          </w:p>
        </w:tc>
        <w:tc>
          <w:tcPr>
            <w:tcW w:w="1419" w:type="dxa"/>
            <w:noWrap w:val="0"/>
            <w:vAlign w:val="top"/>
          </w:tcPr>
          <w:p w14:paraId="0478EF6D">
            <w:pPr>
              <w:widowControl/>
              <w:kinsoku w:val="0"/>
              <w:autoSpaceDE w:val="0"/>
              <w:autoSpaceDN w:val="0"/>
              <w:adjustRightInd w:val="0"/>
              <w:snapToGrid w:val="0"/>
              <w:spacing w:line="316" w:lineRule="auto"/>
              <w:jc w:val="left"/>
              <w:textAlignment w:val="baseline"/>
              <w:rPr>
                <w:rFonts w:ascii="Arial" w:hAnsi="Arial" w:cs="Arial"/>
                <w:snapToGrid w:val="0"/>
                <w:color w:val="auto"/>
                <w:kern w:val="0"/>
                <w:szCs w:val="21"/>
                <w:highlight w:val="none"/>
                <w:lang w:eastAsia="en-US"/>
              </w:rPr>
            </w:pPr>
          </w:p>
          <w:p w14:paraId="48310BAA">
            <w:pPr>
              <w:widowControl/>
              <w:kinsoku w:val="0"/>
              <w:autoSpaceDE w:val="0"/>
              <w:autoSpaceDN w:val="0"/>
              <w:adjustRightInd w:val="0"/>
              <w:snapToGrid w:val="0"/>
              <w:spacing w:line="316" w:lineRule="auto"/>
              <w:jc w:val="left"/>
              <w:textAlignment w:val="baseline"/>
              <w:rPr>
                <w:rFonts w:ascii="Arial" w:hAnsi="Arial" w:cs="Arial"/>
                <w:snapToGrid w:val="0"/>
                <w:color w:val="auto"/>
                <w:kern w:val="0"/>
                <w:szCs w:val="21"/>
                <w:highlight w:val="none"/>
                <w:lang w:eastAsia="en-US"/>
              </w:rPr>
            </w:pPr>
          </w:p>
          <w:p w14:paraId="0AAA5D3E">
            <w:pPr>
              <w:widowControl/>
              <w:kinsoku w:val="0"/>
              <w:autoSpaceDE w:val="0"/>
              <w:autoSpaceDN w:val="0"/>
              <w:adjustRightInd w:val="0"/>
              <w:snapToGrid w:val="0"/>
              <w:spacing w:line="316" w:lineRule="auto"/>
              <w:jc w:val="left"/>
              <w:textAlignment w:val="baseline"/>
              <w:rPr>
                <w:rFonts w:ascii="Arial" w:hAnsi="Arial" w:cs="Arial"/>
                <w:snapToGrid w:val="0"/>
                <w:color w:val="auto"/>
                <w:kern w:val="0"/>
                <w:szCs w:val="21"/>
                <w:highlight w:val="none"/>
                <w:lang w:eastAsia="en-US"/>
              </w:rPr>
            </w:pPr>
          </w:p>
          <w:p w14:paraId="294C9292">
            <w:pPr>
              <w:widowControl/>
              <w:kinsoku w:val="0"/>
              <w:autoSpaceDE w:val="0"/>
              <w:autoSpaceDN w:val="0"/>
              <w:adjustRightInd w:val="0"/>
              <w:snapToGrid w:val="0"/>
              <w:spacing w:before="78" w:line="219" w:lineRule="auto"/>
              <w:ind w:left="23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证书编号</w:t>
            </w:r>
          </w:p>
        </w:tc>
        <w:tc>
          <w:tcPr>
            <w:tcW w:w="1556" w:type="dxa"/>
            <w:noWrap w:val="0"/>
            <w:vAlign w:val="top"/>
          </w:tcPr>
          <w:p w14:paraId="41F7DD63">
            <w:pPr>
              <w:widowControl/>
              <w:kinsoku w:val="0"/>
              <w:autoSpaceDE w:val="0"/>
              <w:autoSpaceDN w:val="0"/>
              <w:adjustRightInd w:val="0"/>
              <w:snapToGrid w:val="0"/>
              <w:spacing w:line="325" w:lineRule="auto"/>
              <w:jc w:val="left"/>
              <w:textAlignment w:val="baseline"/>
              <w:rPr>
                <w:rFonts w:ascii="Arial" w:hAnsi="Arial" w:cs="Arial"/>
                <w:snapToGrid w:val="0"/>
                <w:color w:val="auto"/>
                <w:kern w:val="0"/>
                <w:szCs w:val="21"/>
                <w:highlight w:val="none"/>
                <w:lang w:eastAsia="en-US"/>
              </w:rPr>
            </w:pPr>
          </w:p>
          <w:p w14:paraId="19601144">
            <w:pPr>
              <w:widowControl/>
              <w:kinsoku w:val="0"/>
              <w:autoSpaceDE w:val="0"/>
              <w:autoSpaceDN w:val="0"/>
              <w:adjustRightInd w:val="0"/>
              <w:snapToGrid w:val="0"/>
              <w:spacing w:line="325" w:lineRule="auto"/>
              <w:jc w:val="left"/>
              <w:textAlignment w:val="baseline"/>
              <w:rPr>
                <w:rFonts w:ascii="Arial" w:hAnsi="Arial" w:cs="Arial"/>
                <w:snapToGrid w:val="0"/>
                <w:color w:val="auto"/>
                <w:kern w:val="0"/>
                <w:szCs w:val="21"/>
                <w:highlight w:val="none"/>
                <w:lang w:eastAsia="en-US"/>
              </w:rPr>
            </w:pPr>
          </w:p>
          <w:p w14:paraId="53D2DD1D">
            <w:pPr>
              <w:widowControl/>
              <w:kinsoku w:val="0"/>
              <w:autoSpaceDE w:val="0"/>
              <w:autoSpaceDN w:val="0"/>
              <w:adjustRightInd w:val="0"/>
              <w:snapToGrid w:val="0"/>
              <w:spacing w:before="78" w:line="598" w:lineRule="exact"/>
              <w:ind w:left="18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position w:val="27"/>
                <w:sz w:val="24"/>
                <w:highlight w:val="none"/>
                <w:lang w:eastAsia="en-US"/>
              </w:rPr>
              <w:t>参加本单位</w:t>
            </w:r>
          </w:p>
          <w:p w14:paraId="3AD8F559">
            <w:pPr>
              <w:widowControl/>
              <w:kinsoku w:val="0"/>
              <w:autoSpaceDE w:val="0"/>
              <w:autoSpaceDN w:val="0"/>
              <w:adjustRightInd w:val="0"/>
              <w:snapToGrid w:val="0"/>
              <w:spacing w:line="220" w:lineRule="auto"/>
              <w:ind w:left="3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工作时间</w:t>
            </w:r>
          </w:p>
        </w:tc>
        <w:tc>
          <w:tcPr>
            <w:tcW w:w="1138" w:type="dxa"/>
            <w:noWrap w:val="0"/>
            <w:vAlign w:val="top"/>
          </w:tcPr>
          <w:p w14:paraId="1AB3C66C">
            <w:pPr>
              <w:widowControl/>
              <w:kinsoku w:val="0"/>
              <w:autoSpaceDE w:val="0"/>
              <w:autoSpaceDN w:val="0"/>
              <w:adjustRightInd w:val="0"/>
              <w:snapToGrid w:val="0"/>
              <w:spacing w:line="243" w:lineRule="auto"/>
              <w:jc w:val="left"/>
              <w:textAlignment w:val="baseline"/>
              <w:rPr>
                <w:rFonts w:ascii="Arial" w:hAnsi="Arial" w:cs="Arial"/>
                <w:snapToGrid w:val="0"/>
                <w:color w:val="auto"/>
                <w:kern w:val="0"/>
                <w:szCs w:val="21"/>
                <w:highlight w:val="none"/>
                <w:lang w:eastAsia="en-US"/>
              </w:rPr>
            </w:pPr>
          </w:p>
          <w:p w14:paraId="4C201FE8">
            <w:pPr>
              <w:widowControl/>
              <w:kinsoku w:val="0"/>
              <w:autoSpaceDE w:val="0"/>
              <w:autoSpaceDN w:val="0"/>
              <w:adjustRightInd w:val="0"/>
              <w:snapToGrid w:val="0"/>
              <w:spacing w:line="243" w:lineRule="auto"/>
              <w:jc w:val="left"/>
              <w:textAlignment w:val="baseline"/>
              <w:rPr>
                <w:rFonts w:ascii="Arial" w:hAnsi="Arial" w:cs="Arial"/>
                <w:snapToGrid w:val="0"/>
                <w:color w:val="auto"/>
                <w:kern w:val="0"/>
                <w:szCs w:val="21"/>
                <w:highlight w:val="none"/>
                <w:lang w:eastAsia="en-US"/>
              </w:rPr>
            </w:pPr>
          </w:p>
          <w:p w14:paraId="42D9F753">
            <w:pPr>
              <w:widowControl/>
              <w:kinsoku w:val="0"/>
              <w:autoSpaceDE w:val="0"/>
              <w:autoSpaceDN w:val="0"/>
              <w:adjustRightInd w:val="0"/>
              <w:snapToGrid w:val="0"/>
              <w:spacing w:line="243" w:lineRule="auto"/>
              <w:jc w:val="left"/>
              <w:textAlignment w:val="baseline"/>
              <w:rPr>
                <w:rFonts w:ascii="Arial" w:hAnsi="Arial" w:cs="Arial"/>
                <w:snapToGrid w:val="0"/>
                <w:color w:val="auto"/>
                <w:kern w:val="0"/>
                <w:szCs w:val="21"/>
                <w:highlight w:val="none"/>
                <w:lang w:eastAsia="en-US"/>
              </w:rPr>
            </w:pPr>
          </w:p>
          <w:p w14:paraId="17D1DAEE">
            <w:pPr>
              <w:widowControl/>
              <w:kinsoku w:val="0"/>
              <w:autoSpaceDE w:val="0"/>
              <w:autoSpaceDN w:val="0"/>
              <w:adjustRightInd w:val="0"/>
              <w:snapToGrid w:val="0"/>
              <w:spacing w:before="78" w:line="439" w:lineRule="exact"/>
              <w:ind w:left="22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6"/>
                <w:kern w:val="0"/>
                <w:position w:val="15"/>
                <w:sz w:val="24"/>
                <w:highlight w:val="none"/>
                <w:lang w:eastAsia="en-US"/>
              </w:rPr>
              <w:t>劳动合</w:t>
            </w:r>
          </w:p>
          <w:p w14:paraId="72D1D8FB">
            <w:pPr>
              <w:widowControl/>
              <w:kinsoku w:val="0"/>
              <w:autoSpaceDE w:val="0"/>
              <w:autoSpaceDN w:val="0"/>
              <w:adjustRightInd w:val="0"/>
              <w:snapToGrid w:val="0"/>
              <w:spacing w:line="219" w:lineRule="auto"/>
              <w:ind w:left="24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1"/>
                <w:kern w:val="0"/>
                <w:sz w:val="24"/>
                <w:highlight w:val="none"/>
                <w:lang w:eastAsia="en-US"/>
              </w:rPr>
              <w:t>同编号</w:t>
            </w:r>
          </w:p>
        </w:tc>
      </w:tr>
      <w:tr w14:paraId="30FA0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672" w:type="dxa"/>
            <w:noWrap w:val="0"/>
            <w:vAlign w:val="top"/>
          </w:tcPr>
          <w:p w14:paraId="7AE163A3">
            <w:pPr>
              <w:widowControl/>
              <w:kinsoku w:val="0"/>
              <w:autoSpaceDE w:val="0"/>
              <w:autoSpaceDN w:val="0"/>
              <w:adjustRightInd w:val="0"/>
              <w:snapToGrid w:val="0"/>
              <w:jc w:val="left"/>
              <w:textAlignment w:val="baseline"/>
              <w:rPr>
                <w:rFonts w:ascii="Arial" w:hAnsi="Arial" w:cs="Arial"/>
                <w:snapToGrid w:val="0"/>
                <w:color w:val="auto"/>
                <w:kern w:val="0"/>
                <w:szCs w:val="21"/>
                <w:highlight w:val="none"/>
                <w:lang w:eastAsia="en-US"/>
              </w:rPr>
            </w:pPr>
          </w:p>
        </w:tc>
        <w:tc>
          <w:tcPr>
            <w:tcW w:w="1275" w:type="dxa"/>
            <w:noWrap w:val="0"/>
            <w:vAlign w:val="top"/>
          </w:tcPr>
          <w:p w14:paraId="38184BCA">
            <w:pPr>
              <w:widowControl/>
              <w:kinsoku w:val="0"/>
              <w:autoSpaceDE w:val="0"/>
              <w:autoSpaceDN w:val="0"/>
              <w:adjustRightInd w:val="0"/>
              <w:snapToGrid w:val="0"/>
              <w:jc w:val="left"/>
              <w:textAlignment w:val="baseline"/>
              <w:rPr>
                <w:rFonts w:ascii="Arial" w:hAnsi="Arial" w:cs="Arial"/>
                <w:snapToGrid w:val="0"/>
                <w:color w:val="auto"/>
                <w:kern w:val="0"/>
                <w:szCs w:val="21"/>
                <w:highlight w:val="none"/>
                <w:lang w:eastAsia="en-US"/>
              </w:rPr>
            </w:pPr>
          </w:p>
        </w:tc>
        <w:tc>
          <w:tcPr>
            <w:tcW w:w="1983" w:type="dxa"/>
            <w:noWrap w:val="0"/>
            <w:vAlign w:val="top"/>
          </w:tcPr>
          <w:p w14:paraId="49D72CA9">
            <w:pPr>
              <w:widowControl/>
              <w:kinsoku w:val="0"/>
              <w:autoSpaceDE w:val="0"/>
              <w:autoSpaceDN w:val="0"/>
              <w:adjustRightInd w:val="0"/>
              <w:snapToGrid w:val="0"/>
              <w:jc w:val="left"/>
              <w:textAlignment w:val="baseline"/>
              <w:rPr>
                <w:rFonts w:ascii="Arial" w:hAnsi="Arial" w:cs="Arial"/>
                <w:snapToGrid w:val="0"/>
                <w:color w:val="auto"/>
                <w:kern w:val="0"/>
                <w:szCs w:val="21"/>
                <w:highlight w:val="none"/>
                <w:lang w:eastAsia="en-US"/>
              </w:rPr>
            </w:pPr>
          </w:p>
        </w:tc>
        <w:tc>
          <w:tcPr>
            <w:tcW w:w="1419" w:type="dxa"/>
            <w:noWrap w:val="0"/>
            <w:vAlign w:val="top"/>
          </w:tcPr>
          <w:p w14:paraId="38F12B76">
            <w:pPr>
              <w:widowControl/>
              <w:kinsoku w:val="0"/>
              <w:autoSpaceDE w:val="0"/>
              <w:autoSpaceDN w:val="0"/>
              <w:adjustRightInd w:val="0"/>
              <w:snapToGrid w:val="0"/>
              <w:jc w:val="left"/>
              <w:textAlignment w:val="baseline"/>
              <w:rPr>
                <w:rFonts w:ascii="Arial" w:hAnsi="Arial" w:cs="Arial"/>
                <w:snapToGrid w:val="0"/>
                <w:color w:val="auto"/>
                <w:kern w:val="0"/>
                <w:szCs w:val="21"/>
                <w:highlight w:val="none"/>
                <w:lang w:eastAsia="en-US"/>
              </w:rPr>
            </w:pPr>
          </w:p>
        </w:tc>
        <w:tc>
          <w:tcPr>
            <w:tcW w:w="1556" w:type="dxa"/>
            <w:noWrap w:val="0"/>
            <w:vAlign w:val="top"/>
          </w:tcPr>
          <w:p w14:paraId="7E64A1A6">
            <w:pPr>
              <w:widowControl/>
              <w:kinsoku w:val="0"/>
              <w:autoSpaceDE w:val="0"/>
              <w:autoSpaceDN w:val="0"/>
              <w:adjustRightInd w:val="0"/>
              <w:snapToGrid w:val="0"/>
              <w:jc w:val="left"/>
              <w:textAlignment w:val="baseline"/>
              <w:rPr>
                <w:rFonts w:ascii="Arial" w:hAnsi="Arial" w:cs="Arial"/>
                <w:snapToGrid w:val="0"/>
                <w:color w:val="auto"/>
                <w:kern w:val="0"/>
                <w:szCs w:val="21"/>
                <w:highlight w:val="none"/>
                <w:lang w:eastAsia="en-US"/>
              </w:rPr>
            </w:pPr>
          </w:p>
        </w:tc>
        <w:tc>
          <w:tcPr>
            <w:tcW w:w="1138" w:type="dxa"/>
            <w:noWrap w:val="0"/>
            <w:vAlign w:val="top"/>
          </w:tcPr>
          <w:p w14:paraId="4E20C70B">
            <w:pPr>
              <w:widowControl/>
              <w:kinsoku w:val="0"/>
              <w:autoSpaceDE w:val="0"/>
              <w:autoSpaceDN w:val="0"/>
              <w:adjustRightInd w:val="0"/>
              <w:snapToGrid w:val="0"/>
              <w:jc w:val="left"/>
              <w:textAlignment w:val="baseline"/>
              <w:rPr>
                <w:rFonts w:ascii="Arial" w:hAnsi="Arial" w:cs="Arial"/>
                <w:snapToGrid w:val="0"/>
                <w:color w:val="auto"/>
                <w:kern w:val="0"/>
                <w:szCs w:val="21"/>
                <w:highlight w:val="none"/>
                <w:lang w:eastAsia="en-US"/>
              </w:rPr>
            </w:pPr>
          </w:p>
        </w:tc>
      </w:tr>
      <w:tr w14:paraId="16A8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672" w:type="dxa"/>
            <w:noWrap w:val="0"/>
            <w:vAlign w:val="top"/>
          </w:tcPr>
          <w:p w14:paraId="27118F10">
            <w:pPr>
              <w:widowControl/>
              <w:kinsoku w:val="0"/>
              <w:autoSpaceDE w:val="0"/>
              <w:autoSpaceDN w:val="0"/>
              <w:adjustRightInd w:val="0"/>
              <w:snapToGrid w:val="0"/>
              <w:jc w:val="left"/>
              <w:textAlignment w:val="baseline"/>
              <w:rPr>
                <w:rFonts w:ascii="Arial" w:hAnsi="Arial" w:cs="Arial"/>
                <w:snapToGrid w:val="0"/>
                <w:color w:val="auto"/>
                <w:kern w:val="0"/>
                <w:szCs w:val="21"/>
                <w:highlight w:val="none"/>
                <w:lang w:eastAsia="en-US"/>
              </w:rPr>
            </w:pPr>
          </w:p>
        </w:tc>
        <w:tc>
          <w:tcPr>
            <w:tcW w:w="1275" w:type="dxa"/>
            <w:noWrap w:val="0"/>
            <w:vAlign w:val="top"/>
          </w:tcPr>
          <w:p w14:paraId="30D30F90">
            <w:pPr>
              <w:widowControl/>
              <w:kinsoku w:val="0"/>
              <w:autoSpaceDE w:val="0"/>
              <w:autoSpaceDN w:val="0"/>
              <w:adjustRightInd w:val="0"/>
              <w:snapToGrid w:val="0"/>
              <w:jc w:val="left"/>
              <w:textAlignment w:val="baseline"/>
              <w:rPr>
                <w:rFonts w:ascii="Arial" w:hAnsi="Arial" w:cs="Arial"/>
                <w:snapToGrid w:val="0"/>
                <w:color w:val="auto"/>
                <w:kern w:val="0"/>
                <w:szCs w:val="21"/>
                <w:highlight w:val="none"/>
                <w:lang w:eastAsia="en-US"/>
              </w:rPr>
            </w:pPr>
          </w:p>
        </w:tc>
        <w:tc>
          <w:tcPr>
            <w:tcW w:w="1983" w:type="dxa"/>
            <w:noWrap w:val="0"/>
            <w:vAlign w:val="top"/>
          </w:tcPr>
          <w:p w14:paraId="2EDB4361">
            <w:pPr>
              <w:widowControl/>
              <w:kinsoku w:val="0"/>
              <w:autoSpaceDE w:val="0"/>
              <w:autoSpaceDN w:val="0"/>
              <w:adjustRightInd w:val="0"/>
              <w:snapToGrid w:val="0"/>
              <w:jc w:val="left"/>
              <w:textAlignment w:val="baseline"/>
              <w:rPr>
                <w:rFonts w:ascii="Arial" w:hAnsi="Arial" w:cs="Arial"/>
                <w:snapToGrid w:val="0"/>
                <w:color w:val="auto"/>
                <w:kern w:val="0"/>
                <w:szCs w:val="21"/>
                <w:highlight w:val="none"/>
                <w:lang w:eastAsia="en-US"/>
              </w:rPr>
            </w:pPr>
          </w:p>
        </w:tc>
        <w:tc>
          <w:tcPr>
            <w:tcW w:w="1419" w:type="dxa"/>
            <w:noWrap w:val="0"/>
            <w:vAlign w:val="top"/>
          </w:tcPr>
          <w:p w14:paraId="13D04878">
            <w:pPr>
              <w:widowControl/>
              <w:kinsoku w:val="0"/>
              <w:autoSpaceDE w:val="0"/>
              <w:autoSpaceDN w:val="0"/>
              <w:adjustRightInd w:val="0"/>
              <w:snapToGrid w:val="0"/>
              <w:jc w:val="left"/>
              <w:textAlignment w:val="baseline"/>
              <w:rPr>
                <w:rFonts w:ascii="Arial" w:hAnsi="Arial" w:cs="Arial"/>
                <w:snapToGrid w:val="0"/>
                <w:color w:val="auto"/>
                <w:kern w:val="0"/>
                <w:szCs w:val="21"/>
                <w:highlight w:val="none"/>
                <w:lang w:eastAsia="en-US"/>
              </w:rPr>
            </w:pPr>
          </w:p>
        </w:tc>
        <w:tc>
          <w:tcPr>
            <w:tcW w:w="1556" w:type="dxa"/>
            <w:noWrap w:val="0"/>
            <w:vAlign w:val="top"/>
          </w:tcPr>
          <w:p w14:paraId="7F9888DC">
            <w:pPr>
              <w:widowControl/>
              <w:kinsoku w:val="0"/>
              <w:autoSpaceDE w:val="0"/>
              <w:autoSpaceDN w:val="0"/>
              <w:adjustRightInd w:val="0"/>
              <w:snapToGrid w:val="0"/>
              <w:jc w:val="left"/>
              <w:textAlignment w:val="baseline"/>
              <w:rPr>
                <w:rFonts w:ascii="Arial" w:hAnsi="Arial" w:cs="Arial"/>
                <w:snapToGrid w:val="0"/>
                <w:color w:val="auto"/>
                <w:kern w:val="0"/>
                <w:szCs w:val="21"/>
                <w:highlight w:val="none"/>
                <w:lang w:eastAsia="en-US"/>
              </w:rPr>
            </w:pPr>
          </w:p>
        </w:tc>
        <w:tc>
          <w:tcPr>
            <w:tcW w:w="1138" w:type="dxa"/>
            <w:noWrap w:val="0"/>
            <w:vAlign w:val="top"/>
          </w:tcPr>
          <w:p w14:paraId="05A2D442">
            <w:pPr>
              <w:widowControl/>
              <w:kinsoku w:val="0"/>
              <w:autoSpaceDE w:val="0"/>
              <w:autoSpaceDN w:val="0"/>
              <w:adjustRightInd w:val="0"/>
              <w:snapToGrid w:val="0"/>
              <w:jc w:val="left"/>
              <w:textAlignment w:val="baseline"/>
              <w:rPr>
                <w:rFonts w:ascii="Arial" w:hAnsi="Arial" w:cs="Arial"/>
                <w:snapToGrid w:val="0"/>
                <w:color w:val="auto"/>
                <w:kern w:val="0"/>
                <w:szCs w:val="21"/>
                <w:highlight w:val="none"/>
                <w:lang w:eastAsia="en-US"/>
              </w:rPr>
            </w:pPr>
          </w:p>
        </w:tc>
      </w:tr>
      <w:tr w14:paraId="38467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672" w:type="dxa"/>
            <w:noWrap w:val="0"/>
            <w:vAlign w:val="top"/>
          </w:tcPr>
          <w:p w14:paraId="2EFA8D8E">
            <w:pPr>
              <w:widowControl/>
              <w:kinsoku w:val="0"/>
              <w:autoSpaceDE w:val="0"/>
              <w:autoSpaceDN w:val="0"/>
              <w:adjustRightInd w:val="0"/>
              <w:snapToGrid w:val="0"/>
              <w:jc w:val="left"/>
              <w:textAlignment w:val="baseline"/>
              <w:rPr>
                <w:rFonts w:ascii="Arial" w:hAnsi="Arial" w:cs="Arial"/>
                <w:snapToGrid w:val="0"/>
                <w:color w:val="auto"/>
                <w:kern w:val="0"/>
                <w:szCs w:val="21"/>
                <w:highlight w:val="none"/>
                <w:lang w:eastAsia="en-US"/>
              </w:rPr>
            </w:pPr>
          </w:p>
        </w:tc>
        <w:tc>
          <w:tcPr>
            <w:tcW w:w="1275" w:type="dxa"/>
            <w:noWrap w:val="0"/>
            <w:vAlign w:val="top"/>
          </w:tcPr>
          <w:p w14:paraId="68B0E9C3">
            <w:pPr>
              <w:widowControl/>
              <w:kinsoku w:val="0"/>
              <w:autoSpaceDE w:val="0"/>
              <w:autoSpaceDN w:val="0"/>
              <w:adjustRightInd w:val="0"/>
              <w:snapToGrid w:val="0"/>
              <w:jc w:val="left"/>
              <w:textAlignment w:val="baseline"/>
              <w:rPr>
                <w:rFonts w:ascii="Arial" w:hAnsi="Arial" w:cs="Arial"/>
                <w:snapToGrid w:val="0"/>
                <w:color w:val="auto"/>
                <w:kern w:val="0"/>
                <w:szCs w:val="21"/>
                <w:highlight w:val="none"/>
                <w:lang w:eastAsia="en-US"/>
              </w:rPr>
            </w:pPr>
          </w:p>
        </w:tc>
        <w:tc>
          <w:tcPr>
            <w:tcW w:w="1983" w:type="dxa"/>
            <w:noWrap w:val="0"/>
            <w:vAlign w:val="top"/>
          </w:tcPr>
          <w:p w14:paraId="24D314DB">
            <w:pPr>
              <w:widowControl/>
              <w:kinsoku w:val="0"/>
              <w:autoSpaceDE w:val="0"/>
              <w:autoSpaceDN w:val="0"/>
              <w:adjustRightInd w:val="0"/>
              <w:snapToGrid w:val="0"/>
              <w:jc w:val="left"/>
              <w:textAlignment w:val="baseline"/>
              <w:rPr>
                <w:rFonts w:ascii="Arial" w:hAnsi="Arial" w:cs="Arial"/>
                <w:snapToGrid w:val="0"/>
                <w:color w:val="auto"/>
                <w:kern w:val="0"/>
                <w:szCs w:val="21"/>
                <w:highlight w:val="none"/>
                <w:lang w:eastAsia="en-US"/>
              </w:rPr>
            </w:pPr>
          </w:p>
        </w:tc>
        <w:tc>
          <w:tcPr>
            <w:tcW w:w="1419" w:type="dxa"/>
            <w:noWrap w:val="0"/>
            <w:vAlign w:val="top"/>
          </w:tcPr>
          <w:p w14:paraId="14BF733C">
            <w:pPr>
              <w:widowControl/>
              <w:kinsoku w:val="0"/>
              <w:autoSpaceDE w:val="0"/>
              <w:autoSpaceDN w:val="0"/>
              <w:adjustRightInd w:val="0"/>
              <w:snapToGrid w:val="0"/>
              <w:jc w:val="left"/>
              <w:textAlignment w:val="baseline"/>
              <w:rPr>
                <w:rFonts w:ascii="Arial" w:hAnsi="Arial" w:cs="Arial"/>
                <w:snapToGrid w:val="0"/>
                <w:color w:val="auto"/>
                <w:kern w:val="0"/>
                <w:szCs w:val="21"/>
                <w:highlight w:val="none"/>
                <w:lang w:eastAsia="en-US"/>
              </w:rPr>
            </w:pPr>
          </w:p>
        </w:tc>
        <w:tc>
          <w:tcPr>
            <w:tcW w:w="1556" w:type="dxa"/>
            <w:noWrap w:val="0"/>
            <w:vAlign w:val="top"/>
          </w:tcPr>
          <w:p w14:paraId="6D58C32D">
            <w:pPr>
              <w:widowControl/>
              <w:kinsoku w:val="0"/>
              <w:autoSpaceDE w:val="0"/>
              <w:autoSpaceDN w:val="0"/>
              <w:adjustRightInd w:val="0"/>
              <w:snapToGrid w:val="0"/>
              <w:jc w:val="left"/>
              <w:textAlignment w:val="baseline"/>
              <w:rPr>
                <w:rFonts w:ascii="Arial" w:hAnsi="Arial" w:cs="Arial"/>
                <w:snapToGrid w:val="0"/>
                <w:color w:val="auto"/>
                <w:kern w:val="0"/>
                <w:szCs w:val="21"/>
                <w:highlight w:val="none"/>
                <w:lang w:eastAsia="en-US"/>
              </w:rPr>
            </w:pPr>
          </w:p>
        </w:tc>
        <w:tc>
          <w:tcPr>
            <w:tcW w:w="1138" w:type="dxa"/>
            <w:noWrap w:val="0"/>
            <w:vAlign w:val="top"/>
          </w:tcPr>
          <w:p w14:paraId="53E320F7">
            <w:pPr>
              <w:widowControl/>
              <w:kinsoku w:val="0"/>
              <w:autoSpaceDE w:val="0"/>
              <w:autoSpaceDN w:val="0"/>
              <w:adjustRightInd w:val="0"/>
              <w:snapToGrid w:val="0"/>
              <w:jc w:val="left"/>
              <w:textAlignment w:val="baseline"/>
              <w:rPr>
                <w:rFonts w:ascii="Arial" w:hAnsi="Arial" w:cs="Arial"/>
                <w:snapToGrid w:val="0"/>
                <w:color w:val="auto"/>
                <w:kern w:val="0"/>
                <w:szCs w:val="21"/>
                <w:highlight w:val="none"/>
                <w:lang w:eastAsia="en-US"/>
              </w:rPr>
            </w:pPr>
          </w:p>
        </w:tc>
      </w:tr>
    </w:tbl>
    <w:p w14:paraId="40905DF5">
      <w:pPr>
        <w:widowControl/>
        <w:kinsoku w:val="0"/>
        <w:autoSpaceDE w:val="0"/>
        <w:autoSpaceDN w:val="0"/>
        <w:adjustRightInd w:val="0"/>
        <w:snapToGrid w:val="0"/>
        <w:spacing w:line="304" w:lineRule="auto"/>
        <w:jc w:val="left"/>
        <w:textAlignment w:val="baseline"/>
        <w:rPr>
          <w:rFonts w:ascii="Arial" w:hAnsi="Arial" w:cs="Arial"/>
          <w:snapToGrid w:val="0"/>
          <w:color w:val="auto"/>
          <w:kern w:val="0"/>
          <w:szCs w:val="21"/>
          <w:highlight w:val="none"/>
          <w:lang w:eastAsia="en-US"/>
        </w:rPr>
      </w:pPr>
    </w:p>
    <w:p w14:paraId="0FFB50AC">
      <w:pPr>
        <w:widowControl/>
        <w:kinsoku w:val="0"/>
        <w:autoSpaceDE w:val="0"/>
        <w:autoSpaceDN w:val="0"/>
        <w:adjustRightInd w:val="0"/>
        <w:snapToGrid w:val="0"/>
        <w:spacing w:line="305" w:lineRule="auto"/>
        <w:jc w:val="left"/>
        <w:textAlignment w:val="baseline"/>
        <w:rPr>
          <w:rFonts w:ascii="Arial" w:hAnsi="Arial" w:cs="Arial"/>
          <w:snapToGrid w:val="0"/>
          <w:color w:val="auto"/>
          <w:kern w:val="0"/>
          <w:szCs w:val="21"/>
          <w:highlight w:val="none"/>
          <w:lang w:eastAsia="en-US"/>
        </w:rPr>
      </w:pPr>
    </w:p>
    <w:p w14:paraId="7A48AC7F">
      <w:pPr>
        <w:widowControl/>
        <w:kinsoku w:val="0"/>
        <w:autoSpaceDE w:val="0"/>
        <w:autoSpaceDN w:val="0"/>
        <w:adjustRightInd w:val="0"/>
        <w:snapToGrid w:val="0"/>
        <w:spacing w:before="78" w:line="224" w:lineRule="auto"/>
        <w:ind w:left="12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sz w:val="24"/>
          <w:highlight w:val="none"/>
          <w:lang w:eastAsia="en-US"/>
        </w:rPr>
        <w:t>注：</w:t>
      </w:r>
    </w:p>
    <w:p w14:paraId="5F02D545">
      <w:pPr>
        <w:widowControl/>
        <w:kinsoku w:val="0"/>
        <w:autoSpaceDE w:val="0"/>
        <w:autoSpaceDN w:val="0"/>
        <w:adjustRightInd w:val="0"/>
        <w:snapToGrid w:val="0"/>
        <w:spacing w:before="230" w:line="518" w:lineRule="exact"/>
        <w:ind w:left="140"/>
        <w:jc w:val="left"/>
        <w:textAlignment w:val="baseline"/>
        <w:rPr>
          <w:rFonts w:ascii="宋体" w:hAnsi="宋体" w:cs="宋体"/>
          <w:snapToGrid w:val="0"/>
          <w:color w:val="auto"/>
          <w:kern w:val="0"/>
          <w:sz w:val="24"/>
          <w:highlight w:val="none"/>
        </w:rPr>
      </w:pPr>
      <w:r>
        <w:rPr>
          <w:rFonts w:ascii="宋体" w:hAnsi="宋体" w:cs="宋体"/>
          <w:snapToGrid w:val="0"/>
          <w:color w:val="auto"/>
          <w:spacing w:val="-1"/>
          <w:kern w:val="0"/>
          <w:position w:val="21"/>
          <w:sz w:val="24"/>
          <w:highlight w:val="none"/>
        </w:rPr>
        <w:t>1.</w:t>
      </w:r>
      <w:r>
        <w:rPr>
          <w:rFonts w:hint="eastAsia" w:ascii="宋体" w:hAnsi="宋体" w:cs="宋体"/>
          <w:snapToGrid w:val="0"/>
          <w:color w:val="auto"/>
          <w:spacing w:val="-1"/>
          <w:kern w:val="0"/>
          <w:position w:val="21"/>
          <w:sz w:val="24"/>
          <w:highlight w:val="none"/>
        </w:rPr>
        <w:t>在填写时，如本表格不适合供应商的实际情况，可根据本表格式自行制表填写。</w:t>
      </w:r>
    </w:p>
    <w:p w14:paraId="535BFE46">
      <w:pPr>
        <w:widowControl/>
        <w:kinsoku w:val="0"/>
        <w:autoSpaceDE w:val="0"/>
        <w:autoSpaceDN w:val="0"/>
        <w:adjustRightInd w:val="0"/>
        <w:snapToGrid w:val="0"/>
        <w:spacing w:before="1" w:line="218" w:lineRule="auto"/>
        <w:ind w:left="125"/>
        <w:jc w:val="left"/>
        <w:textAlignment w:val="baseline"/>
        <w:rPr>
          <w:rFonts w:ascii="宋体" w:hAnsi="宋体" w:cs="宋体"/>
          <w:snapToGrid w:val="0"/>
          <w:color w:val="auto"/>
          <w:kern w:val="0"/>
          <w:sz w:val="24"/>
          <w:highlight w:val="none"/>
        </w:rPr>
      </w:pPr>
      <w:r>
        <w:rPr>
          <w:rFonts w:ascii="宋体" w:hAnsi="宋体" w:cs="宋体"/>
          <w:snapToGrid w:val="0"/>
          <w:color w:val="auto"/>
          <w:spacing w:val="-1"/>
          <w:kern w:val="0"/>
          <w:sz w:val="24"/>
          <w:highlight w:val="none"/>
        </w:rPr>
        <w:t>2.</w:t>
      </w:r>
      <w:r>
        <w:rPr>
          <w:rFonts w:hint="eastAsia" w:ascii="宋体" w:hAnsi="宋体" w:cs="宋体"/>
          <w:snapToGrid w:val="0"/>
          <w:color w:val="auto"/>
          <w:spacing w:val="-1"/>
          <w:kern w:val="0"/>
          <w:sz w:val="24"/>
          <w:highlight w:val="none"/>
        </w:rPr>
        <w:t>供应商应当附本表所列证书的复印件并加盖供应商电子签章。</w:t>
      </w:r>
    </w:p>
    <w:p w14:paraId="0114E25A">
      <w:pPr>
        <w:widowControl/>
        <w:kinsoku w:val="0"/>
        <w:autoSpaceDE w:val="0"/>
        <w:autoSpaceDN w:val="0"/>
        <w:adjustRightInd w:val="0"/>
        <w:snapToGrid w:val="0"/>
        <w:spacing w:line="243" w:lineRule="auto"/>
        <w:jc w:val="left"/>
        <w:textAlignment w:val="baseline"/>
        <w:rPr>
          <w:rFonts w:ascii="Arial" w:hAnsi="Arial" w:cs="Arial"/>
          <w:snapToGrid w:val="0"/>
          <w:color w:val="auto"/>
          <w:kern w:val="0"/>
          <w:szCs w:val="21"/>
          <w:highlight w:val="none"/>
        </w:rPr>
      </w:pPr>
    </w:p>
    <w:p w14:paraId="3BD60210">
      <w:pPr>
        <w:widowControl/>
        <w:kinsoku w:val="0"/>
        <w:autoSpaceDE w:val="0"/>
        <w:autoSpaceDN w:val="0"/>
        <w:adjustRightInd w:val="0"/>
        <w:snapToGrid w:val="0"/>
        <w:spacing w:line="244" w:lineRule="auto"/>
        <w:jc w:val="left"/>
        <w:textAlignment w:val="baseline"/>
        <w:rPr>
          <w:rFonts w:ascii="Arial" w:hAnsi="Arial" w:cs="Arial"/>
          <w:snapToGrid w:val="0"/>
          <w:color w:val="auto"/>
          <w:kern w:val="0"/>
          <w:szCs w:val="21"/>
          <w:highlight w:val="none"/>
        </w:rPr>
      </w:pPr>
    </w:p>
    <w:p w14:paraId="7BBBF41F">
      <w:pPr>
        <w:widowControl/>
        <w:kinsoku w:val="0"/>
        <w:autoSpaceDE w:val="0"/>
        <w:autoSpaceDN w:val="0"/>
        <w:adjustRightInd w:val="0"/>
        <w:snapToGrid w:val="0"/>
        <w:spacing w:line="244" w:lineRule="auto"/>
        <w:jc w:val="left"/>
        <w:textAlignment w:val="baseline"/>
        <w:rPr>
          <w:rFonts w:ascii="Arial" w:hAnsi="Arial" w:cs="Arial"/>
          <w:snapToGrid w:val="0"/>
          <w:color w:val="auto"/>
          <w:kern w:val="0"/>
          <w:szCs w:val="21"/>
          <w:highlight w:val="none"/>
        </w:rPr>
      </w:pPr>
    </w:p>
    <w:p w14:paraId="703564EE">
      <w:pPr>
        <w:widowControl/>
        <w:kinsoku w:val="0"/>
        <w:autoSpaceDE w:val="0"/>
        <w:autoSpaceDN w:val="0"/>
        <w:adjustRightInd w:val="0"/>
        <w:snapToGrid w:val="0"/>
        <w:spacing w:line="244" w:lineRule="auto"/>
        <w:jc w:val="left"/>
        <w:textAlignment w:val="baseline"/>
        <w:rPr>
          <w:rFonts w:ascii="Arial" w:hAnsi="Arial" w:cs="Arial"/>
          <w:snapToGrid w:val="0"/>
          <w:color w:val="auto"/>
          <w:kern w:val="0"/>
          <w:szCs w:val="21"/>
          <w:highlight w:val="none"/>
        </w:rPr>
      </w:pPr>
    </w:p>
    <w:p w14:paraId="12AEA607">
      <w:pPr>
        <w:widowControl/>
        <w:kinsoku w:val="0"/>
        <w:autoSpaceDE w:val="0"/>
        <w:autoSpaceDN w:val="0"/>
        <w:adjustRightInd w:val="0"/>
        <w:snapToGrid w:val="0"/>
        <w:spacing w:line="244" w:lineRule="auto"/>
        <w:jc w:val="left"/>
        <w:textAlignment w:val="baseline"/>
        <w:rPr>
          <w:rFonts w:ascii="Arial" w:hAnsi="Arial" w:cs="Arial"/>
          <w:snapToGrid w:val="0"/>
          <w:color w:val="auto"/>
          <w:kern w:val="0"/>
          <w:szCs w:val="21"/>
          <w:highlight w:val="none"/>
        </w:rPr>
      </w:pPr>
    </w:p>
    <w:p w14:paraId="3EB37FFB">
      <w:pPr>
        <w:widowControl/>
        <w:kinsoku w:val="0"/>
        <w:autoSpaceDE w:val="0"/>
        <w:autoSpaceDN w:val="0"/>
        <w:adjustRightInd w:val="0"/>
        <w:snapToGrid w:val="0"/>
        <w:spacing w:line="244" w:lineRule="auto"/>
        <w:jc w:val="left"/>
        <w:textAlignment w:val="baseline"/>
        <w:rPr>
          <w:rFonts w:ascii="Arial" w:hAnsi="Arial" w:cs="Arial"/>
          <w:snapToGrid w:val="0"/>
          <w:color w:val="auto"/>
          <w:kern w:val="0"/>
          <w:szCs w:val="21"/>
          <w:highlight w:val="none"/>
        </w:rPr>
      </w:pPr>
    </w:p>
    <w:p w14:paraId="331674B7">
      <w:pPr>
        <w:widowControl/>
        <w:kinsoku w:val="0"/>
        <w:autoSpaceDE w:val="0"/>
        <w:autoSpaceDN w:val="0"/>
        <w:adjustRightInd w:val="0"/>
        <w:snapToGrid w:val="0"/>
        <w:spacing w:line="244" w:lineRule="auto"/>
        <w:jc w:val="left"/>
        <w:textAlignment w:val="baseline"/>
        <w:rPr>
          <w:rFonts w:ascii="Arial" w:hAnsi="Arial" w:cs="Arial"/>
          <w:snapToGrid w:val="0"/>
          <w:color w:val="auto"/>
          <w:kern w:val="0"/>
          <w:szCs w:val="21"/>
          <w:highlight w:val="none"/>
        </w:rPr>
      </w:pPr>
    </w:p>
    <w:p w14:paraId="74B2CF1C">
      <w:pPr>
        <w:widowControl/>
        <w:kinsoku w:val="0"/>
        <w:autoSpaceDE w:val="0"/>
        <w:autoSpaceDN w:val="0"/>
        <w:adjustRightInd w:val="0"/>
        <w:snapToGrid w:val="0"/>
        <w:spacing w:before="79" w:line="401" w:lineRule="auto"/>
        <w:ind w:left="123"/>
        <w:jc w:val="righ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法定代表人或者委托代理人（</w:t>
      </w:r>
      <w:r>
        <w:rPr>
          <w:rFonts w:hint="eastAsia" w:ascii="宋体" w:hAnsi="宋体" w:cs="宋体"/>
          <w:color w:val="auto"/>
          <w:sz w:val="24"/>
          <w:highlight w:val="none"/>
        </w:rPr>
        <w:t>签字或盖章或电子签名</w:t>
      </w:r>
      <w:r>
        <w:rPr>
          <w:rFonts w:hint="eastAsia" w:ascii="宋体" w:hAnsi="宋体" w:cs="宋体"/>
          <w:snapToGrid w:val="0"/>
          <w:color w:val="auto"/>
          <w:spacing w:val="4"/>
          <w:kern w:val="0"/>
          <w:sz w:val="24"/>
          <w:highlight w:val="none"/>
        </w:rPr>
        <w:t>）：</w:t>
      </w:r>
    </w:p>
    <w:p w14:paraId="0511BD39">
      <w:pPr>
        <w:widowControl/>
        <w:kinsoku w:val="0"/>
        <w:autoSpaceDE w:val="0"/>
        <w:autoSpaceDN w:val="0"/>
        <w:adjustRightInd w:val="0"/>
        <w:snapToGrid w:val="0"/>
        <w:spacing w:before="1" w:line="218" w:lineRule="auto"/>
        <w:ind w:left="122"/>
        <w:jc w:val="center"/>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 xml:space="preserve">       供应商名称（电子签章</w:t>
      </w:r>
      <w:r>
        <w:rPr>
          <w:rFonts w:hint="eastAsia" w:ascii="宋体" w:hAnsi="宋体" w:cs="宋体"/>
          <w:snapToGrid w:val="0"/>
          <w:color w:val="auto"/>
          <w:spacing w:val="2"/>
          <w:kern w:val="0"/>
          <w:sz w:val="24"/>
          <w:highlight w:val="none"/>
        </w:rPr>
        <w:t>）：</w:t>
      </w:r>
    </w:p>
    <w:p w14:paraId="6B3DBBA6">
      <w:pPr>
        <w:widowControl/>
        <w:kinsoku w:val="0"/>
        <w:autoSpaceDE w:val="0"/>
        <w:autoSpaceDN w:val="0"/>
        <w:adjustRightInd w:val="0"/>
        <w:snapToGrid w:val="0"/>
        <w:spacing w:before="234" w:line="220" w:lineRule="auto"/>
        <w:ind w:left="164" w:right="392"/>
        <w:jc w:val="center"/>
        <w:textAlignment w:val="baseline"/>
        <w:rPr>
          <w:rFonts w:ascii="宋体" w:hAnsi="宋体" w:cs="宋体"/>
          <w:snapToGrid w:val="0"/>
          <w:color w:val="auto"/>
          <w:kern w:val="0"/>
          <w:sz w:val="24"/>
          <w:highlight w:val="none"/>
        </w:rPr>
      </w:pPr>
      <w:r>
        <w:rPr>
          <w:rFonts w:hint="eastAsia" w:ascii="宋体" w:hAnsi="宋体" w:cs="宋体"/>
          <w:snapToGrid w:val="0"/>
          <w:color w:val="auto"/>
          <w:spacing w:val="-22"/>
          <w:kern w:val="0"/>
          <w:sz w:val="24"/>
          <w:highlight w:val="none"/>
        </w:rPr>
        <w:t xml:space="preserve">                                                       日 期 ：</w:t>
      </w:r>
    </w:p>
    <w:p w14:paraId="4CDDB570">
      <w:pPr>
        <w:pStyle w:val="21"/>
        <w:rPr>
          <w:color w:val="auto"/>
          <w:highlight w:val="none"/>
        </w:rPr>
      </w:pPr>
    </w:p>
    <w:p w14:paraId="4E207876">
      <w:pPr>
        <w:pStyle w:val="3"/>
        <w:rPr>
          <w:rFonts w:hint="eastAsia"/>
          <w:color w:val="auto"/>
          <w:highlight w:val="none"/>
        </w:rPr>
      </w:pPr>
    </w:p>
    <w:p w14:paraId="46217CBD">
      <w:pPr>
        <w:adjustRightInd w:val="0"/>
        <w:snapToGrid w:val="0"/>
        <w:spacing w:line="520" w:lineRule="exact"/>
        <w:ind w:firstLine="7040" w:firstLineChars="1600"/>
        <w:jc w:val="center"/>
        <w:rPr>
          <w:rFonts w:hint="eastAsia" w:ascii="宋体" w:hAnsi="宋体" w:cs="宋体"/>
          <w:bCs/>
          <w:color w:val="auto"/>
          <w:sz w:val="44"/>
          <w:szCs w:val="44"/>
          <w:highlight w:val="none"/>
        </w:rPr>
      </w:pPr>
    </w:p>
    <w:p w14:paraId="439112B2">
      <w:pPr>
        <w:adjustRightInd w:val="0"/>
        <w:snapToGrid w:val="0"/>
        <w:spacing w:line="520" w:lineRule="exact"/>
        <w:ind w:firstLine="7040" w:firstLineChars="1600"/>
        <w:jc w:val="center"/>
        <w:rPr>
          <w:rFonts w:hint="eastAsia" w:ascii="宋体" w:hAnsi="宋体" w:cs="宋体"/>
          <w:bCs/>
          <w:color w:val="auto"/>
          <w:sz w:val="44"/>
          <w:szCs w:val="44"/>
          <w:highlight w:val="none"/>
        </w:rPr>
      </w:pPr>
    </w:p>
    <w:p w14:paraId="511BB9E6">
      <w:pPr>
        <w:adjustRightInd w:val="0"/>
        <w:snapToGrid w:val="0"/>
        <w:spacing w:line="520" w:lineRule="exact"/>
        <w:ind w:firstLine="7040" w:firstLineChars="1600"/>
        <w:jc w:val="center"/>
        <w:rPr>
          <w:rFonts w:hint="eastAsia" w:ascii="宋体" w:hAnsi="宋体" w:cs="宋体"/>
          <w:bCs/>
          <w:color w:val="auto"/>
          <w:sz w:val="44"/>
          <w:szCs w:val="44"/>
          <w:highlight w:val="none"/>
        </w:rPr>
      </w:pPr>
    </w:p>
    <w:p w14:paraId="07BFB777">
      <w:pPr>
        <w:spacing w:line="300" w:lineRule="auto"/>
        <w:rPr>
          <w:rFonts w:hint="eastAsia" w:ascii="宋体" w:hAnsi="宋体" w:cs="宋体"/>
          <w:color w:val="auto"/>
          <w:szCs w:val="21"/>
          <w:highlight w:val="none"/>
          <w:u w:val="single"/>
        </w:rPr>
      </w:pPr>
    </w:p>
    <w:p w14:paraId="32D0F134">
      <w:pPr>
        <w:spacing w:line="300" w:lineRule="auto"/>
        <w:rPr>
          <w:rFonts w:hint="eastAsia" w:ascii="宋体" w:hAnsi="宋体" w:cs="宋体"/>
          <w:color w:val="auto"/>
          <w:szCs w:val="21"/>
          <w:highlight w:val="none"/>
        </w:rPr>
      </w:pPr>
      <w:r>
        <w:rPr>
          <w:rFonts w:hint="eastAsia" w:ascii="宋体" w:hAnsi="宋体" w:cs="宋体"/>
          <w:b/>
          <w:bCs/>
          <w:color w:val="auto"/>
          <w:sz w:val="24"/>
          <w:highlight w:val="none"/>
        </w:rPr>
        <w:t>其他文书、文件格式</w:t>
      </w:r>
    </w:p>
    <w:p w14:paraId="6F0B804A">
      <w:pPr>
        <w:jc w:val="center"/>
        <w:rPr>
          <w:rFonts w:hint="eastAsia" w:ascii="宋体" w:hAnsi="宋体" w:cs="宋体"/>
          <w:color w:val="auto"/>
          <w:sz w:val="44"/>
          <w:szCs w:val="44"/>
          <w:highlight w:val="none"/>
        </w:rPr>
      </w:pPr>
      <w:bookmarkStart w:id="50" w:name="_Toc71365926"/>
      <w:r>
        <w:rPr>
          <w:rFonts w:hint="eastAsia" w:ascii="宋体" w:hAnsi="宋体" w:cs="宋体"/>
          <w:color w:val="auto"/>
          <w:sz w:val="44"/>
          <w:szCs w:val="44"/>
          <w:highlight w:val="none"/>
        </w:rPr>
        <w:t>中小企业声明函（服务）</w:t>
      </w:r>
      <w:bookmarkEnd w:id="50"/>
    </w:p>
    <w:p w14:paraId="61CCBDBF">
      <w:pPr>
        <w:spacing w:before="2" w:line="500" w:lineRule="exact"/>
        <w:ind w:firstLine="708" w:firstLineChars="294"/>
        <w:rPr>
          <w:rFonts w:hint="eastAsia" w:ascii="宋体" w:hAnsi="宋体" w:cs="宋体"/>
          <w:b/>
          <w:bCs/>
          <w:color w:val="auto"/>
          <w:sz w:val="24"/>
          <w:highlight w:val="none"/>
        </w:rPr>
      </w:pPr>
    </w:p>
    <w:p w14:paraId="6E53E47A">
      <w:pPr>
        <w:pStyle w:val="8"/>
        <w:spacing w:line="500" w:lineRule="exact"/>
        <w:ind w:right="142" w:firstLine="705" w:firstLineChars="294"/>
        <w:rPr>
          <w:rFonts w:hint="eastAsia"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3EA7249B">
      <w:pPr>
        <w:tabs>
          <w:tab w:val="left" w:pos="1384"/>
          <w:tab w:val="left" w:pos="4562"/>
          <w:tab w:val="left" w:pos="6803"/>
        </w:tabs>
        <w:spacing w:before="13" w:line="500" w:lineRule="exact"/>
        <w:ind w:right="142" w:firstLine="772" w:firstLineChars="322"/>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项目</w:t>
      </w:r>
      <w:r>
        <w:rPr>
          <w:rFonts w:hint="eastAsia" w:ascii="宋体" w:hAnsi="宋体" w:cs="宋体"/>
          <w:color w:val="auto"/>
          <w:sz w:val="24"/>
          <w:highlight w:val="none"/>
          <w:u w:val="single"/>
        </w:rPr>
        <w:t>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746CF863">
      <w:pPr>
        <w:tabs>
          <w:tab w:val="left" w:pos="1065"/>
          <w:tab w:val="left" w:pos="4262"/>
          <w:tab w:val="left" w:pos="6477"/>
        </w:tabs>
        <w:spacing w:before="20" w:line="500" w:lineRule="exact"/>
        <w:ind w:right="84" w:firstLine="772" w:firstLineChars="322"/>
        <w:rPr>
          <w:rFonts w:hint="eastAsia" w:ascii="宋体" w:hAnsi="宋体" w:cs="宋体"/>
          <w:color w:val="auto"/>
          <w:sz w:val="24"/>
          <w:highlight w:val="none"/>
          <w:u w:val="singl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22CFD30F">
      <w:pPr>
        <w:pStyle w:val="8"/>
        <w:spacing w:before="34" w:line="500" w:lineRule="exact"/>
        <w:ind w:right="142" w:firstLine="705" w:firstLineChars="294"/>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4DD35335">
      <w:pPr>
        <w:pStyle w:val="8"/>
        <w:spacing w:before="34" w:line="500" w:lineRule="exact"/>
        <w:ind w:right="142" w:firstLine="705" w:firstLineChars="294"/>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6F5795D0">
      <w:pPr>
        <w:pStyle w:val="8"/>
        <w:spacing w:before="25" w:line="500" w:lineRule="exact"/>
        <w:ind w:right="142" w:firstLine="705" w:firstLineChars="294"/>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3D9E8231">
      <w:pPr>
        <w:pStyle w:val="8"/>
        <w:spacing w:before="56" w:line="500" w:lineRule="exact"/>
        <w:ind w:right="1808" w:firstLine="705" w:firstLineChars="294"/>
        <w:rPr>
          <w:rFonts w:hint="eastAsia" w:ascii="宋体" w:hAnsi="宋体" w:cs="宋体"/>
          <w:color w:val="auto"/>
          <w:sz w:val="24"/>
          <w:highlight w:val="none"/>
        </w:rPr>
      </w:pPr>
    </w:p>
    <w:p w14:paraId="53D23FDF">
      <w:pPr>
        <w:pStyle w:val="8"/>
        <w:spacing w:before="56" w:line="500" w:lineRule="exact"/>
        <w:ind w:right="650" w:firstLine="5625" w:firstLineChars="2344"/>
        <w:rPr>
          <w:rFonts w:hint="eastAsia" w:ascii="宋体" w:hAnsi="宋体" w:cs="宋体"/>
          <w:color w:val="auto"/>
          <w:sz w:val="24"/>
          <w:highlight w:val="none"/>
        </w:rPr>
      </w:pPr>
      <w:r>
        <w:rPr>
          <w:rFonts w:hint="eastAsia" w:ascii="宋体" w:hAnsi="宋体" w:cs="宋体"/>
          <w:color w:val="auto"/>
          <w:sz w:val="24"/>
          <w:highlight w:val="none"/>
          <w:lang w:eastAsia="zh-CN"/>
        </w:rPr>
        <w:t>企业名称（章）</w:t>
      </w:r>
      <w:r>
        <w:rPr>
          <w:rFonts w:hint="eastAsia" w:ascii="宋体" w:hAnsi="宋体" w:cs="宋体"/>
          <w:color w:val="auto"/>
          <w:sz w:val="24"/>
          <w:highlight w:val="none"/>
        </w:rPr>
        <w:t xml:space="preserve">： </w:t>
      </w:r>
    </w:p>
    <w:p w14:paraId="52F95935">
      <w:pPr>
        <w:pStyle w:val="8"/>
        <w:spacing w:before="56" w:line="500" w:lineRule="exact"/>
        <w:ind w:right="1808" w:firstLine="5625" w:firstLineChars="2344"/>
        <w:rPr>
          <w:rFonts w:hint="eastAsia" w:ascii="宋体" w:hAnsi="宋体" w:cs="宋体"/>
          <w:color w:val="auto"/>
          <w:sz w:val="24"/>
          <w:highlight w:val="none"/>
        </w:rPr>
      </w:pPr>
      <w:r>
        <w:rPr>
          <w:rFonts w:hint="eastAsia" w:ascii="宋体" w:hAnsi="宋体" w:cs="宋体"/>
          <w:color w:val="auto"/>
          <w:sz w:val="24"/>
          <w:highlight w:val="none"/>
        </w:rPr>
        <w:t>日 期：</w:t>
      </w:r>
    </w:p>
    <w:p w14:paraId="5F220240">
      <w:pPr>
        <w:spacing w:line="520" w:lineRule="exact"/>
        <w:jc w:val="left"/>
        <w:rPr>
          <w:rFonts w:hint="eastAsia" w:ascii="宋体" w:hAnsi="宋体" w:cs="宋体"/>
          <w:color w:val="auto"/>
          <w:sz w:val="24"/>
          <w:highlight w:val="none"/>
        </w:rPr>
      </w:pPr>
      <w:r>
        <w:rPr>
          <w:rFonts w:hint="eastAsia" w:ascii="宋体" w:hAnsi="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CA0F946">
      <w:pPr>
        <w:spacing w:line="520" w:lineRule="exact"/>
        <w:jc w:val="center"/>
        <w:rPr>
          <w:rFonts w:hint="eastAsia" w:ascii="宋体" w:hAnsi="宋体" w:cs="宋体"/>
          <w:color w:val="auto"/>
          <w:sz w:val="24"/>
          <w:highlight w:val="none"/>
        </w:rPr>
      </w:pPr>
      <w:r>
        <w:rPr>
          <w:rFonts w:hint="eastAsia" w:ascii="宋体" w:hAnsi="宋体" w:cs="宋体"/>
          <w:color w:val="auto"/>
          <w:sz w:val="24"/>
          <w:highlight w:val="none"/>
        </w:rPr>
        <w:br w:type="page"/>
      </w:r>
    </w:p>
    <w:p w14:paraId="091896A8">
      <w:pPr>
        <w:spacing w:line="520" w:lineRule="exact"/>
        <w:jc w:val="center"/>
        <w:rPr>
          <w:rFonts w:hint="eastAsia" w:ascii="宋体" w:hAnsi="宋体" w:cs="宋体"/>
          <w:color w:val="auto"/>
          <w:sz w:val="24"/>
          <w:highlight w:val="none"/>
        </w:rPr>
      </w:pPr>
    </w:p>
    <w:p w14:paraId="0DB3F5BC">
      <w:pPr>
        <w:spacing w:line="520" w:lineRule="exact"/>
        <w:jc w:val="center"/>
        <w:rPr>
          <w:rFonts w:hint="eastAsia"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1E48D1DC">
      <w:pPr>
        <w:spacing w:line="360" w:lineRule="auto"/>
        <w:contextualSpacing/>
        <w:rPr>
          <w:rFonts w:hint="eastAsia" w:ascii="宋体" w:hAnsi="宋体" w:cs="宋体"/>
          <w:color w:val="auto"/>
          <w:sz w:val="32"/>
          <w:szCs w:val="32"/>
          <w:highlight w:val="none"/>
        </w:rPr>
      </w:pPr>
    </w:p>
    <w:p w14:paraId="3C34C26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665C19F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6EF1462B">
      <w:pPr>
        <w:spacing w:line="360" w:lineRule="auto"/>
        <w:contextualSpacing/>
        <w:rPr>
          <w:rFonts w:hint="eastAsia" w:ascii="宋体" w:hAnsi="宋体" w:cs="宋体"/>
          <w:color w:val="auto"/>
          <w:sz w:val="24"/>
          <w:highlight w:val="none"/>
        </w:rPr>
      </w:pPr>
    </w:p>
    <w:p w14:paraId="0BE25255">
      <w:pPr>
        <w:spacing w:line="360" w:lineRule="auto"/>
        <w:contextualSpacing/>
        <w:rPr>
          <w:rFonts w:hint="eastAsia" w:ascii="宋体" w:hAnsi="宋体" w:cs="宋体"/>
          <w:color w:val="auto"/>
          <w:sz w:val="24"/>
          <w:highlight w:val="none"/>
        </w:rPr>
      </w:pPr>
    </w:p>
    <w:p w14:paraId="644FA0B2">
      <w:pPr>
        <w:spacing w:line="360" w:lineRule="auto"/>
        <w:contextualSpacing/>
        <w:rPr>
          <w:rFonts w:hint="eastAsia" w:ascii="宋体" w:hAnsi="宋体" w:cs="宋体"/>
          <w:color w:val="auto"/>
          <w:sz w:val="24"/>
          <w:highlight w:val="none"/>
        </w:rPr>
      </w:pPr>
    </w:p>
    <w:p w14:paraId="3D6F7807">
      <w:pPr>
        <w:spacing w:line="360" w:lineRule="auto"/>
        <w:ind w:firstLine="3600" w:firstLineChars="1500"/>
        <w:contextualSpacing/>
        <w:rPr>
          <w:rFonts w:hint="eastAsia" w:ascii="宋体" w:hAnsi="宋体" w:cs="宋体"/>
          <w:color w:val="auto"/>
          <w:sz w:val="24"/>
          <w:highlight w:val="none"/>
        </w:rPr>
      </w:pPr>
      <w:r>
        <w:rPr>
          <w:rFonts w:hint="eastAsia" w:ascii="宋体" w:hAnsi="宋体" w:cs="宋体"/>
          <w:color w:val="auto"/>
          <w:sz w:val="24"/>
          <w:highlight w:val="none"/>
        </w:rPr>
        <w:t>供应商（公章或电子签章）：</w:t>
      </w:r>
    </w:p>
    <w:p w14:paraId="1C5F9E8F">
      <w:pPr>
        <w:spacing w:line="360" w:lineRule="auto"/>
        <w:ind w:firstLine="3600" w:firstLineChars="1500"/>
        <w:contextualSpacing/>
        <w:rPr>
          <w:rFonts w:hint="eastAsia" w:ascii="宋体" w:hAnsi="宋体" w:cs="宋体"/>
          <w:color w:val="auto"/>
          <w:sz w:val="24"/>
          <w:highlight w:val="none"/>
        </w:rPr>
      </w:pPr>
      <w:r>
        <w:rPr>
          <w:rFonts w:hint="eastAsia" w:ascii="宋体" w:hAnsi="宋体" w:cs="宋体"/>
          <w:color w:val="auto"/>
          <w:sz w:val="24"/>
          <w:highlight w:val="none"/>
        </w:rPr>
        <w:t>日  期：</w:t>
      </w:r>
    </w:p>
    <w:p w14:paraId="0CDC3A9E">
      <w:pPr>
        <w:spacing w:line="360" w:lineRule="auto"/>
        <w:contextualSpacing/>
        <w:rPr>
          <w:rFonts w:hint="eastAsia" w:ascii="宋体" w:hAnsi="宋体" w:cs="宋体"/>
          <w:color w:val="auto"/>
          <w:sz w:val="24"/>
          <w:highlight w:val="none"/>
        </w:rPr>
      </w:pPr>
    </w:p>
    <w:p w14:paraId="630E79B3">
      <w:pPr>
        <w:spacing w:line="360" w:lineRule="auto"/>
        <w:contextualSpacing/>
        <w:rPr>
          <w:rFonts w:hint="eastAsia" w:ascii="宋体" w:hAnsi="宋体" w:cs="宋体"/>
          <w:color w:val="auto"/>
          <w:sz w:val="24"/>
          <w:highlight w:val="none"/>
        </w:rPr>
      </w:pPr>
    </w:p>
    <w:p w14:paraId="2BBE3315">
      <w:pPr>
        <w:spacing w:line="360" w:lineRule="auto"/>
        <w:contextualSpacing/>
        <w:rPr>
          <w:rFonts w:hint="eastAsia" w:ascii="宋体" w:hAnsi="宋体" w:cs="宋体"/>
          <w:color w:val="auto"/>
          <w:sz w:val="24"/>
          <w:highlight w:val="none"/>
        </w:rPr>
      </w:pPr>
    </w:p>
    <w:p w14:paraId="143F7C28">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553CCB9C">
      <w:pPr>
        <w:spacing w:line="360" w:lineRule="auto"/>
        <w:contextualSpacing/>
        <w:rPr>
          <w:rFonts w:hint="eastAsia" w:ascii="宋体" w:hAnsi="宋体" w:cs="宋体"/>
          <w:color w:val="auto"/>
          <w:sz w:val="24"/>
          <w:highlight w:val="none"/>
        </w:rPr>
      </w:pPr>
    </w:p>
    <w:p w14:paraId="12AF68A4">
      <w:pPr>
        <w:spacing w:line="520" w:lineRule="exact"/>
        <w:rPr>
          <w:rFonts w:hint="eastAsia" w:ascii="宋体" w:hAnsi="宋体" w:cs="宋体"/>
          <w:color w:val="auto"/>
          <w:sz w:val="32"/>
          <w:szCs w:val="32"/>
          <w:highlight w:val="none"/>
        </w:rPr>
      </w:pPr>
    </w:p>
    <w:p w14:paraId="35B2EB5C">
      <w:pPr>
        <w:spacing w:line="520" w:lineRule="exact"/>
        <w:rPr>
          <w:rFonts w:hint="eastAsia" w:ascii="宋体" w:hAnsi="宋体" w:cs="宋体"/>
          <w:color w:val="auto"/>
          <w:sz w:val="32"/>
          <w:szCs w:val="32"/>
          <w:highlight w:val="none"/>
        </w:rPr>
      </w:pPr>
    </w:p>
    <w:p w14:paraId="565CA4E1">
      <w:pPr>
        <w:spacing w:line="520" w:lineRule="exact"/>
        <w:rPr>
          <w:rFonts w:hint="eastAsia" w:ascii="宋体" w:hAnsi="宋体" w:cs="宋体"/>
          <w:color w:val="auto"/>
          <w:sz w:val="32"/>
          <w:szCs w:val="32"/>
          <w:highlight w:val="none"/>
        </w:rPr>
      </w:pPr>
    </w:p>
    <w:p w14:paraId="1D77DB1C">
      <w:pPr>
        <w:spacing w:line="520" w:lineRule="exact"/>
        <w:rPr>
          <w:rFonts w:hint="eastAsia" w:ascii="宋体" w:hAnsi="宋体" w:cs="宋体"/>
          <w:color w:val="auto"/>
          <w:sz w:val="32"/>
          <w:szCs w:val="32"/>
          <w:highlight w:val="none"/>
        </w:rPr>
      </w:pPr>
    </w:p>
    <w:p w14:paraId="723A00FA">
      <w:pPr>
        <w:spacing w:line="520" w:lineRule="exact"/>
        <w:rPr>
          <w:rFonts w:hint="eastAsia" w:ascii="宋体" w:hAnsi="宋体" w:cs="宋体"/>
          <w:color w:val="auto"/>
          <w:sz w:val="32"/>
          <w:szCs w:val="32"/>
          <w:highlight w:val="none"/>
        </w:rPr>
      </w:pPr>
    </w:p>
    <w:p w14:paraId="0E8999ED">
      <w:pPr>
        <w:spacing w:line="520" w:lineRule="exact"/>
        <w:rPr>
          <w:rFonts w:hint="eastAsia" w:ascii="宋体" w:hAnsi="宋体" w:cs="宋体"/>
          <w:color w:val="auto"/>
          <w:sz w:val="32"/>
          <w:szCs w:val="32"/>
          <w:highlight w:val="none"/>
        </w:rPr>
      </w:pPr>
    </w:p>
    <w:p w14:paraId="1ABAD87A">
      <w:pPr>
        <w:spacing w:line="520" w:lineRule="exact"/>
        <w:rPr>
          <w:rFonts w:hint="eastAsia" w:ascii="宋体" w:hAnsi="宋体" w:cs="宋体"/>
          <w:color w:val="auto"/>
          <w:sz w:val="32"/>
          <w:szCs w:val="32"/>
          <w:highlight w:val="none"/>
        </w:rPr>
      </w:pPr>
    </w:p>
    <w:p w14:paraId="03A7973F">
      <w:pPr>
        <w:spacing w:line="360" w:lineRule="auto"/>
        <w:jc w:val="center"/>
        <w:rPr>
          <w:rFonts w:hint="eastAsia" w:ascii="宋体" w:hAnsi="宋体" w:cs="宋体"/>
          <w:b/>
          <w:bCs/>
          <w:color w:val="auto"/>
          <w:sz w:val="32"/>
          <w:szCs w:val="32"/>
          <w:highlight w:val="none"/>
        </w:rPr>
      </w:pPr>
      <w:r>
        <w:rPr>
          <w:rFonts w:hint="eastAsia" w:ascii="宋体" w:hAnsi="宋体" w:cs="宋体"/>
          <w:color w:val="auto"/>
          <w:sz w:val="44"/>
          <w:szCs w:val="44"/>
          <w:highlight w:val="none"/>
        </w:rPr>
        <w:t>质疑函（格式）</w:t>
      </w:r>
    </w:p>
    <w:p w14:paraId="3AE25D36">
      <w:pPr>
        <w:pStyle w:val="11"/>
        <w:spacing w:line="360" w:lineRule="auto"/>
        <w:ind w:firstLine="482" w:firstLineChars="200"/>
        <w:contextualSpacing/>
        <w:rPr>
          <w:rFonts w:hint="eastAsia"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7A644690">
      <w:pPr>
        <w:pStyle w:val="11"/>
        <w:spacing w:line="360" w:lineRule="auto"/>
        <w:ind w:firstLine="480" w:firstLineChars="200"/>
        <w:contextualSpacing/>
        <w:rPr>
          <w:rFonts w:hint="eastAsia"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1EBBEA5">
      <w:pPr>
        <w:pStyle w:val="11"/>
        <w:spacing w:line="360" w:lineRule="auto"/>
        <w:ind w:firstLine="480" w:firstLineChars="200"/>
        <w:contextualSpacing/>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C759F59">
      <w:pPr>
        <w:pStyle w:val="11"/>
        <w:spacing w:line="360" w:lineRule="auto"/>
        <w:ind w:firstLine="480" w:firstLineChars="200"/>
        <w:contextualSpacing/>
        <w:rPr>
          <w:rFonts w:hint="eastAsia"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8042319">
      <w:pPr>
        <w:pStyle w:val="11"/>
        <w:spacing w:line="360" w:lineRule="auto"/>
        <w:ind w:firstLine="480" w:firstLineChars="200"/>
        <w:contextualSpacing/>
        <w:rPr>
          <w:rFonts w:hint="eastAsia"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7ADF57A6">
      <w:pPr>
        <w:pStyle w:val="11"/>
        <w:spacing w:line="360" w:lineRule="auto"/>
        <w:ind w:firstLine="480" w:firstLineChars="200"/>
        <w:contextualSpacing/>
        <w:rPr>
          <w:rFonts w:hint="eastAsia"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FBEBEA0">
      <w:pPr>
        <w:pStyle w:val="11"/>
        <w:spacing w:line="360" w:lineRule="auto"/>
        <w:ind w:firstLine="480" w:firstLineChars="200"/>
        <w:contextualSpacing/>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C393777">
      <w:pPr>
        <w:pStyle w:val="11"/>
        <w:spacing w:line="360" w:lineRule="auto"/>
        <w:ind w:firstLine="482" w:firstLineChars="200"/>
        <w:contextualSpacing/>
        <w:rPr>
          <w:rFonts w:hint="eastAsia" w:hAnsi="宋体" w:cs="宋体"/>
          <w:b/>
          <w:bCs/>
          <w:color w:val="auto"/>
          <w:sz w:val="24"/>
          <w:szCs w:val="24"/>
          <w:highlight w:val="none"/>
        </w:rPr>
      </w:pPr>
      <w:r>
        <w:rPr>
          <w:rFonts w:hint="eastAsia" w:hAnsi="宋体" w:cs="宋体"/>
          <w:b/>
          <w:bCs/>
          <w:color w:val="auto"/>
          <w:sz w:val="24"/>
          <w:szCs w:val="24"/>
          <w:highlight w:val="none"/>
        </w:rPr>
        <w:t>二、质疑项目基本情况：</w:t>
      </w:r>
    </w:p>
    <w:p w14:paraId="32EE94A9">
      <w:pPr>
        <w:pStyle w:val="11"/>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5CC76853">
      <w:pPr>
        <w:pStyle w:val="11"/>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77C66EBE">
      <w:pPr>
        <w:pStyle w:val="11"/>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1AADCD85">
      <w:pPr>
        <w:pStyle w:val="11"/>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w:t>
      </w:r>
    </w:p>
    <w:p w14:paraId="125F283E">
      <w:pPr>
        <w:pStyle w:val="11"/>
        <w:spacing w:line="360" w:lineRule="auto"/>
        <w:ind w:left="25" w:leftChars="12" w:firstLine="352" w:firstLineChars="147"/>
        <w:contextualSpacing/>
        <w:rPr>
          <w:rFonts w:hint="eastAsia"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7D076286">
      <w:pPr>
        <w:pStyle w:val="11"/>
        <w:spacing w:line="360" w:lineRule="auto"/>
        <w:ind w:left="25" w:leftChars="12" w:firstLine="352" w:firstLineChars="147"/>
        <w:contextualSpacing/>
        <w:rPr>
          <w:rFonts w:hint="eastAsia" w:hAnsi="宋体" w:cs="宋体"/>
          <w:color w:val="auto"/>
          <w:sz w:val="24"/>
          <w:szCs w:val="24"/>
          <w:highlight w:val="none"/>
        </w:rPr>
      </w:pPr>
      <w:r>
        <w:rPr>
          <w:rFonts w:hint="eastAsia" w:hAnsi="宋体" w:cs="宋体"/>
          <w:color w:val="auto"/>
          <w:sz w:val="24"/>
          <w:szCs w:val="24"/>
          <w:highlight w:val="none"/>
        </w:rPr>
        <w:t xml:space="preserve">□采购过程   </w:t>
      </w:r>
    </w:p>
    <w:p w14:paraId="690B8A1B">
      <w:pPr>
        <w:pStyle w:val="11"/>
        <w:spacing w:line="360" w:lineRule="auto"/>
        <w:ind w:left="25" w:leftChars="12" w:firstLine="352" w:firstLineChars="147"/>
        <w:contextualSpacing/>
        <w:rPr>
          <w:rFonts w:hint="eastAsia"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2CF868EC">
      <w:pPr>
        <w:pStyle w:val="11"/>
        <w:spacing w:line="360" w:lineRule="auto"/>
        <w:ind w:left="25" w:leftChars="12" w:firstLine="472" w:firstLineChars="196"/>
        <w:contextualSpacing/>
        <w:rPr>
          <w:rFonts w:hint="eastAsia" w:hAnsi="宋体" w:cs="宋体"/>
          <w:b/>
          <w:color w:val="auto"/>
          <w:sz w:val="24"/>
          <w:szCs w:val="24"/>
          <w:highlight w:val="none"/>
        </w:rPr>
      </w:pPr>
      <w:r>
        <w:rPr>
          <w:rFonts w:hint="eastAsia" w:hAnsi="宋体" w:cs="宋体"/>
          <w:b/>
          <w:color w:val="auto"/>
          <w:sz w:val="24"/>
          <w:szCs w:val="24"/>
          <w:highlight w:val="none"/>
        </w:rPr>
        <w:t>三、质疑事项具体内容</w:t>
      </w:r>
    </w:p>
    <w:p w14:paraId="6095F952">
      <w:pPr>
        <w:pStyle w:val="11"/>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46B5D685">
      <w:pPr>
        <w:pStyle w:val="11"/>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67EC90A4">
      <w:pPr>
        <w:pStyle w:val="11"/>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263EF7F7">
      <w:pPr>
        <w:pStyle w:val="11"/>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质疑事项2</w:t>
      </w:r>
    </w:p>
    <w:p w14:paraId="382DF78B">
      <w:pPr>
        <w:pStyle w:val="11"/>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w:t>
      </w:r>
    </w:p>
    <w:p w14:paraId="1777F42E">
      <w:pPr>
        <w:pStyle w:val="11"/>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四、与质疑事项相关的质疑请求：</w:t>
      </w:r>
    </w:p>
    <w:p w14:paraId="7E94E7AF">
      <w:pPr>
        <w:pStyle w:val="11"/>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466E9C64">
      <w:pPr>
        <w:pStyle w:val="11"/>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签字（</w:t>
      </w:r>
      <w:r>
        <w:rPr>
          <w:rFonts w:hint="eastAsia" w:hAnsi="宋体" w:cs="宋体"/>
          <w:color w:val="auto"/>
          <w:sz w:val="24"/>
          <w:szCs w:val="24"/>
          <w:highlight w:val="none"/>
          <w:lang w:eastAsia="zh-CN"/>
        </w:rPr>
        <w:t>签</w:t>
      </w:r>
      <w:r>
        <w:rPr>
          <w:rFonts w:hint="eastAsia" w:hAnsi="宋体" w:cs="宋体"/>
          <w:color w:val="auto"/>
          <w:sz w:val="24"/>
          <w:szCs w:val="24"/>
          <w:highlight w:val="none"/>
        </w:rPr>
        <w:t>章）：                                       公章：</w:t>
      </w:r>
    </w:p>
    <w:p w14:paraId="45FB1E0E">
      <w:pPr>
        <w:pStyle w:val="11"/>
        <w:spacing w:line="360" w:lineRule="auto"/>
        <w:ind w:firstLine="480" w:firstLineChars="200"/>
        <w:contextualSpacing/>
        <w:rPr>
          <w:rFonts w:hint="eastAsia" w:hAnsi="宋体" w:cs="宋体"/>
          <w:b/>
          <w:color w:val="auto"/>
          <w:sz w:val="24"/>
          <w:szCs w:val="24"/>
          <w:highlight w:val="none"/>
        </w:rPr>
      </w:pPr>
      <w:r>
        <w:rPr>
          <w:rFonts w:hint="eastAsia" w:hAnsi="宋体" w:cs="宋体"/>
          <w:color w:val="auto"/>
          <w:sz w:val="24"/>
          <w:szCs w:val="24"/>
          <w:highlight w:val="none"/>
        </w:rPr>
        <w:t>日期：</w:t>
      </w:r>
    </w:p>
    <w:p w14:paraId="34D21C96">
      <w:pPr>
        <w:pStyle w:val="11"/>
        <w:spacing w:line="360" w:lineRule="auto"/>
        <w:contextualSpacing/>
        <w:rPr>
          <w:rFonts w:hint="eastAsia" w:hAnsi="宋体" w:cs="宋体"/>
          <w:b/>
          <w:color w:val="auto"/>
          <w:sz w:val="24"/>
          <w:szCs w:val="24"/>
          <w:highlight w:val="none"/>
        </w:rPr>
      </w:pPr>
      <w:r>
        <w:rPr>
          <w:rFonts w:hint="eastAsia" w:hAnsi="宋体" w:cs="宋体"/>
          <w:b/>
          <w:color w:val="auto"/>
          <w:sz w:val="24"/>
          <w:szCs w:val="24"/>
          <w:highlight w:val="none"/>
        </w:rPr>
        <w:t>说明：</w:t>
      </w:r>
    </w:p>
    <w:p w14:paraId="318F96F9">
      <w:pPr>
        <w:pStyle w:val="11"/>
        <w:spacing w:line="360" w:lineRule="auto"/>
        <w:ind w:left="25" w:leftChars="12" w:firstLine="354" w:firstLineChars="147"/>
        <w:contextualSpacing/>
        <w:rPr>
          <w:rFonts w:hint="eastAsia"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62245EC4">
      <w:pPr>
        <w:pStyle w:val="11"/>
        <w:spacing w:line="360" w:lineRule="auto"/>
        <w:ind w:left="25" w:leftChars="12" w:firstLine="354" w:firstLineChars="147"/>
        <w:contextualSpacing/>
        <w:rPr>
          <w:rFonts w:hint="eastAsia"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7A7B4FC">
      <w:pPr>
        <w:pStyle w:val="11"/>
        <w:spacing w:line="360" w:lineRule="auto"/>
        <w:ind w:left="25" w:leftChars="12" w:firstLine="354" w:firstLineChars="147"/>
        <w:contextualSpacing/>
        <w:rPr>
          <w:rFonts w:hint="eastAsia"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4F9AAE7C">
      <w:pPr>
        <w:pStyle w:val="11"/>
        <w:spacing w:line="360" w:lineRule="auto"/>
        <w:ind w:left="25" w:leftChars="12" w:firstLine="354" w:firstLineChars="147"/>
        <w:contextualSpacing/>
        <w:rPr>
          <w:rFonts w:hint="eastAsia"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3575826A">
      <w:pPr>
        <w:pStyle w:val="11"/>
        <w:spacing w:line="360" w:lineRule="auto"/>
        <w:ind w:left="25" w:leftChars="12" w:firstLine="354" w:firstLineChars="147"/>
        <w:contextualSpacing/>
        <w:rPr>
          <w:rFonts w:hint="eastAsia"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12D8EF56">
      <w:pPr>
        <w:pStyle w:val="11"/>
        <w:snapToGrid w:val="0"/>
        <w:rPr>
          <w:rFonts w:hint="eastAsia" w:hAnsi="宋体" w:cs="宋体"/>
          <w:b/>
          <w:color w:val="auto"/>
          <w:sz w:val="24"/>
          <w:szCs w:val="24"/>
          <w:highlight w:val="none"/>
        </w:rPr>
      </w:pPr>
    </w:p>
    <w:p w14:paraId="0E7B721C">
      <w:pPr>
        <w:rPr>
          <w:rFonts w:hint="eastAsia" w:ascii="宋体" w:hAnsi="宋体" w:cs="宋体"/>
          <w:color w:val="auto"/>
          <w:sz w:val="32"/>
          <w:szCs w:val="40"/>
          <w:highlight w:val="none"/>
        </w:rPr>
      </w:pPr>
    </w:p>
    <w:p w14:paraId="7704B18F">
      <w:pPr>
        <w:rPr>
          <w:rFonts w:hint="eastAsia" w:ascii="宋体" w:hAnsi="宋体" w:cs="宋体"/>
          <w:color w:val="auto"/>
          <w:sz w:val="32"/>
          <w:szCs w:val="40"/>
          <w:highlight w:val="none"/>
        </w:rPr>
      </w:pPr>
    </w:p>
    <w:p w14:paraId="09895B14">
      <w:pPr>
        <w:rPr>
          <w:rFonts w:hint="eastAsia" w:ascii="宋体" w:hAnsi="宋体" w:cs="宋体"/>
          <w:color w:val="auto"/>
          <w:sz w:val="32"/>
          <w:szCs w:val="40"/>
          <w:highlight w:val="none"/>
        </w:rPr>
      </w:pPr>
    </w:p>
    <w:p w14:paraId="7FC3180E">
      <w:pPr>
        <w:rPr>
          <w:rFonts w:hint="eastAsia" w:ascii="宋体" w:hAnsi="宋体" w:cs="宋体"/>
          <w:color w:val="auto"/>
          <w:sz w:val="32"/>
          <w:szCs w:val="40"/>
          <w:highlight w:val="none"/>
        </w:rPr>
      </w:pPr>
    </w:p>
    <w:p w14:paraId="509BE520">
      <w:pPr>
        <w:rPr>
          <w:rFonts w:hint="eastAsia" w:ascii="宋体" w:hAnsi="宋体" w:cs="宋体"/>
          <w:color w:val="auto"/>
          <w:sz w:val="32"/>
          <w:szCs w:val="40"/>
          <w:highlight w:val="none"/>
        </w:rPr>
      </w:pPr>
    </w:p>
    <w:p w14:paraId="73CB01FD">
      <w:pPr>
        <w:rPr>
          <w:rFonts w:hint="eastAsia" w:ascii="宋体" w:hAnsi="宋体" w:cs="宋体"/>
          <w:color w:val="auto"/>
          <w:sz w:val="32"/>
          <w:szCs w:val="40"/>
          <w:highlight w:val="none"/>
        </w:rPr>
      </w:pPr>
    </w:p>
    <w:p w14:paraId="51D6A727">
      <w:pPr>
        <w:rPr>
          <w:rFonts w:hint="eastAsia" w:ascii="宋体" w:hAnsi="宋体" w:cs="宋体"/>
          <w:color w:val="auto"/>
          <w:sz w:val="32"/>
          <w:szCs w:val="40"/>
          <w:highlight w:val="none"/>
        </w:rPr>
      </w:pPr>
    </w:p>
    <w:p w14:paraId="0CF7449F">
      <w:pPr>
        <w:rPr>
          <w:rFonts w:hint="eastAsia" w:ascii="宋体" w:hAnsi="宋体" w:cs="宋体"/>
          <w:color w:val="auto"/>
          <w:sz w:val="32"/>
          <w:szCs w:val="40"/>
          <w:highlight w:val="none"/>
        </w:rPr>
      </w:pPr>
    </w:p>
    <w:p w14:paraId="17239046">
      <w:pPr>
        <w:rPr>
          <w:rFonts w:hint="eastAsia" w:ascii="宋体" w:hAnsi="宋体" w:cs="宋体"/>
          <w:color w:val="auto"/>
          <w:sz w:val="32"/>
          <w:szCs w:val="40"/>
          <w:highlight w:val="none"/>
        </w:rPr>
      </w:pPr>
    </w:p>
    <w:p w14:paraId="516F2343">
      <w:pPr>
        <w:rPr>
          <w:rFonts w:hint="eastAsia" w:ascii="宋体" w:hAnsi="宋体" w:cs="宋体"/>
          <w:color w:val="auto"/>
          <w:sz w:val="32"/>
          <w:szCs w:val="40"/>
          <w:highlight w:val="none"/>
        </w:rPr>
      </w:pPr>
    </w:p>
    <w:p w14:paraId="44A3F6F6">
      <w:pPr>
        <w:rPr>
          <w:rFonts w:hint="eastAsia" w:ascii="宋体" w:hAnsi="宋体" w:cs="宋体"/>
          <w:color w:val="auto"/>
          <w:sz w:val="32"/>
          <w:szCs w:val="40"/>
          <w:highlight w:val="none"/>
        </w:rPr>
      </w:pPr>
    </w:p>
    <w:p w14:paraId="14911021">
      <w:pPr>
        <w:rPr>
          <w:rFonts w:hint="eastAsia" w:ascii="宋体" w:hAnsi="宋体" w:cs="宋体"/>
          <w:color w:val="auto"/>
          <w:sz w:val="32"/>
          <w:szCs w:val="40"/>
          <w:highlight w:val="none"/>
        </w:rPr>
      </w:pPr>
    </w:p>
    <w:p w14:paraId="3B448010">
      <w:pPr>
        <w:rPr>
          <w:rFonts w:hint="eastAsia" w:ascii="宋体" w:hAnsi="宋体" w:cs="宋体"/>
          <w:color w:val="auto"/>
          <w:sz w:val="32"/>
          <w:szCs w:val="40"/>
          <w:highlight w:val="none"/>
        </w:rPr>
      </w:pPr>
    </w:p>
    <w:p w14:paraId="364FE27D">
      <w:pPr>
        <w:rPr>
          <w:rFonts w:hint="eastAsia" w:ascii="宋体" w:hAnsi="宋体" w:cs="宋体"/>
          <w:color w:val="auto"/>
          <w:sz w:val="32"/>
          <w:szCs w:val="40"/>
          <w:highlight w:val="none"/>
        </w:rPr>
      </w:pPr>
    </w:p>
    <w:p w14:paraId="6AC94F35">
      <w:pPr>
        <w:pStyle w:val="3"/>
        <w:rPr>
          <w:rFonts w:hint="eastAsia" w:ascii="宋体" w:hAnsi="宋体" w:eastAsia="宋体" w:cs="宋体"/>
          <w:color w:val="auto"/>
          <w:sz w:val="44"/>
          <w:szCs w:val="44"/>
          <w:highlight w:val="none"/>
        </w:rPr>
      </w:pPr>
      <w:r>
        <w:rPr>
          <w:rFonts w:hint="eastAsia"/>
          <w:color w:val="auto"/>
          <w:highlight w:val="none"/>
        </w:rPr>
        <w:br w:type="page"/>
      </w:r>
    </w:p>
    <w:p w14:paraId="160D8452">
      <w:pPr>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投诉书（格式）</w:t>
      </w:r>
    </w:p>
    <w:p w14:paraId="739B9D6B">
      <w:pPr>
        <w:pStyle w:val="11"/>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0DFE3666">
      <w:pPr>
        <w:pStyle w:val="11"/>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9B5D845">
      <w:pPr>
        <w:pStyle w:val="11"/>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66BFC4C">
      <w:pPr>
        <w:pStyle w:val="11"/>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1947027C">
      <w:pPr>
        <w:pStyle w:val="11"/>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3B56FC0">
      <w:pPr>
        <w:pStyle w:val="11"/>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D55688F">
      <w:pPr>
        <w:pStyle w:val="11"/>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755F1971">
      <w:pPr>
        <w:pStyle w:val="11"/>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65DAA5D">
      <w:pPr>
        <w:pStyle w:val="11"/>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被投诉人1：</w:t>
      </w:r>
    </w:p>
    <w:p w14:paraId="6ABB473B">
      <w:pPr>
        <w:pStyle w:val="11"/>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3A15419B">
      <w:pPr>
        <w:pStyle w:val="11"/>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A8ABA02">
      <w:pPr>
        <w:pStyle w:val="11"/>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5D2CC4B">
      <w:pPr>
        <w:pStyle w:val="11"/>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被投诉人2：</w:t>
      </w:r>
    </w:p>
    <w:p w14:paraId="58D7344B">
      <w:pPr>
        <w:pStyle w:val="11"/>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w:t>
      </w:r>
    </w:p>
    <w:p w14:paraId="5B6391FC">
      <w:pPr>
        <w:pStyle w:val="11"/>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128016E2">
      <w:pPr>
        <w:pStyle w:val="11"/>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3A1AD56B">
      <w:pPr>
        <w:pStyle w:val="11"/>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BC7EBF1">
      <w:pPr>
        <w:pStyle w:val="11"/>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二、投诉项目基本情况：</w:t>
      </w:r>
    </w:p>
    <w:p w14:paraId="25C1E792">
      <w:pPr>
        <w:pStyle w:val="11"/>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3B0E6CDD">
      <w:pPr>
        <w:pStyle w:val="11"/>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6629E93A">
      <w:pPr>
        <w:pStyle w:val="11"/>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6F519DFA">
      <w:pPr>
        <w:pStyle w:val="11"/>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56A99E26">
      <w:pPr>
        <w:pStyle w:val="11"/>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bCs/>
          <w:color w:val="auto"/>
          <w:sz w:val="24"/>
          <w:szCs w:val="24"/>
          <w:highlight w:val="none"/>
        </w:rPr>
        <w:t>采购文件公告：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0EB0B6C0">
      <w:pPr>
        <w:pStyle w:val="11"/>
        <w:spacing w:line="360" w:lineRule="auto"/>
        <w:ind w:left="25" w:leftChars="12" w:firstLine="472" w:firstLineChars="197"/>
        <w:rPr>
          <w:rFonts w:hint="eastAsia"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1356E1FA">
      <w:pPr>
        <w:pStyle w:val="11"/>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三、质疑基本情况</w:t>
      </w:r>
    </w:p>
    <w:p w14:paraId="39292F9C">
      <w:pPr>
        <w:pStyle w:val="11"/>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5D8366C6">
      <w:pPr>
        <w:pStyle w:val="11"/>
        <w:spacing w:line="360" w:lineRule="auto"/>
        <w:ind w:firstLine="241"/>
        <w:rPr>
          <w:rFonts w:hint="eastAsia"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383B8775">
      <w:pPr>
        <w:pStyle w:val="11"/>
        <w:spacing w:line="360" w:lineRule="auto"/>
        <w:ind w:firstLine="241"/>
        <w:rPr>
          <w:rFonts w:hint="eastAsia"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7875203B">
      <w:pPr>
        <w:pStyle w:val="11"/>
        <w:spacing w:line="360" w:lineRule="auto"/>
        <w:ind w:firstLine="480" w:firstLineChars="200"/>
        <w:rPr>
          <w:rFonts w:hint="eastAsia"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01E97BDD">
      <w:pPr>
        <w:pStyle w:val="11"/>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四、投诉事项具体内容</w:t>
      </w:r>
    </w:p>
    <w:p w14:paraId="54DCD573">
      <w:pPr>
        <w:pStyle w:val="11"/>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4580C6F9">
      <w:pPr>
        <w:pStyle w:val="11"/>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34DE057D">
      <w:pPr>
        <w:pStyle w:val="11"/>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u w:val="single"/>
        </w:rPr>
        <w:t xml:space="preserve">                                                                                        </w:t>
      </w:r>
    </w:p>
    <w:p w14:paraId="300CBFE6">
      <w:pPr>
        <w:pStyle w:val="11"/>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5C85B028">
      <w:pPr>
        <w:pStyle w:val="11"/>
        <w:spacing w:line="360" w:lineRule="auto"/>
        <w:ind w:left="25" w:leftChars="12" w:firstLine="352" w:firstLineChars="147"/>
        <w:rPr>
          <w:rFonts w:hint="eastAsia"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784E8A8D">
      <w:pPr>
        <w:pStyle w:val="11"/>
        <w:spacing w:line="360" w:lineRule="auto"/>
        <w:ind w:left="25" w:leftChars="12" w:firstLine="472" w:firstLineChars="197"/>
        <w:rPr>
          <w:rFonts w:hint="eastAsia"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26046EBA">
      <w:pPr>
        <w:pStyle w:val="11"/>
        <w:spacing w:line="360" w:lineRule="auto"/>
        <w:ind w:left="25" w:leftChars="12" w:firstLine="472" w:firstLineChars="197"/>
        <w:rPr>
          <w:rFonts w:hint="eastAsia" w:hAnsi="宋体" w:cs="宋体"/>
          <w:bCs/>
          <w:color w:val="auto"/>
          <w:sz w:val="24"/>
          <w:szCs w:val="24"/>
          <w:highlight w:val="none"/>
        </w:rPr>
      </w:pPr>
      <w:r>
        <w:rPr>
          <w:rFonts w:hint="eastAsia" w:hAnsi="宋体" w:cs="宋体"/>
          <w:bCs/>
          <w:color w:val="auto"/>
          <w:sz w:val="24"/>
          <w:szCs w:val="24"/>
          <w:highlight w:val="none"/>
        </w:rPr>
        <w:t>……</w:t>
      </w:r>
    </w:p>
    <w:p w14:paraId="130C99F2">
      <w:pPr>
        <w:pStyle w:val="11"/>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03A2F8E5">
      <w:pPr>
        <w:pStyle w:val="11"/>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15137C1C">
      <w:pPr>
        <w:pStyle w:val="11"/>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签字（</w:t>
      </w:r>
      <w:r>
        <w:rPr>
          <w:rFonts w:hint="eastAsia" w:hAnsi="宋体" w:cs="宋体"/>
          <w:color w:val="auto"/>
          <w:sz w:val="24"/>
          <w:szCs w:val="24"/>
          <w:highlight w:val="none"/>
          <w:lang w:eastAsia="zh-CN"/>
        </w:rPr>
        <w:t>签</w:t>
      </w:r>
      <w:r>
        <w:rPr>
          <w:rFonts w:hint="eastAsia" w:hAnsi="宋体" w:cs="宋体"/>
          <w:color w:val="auto"/>
          <w:sz w:val="24"/>
          <w:szCs w:val="24"/>
          <w:highlight w:val="none"/>
        </w:rPr>
        <w:t>章）：                                       公章：</w:t>
      </w:r>
    </w:p>
    <w:p w14:paraId="69DE6DDD">
      <w:pPr>
        <w:pStyle w:val="11"/>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日期：</w:t>
      </w:r>
    </w:p>
    <w:p w14:paraId="030B7BFE">
      <w:pPr>
        <w:pStyle w:val="11"/>
        <w:spacing w:line="360" w:lineRule="auto"/>
        <w:ind w:left="25" w:leftChars="12" w:firstLine="472" w:firstLineChars="197"/>
        <w:rPr>
          <w:rFonts w:hint="eastAsia" w:hAnsi="宋体" w:cs="宋体"/>
          <w:b/>
          <w:color w:val="auto"/>
          <w:sz w:val="24"/>
          <w:szCs w:val="24"/>
          <w:highlight w:val="none"/>
        </w:rPr>
      </w:pPr>
      <w:r>
        <w:rPr>
          <w:rFonts w:hint="eastAsia" w:hAnsi="宋体" w:cs="宋体"/>
          <w:bCs/>
          <w:color w:val="auto"/>
          <w:sz w:val="24"/>
          <w:szCs w:val="24"/>
          <w:highlight w:val="none"/>
        </w:rPr>
        <w:t xml:space="preserve">                                                                                 </w:t>
      </w:r>
    </w:p>
    <w:p w14:paraId="247631C3">
      <w:pPr>
        <w:pStyle w:val="11"/>
        <w:snapToGrid w:val="0"/>
        <w:spacing w:line="360" w:lineRule="auto"/>
        <w:rPr>
          <w:rFonts w:hint="eastAsia" w:hAnsi="宋体" w:cs="宋体"/>
          <w:b/>
          <w:color w:val="auto"/>
          <w:sz w:val="24"/>
          <w:szCs w:val="24"/>
          <w:highlight w:val="none"/>
        </w:rPr>
      </w:pPr>
      <w:r>
        <w:rPr>
          <w:rFonts w:hint="eastAsia" w:hAnsi="宋体" w:cs="宋体"/>
          <w:b/>
          <w:color w:val="auto"/>
          <w:sz w:val="24"/>
          <w:szCs w:val="24"/>
          <w:highlight w:val="none"/>
        </w:rPr>
        <w:t>说明：</w:t>
      </w:r>
    </w:p>
    <w:p w14:paraId="79A794CC">
      <w:pPr>
        <w:pStyle w:val="11"/>
        <w:spacing w:line="360" w:lineRule="auto"/>
        <w:ind w:left="25" w:leftChars="12" w:firstLine="354" w:firstLineChars="147"/>
        <w:rPr>
          <w:rFonts w:hint="eastAsia"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60EF99EE">
      <w:pPr>
        <w:pStyle w:val="11"/>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F57BFD6">
      <w:pPr>
        <w:pStyle w:val="11"/>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1A49D667">
      <w:pPr>
        <w:pStyle w:val="11"/>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1069EF6C">
      <w:pPr>
        <w:pStyle w:val="11"/>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4DC5770C">
      <w:pPr>
        <w:pStyle w:val="11"/>
        <w:spacing w:line="360" w:lineRule="auto"/>
        <w:ind w:left="25" w:leftChars="12" w:firstLine="354" w:firstLineChars="147"/>
        <w:rPr>
          <w:rFonts w:hint="eastAsia"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3808EA49">
      <w:pPr>
        <w:spacing w:line="520" w:lineRule="exact"/>
        <w:jc w:val="center"/>
        <w:rPr>
          <w:rFonts w:hint="eastAsia" w:ascii="宋体" w:hAnsi="宋体" w:cs="宋体"/>
          <w:color w:val="auto"/>
          <w:sz w:val="32"/>
          <w:szCs w:val="32"/>
          <w:highlight w:val="none"/>
        </w:rPr>
      </w:pPr>
    </w:p>
    <w:p w14:paraId="3FE584C9">
      <w:pPr>
        <w:pStyle w:val="2"/>
        <w:spacing w:line="520" w:lineRule="exact"/>
        <w:jc w:val="center"/>
        <w:rPr>
          <w:rFonts w:hint="eastAsia" w:ascii="宋体" w:hAnsi="宋体" w:cs="宋体"/>
          <w:color w:val="auto"/>
          <w:highlight w:val="none"/>
        </w:rPr>
      </w:pPr>
      <w:bookmarkStart w:id="51" w:name="_Toc11528"/>
      <w:r>
        <w:rPr>
          <w:rFonts w:hint="eastAsia" w:ascii="宋体" w:hAnsi="宋体" w:cs="宋体"/>
          <w:color w:val="auto"/>
          <w:highlight w:val="none"/>
        </w:rPr>
        <w:t>第六章 合同文本</w:t>
      </w:r>
      <w:bookmarkEnd w:id="51"/>
    </w:p>
    <w:p w14:paraId="662DFB77">
      <w:pPr>
        <w:spacing w:line="520" w:lineRule="exact"/>
        <w:jc w:val="center"/>
        <w:rPr>
          <w:rFonts w:hint="eastAsia" w:ascii="宋体" w:hAnsi="宋体" w:cs="宋体"/>
          <w:color w:val="auto"/>
          <w:sz w:val="32"/>
          <w:szCs w:val="32"/>
          <w:highlight w:val="none"/>
        </w:rPr>
      </w:pPr>
    </w:p>
    <w:p w14:paraId="62B063FC">
      <w:pPr>
        <w:snapToGrid w:val="0"/>
        <w:spacing w:line="38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广西壮族自治区政府采购合同（格式）</w:t>
      </w:r>
    </w:p>
    <w:p w14:paraId="5AF72C62">
      <w:pPr>
        <w:pStyle w:val="22"/>
        <w:rPr>
          <w:rFonts w:hint="eastAsia" w:ascii="宋体" w:hAnsi="宋体" w:cs="宋体"/>
          <w:color w:val="auto"/>
          <w:highlight w:val="none"/>
        </w:rPr>
      </w:pPr>
    </w:p>
    <w:p w14:paraId="3973AF90">
      <w:pPr>
        <w:spacing w:line="360" w:lineRule="auto"/>
        <w:ind w:right="800"/>
        <w:rPr>
          <w:rFonts w:hint="eastAsia" w:ascii="宋体" w:hAnsi="宋体" w:cs="宋体"/>
          <w:bCs/>
          <w:color w:val="auto"/>
          <w:szCs w:val="21"/>
          <w:highlight w:val="none"/>
          <w:u w:val="single"/>
        </w:rPr>
      </w:pPr>
      <w:r>
        <w:rPr>
          <w:rFonts w:hint="eastAsia" w:ascii="宋体" w:hAnsi="宋体" w:cs="宋体"/>
          <w:color w:val="auto"/>
          <w:szCs w:val="21"/>
          <w:highlight w:val="none"/>
        </w:rPr>
        <w:t>采购计划号：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bCs/>
          <w:color w:val="auto"/>
          <w:szCs w:val="21"/>
          <w:highlight w:val="none"/>
        </w:rPr>
        <w:t>合同编号：</w:t>
      </w:r>
      <w:r>
        <w:rPr>
          <w:rFonts w:hint="eastAsia" w:ascii="宋体" w:hAnsi="宋体" w:cs="宋体"/>
          <w:color w:val="auto"/>
          <w:szCs w:val="21"/>
          <w:highlight w:val="none"/>
          <w:u w:val="single"/>
        </w:rPr>
        <w:t xml:space="preserve">                  </w:t>
      </w:r>
    </w:p>
    <w:p w14:paraId="5F823108">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FD1A6E8">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p>
    <w:p w14:paraId="766C571D">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p>
    <w:p w14:paraId="6198F7E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14:paraId="51684C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根据《中华人民共和国政府采购法》、《中华人民共和国民法典》等法律、法规规定，按照采购文件规定条款和乙方响应文件及其承诺，甲乙双方签订本合同。</w:t>
      </w:r>
    </w:p>
    <w:p w14:paraId="267EF0A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第一条　合同标的</w:t>
      </w:r>
    </w:p>
    <w:p w14:paraId="67127C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1、项目一览表</w:t>
      </w:r>
    </w:p>
    <w:tbl>
      <w:tblPr>
        <w:tblStyle w:val="16"/>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93"/>
        <w:gridCol w:w="1975"/>
        <w:gridCol w:w="965"/>
        <w:gridCol w:w="1200"/>
        <w:gridCol w:w="2507"/>
      </w:tblGrid>
      <w:tr w14:paraId="6535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5E54A1B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93" w:type="dxa"/>
            <w:tcBorders>
              <w:top w:val="single" w:color="auto" w:sz="4" w:space="0"/>
              <w:left w:val="single" w:color="auto" w:sz="4" w:space="0"/>
              <w:bottom w:val="single" w:color="auto" w:sz="4" w:space="0"/>
              <w:right w:val="single" w:color="auto" w:sz="4" w:space="0"/>
            </w:tcBorders>
            <w:noWrap w:val="0"/>
            <w:vAlign w:val="center"/>
          </w:tcPr>
          <w:p w14:paraId="0447753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服务名称</w:t>
            </w:r>
          </w:p>
        </w:tc>
        <w:tc>
          <w:tcPr>
            <w:tcW w:w="1975" w:type="dxa"/>
            <w:tcBorders>
              <w:top w:val="single" w:color="auto" w:sz="4" w:space="0"/>
              <w:left w:val="single" w:color="auto" w:sz="4" w:space="0"/>
              <w:bottom w:val="single" w:color="auto" w:sz="4" w:space="0"/>
              <w:right w:val="single" w:color="auto" w:sz="4" w:space="0"/>
            </w:tcBorders>
            <w:noWrap w:val="0"/>
            <w:vAlign w:val="center"/>
          </w:tcPr>
          <w:p w14:paraId="6034499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标的内容</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21E65F5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443264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2507" w:type="dxa"/>
            <w:tcBorders>
              <w:top w:val="single" w:color="auto" w:sz="4" w:space="0"/>
              <w:left w:val="single" w:color="auto" w:sz="4" w:space="0"/>
              <w:bottom w:val="single" w:color="auto" w:sz="4" w:space="0"/>
              <w:right w:val="single" w:color="auto" w:sz="4" w:space="0"/>
            </w:tcBorders>
            <w:noWrap w:val="0"/>
            <w:vAlign w:val="center"/>
          </w:tcPr>
          <w:p w14:paraId="1488CD0C">
            <w:pPr>
              <w:spacing w:line="360" w:lineRule="auto"/>
              <w:jc w:val="center"/>
              <w:rPr>
                <w:rFonts w:hint="eastAsia" w:ascii="宋体" w:hAnsi="宋体" w:cs="宋体"/>
                <w:color w:val="auto"/>
                <w:szCs w:val="21"/>
                <w:highlight w:val="none"/>
              </w:rPr>
            </w:pPr>
            <w:r>
              <w:rPr>
                <w:rFonts w:hint="eastAsia"/>
                <w:lang w:val="en-US" w:eastAsia="zh-CN"/>
              </w:rPr>
              <w:t>成交</w:t>
            </w:r>
            <w:r>
              <w:rPr>
                <w:rFonts w:hint="eastAsia" w:ascii="宋体" w:hAnsi="宋体" w:cs="宋体"/>
                <w:color w:val="auto"/>
                <w:szCs w:val="21"/>
                <w:highlight w:val="none"/>
              </w:rPr>
              <w:t>折扣系数</w:t>
            </w:r>
          </w:p>
        </w:tc>
      </w:tr>
      <w:tr w14:paraId="103F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44302A77">
            <w:pPr>
              <w:spacing w:line="360" w:lineRule="auto"/>
              <w:jc w:val="center"/>
              <w:rPr>
                <w:rFonts w:hint="eastAsia" w:ascii="宋体" w:hAnsi="宋体" w:cs="宋体"/>
                <w:color w:val="auto"/>
                <w:szCs w:val="21"/>
                <w:highlight w:val="none"/>
              </w:rPr>
            </w:pPr>
          </w:p>
        </w:tc>
        <w:tc>
          <w:tcPr>
            <w:tcW w:w="1993" w:type="dxa"/>
            <w:tcBorders>
              <w:top w:val="single" w:color="auto" w:sz="4" w:space="0"/>
              <w:left w:val="single" w:color="auto" w:sz="4" w:space="0"/>
              <w:bottom w:val="single" w:color="auto" w:sz="4" w:space="0"/>
              <w:right w:val="single" w:color="auto" w:sz="4" w:space="0"/>
            </w:tcBorders>
            <w:noWrap w:val="0"/>
            <w:vAlign w:val="center"/>
          </w:tcPr>
          <w:p w14:paraId="199057A2">
            <w:pPr>
              <w:spacing w:line="360" w:lineRule="auto"/>
              <w:jc w:val="center"/>
              <w:rPr>
                <w:rFonts w:hint="eastAsia" w:ascii="宋体" w:hAnsi="宋体" w:cs="宋体"/>
                <w:color w:val="auto"/>
                <w:szCs w:val="21"/>
                <w:highlight w:val="none"/>
              </w:rPr>
            </w:pPr>
          </w:p>
        </w:tc>
        <w:tc>
          <w:tcPr>
            <w:tcW w:w="1975" w:type="dxa"/>
            <w:tcBorders>
              <w:top w:val="single" w:color="auto" w:sz="4" w:space="0"/>
              <w:left w:val="single" w:color="auto" w:sz="4" w:space="0"/>
              <w:bottom w:val="single" w:color="auto" w:sz="4" w:space="0"/>
              <w:right w:val="single" w:color="auto" w:sz="4" w:space="0"/>
            </w:tcBorders>
            <w:noWrap w:val="0"/>
            <w:vAlign w:val="center"/>
          </w:tcPr>
          <w:p w14:paraId="7894F76D">
            <w:pPr>
              <w:spacing w:line="360" w:lineRule="auto"/>
              <w:jc w:val="center"/>
              <w:rPr>
                <w:rFonts w:hint="eastAsia" w:ascii="宋体" w:hAnsi="宋体" w:cs="宋体"/>
                <w:color w:val="auto"/>
                <w:szCs w:val="21"/>
                <w:highlight w:val="none"/>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449A8724">
            <w:pPr>
              <w:spacing w:line="360" w:lineRule="auto"/>
              <w:jc w:val="center"/>
              <w:rPr>
                <w:rFonts w:hint="eastAsia"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67119E5">
            <w:pPr>
              <w:spacing w:line="360" w:lineRule="auto"/>
              <w:jc w:val="center"/>
              <w:rPr>
                <w:rFonts w:hint="eastAsia" w:ascii="宋体" w:hAnsi="宋体" w:cs="宋体"/>
                <w:color w:val="auto"/>
                <w:szCs w:val="21"/>
                <w:highlight w:val="none"/>
              </w:rPr>
            </w:pPr>
          </w:p>
        </w:tc>
        <w:tc>
          <w:tcPr>
            <w:tcW w:w="2507" w:type="dxa"/>
            <w:tcBorders>
              <w:top w:val="single" w:color="auto" w:sz="4" w:space="0"/>
              <w:left w:val="single" w:color="auto" w:sz="4" w:space="0"/>
              <w:bottom w:val="single" w:color="auto" w:sz="4" w:space="0"/>
              <w:right w:val="single" w:color="auto" w:sz="4" w:space="0"/>
            </w:tcBorders>
            <w:noWrap w:val="0"/>
            <w:vAlign w:val="center"/>
          </w:tcPr>
          <w:p w14:paraId="33C9F0E8">
            <w:pPr>
              <w:spacing w:line="360" w:lineRule="auto"/>
              <w:jc w:val="center"/>
              <w:rPr>
                <w:rFonts w:hint="eastAsia" w:ascii="宋体" w:hAnsi="宋体" w:cs="宋体"/>
                <w:color w:val="auto"/>
                <w:szCs w:val="21"/>
                <w:highlight w:val="none"/>
              </w:rPr>
            </w:pPr>
          </w:p>
        </w:tc>
      </w:tr>
      <w:tr w14:paraId="5583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6"/>
            <w:tcBorders>
              <w:top w:val="single" w:color="auto" w:sz="4" w:space="0"/>
              <w:left w:val="single" w:color="auto" w:sz="4" w:space="0"/>
              <w:bottom w:val="single" w:color="auto" w:sz="4" w:space="0"/>
              <w:right w:val="single" w:color="auto" w:sz="4" w:space="0"/>
            </w:tcBorders>
            <w:noWrap w:val="0"/>
            <w:vAlign w:val="center"/>
          </w:tcPr>
          <w:p w14:paraId="5CC294D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详见开标一览表</w:t>
            </w:r>
          </w:p>
        </w:tc>
      </w:tr>
    </w:tbl>
    <w:p w14:paraId="7DCC99E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（1）由于受疫情防控原因、政策原因和其他不可预测原因，实际结算总价可能小于或大于预算总金额，按实际产生的费用结算，报价时应该考虑此特殊风险。</w:t>
      </w:r>
    </w:p>
    <w:p w14:paraId="26F6B6F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采购单价=基准单价×成交折扣系数，基准单价按签订合同时双方代表到贵港市城区内大型超市对商品的价格进行采价（特价及促销价除外），如大型超市没有配送的商品，则到贵港市城区的大型农贸市场采价。合同执行后三个月内价格不变，合同执行三个月后，双方根据市场价格变动情况适时做市场调查，肉类产品当月市场价格在合同基准单价基础上下浮动率≥15%时，蔬菜类产品当月市场价格在合同基准单价基础上下浮动率≥20%时，其他类产品当月市场价格在合同基准单价基础上下浮动率≥10%时，可以进行价格调整一次。价格调整由甲方或乙方提出基准单价调整申请，由甲方面向市场主体选择贵港市至少三家大型商场、市场、超市</w:t>
      </w:r>
      <w:r>
        <w:rPr>
          <w:rFonts w:hint="eastAsia" w:ascii="宋体" w:hAnsi="宋体" w:cs="宋体"/>
          <w:color w:val="auto"/>
          <w:szCs w:val="21"/>
          <w:highlight w:val="none"/>
          <w:lang w:eastAsia="zh-CN"/>
        </w:rPr>
        <w:t>开展</w:t>
      </w:r>
      <w:r>
        <w:rPr>
          <w:rFonts w:hint="eastAsia" w:ascii="宋体" w:hAnsi="宋体" w:cs="宋体"/>
          <w:color w:val="auto"/>
          <w:szCs w:val="21"/>
          <w:highlight w:val="none"/>
        </w:rPr>
        <w:t>市场调查，由甲方后勤保障部门将调查结果提交至</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审议拟定新的基准单价。调整后的基准单价乘以响应报价折扣系数为拟定调整的采购单价（拟定调整的采购单价=调整后的基准单价×响应报价折扣系数），拟定调整后的基准单价经甲方审定，经双方确认同意后方可调整价格。基准单价调整后，采购单价为变动后的基准单价×成交折扣系数。</w:t>
      </w:r>
    </w:p>
    <w:p w14:paraId="22AF5945">
      <w:pPr>
        <w:spacing w:line="360" w:lineRule="auto"/>
        <w:rPr>
          <w:rFonts w:hint="eastAsia"/>
          <w:color w:val="auto"/>
          <w:highlight w:val="none"/>
        </w:rPr>
      </w:pPr>
      <w:r>
        <w:rPr>
          <w:rFonts w:hint="eastAsia" w:ascii="宋体" w:hAnsi="宋体" w:cs="宋体"/>
          <w:color w:val="auto"/>
          <w:szCs w:val="21"/>
          <w:highlight w:val="none"/>
        </w:rPr>
        <w:t>（3）若需要采购需求外的货物，则由双方协商采购。双方派人到贵港市城区内三家及以上的大型超市或大型农贸市场做市场调查，以调查平均价作为基准单价，结算方式：采购单价=基准单价×成交折扣系数。</w:t>
      </w:r>
    </w:p>
    <w:p w14:paraId="58B5CAA2">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第二条　质量保证</w:t>
      </w:r>
    </w:p>
    <w:p w14:paraId="0D15DBC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1、乙方供应的食材或货物必须达到国家标准；乙方提供食材或货物样本，并提供相应主管部门出具的有效产品合格证件（检验报告）等，经甲方确认，按样本供货。</w:t>
      </w:r>
    </w:p>
    <w:p w14:paraId="3A141E7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2、乙方成交前未购买食品安全责任保险的，在签订合同后一个月内必须到相关的保险公司进行投保，投保险种为食品安全责任保险，否则甲方有权终止合同。</w:t>
      </w:r>
    </w:p>
    <w:p w14:paraId="68595DC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3、甲方负责定期或不定期组织市场监管、卫健委等部门进行食品质量卫生监督检查，以确保所供食材或货物质量。</w:t>
      </w:r>
    </w:p>
    <w:p w14:paraId="3FB98134">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第三条　权利保证</w:t>
      </w:r>
    </w:p>
    <w:p w14:paraId="1FD582B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1、乙方应保证所提供服务在使用时不会侵犯任何第三方的专利权、商标权、工业设计权等知识产权及其他合法权利，且所有权、处分权等没有受到任何限制。</w:t>
      </w:r>
    </w:p>
    <w:p w14:paraId="34909A8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63809A14">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第四条　交付和验收</w:t>
      </w:r>
    </w:p>
    <w:p w14:paraId="1CE4F0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1、服务期限：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；服务地点：</w:t>
      </w:r>
      <w:r>
        <w:rPr>
          <w:rFonts w:hint="eastAsia" w:ascii="宋体" w:hAnsi="宋体" w:cs="宋体"/>
          <w:color w:val="auto"/>
          <w:szCs w:val="21"/>
          <w:highlight w:val="none"/>
          <w:u w:val="single"/>
        </w:rPr>
        <w:t xml:space="preserve"> 甲方指定地点 </w:t>
      </w:r>
      <w:r>
        <w:rPr>
          <w:rFonts w:hint="eastAsia" w:ascii="宋体" w:hAnsi="宋体" w:cs="宋体"/>
          <w:color w:val="auto"/>
          <w:szCs w:val="21"/>
          <w:highlight w:val="none"/>
        </w:rPr>
        <w:t>；交货方式：一般供货要求：</w:t>
      </w:r>
      <w:r>
        <w:rPr>
          <w:rFonts w:hint="eastAsia" w:ascii="宋体" w:hAnsi="宋体" w:cs="宋体"/>
          <w:color w:val="auto"/>
          <w:szCs w:val="21"/>
          <w:highlight w:val="none"/>
          <w:u w:val="single"/>
        </w:rPr>
        <w:t>甲方提前一周向乙方预订货物的品种和数量，乙方按甲方所报的数量并按原提供的食材或货物样本按时、按要求送到甲方指定的地点，运费及装卸费由乙方承担</w:t>
      </w:r>
      <w:r>
        <w:rPr>
          <w:rFonts w:hint="eastAsia" w:ascii="宋体" w:hAnsi="宋体" w:cs="宋体"/>
          <w:color w:val="auto"/>
          <w:szCs w:val="21"/>
          <w:highlight w:val="none"/>
        </w:rPr>
        <w:t>。</w:t>
      </w:r>
    </w:p>
    <w:p w14:paraId="5C3E607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2、乙方应按响应文件的承诺向甲方提供相应的服务，并提供所服务内容的相关技术资料。</w:t>
      </w:r>
    </w:p>
    <w:p w14:paraId="48C62B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3、乙方提供不符合响应文件和本合同规定的服务成果，甲方有权拒绝接受。</w:t>
      </w:r>
    </w:p>
    <w:p w14:paraId="630E2A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乙方完成服务后应及时书面通知甲方进行验收，甲方应在收到通知后七个工作日内进行验收，逾期不开始验收的，乙方可视同验收合格。验收合格后由甲乙双方签署验收单并加盖甲方公章，甲乙双方各执一份。</w:t>
      </w:r>
    </w:p>
    <w:p w14:paraId="222F14D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5、甲乙双方应按照《广西壮族自治区政府采购项目履约验收管理办法》、双方合同、响应文件验收。</w:t>
      </w:r>
    </w:p>
    <w:p w14:paraId="508768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6、甲方在初步验收或者最终验收过程中如发现乙方提供的服务成果不满足响应文件及本合同规定的，可暂缓向乙方付款，直到乙方及时完善并提交相应的服务成果且经甲方验收合格后，方可办理付款。</w:t>
      </w:r>
    </w:p>
    <w:p w14:paraId="278203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7、甲方验收时以书面形式提出异议的，乙方应自收到甲方书面异议后五个工作日内及时予以解决，否则甲方有权不出具服务验收合格单。</w:t>
      </w:r>
    </w:p>
    <w:p w14:paraId="674F11A6">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第五条  售后服务及培训</w:t>
      </w:r>
    </w:p>
    <w:p w14:paraId="07DD2B1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1、乙方应按照国家有关法律法规和本合同所附的《服务响应表》要求为甲方提供相应的售后服务。</w:t>
      </w:r>
    </w:p>
    <w:p w14:paraId="2C8C72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2、甲方应提供必要测试条件（如场地、电源、水源等）。</w:t>
      </w:r>
    </w:p>
    <w:p w14:paraId="7F119F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3、乙方负责甲方有关人员的培训。培训时间、地点：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采购人指定地点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543CF78">
      <w:pPr>
        <w:snapToGrid w:val="0"/>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第六条　付款方式</w:t>
      </w:r>
    </w:p>
    <w:p w14:paraId="6C56B42E">
      <w:pPr>
        <w:spacing w:line="360" w:lineRule="auto"/>
        <w:ind w:left="718" w:leftChars="200" w:hanging="298" w:hangingChars="142"/>
        <w:rPr>
          <w:rFonts w:hint="eastAsia" w:ascii="宋体" w:hAnsi="宋体" w:cs="宋体"/>
          <w:color w:val="auto"/>
          <w:szCs w:val="21"/>
          <w:highlight w:val="none"/>
        </w:rPr>
      </w:pPr>
      <w:r>
        <w:rPr>
          <w:rFonts w:hint="eastAsia" w:ascii="宋体" w:hAnsi="宋体" w:cs="宋体"/>
          <w:color w:val="auto"/>
          <w:szCs w:val="21"/>
          <w:highlight w:val="none"/>
        </w:rPr>
        <w:t>1、本合同以人民币付款。</w:t>
      </w:r>
    </w:p>
    <w:p w14:paraId="7EDC6D12">
      <w:pPr>
        <w:spacing w:line="360" w:lineRule="auto"/>
        <w:ind w:left="718" w:leftChars="200" w:hanging="298" w:hangingChars="142"/>
        <w:rPr>
          <w:rFonts w:hint="eastAsia" w:ascii="宋体" w:hAnsi="宋体" w:cs="宋体"/>
          <w:color w:val="auto"/>
          <w:szCs w:val="21"/>
          <w:highlight w:val="none"/>
        </w:rPr>
      </w:pPr>
      <w:r>
        <w:rPr>
          <w:rFonts w:hint="eastAsia" w:ascii="宋体" w:hAnsi="宋体" w:cs="宋体"/>
          <w:color w:val="auto"/>
          <w:szCs w:val="21"/>
          <w:highlight w:val="none"/>
        </w:rPr>
        <w:t xml:space="preserve">2、分批供货，每批次货款根据双方确认的单价及该批次的供货数量进行结算。 </w:t>
      </w:r>
    </w:p>
    <w:p w14:paraId="6DE612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3、本项目无预付款，签订合同后，次月结算当月合同款，且乙方须提交合法发票，甲方收到发票之日起1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 xml:space="preserve">个工作日内支付结算款金额。  </w:t>
      </w:r>
    </w:p>
    <w:p w14:paraId="3906CE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4、签订合同方、收款方、出具发票方均必须与成交供应商名称一致。</w:t>
      </w:r>
    </w:p>
    <w:p w14:paraId="24467BBE">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第七条　履约保证金</w:t>
      </w:r>
    </w:p>
    <w:p w14:paraId="50677C7C">
      <w:pPr>
        <w:spacing w:line="360" w:lineRule="auto"/>
        <w:ind w:firstLine="210" w:firstLineChars="100"/>
        <w:rPr>
          <w:rFonts w:hint="eastAsia" w:ascii="宋体" w:hAnsi="宋体" w:cs="宋体"/>
          <w:color w:val="auto"/>
          <w:highlight w:val="none"/>
        </w:rPr>
      </w:pPr>
      <w:r>
        <w:rPr>
          <w:rFonts w:hint="eastAsia" w:ascii="宋体" w:hAnsi="宋体" w:cs="宋体"/>
          <w:color w:val="auto"/>
          <w:highlight w:val="none"/>
        </w:rPr>
        <w:t>履约保证金金额：采购预算金额的2%。</w:t>
      </w:r>
    </w:p>
    <w:p w14:paraId="34EB4275">
      <w:pPr>
        <w:spacing w:line="360" w:lineRule="auto"/>
        <w:ind w:firstLine="210" w:firstLineChars="100"/>
        <w:rPr>
          <w:rFonts w:hint="eastAsia" w:ascii="宋体" w:hAnsi="宋体" w:cs="宋体"/>
          <w:color w:val="auto"/>
          <w:highlight w:val="none"/>
        </w:rPr>
      </w:pPr>
      <w:r>
        <w:rPr>
          <w:rFonts w:hint="eastAsia" w:ascii="宋体" w:hAnsi="宋体" w:cs="宋体"/>
          <w:color w:val="auto"/>
          <w:highlight w:val="none"/>
        </w:rPr>
        <w:t>履约保证金递交方式：银行转账、支票、汇票、本票等非现金方式。</w:t>
      </w:r>
    </w:p>
    <w:p w14:paraId="3E354F96">
      <w:pPr>
        <w:spacing w:line="360" w:lineRule="auto"/>
        <w:ind w:firstLine="210" w:firstLineChars="100"/>
        <w:rPr>
          <w:rFonts w:hint="eastAsia" w:ascii="宋体" w:hAnsi="宋体" w:cs="宋体"/>
          <w:color w:val="auto"/>
          <w:highlight w:val="none"/>
        </w:rPr>
      </w:pPr>
      <w:r>
        <w:rPr>
          <w:rFonts w:hint="eastAsia" w:ascii="宋体" w:hAnsi="宋体" w:cs="宋体"/>
          <w:color w:val="auto"/>
          <w:highlight w:val="none"/>
        </w:rPr>
        <w:t>履约保证金退付方式、时间及条件：</w:t>
      </w:r>
    </w:p>
    <w:p w14:paraId="74AE3B0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合同签订前，乙方按采购预算金额的2%向甲方指定账户交纳履约保证金。乙方按照合同要求完成服务工作，合同期满，经甲方验收合格后，履约保证金全额退回（不计利息）。</w:t>
      </w:r>
    </w:p>
    <w:p w14:paraId="240B364D">
      <w:pPr>
        <w:pStyle w:val="11"/>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履约保证金指定账户：</w:t>
      </w:r>
    </w:p>
    <w:p w14:paraId="5762072D">
      <w:pPr>
        <w:pStyle w:val="11"/>
        <w:spacing w:line="360" w:lineRule="auto"/>
        <w:ind w:firstLine="420" w:firstLineChars="200"/>
        <w:contextualSpacing/>
        <w:rPr>
          <w:rFonts w:hint="eastAsia" w:hAnsi="宋体" w:cs="宋体"/>
          <w:color w:val="auto"/>
          <w:sz w:val="21"/>
          <w:highlight w:val="none"/>
          <w:lang w:eastAsia="zh-CN"/>
        </w:rPr>
      </w:pPr>
      <w:r>
        <w:rPr>
          <w:rFonts w:hint="eastAsia" w:hAnsi="宋体" w:cs="宋体"/>
          <w:color w:val="auto"/>
          <w:sz w:val="21"/>
          <w:highlight w:val="none"/>
        </w:rPr>
        <w:t>账户全称：广西壮族自治区贵港监狱</w:t>
      </w:r>
      <w:r>
        <w:rPr>
          <w:rFonts w:hint="eastAsia" w:hAnsi="宋体" w:cs="宋体"/>
          <w:color w:val="auto"/>
          <w:sz w:val="21"/>
          <w:highlight w:val="none"/>
          <w:lang w:val="en-US" w:eastAsia="zh-CN"/>
        </w:rPr>
        <w:t xml:space="preserve"> </w:t>
      </w:r>
    </w:p>
    <w:p w14:paraId="1B1F8F1D">
      <w:pPr>
        <w:pStyle w:val="11"/>
        <w:spacing w:line="360" w:lineRule="auto"/>
        <w:ind w:firstLine="420" w:firstLineChars="200"/>
        <w:contextualSpacing/>
        <w:rPr>
          <w:rFonts w:hint="eastAsia" w:hAnsi="宋体" w:cs="宋体"/>
          <w:color w:val="auto"/>
          <w:sz w:val="21"/>
          <w:highlight w:val="none"/>
          <w:lang w:eastAsia="zh-CN"/>
        </w:rPr>
      </w:pPr>
      <w:r>
        <w:rPr>
          <w:rFonts w:hint="eastAsia" w:hAnsi="宋体" w:cs="宋体"/>
          <w:color w:val="auto"/>
          <w:sz w:val="21"/>
          <w:highlight w:val="none"/>
        </w:rPr>
        <w:t>账  号：</w:t>
      </w:r>
      <w:r>
        <w:rPr>
          <w:rFonts w:hint="eastAsia" w:hAnsi="宋体" w:cs="宋体"/>
          <w:color w:val="auto"/>
          <w:sz w:val="21"/>
          <w:highlight w:val="none"/>
          <w:lang w:val="en-US" w:eastAsia="zh-CN"/>
        </w:rPr>
        <w:t xml:space="preserve"> 中国工商银行广西贵港市石油站支行</w:t>
      </w:r>
    </w:p>
    <w:p w14:paraId="298BE10A">
      <w:pPr>
        <w:pStyle w:val="11"/>
        <w:spacing w:line="360" w:lineRule="auto"/>
        <w:ind w:firstLine="420" w:firstLineChars="200"/>
        <w:contextualSpacing/>
        <w:rPr>
          <w:rFonts w:hint="eastAsia" w:hAnsi="宋体" w:cs="宋体"/>
          <w:color w:val="auto"/>
          <w:highlight w:val="none"/>
        </w:rPr>
      </w:pPr>
      <w:r>
        <w:rPr>
          <w:rFonts w:hint="eastAsia" w:hAnsi="宋体" w:cs="宋体"/>
          <w:color w:val="auto"/>
          <w:sz w:val="21"/>
          <w:highlight w:val="none"/>
        </w:rPr>
        <w:t>开户行：</w:t>
      </w:r>
      <w:r>
        <w:rPr>
          <w:rFonts w:hint="eastAsia" w:hAnsi="宋体" w:cs="宋体"/>
          <w:color w:val="auto"/>
          <w:sz w:val="21"/>
          <w:highlight w:val="none"/>
          <w:lang w:val="en-US" w:eastAsia="zh-CN"/>
        </w:rPr>
        <w:t xml:space="preserve"> 2111710209264003864</w:t>
      </w:r>
    </w:p>
    <w:p w14:paraId="39FEAA1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第八条  税费</w:t>
      </w:r>
    </w:p>
    <w:p w14:paraId="58A1D7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7C1F6D6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第九条　违约责任</w:t>
      </w:r>
    </w:p>
    <w:p w14:paraId="6AE8C1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1.乙方有下列行为之一的，甲方可根据其情节轻重不予退还其部分或全部履约保证金和(或)取消 其中标供货资格：</w:t>
      </w:r>
    </w:p>
    <w:p w14:paraId="01510C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(1)无正当理由拒绝承接采购人业务2次以上(含2次)的；</w:t>
      </w:r>
    </w:p>
    <w:p w14:paraId="5F4301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(2)擅自提高货物的价格或未按规定给予优惠的；</w:t>
      </w:r>
    </w:p>
    <w:p w14:paraId="6F8BF7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(3)达不到合同规定的质量标准，以次充好，提供假冒伪劣产品的；</w:t>
      </w:r>
    </w:p>
    <w:p w14:paraId="3A4A27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(4)出现重大责任事故的；</w:t>
      </w:r>
    </w:p>
    <w:p w14:paraId="3553A0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(5)拒绝接受监督、检查的；</w:t>
      </w:r>
    </w:p>
    <w:p w14:paraId="640818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(6)不如实反映情况，提供虚假材料的；</w:t>
      </w:r>
    </w:p>
    <w:p w14:paraId="0C668E8E">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宋体" w:hAnsi="宋体" w:cs="宋体"/>
          <w:color w:val="auto"/>
          <w:szCs w:val="21"/>
          <w:highlight w:val="none"/>
        </w:rPr>
        <w:t>(7)</w:t>
      </w:r>
      <w:r>
        <w:rPr>
          <w:rFonts w:hint="eastAsia" w:asciiTheme="minorEastAsia" w:hAnsiTheme="minorEastAsia" w:eastAsiaTheme="minorEastAsia" w:cstheme="minorEastAsia"/>
          <w:color w:val="auto"/>
          <w:sz w:val="21"/>
          <w:szCs w:val="21"/>
          <w:highlight w:val="none"/>
        </w:rPr>
        <w:t>合同有效期内，被行业行政主管部门取消行业经营资格的；</w:t>
      </w:r>
    </w:p>
    <w:p w14:paraId="62A67AA9">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 严重违法违规，被食品安全监管部门或其他部门处罚的 ；</w:t>
      </w:r>
    </w:p>
    <w:p w14:paraId="50CBFF82">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(9)虚开发票，套取资金，被监察、审计、财政、物价等有关部门查实的；</w:t>
      </w:r>
    </w:p>
    <w:p w14:paraId="62ADD1BC">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(10)因食品原材料问题而发生食品安全事故，造成不良后果的；</w:t>
      </w:r>
    </w:p>
    <w:p w14:paraId="27C29B2F">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(11)被食品药品监督局、农业局抽检食品原材料发现存在严重质量问题的；</w:t>
      </w:r>
    </w:p>
    <w:p w14:paraId="4A8723A3">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(12)被媒体曝光，造成不良影响的 ；</w:t>
      </w:r>
    </w:p>
    <w:p w14:paraId="4252AFA3">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(13)存在严重短斤缺两行为的 ；</w:t>
      </w:r>
    </w:p>
    <w:p w14:paraId="47E5AC53">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(14)其他违反法律、法规和采购合同的行为。</w:t>
      </w:r>
    </w:p>
    <w:p w14:paraId="3E25E8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因乙方违约造成甲方损失的，乙方应负相应的赔偿责任。因乙方原因导致发生食品安全卫生事故 的，甲方除有权解除合同、要求乙方赔偿损失或垫付费用外，还有权要求乙方承担相当于甲方损失额或 合同金额两者中较高金额标准的违约金。</w:t>
      </w:r>
    </w:p>
    <w:p w14:paraId="03AE5D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3.对违反国家法律、法规，情节特别严重的供应商，甲方还将提请有关部门追究其法律责任。</w:t>
      </w:r>
    </w:p>
    <w:p w14:paraId="69328F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甲方有权就乙方违约行为扣取履约保证金作为违约金，若乙方违规行为符合本合同约定的终止合 同或取消供货资格的，甲方有权解除本合同并要求承担相应责任。</w:t>
      </w:r>
    </w:p>
    <w:p w14:paraId="2F7B75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5.如甲方因不可抗力原因、政策调整原因、上级要求原因等需变更或终止合同的，甲方不负变更或 终止合同的违约责任。</w:t>
      </w:r>
    </w:p>
    <w:p w14:paraId="713AAC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6.由于甲方原因，造成配送工作不能正常开展的，由甲方自行承担损失。</w:t>
      </w:r>
    </w:p>
    <w:p w14:paraId="68DF57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 甲方应按照合同约定的时间向乙方支付货款。甲方逾期付款的，应按照逾期未支付货款金额的同 期银行贷款利率向乙方支付违约金。</w:t>
      </w:r>
    </w:p>
    <w:p w14:paraId="206C593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第十条  不可抗力事件处理</w:t>
      </w:r>
    </w:p>
    <w:p w14:paraId="08275E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7DBDE0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47CB87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p>
    <w:p w14:paraId="41D755ED">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第十一条  合同争议解决</w:t>
      </w:r>
    </w:p>
    <w:p w14:paraId="0D05139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1、因服务质量问题发生争议的，应邀请国家认可的质量检测机构进行鉴定。服务符合标准的，鉴定费由甲方承担；服务不符合标准的，鉴定费由乙方承担。</w:t>
      </w:r>
    </w:p>
    <w:p w14:paraId="1769C9B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2、因履行本合同引起的或者与本合同有关的争议，甲乙双方应首先通过友好协商解决，如果协商不能解决，可向甲方所在地有管辖权的人民法院提起诉讼。</w:t>
      </w:r>
    </w:p>
    <w:p w14:paraId="706D34E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3、诉讼期间，本合同继续履行。</w:t>
      </w:r>
    </w:p>
    <w:p w14:paraId="5E4CDA0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第十二条  合同生效及其它</w:t>
      </w:r>
    </w:p>
    <w:p w14:paraId="04F474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1、合同经双方法定代表人或者授权代表签字并加盖单位公章后生效（委托代理人签字的需后附授权委托书，格式自拟）。</w:t>
      </w:r>
    </w:p>
    <w:p w14:paraId="004330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2、合同执行中涉及采购资金和采购内容修改或者补充的，须经监督部门审批，并签书面补充协议报监督部门备案，方可作为主合同不可分割的一部分。</w:t>
      </w:r>
    </w:p>
    <w:p w14:paraId="0D433B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3、本合同未尽事宜，遵照《中华人民共和国民法典》有关条文执行。</w:t>
      </w:r>
    </w:p>
    <w:p w14:paraId="29C4658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第十三条　合同的变更、终止与转让</w:t>
      </w:r>
    </w:p>
    <w:p w14:paraId="482551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1、除《中华人民共和国政府采购法》第五十条规定的情形外，本合同一经签订，甲乙双方不得擅自变更、中止或者终止。</w:t>
      </w:r>
    </w:p>
    <w:p w14:paraId="774892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2、乙方不得擅自转让其应履行的合同义务。</w:t>
      </w:r>
    </w:p>
    <w:p w14:paraId="79A9769E">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第十四条　签订本合同依据</w:t>
      </w:r>
    </w:p>
    <w:p w14:paraId="70982C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1、成交通知书；</w:t>
      </w:r>
    </w:p>
    <w:p w14:paraId="63C7CB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2、开标一览表；</w:t>
      </w:r>
    </w:p>
    <w:p w14:paraId="5533AA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3、技术要求响应偏离表和商务要求响应偏离表；</w:t>
      </w:r>
    </w:p>
    <w:p w14:paraId="7FEBA7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4、技术服务方案；</w:t>
      </w:r>
    </w:p>
    <w:p w14:paraId="5C20CF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5、响应文件中的其他相关文件。</w:t>
      </w:r>
    </w:p>
    <w:p w14:paraId="14AC4E4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6、上述合同文件互相补充和解释。如果合同文件之间存在矛盾或者不一致之处，以上述文件的排列顺序在先者为准。</w:t>
      </w:r>
    </w:p>
    <w:p w14:paraId="105A1FB7">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第十五条　</w:t>
      </w:r>
      <w:r>
        <w:rPr>
          <w:rFonts w:hint="eastAsia" w:ascii="宋体" w:hAnsi="宋体" w:cs="宋体"/>
          <w:color w:val="auto"/>
          <w:szCs w:val="21"/>
          <w:highlight w:val="none"/>
        </w:rPr>
        <w:t>本合同一式四份，具有同等法律效力甲乙双方各二份（可根据需要另增加）。</w:t>
      </w:r>
    </w:p>
    <w:p w14:paraId="0CCE9C7E">
      <w:pPr>
        <w:spacing w:line="360" w:lineRule="auto"/>
        <w:ind w:firstLine="420" w:firstLineChars="200"/>
        <w:rPr>
          <w:rFonts w:ascii="宋体" w:hAnsi="宋体" w:cs="宋体"/>
          <w:color w:val="auto"/>
          <w:szCs w:val="21"/>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085F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0"/>
            <w:vAlign w:val="center"/>
          </w:tcPr>
          <w:p w14:paraId="3AD777B1">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甲方（章）           </w:t>
            </w:r>
          </w:p>
          <w:p w14:paraId="5938FF1D">
            <w:pPr>
              <w:snapToGrid w:val="0"/>
              <w:spacing w:line="360" w:lineRule="auto"/>
              <w:rPr>
                <w:rFonts w:ascii="宋体" w:hAnsi="宋体"/>
                <w:color w:val="auto"/>
                <w:szCs w:val="21"/>
                <w:highlight w:val="none"/>
              </w:rPr>
            </w:pPr>
          </w:p>
          <w:p w14:paraId="1252D169">
            <w:pPr>
              <w:snapToGrid w:val="0"/>
              <w:spacing w:line="360" w:lineRule="auto"/>
              <w:ind w:firstLine="945" w:firstLineChars="450"/>
              <w:jc w:val="right"/>
              <w:rPr>
                <w:rFonts w:ascii="宋体" w:hAnsi="宋体"/>
                <w:color w:val="auto"/>
                <w:szCs w:val="21"/>
                <w:highlight w:val="none"/>
              </w:rPr>
            </w:pPr>
            <w:r>
              <w:rPr>
                <w:rFonts w:hint="eastAsia" w:ascii="宋体" w:hAnsi="宋体"/>
                <w:color w:val="auto"/>
                <w:szCs w:val="21"/>
                <w:highlight w:val="none"/>
              </w:rPr>
              <w:t>年   月   日</w:t>
            </w:r>
          </w:p>
        </w:tc>
        <w:tc>
          <w:tcPr>
            <w:tcW w:w="4517" w:type="dxa"/>
            <w:noWrap w:val="0"/>
            <w:vAlign w:val="center"/>
          </w:tcPr>
          <w:p w14:paraId="304139A5">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乙方（章）              </w:t>
            </w:r>
          </w:p>
          <w:p w14:paraId="6B02CD38">
            <w:pPr>
              <w:snapToGrid w:val="0"/>
              <w:spacing w:line="360" w:lineRule="auto"/>
              <w:rPr>
                <w:rFonts w:ascii="宋体" w:hAnsi="宋体"/>
                <w:color w:val="auto"/>
                <w:szCs w:val="21"/>
                <w:highlight w:val="none"/>
              </w:rPr>
            </w:pPr>
          </w:p>
          <w:p w14:paraId="4853EAA9">
            <w:pPr>
              <w:snapToGrid w:val="0"/>
              <w:spacing w:line="360" w:lineRule="auto"/>
              <w:jc w:val="right"/>
              <w:rPr>
                <w:rFonts w:ascii="宋体" w:hAnsi="宋体"/>
                <w:color w:val="auto"/>
                <w:szCs w:val="21"/>
                <w:highlight w:val="none"/>
              </w:rPr>
            </w:pPr>
            <w:r>
              <w:rPr>
                <w:rFonts w:hint="eastAsia" w:ascii="宋体" w:hAnsi="宋体"/>
                <w:color w:val="auto"/>
                <w:szCs w:val="21"/>
                <w:highlight w:val="none"/>
              </w:rPr>
              <w:t xml:space="preserve"> 年   月   日</w:t>
            </w:r>
          </w:p>
        </w:tc>
      </w:tr>
      <w:tr w14:paraId="3968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noWrap w:val="0"/>
            <w:vAlign w:val="center"/>
          </w:tcPr>
          <w:p w14:paraId="1E399821">
            <w:pPr>
              <w:snapToGrid w:val="0"/>
              <w:spacing w:line="360" w:lineRule="auto"/>
              <w:rPr>
                <w:rFonts w:ascii="宋体" w:hAnsi="宋体"/>
                <w:color w:val="auto"/>
                <w:szCs w:val="21"/>
                <w:highlight w:val="none"/>
              </w:rPr>
            </w:pPr>
            <w:r>
              <w:rPr>
                <w:rFonts w:hint="eastAsia" w:ascii="宋体" w:hAnsi="宋体"/>
                <w:color w:val="auto"/>
                <w:szCs w:val="21"/>
                <w:highlight w:val="none"/>
              </w:rPr>
              <w:t>单位地址：</w:t>
            </w:r>
          </w:p>
        </w:tc>
        <w:tc>
          <w:tcPr>
            <w:tcW w:w="4517" w:type="dxa"/>
            <w:noWrap w:val="0"/>
            <w:vAlign w:val="center"/>
          </w:tcPr>
          <w:p w14:paraId="26150C04">
            <w:pPr>
              <w:snapToGrid w:val="0"/>
              <w:spacing w:line="360" w:lineRule="auto"/>
              <w:rPr>
                <w:rFonts w:ascii="宋体" w:hAnsi="宋体"/>
                <w:color w:val="auto"/>
                <w:szCs w:val="21"/>
                <w:highlight w:val="none"/>
              </w:rPr>
            </w:pPr>
            <w:r>
              <w:rPr>
                <w:rFonts w:hint="eastAsia" w:ascii="宋体" w:hAnsi="宋体"/>
                <w:color w:val="auto"/>
                <w:szCs w:val="21"/>
                <w:highlight w:val="none"/>
              </w:rPr>
              <w:t>单位地址：</w:t>
            </w:r>
          </w:p>
        </w:tc>
      </w:tr>
      <w:tr w14:paraId="5B7D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516" w:type="dxa"/>
            <w:noWrap w:val="0"/>
            <w:vAlign w:val="top"/>
          </w:tcPr>
          <w:p w14:paraId="37488CCB">
            <w:pPr>
              <w:snapToGrid w:val="0"/>
              <w:spacing w:line="360" w:lineRule="auto"/>
              <w:rPr>
                <w:rFonts w:ascii="宋体" w:hAnsi="宋体"/>
                <w:color w:val="auto"/>
                <w:szCs w:val="21"/>
                <w:highlight w:val="none"/>
              </w:rPr>
            </w:pPr>
            <w:r>
              <w:rPr>
                <w:rFonts w:hint="eastAsia" w:ascii="宋体" w:hAnsi="宋体"/>
                <w:color w:val="auto"/>
                <w:szCs w:val="21"/>
                <w:highlight w:val="none"/>
              </w:rPr>
              <w:t>法定代表人或者委托代理人：</w:t>
            </w:r>
          </w:p>
        </w:tc>
        <w:tc>
          <w:tcPr>
            <w:tcW w:w="4517" w:type="dxa"/>
            <w:noWrap w:val="0"/>
            <w:vAlign w:val="top"/>
          </w:tcPr>
          <w:p w14:paraId="63A38CD9">
            <w:pPr>
              <w:snapToGrid w:val="0"/>
              <w:spacing w:line="360" w:lineRule="auto"/>
              <w:rPr>
                <w:rFonts w:ascii="宋体" w:hAnsi="宋体"/>
                <w:color w:val="auto"/>
                <w:szCs w:val="21"/>
                <w:highlight w:val="none"/>
              </w:rPr>
            </w:pPr>
            <w:r>
              <w:rPr>
                <w:rFonts w:hint="eastAsia" w:ascii="宋体" w:hAnsi="宋体"/>
                <w:color w:val="auto"/>
                <w:szCs w:val="21"/>
                <w:highlight w:val="none"/>
              </w:rPr>
              <w:t>法定代表人或者委托代理人：</w:t>
            </w:r>
          </w:p>
        </w:tc>
      </w:tr>
      <w:tr w14:paraId="3B818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noWrap w:val="0"/>
            <w:vAlign w:val="center"/>
          </w:tcPr>
          <w:p w14:paraId="5D01956C">
            <w:pPr>
              <w:snapToGrid w:val="0"/>
              <w:spacing w:line="360" w:lineRule="auto"/>
              <w:rPr>
                <w:rFonts w:ascii="宋体" w:hAnsi="宋体"/>
                <w:color w:val="auto"/>
                <w:szCs w:val="21"/>
                <w:highlight w:val="none"/>
              </w:rPr>
            </w:pPr>
            <w:r>
              <w:rPr>
                <w:rFonts w:hint="eastAsia" w:ascii="宋体" w:hAnsi="宋体"/>
                <w:color w:val="auto"/>
                <w:szCs w:val="21"/>
                <w:highlight w:val="none"/>
              </w:rPr>
              <w:t>电话：</w:t>
            </w:r>
          </w:p>
        </w:tc>
        <w:tc>
          <w:tcPr>
            <w:tcW w:w="4517" w:type="dxa"/>
            <w:noWrap w:val="0"/>
            <w:vAlign w:val="center"/>
          </w:tcPr>
          <w:p w14:paraId="270AA74B">
            <w:pPr>
              <w:snapToGrid w:val="0"/>
              <w:spacing w:line="360" w:lineRule="auto"/>
              <w:rPr>
                <w:rFonts w:ascii="宋体" w:hAnsi="宋体"/>
                <w:color w:val="auto"/>
                <w:szCs w:val="21"/>
                <w:highlight w:val="none"/>
              </w:rPr>
            </w:pPr>
            <w:r>
              <w:rPr>
                <w:rFonts w:hint="eastAsia" w:ascii="宋体" w:hAnsi="宋体"/>
                <w:color w:val="auto"/>
                <w:szCs w:val="21"/>
                <w:highlight w:val="none"/>
              </w:rPr>
              <w:t>电话：</w:t>
            </w:r>
          </w:p>
        </w:tc>
      </w:tr>
      <w:tr w14:paraId="20E8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14:paraId="236E55C9">
            <w:pPr>
              <w:snapToGrid w:val="0"/>
              <w:spacing w:line="360" w:lineRule="auto"/>
              <w:rPr>
                <w:rFonts w:ascii="宋体" w:hAnsi="宋体"/>
                <w:color w:val="auto"/>
                <w:szCs w:val="21"/>
                <w:highlight w:val="none"/>
              </w:rPr>
            </w:pPr>
            <w:r>
              <w:rPr>
                <w:rFonts w:hint="eastAsia" w:ascii="宋体" w:hAnsi="宋体"/>
                <w:color w:val="auto"/>
                <w:szCs w:val="21"/>
                <w:highlight w:val="none"/>
              </w:rPr>
              <w:t>电子邮箱：</w:t>
            </w:r>
          </w:p>
        </w:tc>
        <w:tc>
          <w:tcPr>
            <w:tcW w:w="4517" w:type="dxa"/>
            <w:noWrap w:val="0"/>
            <w:vAlign w:val="center"/>
          </w:tcPr>
          <w:p w14:paraId="234B7520">
            <w:pPr>
              <w:snapToGrid w:val="0"/>
              <w:spacing w:line="360" w:lineRule="auto"/>
              <w:rPr>
                <w:rFonts w:ascii="宋体" w:hAnsi="宋体"/>
                <w:color w:val="auto"/>
                <w:szCs w:val="21"/>
                <w:highlight w:val="none"/>
              </w:rPr>
            </w:pPr>
            <w:r>
              <w:rPr>
                <w:rFonts w:hint="eastAsia" w:ascii="宋体" w:hAnsi="宋体"/>
                <w:color w:val="auto"/>
                <w:szCs w:val="21"/>
                <w:highlight w:val="none"/>
              </w:rPr>
              <w:t>电子邮箱：</w:t>
            </w:r>
          </w:p>
        </w:tc>
      </w:tr>
      <w:tr w14:paraId="6DAA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noWrap w:val="0"/>
            <w:vAlign w:val="center"/>
          </w:tcPr>
          <w:p w14:paraId="66BD71E5">
            <w:pPr>
              <w:snapToGrid w:val="0"/>
              <w:spacing w:line="360" w:lineRule="auto"/>
              <w:rPr>
                <w:rFonts w:ascii="宋体" w:hAnsi="宋体"/>
                <w:color w:val="auto"/>
                <w:szCs w:val="21"/>
                <w:highlight w:val="none"/>
              </w:rPr>
            </w:pPr>
            <w:r>
              <w:rPr>
                <w:rFonts w:hint="eastAsia" w:ascii="宋体" w:hAnsi="宋体"/>
                <w:color w:val="auto"/>
                <w:szCs w:val="21"/>
                <w:highlight w:val="none"/>
              </w:rPr>
              <w:t>开户银行：</w:t>
            </w:r>
          </w:p>
        </w:tc>
        <w:tc>
          <w:tcPr>
            <w:tcW w:w="4517" w:type="dxa"/>
            <w:noWrap w:val="0"/>
            <w:vAlign w:val="center"/>
          </w:tcPr>
          <w:p w14:paraId="1C58B311">
            <w:pPr>
              <w:snapToGrid w:val="0"/>
              <w:spacing w:line="360" w:lineRule="auto"/>
              <w:rPr>
                <w:rFonts w:ascii="宋体" w:hAnsi="宋体"/>
                <w:color w:val="auto"/>
                <w:szCs w:val="21"/>
                <w:highlight w:val="none"/>
              </w:rPr>
            </w:pPr>
            <w:r>
              <w:rPr>
                <w:rFonts w:hint="eastAsia" w:ascii="宋体" w:hAnsi="宋体"/>
                <w:color w:val="auto"/>
                <w:szCs w:val="21"/>
                <w:highlight w:val="none"/>
              </w:rPr>
              <w:t>开户银行：</w:t>
            </w:r>
          </w:p>
        </w:tc>
      </w:tr>
      <w:tr w14:paraId="29EC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noWrap w:val="0"/>
            <w:vAlign w:val="center"/>
          </w:tcPr>
          <w:p w14:paraId="079CFC6A">
            <w:pPr>
              <w:snapToGrid w:val="0"/>
              <w:spacing w:line="360" w:lineRule="auto"/>
              <w:rPr>
                <w:rFonts w:ascii="宋体" w:hAnsi="宋体"/>
                <w:color w:val="auto"/>
                <w:szCs w:val="21"/>
                <w:highlight w:val="none"/>
              </w:rPr>
            </w:pPr>
            <w:r>
              <w:rPr>
                <w:rFonts w:hint="eastAsia" w:ascii="宋体" w:hAnsi="宋体"/>
                <w:color w:val="auto"/>
                <w:szCs w:val="21"/>
                <w:highlight w:val="none"/>
              </w:rPr>
              <w:t>账号：</w:t>
            </w:r>
          </w:p>
        </w:tc>
        <w:tc>
          <w:tcPr>
            <w:tcW w:w="4517" w:type="dxa"/>
            <w:noWrap w:val="0"/>
            <w:vAlign w:val="center"/>
          </w:tcPr>
          <w:p w14:paraId="6B8E86A8">
            <w:pPr>
              <w:snapToGrid w:val="0"/>
              <w:spacing w:line="360" w:lineRule="auto"/>
              <w:rPr>
                <w:rFonts w:ascii="宋体" w:hAnsi="宋体"/>
                <w:color w:val="auto"/>
                <w:szCs w:val="21"/>
                <w:highlight w:val="none"/>
              </w:rPr>
            </w:pPr>
            <w:r>
              <w:rPr>
                <w:rFonts w:hint="eastAsia" w:ascii="宋体" w:hAnsi="宋体"/>
                <w:color w:val="auto"/>
                <w:szCs w:val="21"/>
                <w:highlight w:val="none"/>
              </w:rPr>
              <w:t>账号：</w:t>
            </w:r>
          </w:p>
        </w:tc>
      </w:tr>
      <w:tr w14:paraId="08C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noWrap w:val="0"/>
            <w:vAlign w:val="center"/>
          </w:tcPr>
          <w:p w14:paraId="3BD3409A">
            <w:pPr>
              <w:snapToGrid w:val="0"/>
              <w:spacing w:line="360" w:lineRule="auto"/>
              <w:rPr>
                <w:rFonts w:ascii="宋体" w:hAnsi="宋体"/>
                <w:color w:val="auto"/>
                <w:szCs w:val="21"/>
                <w:highlight w:val="none"/>
              </w:rPr>
            </w:pPr>
            <w:r>
              <w:rPr>
                <w:rFonts w:hint="eastAsia" w:ascii="宋体" w:hAnsi="宋体"/>
                <w:color w:val="auto"/>
                <w:szCs w:val="21"/>
                <w:highlight w:val="none"/>
              </w:rPr>
              <w:t>邮政编码：</w:t>
            </w:r>
          </w:p>
        </w:tc>
        <w:tc>
          <w:tcPr>
            <w:tcW w:w="4517" w:type="dxa"/>
            <w:noWrap w:val="0"/>
            <w:vAlign w:val="center"/>
          </w:tcPr>
          <w:p w14:paraId="62D97E82">
            <w:pPr>
              <w:snapToGrid w:val="0"/>
              <w:spacing w:line="360" w:lineRule="auto"/>
              <w:rPr>
                <w:rFonts w:ascii="宋体" w:hAnsi="宋体"/>
                <w:color w:val="auto"/>
                <w:szCs w:val="21"/>
                <w:highlight w:val="none"/>
              </w:rPr>
            </w:pPr>
            <w:r>
              <w:rPr>
                <w:rFonts w:hint="eastAsia" w:ascii="宋体" w:hAnsi="宋体"/>
                <w:color w:val="auto"/>
                <w:szCs w:val="21"/>
                <w:highlight w:val="none"/>
              </w:rPr>
              <w:t>邮政编码：</w:t>
            </w:r>
          </w:p>
        </w:tc>
      </w:tr>
    </w:tbl>
    <w:p w14:paraId="608FDA6A">
      <w:pPr>
        <w:ind w:right="420" w:firstLine="5670" w:firstLineChars="2700"/>
        <w:rPr>
          <w:rFonts w:hint="eastAsia" w:ascii="宋体" w:hAnsi="宋体" w:cs="宋体"/>
          <w:color w:val="auto"/>
          <w:highlight w:val="none"/>
        </w:rPr>
      </w:pPr>
    </w:p>
    <w:p w14:paraId="6FF32884">
      <w:pPr>
        <w:spacing w:line="500" w:lineRule="exact"/>
        <w:rPr>
          <w:rFonts w:hint="eastAsia" w:ascii="宋体" w:hAnsi="宋体" w:cs="宋体"/>
          <w:b/>
          <w:color w:val="auto"/>
          <w:sz w:val="32"/>
          <w:szCs w:val="32"/>
          <w:highlight w:val="none"/>
        </w:rPr>
      </w:pPr>
    </w:p>
    <w:p w14:paraId="027E3931"/>
    <w:sectPr>
      <w:footerReference r:id="rId7" w:type="first"/>
      <w:headerReference r:id="rId5" w:type="default"/>
      <w:footerReference r:id="rId6" w:type="default"/>
      <w:pgSz w:w="11906" w:h="16838"/>
      <w:pgMar w:top="1134" w:right="1134" w:bottom="1134" w:left="1134" w:header="851" w:footer="992" w:gutter="0"/>
      <w:pgNumType w:start="1"/>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BDB2C">
    <w:pPr>
      <w:pStyle w:val="12"/>
      <w:jc w:val="center"/>
    </w:pPr>
  </w:p>
  <w:p w14:paraId="24BEF246">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6256">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5CEE2">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255E89">
                          <w:pPr>
                            <w:pStyle w:val="12"/>
                          </w:pPr>
                          <w:r>
                            <w:fldChar w:fldCharType="begin"/>
                          </w:r>
                          <w:r>
                            <w:instrText xml:space="preserve"> PAGE  \* MERGEFORMAT </w:instrText>
                          </w:r>
                          <w:r>
                            <w:fldChar w:fldCharType="separate"/>
                          </w:r>
                          <w:r>
                            <w:t>87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0255E89">
                    <w:pPr>
                      <w:pStyle w:val="12"/>
                    </w:pPr>
                    <w:r>
                      <w:fldChar w:fldCharType="begin"/>
                    </w:r>
                    <w:r>
                      <w:instrText xml:space="preserve"> PAGE  \* MERGEFORMAT </w:instrText>
                    </w:r>
                    <w:r>
                      <w:fldChar w:fldCharType="separate"/>
                    </w:r>
                    <w:r>
                      <w:t>87</w:t>
                    </w:r>
                    <w:r>
                      <w:fldChar w:fldCharType="end"/>
                    </w:r>
                  </w:p>
                </w:txbxContent>
              </v:textbox>
            </v:shape>
          </w:pict>
        </mc:Fallback>
      </mc:AlternateContent>
    </w:r>
  </w:p>
  <w:p w14:paraId="7915760E">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ECDF">
    <w:pPr>
      <w:pStyle w:val="12"/>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0F12A3">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070F12A3">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11488">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5C48C"/>
    <w:multiLevelType w:val="singleLevel"/>
    <w:tmpl w:val="9555C48C"/>
    <w:lvl w:ilvl="0" w:tentative="0">
      <w:start w:val="6"/>
      <w:numFmt w:val="decimal"/>
      <w:suff w:val="nothing"/>
      <w:lvlText w:val="%1、"/>
      <w:lvlJc w:val="left"/>
    </w:lvl>
  </w:abstractNum>
  <w:abstractNum w:abstractNumId="1">
    <w:nsid w:val="EB8CEB78"/>
    <w:multiLevelType w:val="singleLevel"/>
    <w:tmpl w:val="EB8CEB78"/>
    <w:lvl w:ilvl="0" w:tentative="0">
      <w:start w:val="3"/>
      <w:numFmt w:val="chineseCounting"/>
      <w:suff w:val="space"/>
      <w:lvlText w:val="第%1章"/>
      <w:lvlJc w:val="left"/>
      <w:rPr>
        <w:rFonts w:hint="eastAsia"/>
      </w:rPr>
    </w:lvl>
  </w:abstractNum>
  <w:abstractNum w:abstractNumId="2">
    <w:nsid w:val="F6FAF759"/>
    <w:multiLevelType w:val="singleLevel"/>
    <w:tmpl w:val="F6FAF759"/>
    <w:lvl w:ilvl="0" w:tentative="0">
      <w:start w:val="1"/>
      <w:numFmt w:val="decimal"/>
      <w:pStyle w:val="4"/>
      <w:lvlText w:val="%1."/>
      <w:lvlJc w:val="left"/>
      <w:pPr>
        <w:tabs>
          <w:tab w:val="left" w:pos="360"/>
        </w:tabs>
        <w:ind w:left="360" w:hanging="360"/>
      </w:pPr>
    </w:lvl>
  </w:abstractNum>
  <w:abstractNum w:abstractNumId="3">
    <w:nsid w:val="27F904B6"/>
    <w:multiLevelType w:val="singleLevel"/>
    <w:tmpl w:val="27F904B6"/>
    <w:lvl w:ilvl="0" w:tentative="0">
      <w:start w:val="1"/>
      <w:numFmt w:val="decimal"/>
      <w:suff w:val="nothing"/>
      <w:lvlText w:val="%1、"/>
      <w:lvlJc w:val="left"/>
    </w:lvl>
  </w:abstractNum>
  <w:abstractNum w:abstractNumId="4">
    <w:nsid w:val="7EFFCA5F"/>
    <w:multiLevelType w:val="singleLevel"/>
    <w:tmpl w:val="7EFFCA5F"/>
    <w:lvl w:ilvl="0" w:tentative="0">
      <w:start w:val="1"/>
      <w:numFmt w:val="chineseCounting"/>
      <w:suff w:val="space"/>
      <w:lvlText w:val="第%1章"/>
      <w:lvlJc w:val="left"/>
      <w:rPr>
        <w:rFonts w:hint="eastAsia"/>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DF6516"/>
    <w:rsid w:val="0FCE4B30"/>
    <w:rsid w:val="15C7621B"/>
    <w:rsid w:val="25E50740"/>
    <w:rsid w:val="29096515"/>
    <w:rsid w:val="43A51B15"/>
    <w:rsid w:val="47DF6516"/>
    <w:rsid w:val="51A07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List Number"/>
    <w:basedOn w:val="1"/>
    <w:uiPriority w:val="0"/>
    <w:pPr>
      <w:numPr>
        <w:ilvl w:val="0"/>
        <w:numId w:val="1"/>
      </w:numPr>
    </w:p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3"/>
    <w:basedOn w:val="1"/>
    <w:unhideWhenUsed/>
    <w:qFormat/>
    <w:uiPriority w:val="99"/>
    <w:pPr>
      <w:spacing w:after="120"/>
    </w:pPr>
    <w:rPr>
      <w:sz w:val="16"/>
      <w:szCs w:val="16"/>
    </w:rPr>
  </w:style>
  <w:style w:type="paragraph" w:styleId="8">
    <w:name w:val="Body Text"/>
    <w:basedOn w:val="1"/>
    <w:unhideWhenUsed/>
    <w:qFormat/>
    <w:uiPriority w:val="0"/>
    <w:pPr>
      <w:spacing w:after="120"/>
    </w:pPr>
  </w:style>
  <w:style w:type="paragraph" w:styleId="9">
    <w:name w:val="Body Text Indent"/>
    <w:basedOn w:val="1"/>
    <w:uiPriority w:val="0"/>
    <w:pPr>
      <w:ind w:firstLine="830" w:firstLineChars="352"/>
    </w:pPr>
    <w:rPr>
      <w:rFonts w:ascii="仿宋_GB2312" w:eastAsia="仿宋_GB2312"/>
      <w:kern w:val="0"/>
      <w:sz w:val="32"/>
      <w:szCs w:val="20"/>
    </w:rPr>
  </w:style>
  <w:style w:type="paragraph" w:styleId="10">
    <w:name w:val="List 2"/>
    <w:basedOn w:val="1"/>
    <w:unhideWhenUsed/>
    <w:uiPriority w:val="99"/>
    <w:pPr>
      <w:ind w:left="100" w:leftChars="200" w:hanging="200" w:hangingChars="200"/>
      <w:contextualSpacing/>
    </w:pPr>
  </w:style>
  <w:style w:type="paragraph" w:styleId="11">
    <w:name w:val="Plain Text"/>
    <w:basedOn w:val="1"/>
    <w:qFormat/>
    <w:uiPriority w:val="0"/>
    <w:rPr>
      <w:rFonts w:ascii="宋体" w:hAnsi="Courier New"/>
      <w:kern w:val="0"/>
      <w:sz w:val="20"/>
      <w:szCs w:val="21"/>
    </w:rPr>
  </w:style>
  <w:style w:type="paragraph" w:styleId="12">
    <w:name w:val="footer"/>
    <w:basedOn w:val="1"/>
    <w:next w:val="1"/>
    <w:unhideWhenUsed/>
    <w:qFormat/>
    <w:uiPriority w:val="99"/>
    <w:pPr>
      <w:tabs>
        <w:tab w:val="center" w:pos="4153"/>
        <w:tab w:val="right" w:pos="8306"/>
      </w:tabs>
      <w:snapToGrid w:val="0"/>
      <w:jc w:val="left"/>
    </w:pPr>
    <w:rPr>
      <w:kern w:val="0"/>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unhideWhenUsed/>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customStyle="1" w:styleId="18">
    <w:name w:val="标4"/>
    <w:basedOn w:val="1"/>
    <w:qFormat/>
    <w:uiPriority w:val="0"/>
    <w:pPr>
      <w:adjustRightInd w:val="0"/>
      <w:spacing w:before="240" w:after="360" w:line="240" w:lineRule="exact"/>
      <w:outlineLvl w:val="3"/>
    </w:pPr>
    <w:rPr>
      <w:rFonts w:ascii="Arial" w:hAnsi="Arial" w:cs="Arial"/>
      <w:b/>
      <w:bCs/>
      <w:kern w:val="24"/>
    </w:rPr>
  </w:style>
  <w:style w:type="paragraph" w:customStyle="1" w:styleId="19">
    <w:name w:val="正文2"/>
    <w:basedOn w:val="1"/>
    <w:qFormat/>
    <w:uiPriority w:val="0"/>
    <w:pPr>
      <w:adjustRightInd w:val="0"/>
      <w:spacing w:before="156" w:line="360" w:lineRule="auto"/>
      <w:ind w:firstLine="510" w:firstLineChars="200"/>
    </w:pPr>
    <w:rPr>
      <w:sz w:val="24"/>
      <w:szCs w:val="20"/>
    </w:rPr>
  </w:style>
  <w:style w:type="paragraph" w:customStyle="1" w:styleId="20">
    <w:name w:val="p0"/>
    <w:basedOn w:val="1"/>
    <w:qFormat/>
    <w:uiPriority w:val="0"/>
    <w:pPr>
      <w:widowControl/>
    </w:pPr>
    <w:rPr>
      <w:kern w:val="0"/>
      <w:szCs w:val="21"/>
    </w:rPr>
  </w:style>
  <w:style w:type="paragraph" w:customStyle="1" w:styleId="21">
    <w:name w:val="正文-公1"/>
    <w:basedOn w:val="1"/>
    <w:qFormat/>
    <w:uiPriority w:val="99"/>
    <w:pPr>
      <w:ind w:firstLine="200"/>
    </w:pPr>
  </w:style>
  <w:style w:type="paragraph" w:customStyle="1" w:styleId="22">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171</Words>
  <Characters>200</Characters>
  <Lines>0</Lines>
  <Paragraphs>0</Paragraphs>
  <TotalTime>87</TotalTime>
  <ScaleCrop>false</ScaleCrop>
  <LinksUpToDate>false</LinksUpToDate>
  <CharactersWithSpaces>229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2026-06-09T08:15:00Z</dcterms:created>
  <dc:creator>TAOTAO</dc:creator>
  <cp:lastModifiedBy>TAOTAO</cp:lastModifiedBy>
  <dcterms:modified xsi:type="dcterms:W3CDTF">2026-06-10T09:02:20Z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E5C7B5F67A0E47608D686BC47BE7301D_11</vt:lpwstr>
  </property>
  <property fmtid="{D5CDD505-2E9C-101B-9397-08002B2CF9AE}" pid="4" name="KSOTemplateDocerSaveRecord">
    <vt:lpwstr>eyJoZGlkIjoiMDY3OGRhOThmODBlNmM1NDA2M2ZjZDAwMGQ2MWFlMTMiLCJ1c2VySWQiOiIxMjU5MTgyNzk1In0=</vt:lpwstr>
  </property>
</Properties>
</file>