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A070B">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val="en-US" w:eastAsia="zh-CN"/>
        </w:rPr>
        <w:t>靖西市</w:t>
      </w:r>
      <w:r>
        <w:rPr>
          <w:rFonts w:hint="eastAsia" w:ascii="宋体" w:hAnsi="宋体" w:cs="宋体"/>
          <w:color w:val="auto"/>
          <w:sz w:val="52"/>
          <w:szCs w:val="52"/>
          <w:highlight w:val="none"/>
        </w:rPr>
        <w:t>政府采购</w:t>
      </w:r>
    </w:p>
    <w:p w14:paraId="0B208225">
      <w:pPr>
        <w:spacing w:before="165" w:beforeLines="50" w:line="360" w:lineRule="auto"/>
        <w:jc w:val="center"/>
        <w:rPr>
          <w:rFonts w:ascii="宋体" w:hAnsi="宋体" w:cs="宋体"/>
          <w:color w:val="auto"/>
          <w:sz w:val="52"/>
          <w:szCs w:val="52"/>
          <w:highlight w:val="none"/>
        </w:rPr>
      </w:pPr>
    </w:p>
    <w:p w14:paraId="78A69EBF">
      <w:pPr>
        <w:spacing w:before="165" w:beforeLines="50" w:line="360" w:lineRule="auto"/>
        <w:jc w:val="center"/>
        <w:rPr>
          <w:rFonts w:ascii="宋体" w:hAnsi="宋体" w:cs="宋体"/>
          <w:color w:val="auto"/>
          <w:sz w:val="36"/>
          <w:szCs w:val="36"/>
          <w:highlight w:val="none"/>
        </w:rPr>
      </w:pPr>
    </w:p>
    <w:p w14:paraId="7D1B6A81">
      <w:pPr>
        <w:snapToGrid w:val="0"/>
        <w:spacing w:before="165" w:beforeLines="50" w:line="360" w:lineRule="auto"/>
        <w:jc w:val="center"/>
        <w:rPr>
          <w:rFonts w:hint="eastAsia" w:ascii="宋体" w:hAnsi="宋体" w:cs="宋体"/>
          <w:color w:val="auto"/>
          <w:sz w:val="72"/>
          <w:szCs w:val="72"/>
          <w:highlight w:val="none"/>
        </w:rPr>
      </w:pPr>
    </w:p>
    <w:p w14:paraId="3985ADA6">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44F52E2F">
      <w:pPr>
        <w:spacing w:before="331" w:beforeLines="100" w:after="165" w:afterLines="50" w:line="360" w:lineRule="auto"/>
        <w:jc w:val="center"/>
        <w:rPr>
          <w:rFonts w:ascii="宋体" w:hAnsi="宋体" w:cs="宋体"/>
          <w:b/>
          <w:color w:val="auto"/>
          <w:sz w:val="32"/>
          <w:szCs w:val="32"/>
          <w:highlight w:val="none"/>
        </w:rPr>
      </w:pPr>
      <w:r>
        <w:rPr>
          <w:rFonts w:hint="eastAsia" w:ascii="宋体" w:hAnsi="宋体" w:cs="宋体"/>
          <w:color w:val="auto"/>
          <w:szCs w:val="21"/>
          <w:highlight w:val="none"/>
        </w:rPr>
        <w:t>（全流程电子化评标）</w:t>
      </w:r>
    </w:p>
    <w:p w14:paraId="1BBAA171">
      <w:pPr>
        <w:spacing w:line="360" w:lineRule="auto"/>
        <w:jc w:val="center"/>
        <w:rPr>
          <w:rFonts w:ascii="宋体" w:hAnsi="宋体" w:cs="宋体"/>
          <w:b/>
          <w:color w:val="auto"/>
          <w:sz w:val="32"/>
          <w:szCs w:val="32"/>
          <w:highlight w:val="none"/>
        </w:rPr>
      </w:pPr>
    </w:p>
    <w:p w14:paraId="6FEACE48">
      <w:pPr>
        <w:pStyle w:val="16"/>
        <w:snapToGrid w:val="0"/>
        <w:spacing w:before="50" w:after="120" w:line="360" w:lineRule="auto"/>
        <w:ind w:left="3295" w:leftChars="852" w:hanging="1506" w:hangingChars="500"/>
        <w:rPr>
          <w:rFonts w:hint="eastAsia" w:hAnsi="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靖西市第十幼儿园大门、围墙和室外活动场地工程</w:t>
      </w:r>
    </w:p>
    <w:p w14:paraId="34A4BA15">
      <w:pPr>
        <w:pStyle w:val="16"/>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681"/>
      <w:bookmarkStart w:id="1" w:name="_Toc7308"/>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lang w:eastAsia="zh-CN"/>
        </w:rPr>
        <w:t>BSZC2026-C2-250079-GXZZ</w:t>
      </w:r>
    </w:p>
    <w:p w14:paraId="409EAB91">
      <w:pPr>
        <w:pStyle w:val="16"/>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2" w:name="_Toc31224"/>
      <w:bookmarkStart w:id="3" w:name="_Toc23882"/>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rPr>
        <w:t>JXZC2026-C2-00380</w:t>
      </w:r>
    </w:p>
    <w:p w14:paraId="3587CE95">
      <w:pPr>
        <w:pStyle w:val="16"/>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lang w:val="en-US" w:eastAsia="zh-CN"/>
        </w:rPr>
        <w:t>靖西市</w:t>
      </w:r>
    </w:p>
    <w:p w14:paraId="41CA0C36">
      <w:pPr>
        <w:pStyle w:val="16"/>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26813"/>
      <w:bookmarkStart w:id="5" w:name="_Toc19676"/>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靖西市教育局</w:t>
      </w:r>
    </w:p>
    <w:p w14:paraId="318F516B">
      <w:pPr>
        <w:pStyle w:val="16"/>
        <w:snapToGrid w:val="0"/>
        <w:spacing w:before="50" w:after="120" w:line="360" w:lineRule="auto"/>
        <w:ind w:firstLine="1783" w:firstLineChars="592"/>
        <w:outlineLvl w:val="0"/>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广西中泽诚信工程项目管理有限公司</w:t>
      </w:r>
    </w:p>
    <w:p w14:paraId="06D76F9E">
      <w:pPr>
        <w:pStyle w:val="16"/>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7</w:t>
      </w:r>
      <w:r>
        <w:rPr>
          <w:rFonts w:hint="eastAsia" w:hAnsi="宋体" w:cs="宋体"/>
          <w:b/>
          <w:bCs/>
          <w:color w:val="auto"/>
          <w:w w:val="95"/>
          <w:sz w:val="30"/>
          <w:szCs w:val="30"/>
          <w:highlight w:val="none"/>
        </w:rPr>
        <w:t>日</w:t>
      </w:r>
    </w:p>
    <w:p w14:paraId="7F758B5D">
      <w:pPr>
        <w:widowControl/>
        <w:spacing w:line="360" w:lineRule="auto"/>
        <w:jc w:val="left"/>
        <w:rPr>
          <w:rFonts w:ascii="宋体" w:hAnsi="宋体" w:cs="宋体"/>
          <w:b/>
          <w:bCs/>
          <w:color w:val="auto"/>
          <w:w w:val="95"/>
          <w:kern w:val="0"/>
          <w:sz w:val="30"/>
          <w:szCs w:val="30"/>
          <w:highlight w:val="none"/>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p>
    <w:p w14:paraId="1DB006A9">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6B5AA087">
      <w:pPr>
        <w:spacing w:line="400" w:lineRule="exact"/>
        <w:jc w:val="center"/>
        <w:rPr>
          <w:rFonts w:ascii="宋体" w:hAnsi="宋体" w:cs="宋体"/>
          <w:b/>
          <w:color w:val="auto"/>
          <w:sz w:val="44"/>
          <w:szCs w:val="44"/>
          <w:highlight w:val="none"/>
        </w:rPr>
      </w:pPr>
    </w:p>
    <w:p w14:paraId="0FCB9BD4">
      <w:pPr>
        <w:pStyle w:val="21"/>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69B724DE">
      <w:pPr>
        <w:pStyle w:val="21"/>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C00FD87">
      <w:pPr>
        <w:pStyle w:val="21"/>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BC789CE">
      <w:pPr>
        <w:pStyle w:val="21"/>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EF8C9FF">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184522A">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8B0CDB2">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3D65691">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27E8EBA">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0E0061B">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2F49FB5">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A4A08A">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7944DEA">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956AECF">
      <w:pPr>
        <w:pStyle w:val="21"/>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A8A2002">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498C12">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0778E6">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5CE633A">
      <w:pPr>
        <w:pStyle w:val="21"/>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0B99A78">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一</w:t>
      </w:r>
      <w:r>
        <w:rPr>
          <w:rFonts w:hint="eastAsia" w:ascii="宋体" w:hAnsi="宋体" w:cs="宋体"/>
          <w:color w:val="auto"/>
          <w:highlight w:val="none"/>
        </w:rPr>
        <w:t>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55741BF">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二</w:t>
      </w:r>
      <w:r>
        <w:rPr>
          <w:rFonts w:hint="eastAsia" w:ascii="宋体" w:hAnsi="宋体" w:cs="宋体"/>
          <w:color w:val="auto"/>
          <w:highlight w:val="none"/>
        </w:rPr>
        <w:t>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47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E96CB33">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三</w:t>
      </w:r>
      <w:r>
        <w:rPr>
          <w:rFonts w:hint="eastAsia" w:ascii="宋体" w:hAnsi="宋体" w:cs="宋体"/>
          <w:color w:val="auto"/>
          <w:highlight w:val="none"/>
        </w:rPr>
        <w:t>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58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54A085">
      <w:pPr>
        <w:pStyle w:val="21"/>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255D3C">
      <w:pPr>
        <w:pStyle w:val="21"/>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七</w:t>
      </w:r>
      <w:r>
        <w:rPr>
          <w:rFonts w:hint="eastAsia" w:ascii="宋体" w:hAnsi="宋体" w:cs="宋体"/>
          <w:color w:val="auto"/>
          <w:highlight w:val="none"/>
        </w:rPr>
        <w:t>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111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E59B246">
      <w:pPr>
        <w:pStyle w:val="24"/>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4F40EECD">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5F2966E8">
      <w:pPr>
        <w:spacing w:line="400" w:lineRule="exact"/>
        <w:jc w:val="center"/>
        <w:rPr>
          <w:rFonts w:ascii="宋体" w:hAnsi="宋体" w:cs="宋体"/>
          <w:b/>
          <w:color w:val="auto"/>
          <w:sz w:val="32"/>
          <w:szCs w:val="32"/>
          <w:highlight w:val="none"/>
        </w:rPr>
      </w:pPr>
    </w:p>
    <w:p w14:paraId="770F9065">
      <w:pPr>
        <w:spacing w:line="400" w:lineRule="exact"/>
        <w:jc w:val="center"/>
        <w:rPr>
          <w:rFonts w:ascii="宋体" w:hAnsi="宋体" w:cs="宋体"/>
          <w:b/>
          <w:color w:val="auto"/>
          <w:sz w:val="32"/>
          <w:szCs w:val="32"/>
          <w:highlight w:val="none"/>
        </w:rPr>
      </w:pPr>
    </w:p>
    <w:p w14:paraId="3929EA76">
      <w:pPr>
        <w:spacing w:line="400" w:lineRule="exact"/>
        <w:jc w:val="center"/>
        <w:rPr>
          <w:rFonts w:ascii="宋体" w:hAnsi="宋体" w:cs="宋体"/>
          <w:b/>
          <w:color w:val="auto"/>
          <w:sz w:val="32"/>
          <w:szCs w:val="32"/>
          <w:highlight w:val="none"/>
        </w:rPr>
      </w:pPr>
    </w:p>
    <w:p w14:paraId="6BFE4DEB">
      <w:pPr>
        <w:spacing w:line="400" w:lineRule="exact"/>
        <w:jc w:val="center"/>
        <w:rPr>
          <w:rFonts w:ascii="宋体" w:hAnsi="宋体" w:cs="宋体"/>
          <w:b/>
          <w:color w:val="auto"/>
          <w:sz w:val="32"/>
          <w:szCs w:val="32"/>
          <w:highlight w:val="none"/>
        </w:rPr>
      </w:pPr>
    </w:p>
    <w:p w14:paraId="4095429B">
      <w:pPr>
        <w:widowControl/>
        <w:jc w:val="left"/>
        <w:rPr>
          <w:rFonts w:ascii="宋体" w:hAnsi="宋体" w:cs="宋体"/>
          <w:b/>
          <w:color w:val="auto"/>
          <w:sz w:val="32"/>
          <w:szCs w:val="32"/>
          <w:highlight w:val="none"/>
        </w:rPr>
        <w:sectPr>
          <w:footerReference r:id="rId5" w:type="default"/>
          <w:pgSz w:w="11906" w:h="16838"/>
          <w:pgMar w:top="1440" w:right="1440" w:bottom="1440" w:left="1587" w:header="851" w:footer="992" w:gutter="0"/>
          <w:pgNumType w:start="1"/>
          <w:cols w:space="720" w:num="1"/>
          <w:docGrid w:type="lines" w:linePitch="312" w:charSpace="0"/>
        </w:sectPr>
      </w:pPr>
    </w:p>
    <w:p w14:paraId="04708537">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28359012"/>
      <w:bookmarkStart w:id="10" w:name="_Toc35393629"/>
      <w:bookmarkStart w:id="11" w:name="_Toc28359089"/>
      <w:bookmarkStart w:id="12" w:name="_Toc44229878"/>
      <w:bookmarkStart w:id="13" w:name="_Toc35393798"/>
      <w:bookmarkStart w:id="14" w:name="_Toc35393792"/>
      <w:bookmarkStart w:id="15" w:name="_Toc35393623"/>
      <w:bookmarkStart w:id="16" w:name="_Toc28359081"/>
      <w:bookmarkStart w:id="17" w:name="_Toc28359004"/>
    </w:p>
    <w:tbl>
      <w:tblPr>
        <w:tblStyle w:val="28"/>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6E95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1784E0A6">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2AFA3D9E">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lang w:eastAsia="zh-CN"/>
              </w:rPr>
              <w:t>靖西市第十幼儿园大门、围墙和室外活动场地工程</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6F5BE17A">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7382CD9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BSZC2026-C2-250079-GXZZ</w:t>
      </w:r>
    </w:p>
    <w:p w14:paraId="54CCB34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靖西市第十幼儿园大门、围墙和室外活动场地工程</w:t>
      </w:r>
    </w:p>
    <w:p w14:paraId="192C51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661306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1326958.10</w:t>
      </w:r>
    </w:p>
    <w:p w14:paraId="25444453">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采购需求：</w:t>
      </w:r>
      <w:r>
        <w:rPr>
          <w:rFonts w:hint="eastAsia" w:ascii="宋体" w:hAnsi="宋体" w:cs="宋体"/>
          <w:color w:val="auto"/>
          <w:szCs w:val="21"/>
          <w:highlight w:val="none"/>
          <w:lang w:eastAsia="zh-CN"/>
        </w:rPr>
        <w:t>靖西市第十幼儿园大门、围墙和室外活动场地工程，</w:t>
      </w:r>
      <w:r>
        <w:rPr>
          <w:rFonts w:hint="eastAsia" w:ascii="宋体" w:hAnsi="宋体" w:cs="宋体"/>
          <w:color w:val="auto"/>
          <w:szCs w:val="21"/>
          <w:highlight w:val="none"/>
          <w:lang w:val="en-US" w:eastAsia="zh-CN"/>
        </w:rPr>
        <w:t>采购内容包含</w:t>
      </w:r>
      <w:r>
        <w:rPr>
          <w:rFonts w:hint="eastAsia" w:ascii="宋体" w:hAnsi="宋体" w:cs="宋体"/>
          <w:color w:val="auto"/>
          <w:szCs w:val="21"/>
          <w:highlight w:val="none"/>
        </w:rPr>
        <w:t>大门拆除及重建、围墙拆除及重建、新建戏水池、沙池、树池工程、地面硬化工程、新建路缘石、挡土墙及护栏工程等。</w:t>
      </w:r>
      <w:r>
        <w:rPr>
          <w:rFonts w:hint="eastAsia" w:ascii="宋体" w:hAnsi="宋体" w:cs="宋体"/>
          <w:color w:val="auto"/>
          <w:szCs w:val="21"/>
          <w:highlight w:val="none"/>
          <w:lang w:val="en-US" w:eastAsia="zh-CN"/>
        </w:rPr>
        <w:t>具体要求见本项目工程量清单。</w:t>
      </w:r>
    </w:p>
    <w:p w14:paraId="29E28C61">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1326958.10</w:t>
      </w:r>
    </w:p>
    <w:p w14:paraId="1FFE04CA">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合同履行期限：详见采购文件“第二章采购需求”商务条款。</w:t>
      </w:r>
    </w:p>
    <w:p w14:paraId="1326C0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本项目是否接受联合体：</w:t>
      </w:r>
      <w:r>
        <w:rPr>
          <w:rFonts w:hint="eastAsia" w:ascii="宋体" w:hAnsi="宋体" w:cs="宋体"/>
          <w:color w:val="auto"/>
          <w:szCs w:val="21"/>
          <w:highlight w:val="none"/>
          <w:lang w:eastAsia="zh-CN"/>
        </w:rPr>
        <w:t>□</w:t>
      </w:r>
      <w:r>
        <w:rPr>
          <w:rFonts w:hint="eastAsia" w:ascii="宋体" w:hAnsi="宋体" w:cs="宋体"/>
          <w:color w:val="auto"/>
          <w:szCs w:val="21"/>
          <w:highlight w:val="none"/>
        </w:rPr>
        <w:t>是，</w:t>
      </w: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14:paraId="498BFB38">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备注：</w:t>
      </w:r>
      <w:r>
        <w:rPr>
          <w:rFonts w:hint="eastAsia" w:ascii="宋体" w:hAnsi="宋体" w:cs="宋体"/>
          <w:color w:val="auto"/>
          <w:szCs w:val="21"/>
          <w:highlight w:val="none"/>
          <w:lang w:val="en-US" w:eastAsia="zh-CN"/>
        </w:rPr>
        <w:t>/</w:t>
      </w:r>
    </w:p>
    <w:p w14:paraId="00B39017">
      <w:pPr>
        <w:spacing w:line="360" w:lineRule="auto"/>
        <w:ind w:firstLine="482" w:firstLineChars="200"/>
        <w:rPr>
          <w:rFonts w:ascii="宋体" w:hAnsi="宋体" w:cs="宋体"/>
          <w:bCs/>
          <w:color w:val="auto"/>
          <w:sz w:val="24"/>
          <w:highlight w:val="none"/>
        </w:rPr>
      </w:pPr>
      <w:bookmarkStart w:id="18" w:name="_Toc35393799"/>
      <w:bookmarkStart w:id="19" w:name="_Toc35393630"/>
      <w:bookmarkStart w:id="20" w:name="_Toc28359013"/>
      <w:bookmarkStart w:id="21" w:name="_Toc44229879"/>
      <w:bookmarkStart w:id="22" w:name="_Toc28359090"/>
      <w:r>
        <w:rPr>
          <w:rFonts w:hint="eastAsia" w:ascii="宋体" w:hAnsi="宋体" w:cs="宋体"/>
          <w:b/>
          <w:color w:val="auto"/>
          <w:kern w:val="44"/>
          <w:sz w:val="24"/>
          <w:highlight w:val="none"/>
        </w:rPr>
        <w:t>二、供应商的资格条件</w:t>
      </w:r>
      <w:bookmarkEnd w:id="18"/>
      <w:bookmarkEnd w:id="19"/>
      <w:bookmarkEnd w:id="20"/>
      <w:bookmarkEnd w:id="21"/>
      <w:bookmarkEnd w:id="22"/>
    </w:p>
    <w:p w14:paraId="467F2F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07E8CA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专门面向</w:t>
      </w:r>
      <w:r>
        <w:rPr>
          <w:rFonts w:hint="eastAsia" w:ascii="宋体" w:hAnsi="宋体" w:cs="宋体"/>
          <w:color w:val="auto"/>
          <w:szCs w:val="21"/>
          <w:highlight w:val="none"/>
          <w:lang w:val="en-US" w:eastAsia="zh-CN"/>
        </w:rPr>
        <w:t>小微</w:t>
      </w:r>
      <w:r>
        <w:rPr>
          <w:rFonts w:hint="eastAsia" w:ascii="宋体" w:hAnsi="宋体" w:cs="宋体"/>
          <w:color w:val="auto"/>
          <w:szCs w:val="21"/>
          <w:highlight w:val="none"/>
        </w:rPr>
        <w:t>企业采购的项目（供应商应为小微企业或监狱企业或残疾人福利性单位)；</w:t>
      </w:r>
    </w:p>
    <w:p w14:paraId="40B35C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供应商须具备有效的建筑工程施工总承包三级(含)以上资质，同时具有省级及以上建设行政主管部门颁发的安全生产许可证。在人员、设备、资金等方面具备相应的施工能力</w:t>
      </w:r>
      <w:r>
        <w:rPr>
          <w:rFonts w:hint="eastAsia" w:ascii="宋体" w:hAnsi="宋体" w:cs="宋体"/>
          <w:color w:val="auto"/>
          <w:szCs w:val="21"/>
          <w:highlight w:val="none"/>
        </w:rPr>
        <w:t>。</w:t>
      </w:r>
    </w:p>
    <w:p w14:paraId="3DA830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拟投入本工程</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项目经理须持有二级</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以上建造师注册证书，专业是</w:t>
      </w:r>
      <w:r>
        <w:rPr>
          <w:rFonts w:hint="eastAsia" w:ascii="宋体" w:hAnsi="宋体" w:cs="宋体"/>
          <w:color w:val="auto"/>
          <w:szCs w:val="21"/>
          <w:highlight w:val="none"/>
          <w:lang w:val="en-US" w:eastAsia="zh-CN"/>
        </w:rPr>
        <w:t>建筑工程</w:t>
      </w:r>
      <w:r>
        <w:rPr>
          <w:rFonts w:hint="eastAsia" w:ascii="宋体" w:hAnsi="宋体" w:cs="宋体"/>
          <w:color w:val="auto"/>
          <w:szCs w:val="21"/>
          <w:highlight w:val="none"/>
        </w:rPr>
        <w:t>专业（以建造师注册证书中“专业类别”栏所填写的专业为准）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同时持有</w:t>
      </w:r>
      <w:r>
        <w:rPr>
          <w:rFonts w:hint="eastAsia" w:ascii="宋体" w:hAnsi="宋体" w:cs="宋体"/>
          <w:color w:val="auto"/>
          <w:szCs w:val="21"/>
          <w:highlight w:val="none"/>
        </w:rPr>
        <w:t>省级或省级以上建设行政主管部门颁发的安全生产考核合格证书（B类）</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2）拟投入本工程的安全员应持有省级或省级以上建设行政主管部门颁发的安全生产考核合格证书（C类）。</w:t>
      </w:r>
    </w:p>
    <w:p w14:paraId="4DE4435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501E562C">
      <w:pPr>
        <w:spacing w:line="360" w:lineRule="auto"/>
        <w:ind w:firstLine="420" w:firstLineChars="200"/>
        <w:rPr>
          <w:rFonts w:ascii="宋体" w:hAnsi="宋体" w:cs="宋体"/>
          <w:color w:val="auto"/>
          <w:szCs w:val="21"/>
          <w:highlight w:val="none"/>
        </w:rPr>
      </w:pPr>
      <w:bookmarkStart w:id="23" w:name="_Toc28359082"/>
      <w:bookmarkStart w:id="24" w:name="_Toc28359005"/>
      <w:bookmarkStart w:id="25" w:name="_Toc35393793"/>
      <w:bookmarkStart w:id="26" w:name="_Toc35393624"/>
      <w:r>
        <w:rPr>
          <w:rFonts w:hint="eastAsia" w:ascii="宋体" w:hAnsi="宋体" w:cs="宋体"/>
          <w:color w:val="auto"/>
          <w:szCs w:val="21"/>
          <w:highlight w:val="none"/>
        </w:rPr>
        <w:t>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日</w:t>
      </w:r>
      <w:r>
        <w:rPr>
          <w:rFonts w:hint="eastAsia" w:ascii="宋体" w:hAnsi="宋体" w:cs="宋体"/>
          <w:color w:val="auto"/>
          <w:highlight w:val="none"/>
          <w:u w:val="none"/>
        </w:rPr>
        <w:t>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每天上午00:00至11:59，下午12:00至23:59（北京时间，法定节假日除外）。</w:t>
      </w:r>
    </w:p>
    <w:p w14:paraId="7451719F">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42D1012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38E674B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3"/>
      <w:bookmarkEnd w:id="24"/>
      <w:bookmarkEnd w:id="25"/>
      <w:bookmarkEnd w:id="26"/>
      <w:r>
        <w:rPr>
          <w:rFonts w:hint="eastAsia" w:ascii="宋体" w:hAnsi="宋体" w:cs="宋体"/>
          <w:b/>
          <w:bCs/>
          <w:color w:val="auto"/>
          <w:sz w:val="24"/>
          <w:highlight w:val="none"/>
        </w:rPr>
        <w:t>响应文件提交</w:t>
      </w:r>
    </w:p>
    <w:p w14:paraId="7CFB9EF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p>
    <w:p w14:paraId="3D74E90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w:t>
      </w:r>
      <w:r>
        <w:rPr>
          <w:rFonts w:hint="eastAsia" w:ascii="宋体" w:hAnsi="宋体" w:cs="宋体"/>
          <w:color w:val="auto"/>
          <w:szCs w:val="21"/>
          <w:highlight w:val="none"/>
          <w:lang w:eastAsia="zh-CN"/>
        </w:rPr>
        <w:t>广西政府采购</w:t>
      </w:r>
      <w:r>
        <w:rPr>
          <w:rFonts w:hint="eastAsia" w:ascii="宋体" w:hAnsi="宋体" w:cs="宋体"/>
          <w:color w:val="auto"/>
          <w:szCs w:val="21"/>
          <w:highlight w:val="none"/>
        </w:rPr>
        <w:t>云平台实行在线投标响应</w:t>
      </w:r>
      <w:r>
        <w:rPr>
          <w:rFonts w:hint="eastAsia" w:ascii="宋体" w:hAnsi="宋体" w:cs="宋体"/>
          <w:color w:val="auto"/>
          <w:szCs w:val="21"/>
          <w:highlight w:val="none"/>
          <w:lang w:eastAsia="zh-CN"/>
        </w:rPr>
        <w:t>。</w:t>
      </w:r>
    </w:p>
    <w:p w14:paraId="354D3A4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五、响应文件开启</w:t>
      </w:r>
    </w:p>
    <w:p w14:paraId="25B3EBE5">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p>
    <w:p w14:paraId="3D23CCBB">
      <w:pPr>
        <w:spacing w:line="360" w:lineRule="auto"/>
        <w:ind w:firstLine="420" w:firstLineChars="200"/>
        <w:rPr>
          <w:rFonts w:hint="eastAsia" w:ascii="宋体" w:hAnsi="宋体" w:eastAsia="宋体" w:cs="宋体"/>
          <w:bCs/>
          <w:color w:val="auto"/>
          <w:szCs w:val="21"/>
          <w:highlight w:val="none"/>
          <w:u w:val="single"/>
          <w:lang w:val="en-US" w:eastAsia="zh-CN"/>
        </w:rPr>
      </w:pPr>
      <w:r>
        <w:rPr>
          <w:rFonts w:hint="eastAsia" w:ascii="宋体" w:hAnsi="宋体" w:cs="宋体"/>
          <w:color w:val="auto"/>
          <w:szCs w:val="21"/>
          <w:highlight w:val="none"/>
        </w:rPr>
        <w:t>2.地点：通过广西政府采购云平台实行在线解密开启</w:t>
      </w:r>
      <w:r>
        <w:rPr>
          <w:rFonts w:hint="eastAsia" w:ascii="宋体" w:hAnsi="宋体" w:cs="宋体"/>
          <w:color w:val="auto"/>
          <w:szCs w:val="21"/>
          <w:highlight w:val="none"/>
          <w:lang w:eastAsia="zh-CN"/>
        </w:rPr>
        <w:t>。</w:t>
      </w:r>
    </w:p>
    <w:p w14:paraId="3E3AE31D">
      <w:pPr>
        <w:spacing w:line="360" w:lineRule="auto"/>
        <w:ind w:firstLine="482" w:firstLineChars="200"/>
        <w:rPr>
          <w:rFonts w:ascii="宋体" w:hAnsi="宋体" w:cs="宋体"/>
          <w:b/>
          <w:bCs/>
          <w:color w:val="auto"/>
          <w:sz w:val="24"/>
          <w:highlight w:val="none"/>
        </w:rPr>
      </w:pPr>
      <w:bookmarkStart w:id="27" w:name="_Toc28359007"/>
      <w:bookmarkStart w:id="28" w:name="_Toc35393794"/>
      <w:bookmarkStart w:id="29" w:name="_Toc28359084"/>
      <w:bookmarkStart w:id="30" w:name="_Toc35393625"/>
      <w:r>
        <w:rPr>
          <w:rFonts w:hint="eastAsia" w:ascii="宋体" w:hAnsi="宋体" w:cs="宋体"/>
          <w:b/>
          <w:bCs/>
          <w:color w:val="auto"/>
          <w:sz w:val="24"/>
          <w:highlight w:val="none"/>
        </w:rPr>
        <w:t>六、公告期限</w:t>
      </w:r>
      <w:bookmarkEnd w:id="27"/>
      <w:bookmarkEnd w:id="28"/>
      <w:bookmarkEnd w:id="29"/>
      <w:bookmarkEnd w:id="30"/>
    </w:p>
    <w:p w14:paraId="681ED71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65237EBD">
      <w:pPr>
        <w:spacing w:line="360" w:lineRule="auto"/>
        <w:ind w:firstLine="482" w:firstLineChars="200"/>
        <w:rPr>
          <w:rFonts w:ascii="宋体" w:hAnsi="宋体" w:cs="宋体"/>
          <w:b/>
          <w:bCs/>
          <w:color w:val="auto"/>
          <w:sz w:val="24"/>
          <w:highlight w:val="none"/>
        </w:rPr>
      </w:pPr>
      <w:bookmarkStart w:id="31" w:name="_Toc35393626"/>
      <w:bookmarkStart w:id="32" w:name="_Toc35393795"/>
      <w:r>
        <w:rPr>
          <w:rFonts w:hint="eastAsia" w:ascii="宋体" w:hAnsi="宋体" w:cs="宋体"/>
          <w:b/>
          <w:bCs/>
          <w:color w:val="auto"/>
          <w:sz w:val="24"/>
          <w:highlight w:val="none"/>
        </w:rPr>
        <w:t>七、其他补充事宜</w:t>
      </w:r>
      <w:bookmarkEnd w:id="31"/>
      <w:bookmarkEnd w:id="32"/>
    </w:p>
    <w:p w14:paraId="7BDD4A5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1CA1B403">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2.采购意向公开链接：http://www.ccgp-guangxi.gov.cn/site/detail?categoryCode=ZcyAnnouncement&amp;parentId=66485&amp;articleId=wA3/FBx6qEb0RIjHpQ5sdQ==</w:t>
      </w:r>
    </w:p>
    <w:p w14:paraId="62B0C5F4">
      <w:pPr>
        <w:spacing w:line="360" w:lineRule="auto"/>
        <w:ind w:firstLine="420" w:firstLineChars="200"/>
        <w:rPr>
          <w:rFonts w:ascii="宋体" w:hAnsi="宋体" w:cs="宋体"/>
          <w:color w:val="auto"/>
          <w:kern w:val="0"/>
          <w:szCs w:val="21"/>
          <w:highlight w:val="none"/>
        </w:rPr>
      </w:pPr>
      <w:bookmarkStart w:id="33" w:name="_Hlk37429585"/>
      <w:r>
        <w:rPr>
          <w:rFonts w:hint="eastAsia" w:ascii="宋体" w:hAnsi="宋体" w:cs="宋体"/>
          <w:color w:val="auto"/>
          <w:kern w:val="0"/>
          <w:szCs w:val="21"/>
          <w:highlight w:val="none"/>
        </w:rPr>
        <w:t>3.</w:t>
      </w:r>
      <w:bookmarkStart w:id="34" w:name="_Hlk37429595"/>
      <w:r>
        <w:rPr>
          <w:rFonts w:hint="eastAsia" w:ascii="宋体" w:hAnsi="宋体" w:cs="宋体"/>
          <w:color w:val="auto"/>
          <w:kern w:val="0"/>
          <w:szCs w:val="21"/>
          <w:highlight w:val="none"/>
        </w:rPr>
        <w:t>网上查询地址</w:t>
      </w:r>
    </w:p>
    <w:bookmarkEnd w:id="33"/>
    <w:bookmarkEnd w:id="34"/>
    <w:p w14:paraId="5EBC9212">
      <w:pPr>
        <w:spacing w:line="360" w:lineRule="auto"/>
        <w:ind w:firstLine="420" w:firstLineChars="200"/>
        <w:rPr>
          <w:rFonts w:hint="eastAsia" w:ascii="宋体" w:hAnsi="宋体" w:cs="宋体"/>
          <w:color w:val="auto"/>
          <w:szCs w:val="21"/>
          <w:highlight w:val="none"/>
          <w:lang w:val="en-US" w:eastAsia="zh-CN"/>
        </w:rPr>
      </w:pPr>
      <w:bookmarkStart w:id="35" w:name="_Hlk37429674"/>
      <w:r>
        <w:rPr>
          <w:rFonts w:hint="eastAsia" w:ascii="宋体" w:hAnsi="宋体" w:cs="宋体"/>
          <w:color w:val="auto"/>
          <w:szCs w:val="21"/>
          <w:highlight w:val="none"/>
          <w:lang w:val="en-US" w:eastAsia="zh-CN"/>
        </w:rPr>
        <w:t>http://www.ccgp.gov.cn/（中国政府采购网） 、https://zfcg.gxzf.gov.cn/（广西壮族自治区政府采购网）。</w:t>
      </w:r>
    </w:p>
    <w:p w14:paraId="6028B1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8DD93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76BA608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kern w:val="0"/>
          <w:szCs w:val="21"/>
          <w:highlight w:val="none"/>
        </w:rPr>
        <w:t>本项目需要落实的政府采购政策</w:t>
      </w:r>
    </w:p>
    <w:bookmarkEnd w:id="35"/>
    <w:p w14:paraId="6CFF2F5D">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39462CB">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BCC464B">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0F80D1C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4437069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.在线竞标响应（电子竞标）说明及注意事项</w:t>
      </w:r>
    </w:p>
    <w:p w14:paraId="3977FA56">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云平台实行在线电子响应，供应商应先安装“</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云平台电子交易客户端”（请自行前往</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云平台进行下载），并按照本项目采购文件和</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云平台的要求编制、加密后在响应文件递交截止时间前通过网络上传至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云平台，供应商在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云平台提交电子响应文件时，请填写参加远程开标活动经办人联系方式。供应商登录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云平台，依次进入“服务中心-项目采购-操作流程-电子招投标-政府采购项目电子交易管理操作指南-供应商”查看电子投标具体操作流程；在使用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云平台投标客户端时，建议使用WIN7及以上操作系统。</w:t>
      </w:r>
    </w:p>
    <w:p w14:paraId="4106375F">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需要提前申领CA数字证书，供应商应当在响应文件递交截止时间前，完成电子交易平台上的CA数字证书办理（完成CA数字证书办理预计要一周左右，供应商可登录“广西政府采购网”，依次进入“办事服务-下载专区”或者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云平台，依次进入“服务中心-入驻与配置”中查看CA数字证书办理操作流程。如在操作过程中遇到问题或者需要技术支持，请致电</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云平台客服热线：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w:t>
      </w:r>
    </w:p>
    <w:p w14:paraId="7257E3E8">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（3）供应商应当在响应截止时间前，将生成的“电子响应文件”上传递交至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响应文件递交截止时间前可以撤回电子响应文件。补充或者修改电子响应文件的，应当先行撤回原文件，补充、修改后重新上传递交，响应文件递交截止时间前未完成上传的，视为撤回响应文件；响应文件递交截止时间以后上传递交的响应文件，</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云平台将予以拒收。</w:t>
      </w:r>
    </w:p>
    <w:p w14:paraId="50C9359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（4）CA证书在线解密：供应商竞标响应时，需用有效数字证书（CA认证）登录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云平台电子开标大厅现场，在截标时间后30分钟内对加密的响应文件进行解密，否则后果自负。</w:t>
      </w:r>
    </w:p>
    <w:p w14:paraId="0ED98808">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）通过“政府采购云平台”上传递交的“电子加密响应文件”无法按时解密，供应商递交了电子备份响应文件的，以电子备份响应文件为依据，否则视为响应文件撤回。通过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云平台上传递交的电子加密响应文件已按时解密的，电子备份响应文件自动失效。供应商仅递交电子备份响应文件的，竞标无效。</w:t>
      </w:r>
    </w:p>
    <w:p w14:paraId="0454BDAB">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）本项目需要供应商代表在截标后，按磋商小组要求及时登陆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云平台等候在线磋商及提交最后报价。</w:t>
      </w:r>
    </w:p>
    <w:p w14:paraId="02AC6C46">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）为确保网上操作合法、有效和安全，请供应商确保在电子响应过程中能够对相关数据电文进行加密和使用电子签章，妥善保管CA数字证书并使用有效的CA数字证书参与整个竞标活动。</w:t>
      </w:r>
    </w:p>
    <w:p w14:paraId="108442A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广西政府采购云平台服务热线95763获取热线服务帮助。 </w:t>
      </w:r>
    </w:p>
    <w:p w14:paraId="1EFB4FE0">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8.监督部门</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靖西市财政局</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电 话：0776-6231753。</w:t>
      </w:r>
    </w:p>
    <w:p w14:paraId="4F68679C">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53D7664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1.采购人信息</w:t>
      </w:r>
    </w:p>
    <w:p w14:paraId="0FD4881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靖西市教育局</w:t>
      </w:r>
    </w:p>
    <w:p w14:paraId="6F28AFFC">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地址：靖西市金新靖镇金山街 116 号</w:t>
      </w:r>
    </w:p>
    <w:p w14:paraId="01227683">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项目联系人：黄老师</w:t>
      </w:r>
    </w:p>
    <w:p w14:paraId="486969B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联系电话：0776-6211056</w:t>
      </w:r>
    </w:p>
    <w:p w14:paraId="0B632EC2">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77A06C6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广西中泽诚信工程项目管理有限公司</w:t>
      </w:r>
    </w:p>
    <w:p w14:paraId="3AA39B3A">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南宁</w:t>
      </w:r>
      <w:r>
        <w:rPr>
          <w:rFonts w:hint="eastAsia" w:ascii="宋体" w:hAnsi="宋体" w:cs="宋体"/>
          <w:color w:val="auto"/>
          <w:szCs w:val="21"/>
          <w:highlight w:val="none"/>
        </w:rPr>
        <w:t>市青秀区中柬路8号龙光世纪B座4228号</w:t>
      </w:r>
    </w:p>
    <w:p w14:paraId="3A9BEC3B">
      <w:pPr>
        <w:spacing w:line="360" w:lineRule="auto"/>
        <w:ind w:firstLine="735" w:firstLineChars="35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 xml:space="preserve">雷芳莉、李泽芸   </w:t>
      </w:r>
      <w:r>
        <w:rPr>
          <w:rFonts w:hint="eastAsia" w:ascii="宋体" w:hAnsi="宋体" w:cs="宋体"/>
          <w:color w:val="auto"/>
          <w:szCs w:val="21"/>
          <w:highlight w:val="none"/>
        </w:rPr>
        <w:t>联系电话：0771-</w:t>
      </w:r>
      <w:r>
        <w:rPr>
          <w:rFonts w:hint="eastAsia" w:ascii="宋体" w:hAnsi="宋体" w:cs="宋体"/>
          <w:color w:val="auto"/>
          <w:szCs w:val="21"/>
          <w:highlight w:val="none"/>
          <w:lang w:val="en-US" w:eastAsia="zh-CN"/>
        </w:rPr>
        <w:t>8096968</w:t>
      </w:r>
    </w:p>
    <w:p w14:paraId="27E4DE48">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0F7D04ED">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 xml:space="preserve">雷芳莉、李泽芸   </w:t>
      </w:r>
      <w:r>
        <w:rPr>
          <w:rFonts w:hint="eastAsia" w:ascii="宋体" w:hAnsi="宋体" w:cs="宋体"/>
          <w:color w:val="auto"/>
          <w:szCs w:val="21"/>
          <w:highlight w:val="none"/>
        </w:rPr>
        <w:t>联系电话：0771-</w:t>
      </w:r>
      <w:r>
        <w:rPr>
          <w:rFonts w:hint="eastAsia" w:ascii="宋体" w:hAnsi="宋体" w:cs="宋体"/>
          <w:color w:val="auto"/>
          <w:szCs w:val="21"/>
          <w:highlight w:val="none"/>
          <w:lang w:val="en-US" w:eastAsia="zh-CN"/>
        </w:rPr>
        <w:t>8096968</w:t>
      </w:r>
    </w:p>
    <w:p w14:paraId="79CB0D56">
      <w:pPr>
        <w:spacing w:line="360" w:lineRule="auto"/>
        <w:jc w:val="right"/>
        <w:rPr>
          <w:rFonts w:hint="eastAsia" w:ascii="宋体" w:hAnsi="宋体" w:eastAsia="宋体" w:cs="宋体"/>
          <w:color w:val="auto"/>
          <w:szCs w:val="21"/>
          <w:highlight w:val="none"/>
          <w:lang w:eastAsia="zh-CN"/>
        </w:rPr>
      </w:pPr>
      <w:bookmarkStart w:id="36" w:name="_Toc10702"/>
      <w:r>
        <w:rPr>
          <w:rFonts w:hint="eastAsia" w:ascii="宋体" w:hAnsi="宋体" w:cs="宋体"/>
          <w:color w:val="auto"/>
          <w:szCs w:val="21"/>
          <w:highlight w:val="none"/>
          <w:lang w:eastAsia="zh-CN"/>
        </w:rPr>
        <w:t>广西中泽诚信工程项目管理有限公司</w:t>
      </w:r>
    </w:p>
    <w:p w14:paraId="190BD982">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7</w:t>
      </w:r>
      <w:bookmarkStart w:id="1312" w:name="_GoBack"/>
      <w:bookmarkEnd w:id="1312"/>
      <w:r>
        <w:rPr>
          <w:rFonts w:hint="eastAsia" w:ascii="宋体" w:hAnsi="宋体" w:cs="宋体"/>
          <w:color w:val="auto"/>
          <w:szCs w:val="21"/>
          <w:highlight w:val="none"/>
        </w:rPr>
        <w:t>日</w:t>
      </w:r>
    </w:p>
    <w:p w14:paraId="1659D52A">
      <w:pPr>
        <w:widowControl/>
        <w:spacing w:line="360" w:lineRule="auto"/>
        <w:jc w:val="left"/>
        <w:rPr>
          <w:rFonts w:ascii="宋体" w:hAnsi="宋体" w:cs="宋体"/>
          <w:color w:val="auto"/>
          <w:sz w:val="24"/>
          <w:highlight w:val="none"/>
          <w:lang w:val="zh-CN"/>
        </w:rPr>
        <w:sectPr>
          <w:footerReference r:id="rId6" w:type="default"/>
          <w:pgSz w:w="11906" w:h="16838"/>
          <w:pgMar w:top="1134" w:right="1134" w:bottom="1134" w:left="1134" w:header="720" w:footer="720" w:gutter="0"/>
          <w:cols w:space="720" w:num="1"/>
          <w:docGrid w:type="lines" w:linePitch="331" w:charSpace="0"/>
        </w:sectPr>
      </w:pPr>
    </w:p>
    <w:p w14:paraId="6348D6FA">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6"/>
    </w:p>
    <w:p w14:paraId="4CB11A7B">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63B2AC2B">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6BB0EED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1C9F060D">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A6ADF3F">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7BE1E0B4">
      <w:pPr>
        <w:pStyle w:val="1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02811F94">
      <w:pPr>
        <w:pStyle w:val="1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p w14:paraId="3AB3C16B">
      <w:pPr>
        <w:pStyle w:val="10"/>
        <w:spacing w:line="420" w:lineRule="exact"/>
        <w:ind w:firstLine="422" w:firstLineChars="200"/>
        <w:rPr>
          <w:rFonts w:hint="eastAsia" w:hAnsi="宋体" w:cs="宋体"/>
          <w:b/>
          <w:bCs/>
          <w:color w:val="auto"/>
          <w:highlight w:val="none"/>
        </w:rPr>
      </w:pPr>
      <w:r>
        <w:rPr>
          <w:rFonts w:hint="eastAsia" w:hAnsi="宋体" w:cs="宋体"/>
          <w:b/>
          <w:bCs/>
          <w:color w:val="auto"/>
          <w:highlight w:val="none"/>
          <w:lang w:val="en-US" w:eastAsia="zh-CN"/>
        </w:rPr>
        <w:t>5.</w:t>
      </w:r>
      <w:r>
        <w:rPr>
          <w:rFonts w:hint="eastAsia" w:hAnsi="宋体" w:cs="宋体"/>
          <w:b/>
          <w:bCs/>
          <w:color w:val="auto"/>
          <w:highlight w:val="none"/>
        </w:rPr>
        <w:t>本采购标的所属行业：建筑业（详见附件 1 ）。</w:t>
      </w:r>
    </w:p>
    <w:tbl>
      <w:tblPr>
        <w:tblStyle w:val="27"/>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5514"/>
        <w:gridCol w:w="1188"/>
      </w:tblGrid>
      <w:tr w14:paraId="39E4E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right w:val="single" w:color="auto" w:sz="4" w:space="0"/>
            </w:tcBorders>
            <w:vAlign w:val="center"/>
          </w:tcPr>
          <w:p w14:paraId="100ACD86">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5B4AE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2E5955E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474845">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序号</w:t>
            </w:r>
          </w:p>
        </w:tc>
        <w:tc>
          <w:tcPr>
            <w:tcW w:w="1348" w:type="dxa"/>
            <w:tcBorders>
              <w:top w:val="single" w:color="auto" w:sz="4" w:space="0"/>
              <w:left w:val="single" w:color="auto" w:sz="4" w:space="0"/>
              <w:bottom w:val="single" w:color="auto" w:sz="4" w:space="0"/>
              <w:right w:val="single" w:color="auto" w:sz="4" w:space="0"/>
            </w:tcBorders>
            <w:vAlign w:val="center"/>
          </w:tcPr>
          <w:p w14:paraId="50FE7C0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67957BA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242BF58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514" w:type="dxa"/>
            <w:tcBorders>
              <w:top w:val="single" w:color="auto" w:sz="4" w:space="0"/>
              <w:left w:val="single" w:color="auto" w:sz="4" w:space="0"/>
              <w:bottom w:val="single" w:color="auto" w:sz="4" w:space="0"/>
              <w:right w:val="single" w:color="auto" w:sz="4" w:space="0"/>
            </w:tcBorders>
            <w:vAlign w:val="center"/>
          </w:tcPr>
          <w:p w14:paraId="5BDD14B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188" w:type="dxa"/>
            <w:tcBorders>
              <w:top w:val="single" w:color="auto" w:sz="4" w:space="0"/>
              <w:left w:val="single" w:color="auto" w:sz="4" w:space="0"/>
              <w:bottom w:val="single" w:color="auto" w:sz="4" w:space="0"/>
              <w:right w:val="single" w:color="auto" w:sz="4" w:space="0"/>
            </w:tcBorders>
            <w:vAlign w:val="center"/>
          </w:tcPr>
          <w:p w14:paraId="21435CB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r>
      <w:tr w14:paraId="46D0F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7" w:hRule="atLeast"/>
          <w:jc w:val="center"/>
        </w:trPr>
        <w:tc>
          <w:tcPr>
            <w:tcW w:w="545" w:type="dxa"/>
            <w:vMerge w:val="continue"/>
            <w:tcBorders>
              <w:left w:val="single" w:color="auto" w:sz="4" w:space="0"/>
              <w:right w:val="single" w:color="auto" w:sz="4" w:space="0"/>
            </w:tcBorders>
          </w:tcPr>
          <w:p w14:paraId="519C567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1"/>
                <w:szCs w:val="21"/>
                <w:highlight w:val="none"/>
              </w:rPr>
            </w:pPr>
          </w:p>
        </w:tc>
        <w:tc>
          <w:tcPr>
            <w:tcW w:w="420" w:type="dxa"/>
            <w:tcBorders>
              <w:top w:val="single" w:color="auto" w:sz="4" w:space="0"/>
              <w:left w:val="single" w:color="auto" w:sz="4" w:space="0"/>
              <w:right w:val="single" w:color="auto" w:sz="4" w:space="0"/>
            </w:tcBorders>
            <w:vAlign w:val="center"/>
          </w:tcPr>
          <w:p w14:paraId="74BEFC2F">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348" w:type="dxa"/>
            <w:tcBorders>
              <w:top w:val="single" w:color="auto" w:sz="4" w:space="0"/>
              <w:left w:val="single" w:color="auto" w:sz="4" w:space="0"/>
              <w:right w:val="single" w:color="auto" w:sz="4" w:space="0"/>
            </w:tcBorders>
            <w:vAlign w:val="center"/>
          </w:tcPr>
          <w:p w14:paraId="40C7A6D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靖西市第十幼儿园大门、围墙和室外活动场地工程</w:t>
            </w:r>
          </w:p>
        </w:tc>
        <w:tc>
          <w:tcPr>
            <w:tcW w:w="464" w:type="dxa"/>
            <w:tcBorders>
              <w:top w:val="single" w:color="auto" w:sz="4" w:space="0"/>
              <w:left w:val="single" w:color="auto" w:sz="4" w:space="0"/>
              <w:right w:val="single" w:color="auto" w:sz="4" w:space="0"/>
            </w:tcBorders>
            <w:vAlign w:val="center"/>
          </w:tcPr>
          <w:p w14:paraId="5ADC93F7">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642" w:type="dxa"/>
            <w:tcBorders>
              <w:top w:val="single" w:color="auto" w:sz="4" w:space="0"/>
              <w:left w:val="single" w:color="auto" w:sz="4" w:space="0"/>
              <w:right w:val="single" w:color="auto" w:sz="4" w:space="0"/>
            </w:tcBorders>
            <w:vAlign w:val="center"/>
          </w:tcPr>
          <w:p w14:paraId="6C567233">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5514" w:type="dxa"/>
            <w:tcBorders>
              <w:top w:val="single" w:color="auto" w:sz="4" w:space="0"/>
              <w:left w:val="single" w:color="auto" w:sz="4" w:space="0"/>
              <w:right w:val="single" w:color="auto" w:sz="4" w:space="0"/>
            </w:tcBorders>
            <w:vAlign w:val="center"/>
          </w:tcPr>
          <w:p w14:paraId="1277887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 xml:space="preserve">（一）项目概况 </w:t>
            </w:r>
          </w:p>
          <w:p w14:paraId="39C19243">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靖西市第十幼儿园大门、围墙和室外活动场地工程，采购内容包含大门拆除及重建、围墙拆除及重建、新建戏水池、沙池、树池工程、地面硬化工程、新建路缘石、挡土墙及护栏工程等。</w:t>
            </w:r>
          </w:p>
          <w:p w14:paraId="38452E1B">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建设地点：原新靖镇亮表小学旧址。</w:t>
            </w:r>
          </w:p>
          <w:p w14:paraId="229A0FBC">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（三）</w:t>
            </w:r>
            <w:r>
              <w:rPr>
                <w:rFonts w:hint="eastAsia" w:ascii="宋体" w:hAnsi="宋体" w:cs="宋体"/>
                <w:color w:val="auto"/>
                <w:sz w:val="21"/>
                <w:szCs w:val="21"/>
                <w:highlight w:val="none"/>
                <w:lang w:val="en-US" w:eastAsia="zh-CN"/>
              </w:rPr>
              <w:t>采购范围：靖西市第十幼儿园大门、围墙和室外活动场地工程，采购内容包含大门拆除及重建、围墙拆除及重建、新建戏水池、沙池、树池工程、地面硬化工程、新建路缘石、挡土墙及护栏工程等。具体内容见工程量清单及施工图纸。</w:t>
            </w:r>
          </w:p>
        </w:tc>
        <w:tc>
          <w:tcPr>
            <w:tcW w:w="1188" w:type="dxa"/>
            <w:tcBorders>
              <w:top w:val="single" w:color="auto" w:sz="4" w:space="0"/>
              <w:left w:val="single" w:color="auto" w:sz="4" w:space="0"/>
              <w:right w:val="single" w:color="auto" w:sz="4" w:space="0"/>
            </w:tcBorders>
            <w:vAlign w:val="center"/>
          </w:tcPr>
          <w:p w14:paraId="18144FFD">
            <w:pPr>
              <w:keepNext w:val="0"/>
              <w:keepLines w:val="0"/>
              <w:pageBreakBefore w:val="0"/>
              <w:kinsoku/>
              <w:wordWrap/>
              <w:overflowPunct/>
              <w:topLinePunct w:val="0"/>
              <w:autoSpaceDE/>
              <w:autoSpaceDN/>
              <w:bidi w:val="0"/>
              <w:adjustRightInd/>
              <w:spacing w:line="360" w:lineRule="auto"/>
              <w:jc w:val="center"/>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1326958.10</w:t>
            </w:r>
          </w:p>
        </w:tc>
      </w:tr>
      <w:tr w14:paraId="61616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278C88D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p w14:paraId="1030D88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p w14:paraId="4A95909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7808" w:type="dxa"/>
            <w:gridSpan w:val="4"/>
            <w:tcBorders>
              <w:top w:val="single" w:color="auto" w:sz="4" w:space="0"/>
              <w:left w:val="single" w:color="auto" w:sz="4" w:space="0"/>
              <w:bottom w:val="single" w:color="auto" w:sz="4" w:space="0"/>
              <w:right w:val="single" w:color="auto" w:sz="4" w:space="0"/>
            </w:tcBorders>
          </w:tcPr>
          <w:p w14:paraId="66A48342">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一、合同签订期：自</w:t>
            </w:r>
            <w:r>
              <w:rPr>
                <w:rFonts w:hint="eastAsia" w:ascii="宋体" w:hAnsi="宋体" w:cs="宋体"/>
                <w:bCs/>
                <w:color w:val="auto"/>
                <w:highlight w:val="none"/>
              </w:rPr>
              <w:t>成交</w:t>
            </w:r>
            <w:r>
              <w:rPr>
                <w:rFonts w:hint="eastAsia" w:ascii="宋体" w:hAnsi="宋体" w:cs="宋体"/>
                <w:color w:val="auto"/>
                <w:highlight w:val="none"/>
              </w:rPr>
              <w:t>通知书发出之日起 25 日内（注：</w:t>
            </w:r>
            <w:r>
              <w:rPr>
                <w:rFonts w:hint="eastAsia" w:ascii="宋体" w:hAnsi="宋体" w:cs="宋体"/>
                <w:bCs/>
                <w:color w:val="auto"/>
                <w:highlight w:val="none"/>
              </w:rPr>
              <w:t>成交</w:t>
            </w:r>
            <w:r>
              <w:rPr>
                <w:rFonts w:hint="eastAsia" w:ascii="宋体" w:hAnsi="宋体" w:cs="宋体"/>
                <w:color w:val="auto"/>
                <w:highlight w:val="none"/>
              </w:rPr>
              <w:t>通知书发出之日起25日内必须签订合同。）</w:t>
            </w:r>
          </w:p>
          <w:p w14:paraId="775CC5D4">
            <w:pPr>
              <w:widowControl/>
              <w:shd w:val="clear" w:color="auto" w:fill="FFFFFF"/>
              <w:spacing w:line="360" w:lineRule="exact"/>
              <w:rPr>
                <w:rFonts w:hint="eastAsia" w:ascii="宋体" w:hAnsi="宋体" w:eastAsia="宋体" w:cs="宋体"/>
                <w:color w:val="auto"/>
                <w:szCs w:val="21"/>
                <w:highlight w:val="none"/>
                <w:lang w:eastAsia="zh-CN"/>
              </w:rPr>
            </w:pPr>
            <w:r>
              <w:rPr>
                <w:rFonts w:hint="eastAsia" w:ascii="宋体" w:hAnsi="宋体" w:cs="宋体"/>
                <w:color w:val="auto"/>
                <w:highlight w:val="none"/>
              </w:rPr>
              <w:t>▲</w:t>
            </w:r>
            <w:r>
              <w:rPr>
                <w:rFonts w:hint="eastAsia" w:ascii="宋体" w:hAnsi="宋体" w:cs="宋体"/>
                <w:color w:val="auto"/>
                <w:szCs w:val="21"/>
                <w:highlight w:val="none"/>
              </w:rPr>
              <w:t>二、</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60日历天</w:t>
            </w:r>
            <w:r>
              <w:rPr>
                <w:rFonts w:hint="eastAsia" w:ascii="宋体" w:hAnsi="宋体" w:cs="宋体"/>
                <w:color w:val="auto"/>
                <w:szCs w:val="21"/>
                <w:highlight w:val="none"/>
              </w:rPr>
              <w:t>。合同履行期</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自合同签订之日起至项目验收完成</w:t>
            </w:r>
            <w:r>
              <w:rPr>
                <w:rFonts w:hint="eastAsia" w:ascii="宋体" w:hAnsi="宋体" w:cs="宋体"/>
                <w:color w:val="auto"/>
                <w:szCs w:val="21"/>
                <w:highlight w:val="none"/>
                <w:lang w:eastAsia="zh-CN"/>
              </w:rPr>
              <w:t>。</w:t>
            </w:r>
          </w:p>
          <w:p w14:paraId="7D125C98">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三、提交服务成果地点：采购人指定地点。</w:t>
            </w:r>
          </w:p>
          <w:p w14:paraId="44790D94">
            <w:pPr>
              <w:widowControl/>
              <w:shd w:val="clear" w:color="auto" w:fill="FFFFFF"/>
              <w:spacing w:line="360" w:lineRule="exact"/>
              <w:rPr>
                <w:rFonts w:hint="eastAsia" w:ascii="宋体" w:hAnsi="宋体" w:eastAsia="宋体" w:cs="宋体"/>
                <w:color w:val="auto"/>
                <w:highlight w:val="none"/>
                <w:lang w:eastAsia="zh-CN"/>
              </w:rPr>
            </w:pPr>
            <w:r>
              <w:rPr>
                <w:rFonts w:hint="eastAsia" w:ascii="宋体" w:hAnsi="宋体" w:cs="宋体"/>
                <w:color w:val="auto"/>
                <w:highlight w:val="none"/>
              </w:rPr>
              <w:t>▲四、</w:t>
            </w:r>
            <w:r>
              <w:rPr>
                <w:rFonts w:hint="eastAsia" w:ascii="宋体" w:hAnsi="宋体" w:cs="宋体"/>
                <w:color w:val="auto"/>
                <w:highlight w:val="none"/>
                <w:lang w:val="en-US" w:eastAsia="zh-CN"/>
              </w:rPr>
              <w:t>工程质量要求</w:t>
            </w:r>
            <w:r>
              <w:rPr>
                <w:rFonts w:hint="eastAsia" w:ascii="宋体" w:hAnsi="宋体" w:cs="宋体"/>
                <w:color w:val="auto"/>
                <w:highlight w:val="none"/>
              </w:rPr>
              <w:t>：达到</w:t>
            </w:r>
            <w:bookmarkStart w:id="37" w:name="EB4d4b13a461124532a79c71ae440db6f7"/>
            <w:r>
              <w:rPr>
                <w:rFonts w:hint="eastAsia" w:ascii="宋体" w:hAnsi="宋体" w:cs="宋体"/>
                <w:color w:val="auto"/>
                <w:highlight w:val="none"/>
              </w:rPr>
              <w:t>国家施工验收规范合格</w:t>
            </w:r>
            <w:bookmarkEnd w:id="37"/>
            <w:r>
              <w:rPr>
                <w:rFonts w:hint="eastAsia" w:ascii="宋体" w:hAnsi="宋体" w:cs="宋体"/>
                <w:color w:val="auto"/>
                <w:highlight w:val="none"/>
              </w:rPr>
              <w:t>标准</w:t>
            </w:r>
            <w:r>
              <w:rPr>
                <w:rFonts w:hint="eastAsia" w:ascii="宋体" w:hAnsi="宋体" w:cs="宋体"/>
                <w:color w:val="auto"/>
                <w:highlight w:val="none"/>
                <w:lang w:eastAsia="zh-CN"/>
              </w:rPr>
              <w:t>。</w:t>
            </w:r>
          </w:p>
          <w:p w14:paraId="3CEC3613">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五、其他要求：</w:t>
            </w:r>
          </w:p>
          <w:p w14:paraId="0C44BF8A">
            <w:pPr>
              <w:widowControl/>
              <w:shd w:val="clear" w:color="auto" w:fill="FFFFFF"/>
              <w:spacing w:line="360" w:lineRule="exact"/>
              <w:ind w:firstLine="210" w:firstLineChars="100"/>
              <w:rPr>
                <w:rFonts w:hint="eastAsia" w:ascii="宋体" w:hAnsi="宋体" w:cs="宋体"/>
                <w:color w:val="auto"/>
                <w:highlight w:val="none"/>
                <w:lang w:eastAsia="zh-CN"/>
              </w:rPr>
            </w:pPr>
            <w:r>
              <w:rPr>
                <w:rFonts w:hint="eastAsia" w:ascii="宋体" w:hAnsi="宋体" w:cs="宋体"/>
                <w:color w:val="auto"/>
                <w:highlight w:val="none"/>
              </w:rPr>
              <w:t>▲1、本项目采用工程量清单报价。供应商应结合自身因素进行工程量清单报价，但不得超出</w:t>
            </w:r>
            <w:r>
              <w:rPr>
                <w:rFonts w:hint="eastAsia" w:ascii="宋体" w:hAnsi="宋体" w:cs="宋体"/>
                <w:color w:val="auto"/>
                <w:highlight w:val="none"/>
                <w:lang w:val="en-US" w:eastAsia="zh-CN"/>
              </w:rPr>
              <w:t>采购预算价或最高限价</w:t>
            </w:r>
            <w:r>
              <w:rPr>
                <w:rFonts w:hint="eastAsia" w:ascii="宋体" w:hAnsi="宋体" w:cs="宋体"/>
                <w:color w:val="auto"/>
                <w:highlight w:val="none"/>
              </w:rPr>
              <w:t>，否则</w:t>
            </w:r>
            <w:r>
              <w:rPr>
                <w:rFonts w:hint="eastAsia" w:ascii="宋体" w:hAnsi="宋体" w:cs="宋体"/>
                <w:color w:val="auto"/>
                <w:highlight w:val="none"/>
                <w:lang w:val="en-US" w:eastAsia="zh-CN"/>
              </w:rPr>
              <w:t>磋商</w:t>
            </w:r>
            <w:r>
              <w:rPr>
                <w:rFonts w:hint="eastAsia" w:ascii="宋体" w:hAnsi="宋体" w:cs="宋体"/>
                <w:color w:val="auto"/>
                <w:highlight w:val="none"/>
              </w:rPr>
              <w:t>无效。供应商必须就所投工程的全部内容作完整唯一报价，有选择的或有条件的报价，其磋商无效</w:t>
            </w:r>
            <w:r>
              <w:rPr>
                <w:rFonts w:hint="eastAsia" w:ascii="宋体" w:hAnsi="宋体" w:cs="宋体"/>
                <w:color w:val="auto"/>
                <w:highlight w:val="none"/>
                <w:lang w:eastAsia="zh-CN"/>
              </w:rPr>
              <w:t>。</w:t>
            </w:r>
          </w:p>
          <w:p w14:paraId="77758D26">
            <w:pPr>
              <w:widowControl/>
              <w:shd w:val="clear" w:color="auto" w:fill="FFFFFF"/>
              <w:spacing w:line="360" w:lineRule="exact"/>
              <w:ind w:firstLine="211" w:firstLineChars="100"/>
              <w:rPr>
                <w:rFonts w:hint="eastAsia" w:ascii="宋体" w:hAnsi="宋体" w:cs="宋体"/>
                <w:b/>
                <w:bCs/>
                <w:color w:val="auto"/>
                <w:highlight w:val="none"/>
                <w:lang w:eastAsia="zh-CN"/>
              </w:rPr>
            </w:pPr>
            <w:r>
              <w:rPr>
                <w:rFonts w:hint="eastAsia" w:ascii="宋体" w:hAnsi="宋体" w:cs="宋体"/>
                <w:b/>
                <w:bCs/>
                <w:color w:val="auto"/>
                <w:highlight w:val="none"/>
                <w:lang w:eastAsia="zh-CN"/>
              </w:rPr>
              <w:t>首次报价与最后报价一致的，最后报价不需上传工程量清单；首次报价与最后报价不一致的，最后报价必须上传工程量清单。</w:t>
            </w:r>
          </w:p>
          <w:p w14:paraId="7C0AAA53">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▲2、报价必须含以下部分，包括：</w:t>
            </w:r>
          </w:p>
          <w:p w14:paraId="456BAE36">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2.1工程量清单中的每一子目须填入单价或价格，且只允许有一个报价。</w:t>
            </w:r>
          </w:p>
          <w:p w14:paraId="38B0876E">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776E47B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2.3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50917C9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5A28E9E1">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2.5承包人用于本合同工程的各类装备的提供、运输、维护、拆卸、拼装等支付的费用，已包括在工程量清单的单价与总额价之中。</w:t>
            </w:r>
          </w:p>
          <w:p w14:paraId="5CB6ACB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2.6工程量清单中各项金额均以人民币（元）结算。</w:t>
            </w:r>
          </w:p>
          <w:p w14:paraId="5DDBEEB1">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暂列金额（不含计日工总额）的数量及拟用子目的说明：详见工程量清单 。</w:t>
            </w:r>
          </w:p>
          <w:p w14:paraId="34C60D00">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8</w:t>
            </w:r>
            <w:r>
              <w:rPr>
                <w:rFonts w:hint="eastAsia" w:ascii="宋体" w:hAnsi="宋体" w:cs="宋体"/>
                <w:color w:val="auto"/>
                <w:highlight w:val="none"/>
              </w:rPr>
              <w:t>暂估价的数量及拟用子目的说明：详见工程量清单。</w:t>
            </w:r>
          </w:p>
          <w:p w14:paraId="5549767C">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2.9供应商必须按照采购人提供的工程量清单格式填写，不可擅自修改工程量清单，磋商报价清单（已标价工程量清单）与采购人提供的工程量清单有任何不一致的，将做无效磋商处理。如供应商对采购人提供的工程量清单有疑问或异议，应在磋商文件规定的时间前发出询疑，要求采购人（或采购代理机构）对采购文件予以澄清，当采购文件、采购文件的修改、补充在同一内容表述不一致时，以最后经的更正、补遗、澄清为准。</w:t>
            </w:r>
          </w:p>
          <w:p w14:paraId="6EB8325E">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2.10编制依据：详见工程量清单。</w:t>
            </w:r>
          </w:p>
          <w:p w14:paraId="1139881D">
            <w:pPr>
              <w:widowControl/>
              <w:numPr>
                <w:ilvl w:val="0"/>
                <w:numId w:val="2"/>
              </w:numPr>
              <w:shd w:val="clear" w:color="auto" w:fill="FFFFFF"/>
              <w:spacing w:line="36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cs="宋体"/>
                <w:color w:val="auto"/>
                <w:highlight w:val="none"/>
              </w:rPr>
              <w:t>付款方式：</w:t>
            </w:r>
            <w:r>
              <w:rPr>
                <w:rFonts w:hint="eastAsia" w:ascii="宋体" w:hAnsi="宋体" w:cs="宋体"/>
                <w:color w:val="auto"/>
                <w:highlight w:val="none"/>
                <w:lang w:val="en-US" w:eastAsia="zh-CN"/>
              </w:rPr>
              <w:t>详见合同专用条款。</w:t>
            </w:r>
          </w:p>
        </w:tc>
      </w:tr>
    </w:tbl>
    <w:p w14:paraId="67AABB3B">
      <w:pPr>
        <w:pStyle w:val="10"/>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p>
    <w:p w14:paraId="481A9298">
      <w:pPr>
        <w:widowControl/>
        <w:spacing w:line="360" w:lineRule="exact"/>
        <w:jc w:val="left"/>
        <w:rPr>
          <w:rFonts w:ascii="宋体" w:hAnsi="宋体" w:cs="宋体"/>
          <w:b/>
          <w:bCs/>
          <w:color w:val="auto"/>
          <w:szCs w:val="21"/>
          <w:highlight w:val="none"/>
        </w:rPr>
        <w:sectPr>
          <w:pgSz w:w="11910" w:h="16840"/>
          <w:pgMar w:top="1134" w:right="1134" w:bottom="1134" w:left="1134" w:header="720" w:footer="720" w:gutter="0"/>
          <w:cols w:space="720" w:num="1"/>
        </w:sectPr>
      </w:pPr>
    </w:p>
    <w:p w14:paraId="3C0B3902">
      <w:pPr>
        <w:pStyle w:val="16"/>
        <w:jc w:val="left"/>
        <w:rPr>
          <w:rFonts w:hAnsi="宋体" w:cs="宋体"/>
          <w:color w:val="auto"/>
          <w:sz w:val="32"/>
          <w:szCs w:val="32"/>
          <w:highlight w:val="none"/>
        </w:rPr>
      </w:pPr>
      <w:r>
        <w:rPr>
          <w:rFonts w:hint="eastAsia" w:hAnsi="宋体" w:cs="宋体"/>
          <w:color w:val="auto"/>
          <w:sz w:val="32"/>
          <w:szCs w:val="32"/>
          <w:highlight w:val="none"/>
        </w:rPr>
        <w:t>附件1：</w:t>
      </w:r>
    </w:p>
    <w:p w14:paraId="58CD4B93">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7"/>
        <w:tblW w:w="9500" w:type="dxa"/>
        <w:jc w:val="center"/>
        <w:tblLayout w:type="fixed"/>
        <w:tblCellMar>
          <w:top w:w="0" w:type="dxa"/>
          <w:left w:w="108" w:type="dxa"/>
          <w:bottom w:w="0" w:type="dxa"/>
          <w:right w:w="108" w:type="dxa"/>
        </w:tblCellMar>
      </w:tblPr>
      <w:tblGrid>
        <w:gridCol w:w="1985"/>
        <w:gridCol w:w="1985"/>
        <w:gridCol w:w="851"/>
        <w:gridCol w:w="1843"/>
        <w:gridCol w:w="1702"/>
        <w:gridCol w:w="1134"/>
      </w:tblGrid>
      <w:tr w14:paraId="4CDB8B31">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0DFB638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2ECB5A7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6ABE610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243A1E6C">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1C1F1ECB">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5624A1E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7A81466A">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781E739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5EDA68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9A543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F909A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6698F4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047C99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3AAA8F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E07EF9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2A265A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7CEF4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F014D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BA9C1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67D559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E59228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3F430F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EFB4B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A4527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834BF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543304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24163C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898EA3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7B4328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3970FD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80EAF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85D91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298CBD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05446F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7567F1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8AE3F77">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6B06D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D5D69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9BED9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147D2C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4BBC97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D8CF2C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B49479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36D41E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3F6A8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99258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579CAC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ACA2A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5999B0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69ACD07">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1E4A9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D8D2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17E5B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57A0D0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4D4448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870114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727AF53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47D227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16A76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9F7B1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78025D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2FB441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F93DF4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AE6A956">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F2751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3AE1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F24C9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7AD2AB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23835E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BE17FF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73A953A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1D550C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BFFB8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853B1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25D78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DEBD3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F3035C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65F321C">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27CA0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6995C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06E10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457D77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7FCB4A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97FA62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276778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00CA69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D4239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ADAEA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52A68A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4C04D0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309A24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6C5DE59">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81713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670BA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EB538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57F97A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1AEA05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AA529D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7A4F6FE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335CE5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34C37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FA6DE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504A7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5C019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44B9DA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BBEECE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E6435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F8C5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2A6D2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140643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08AB9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AF6ACD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EFC321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653D88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76A3A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D841D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0ED54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00FE0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09F234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A3E27BB">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B4535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2EF2E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F67AE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66141C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D3434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C00B39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8E2CE5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4116A8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EA30C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D0997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A8E0D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4E9AA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E8CED6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1D2E1F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7DABB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1C19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57DE2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2BD9E9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721EF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08FA93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D37648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150FC8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B666B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F9080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5DDA7D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912FA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85A3D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DFE466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53889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4487C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3BF62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469B22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151983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AFF4C4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FF572F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74DFCF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85D4E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925EF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0D0AF7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E2779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9469E4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981766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051F3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D153C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A604A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216A3F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57CEE3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8983D4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86638C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4E4568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8BADB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5BE1E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443BAD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1FB402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1FF112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4D148F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15ADB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A488A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B577B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6750C9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5A664A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42D7670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78A3D8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1B82C7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FAC38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CFFD8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6CA0CF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5ECF59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6DDCC3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DFD9B3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31C6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ABFDB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08A8B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22B1CA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22B750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DAE504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B1A81C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1BEB77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08EEB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6F40C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7ED8CC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AB0E2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D0ED2D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9E74665">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410DF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88285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CC86B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5F8900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426F80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4D5D409">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46B608C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4808C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1F208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2D82B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94959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E3A67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E9B7C51">
      <w:pPr>
        <w:spacing w:line="56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7F8FE27">
      <w:pPr>
        <w:spacing w:line="560" w:lineRule="exact"/>
        <w:rPr>
          <w:rFonts w:hint="eastAsia" w:ascii="宋体" w:hAnsi="宋体" w:cs="宋体"/>
          <w:color w:val="auto"/>
          <w:szCs w:val="21"/>
          <w:highlight w:val="none"/>
        </w:rPr>
      </w:pPr>
    </w:p>
    <w:p w14:paraId="4FBB8523">
      <w:pPr>
        <w:rPr>
          <w:rFonts w:hint="eastAsia" w:ascii="宋体" w:hAnsi="宋体" w:cs="宋体"/>
          <w:bCs w:val="0"/>
          <w:color w:val="auto"/>
          <w:sz w:val="32"/>
          <w:szCs w:val="32"/>
          <w:highlight w:val="none"/>
        </w:rPr>
      </w:pPr>
      <w:bookmarkStart w:id="38" w:name="_Toc32550"/>
    </w:p>
    <w:p w14:paraId="26AC1506">
      <w:pPr>
        <w:bidi w:val="0"/>
        <w:rPr>
          <w:rFonts w:hint="eastAsia"/>
          <w:color w:val="auto"/>
          <w:highlight w:val="none"/>
        </w:rPr>
      </w:pPr>
    </w:p>
    <w:p w14:paraId="50A57E3F">
      <w:pPr>
        <w:bidi w:val="0"/>
        <w:rPr>
          <w:rFonts w:hint="eastAsia"/>
          <w:color w:val="auto"/>
          <w:highlight w:val="none"/>
        </w:rPr>
      </w:pPr>
    </w:p>
    <w:p w14:paraId="46DBBB5D">
      <w:pPr>
        <w:pStyle w:val="2"/>
        <w:jc w:val="center"/>
        <w:rPr>
          <w:rFonts w:ascii="宋体" w:hAnsi="宋体" w:cs="宋体"/>
          <w:color w:val="auto"/>
          <w:highlight w:val="none"/>
        </w:rPr>
      </w:pPr>
      <w:r>
        <w:rPr>
          <w:rFonts w:hint="eastAsia" w:ascii="宋体" w:hAnsi="宋体" w:cs="宋体"/>
          <w:bCs w:val="0"/>
          <w:color w:val="auto"/>
          <w:sz w:val="32"/>
          <w:szCs w:val="32"/>
          <w:highlight w:val="none"/>
        </w:rPr>
        <w:t>第三章 供应商须知</w:t>
      </w:r>
      <w:bookmarkEnd w:id="38"/>
    </w:p>
    <w:p w14:paraId="75320341">
      <w:pPr>
        <w:pStyle w:val="3"/>
        <w:jc w:val="center"/>
        <w:rPr>
          <w:rFonts w:ascii="宋体" w:hAnsi="宋体" w:cs="宋体"/>
          <w:b/>
          <w:color w:val="auto"/>
          <w:sz w:val="32"/>
          <w:szCs w:val="32"/>
          <w:highlight w:val="none"/>
        </w:rPr>
      </w:pPr>
      <w:bookmarkStart w:id="39" w:name="_Toc28882"/>
      <w:r>
        <w:rPr>
          <w:rFonts w:hint="eastAsia" w:ascii="宋体" w:hAnsi="宋体" w:cs="宋体"/>
          <w:b w:val="0"/>
          <w:color w:val="auto"/>
          <w:highlight w:val="none"/>
        </w:rPr>
        <w:t>第一节 供应商须知前附表</w:t>
      </w:r>
      <w:bookmarkEnd w:id="39"/>
    </w:p>
    <w:tbl>
      <w:tblPr>
        <w:tblStyle w:val="27"/>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6C88B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13C68E6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1" w:type="dxa"/>
            <w:tcBorders>
              <w:top w:val="single" w:color="000000" w:sz="4" w:space="0"/>
              <w:left w:val="single" w:color="000000" w:sz="4" w:space="0"/>
              <w:bottom w:val="single" w:color="000000" w:sz="4" w:space="0"/>
              <w:right w:val="single" w:color="000000" w:sz="4" w:space="0"/>
            </w:tcBorders>
            <w:vAlign w:val="center"/>
          </w:tcPr>
          <w:p w14:paraId="7917B42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793" w:type="dxa"/>
            <w:tcBorders>
              <w:top w:val="single" w:color="000000" w:sz="4" w:space="0"/>
              <w:left w:val="single" w:color="000000" w:sz="4" w:space="0"/>
              <w:bottom w:val="single" w:color="000000" w:sz="4" w:space="0"/>
              <w:right w:val="single" w:color="000000" w:sz="4" w:space="0"/>
            </w:tcBorders>
          </w:tcPr>
          <w:p w14:paraId="52844E1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4F5EC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873938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21" w:type="dxa"/>
            <w:tcBorders>
              <w:top w:val="single" w:color="000000" w:sz="4" w:space="0"/>
              <w:left w:val="single" w:color="000000" w:sz="4" w:space="0"/>
              <w:bottom w:val="single" w:color="000000" w:sz="4" w:space="0"/>
              <w:right w:val="single" w:color="000000" w:sz="4" w:space="0"/>
            </w:tcBorders>
            <w:vAlign w:val="center"/>
          </w:tcPr>
          <w:p w14:paraId="716594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793" w:type="dxa"/>
            <w:tcBorders>
              <w:top w:val="single" w:color="000000" w:sz="4" w:space="0"/>
              <w:left w:val="single" w:color="000000" w:sz="4" w:space="0"/>
              <w:bottom w:val="single" w:color="000000" w:sz="4" w:space="0"/>
              <w:right w:val="single" w:color="000000" w:sz="4" w:space="0"/>
            </w:tcBorders>
          </w:tcPr>
          <w:p w14:paraId="347281F5">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4BD47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A55AA7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21" w:type="dxa"/>
            <w:tcBorders>
              <w:top w:val="single" w:color="000000" w:sz="4" w:space="0"/>
              <w:left w:val="single" w:color="000000" w:sz="4" w:space="0"/>
              <w:bottom w:val="single" w:color="000000" w:sz="4" w:space="0"/>
              <w:right w:val="single" w:color="000000" w:sz="4" w:space="0"/>
            </w:tcBorders>
            <w:vAlign w:val="center"/>
          </w:tcPr>
          <w:p w14:paraId="4A1E2C0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793" w:type="dxa"/>
            <w:tcBorders>
              <w:top w:val="single" w:color="000000" w:sz="4" w:space="0"/>
              <w:left w:val="single" w:color="000000" w:sz="4" w:space="0"/>
              <w:bottom w:val="single" w:color="000000" w:sz="4" w:space="0"/>
              <w:right w:val="single" w:color="000000" w:sz="4" w:space="0"/>
            </w:tcBorders>
            <w:vAlign w:val="center"/>
          </w:tcPr>
          <w:p w14:paraId="30E2F911">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4517A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466F9E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21" w:type="dxa"/>
            <w:tcBorders>
              <w:top w:val="single" w:color="000000" w:sz="4" w:space="0"/>
              <w:left w:val="single" w:color="000000" w:sz="4" w:space="0"/>
              <w:bottom w:val="single" w:color="000000" w:sz="4" w:space="0"/>
              <w:right w:val="single" w:color="000000" w:sz="4" w:space="0"/>
            </w:tcBorders>
            <w:vAlign w:val="center"/>
          </w:tcPr>
          <w:p w14:paraId="422C475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6D51B580">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7B920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C032E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21" w:type="dxa"/>
            <w:tcBorders>
              <w:top w:val="single" w:color="000000" w:sz="4" w:space="0"/>
              <w:left w:val="single" w:color="000000" w:sz="4" w:space="0"/>
              <w:bottom w:val="single" w:color="000000" w:sz="4" w:space="0"/>
              <w:right w:val="single" w:color="000000" w:sz="4" w:space="0"/>
            </w:tcBorders>
            <w:vAlign w:val="center"/>
          </w:tcPr>
          <w:p w14:paraId="7832129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793" w:type="dxa"/>
            <w:tcBorders>
              <w:top w:val="single" w:color="000000" w:sz="4" w:space="0"/>
              <w:left w:val="single" w:color="000000" w:sz="4" w:space="0"/>
              <w:bottom w:val="single" w:color="000000" w:sz="4" w:space="0"/>
              <w:right w:val="single" w:color="000000" w:sz="4" w:space="0"/>
            </w:tcBorders>
            <w:vAlign w:val="center"/>
          </w:tcPr>
          <w:p w14:paraId="311E8490">
            <w:pPr>
              <w:pStyle w:val="10"/>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685B27AE">
            <w:pPr>
              <w:pStyle w:val="10"/>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30CFDE0D">
            <w:pPr>
              <w:pStyle w:val="10"/>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55350B9D">
            <w:pPr>
              <w:pStyle w:val="10"/>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7DEC6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5AEFE75">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21" w:type="dxa"/>
            <w:tcBorders>
              <w:top w:val="single" w:color="000000" w:sz="4" w:space="0"/>
              <w:left w:val="single" w:color="000000" w:sz="4" w:space="0"/>
              <w:bottom w:val="single" w:color="000000" w:sz="4" w:space="0"/>
              <w:right w:val="single" w:color="000000" w:sz="4" w:space="0"/>
            </w:tcBorders>
            <w:vAlign w:val="center"/>
          </w:tcPr>
          <w:p w14:paraId="20863CA2">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793" w:type="dxa"/>
            <w:tcBorders>
              <w:top w:val="single" w:color="000000" w:sz="4" w:space="0"/>
              <w:left w:val="single" w:color="000000" w:sz="4" w:space="0"/>
              <w:bottom w:val="single" w:color="000000" w:sz="4" w:space="0"/>
              <w:right w:val="single" w:color="000000" w:sz="4" w:space="0"/>
            </w:tcBorders>
            <w:vAlign w:val="center"/>
          </w:tcPr>
          <w:p w14:paraId="54E211EB">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37019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5A939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21" w:type="dxa"/>
            <w:tcBorders>
              <w:top w:val="single" w:color="000000" w:sz="4" w:space="0"/>
              <w:left w:val="single" w:color="000000" w:sz="4" w:space="0"/>
              <w:bottom w:val="single" w:color="000000" w:sz="4" w:space="0"/>
              <w:right w:val="single" w:color="000000" w:sz="4" w:space="0"/>
            </w:tcBorders>
            <w:vAlign w:val="center"/>
          </w:tcPr>
          <w:p w14:paraId="04EC7CD5">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4E73C023">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142033F3">
            <w:pPr>
              <w:pStyle w:val="10"/>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13F2912">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2.供应商依法缴纳税收的相关材料：提供</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月期间</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CBE3BAB">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3.供应商依法缴纳社会保障资金的相关材料：提供</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月期间</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B46EAA0">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4.供应商财务状况报告：提供</w:t>
            </w:r>
            <w:r>
              <w:rPr>
                <w:rFonts w:hint="eastAsia" w:ascii="宋体" w:hAnsi="宋体" w:cs="宋体"/>
                <w:color w:val="auto"/>
                <w:szCs w:val="21"/>
                <w:highlight w:val="none"/>
                <w:lang w:val="en-US" w:eastAsia="zh-CN"/>
              </w:rPr>
              <w:t>2024年或2025</w:t>
            </w:r>
            <w:r>
              <w:rPr>
                <w:rFonts w:hint="eastAsia" w:ascii="宋体" w:hAnsi="宋体" w:cs="宋体"/>
                <w:color w:val="auto"/>
                <w:szCs w:val="21"/>
                <w:highlight w:val="none"/>
              </w:rPr>
              <w:t>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37801E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88F226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.竞标声明（格式后附）；</w:t>
            </w:r>
            <w:r>
              <w:rPr>
                <w:rFonts w:hint="eastAsia" w:ascii="宋体" w:hAnsi="宋体" w:cs="宋体"/>
                <w:b/>
                <w:bCs/>
                <w:color w:val="auto"/>
                <w:szCs w:val="21"/>
                <w:highlight w:val="none"/>
              </w:rPr>
              <w:t>（必须提供，否则响应文件按无效响应处理）</w:t>
            </w:r>
          </w:p>
          <w:p w14:paraId="1CE31C47">
            <w:pPr>
              <w:snapToGri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资格要求：①供应商须提供建筑工程施工总承包三级(含)以上资质证书，同时持有省级及以上建设行政主管部门颁发的安全生产许可证；②拟投入本工程的项目经理须持有二级及以上建造师注册证书，专业是建筑工程专业（以建造师注册证书中“专业类别”栏所填写的专业为准），同时持有省级或省级以上建设行政主管部门颁发的安全生产考核合格证书（B类）；③拟投入本工程的安全员应持有省级或省级以上建设行政主管部门颁发的C类安全生产考核合格证书。</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14914D9">
            <w:pPr>
              <w:snapToGrid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小微</w:t>
            </w:r>
            <w:r>
              <w:rPr>
                <w:rFonts w:hint="eastAsia" w:ascii="宋体" w:hAnsi="宋体" w:cs="宋体"/>
                <w:color w:val="auto"/>
                <w:szCs w:val="21"/>
                <w:highlight w:val="none"/>
              </w:rPr>
              <w:t>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9A31A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.联合体协议书；（</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2CB3488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除磋商文件规定必须提供以外，供应商认为需要提供的其他证明材料；</w:t>
            </w:r>
          </w:p>
          <w:p w14:paraId="4F5B7517">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2063156B">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1F835479">
            <w:pPr>
              <w:pStyle w:val="1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2.分公司参加竞标的，应当取得总公司授权，无授权的则作无效竞标处理；</w:t>
            </w:r>
          </w:p>
          <w:p w14:paraId="5D2D0FC8">
            <w:pPr>
              <w:pStyle w:val="1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.联合体竞标时，第1-5项资格证明文件联合体各方均必须分别提供，联合体各方分别盖章和签字，否则响应文件按无效响应处理。</w:t>
            </w:r>
          </w:p>
        </w:tc>
      </w:tr>
      <w:tr w14:paraId="02140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4EE1C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21" w:type="dxa"/>
            <w:tcBorders>
              <w:top w:val="single" w:color="000000" w:sz="4" w:space="0"/>
              <w:left w:val="single" w:color="000000" w:sz="4" w:space="0"/>
              <w:bottom w:val="single" w:color="000000" w:sz="4" w:space="0"/>
              <w:right w:val="single" w:color="000000" w:sz="4" w:space="0"/>
            </w:tcBorders>
            <w:vAlign w:val="center"/>
          </w:tcPr>
          <w:p w14:paraId="137DCD72">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w:t>
            </w:r>
            <w:r>
              <w:rPr>
                <w:rFonts w:hint="eastAsia" w:ascii="宋体" w:hAnsi="宋体" w:cs="宋体"/>
                <w:b/>
                <w:bCs/>
                <w:color w:val="auto"/>
                <w:szCs w:val="21"/>
                <w:highlight w:val="none"/>
                <w:lang w:val="en-US" w:eastAsia="zh-CN"/>
              </w:rPr>
              <w:t>技术</w:t>
            </w:r>
            <w:r>
              <w:rPr>
                <w:rFonts w:hint="eastAsia" w:ascii="宋体" w:hAnsi="宋体" w:cs="宋体"/>
                <w:b/>
                <w:bCs/>
                <w:color w:val="auto"/>
                <w:szCs w:val="21"/>
                <w:highlight w:val="none"/>
              </w:rPr>
              <w:t>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38795800">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A3FF08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0EFC5A5">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69181230">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ED47831">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.服务需求偏离表；</w:t>
            </w:r>
          </w:p>
          <w:p w14:paraId="3F2B6EE5">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6.施工组织设计；</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6697FC3">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7.售后服务承诺；</w:t>
            </w:r>
          </w:p>
          <w:p w14:paraId="220ADAD0">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8.项目实施人员一览表；</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70AC5AB">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9.供应商类似业绩的证明文件</w:t>
            </w:r>
          </w:p>
          <w:p w14:paraId="23175120">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.对应采购需求的服务需求、商务条款提供的其他文件资料；</w:t>
            </w:r>
          </w:p>
          <w:p w14:paraId="3C40A39C">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.供应商认为需要提供的其他有关资料。</w:t>
            </w:r>
          </w:p>
          <w:p w14:paraId="0E6CB5EA">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1A48B6A0">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w:t>
            </w:r>
            <w:r>
              <w:rPr>
                <w:rFonts w:hint="eastAsia" w:ascii="宋体" w:hAnsi="宋体" w:cs="宋体"/>
                <w:b/>
                <w:color w:val="auto"/>
                <w:szCs w:val="21"/>
                <w:highlight w:val="none"/>
                <w:lang w:val="en-US" w:eastAsia="zh-CN"/>
              </w:rPr>
              <w:t>或签章</w:t>
            </w:r>
            <w:r>
              <w:rPr>
                <w:rFonts w:hint="eastAsia" w:ascii="宋体" w:hAnsi="宋体" w:cs="宋体"/>
                <w:b/>
                <w:color w:val="auto"/>
                <w:szCs w:val="21"/>
                <w:highlight w:val="none"/>
              </w:rPr>
              <w:t>，并加盖供应商公章，否则响应文件按无效响应处理。</w:t>
            </w:r>
          </w:p>
          <w:p w14:paraId="06692454">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6DCA9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9884399">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2721" w:type="dxa"/>
            <w:tcBorders>
              <w:top w:val="single" w:color="000000" w:sz="4" w:space="0"/>
              <w:left w:val="single" w:color="000000" w:sz="4" w:space="0"/>
              <w:bottom w:val="single" w:color="000000" w:sz="4" w:space="0"/>
              <w:right w:val="single" w:color="000000" w:sz="4" w:space="0"/>
            </w:tcBorders>
            <w:vAlign w:val="center"/>
          </w:tcPr>
          <w:p w14:paraId="6F1ECC43">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7549F95E">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5CCCD44B">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164D90BC">
            <w:pPr>
              <w:spacing w:line="360" w:lineRule="auto"/>
              <w:rPr>
                <w:rFonts w:hint="eastAsia"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3.已标价工程量清单</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（必须提供，否则响应文件按无效响应处理）</w:t>
            </w:r>
          </w:p>
        </w:tc>
      </w:tr>
      <w:tr w14:paraId="589FF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EA4EF7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1" w:type="dxa"/>
            <w:tcBorders>
              <w:top w:val="single" w:color="000000" w:sz="4" w:space="0"/>
              <w:left w:val="single" w:color="000000" w:sz="4" w:space="0"/>
              <w:bottom w:val="single" w:color="000000" w:sz="4" w:space="0"/>
              <w:right w:val="single" w:color="000000" w:sz="4" w:space="0"/>
            </w:tcBorders>
            <w:vAlign w:val="center"/>
          </w:tcPr>
          <w:p w14:paraId="150F2EA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9AB413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8428B3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16C63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1A8C10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21" w:type="dxa"/>
            <w:tcBorders>
              <w:top w:val="single" w:color="000000" w:sz="4" w:space="0"/>
              <w:left w:val="single" w:color="000000" w:sz="4" w:space="0"/>
              <w:bottom w:val="single" w:color="000000" w:sz="4" w:space="0"/>
              <w:right w:val="single" w:color="000000" w:sz="4" w:space="0"/>
            </w:tcBorders>
            <w:vAlign w:val="center"/>
          </w:tcPr>
          <w:p w14:paraId="10E6EC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2E7D901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076D2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DD524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21" w:type="dxa"/>
            <w:tcBorders>
              <w:top w:val="single" w:color="000000" w:sz="4" w:space="0"/>
              <w:left w:val="single" w:color="000000" w:sz="4" w:space="0"/>
              <w:bottom w:val="single" w:color="000000" w:sz="4" w:space="0"/>
              <w:right w:val="single" w:color="000000" w:sz="4" w:space="0"/>
            </w:tcBorders>
            <w:vAlign w:val="center"/>
          </w:tcPr>
          <w:p w14:paraId="765A11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793" w:type="dxa"/>
            <w:tcBorders>
              <w:top w:val="single" w:color="000000" w:sz="4" w:space="0"/>
              <w:left w:val="single" w:color="000000" w:sz="4" w:space="0"/>
              <w:bottom w:val="single" w:color="000000" w:sz="4" w:space="0"/>
              <w:right w:val="single" w:color="000000" w:sz="4" w:space="0"/>
            </w:tcBorders>
            <w:vAlign w:val="center"/>
          </w:tcPr>
          <w:p w14:paraId="12F458EF">
            <w:pPr>
              <w:pStyle w:val="8"/>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56AAB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57FB4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21" w:type="dxa"/>
            <w:tcBorders>
              <w:top w:val="single" w:color="000000" w:sz="4" w:space="0"/>
              <w:left w:val="single" w:color="000000" w:sz="4" w:space="0"/>
              <w:bottom w:val="single" w:color="000000" w:sz="4" w:space="0"/>
              <w:right w:val="single" w:color="000000" w:sz="4" w:space="0"/>
            </w:tcBorders>
            <w:vAlign w:val="center"/>
          </w:tcPr>
          <w:p w14:paraId="7BEB97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097E4D17">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3084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5F17033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21" w:type="dxa"/>
            <w:tcBorders>
              <w:top w:val="single" w:color="000000" w:sz="4" w:space="0"/>
              <w:left w:val="single" w:color="000000" w:sz="4" w:space="0"/>
              <w:bottom w:val="single" w:color="000000" w:sz="4" w:space="0"/>
              <w:right w:val="single" w:color="000000" w:sz="4" w:space="0"/>
            </w:tcBorders>
            <w:vAlign w:val="center"/>
          </w:tcPr>
          <w:p w14:paraId="153C7F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48951849">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1B104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35F23B5">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4567F5C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93" w:type="dxa"/>
            <w:tcBorders>
              <w:top w:val="single" w:color="000000" w:sz="4" w:space="0"/>
              <w:left w:val="single" w:color="000000" w:sz="4" w:space="0"/>
              <w:bottom w:val="single" w:color="000000" w:sz="4" w:space="0"/>
              <w:right w:val="single" w:color="000000" w:sz="4" w:space="0"/>
            </w:tcBorders>
            <w:vAlign w:val="center"/>
          </w:tcPr>
          <w:p w14:paraId="2A65DFBE">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4C3B5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98865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21" w:type="dxa"/>
            <w:tcBorders>
              <w:top w:val="single" w:color="000000" w:sz="4" w:space="0"/>
              <w:left w:val="single" w:color="000000" w:sz="4" w:space="0"/>
              <w:bottom w:val="single" w:color="000000" w:sz="4" w:space="0"/>
              <w:right w:val="single" w:color="000000" w:sz="4" w:space="0"/>
            </w:tcBorders>
            <w:vAlign w:val="center"/>
          </w:tcPr>
          <w:p w14:paraId="5D2928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793" w:type="dxa"/>
            <w:tcBorders>
              <w:top w:val="single" w:color="000000" w:sz="4" w:space="0"/>
              <w:left w:val="single" w:color="000000" w:sz="4" w:space="0"/>
              <w:bottom w:val="single" w:color="000000" w:sz="4" w:space="0"/>
              <w:right w:val="single" w:color="000000" w:sz="4" w:space="0"/>
            </w:tcBorders>
            <w:vAlign w:val="center"/>
          </w:tcPr>
          <w:p w14:paraId="53B4128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4D302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71B2D3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1" w:type="dxa"/>
            <w:tcBorders>
              <w:top w:val="single" w:color="000000" w:sz="4" w:space="0"/>
              <w:left w:val="single" w:color="000000" w:sz="4" w:space="0"/>
              <w:bottom w:val="single" w:color="000000" w:sz="4" w:space="0"/>
              <w:right w:val="single" w:color="000000" w:sz="4" w:space="0"/>
            </w:tcBorders>
            <w:vAlign w:val="center"/>
          </w:tcPr>
          <w:p w14:paraId="45B92C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793" w:type="dxa"/>
            <w:tcBorders>
              <w:top w:val="single" w:color="000000" w:sz="4" w:space="0"/>
              <w:left w:val="single" w:color="000000" w:sz="4" w:space="0"/>
              <w:bottom w:val="single" w:color="000000" w:sz="4" w:space="0"/>
              <w:right w:val="single" w:color="000000" w:sz="4" w:space="0"/>
            </w:tcBorders>
            <w:vAlign w:val="center"/>
          </w:tcPr>
          <w:p w14:paraId="6952A2C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635B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4FBB9DD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21" w:type="dxa"/>
            <w:tcBorders>
              <w:top w:val="single" w:color="000000" w:sz="4" w:space="0"/>
              <w:left w:val="single" w:color="000000" w:sz="4" w:space="0"/>
              <w:bottom w:val="single" w:color="000000" w:sz="4" w:space="0"/>
              <w:right w:val="single" w:color="000000" w:sz="4" w:space="0"/>
            </w:tcBorders>
            <w:vAlign w:val="center"/>
          </w:tcPr>
          <w:p w14:paraId="133FE3C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543696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1406C42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6828E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1148AE8">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257B32B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7394035C">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3C117C22">
            <w:pPr>
              <w:pStyle w:val="10"/>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4DCC8E42">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14:paraId="30FAB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1E01B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21" w:type="dxa"/>
            <w:tcBorders>
              <w:top w:val="single" w:color="000000" w:sz="4" w:space="0"/>
              <w:left w:val="single" w:color="000000" w:sz="4" w:space="0"/>
              <w:bottom w:val="single" w:color="000000" w:sz="4" w:space="0"/>
              <w:right w:val="single" w:color="000000" w:sz="4" w:space="0"/>
            </w:tcBorders>
            <w:vAlign w:val="center"/>
          </w:tcPr>
          <w:p w14:paraId="358385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372BE57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04C5E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CF3527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21" w:type="dxa"/>
            <w:tcBorders>
              <w:top w:val="single" w:color="000000" w:sz="4" w:space="0"/>
              <w:left w:val="single" w:color="000000" w:sz="4" w:space="0"/>
              <w:bottom w:val="single" w:color="000000" w:sz="4" w:space="0"/>
              <w:right w:val="single" w:color="000000" w:sz="4" w:space="0"/>
            </w:tcBorders>
            <w:vAlign w:val="center"/>
          </w:tcPr>
          <w:p w14:paraId="5AA544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793" w:type="dxa"/>
            <w:tcBorders>
              <w:top w:val="single" w:color="000000" w:sz="4" w:space="0"/>
              <w:left w:val="single" w:color="000000" w:sz="4" w:space="0"/>
              <w:bottom w:val="single" w:color="000000" w:sz="4" w:space="0"/>
              <w:right w:val="single" w:color="000000" w:sz="4" w:space="0"/>
            </w:tcBorders>
            <w:vAlign w:val="center"/>
          </w:tcPr>
          <w:p w14:paraId="0BE2DEA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2B686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4F86DF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21" w:type="dxa"/>
            <w:tcBorders>
              <w:top w:val="single" w:color="000000" w:sz="4" w:space="0"/>
              <w:left w:val="single" w:color="000000" w:sz="4" w:space="0"/>
              <w:bottom w:val="single" w:color="000000" w:sz="4" w:space="0"/>
              <w:right w:val="single" w:color="000000" w:sz="4" w:space="0"/>
            </w:tcBorders>
            <w:vAlign w:val="center"/>
          </w:tcPr>
          <w:p w14:paraId="1D21048F">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1122F3AD">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5D8AE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A30FA95">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3CCE6652">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C931C0E">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广西中泽诚信工程项目管理有限公司</w:t>
            </w:r>
            <w:r>
              <w:rPr>
                <w:rFonts w:hint="eastAsia" w:ascii="宋体" w:hAnsi="宋体" w:cs="宋体"/>
                <w:color w:val="auto"/>
                <w:szCs w:val="21"/>
                <w:highlight w:val="none"/>
              </w:rPr>
              <w:t>部门；</w:t>
            </w:r>
          </w:p>
          <w:p w14:paraId="6240449C">
            <w:pPr>
              <w:snapToGrid w:val="0"/>
              <w:spacing w:line="38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联系电话：0771-</w:t>
            </w:r>
            <w:r>
              <w:rPr>
                <w:rFonts w:hint="eastAsia" w:ascii="宋体" w:hAnsi="宋体" w:cs="宋体"/>
                <w:color w:val="auto"/>
                <w:szCs w:val="21"/>
                <w:highlight w:val="none"/>
                <w:lang w:val="en-US" w:eastAsia="zh-CN"/>
              </w:rPr>
              <w:t>8096968</w:t>
            </w:r>
          </w:p>
          <w:p w14:paraId="58D4F994">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val="en-US" w:eastAsia="zh-CN"/>
              </w:rPr>
              <w:t>南宁</w:t>
            </w:r>
            <w:r>
              <w:rPr>
                <w:rFonts w:hint="eastAsia" w:ascii="宋体" w:hAnsi="宋体" w:cs="宋体"/>
                <w:color w:val="auto"/>
                <w:szCs w:val="21"/>
                <w:highlight w:val="none"/>
              </w:rPr>
              <w:t xml:space="preserve">市青秀区中柬路8号龙光世纪B座4228号 </w:t>
            </w:r>
          </w:p>
          <w:p w14:paraId="723BA590">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靖西市教育局</w:t>
            </w:r>
            <w:r>
              <w:rPr>
                <w:rFonts w:hint="eastAsia" w:ascii="宋体" w:hAnsi="宋体" w:cs="宋体"/>
                <w:color w:val="auto"/>
                <w:szCs w:val="21"/>
                <w:highlight w:val="none"/>
              </w:rPr>
              <w:t>部门；</w:t>
            </w:r>
          </w:p>
          <w:p w14:paraId="65456410">
            <w:pPr>
              <w:snapToGrid w:val="0"/>
              <w:spacing w:line="38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联系电话：0776-6211056</w:t>
            </w:r>
          </w:p>
          <w:p w14:paraId="7E32F92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通讯地址：靖西市金新靖镇金山街 116 号 </w:t>
            </w:r>
          </w:p>
        </w:tc>
      </w:tr>
      <w:tr w14:paraId="4800D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C5AE58F">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CE8B428">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05F92F43">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59669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E402A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21" w:type="dxa"/>
            <w:tcBorders>
              <w:top w:val="single" w:color="000000" w:sz="4" w:space="0"/>
              <w:left w:val="single" w:color="000000" w:sz="4" w:space="0"/>
              <w:bottom w:val="single" w:color="000000" w:sz="4" w:space="0"/>
              <w:right w:val="single" w:color="000000" w:sz="4" w:space="0"/>
            </w:tcBorders>
            <w:vAlign w:val="center"/>
          </w:tcPr>
          <w:p w14:paraId="00193D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260DD818">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703205ED">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332DE1FB">
            <w:pPr>
              <w:snapToGrid w:val="0"/>
              <w:spacing w:line="380" w:lineRule="exact"/>
              <w:rPr>
                <w:rFonts w:ascii="宋体" w:hAnsi="宋体" w:cs="宋体"/>
                <w:color w:val="auto"/>
                <w:highlight w:val="none"/>
              </w:rPr>
            </w:pPr>
            <w:r>
              <w:rPr>
                <w:rFonts w:hint="eastAsia" w:ascii="宋体" w:hAnsi="宋体" w:cs="宋体"/>
                <w:color w:val="auto"/>
                <w:highlight w:val="none"/>
              </w:rPr>
              <w:t>名称：靖西市财政局</w:t>
            </w:r>
          </w:p>
          <w:p w14:paraId="66788906">
            <w:pPr>
              <w:snapToGrid w:val="0"/>
              <w:spacing w:line="380" w:lineRule="exact"/>
              <w:rPr>
                <w:rFonts w:hint="default" w:ascii="宋体" w:hAnsi="宋体" w:eastAsia="宋体" w:cs="宋体"/>
                <w:color w:val="auto"/>
                <w:highlight w:val="none"/>
                <w:lang w:val="en-US" w:eastAsia="zh-CN"/>
              </w:rPr>
            </w:pPr>
            <w:r>
              <w:rPr>
                <w:rFonts w:hint="eastAsia" w:ascii="宋体" w:hAnsi="宋体" w:cs="宋体"/>
                <w:color w:val="auto"/>
                <w:highlight w:val="none"/>
              </w:rPr>
              <w:t>地址：靖西市新靖镇三</w:t>
            </w:r>
            <w:r>
              <w:rPr>
                <w:rFonts w:hint="eastAsia" w:ascii="宋体" w:hAnsi="宋体" w:cs="宋体"/>
                <w:color w:val="auto"/>
                <w:highlight w:val="none"/>
                <w:lang w:val="en-US" w:eastAsia="zh-CN"/>
              </w:rPr>
              <w:t>元路102号</w:t>
            </w:r>
          </w:p>
          <w:p w14:paraId="39BE6C6B">
            <w:pPr>
              <w:snapToGrid w:val="0"/>
              <w:spacing w:line="380" w:lineRule="exact"/>
              <w:rPr>
                <w:rFonts w:ascii="宋体" w:hAnsi="宋体" w:cs="宋体"/>
                <w:color w:val="auto"/>
                <w:highlight w:val="none"/>
              </w:rPr>
            </w:pPr>
            <w:r>
              <w:rPr>
                <w:rFonts w:hint="eastAsia" w:ascii="宋体" w:hAnsi="宋体" w:cs="宋体"/>
                <w:color w:val="auto"/>
                <w:highlight w:val="none"/>
              </w:rPr>
              <w:t>联系电话：0776-6231753</w:t>
            </w:r>
          </w:p>
        </w:tc>
      </w:tr>
      <w:tr w14:paraId="34A1F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44401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21" w:type="dxa"/>
            <w:tcBorders>
              <w:top w:val="single" w:color="000000" w:sz="4" w:space="0"/>
              <w:left w:val="single" w:color="000000" w:sz="4" w:space="0"/>
              <w:bottom w:val="single" w:color="000000" w:sz="4" w:space="0"/>
              <w:right w:val="single" w:color="000000" w:sz="4" w:space="0"/>
            </w:tcBorders>
            <w:vAlign w:val="center"/>
          </w:tcPr>
          <w:p w14:paraId="29EBA6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793" w:type="dxa"/>
            <w:tcBorders>
              <w:top w:val="single" w:color="000000" w:sz="4" w:space="0"/>
              <w:left w:val="single" w:color="000000" w:sz="4" w:space="0"/>
              <w:bottom w:val="single" w:color="000000" w:sz="4" w:space="0"/>
              <w:right w:val="single" w:color="000000" w:sz="4" w:space="0"/>
            </w:tcBorders>
            <w:vAlign w:val="center"/>
          </w:tcPr>
          <w:p w14:paraId="75133C91">
            <w:pPr>
              <w:pStyle w:val="16"/>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584B33CC">
            <w:pPr>
              <w:pStyle w:val="16"/>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69F94C9C">
            <w:pPr>
              <w:pStyle w:val="16"/>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10E46573">
            <w:pPr>
              <w:pStyle w:val="16"/>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7A83BC38">
            <w:pPr>
              <w:pStyle w:val="16"/>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32E226FE">
            <w:pPr>
              <w:pStyle w:val="16"/>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r>
              <w:rPr>
                <w:rFonts w:hint="eastAsia" w:hAnsi="宋体" w:cs="宋体"/>
                <w:color w:val="auto"/>
                <w:sz w:val="21"/>
                <w:highlight w:val="none"/>
                <w:lang w:val="en-US" w:eastAsia="zh-CN"/>
              </w:rPr>
              <w:t>按国家发展计划委员会计价格[2002]1980号《招标代理服务费管理暂行办法》文执行的收费标准“工程类”计算</w:t>
            </w:r>
            <w:r>
              <w:rPr>
                <w:rFonts w:hint="eastAsia" w:hAnsi="宋体" w:cs="宋体"/>
                <w:color w:val="auto"/>
                <w:sz w:val="21"/>
                <w:highlight w:val="none"/>
              </w:rPr>
              <w:t>，采购代理费由采购代理机构向成交供应商收取。成交供应商在领取成交通知书前一次性向采购代理机构付清采购代理费。</w:t>
            </w:r>
          </w:p>
          <w:p w14:paraId="1D3D8934">
            <w:pPr>
              <w:pStyle w:val="16"/>
              <w:snapToGrid w:val="0"/>
              <w:spacing w:line="380" w:lineRule="exact"/>
              <w:rPr>
                <w:rFonts w:hAnsi="宋体" w:cs="宋体"/>
                <w:color w:val="auto"/>
                <w:sz w:val="21"/>
                <w:highlight w:val="none"/>
              </w:rPr>
            </w:pPr>
            <w:r>
              <w:rPr>
                <w:rFonts w:hint="eastAsia" w:hAnsi="宋体" w:cs="宋体"/>
                <w:color w:val="auto"/>
                <w:sz w:val="21"/>
                <w:highlight w:val="none"/>
              </w:rPr>
              <w:t>4.采购代理费收取银行账户</w:t>
            </w:r>
          </w:p>
          <w:p w14:paraId="455B70A1">
            <w:pPr>
              <w:pStyle w:val="16"/>
              <w:snapToGrid w:val="0"/>
              <w:spacing w:line="380" w:lineRule="exact"/>
              <w:rPr>
                <w:rFonts w:hint="eastAsia" w:hAnsi="宋体" w:cs="宋体"/>
                <w:color w:val="auto"/>
                <w:sz w:val="21"/>
                <w:highlight w:val="none"/>
              </w:rPr>
            </w:pPr>
            <w:r>
              <w:rPr>
                <w:rFonts w:hint="eastAsia" w:hAnsi="宋体" w:cs="宋体"/>
                <w:color w:val="auto"/>
                <w:sz w:val="21"/>
                <w:highlight w:val="none"/>
              </w:rPr>
              <w:t>开户银行:中国工商银行股份有限公司南宁市金湖北支行</w:t>
            </w:r>
          </w:p>
          <w:p w14:paraId="587CE3D0">
            <w:pPr>
              <w:pStyle w:val="16"/>
              <w:snapToGrid w:val="0"/>
              <w:spacing w:line="380" w:lineRule="exact"/>
              <w:rPr>
                <w:rFonts w:hint="eastAsia" w:hAnsi="宋体" w:cs="宋体"/>
                <w:color w:val="auto"/>
                <w:sz w:val="21"/>
                <w:highlight w:val="none"/>
              </w:rPr>
            </w:pPr>
            <w:r>
              <w:rPr>
                <w:rFonts w:hint="eastAsia" w:hAnsi="宋体" w:cs="宋体"/>
                <w:color w:val="auto"/>
                <w:sz w:val="21"/>
                <w:highlight w:val="none"/>
              </w:rPr>
              <w:t>账户名称：广西中泽诚信工程项目管理有限公司南宁分公司</w:t>
            </w:r>
          </w:p>
          <w:p w14:paraId="440784D8">
            <w:pPr>
              <w:pStyle w:val="16"/>
              <w:snapToGrid w:val="0"/>
              <w:spacing w:line="380" w:lineRule="exact"/>
              <w:rPr>
                <w:rFonts w:hAnsi="宋体" w:cs="宋体"/>
                <w:color w:val="auto"/>
                <w:sz w:val="21"/>
                <w:highlight w:val="none"/>
              </w:rPr>
            </w:pPr>
            <w:r>
              <w:rPr>
                <w:rFonts w:hint="eastAsia" w:hAnsi="宋体" w:cs="宋体"/>
                <w:color w:val="auto"/>
                <w:sz w:val="21"/>
                <w:highlight w:val="none"/>
              </w:rPr>
              <w:t>账户号码：2102132009100125431</w:t>
            </w:r>
          </w:p>
        </w:tc>
      </w:tr>
      <w:tr w14:paraId="443AF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241FF1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1" w:type="dxa"/>
            <w:tcBorders>
              <w:top w:val="single" w:color="000000" w:sz="4" w:space="0"/>
              <w:left w:val="single" w:color="000000" w:sz="4" w:space="0"/>
              <w:bottom w:val="single" w:color="000000" w:sz="4" w:space="0"/>
              <w:right w:val="single" w:color="000000" w:sz="4" w:space="0"/>
            </w:tcBorders>
            <w:vAlign w:val="center"/>
          </w:tcPr>
          <w:p w14:paraId="685E1C8B">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793" w:type="dxa"/>
            <w:tcBorders>
              <w:top w:val="single" w:color="000000" w:sz="4" w:space="0"/>
              <w:left w:val="single" w:color="000000" w:sz="4" w:space="0"/>
              <w:bottom w:val="single" w:color="000000" w:sz="4" w:space="0"/>
              <w:right w:val="single" w:color="000000" w:sz="4" w:space="0"/>
            </w:tcBorders>
            <w:vAlign w:val="center"/>
          </w:tcPr>
          <w:p w14:paraId="28C38439">
            <w:pPr>
              <w:pStyle w:val="16"/>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7BC8066F">
            <w:pPr>
              <w:pStyle w:val="16"/>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6C4B28C2">
            <w:pPr>
              <w:pStyle w:val="16"/>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7E35C0B1">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C92F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B73CA3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21" w:type="dxa"/>
            <w:tcBorders>
              <w:top w:val="single" w:color="000000" w:sz="4" w:space="0"/>
              <w:left w:val="single" w:color="000000" w:sz="4" w:space="0"/>
              <w:bottom w:val="single" w:color="000000" w:sz="4" w:space="0"/>
              <w:right w:val="single" w:color="000000" w:sz="4" w:space="0"/>
            </w:tcBorders>
            <w:vAlign w:val="center"/>
          </w:tcPr>
          <w:p w14:paraId="39DF1D3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93" w:type="dxa"/>
            <w:tcBorders>
              <w:top w:val="single" w:color="000000" w:sz="4" w:space="0"/>
              <w:left w:val="single" w:color="000000" w:sz="4" w:space="0"/>
              <w:bottom w:val="single" w:color="000000" w:sz="4" w:space="0"/>
              <w:right w:val="single" w:color="000000" w:sz="4" w:space="0"/>
            </w:tcBorders>
            <w:vAlign w:val="center"/>
          </w:tcPr>
          <w:p w14:paraId="46EE713C">
            <w:pPr>
              <w:pStyle w:val="16"/>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EEC4F27">
            <w:pPr>
              <w:pStyle w:val="16"/>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0909C00">
            <w:pPr>
              <w:pStyle w:val="16"/>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60BFCA46">
            <w:pPr>
              <w:pStyle w:val="16"/>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224BD399">
            <w:pPr>
              <w:pStyle w:val="16"/>
              <w:snapToGrid w:val="0"/>
              <w:spacing w:line="360" w:lineRule="auto"/>
              <w:rPr>
                <w:rFonts w:hint="default" w:eastAsia="宋体"/>
                <w:color w:val="auto"/>
                <w:highlight w:val="none"/>
                <w:lang w:val="en-US" w:eastAsia="zh-CN"/>
              </w:rPr>
            </w:pPr>
            <w:r>
              <w:rPr>
                <w:rFonts w:hint="eastAsia" w:hAnsi="宋体" w:cs="宋体"/>
                <w:color w:val="auto"/>
                <w:sz w:val="21"/>
                <w:highlight w:val="none"/>
              </w:rPr>
              <w:t>5.本磋商文件所称的“以上”“以下”“以内”“届满”，包括本数；所称的“不满”“超过”“以外”，不包括本数。</w:t>
            </w:r>
          </w:p>
        </w:tc>
      </w:tr>
    </w:tbl>
    <w:p w14:paraId="1E7C7EEC">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0" w:name="_Toc23846"/>
      <w:r>
        <w:rPr>
          <w:rFonts w:hint="eastAsia" w:ascii="宋体" w:hAnsi="宋体" w:cs="宋体"/>
          <w:b w:val="0"/>
          <w:color w:val="auto"/>
          <w:highlight w:val="none"/>
        </w:rPr>
        <w:t>第二节 供应商须知正文</w:t>
      </w:r>
      <w:bookmarkEnd w:id="40"/>
    </w:p>
    <w:p w14:paraId="793EE92D">
      <w:pPr>
        <w:pStyle w:val="4"/>
        <w:spacing w:before="0" w:after="0" w:line="360" w:lineRule="auto"/>
        <w:ind w:firstLine="640" w:firstLineChars="200"/>
        <w:rPr>
          <w:rFonts w:ascii="宋体" w:hAnsi="宋体" w:cs="宋体"/>
          <w:b w:val="0"/>
          <w:color w:val="auto"/>
          <w:highlight w:val="none"/>
        </w:rPr>
      </w:pPr>
      <w:bookmarkStart w:id="41" w:name="_Toc20691"/>
      <w:r>
        <w:rPr>
          <w:rFonts w:hint="eastAsia" w:ascii="宋体" w:hAnsi="宋体" w:cs="宋体"/>
          <w:b w:val="0"/>
          <w:color w:val="auto"/>
          <w:highlight w:val="none"/>
        </w:rPr>
        <w:t>一、总则</w:t>
      </w:r>
      <w:bookmarkEnd w:id="41"/>
    </w:p>
    <w:p w14:paraId="3E2993D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298710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D4598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0B91D79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FD447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292EA0B">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63FD55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E476C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6A4592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7551E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2C9B1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75C050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EB741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13412D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4B6DD0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261BC2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7B09A4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4BDC7E3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1C523C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372500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64D07E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C2EA8D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68096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202837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16B8850E">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BBC422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386BC0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0C05D0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79C4C85">
      <w:pPr>
        <w:spacing w:line="360" w:lineRule="auto"/>
        <w:ind w:firstLine="482" w:firstLineChars="200"/>
        <w:rPr>
          <w:rFonts w:ascii="宋体" w:hAnsi="宋体" w:cs="宋体"/>
          <w:b/>
          <w:bCs/>
          <w:color w:val="auto"/>
          <w:sz w:val="24"/>
          <w:highlight w:val="none"/>
        </w:rPr>
      </w:pPr>
      <w:bookmarkStart w:id="42" w:name="_Toc254970673"/>
      <w:bookmarkStart w:id="43" w:name="_Toc254970532"/>
      <w:r>
        <w:rPr>
          <w:rFonts w:hint="eastAsia" w:ascii="宋体" w:hAnsi="宋体" w:cs="宋体"/>
          <w:b/>
          <w:bCs/>
          <w:color w:val="auto"/>
          <w:sz w:val="24"/>
          <w:highlight w:val="none"/>
        </w:rPr>
        <w:t>7.特别说明</w:t>
      </w:r>
      <w:bookmarkEnd w:id="42"/>
      <w:bookmarkEnd w:id="43"/>
    </w:p>
    <w:p w14:paraId="0AD04086">
      <w:pPr>
        <w:spacing w:line="360" w:lineRule="auto"/>
        <w:ind w:firstLine="420" w:firstLineChars="200"/>
        <w:rPr>
          <w:rFonts w:ascii="宋体" w:hAnsi="宋体" w:cs="宋体"/>
          <w:color w:val="auto"/>
          <w:szCs w:val="21"/>
          <w:highlight w:val="none"/>
        </w:rPr>
      </w:pPr>
      <w:bookmarkStart w:id="44" w:name="_8.1提供相同品牌产品且通过资格审查、符合性审查的不同投标人参加同一合"/>
      <w:bookmarkEnd w:id="44"/>
      <w:r>
        <w:rPr>
          <w:rFonts w:hint="eastAsia" w:ascii="宋体" w:hAnsi="宋体" w:cs="宋体"/>
          <w:color w:val="auto"/>
          <w:szCs w:val="21"/>
          <w:highlight w:val="none"/>
        </w:rPr>
        <w:t>7.1</w:t>
      </w:r>
      <w:bookmarkStart w:id="45"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5"/>
    <w:p w14:paraId="5326B7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7DA85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E24FC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682D14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642AA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9015D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212F3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2C908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2C8C3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A2307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0E398E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727BA4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79F42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83527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E1961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BDC7D50">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2B5E1B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7D4B59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7DD81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47245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B8336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EDF8F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2AFBC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D86DD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59CEBE8">
      <w:pPr>
        <w:pStyle w:val="4"/>
        <w:spacing w:before="0" w:after="0" w:line="360" w:lineRule="auto"/>
        <w:ind w:firstLine="640" w:firstLineChars="200"/>
        <w:rPr>
          <w:rFonts w:ascii="宋体" w:hAnsi="宋体" w:cs="宋体"/>
          <w:b w:val="0"/>
          <w:bCs w:val="0"/>
          <w:color w:val="auto"/>
          <w:highlight w:val="none"/>
        </w:rPr>
      </w:pPr>
      <w:bookmarkStart w:id="46" w:name="_Toc254970534"/>
      <w:bookmarkStart w:id="47" w:name="_Toc5567"/>
      <w:bookmarkStart w:id="48" w:name="_Toc254970675"/>
      <w:r>
        <w:rPr>
          <w:rFonts w:hint="eastAsia" w:ascii="宋体" w:hAnsi="宋体" w:cs="宋体"/>
          <w:b w:val="0"/>
          <w:bCs w:val="0"/>
          <w:color w:val="auto"/>
          <w:highlight w:val="none"/>
        </w:rPr>
        <w:t>二、磋商文件</w:t>
      </w:r>
      <w:bookmarkEnd w:id="46"/>
      <w:bookmarkEnd w:id="47"/>
      <w:bookmarkEnd w:id="48"/>
    </w:p>
    <w:p w14:paraId="1330540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6C69389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044C192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4D36D17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5041C0D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7F799B4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4502162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10FCA9C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 质疑、投诉材料格式。</w:t>
      </w:r>
    </w:p>
    <w:p w14:paraId="47B0DC5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5733A9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355E61E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4999B1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3686631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108A8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E5A2F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C6AC63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6A24AEDC">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419EBBC9">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49" w:name="_Toc18770"/>
      <w:r>
        <w:rPr>
          <w:rFonts w:hint="eastAsia" w:ascii="宋体" w:hAnsi="宋体" w:cs="宋体"/>
          <w:b w:val="0"/>
          <w:bCs w:val="0"/>
          <w:color w:val="auto"/>
          <w:highlight w:val="none"/>
        </w:rPr>
        <w:t>三、响应文件的编制</w:t>
      </w:r>
      <w:bookmarkEnd w:id="49"/>
    </w:p>
    <w:p w14:paraId="6A77BEC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750B98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9F8F8E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77C280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34E22AA5">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461D5CD9">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7F0CD644">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4CD48E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727C4B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2297BF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FC045A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4D614F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729E9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4A8CFCFB">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37304671">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7C3053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29BF74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3A9D2E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5880C9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1B0B59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529BD0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0"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0"/>
    <w:p w14:paraId="0BB4418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2B7CE9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3DCFB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36448B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428020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150283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4F3D07D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476542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68F05C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0E32B1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1"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1"/>
      <w:r>
        <w:rPr>
          <w:rFonts w:hint="eastAsia" w:ascii="宋体" w:hAnsi="宋体" w:cs="宋体"/>
          <w:color w:val="auto"/>
          <w:szCs w:val="21"/>
          <w:highlight w:val="none"/>
        </w:rPr>
        <w:t>，否则其响应文件按无效响应处理。骑缝盖公章不视为在规定位置盖章。</w:t>
      </w:r>
    </w:p>
    <w:p w14:paraId="2CE3B4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06101D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010C05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0FDAE6EF">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520AEF2F">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2F829FBD">
      <w:pPr>
        <w:pStyle w:val="16"/>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0F4E95F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2B1A1B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6A4BCA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6AED88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40C7D4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B7252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10F5B4B0">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13956E5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7794D8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435891A9">
      <w:pPr>
        <w:spacing w:line="360" w:lineRule="auto"/>
        <w:ind w:firstLine="482" w:firstLineChars="200"/>
        <w:rPr>
          <w:rFonts w:ascii="宋体" w:hAnsi="宋体" w:cs="宋体"/>
          <w:b/>
          <w:bCs/>
          <w:color w:val="auto"/>
          <w:sz w:val="24"/>
          <w:highlight w:val="none"/>
        </w:rPr>
      </w:pPr>
      <w:bookmarkStart w:id="52" w:name="_Hlk45702405"/>
      <w:r>
        <w:rPr>
          <w:rFonts w:hint="eastAsia" w:ascii="宋体" w:hAnsi="宋体" w:cs="宋体"/>
          <w:b/>
          <w:bCs/>
          <w:color w:val="auto"/>
          <w:sz w:val="24"/>
          <w:highlight w:val="none"/>
        </w:rPr>
        <w:t>22. 首次响应文件的退回</w:t>
      </w:r>
    </w:p>
    <w:p w14:paraId="362342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A29E62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6AEA96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2"/>
    </w:p>
    <w:p w14:paraId="1557B7A0">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3" w:name="_Toc16642"/>
      <w:r>
        <w:rPr>
          <w:rFonts w:hint="eastAsia" w:ascii="宋体" w:hAnsi="宋体" w:cs="宋体"/>
          <w:b w:val="0"/>
          <w:bCs w:val="0"/>
          <w:color w:val="auto"/>
          <w:highlight w:val="none"/>
        </w:rPr>
        <w:t>四、评审及磋商</w:t>
      </w:r>
      <w:bookmarkEnd w:id="53"/>
    </w:p>
    <w:p w14:paraId="7D0E4AA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5A768B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9ED7D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9C02CA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3ACCD3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4E643E67">
      <w:pPr>
        <w:pStyle w:val="16"/>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49FDBD51">
      <w:pPr>
        <w:pStyle w:val="16"/>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135D263B">
      <w:pPr>
        <w:pStyle w:val="16"/>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059807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5E7E3C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6C4B5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64466D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6B3C43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6CDCDE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11EBC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C0F0E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1A0C81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50883B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666CC2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0BDFADA">
      <w:pPr>
        <w:pStyle w:val="4"/>
        <w:spacing w:before="0" w:after="0" w:line="360" w:lineRule="auto"/>
        <w:ind w:firstLine="480" w:firstLineChars="150"/>
        <w:rPr>
          <w:rFonts w:ascii="宋体" w:hAnsi="宋体" w:cs="宋体"/>
          <w:b w:val="0"/>
          <w:bCs w:val="0"/>
          <w:color w:val="auto"/>
          <w:highlight w:val="none"/>
        </w:rPr>
      </w:pPr>
      <w:bookmarkStart w:id="54" w:name="_Toc5736"/>
      <w:r>
        <w:rPr>
          <w:rFonts w:hint="eastAsia" w:ascii="宋体" w:hAnsi="宋体" w:cs="宋体"/>
          <w:b w:val="0"/>
          <w:bCs w:val="0"/>
          <w:color w:val="auto"/>
          <w:highlight w:val="none"/>
        </w:rPr>
        <w:t>五、成交及合同</w:t>
      </w:r>
      <w:bookmarkEnd w:id="54"/>
    </w:p>
    <w:p w14:paraId="2819DE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63095B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6DF954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w:t>
      </w:r>
      <w:r>
        <w:rPr>
          <w:rFonts w:hint="eastAsia" w:ascii="宋体" w:hAnsi="宋体" w:cs="宋体"/>
          <w:color w:val="auto"/>
          <w:szCs w:val="21"/>
          <w:highlight w:val="none"/>
        </w:rPr>
        <w:t>同时向成交供应商发出成交通知书，成交通知书规定签订合同的时间不得超过25日。</w:t>
      </w:r>
    </w:p>
    <w:p w14:paraId="4460C3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7D61C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08E013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3309EE0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6FE41780">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0F7C53B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1F87EE0A">
      <w:pPr>
        <w:pStyle w:val="39"/>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39080C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131FD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82113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4D1CDE55">
      <w:pPr>
        <w:pStyle w:val="39"/>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1549F2D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5D2459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506317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114E2D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272BEE5">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0224B54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7F0B5E7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AFA365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49C40F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CEC2D9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5DDA7E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12D28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220A9FF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E8AEF8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767E086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2C59B7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165829B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72CACB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8EF72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57ECD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1AE38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8FA9D1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5" w:name="_Toc80205930"/>
    </w:p>
    <w:p w14:paraId="63486F76">
      <w:pPr>
        <w:pStyle w:val="4"/>
        <w:spacing w:before="0" w:after="0" w:line="360" w:lineRule="auto"/>
        <w:ind w:firstLine="315" w:firstLineChars="98"/>
        <w:rPr>
          <w:rFonts w:ascii="宋体" w:hAnsi="宋体" w:cs="宋体"/>
          <w:b w:val="0"/>
          <w:color w:val="auto"/>
          <w:highlight w:val="none"/>
        </w:rPr>
      </w:pPr>
      <w:bookmarkStart w:id="56"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5"/>
      <w:bookmarkEnd w:id="56"/>
    </w:p>
    <w:p w14:paraId="4AFA85B8">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579A9845">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9B67052">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265D296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130A8C">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10BEDB">
      <w:pPr>
        <w:pStyle w:val="4"/>
        <w:spacing w:before="0" w:after="0" w:line="360" w:lineRule="auto"/>
        <w:ind w:firstLine="320" w:firstLineChars="100"/>
        <w:rPr>
          <w:rFonts w:ascii="宋体" w:hAnsi="宋体" w:cs="宋体"/>
          <w:b w:val="0"/>
          <w:bCs w:val="0"/>
          <w:color w:val="auto"/>
          <w:highlight w:val="none"/>
        </w:rPr>
      </w:pPr>
      <w:bookmarkStart w:id="57" w:name="_Toc14884"/>
      <w:r>
        <w:rPr>
          <w:rFonts w:hint="eastAsia" w:ascii="宋体" w:hAnsi="宋体" w:cs="宋体"/>
          <w:b w:val="0"/>
          <w:bCs w:val="0"/>
          <w:color w:val="auto"/>
          <w:highlight w:val="none"/>
        </w:rPr>
        <w:t>七、其他事项</w:t>
      </w:r>
      <w:bookmarkEnd w:id="57"/>
    </w:p>
    <w:p w14:paraId="5394323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2D8BA2FA">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51D0AB0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D2179CB">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53349C7C">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2B008950">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01606579">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719EC4BA">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518F21C0">
      <w:pPr>
        <w:pStyle w:val="16"/>
        <w:numPr>
          <w:ilvl w:val="0"/>
          <w:numId w:val="0"/>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br w:type="page"/>
      </w:r>
    </w:p>
    <w:p w14:paraId="2E980B78">
      <w:pPr>
        <w:pStyle w:val="2"/>
        <w:jc w:val="center"/>
        <w:rPr>
          <w:rFonts w:ascii="宋体" w:hAnsi="宋体" w:cs="宋体"/>
          <w:color w:val="auto"/>
          <w:highlight w:val="none"/>
        </w:rPr>
      </w:pPr>
      <w:bookmarkStart w:id="58" w:name="_Toc25106"/>
      <w:r>
        <w:rPr>
          <w:rFonts w:hint="eastAsia" w:ascii="宋体" w:hAnsi="宋体" w:cs="宋体"/>
          <w:color w:val="auto"/>
          <w:highlight w:val="none"/>
        </w:rPr>
        <w:t>第四章  评审程序、评审方法和评审标准</w:t>
      </w:r>
      <w:bookmarkEnd w:id="58"/>
    </w:p>
    <w:p w14:paraId="0034BE41">
      <w:pPr>
        <w:pStyle w:val="3"/>
        <w:jc w:val="center"/>
        <w:rPr>
          <w:rFonts w:ascii="宋体" w:hAnsi="宋体" w:cs="宋体"/>
          <w:b w:val="0"/>
          <w:color w:val="auto"/>
          <w:highlight w:val="none"/>
        </w:rPr>
      </w:pPr>
      <w:bookmarkStart w:id="59" w:name="_Toc30181"/>
      <w:r>
        <w:rPr>
          <w:rFonts w:hint="eastAsia" w:ascii="宋体" w:hAnsi="宋体" w:cs="宋体"/>
          <w:b w:val="0"/>
          <w:color w:val="auto"/>
          <w:highlight w:val="none"/>
        </w:rPr>
        <w:t>第一节 评审程序和评审方法</w:t>
      </w:r>
      <w:bookmarkEnd w:id="59"/>
    </w:p>
    <w:p w14:paraId="66B605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6E401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0960F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031FB8D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0627187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6F2B9C3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1"/>
          <w:rFonts w:hint="eastAsia" w:ascii="宋体" w:hAnsi="宋体" w:cs="宋体"/>
          <w:color w:val="auto"/>
          <w:highlight w:val="none"/>
        </w:rPr>
        <w:t>www.creditchina.gov.cn</w:t>
      </w:r>
      <w:r>
        <w:rPr>
          <w:rStyle w:val="31"/>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1"/>
          <w:rFonts w:hint="eastAsia" w:ascii="宋体" w:hAnsi="宋体" w:cs="宋体"/>
          <w:color w:val="auto"/>
          <w:highlight w:val="none"/>
        </w:rPr>
        <w:t>www.ccgp.gov.cn</w:t>
      </w:r>
      <w:r>
        <w:rPr>
          <w:rStyle w:val="31"/>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15B1681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F423D2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1F8A1B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92646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AF4F7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2BDECCF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40CF9A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23FDCC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0604E569">
      <w:pPr>
        <w:spacing w:line="360" w:lineRule="auto"/>
        <w:ind w:firstLine="420" w:firstLineChars="200"/>
        <w:rPr>
          <w:rFonts w:ascii="宋体" w:hAnsi="宋体" w:cs="宋体"/>
          <w:color w:val="auto"/>
          <w:szCs w:val="21"/>
          <w:highlight w:val="none"/>
        </w:rPr>
      </w:pPr>
      <w:bookmarkStart w:id="60"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0"/>
    </w:p>
    <w:p w14:paraId="2B047B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4E77251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797E64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01BD8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854B01">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5E626330">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2B7F0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68DB5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E4082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93AAC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7080D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A61E1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5F4B01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1E778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5C8485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465FF3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14DF3D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ACA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414AE5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22E6C3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792D1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5E2CC5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75AF97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185855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0E6902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76719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39BA02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61F8BA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22BC08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325CF9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4D138A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2C98EE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6F709B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035D7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A793B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83F6E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310010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5AD78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893263B">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003E5DD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DBA90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534D9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58B9AE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6F718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79638791">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5DE9AF0C">
      <w:pPr>
        <w:pStyle w:val="39"/>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03A18DF6">
      <w:pPr>
        <w:pStyle w:val="39"/>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31C9F441">
      <w:pPr>
        <w:pStyle w:val="39"/>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6842E965">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3283396D">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53E82756">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432CE3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7986AC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84E36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F53D8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15254B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2F04F5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34BEF6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C905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4C4073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73461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45B9BF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3669B8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1493B6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5F9C2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67149974">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53C803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40C220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34A7A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DA4D0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72EAC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1B134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7E12A1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0256991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0460373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1940C87">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01EEBB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38CBFB96">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35982023">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257B77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3959C5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总得分=1+2+3</w:t>
      </w:r>
    </w:p>
    <w:tbl>
      <w:tblPr>
        <w:tblStyle w:val="2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0A72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08AE3B14">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6CE2E429">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1B2782F5">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44C86101">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4FF9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2A1EC348">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311480D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w:t>
            </w:r>
          </w:p>
        </w:tc>
        <w:tc>
          <w:tcPr>
            <w:tcW w:w="7110" w:type="dxa"/>
          </w:tcPr>
          <w:p w14:paraId="6CBB10C7">
            <w:pPr>
              <w:snapToGrid w:val="0"/>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（1）本项目为专门面向</w:t>
            </w:r>
            <w:r>
              <w:rPr>
                <w:rFonts w:hint="eastAsia" w:ascii="宋体" w:hAnsi="宋体" w:cs="宋体"/>
                <w:bCs/>
                <w:color w:val="auto"/>
                <w:szCs w:val="21"/>
                <w:highlight w:val="none"/>
                <w:lang w:val="en-US" w:eastAsia="zh-CN"/>
              </w:rPr>
              <w:t>小微</w:t>
            </w:r>
            <w:r>
              <w:rPr>
                <w:rFonts w:hint="eastAsia" w:ascii="宋体" w:hAnsi="宋体" w:eastAsia="宋体" w:cs="宋体"/>
                <w:bCs/>
                <w:color w:val="auto"/>
                <w:szCs w:val="21"/>
                <w:highlight w:val="none"/>
              </w:rPr>
              <w:t>企业采购项目，不执行价格扣除优惠政策，评审报价＝最后报价；</w:t>
            </w:r>
          </w:p>
          <w:p w14:paraId="27E803F1">
            <w:pPr>
              <w:snapToGrid w:val="0"/>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716A5A4B">
            <w:pPr>
              <w:snapToGrid w:val="0"/>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68CFB16E">
            <w:pPr>
              <w:pStyle w:val="16"/>
              <w:spacing w:line="360" w:lineRule="exact"/>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（4）以进入比较与评价环节的评审报价</w:t>
            </w:r>
            <w:r>
              <w:rPr>
                <w:rFonts w:hint="eastAsia" w:ascii="宋体" w:hAnsi="宋体" w:eastAsia="宋体" w:cs="宋体"/>
                <w:bCs/>
                <w:color w:val="auto"/>
                <w:kern w:val="2"/>
                <w:sz w:val="21"/>
                <w:highlight w:val="none"/>
                <w:lang w:val="en-US" w:eastAsia="zh-CN"/>
              </w:rPr>
              <w:t>最低的</w:t>
            </w:r>
            <w:r>
              <w:rPr>
                <w:rFonts w:hint="eastAsia" w:ascii="宋体" w:hAnsi="宋体" w:eastAsia="宋体" w:cs="宋体"/>
                <w:bCs/>
                <w:color w:val="auto"/>
                <w:kern w:val="2"/>
                <w:sz w:val="21"/>
                <w:highlight w:val="none"/>
              </w:rPr>
              <w:t>为基准价，基准价得分为</w:t>
            </w:r>
            <w:r>
              <w:rPr>
                <w:rFonts w:hint="eastAsia" w:ascii="宋体" w:hAnsi="宋体" w:eastAsia="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20</w:t>
            </w:r>
            <w:r>
              <w:rPr>
                <w:rFonts w:hint="eastAsia" w:ascii="宋体" w:hAnsi="宋体" w:eastAsia="宋体" w:cs="宋体"/>
                <w:bCs/>
                <w:color w:val="auto"/>
                <w:kern w:val="2"/>
                <w:sz w:val="21"/>
                <w:highlight w:val="none"/>
                <w:u w:val="single"/>
              </w:rPr>
              <w:t xml:space="preserve"> </w:t>
            </w:r>
            <w:r>
              <w:rPr>
                <w:rFonts w:hint="eastAsia" w:ascii="宋体" w:hAnsi="宋体" w:eastAsia="宋体" w:cs="宋体"/>
                <w:bCs/>
                <w:color w:val="auto"/>
                <w:kern w:val="2"/>
                <w:sz w:val="21"/>
                <w:highlight w:val="none"/>
              </w:rPr>
              <w:t>分。</w:t>
            </w:r>
          </w:p>
          <w:p w14:paraId="02315F01">
            <w:pPr>
              <w:pStyle w:val="16"/>
              <w:spacing w:line="360" w:lineRule="exact"/>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（5）价格分计算公式：</w:t>
            </w:r>
          </w:p>
          <w:p w14:paraId="5160E075">
            <w:pPr>
              <w:pStyle w:val="16"/>
              <w:spacing w:line="360" w:lineRule="exact"/>
              <w:ind w:firstLine="420" w:firstLineChars="200"/>
              <w:rPr>
                <w:rFonts w:hAnsi="宋体" w:cs="宋体"/>
                <w:bCs/>
                <w:color w:val="auto"/>
                <w:sz w:val="21"/>
                <w:highlight w:val="none"/>
              </w:rPr>
            </w:pPr>
            <w:r>
              <w:rPr>
                <w:rFonts w:hint="eastAsia" w:ascii="宋体" w:hAnsi="宋体" w:eastAsia="宋体" w:cs="宋体"/>
                <w:bCs/>
                <w:color w:val="auto"/>
                <w:kern w:val="2"/>
                <w:sz w:val="21"/>
                <w:highlight w:val="none"/>
              </w:rPr>
              <w:t>报价得分=基准价/</w:t>
            </w:r>
            <w:r>
              <w:rPr>
                <w:rFonts w:hint="eastAsia" w:ascii="宋体" w:hAnsi="宋体" w:eastAsia="宋体" w:cs="宋体"/>
                <w:bCs/>
                <w:color w:val="auto"/>
                <w:kern w:val="2"/>
                <w:sz w:val="21"/>
                <w:highlight w:val="none"/>
                <w:lang w:val="en-US" w:eastAsia="zh-CN"/>
              </w:rPr>
              <w:t>评审报价</w:t>
            </w:r>
            <w:r>
              <w:rPr>
                <w:rFonts w:hint="eastAsia" w:ascii="宋体" w:hAnsi="宋体" w:eastAsia="宋体" w:cs="宋体"/>
                <w:bCs/>
                <w:color w:val="auto"/>
                <w:kern w:val="2"/>
                <w:sz w:val="21"/>
                <w:highlight w:val="none"/>
              </w:rPr>
              <w:t>×</w:t>
            </w:r>
            <w:r>
              <w:rPr>
                <w:rFonts w:hint="eastAsia" w:ascii="宋体" w:hAnsi="宋体" w:eastAsia="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20</w:t>
            </w:r>
            <w:r>
              <w:rPr>
                <w:rFonts w:hint="eastAsia" w:ascii="宋体" w:hAnsi="宋体" w:eastAsia="宋体" w:cs="宋体"/>
                <w:bCs/>
                <w:color w:val="auto"/>
                <w:kern w:val="2"/>
                <w:sz w:val="21"/>
                <w:highlight w:val="none"/>
                <w:u w:val="single"/>
              </w:rPr>
              <w:t xml:space="preserve"> </w:t>
            </w:r>
            <w:r>
              <w:rPr>
                <w:rFonts w:hint="eastAsia" w:ascii="宋体" w:hAnsi="宋体" w:eastAsia="宋体" w:cs="宋体"/>
                <w:bCs/>
                <w:color w:val="auto"/>
                <w:kern w:val="2"/>
                <w:sz w:val="21"/>
                <w:highlight w:val="none"/>
              </w:rPr>
              <w:t>分</w:t>
            </w:r>
          </w:p>
        </w:tc>
        <w:tc>
          <w:tcPr>
            <w:tcW w:w="772" w:type="dxa"/>
            <w:vAlign w:val="center"/>
          </w:tcPr>
          <w:p w14:paraId="5C102E32">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tc>
      </w:tr>
      <w:tr w14:paraId="4C87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38DBE37E">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22AAD2D0">
            <w:pPr>
              <w:widowControl/>
              <w:spacing w:line="360" w:lineRule="exact"/>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施工组织设计</w:t>
            </w:r>
            <w:r>
              <w:rPr>
                <w:rFonts w:ascii="宋体" w:hAnsi="宋体" w:cs="宋体"/>
                <w:b/>
                <w:color w:val="auto"/>
                <w:kern w:val="0"/>
                <w:szCs w:val="21"/>
                <w:highlight w:val="none"/>
              </w:rPr>
              <w:t>评分标准</w:t>
            </w:r>
          </w:p>
        </w:tc>
        <w:tc>
          <w:tcPr>
            <w:tcW w:w="7110" w:type="dxa"/>
            <w:vAlign w:val="center"/>
          </w:tcPr>
          <w:p w14:paraId="2932259E">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E92007F">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65</w:t>
            </w:r>
            <w:r>
              <w:rPr>
                <w:rFonts w:hint="eastAsia" w:ascii="宋体" w:hAnsi="宋体" w:cs="宋体"/>
                <w:b/>
                <w:color w:val="auto"/>
                <w:kern w:val="0"/>
                <w:szCs w:val="21"/>
                <w:highlight w:val="none"/>
              </w:rPr>
              <w:t>分</w:t>
            </w:r>
          </w:p>
        </w:tc>
      </w:tr>
      <w:tr w14:paraId="5CBF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D5A8F77">
            <w:pPr>
              <w:adjustRightInd w:val="0"/>
              <w:spacing w:line="360" w:lineRule="exact"/>
              <w:ind w:left="-105" w:leftChars="-50" w:right="-105" w:rightChars="-50"/>
              <w:jc w:val="center"/>
              <w:textAlignment w:val="baseline"/>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2.1</w:t>
            </w:r>
          </w:p>
        </w:tc>
        <w:tc>
          <w:tcPr>
            <w:tcW w:w="1086" w:type="dxa"/>
            <w:vAlign w:val="center"/>
          </w:tcPr>
          <w:p w14:paraId="5BD228C6">
            <w:pPr>
              <w:widowControl/>
              <w:spacing w:line="48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主要施工方法</w:t>
            </w:r>
          </w:p>
        </w:tc>
        <w:tc>
          <w:tcPr>
            <w:tcW w:w="7110" w:type="dxa"/>
            <w:vAlign w:val="center"/>
          </w:tcPr>
          <w:p w14:paraId="485C19B2">
            <w:pPr>
              <w:spacing w:line="500" w:lineRule="exact"/>
              <w:rPr>
                <w:rFonts w:ascii="宋体" w:hAnsi="宋体" w:cs="宋体"/>
                <w:bCs/>
                <w:color w:val="auto"/>
                <w:highlight w:val="none"/>
              </w:rPr>
            </w:pPr>
            <w:r>
              <w:rPr>
                <w:rFonts w:hint="eastAsia" w:ascii="宋体" w:hAnsi="宋体" w:cs="宋体"/>
                <w:bCs/>
                <w:color w:val="auto"/>
                <w:highlight w:val="none"/>
                <w:lang w:val="en-US" w:eastAsia="zh-CN"/>
              </w:rPr>
              <w:t>一</w:t>
            </w:r>
            <w:r>
              <w:rPr>
                <w:rFonts w:hint="eastAsia" w:ascii="宋体" w:hAnsi="宋体" w:cs="宋体"/>
                <w:bCs/>
                <w:color w:val="auto"/>
                <w:highlight w:val="none"/>
              </w:rPr>
              <w:t>档（10分）：</w:t>
            </w:r>
            <w:r>
              <w:rPr>
                <w:rFonts w:ascii="Calibri" w:hAnsi="Calibri"/>
                <w:color w:val="auto"/>
                <w:szCs w:val="22"/>
                <w:highlight w:val="none"/>
              </w:rPr>
              <w:t>各主要分部施工方法符合项目实际，有详尽的施工技术方案，工艺先进、方法科学合理、可行，完全能指导具体施工并确保安全。</w:t>
            </w:r>
          </w:p>
          <w:p w14:paraId="3032D929">
            <w:pPr>
              <w:spacing w:line="400" w:lineRule="exact"/>
              <w:rPr>
                <w:rFonts w:ascii="宋体" w:hAnsi="宋体" w:cs="宋体"/>
                <w:bCs/>
                <w:color w:val="auto"/>
                <w:highlight w:val="none"/>
              </w:rPr>
            </w:pPr>
            <w:r>
              <w:rPr>
                <w:rFonts w:hint="eastAsia" w:ascii="宋体" w:hAnsi="宋体" w:cs="宋体"/>
                <w:bCs/>
                <w:color w:val="auto"/>
                <w:highlight w:val="none"/>
              </w:rPr>
              <w:t>二档（7分）：</w:t>
            </w:r>
            <w:r>
              <w:rPr>
                <w:rFonts w:ascii="Calibri" w:hAnsi="Calibri"/>
                <w:color w:val="auto"/>
                <w:szCs w:val="22"/>
                <w:highlight w:val="none"/>
              </w:rPr>
              <w:t>各主要分部施工方法符合项目实际，施工技术方案基本详细，工艺较先进、方法较科学合理、可行，能较好地指导具体施工并确保安全。</w:t>
            </w:r>
          </w:p>
          <w:p w14:paraId="332AB55D">
            <w:pPr>
              <w:spacing w:line="500" w:lineRule="exact"/>
              <w:rPr>
                <w:rFonts w:hint="eastAsia" w:ascii="宋体" w:hAnsi="宋体" w:cs="宋体"/>
                <w:bCs/>
                <w:color w:val="auto"/>
                <w:highlight w:val="none"/>
              </w:rPr>
            </w:pPr>
            <w:r>
              <w:rPr>
                <w:rFonts w:hint="eastAsia" w:ascii="宋体" w:hAnsi="宋体" w:cs="宋体"/>
                <w:bCs/>
                <w:color w:val="auto"/>
                <w:highlight w:val="none"/>
              </w:rPr>
              <w:t>三档（4分）：</w:t>
            </w:r>
            <w:r>
              <w:rPr>
                <w:rFonts w:ascii="Calibri" w:hAnsi="Calibri"/>
                <w:color w:val="auto"/>
                <w:szCs w:val="22"/>
                <w:highlight w:val="none"/>
              </w:rPr>
              <w:t>各主要分部施工方法基本符合项目实际，施工技术方案基本详细，工艺较先进、方法较科学合理、可行，基本能指导具体施工并确保安全。</w:t>
            </w:r>
            <w:r>
              <w:rPr>
                <w:rFonts w:hint="eastAsia" w:ascii="宋体" w:hAnsi="宋体" w:cs="宋体"/>
                <w:bCs/>
                <w:color w:val="auto"/>
                <w:highlight w:val="none"/>
              </w:rPr>
              <w:t xml:space="preserve"> </w:t>
            </w:r>
          </w:p>
          <w:p w14:paraId="76A47915">
            <w:pPr>
              <w:spacing w:line="500" w:lineRule="exact"/>
              <w:rPr>
                <w:rFonts w:ascii="宋体" w:hAnsi="宋体" w:cs="宋体"/>
                <w:bCs/>
                <w:color w:val="auto"/>
                <w:kern w:val="0"/>
                <w:szCs w:val="21"/>
                <w:highlight w:val="none"/>
              </w:rPr>
            </w:pPr>
            <w:r>
              <w:rPr>
                <w:rFonts w:hint="eastAsia" w:ascii="宋体" w:hAnsi="宋体" w:cs="宋体"/>
                <w:bCs/>
                <w:color w:val="auto"/>
                <w:highlight w:val="none"/>
              </w:rPr>
              <w:t>四档（1分）：</w:t>
            </w:r>
            <w:r>
              <w:rPr>
                <w:rFonts w:ascii="Calibri" w:hAnsi="Calibri"/>
                <w:color w:val="auto"/>
                <w:szCs w:val="22"/>
                <w:highlight w:val="none"/>
              </w:rPr>
              <w:t>各主要分部施工方法不符合项目实际，没有详尽的施工技术方案，工艺不先进、方法不科学合理、可行，不能指导具体施工并确保安全。</w:t>
            </w:r>
          </w:p>
        </w:tc>
        <w:tc>
          <w:tcPr>
            <w:tcW w:w="772" w:type="dxa"/>
            <w:vAlign w:val="center"/>
          </w:tcPr>
          <w:p w14:paraId="7BB44631">
            <w:pPr>
              <w:widowControl/>
              <w:spacing w:line="48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rPr>
              <w:t>10分</w:t>
            </w:r>
          </w:p>
        </w:tc>
      </w:tr>
      <w:tr w14:paraId="1F15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22D0357">
            <w:pPr>
              <w:adjustRightInd w:val="0"/>
              <w:spacing w:line="36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rPr>
              <w:t>2.2</w:t>
            </w:r>
          </w:p>
        </w:tc>
        <w:tc>
          <w:tcPr>
            <w:tcW w:w="1086" w:type="dxa"/>
            <w:vAlign w:val="center"/>
          </w:tcPr>
          <w:p w14:paraId="588C6B63">
            <w:pPr>
              <w:widowControl/>
              <w:spacing w:line="48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拟投入的主要物资计划</w:t>
            </w:r>
          </w:p>
        </w:tc>
        <w:tc>
          <w:tcPr>
            <w:tcW w:w="7110" w:type="dxa"/>
            <w:vAlign w:val="center"/>
          </w:tcPr>
          <w:p w14:paraId="28D58F95">
            <w:pPr>
              <w:spacing w:line="400" w:lineRule="exact"/>
              <w:rPr>
                <w:rFonts w:ascii="宋体" w:hAnsi="宋体" w:cs="宋体"/>
                <w:bCs/>
                <w:color w:val="auto"/>
                <w:highlight w:val="none"/>
              </w:rPr>
            </w:pPr>
            <w:r>
              <w:rPr>
                <w:rFonts w:hint="eastAsia" w:ascii="宋体" w:hAnsi="宋体" w:cs="宋体"/>
                <w:bCs/>
                <w:color w:val="auto"/>
                <w:highlight w:val="none"/>
              </w:rPr>
              <w:t>一档（5分）：</w:t>
            </w:r>
            <w:r>
              <w:rPr>
                <w:rFonts w:hint="eastAsia" w:ascii="宋体" w:hAnsi="宋体"/>
                <w:color w:val="auto"/>
                <w:highlight w:val="none"/>
              </w:rPr>
              <w:t>投入的施工材料有详细的组织计划且计划周密，数量、选型配置、进场时间安排合理， 完全满足施工需要。</w:t>
            </w:r>
          </w:p>
          <w:p w14:paraId="42F418BC">
            <w:pPr>
              <w:spacing w:line="500" w:lineRule="exact"/>
              <w:rPr>
                <w:rFonts w:ascii="Calibri" w:hAnsi="Calibri"/>
                <w:color w:val="auto"/>
                <w:szCs w:val="22"/>
                <w:highlight w:val="none"/>
              </w:rPr>
            </w:pPr>
            <w:r>
              <w:rPr>
                <w:rFonts w:hint="eastAsia" w:ascii="宋体" w:hAnsi="宋体" w:cs="宋体"/>
                <w:bCs/>
                <w:color w:val="auto"/>
                <w:highlight w:val="none"/>
              </w:rPr>
              <w:t>二档（</w:t>
            </w:r>
            <w:r>
              <w:rPr>
                <w:rFonts w:hint="eastAsia" w:ascii="宋体" w:hAnsi="宋体" w:cs="宋体"/>
                <w:bCs/>
                <w:color w:val="auto"/>
                <w:highlight w:val="none"/>
                <w:lang w:val="en-US" w:eastAsia="zh-CN"/>
              </w:rPr>
              <w:t>4</w:t>
            </w:r>
            <w:r>
              <w:rPr>
                <w:rFonts w:hint="eastAsia" w:ascii="宋体" w:hAnsi="宋体" w:cs="宋体"/>
                <w:bCs/>
                <w:color w:val="auto"/>
                <w:highlight w:val="none"/>
              </w:rPr>
              <w:t>分）：</w:t>
            </w:r>
            <w:r>
              <w:rPr>
                <w:rFonts w:ascii="Calibri" w:hAnsi="Calibri"/>
                <w:color w:val="auto"/>
                <w:szCs w:val="22"/>
                <w:highlight w:val="none"/>
              </w:rPr>
              <w:t>投入的施工材料有较详细的组织计划且计划周密，数量、选型配置、进场时间安排较为合理，能较好满足施工需要。</w:t>
            </w:r>
          </w:p>
          <w:p w14:paraId="2291CA96">
            <w:pPr>
              <w:spacing w:line="500" w:lineRule="exact"/>
              <w:rPr>
                <w:rFonts w:ascii="宋体" w:hAnsi="宋体" w:cs="宋体"/>
                <w:bCs/>
                <w:color w:val="auto"/>
                <w:highlight w:val="none"/>
              </w:rPr>
            </w:pPr>
            <w:r>
              <w:rPr>
                <w:rFonts w:hint="eastAsia" w:ascii="宋体" w:hAnsi="宋体" w:cs="宋体"/>
                <w:bCs/>
                <w:color w:val="auto"/>
                <w:highlight w:val="none"/>
              </w:rPr>
              <w:t>三档（</w:t>
            </w:r>
            <w:r>
              <w:rPr>
                <w:rFonts w:hint="eastAsia" w:ascii="宋体" w:hAnsi="宋体" w:cs="宋体"/>
                <w:bCs/>
                <w:color w:val="auto"/>
                <w:highlight w:val="none"/>
                <w:lang w:val="en-US" w:eastAsia="zh-CN"/>
              </w:rPr>
              <w:t>2</w:t>
            </w:r>
            <w:r>
              <w:rPr>
                <w:rFonts w:hint="eastAsia" w:ascii="宋体" w:hAnsi="宋体" w:cs="宋体"/>
                <w:bCs/>
                <w:color w:val="auto"/>
                <w:highlight w:val="none"/>
              </w:rPr>
              <w:t>分）：</w:t>
            </w:r>
            <w:r>
              <w:rPr>
                <w:rFonts w:ascii="Calibri" w:hAnsi="Calibri"/>
                <w:color w:val="auto"/>
                <w:szCs w:val="22"/>
                <w:highlight w:val="none"/>
              </w:rPr>
              <w:t>投入的施工材料有组织计划，数量、选型配置、进场时间基本安排合理，基本能满足施工需要。</w:t>
            </w:r>
          </w:p>
          <w:p w14:paraId="373F4301">
            <w:pPr>
              <w:spacing w:line="500" w:lineRule="exact"/>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highlight w:val="none"/>
              </w:rPr>
              <w:t>四档（</w:t>
            </w:r>
            <w:r>
              <w:rPr>
                <w:rFonts w:hint="eastAsia" w:ascii="宋体" w:hAnsi="宋体" w:cs="宋体"/>
                <w:bCs/>
                <w:color w:val="auto"/>
                <w:highlight w:val="none"/>
                <w:lang w:val="en-US" w:eastAsia="zh-CN"/>
              </w:rPr>
              <w:t>1</w:t>
            </w:r>
            <w:r>
              <w:rPr>
                <w:rFonts w:hint="eastAsia" w:ascii="宋体" w:hAnsi="宋体" w:cs="宋体"/>
                <w:bCs/>
                <w:color w:val="auto"/>
                <w:highlight w:val="none"/>
              </w:rPr>
              <w:t>分）：</w:t>
            </w:r>
            <w:r>
              <w:rPr>
                <w:rFonts w:ascii="Calibri" w:hAnsi="Calibri"/>
                <w:color w:val="auto"/>
                <w:szCs w:val="22"/>
                <w:highlight w:val="none"/>
              </w:rPr>
              <w:t>投入的施工材料没有详细的组织计划且计划不周密， 数量、选型配置、进场时间安排不清晰合理，不能满足施工需要。</w:t>
            </w:r>
          </w:p>
        </w:tc>
        <w:tc>
          <w:tcPr>
            <w:tcW w:w="772" w:type="dxa"/>
            <w:vAlign w:val="center"/>
          </w:tcPr>
          <w:p w14:paraId="7E40FF86">
            <w:pPr>
              <w:widowControl/>
              <w:spacing w:line="480" w:lineRule="exact"/>
              <w:jc w:val="center"/>
              <w:rPr>
                <w:rFonts w:hint="default" w:ascii="宋体" w:hAnsi="宋体" w:cs="宋体"/>
                <w:color w:val="auto"/>
                <w:kern w:val="0"/>
                <w:szCs w:val="21"/>
                <w:highlight w:val="none"/>
                <w:lang w:val="en-US" w:eastAsia="zh-CN"/>
              </w:rPr>
            </w:pPr>
            <w:r>
              <w:rPr>
                <w:rFonts w:hint="eastAsia" w:ascii="宋体" w:hAnsi="宋体" w:cs="宋体"/>
                <w:bCs/>
                <w:color w:val="auto"/>
                <w:kern w:val="0"/>
                <w:szCs w:val="21"/>
                <w:highlight w:val="none"/>
              </w:rPr>
              <w:t>5分</w:t>
            </w:r>
          </w:p>
        </w:tc>
      </w:tr>
      <w:tr w14:paraId="7432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05B0C0F">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2.3</w:t>
            </w:r>
          </w:p>
        </w:tc>
        <w:tc>
          <w:tcPr>
            <w:tcW w:w="1086" w:type="dxa"/>
            <w:shd w:val="clear" w:color="auto" w:fill="auto"/>
            <w:vAlign w:val="center"/>
          </w:tcPr>
          <w:p w14:paraId="6187914B">
            <w:pPr>
              <w:widowControl/>
              <w:spacing w:line="48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拟投入的主要施工机械、设备计划</w:t>
            </w:r>
          </w:p>
        </w:tc>
        <w:tc>
          <w:tcPr>
            <w:tcW w:w="7110" w:type="dxa"/>
            <w:shd w:val="clear" w:color="auto" w:fill="auto"/>
            <w:vAlign w:val="center"/>
          </w:tcPr>
          <w:p w14:paraId="202CECFD">
            <w:pPr>
              <w:spacing w:line="500" w:lineRule="exact"/>
              <w:rPr>
                <w:rFonts w:hint="eastAsia" w:ascii="宋体" w:hAnsi="宋体"/>
                <w:color w:val="auto"/>
                <w:highlight w:val="none"/>
              </w:rPr>
            </w:pPr>
            <w:r>
              <w:rPr>
                <w:rFonts w:hint="eastAsia" w:ascii="宋体" w:hAnsi="宋体" w:cs="宋体"/>
                <w:bCs/>
                <w:color w:val="auto"/>
                <w:highlight w:val="none"/>
              </w:rPr>
              <w:t>一档（5分）</w:t>
            </w:r>
            <w:r>
              <w:rPr>
                <w:rFonts w:hint="eastAsia" w:ascii="宋体" w:hAnsi="宋体"/>
                <w:color w:val="auto"/>
                <w:highlight w:val="none"/>
              </w:rPr>
              <w:t>：拟投入的主要机械设备、辅助施工设备、器具齐全且配备科学合理，设备型号、数量完全满足施工需要且配置科学合理，采用目前国际、国内先进的机械设备。</w:t>
            </w:r>
          </w:p>
          <w:p w14:paraId="47EC18C3">
            <w:pPr>
              <w:spacing w:line="500" w:lineRule="exact"/>
              <w:rPr>
                <w:rFonts w:ascii="Calibri" w:hAnsi="Calibri"/>
                <w:color w:val="auto"/>
                <w:szCs w:val="22"/>
                <w:highlight w:val="none"/>
              </w:rPr>
            </w:pPr>
            <w:r>
              <w:rPr>
                <w:rFonts w:hint="eastAsia" w:ascii="宋体" w:hAnsi="宋体" w:cs="宋体"/>
                <w:bCs/>
                <w:color w:val="auto"/>
                <w:highlight w:val="none"/>
              </w:rPr>
              <w:t>二档（4分）</w:t>
            </w:r>
            <w:r>
              <w:rPr>
                <w:rFonts w:ascii="Calibri" w:hAnsi="Calibri"/>
                <w:color w:val="auto"/>
                <w:szCs w:val="22"/>
                <w:highlight w:val="none"/>
              </w:rPr>
              <w:t>：拟投入的主要机械设备、辅助施工设备、器具齐全且配备较合理，设备型号、数量满足施工需要且配置科学合理，部分设备采用目前国际、国内先进的机械设备。</w:t>
            </w:r>
          </w:p>
          <w:p w14:paraId="4C5A532B">
            <w:pPr>
              <w:spacing w:line="500" w:lineRule="exact"/>
              <w:rPr>
                <w:rFonts w:hint="eastAsia" w:ascii="宋体" w:hAnsi="宋体"/>
                <w:color w:val="auto"/>
                <w:highlight w:val="none"/>
              </w:rPr>
            </w:pPr>
            <w:r>
              <w:rPr>
                <w:rFonts w:hint="eastAsia" w:ascii="宋体" w:hAnsi="宋体" w:cs="宋体"/>
                <w:bCs/>
                <w:color w:val="auto"/>
                <w:highlight w:val="none"/>
              </w:rPr>
              <w:t>三档（2分）</w:t>
            </w:r>
            <w:r>
              <w:rPr>
                <w:rFonts w:hint="eastAsia" w:ascii="宋体" w:hAnsi="宋体"/>
                <w:color w:val="auto"/>
                <w:highlight w:val="none"/>
              </w:rPr>
              <w:t>：</w:t>
            </w:r>
            <w:r>
              <w:rPr>
                <w:rFonts w:ascii="Calibri" w:hAnsi="Calibri"/>
                <w:color w:val="auto"/>
                <w:szCs w:val="22"/>
                <w:highlight w:val="none"/>
              </w:rPr>
              <w:t>拟投入的主要机械设备、辅助施工设备、器具基本齐全，无重大缺漏，设备型号、数量基本满足施工需要且配置科学合理，部分设备采用目前国际、国内先进的机械设备。</w:t>
            </w:r>
          </w:p>
          <w:p w14:paraId="3503EF6C">
            <w:pPr>
              <w:spacing w:line="500" w:lineRule="exact"/>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highlight w:val="none"/>
              </w:rPr>
              <w:t>四档（1分）</w:t>
            </w:r>
            <w:r>
              <w:rPr>
                <w:rFonts w:hint="eastAsia" w:ascii="宋体" w:hAnsi="宋体"/>
                <w:color w:val="auto"/>
                <w:highlight w:val="none"/>
              </w:rPr>
              <w:t>：</w:t>
            </w:r>
            <w:r>
              <w:rPr>
                <w:rFonts w:ascii="Calibri" w:hAnsi="Calibri"/>
                <w:color w:val="auto"/>
                <w:szCs w:val="22"/>
                <w:highlight w:val="none"/>
              </w:rPr>
              <w:t>拟投入的主要机械设备、辅助施工设备、器具不齐全，存在重大缺漏，设备型号、数量不能满足施工需要。</w:t>
            </w:r>
          </w:p>
        </w:tc>
        <w:tc>
          <w:tcPr>
            <w:tcW w:w="772" w:type="dxa"/>
            <w:vAlign w:val="center"/>
          </w:tcPr>
          <w:p w14:paraId="104A62B2">
            <w:pPr>
              <w:widowControl/>
              <w:spacing w:line="480" w:lineRule="exact"/>
              <w:jc w:val="center"/>
              <w:rPr>
                <w:rFonts w:hint="default" w:ascii="宋体" w:hAnsi="宋体" w:eastAsia="宋体" w:cs="宋体"/>
                <w:color w:val="auto"/>
                <w:kern w:val="0"/>
                <w:szCs w:val="21"/>
                <w:highlight w:val="none"/>
                <w:lang w:val="en-US" w:eastAsia="zh-CN"/>
              </w:rPr>
            </w:pPr>
            <w:r>
              <w:rPr>
                <w:rFonts w:hint="eastAsia" w:ascii="宋体" w:hAnsi="宋体" w:cs="宋体"/>
                <w:bCs/>
                <w:color w:val="auto"/>
                <w:kern w:val="0"/>
                <w:szCs w:val="21"/>
                <w:highlight w:val="none"/>
              </w:rPr>
              <w:t>5分</w:t>
            </w:r>
          </w:p>
        </w:tc>
      </w:tr>
      <w:tr w14:paraId="6525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7694082">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2.4</w:t>
            </w:r>
          </w:p>
        </w:tc>
        <w:tc>
          <w:tcPr>
            <w:tcW w:w="1086" w:type="dxa"/>
            <w:shd w:val="clear" w:color="auto" w:fill="auto"/>
            <w:vAlign w:val="center"/>
          </w:tcPr>
          <w:p w14:paraId="44D3CFEC">
            <w:pPr>
              <w:widowControl/>
              <w:spacing w:line="48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劳动力安排计划</w:t>
            </w:r>
          </w:p>
        </w:tc>
        <w:tc>
          <w:tcPr>
            <w:tcW w:w="7110" w:type="dxa"/>
            <w:shd w:val="clear" w:color="auto" w:fill="auto"/>
            <w:vAlign w:val="center"/>
          </w:tcPr>
          <w:p w14:paraId="1C579A5B">
            <w:pPr>
              <w:spacing w:line="500" w:lineRule="exact"/>
              <w:rPr>
                <w:rFonts w:hint="eastAsia" w:ascii="宋体" w:hAnsi="宋体"/>
                <w:color w:val="auto"/>
                <w:highlight w:val="none"/>
              </w:rPr>
            </w:pPr>
            <w:r>
              <w:rPr>
                <w:rFonts w:hint="eastAsia" w:ascii="宋体" w:hAnsi="宋体" w:cs="宋体"/>
                <w:bCs/>
                <w:color w:val="auto"/>
                <w:highlight w:val="none"/>
              </w:rPr>
              <w:t>一档（</w:t>
            </w:r>
            <w:r>
              <w:rPr>
                <w:rFonts w:hint="eastAsia" w:ascii="宋体" w:hAnsi="宋体" w:cs="宋体"/>
                <w:bCs/>
                <w:color w:val="auto"/>
                <w:highlight w:val="none"/>
                <w:lang w:val="en-US" w:eastAsia="zh-CN"/>
              </w:rPr>
              <w:t>10</w:t>
            </w:r>
            <w:r>
              <w:rPr>
                <w:rFonts w:hint="eastAsia" w:ascii="宋体" w:hAnsi="宋体" w:cs="宋体"/>
                <w:bCs/>
                <w:color w:val="auto"/>
                <w:highlight w:val="none"/>
              </w:rPr>
              <w:t>分）</w:t>
            </w:r>
            <w:r>
              <w:rPr>
                <w:rFonts w:hint="eastAsia" w:ascii="宋体" w:hAnsi="宋体"/>
                <w:color w:val="auto"/>
                <w:highlight w:val="none"/>
              </w:rPr>
              <w:t>：</w:t>
            </w:r>
            <w:r>
              <w:rPr>
                <w:rFonts w:ascii="Calibri" w:hAnsi="Calibri"/>
                <w:color w:val="auto"/>
                <w:szCs w:val="22"/>
                <w:highlight w:val="none"/>
              </w:rPr>
              <w:t>各主要施工工序有详细周密的劳动力安排计划，有各工种劳动力安排计划， 劳动力投入合理，完全满足施工需要。</w:t>
            </w:r>
          </w:p>
          <w:p w14:paraId="6FAE449B">
            <w:pPr>
              <w:spacing w:line="500" w:lineRule="exact"/>
              <w:rPr>
                <w:rFonts w:hint="eastAsia" w:ascii="宋体" w:hAnsi="宋体"/>
                <w:color w:val="auto"/>
                <w:highlight w:val="none"/>
              </w:rPr>
            </w:pPr>
            <w:r>
              <w:rPr>
                <w:rFonts w:hint="eastAsia" w:ascii="宋体" w:hAnsi="宋体" w:cs="宋体"/>
                <w:bCs/>
                <w:color w:val="auto"/>
                <w:highlight w:val="none"/>
              </w:rPr>
              <w:t>二档（</w:t>
            </w:r>
            <w:r>
              <w:rPr>
                <w:rFonts w:hint="eastAsia" w:ascii="宋体" w:hAnsi="宋体" w:cs="宋体"/>
                <w:bCs/>
                <w:color w:val="auto"/>
                <w:highlight w:val="none"/>
                <w:lang w:val="en-US" w:eastAsia="zh-CN"/>
              </w:rPr>
              <w:t>7</w:t>
            </w:r>
            <w:r>
              <w:rPr>
                <w:rFonts w:hint="eastAsia" w:ascii="宋体" w:hAnsi="宋体" w:cs="宋体"/>
                <w:bCs/>
                <w:color w:val="auto"/>
                <w:highlight w:val="none"/>
              </w:rPr>
              <w:t>分）</w:t>
            </w:r>
            <w:r>
              <w:rPr>
                <w:rFonts w:hint="eastAsia" w:ascii="宋体" w:hAnsi="宋体"/>
                <w:color w:val="auto"/>
                <w:highlight w:val="none"/>
              </w:rPr>
              <w:t>：</w:t>
            </w:r>
            <w:r>
              <w:rPr>
                <w:rFonts w:ascii="Calibri" w:hAnsi="Calibri"/>
                <w:color w:val="auto"/>
                <w:szCs w:val="22"/>
                <w:highlight w:val="none"/>
              </w:rPr>
              <w:t>各主要施工工序有劳动力安排计划，有各工种劳动力安排计划，劳动力投入合理， 较好满足施工需要。</w:t>
            </w:r>
          </w:p>
          <w:p w14:paraId="3F6CE569">
            <w:pPr>
              <w:spacing w:line="500" w:lineRule="exact"/>
              <w:rPr>
                <w:rFonts w:hint="eastAsia" w:ascii="宋体" w:hAnsi="宋体"/>
                <w:color w:val="auto"/>
                <w:highlight w:val="none"/>
              </w:rPr>
            </w:pPr>
            <w:r>
              <w:rPr>
                <w:rFonts w:hint="eastAsia" w:ascii="宋体" w:hAnsi="宋体" w:cs="宋体"/>
                <w:bCs/>
                <w:color w:val="auto"/>
                <w:highlight w:val="none"/>
              </w:rPr>
              <w:t>三档（</w:t>
            </w:r>
            <w:r>
              <w:rPr>
                <w:rFonts w:hint="eastAsia" w:ascii="宋体" w:hAnsi="宋体" w:cs="宋体"/>
                <w:bCs/>
                <w:color w:val="auto"/>
                <w:highlight w:val="none"/>
                <w:lang w:val="en-US" w:eastAsia="zh-CN"/>
              </w:rPr>
              <w:t>4</w:t>
            </w:r>
            <w:r>
              <w:rPr>
                <w:rFonts w:hint="eastAsia" w:ascii="宋体" w:hAnsi="宋体" w:cs="宋体"/>
                <w:bCs/>
                <w:color w:val="auto"/>
                <w:highlight w:val="none"/>
              </w:rPr>
              <w:t>分）</w:t>
            </w:r>
            <w:r>
              <w:rPr>
                <w:rFonts w:hint="eastAsia" w:ascii="宋体" w:hAnsi="宋体"/>
                <w:color w:val="auto"/>
                <w:highlight w:val="none"/>
              </w:rPr>
              <w:t>：</w:t>
            </w:r>
            <w:r>
              <w:rPr>
                <w:rFonts w:ascii="Calibri" w:hAnsi="Calibri"/>
                <w:color w:val="auto"/>
                <w:szCs w:val="22"/>
                <w:highlight w:val="none"/>
              </w:rPr>
              <w:t>各主要施 工工序有劳动力安排计划，有各工种劳动力 安排计划，劳动力投入基本合理，基本满足施工需要。</w:t>
            </w:r>
          </w:p>
          <w:p w14:paraId="2FDA6BFB">
            <w:pPr>
              <w:spacing w:line="500" w:lineRule="exact"/>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highlight w:val="none"/>
              </w:rPr>
              <w:t>四档（</w:t>
            </w:r>
            <w:r>
              <w:rPr>
                <w:rFonts w:hint="eastAsia" w:ascii="宋体" w:hAnsi="宋体" w:cs="宋体"/>
                <w:bCs/>
                <w:color w:val="auto"/>
                <w:highlight w:val="none"/>
                <w:lang w:val="en-US" w:eastAsia="zh-CN"/>
              </w:rPr>
              <w:t>1</w:t>
            </w:r>
            <w:r>
              <w:rPr>
                <w:rFonts w:hint="eastAsia" w:ascii="宋体" w:hAnsi="宋体" w:cs="宋体"/>
                <w:bCs/>
                <w:color w:val="auto"/>
                <w:highlight w:val="none"/>
              </w:rPr>
              <w:t>分）</w:t>
            </w:r>
            <w:r>
              <w:rPr>
                <w:rFonts w:hint="eastAsia" w:ascii="宋体" w:hAnsi="宋体"/>
                <w:color w:val="auto"/>
                <w:highlight w:val="none"/>
              </w:rPr>
              <w:t>：</w:t>
            </w:r>
            <w:r>
              <w:rPr>
                <w:rFonts w:ascii="Calibri" w:hAnsi="Calibri"/>
                <w:color w:val="auto"/>
                <w:szCs w:val="22"/>
                <w:highlight w:val="none"/>
              </w:rPr>
              <w:t>各主要施工工序无劳动力安排计划，无各工种劳动力安排计划， 劳动力投入不合理，不能满足施工需要。</w:t>
            </w:r>
          </w:p>
        </w:tc>
        <w:tc>
          <w:tcPr>
            <w:tcW w:w="772" w:type="dxa"/>
            <w:vAlign w:val="center"/>
          </w:tcPr>
          <w:p w14:paraId="5F0AC18B">
            <w:pPr>
              <w:widowControl/>
              <w:spacing w:line="480" w:lineRule="exact"/>
              <w:jc w:val="center"/>
              <w:rPr>
                <w:rFonts w:hint="default" w:ascii="宋体" w:hAnsi="宋体" w:cs="宋体"/>
                <w:color w:val="auto"/>
                <w:kern w:val="0"/>
                <w:szCs w:val="21"/>
                <w:highlight w:val="none"/>
                <w:lang w:val="en-US" w:eastAsia="zh-CN"/>
              </w:rPr>
            </w:pP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分</w:t>
            </w:r>
          </w:p>
        </w:tc>
      </w:tr>
      <w:tr w14:paraId="7391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1129520">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2.5</w:t>
            </w:r>
          </w:p>
        </w:tc>
        <w:tc>
          <w:tcPr>
            <w:tcW w:w="1086" w:type="dxa"/>
            <w:shd w:val="clear" w:color="auto" w:fill="auto"/>
            <w:vAlign w:val="center"/>
          </w:tcPr>
          <w:p w14:paraId="4CB2B10C">
            <w:pPr>
              <w:widowControl/>
              <w:spacing w:line="480" w:lineRule="exact"/>
              <w:jc w:val="center"/>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确保工程质量的技术组织措施</w:t>
            </w:r>
          </w:p>
        </w:tc>
        <w:tc>
          <w:tcPr>
            <w:tcW w:w="7110" w:type="dxa"/>
            <w:shd w:val="clear" w:color="auto" w:fill="auto"/>
            <w:vAlign w:val="center"/>
          </w:tcPr>
          <w:p w14:paraId="44957D83">
            <w:pPr>
              <w:spacing w:line="400" w:lineRule="exact"/>
              <w:rPr>
                <w:rFonts w:ascii="宋体" w:hAnsi="宋体" w:cs="宋体"/>
                <w:bCs/>
                <w:color w:val="auto"/>
                <w:highlight w:val="none"/>
              </w:rPr>
            </w:pPr>
            <w:r>
              <w:rPr>
                <w:rFonts w:hint="eastAsia" w:ascii="宋体" w:hAnsi="宋体" w:cs="宋体"/>
                <w:bCs/>
                <w:color w:val="auto"/>
                <w:highlight w:val="none"/>
              </w:rPr>
              <w:t>一档（</w:t>
            </w:r>
            <w:r>
              <w:rPr>
                <w:rFonts w:hint="eastAsia" w:ascii="宋体" w:hAnsi="宋体" w:cs="宋体"/>
                <w:bCs/>
                <w:color w:val="auto"/>
                <w:highlight w:val="none"/>
                <w:lang w:val="en-US" w:eastAsia="zh-CN"/>
              </w:rPr>
              <w:t>10</w:t>
            </w:r>
            <w:r>
              <w:rPr>
                <w:rFonts w:hint="eastAsia" w:ascii="宋体" w:hAnsi="宋体" w:cs="宋体"/>
                <w:bCs/>
                <w:color w:val="auto"/>
                <w:highlight w:val="none"/>
              </w:rPr>
              <w:t>分）：有专门的质量技术管理班子和制度，且人员配备合理，制度健全。主要工序有质量技术保证措施和手段，自控体系完整，能有效保证技术质量，达到承诺的质量标准。</w:t>
            </w:r>
          </w:p>
          <w:p w14:paraId="5D1CEE97">
            <w:pPr>
              <w:spacing w:line="400" w:lineRule="exact"/>
              <w:rPr>
                <w:rFonts w:ascii="宋体" w:hAnsi="宋体" w:cs="宋体"/>
                <w:bCs/>
                <w:color w:val="auto"/>
                <w:highlight w:val="none"/>
              </w:rPr>
            </w:pPr>
            <w:r>
              <w:rPr>
                <w:rFonts w:hint="eastAsia" w:ascii="宋体" w:hAnsi="宋体" w:cs="宋体"/>
                <w:bCs/>
                <w:color w:val="auto"/>
                <w:highlight w:val="none"/>
              </w:rPr>
              <w:t>二档（</w:t>
            </w:r>
            <w:r>
              <w:rPr>
                <w:rFonts w:hint="eastAsia" w:ascii="宋体" w:hAnsi="宋体" w:cs="宋体"/>
                <w:bCs/>
                <w:color w:val="auto"/>
                <w:highlight w:val="none"/>
                <w:lang w:val="en-US" w:eastAsia="zh-CN"/>
              </w:rPr>
              <w:t>7</w:t>
            </w:r>
            <w:r>
              <w:rPr>
                <w:rFonts w:hint="eastAsia" w:ascii="宋体" w:hAnsi="宋体" w:cs="宋体"/>
                <w:bCs/>
                <w:color w:val="auto"/>
                <w:highlight w:val="none"/>
              </w:rPr>
              <w:t>分）：有质量技术管理班子和制度，且人员配备合理，制度健全。主要工序有质量技术保证措施和手段，自控体系完整，能保证技术质量，满足招标文件的质量要求。</w:t>
            </w:r>
          </w:p>
          <w:p w14:paraId="57531380">
            <w:pPr>
              <w:spacing w:line="400" w:lineRule="exact"/>
              <w:rPr>
                <w:rFonts w:ascii="宋体" w:hAnsi="宋体" w:cs="宋体"/>
                <w:bCs/>
                <w:color w:val="auto"/>
                <w:highlight w:val="none"/>
              </w:rPr>
            </w:pPr>
            <w:r>
              <w:rPr>
                <w:rFonts w:hint="eastAsia" w:ascii="宋体" w:hAnsi="宋体" w:cs="宋体"/>
                <w:bCs/>
                <w:color w:val="auto"/>
                <w:highlight w:val="none"/>
              </w:rPr>
              <w:t>三档（</w:t>
            </w:r>
            <w:r>
              <w:rPr>
                <w:rFonts w:hint="eastAsia" w:ascii="宋体" w:hAnsi="宋体" w:cs="宋体"/>
                <w:bCs/>
                <w:color w:val="auto"/>
                <w:highlight w:val="none"/>
                <w:lang w:val="en-US" w:eastAsia="zh-CN"/>
              </w:rPr>
              <w:t>4</w:t>
            </w:r>
            <w:r>
              <w:rPr>
                <w:rFonts w:hint="eastAsia" w:ascii="宋体" w:hAnsi="宋体" w:cs="宋体"/>
                <w:bCs/>
                <w:color w:val="auto"/>
                <w:highlight w:val="none"/>
              </w:rPr>
              <w:t>分）：有质量技术管理班子和制度，且人员配备基本合理，制度基本健全。主要工序有质量技术保证措施和手段，自控体系，基本能保证技术质量，基本满足招标文件的质量要求。</w:t>
            </w:r>
          </w:p>
          <w:p w14:paraId="4BF37339">
            <w:pPr>
              <w:widowControl/>
              <w:spacing w:line="480" w:lineRule="exact"/>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highlight w:val="none"/>
              </w:rPr>
              <w:t>四档（</w:t>
            </w:r>
            <w:r>
              <w:rPr>
                <w:rFonts w:hint="eastAsia" w:ascii="宋体" w:hAnsi="宋体" w:cs="宋体"/>
                <w:bCs/>
                <w:color w:val="auto"/>
                <w:highlight w:val="none"/>
                <w:lang w:val="en-US" w:eastAsia="zh-CN"/>
              </w:rPr>
              <w:t>1</w:t>
            </w:r>
            <w:r>
              <w:rPr>
                <w:rFonts w:hint="eastAsia" w:ascii="宋体" w:hAnsi="宋体" w:cs="宋体"/>
                <w:bCs/>
                <w:color w:val="auto"/>
                <w:highlight w:val="none"/>
              </w:rPr>
              <w:t>分）：工程质量技术组织措施不可行，没能满足招标文件的质量要求。</w:t>
            </w:r>
          </w:p>
        </w:tc>
        <w:tc>
          <w:tcPr>
            <w:tcW w:w="772" w:type="dxa"/>
            <w:vAlign w:val="center"/>
          </w:tcPr>
          <w:p w14:paraId="70C26D02">
            <w:pPr>
              <w:widowControl/>
              <w:spacing w:line="480" w:lineRule="exact"/>
              <w:jc w:val="center"/>
              <w:rPr>
                <w:rFonts w:hint="default" w:ascii="宋体" w:hAnsi="宋体" w:cs="宋体"/>
                <w:color w:val="auto"/>
                <w:kern w:val="0"/>
                <w:szCs w:val="21"/>
                <w:highlight w:val="none"/>
                <w:lang w:val="en-US" w:eastAsia="zh-CN"/>
              </w:rPr>
            </w:pP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分</w:t>
            </w:r>
          </w:p>
        </w:tc>
      </w:tr>
      <w:tr w14:paraId="7166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9B65D16">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2.6</w:t>
            </w:r>
          </w:p>
        </w:tc>
        <w:tc>
          <w:tcPr>
            <w:tcW w:w="1086" w:type="dxa"/>
            <w:shd w:val="clear" w:color="auto" w:fill="auto"/>
            <w:vAlign w:val="center"/>
          </w:tcPr>
          <w:p w14:paraId="08672D24">
            <w:pPr>
              <w:widowControl/>
              <w:spacing w:line="480" w:lineRule="exact"/>
              <w:jc w:val="center"/>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确保安全生产的技术组织措施</w:t>
            </w:r>
          </w:p>
        </w:tc>
        <w:tc>
          <w:tcPr>
            <w:tcW w:w="7110" w:type="dxa"/>
            <w:shd w:val="clear" w:color="auto" w:fill="auto"/>
            <w:vAlign w:val="center"/>
          </w:tcPr>
          <w:p w14:paraId="0A8C3AE3">
            <w:pPr>
              <w:spacing w:line="500" w:lineRule="exact"/>
              <w:rPr>
                <w:rFonts w:hint="eastAsia" w:ascii="宋体" w:hAnsi="宋体" w:eastAsia="宋体" w:cs="宋体"/>
                <w:color w:val="auto"/>
                <w:highlight w:val="none"/>
              </w:rPr>
            </w:pPr>
            <w:r>
              <w:rPr>
                <w:rFonts w:hint="eastAsia" w:ascii="宋体" w:hAnsi="宋体" w:eastAsia="宋体" w:cs="宋体"/>
                <w:bCs/>
                <w:color w:val="auto"/>
                <w:highlight w:val="none"/>
              </w:rPr>
              <w:t>一档（5分）</w:t>
            </w:r>
            <w:r>
              <w:rPr>
                <w:rFonts w:hint="eastAsia" w:ascii="宋体" w:hAnsi="宋体" w:eastAsia="宋体" w:cs="宋体"/>
                <w:color w:val="auto"/>
                <w:highlight w:val="none"/>
              </w:rPr>
              <w:t>：</w:t>
            </w:r>
            <w:r>
              <w:rPr>
                <w:rFonts w:hint="eastAsia" w:ascii="宋体" w:hAnsi="宋体" w:eastAsia="宋体" w:cs="宋体"/>
                <w:color w:val="auto"/>
                <w:szCs w:val="22"/>
                <w:highlight w:val="none"/>
              </w:rPr>
              <w:t>有专门的安全管理人员和制度， 且人员配备合理，制度健全，各道工序安全 技术措施针对性强，完全符合实际且能满足 有关安全技术标准要求。现场防火、应急救 援、社会治安安全措施得力。</w:t>
            </w:r>
          </w:p>
          <w:p w14:paraId="38E90F68">
            <w:pPr>
              <w:spacing w:line="500" w:lineRule="exact"/>
              <w:rPr>
                <w:rFonts w:hint="eastAsia" w:ascii="宋体" w:hAnsi="宋体" w:eastAsia="宋体" w:cs="宋体"/>
                <w:color w:val="auto"/>
                <w:highlight w:val="none"/>
              </w:rPr>
            </w:pPr>
            <w:r>
              <w:rPr>
                <w:rFonts w:hint="eastAsia" w:ascii="宋体" w:hAnsi="宋体" w:eastAsia="宋体" w:cs="宋体"/>
                <w:bCs/>
                <w:color w:val="auto"/>
                <w:highlight w:val="none"/>
              </w:rPr>
              <w:t>二档（4分）</w:t>
            </w:r>
            <w:r>
              <w:rPr>
                <w:rFonts w:hint="eastAsia" w:ascii="宋体" w:hAnsi="宋体" w:eastAsia="宋体" w:cs="宋体"/>
                <w:color w:val="auto"/>
                <w:highlight w:val="none"/>
              </w:rPr>
              <w:t>：</w:t>
            </w:r>
            <w:r>
              <w:rPr>
                <w:rFonts w:hint="eastAsia" w:ascii="宋体" w:hAnsi="宋体" w:eastAsia="宋体" w:cs="宋体"/>
                <w:color w:val="auto"/>
                <w:szCs w:val="22"/>
                <w:highlight w:val="none"/>
              </w:rPr>
              <w:t>有专门的安全管理人员和制度，且人员基本 配备较为合理，制度较为健全，各道工序安 全技术措施针对性比较强，符合实际且能较 好满足有关安全技术标准要求。现场防火、 应急救援、社会治安安全措施良好。</w:t>
            </w:r>
          </w:p>
          <w:p w14:paraId="759C912D">
            <w:pPr>
              <w:spacing w:line="500" w:lineRule="exact"/>
              <w:rPr>
                <w:rFonts w:hint="eastAsia" w:ascii="宋体" w:hAnsi="宋体" w:eastAsia="宋体" w:cs="宋体"/>
                <w:color w:val="auto"/>
                <w:highlight w:val="none"/>
              </w:rPr>
            </w:pPr>
            <w:r>
              <w:rPr>
                <w:rFonts w:hint="eastAsia" w:ascii="宋体" w:hAnsi="宋体" w:eastAsia="宋体" w:cs="宋体"/>
                <w:bCs/>
                <w:color w:val="auto"/>
                <w:highlight w:val="none"/>
              </w:rPr>
              <w:t>三档（2分）</w:t>
            </w:r>
            <w:r>
              <w:rPr>
                <w:rFonts w:hint="eastAsia" w:ascii="宋体" w:hAnsi="宋体" w:eastAsia="宋体" w:cs="宋体"/>
                <w:color w:val="auto"/>
                <w:highlight w:val="none"/>
              </w:rPr>
              <w:t>：</w:t>
            </w:r>
            <w:r>
              <w:rPr>
                <w:rFonts w:hint="eastAsia" w:ascii="宋体" w:hAnsi="宋体" w:eastAsia="宋体" w:cs="宋体"/>
                <w:color w:val="auto"/>
                <w:szCs w:val="22"/>
                <w:highlight w:val="none"/>
              </w:rPr>
              <w:t>安全管理人员和制度，且人员基本配备基本合理，制度基本健全，各道工序安全技术措施针对性一般，符合实际，基本满足有关安全技术标准要求。现场防火、应急救援、社会治安安全措施一般。</w:t>
            </w:r>
          </w:p>
          <w:p w14:paraId="64AEC90D">
            <w:pPr>
              <w:spacing w:line="500" w:lineRule="exact"/>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highlight w:val="none"/>
              </w:rPr>
              <w:t>四档（1分）</w:t>
            </w:r>
            <w:r>
              <w:rPr>
                <w:rFonts w:hint="eastAsia" w:ascii="宋体" w:hAnsi="宋体" w:eastAsia="宋体" w:cs="宋体"/>
                <w:color w:val="auto"/>
                <w:highlight w:val="none"/>
              </w:rPr>
              <w:t>：</w:t>
            </w:r>
            <w:r>
              <w:rPr>
                <w:rFonts w:hint="eastAsia" w:ascii="宋体" w:hAnsi="宋体" w:eastAsia="宋体" w:cs="宋体"/>
                <w:color w:val="auto"/>
                <w:szCs w:val="22"/>
                <w:highlight w:val="none"/>
              </w:rPr>
              <w:t>没有专门的安全管理人员和制度，且人员配备不合理，制度不健全，各道工序安全技术措施针对性不强，不符合实际且能满足有关安全技术标准要求。现场防火、应急救援、社会治安安全措施较差。</w:t>
            </w:r>
          </w:p>
        </w:tc>
        <w:tc>
          <w:tcPr>
            <w:tcW w:w="772" w:type="dxa"/>
            <w:vAlign w:val="center"/>
          </w:tcPr>
          <w:p w14:paraId="164CA442">
            <w:pPr>
              <w:widowControl/>
              <w:spacing w:line="480" w:lineRule="exact"/>
              <w:jc w:val="center"/>
              <w:rPr>
                <w:rFonts w:hint="default" w:ascii="宋体" w:hAnsi="宋体" w:cs="宋体"/>
                <w:color w:val="auto"/>
                <w:kern w:val="0"/>
                <w:szCs w:val="21"/>
                <w:highlight w:val="none"/>
                <w:lang w:val="en-US" w:eastAsia="zh-CN"/>
              </w:rPr>
            </w:pPr>
            <w:r>
              <w:rPr>
                <w:rFonts w:hint="eastAsia" w:ascii="宋体" w:hAnsi="宋体" w:cs="宋体"/>
                <w:bCs/>
                <w:color w:val="auto"/>
                <w:kern w:val="0"/>
                <w:szCs w:val="21"/>
                <w:highlight w:val="none"/>
              </w:rPr>
              <w:t>5分</w:t>
            </w:r>
          </w:p>
        </w:tc>
      </w:tr>
      <w:tr w14:paraId="42CC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CD73419">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2.7</w:t>
            </w:r>
          </w:p>
        </w:tc>
        <w:tc>
          <w:tcPr>
            <w:tcW w:w="1086" w:type="dxa"/>
            <w:shd w:val="clear" w:color="auto" w:fill="auto"/>
            <w:vAlign w:val="center"/>
          </w:tcPr>
          <w:p w14:paraId="4853F508">
            <w:pPr>
              <w:widowControl/>
              <w:spacing w:line="480" w:lineRule="exact"/>
              <w:jc w:val="center"/>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确保工期的技术组织措施</w:t>
            </w:r>
          </w:p>
        </w:tc>
        <w:tc>
          <w:tcPr>
            <w:tcW w:w="7110" w:type="dxa"/>
            <w:shd w:val="clear" w:color="auto" w:fill="auto"/>
            <w:vAlign w:val="center"/>
          </w:tcPr>
          <w:p w14:paraId="4A627C3B">
            <w:pPr>
              <w:spacing w:line="400" w:lineRule="exact"/>
              <w:rPr>
                <w:rFonts w:ascii="宋体" w:hAnsi="宋体" w:cs="宋体"/>
                <w:bCs/>
                <w:color w:val="auto"/>
                <w:highlight w:val="none"/>
              </w:rPr>
            </w:pPr>
            <w:r>
              <w:rPr>
                <w:rFonts w:hint="eastAsia" w:ascii="宋体" w:hAnsi="宋体" w:cs="宋体"/>
                <w:bCs/>
                <w:color w:val="auto"/>
                <w:highlight w:val="none"/>
              </w:rPr>
              <w:t>一档（</w:t>
            </w:r>
            <w:r>
              <w:rPr>
                <w:rFonts w:hint="eastAsia" w:ascii="宋体" w:hAnsi="宋体" w:cs="宋体"/>
                <w:bCs/>
                <w:color w:val="auto"/>
                <w:highlight w:val="none"/>
                <w:lang w:val="en-US" w:eastAsia="zh-CN"/>
              </w:rPr>
              <w:t>10</w:t>
            </w:r>
            <w:r>
              <w:rPr>
                <w:rFonts w:hint="eastAsia" w:ascii="宋体" w:hAnsi="宋体" w:cs="宋体"/>
                <w:bCs/>
                <w:color w:val="auto"/>
                <w:highlight w:val="none"/>
              </w:rPr>
              <w:t xml:space="preserve">分）：在施工工艺、施工方法、材料选用、劳动力安排、技术等方面有保证工期的具体措施。有控制工期的施工进度计划。有施工总进度表或施工网络图，各项计划图表编制完善，安排科学合理，符合本项目施工实际要求。 </w:t>
            </w:r>
          </w:p>
          <w:p w14:paraId="5207A9B0">
            <w:pPr>
              <w:spacing w:line="400" w:lineRule="exact"/>
              <w:rPr>
                <w:rFonts w:ascii="宋体" w:hAnsi="宋体" w:cs="宋体"/>
                <w:bCs/>
                <w:color w:val="auto"/>
                <w:highlight w:val="none"/>
              </w:rPr>
            </w:pPr>
            <w:r>
              <w:rPr>
                <w:rFonts w:hint="eastAsia" w:ascii="宋体" w:hAnsi="宋体" w:cs="宋体"/>
                <w:bCs/>
                <w:color w:val="auto"/>
                <w:highlight w:val="none"/>
              </w:rPr>
              <w:t>二档（</w:t>
            </w:r>
            <w:r>
              <w:rPr>
                <w:rFonts w:hint="eastAsia" w:ascii="宋体" w:hAnsi="宋体" w:cs="宋体"/>
                <w:bCs/>
                <w:color w:val="auto"/>
                <w:highlight w:val="none"/>
                <w:lang w:val="en-US" w:eastAsia="zh-CN"/>
              </w:rPr>
              <w:t>7</w:t>
            </w:r>
            <w:r>
              <w:rPr>
                <w:rFonts w:hint="eastAsia" w:ascii="宋体" w:hAnsi="宋体" w:cs="宋体"/>
                <w:bCs/>
                <w:color w:val="auto"/>
                <w:highlight w:val="none"/>
              </w:rPr>
              <w:t>分）：在施工工艺、施工方法、材料选用、劳动力安排、技术等方面有可行措施。有控制工期的施工进度可行计划。有完整的施工总进度表或施工网络图，安排合理。</w:t>
            </w:r>
          </w:p>
          <w:p w14:paraId="5CDC7154">
            <w:pPr>
              <w:spacing w:line="400" w:lineRule="exact"/>
              <w:rPr>
                <w:rFonts w:ascii="宋体" w:hAnsi="宋体" w:cs="宋体"/>
                <w:bCs/>
                <w:color w:val="auto"/>
                <w:highlight w:val="none"/>
              </w:rPr>
            </w:pPr>
            <w:r>
              <w:rPr>
                <w:rFonts w:hint="eastAsia" w:ascii="宋体" w:hAnsi="宋体" w:cs="宋体"/>
                <w:bCs/>
                <w:color w:val="auto"/>
                <w:highlight w:val="none"/>
              </w:rPr>
              <w:t>三档（</w:t>
            </w:r>
            <w:r>
              <w:rPr>
                <w:rFonts w:hint="eastAsia" w:ascii="宋体" w:hAnsi="宋体" w:cs="宋体"/>
                <w:bCs/>
                <w:color w:val="auto"/>
                <w:highlight w:val="none"/>
                <w:lang w:val="en-US" w:eastAsia="zh-CN"/>
              </w:rPr>
              <w:t>4</w:t>
            </w:r>
            <w:r>
              <w:rPr>
                <w:rFonts w:hint="eastAsia" w:ascii="宋体" w:hAnsi="宋体" w:cs="宋体"/>
                <w:bCs/>
                <w:color w:val="auto"/>
                <w:highlight w:val="none"/>
              </w:rPr>
              <w:t>分）：在施工工艺、施工方法、材料选用、劳动力安排、技术等方面有简单措施。有控制工期的施工进度可行计划。有完整的施工总进度表或施工网络图，安排基本合理。</w:t>
            </w:r>
          </w:p>
          <w:p w14:paraId="7BBBDA0C">
            <w:pPr>
              <w:widowControl/>
              <w:spacing w:line="480" w:lineRule="exact"/>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highlight w:val="none"/>
              </w:rPr>
              <w:t>四档（1分）：在施工工艺、施工方法、材料选用、劳动力安排、技术等方面没有措施。没有控制工期的施工进度计划。没有施工总进度表或施工网络图。</w:t>
            </w:r>
          </w:p>
        </w:tc>
        <w:tc>
          <w:tcPr>
            <w:tcW w:w="772" w:type="dxa"/>
            <w:vAlign w:val="center"/>
          </w:tcPr>
          <w:p w14:paraId="2C799777">
            <w:pPr>
              <w:widowControl/>
              <w:spacing w:line="480" w:lineRule="exact"/>
              <w:jc w:val="center"/>
              <w:rPr>
                <w:rFonts w:hint="default" w:ascii="宋体" w:hAnsi="宋体" w:cs="宋体"/>
                <w:color w:val="auto"/>
                <w:kern w:val="0"/>
                <w:szCs w:val="21"/>
                <w:highlight w:val="none"/>
                <w:lang w:val="en-US" w:eastAsia="zh-CN"/>
              </w:rPr>
            </w:pP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分</w:t>
            </w:r>
          </w:p>
        </w:tc>
      </w:tr>
      <w:tr w14:paraId="081B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A16A67F">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2.8</w:t>
            </w:r>
          </w:p>
        </w:tc>
        <w:tc>
          <w:tcPr>
            <w:tcW w:w="1086" w:type="dxa"/>
            <w:shd w:val="clear" w:color="auto" w:fill="auto"/>
            <w:vAlign w:val="center"/>
          </w:tcPr>
          <w:p w14:paraId="2BF2FD1D">
            <w:pPr>
              <w:widowControl/>
              <w:spacing w:line="480" w:lineRule="exact"/>
              <w:jc w:val="center"/>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工程施工的重点和难点及保证措施</w:t>
            </w:r>
          </w:p>
        </w:tc>
        <w:tc>
          <w:tcPr>
            <w:tcW w:w="7110" w:type="dxa"/>
            <w:shd w:val="clear" w:color="auto" w:fill="auto"/>
            <w:vAlign w:val="center"/>
          </w:tcPr>
          <w:p w14:paraId="7AB6A8CA">
            <w:pPr>
              <w:spacing w:line="400" w:lineRule="exact"/>
              <w:rPr>
                <w:rFonts w:ascii="宋体" w:hAnsi="宋体" w:cs="宋体"/>
                <w:bCs/>
                <w:color w:val="auto"/>
                <w:highlight w:val="none"/>
              </w:rPr>
            </w:pPr>
            <w:r>
              <w:rPr>
                <w:rFonts w:hint="eastAsia" w:ascii="宋体" w:hAnsi="宋体" w:cs="宋体"/>
                <w:bCs/>
                <w:color w:val="auto"/>
                <w:highlight w:val="none"/>
              </w:rPr>
              <w:t>一档（5分）：针对本工程的特点，阐述工程的重点和难点，有解决重点和难点问题的切实可行方案且措施得力。</w:t>
            </w:r>
          </w:p>
          <w:p w14:paraId="6CDE6046">
            <w:pPr>
              <w:spacing w:line="400" w:lineRule="exact"/>
              <w:rPr>
                <w:rFonts w:ascii="宋体" w:hAnsi="宋体" w:cs="宋体"/>
                <w:bCs/>
                <w:color w:val="auto"/>
                <w:highlight w:val="none"/>
              </w:rPr>
            </w:pPr>
            <w:r>
              <w:rPr>
                <w:rFonts w:hint="eastAsia" w:ascii="宋体" w:hAnsi="宋体" w:cs="宋体"/>
                <w:bCs/>
                <w:color w:val="auto"/>
                <w:highlight w:val="none"/>
              </w:rPr>
              <w:t>二档（4分）：针对本工程的特点，阐述工程的重点和难点，有解决重点和难点问题的方案。</w:t>
            </w:r>
          </w:p>
          <w:p w14:paraId="14E8C8AC">
            <w:pPr>
              <w:spacing w:line="400" w:lineRule="exact"/>
              <w:rPr>
                <w:rFonts w:ascii="宋体" w:hAnsi="宋体" w:cs="宋体"/>
                <w:bCs/>
                <w:color w:val="auto"/>
                <w:highlight w:val="none"/>
              </w:rPr>
            </w:pPr>
            <w:r>
              <w:rPr>
                <w:rFonts w:hint="eastAsia" w:ascii="宋体" w:hAnsi="宋体" w:cs="宋体"/>
                <w:bCs/>
                <w:color w:val="auto"/>
                <w:highlight w:val="none"/>
              </w:rPr>
              <w:t>三档（2分）：针对本工程的特点，能简单阐述工程的重点和难点，解决重点和难点问题的方案，方案基本可行。</w:t>
            </w:r>
          </w:p>
          <w:p w14:paraId="33D29C20">
            <w:pPr>
              <w:widowControl/>
              <w:spacing w:line="480" w:lineRule="exact"/>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highlight w:val="none"/>
              </w:rPr>
              <w:t>四档（1分）：针对本工程的特点有表述，对重点、难点有建议，但解决方案不可行。</w:t>
            </w:r>
          </w:p>
        </w:tc>
        <w:tc>
          <w:tcPr>
            <w:tcW w:w="772" w:type="dxa"/>
            <w:vAlign w:val="center"/>
          </w:tcPr>
          <w:p w14:paraId="42026A94">
            <w:pPr>
              <w:widowControl/>
              <w:spacing w:line="480" w:lineRule="exact"/>
              <w:jc w:val="center"/>
              <w:rPr>
                <w:rFonts w:hint="default" w:ascii="宋体" w:hAnsi="宋体" w:cs="宋体"/>
                <w:color w:val="auto"/>
                <w:kern w:val="0"/>
                <w:szCs w:val="21"/>
                <w:highlight w:val="none"/>
                <w:lang w:val="en-US" w:eastAsia="zh-CN"/>
              </w:rPr>
            </w:pPr>
            <w:r>
              <w:rPr>
                <w:rFonts w:hint="eastAsia" w:ascii="宋体" w:hAnsi="宋体" w:cs="宋体"/>
                <w:bCs/>
                <w:color w:val="auto"/>
                <w:kern w:val="0"/>
                <w:szCs w:val="21"/>
                <w:highlight w:val="none"/>
              </w:rPr>
              <w:t>5分</w:t>
            </w:r>
          </w:p>
        </w:tc>
      </w:tr>
      <w:tr w14:paraId="76EF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3EFF250">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2.9</w:t>
            </w:r>
          </w:p>
        </w:tc>
        <w:tc>
          <w:tcPr>
            <w:tcW w:w="1086" w:type="dxa"/>
            <w:shd w:val="clear" w:color="auto" w:fill="auto"/>
            <w:vAlign w:val="center"/>
          </w:tcPr>
          <w:p w14:paraId="4C23E246">
            <w:pPr>
              <w:widowControl/>
              <w:spacing w:line="4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施工总平面布置图</w:t>
            </w:r>
          </w:p>
        </w:tc>
        <w:tc>
          <w:tcPr>
            <w:tcW w:w="7110" w:type="dxa"/>
            <w:shd w:val="clear" w:color="auto" w:fill="auto"/>
            <w:vAlign w:val="center"/>
          </w:tcPr>
          <w:p w14:paraId="14C49B11">
            <w:pPr>
              <w:widowControl/>
              <w:spacing w:line="480" w:lineRule="exact"/>
              <w:rPr>
                <w:rFonts w:hint="eastAsia" w:ascii="宋体" w:hAnsi="宋体" w:cs="宋体"/>
                <w:bCs/>
                <w:color w:val="auto"/>
                <w:highlight w:val="none"/>
              </w:rPr>
            </w:pPr>
            <w:r>
              <w:rPr>
                <w:rFonts w:hint="eastAsia" w:ascii="宋体" w:hAnsi="宋体" w:cs="宋体"/>
                <w:bCs/>
                <w:color w:val="auto"/>
                <w:highlight w:val="none"/>
                <w:lang w:val="en-US" w:eastAsia="zh-CN"/>
              </w:rPr>
              <w:t>一档</w:t>
            </w:r>
            <w:r>
              <w:rPr>
                <w:rFonts w:hint="eastAsia" w:ascii="宋体" w:hAnsi="宋体" w:cs="宋体"/>
                <w:bCs/>
                <w:color w:val="auto"/>
                <w:highlight w:val="none"/>
              </w:rPr>
              <w:t>（5 分）：有详细的施工总平面布置图，安排科学合理，符合本项目施工实际要求。</w:t>
            </w:r>
          </w:p>
          <w:p w14:paraId="1B967DFA">
            <w:pPr>
              <w:widowControl/>
              <w:spacing w:line="480" w:lineRule="exact"/>
              <w:rPr>
                <w:rFonts w:hint="eastAsia" w:ascii="宋体" w:hAnsi="宋体" w:cs="宋体"/>
                <w:bCs/>
                <w:color w:val="auto"/>
                <w:highlight w:val="none"/>
              </w:rPr>
            </w:pPr>
            <w:r>
              <w:rPr>
                <w:rFonts w:hint="eastAsia" w:ascii="宋体" w:hAnsi="宋体" w:cs="宋体"/>
                <w:bCs/>
                <w:color w:val="auto"/>
                <w:highlight w:val="none"/>
                <w:lang w:val="en-US" w:eastAsia="zh-CN"/>
              </w:rPr>
              <w:t>二档</w:t>
            </w:r>
            <w:r>
              <w:rPr>
                <w:rFonts w:hint="eastAsia" w:ascii="宋体" w:hAnsi="宋体" w:cs="宋体"/>
                <w:bCs/>
                <w:color w:val="auto"/>
                <w:highlight w:val="none"/>
              </w:rPr>
              <w:t>（4 分）：有施工总平面布置图，安排较合理，符合本项目施工实际要求。</w:t>
            </w:r>
          </w:p>
          <w:p w14:paraId="2C0CF64E">
            <w:pPr>
              <w:widowControl/>
              <w:spacing w:line="480" w:lineRule="exact"/>
              <w:rPr>
                <w:rFonts w:hint="eastAsia" w:ascii="宋体" w:hAnsi="宋体" w:cs="宋体"/>
                <w:bCs/>
                <w:color w:val="auto"/>
                <w:highlight w:val="none"/>
              </w:rPr>
            </w:pPr>
            <w:r>
              <w:rPr>
                <w:rFonts w:hint="eastAsia" w:ascii="宋体" w:hAnsi="宋体" w:cs="宋体"/>
                <w:bCs/>
                <w:color w:val="auto"/>
                <w:highlight w:val="none"/>
                <w:lang w:val="en-US" w:eastAsia="zh-CN"/>
              </w:rPr>
              <w:t>三档</w:t>
            </w:r>
            <w:r>
              <w:rPr>
                <w:rFonts w:hint="eastAsia" w:ascii="宋体" w:hAnsi="宋体" w:cs="宋体"/>
                <w:bCs/>
                <w:color w:val="auto"/>
                <w:highlight w:val="none"/>
              </w:rPr>
              <w:t>（</w:t>
            </w:r>
            <w:r>
              <w:rPr>
                <w:rFonts w:hint="eastAsia" w:ascii="宋体" w:hAnsi="宋体" w:cs="宋体"/>
                <w:bCs/>
                <w:color w:val="auto"/>
                <w:highlight w:val="none"/>
                <w:lang w:val="en-US" w:eastAsia="zh-CN"/>
              </w:rPr>
              <w:t>2</w:t>
            </w:r>
            <w:r>
              <w:rPr>
                <w:rFonts w:hint="eastAsia" w:ascii="宋体" w:hAnsi="宋体" w:cs="宋体"/>
                <w:bCs/>
                <w:color w:val="auto"/>
                <w:highlight w:val="none"/>
              </w:rPr>
              <w:t>分）：有施工总平面布置图，安排一般，基本符合本项目施工实际要求。</w:t>
            </w:r>
          </w:p>
          <w:p w14:paraId="6CC7E5F1">
            <w:pPr>
              <w:widowControl/>
              <w:spacing w:line="480" w:lineRule="exact"/>
              <w:rPr>
                <w:rFonts w:hint="eastAsia" w:ascii="宋体" w:hAnsi="宋体" w:cs="宋体"/>
                <w:bCs/>
                <w:color w:val="auto"/>
                <w:highlight w:val="none"/>
              </w:rPr>
            </w:pPr>
            <w:r>
              <w:rPr>
                <w:rFonts w:hint="eastAsia" w:ascii="宋体" w:hAnsi="宋体" w:cs="宋体"/>
                <w:bCs/>
                <w:color w:val="auto"/>
                <w:highlight w:val="none"/>
                <w:lang w:val="en-US" w:eastAsia="zh-CN"/>
              </w:rPr>
              <w:t>四档</w:t>
            </w:r>
            <w:r>
              <w:rPr>
                <w:rFonts w:hint="eastAsia" w:ascii="宋体" w:hAnsi="宋体" w:cs="宋体"/>
                <w:bCs/>
                <w:color w:val="auto"/>
                <w:highlight w:val="none"/>
              </w:rPr>
              <w:t>（</w:t>
            </w:r>
            <w:r>
              <w:rPr>
                <w:rFonts w:hint="eastAsia" w:ascii="宋体" w:hAnsi="宋体" w:cs="宋体"/>
                <w:bCs/>
                <w:color w:val="auto"/>
                <w:highlight w:val="none"/>
                <w:lang w:val="en-US" w:eastAsia="zh-CN"/>
              </w:rPr>
              <w:t>1</w:t>
            </w:r>
            <w:r>
              <w:rPr>
                <w:rFonts w:hint="eastAsia" w:ascii="宋体" w:hAnsi="宋体" w:cs="宋体"/>
                <w:bCs/>
                <w:color w:val="auto"/>
                <w:highlight w:val="none"/>
              </w:rPr>
              <w:t>分）：有施工总平面布置图，安排较差，勉强符合本项目施工要求</w:t>
            </w:r>
          </w:p>
        </w:tc>
        <w:tc>
          <w:tcPr>
            <w:tcW w:w="772" w:type="dxa"/>
            <w:vAlign w:val="center"/>
          </w:tcPr>
          <w:p w14:paraId="460FC362">
            <w:pPr>
              <w:widowControl/>
              <w:spacing w:line="480" w:lineRule="exact"/>
              <w:jc w:val="center"/>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5分</w:t>
            </w:r>
          </w:p>
        </w:tc>
      </w:tr>
      <w:tr w14:paraId="1DDE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A0F0DD7">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w:t>
            </w:r>
          </w:p>
        </w:tc>
        <w:tc>
          <w:tcPr>
            <w:tcW w:w="1086" w:type="dxa"/>
            <w:vAlign w:val="center"/>
          </w:tcPr>
          <w:p w14:paraId="4F0F3650">
            <w:pPr>
              <w:adjustRightInd w:val="0"/>
              <w:spacing w:line="400" w:lineRule="exact"/>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
                <w:bCs w:val="0"/>
                <w:color w:val="auto"/>
                <w:kern w:val="0"/>
                <w:szCs w:val="21"/>
                <w:highlight w:val="none"/>
                <w:lang w:val="en-US" w:eastAsia="zh-CN"/>
              </w:rPr>
              <w:t>商务评分标准</w:t>
            </w:r>
          </w:p>
        </w:tc>
        <w:tc>
          <w:tcPr>
            <w:tcW w:w="7110" w:type="dxa"/>
            <w:vAlign w:val="center"/>
          </w:tcPr>
          <w:p w14:paraId="220A2ED3">
            <w:pPr>
              <w:pStyle w:val="16"/>
              <w:spacing w:line="400" w:lineRule="exact"/>
              <w:ind w:firstLine="422" w:firstLineChars="200"/>
              <w:jc w:val="center"/>
              <w:rPr>
                <w:rFonts w:hint="eastAsia" w:hAnsi="宋体" w:cs="宋体"/>
                <w:bCs/>
                <w:color w:val="auto"/>
                <w:sz w:val="21"/>
                <w:highlight w:val="none"/>
              </w:rPr>
            </w:pPr>
            <w:r>
              <w:rPr>
                <w:rFonts w:hint="eastAsia" w:ascii="宋体" w:hAnsi="宋体" w:eastAsia="宋体" w:cs="宋体"/>
                <w:b/>
                <w:bCs w:val="0"/>
                <w:color w:val="auto"/>
                <w:kern w:val="0"/>
                <w:sz w:val="21"/>
                <w:szCs w:val="21"/>
                <w:highlight w:val="none"/>
                <w:lang w:val="en-US" w:eastAsia="zh-CN" w:bidi="ar-SA"/>
              </w:rPr>
              <w:t>评审因素</w:t>
            </w:r>
          </w:p>
        </w:tc>
        <w:tc>
          <w:tcPr>
            <w:tcW w:w="772" w:type="dxa"/>
            <w:vAlign w:val="center"/>
          </w:tcPr>
          <w:p w14:paraId="799F68BD">
            <w:pPr>
              <w:spacing w:line="320" w:lineRule="exact"/>
              <w:jc w:val="center"/>
              <w:rPr>
                <w:rFonts w:ascii="宋体" w:hAnsi="宋体" w:cs="宋体"/>
                <w:color w:val="auto"/>
                <w:kern w:val="0"/>
                <w:szCs w:val="21"/>
                <w:highlight w:val="none"/>
              </w:rPr>
            </w:pPr>
            <w:r>
              <w:rPr>
                <w:rFonts w:hint="eastAsia" w:ascii="宋体" w:hAnsi="宋体" w:cs="宋体"/>
                <w:b/>
                <w:bCs/>
                <w:color w:val="auto"/>
                <w:kern w:val="0"/>
                <w:szCs w:val="21"/>
                <w:highlight w:val="none"/>
                <w:lang w:val="en-US" w:eastAsia="zh-CN"/>
              </w:rPr>
              <w:t>15分</w:t>
            </w:r>
          </w:p>
        </w:tc>
      </w:tr>
      <w:tr w14:paraId="0628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DF3B04A">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3.1</w:t>
            </w:r>
          </w:p>
        </w:tc>
        <w:tc>
          <w:tcPr>
            <w:tcW w:w="1086" w:type="dxa"/>
            <w:vAlign w:val="center"/>
          </w:tcPr>
          <w:p w14:paraId="25B33254">
            <w:pPr>
              <w:adjustRightInd w:val="0"/>
              <w:spacing w:line="400" w:lineRule="exact"/>
              <w:jc w:val="center"/>
              <w:textAlignment w:val="baseline"/>
              <w:rPr>
                <w:rFonts w:hint="default" w:ascii="宋体" w:hAnsi="宋体" w:cs="宋体"/>
                <w:bCs/>
                <w:color w:val="auto"/>
                <w:kern w:val="0"/>
                <w:szCs w:val="21"/>
                <w:highlight w:val="none"/>
                <w:lang w:val="en-US" w:eastAsia="zh-CN"/>
              </w:rPr>
            </w:pPr>
            <w:r>
              <w:rPr>
                <w:rFonts w:hint="eastAsia" w:ascii="宋体" w:hAnsi="宋体" w:eastAsia="宋体" w:cs="宋体"/>
                <w:bCs/>
                <w:color w:val="auto"/>
                <w:szCs w:val="21"/>
                <w:highlight w:val="none"/>
                <w:lang w:val="en-US" w:eastAsia="zh-CN"/>
              </w:rPr>
              <w:t>项目实施人员</w:t>
            </w:r>
            <w:r>
              <w:rPr>
                <w:rFonts w:hint="eastAsia" w:ascii="宋体" w:hAnsi="宋体" w:eastAsia="宋体" w:cs="宋体"/>
                <w:bCs/>
                <w:color w:val="auto"/>
                <w:szCs w:val="21"/>
                <w:highlight w:val="none"/>
              </w:rPr>
              <w:t>评分标准</w:t>
            </w:r>
          </w:p>
        </w:tc>
        <w:tc>
          <w:tcPr>
            <w:tcW w:w="7110" w:type="dxa"/>
            <w:vAlign w:val="center"/>
          </w:tcPr>
          <w:p w14:paraId="2022F533">
            <w:pPr>
              <w:pStyle w:val="16"/>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（1）项目经理：</w:t>
            </w:r>
            <w:r>
              <w:rPr>
                <w:rFonts w:hint="eastAsia" w:ascii="宋体" w:hAnsi="宋体" w:eastAsia="宋体" w:cs="宋体"/>
                <w:bCs/>
                <w:color w:val="auto"/>
                <w:sz w:val="21"/>
                <w:highlight w:val="none"/>
                <w:lang w:val="en-US"/>
              </w:rPr>
              <w:t>拟投入本项目的</w:t>
            </w:r>
            <w:r>
              <w:rPr>
                <w:rFonts w:hint="eastAsia" w:ascii="宋体" w:hAnsi="宋体" w:eastAsia="宋体" w:cs="宋体"/>
                <w:bCs/>
                <w:color w:val="auto"/>
                <w:sz w:val="21"/>
                <w:highlight w:val="none"/>
                <w:lang w:val="en-US" w:eastAsia="zh-CN"/>
              </w:rPr>
              <w:t>项目经理具有</w:t>
            </w:r>
            <w:r>
              <w:rPr>
                <w:rFonts w:hint="eastAsia" w:hAnsi="宋体" w:cs="宋体"/>
                <w:bCs/>
                <w:color w:val="auto"/>
                <w:sz w:val="21"/>
                <w:highlight w:val="none"/>
                <w:lang w:val="en-US" w:eastAsia="zh-CN"/>
              </w:rPr>
              <w:t>建筑工程</w:t>
            </w:r>
            <w:r>
              <w:rPr>
                <w:rFonts w:hint="eastAsia" w:ascii="宋体" w:hAnsi="宋体" w:eastAsia="宋体" w:cs="宋体"/>
                <w:bCs/>
                <w:color w:val="auto"/>
                <w:sz w:val="21"/>
                <w:highlight w:val="none"/>
                <w:lang w:val="en-US" w:eastAsia="zh-CN"/>
              </w:rPr>
              <w:t>类专业中级及以上技术职称得5分。</w:t>
            </w:r>
          </w:p>
          <w:p w14:paraId="39AE1C7C">
            <w:pPr>
              <w:pStyle w:val="16"/>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（2）其他人员（不含项目经理）：拟投入本项目的人员至少包括安全员、施工员、质量员、材料员，且均具有相应岗位资格证书的，得基础分5分，不满足得0分。</w:t>
            </w:r>
          </w:p>
          <w:p w14:paraId="77F25AF8">
            <w:pPr>
              <w:pStyle w:val="16"/>
              <w:spacing w:line="400" w:lineRule="exact"/>
              <w:ind w:firstLine="420" w:firstLineChars="200"/>
              <w:rPr>
                <w:rFonts w:hint="default" w:ascii="宋体" w:hAnsi="宋体" w:eastAsia="宋体" w:cs="宋体"/>
                <w:b/>
                <w:color w:val="auto"/>
                <w:kern w:val="0"/>
                <w:szCs w:val="21"/>
                <w:highlight w:val="none"/>
                <w:lang w:val="en-US" w:eastAsia="zh-CN"/>
              </w:rPr>
            </w:pPr>
            <w:r>
              <w:rPr>
                <w:rFonts w:hint="eastAsia" w:ascii="宋体" w:hAnsi="宋体" w:eastAsia="宋体" w:cs="宋体"/>
                <w:bCs/>
                <w:color w:val="auto"/>
                <w:sz w:val="21"/>
                <w:highlight w:val="none"/>
                <w:lang w:val="en-US" w:eastAsia="zh-CN"/>
              </w:rPr>
              <w:t>注：（1）响应文件中提供上述人员证书复印件并加盖竞标人单位公章，否则不计分。</w:t>
            </w:r>
          </w:p>
        </w:tc>
        <w:tc>
          <w:tcPr>
            <w:tcW w:w="772" w:type="dxa"/>
            <w:vAlign w:val="center"/>
          </w:tcPr>
          <w:p w14:paraId="5D7A2C80">
            <w:pPr>
              <w:spacing w:line="320" w:lineRule="exact"/>
              <w:jc w:val="center"/>
              <w:rPr>
                <w:rFonts w:hint="default"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10分</w:t>
            </w:r>
          </w:p>
        </w:tc>
      </w:tr>
      <w:tr w14:paraId="786B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611F3D42">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3.2</w:t>
            </w:r>
          </w:p>
        </w:tc>
        <w:tc>
          <w:tcPr>
            <w:tcW w:w="1086" w:type="dxa"/>
            <w:vAlign w:val="center"/>
          </w:tcPr>
          <w:p w14:paraId="6FC2CDAE">
            <w:pPr>
              <w:widowControl/>
              <w:spacing w:line="360" w:lineRule="exact"/>
              <w:jc w:val="center"/>
              <w:rPr>
                <w:rFonts w:hint="default" w:ascii="宋体" w:hAnsi="宋体" w:cs="宋体"/>
                <w:bCs/>
                <w:color w:val="auto"/>
                <w:kern w:val="0"/>
                <w:szCs w:val="21"/>
                <w:highlight w:val="none"/>
                <w:lang w:val="en-US" w:eastAsia="zh-CN"/>
              </w:rPr>
            </w:pPr>
            <w:r>
              <w:rPr>
                <w:rFonts w:hint="eastAsia" w:ascii="宋体" w:hAnsi="宋体" w:eastAsia="宋体" w:cs="宋体"/>
                <w:color w:val="auto"/>
                <w:kern w:val="0"/>
                <w:szCs w:val="21"/>
                <w:highlight w:val="none"/>
                <w:lang w:bidi="ar"/>
              </w:rPr>
              <w:t>业绩</w:t>
            </w:r>
          </w:p>
        </w:tc>
        <w:tc>
          <w:tcPr>
            <w:tcW w:w="7110" w:type="dxa"/>
            <w:vAlign w:val="top"/>
          </w:tcPr>
          <w:p w14:paraId="70A73F19">
            <w:pPr>
              <w:pStyle w:val="16"/>
              <w:spacing w:line="360" w:lineRule="exact"/>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202</w:t>
            </w:r>
            <w:r>
              <w:rPr>
                <w:rFonts w:hint="eastAsia" w:hAnsi="宋体" w:cs="宋体"/>
                <w:color w:val="auto"/>
                <w:sz w:val="21"/>
                <w:highlight w:val="none"/>
                <w:lang w:val="en-US" w:eastAsia="zh-CN"/>
              </w:rPr>
              <w:t>3</w:t>
            </w:r>
            <w:r>
              <w:rPr>
                <w:rFonts w:hint="eastAsia" w:ascii="宋体" w:hAnsi="宋体" w:eastAsia="宋体" w:cs="宋体"/>
                <w:color w:val="auto"/>
                <w:sz w:val="21"/>
                <w:highlight w:val="none"/>
                <w:lang w:val="en-US" w:eastAsia="zh-CN"/>
              </w:rPr>
              <w:t>年1月1日至今供应商承接或完成过类似项目业绩的，每提供一个得1分，满分5分。</w:t>
            </w:r>
          </w:p>
          <w:p w14:paraId="084CDE67">
            <w:pP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注:需提供以下材料，否则不计分。</w:t>
            </w:r>
          </w:p>
          <w:p w14:paraId="2D6ABBD1">
            <w:pPr>
              <w:numPr>
                <w:ilvl w:val="0"/>
                <w:numId w:val="0"/>
              </w:numPr>
              <w:rPr>
                <w:rFonts w:hint="eastAsia" w:ascii="宋体" w:hAnsi="宋体" w:eastAsia="宋体" w:cs="宋体"/>
                <w:color w:val="auto"/>
                <w:sz w:val="21"/>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sz w:val="21"/>
                <w:highlight w:val="none"/>
                <w:lang w:val="en-US" w:eastAsia="zh-CN"/>
              </w:rPr>
              <w:t>类似业绩一览表</w:t>
            </w:r>
          </w:p>
          <w:p w14:paraId="58F935A2">
            <w:pPr>
              <w:numPr>
                <w:ilvl w:val="0"/>
                <w:numId w:val="0"/>
              </w:numPr>
              <w:rPr>
                <w:rFonts w:hint="eastAsia" w:ascii="宋体" w:hAnsi="宋体" w:eastAsia="宋体" w:cs="宋体"/>
                <w:color w:val="auto"/>
                <w:sz w:val="21"/>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sz w:val="21"/>
                <w:highlight w:val="none"/>
                <w:lang w:val="en-US" w:eastAsia="zh-CN"/>
              </w:rPr>
              <w:t>对应业绩合同或中标（成交）通知书复印件，复印件加盖单位公章，否则不计分。</w:t>
            </w:r>
          </w:p>
          <w:p w14:paraId="67295CED">
            <w:pPr>
              <w:numPr>
                <w:ilvl w:val="0"/>
                <w:numId w:val="0"/>
              </w:numPr>
              <w:ind w:left="0" w:leftChars="0" w:firstLine="0" w:firstLineChars="0"/>
              <w:rPr>
                <w:rFonts w:hint="default" w:ascii="宋体" w:hAnsi="宋体" w:eastAsia="宋体" w:cs="宋体"/>
                <w:b/>
                <w:color w:val="auto"/>
                <w:kern w:val="0"/>
                <w:szCs w:val="21"/>
                <w:highlight w:val="none"/>
                <w:lang w:val="en-US" w:eastAsia="zh-CN"/>
              </w:rPr>
            </w:pPr>
            <w:r>
              <w:rPr>
                <w:rFonts w:hint="default" w:ascii="宋体" w:hAnsi="宋体" w:eastAsia="宋体" w:cs="宋体"/>
                <w:color w:val="auto"/>
                <w:sz w:val="21"/>
                <w:highlight w:val="none"/>
                <w:lang w:val="en-US" w:eastAsia="zh-CN"/>
              </w:rPr>
              <w:t>（3）类似业绩指建筑工程施工类项目业绩</w:t>
            </w:r>
            <w:r>
              <w:rPr>
                <w:rFonts w:hint="eastAsia" w:ascii="宋体" w:hAnsi="宋体" w:cs="宋体"/>
                <w:color w:val="auto"/>
                <w:sz w:val="21"/>
                <w:highlight w:val="none"/>
                <w:lang w:val="en-US" w:eastAsia="zh-CN"/>
              </w:rPr>
              <w:t>。</w:t>
            </w:r>
          </w:p>
        </w:tc>
        <w:tc>
          <w:tcPr>
            <w:tcW w:w="772" w:type="dxa"/>
            <w:vAlign w:val="center"/>
          </w:tcPr>
          <w:p w14:paraId="70BBD857">
            <w:pPr>
              <w:widowControl/>
              <w:spacing w:line="360" w:lineRule="exact"/>
              <w:jc w:val="center"/>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r>
      <w:tr w14:paraId="48C4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20" w:type="dxa"/>
            <w:gridSpan w:val="4"/>
          </w:tcPr>
          <w:p w14:paraId="02E06A3A">
            <w:pPr>
              <w:widowControl/>
              <w:spacing w:line="360" w:lineRule="exact"/>
              <w:jc w:val="left"/>
              <w:rPr>
                <w:rFonts w:ascii="宋体" w:hAnsi="宋体" w:cs="宋体"/>
                <w:color w:val="auto"/>
                <w:kern w:val="0"/>
                <w:szCs w:val="21"/>
                <w:highlight w:val="none"/>
              </w:rPr>
            </w:pPr>
            <w:r>
              <w:rPr>
                <w:rFonts w:hint="eastAsia" w:hAnsi="宋体" w:cs="宋体"/>
                <w:bCs/>
                <w:color w:val="auto"/>
                <w:sz w:val="21"/>
                <w:highlight w:val="none"/>
              </w:rPr>
              <w:t>总得分＝1＋2</w:t>
            </w:r>
            <w:r>
              <w:rPr>
                <w:rFonts w:hint="eastAsia" w:hAnsi="宋体" w:cs="宋体"/>
                <w:bCs/>
                <w:color w:val="auto"/>
                <w:sz w:val="21"/>
                <w:highlight w:val="none"/>
                <w:lang w:val="en-US" w:eastAsia="zh-CN"/>
              </w:rPr>
              <w:t>+3</w:t>
            </w:r>
          </w:p>
        </w:tc>
      </w:tr>
    </w:tbl>
    <w:p w14:paraId="6167DF34">
      <w:pPr>
        <w:pStyle w:val="16"/>
        <w:spacing w:line="360" w:lineRule="exact"/>
        <w:ind w:firstLine="420" w:firstLineChars="200"/>
        <w:rPr>
          <w:rFonts w:hint="eastAsia" w:hAnsi="宋体" w:cs="宋体"/>
          <w:color w:val="auto"/>
          <w:kern w:val="2"/>
          <w:sz w:val="21"/>
          <w:szCs w:val="24"/>
          <w:highlight w:val="none"/>
        </w:rPr>
      </w:pPr>
    </w:p>
    <w:p w14:paraId="6C769B71">
      <w:pPr>
        <w:pStyle w:val="16"/>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23E5DA56">
      <w:pPr>
        <w:spacing w:line="360" w:lineRule="auto"/>
        <w:ind w:firstLine="420" w:firstLineChars="200"/>
        <w:rPr>
          <w:rFonts w:ascii="宋体" w:hAnsi="宋体" w:cs="宋体"/>
          <w:color w:val="auto"/>
          <w:highlight w:val="none"/>
        </w:rPr>
      </w:pPr>
      <w:bookmarkStart w:id="61" w:name="_Toc80205935"/>
      <w:r>
        <w:rPr>
          <w:rFonts w:hint="eastAsia" w:ascii="宋体" w:hAnsi="宋体" w:cs="宋体"/>
          <w:color w:val="auto"/>
          <w:highlight w:val="none"/>
        </w:rPr>
        <w:t>8.3.终止竞争性磋商采购活动</w:t>
      </w:r>
    </w:p>
    <w:p w14:paraId="219E72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AF51435">
      <w:pPr>
        <w:pStyle w:val="3"/>
        <w:spacing w:before="0" w:after="0" w:line="360" w:lineRule="auto"/>
        <w:ind w:firstLine="640" w:firstLineChars="200"/>
        <w:jc w:val="center"/>
        <w:rPr>
          <w:rFonts w:ascii="宋体" w:hAnsi="宋体" w:cs="宋体"/>
          <w:b w:val="0"/>
          <w:color w:val="auto"/>
          <w:highlight w:val="none"/>
        </w:rPr>
      </w:pPr>
    </w:p>
    <w:p w14:paraId="016F8A19">
      <w:pPr>
        <w:pStyle w:val="3"/>
        <w:spacing w:before="0" w:after="0" w:line="360" w:lineRule="auto"/>
        <w:ind w:firstLine="640" w:firstLineChars="200"/>
        <w:jc w:val="center"/>
        <w:rPr>
          <w:rFonts w:ascii="宋体" w:hAnsi="宋体" w:cs="宋体"/>
          <w:b w:val="0"/>
          <w:color w:val="auto"/>
          <w:highlight w:val="none"/>
        </w:rPr>
      </w:pPr>
      <w:bookmarkStart w:id="62" w:name="_Toc1930"/>
      <w:r>
        <w:rPr>
          <w:rFonts w:hint="eastAsia" w:ascii="宋体" w:hAnsi="宋体" w:cs="宋体"/>
          <w:b w:val="0"/>
          <w:color w:val="auto"/>
          <w:highlight w:val="none"/>
        </w:rPr>
        <w:t>第二节 评标报告</w:t>
      </w:r>
      <w:bookmarkEnd w:id="61"/>
      <w:bookmarkEnd w:id="62"/>
    </w:p>
    <w:p w14:paraId="1338220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5EC3A64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C1DADD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246BFC1E">
      <w:pPr>
        <w:pStyle w:val="39"/>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EC8FF17">
      <w:pPr>
        <w:pStyle w:val="3"/>
        <w:spacing w:before="0" w:after="0" w:line="360" w:lineRule="auto"/>
        <w:ind w:firstLine="640" w:firstLineChars="200"/>
        <w:jc w:val="center"/>
        <w:rPr>
          <w:rFonts w:ascii="宋体" w:hAnsi="宋体" w:cs="宋体"/>
          <w:b w:val="0"/>
          <w:color w:val="auto"/>
          <w:highlight w:val="none"/>
        </w:rPr>
      </w:pPr>
      <w:bookmarkStart w:id="63" w:name="_Toc80205936"/>
      <w:bookmarkStart w:id="64" w:name="_Toc23409"/>
      <w:r>
        <w:rPr>
          <w:rFonts w:hint="eastAsia" w:ascii="宋体" w:hAnsi="宋体" w:cs="宋体"/>
          <w:b w:val="0"/>
          <w:color w:val="auto"/>
          <w:highlight w:val="none"/>
        </w:rPr>
        <w:t>第三节 评审过程的保密与录像</w:t>
      </w:r>
      <w:bookmarkEnd w:id="63"/>
      <w:bookmarkEnd w:id="64"/>
    </w:p>
    <w:p w14:paraId="1473A11F">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22EDE3DE">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DBD40B2">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0BFCB62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6E11D89A">
      <w:pPr>
        <w:pStyle w:val="3"/>
        <w:jc w:val="center"/>
        <w:rPr>
          <w:rFonts w:ascii="宋体" w:hAnsi="宋体" w:cs="宋体"/>
          <w:color w:val="auto"/>
          <w:highlight w:val="none"/>
        </w:rPr>
      </w:pPr>
    </w:p>
    <w:p w14:paraId="23B30BE2">
      <w:pPr>
        <w:pStyle w:val="3"/>
        <w:jc w:val="center"/>
        <w:rPr>
          <w:rFonts w:ascii="宋体" w:hAnsi="宋体" w:cs="宋体"/>
          <w:color w:val="auto"/>
          <w:highlight w:val="none"/>
        </w:rPr>
      </w:pPr>
    </w:p>
    <w:p w14:paraId="265A6C5C">
      <w:pPr>
        <w:pStyle w:val="3"/>
        <w:jc w:val="center"/>
        <w:rPr>
          <w:rFonts w:ascii="宋体" w:hAnsi="宋体" w:cs="宋体"/>
          <w:color w:val="auto"/>
          <w:highlight w:val="none"/>
        </w:rPr>
      </w:pPr>
    </w:p>
    <w:p w14:paraId="312A5444">
      <w:pPr>
        <w:pStyle w:val="3"/>
        <w:jc w:val="center"/>
        <w:rPr>
          <w:rFonts w:ascii="宋体" w:hAnsi="宋体" w:cs="宋体"/>
          <w:color w:val="auto"/>
          <w:highlight w:val="none"/>
        </w:rPr>
      </w:pPr>
    </w:p>
    <w:p w14:paraId="22F9ED0F">
      <w:pPr>
        <w:pStyle w:val="3"/>
        <w:rPr>
          <w:rFonts w:ascii="宋体" w:hAnsi="宋体" w:cs="宋体"/>
          <w:color w:val="auto"/>
          <w:highlight w:val="none"/>
        </w:rPr>
      </w:pPr>
    </w:p>
    <w:p w14:paraId="7809F5F0">
      <w:pPr>
        <w:pStyle w:val="2"/>
        <w:jc w:val="center"/>
        <w:rPr>
          <w:rFonts w:ascii="宋体" w:hAnsi="宋体" w:cs="宋体"/>
          <w:color w:val="auto"/>
          <w:highlight w:val="none"/>
        </w:rPr>
      </w:pPr>
      <w:bookmarkStart w:id="65" w:name="_Toc13484"/>
      <w:r>
        <w:rPr>
          <w:rFonts w:hint="eastAsia" w:ascii="宋体" w:hAnsi="宋体" w:cs="宋体"/>
          <w:color w:val="auto"/>
          <w:highlight w:val="none"/>
        </w:rPr>
        <w:t>第五章 响应文件格式</w:t>
      </w:r>
      <w:bookmarkEnd w:id="65"/>
    </w:p>
    <w:p w14:paraId="0D2C9148">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39B23937">
      <w:pPr>
        <w:pStyle w:val="3"/>
        <w:jc w:val="center"/>
        <w:rPr>
          <w:rFonts w:ascii="宋体" w:hAnsi="宋体" w:cs="宋体"/>
          <w:bCs w:val="0"/>
          <w:color w:val="auto"/>
          <w:highlight w:val="none"/>
        </w:rPr>
      </w:pPr>
      <w:bookmarkStart w:id="66" w:name="_Toc30886"/>
      <w:bookmarkStart w:id="67" w:name="_Toc80205939"/>
      <w:r>
        <w:rPr>
          <w:rFonts w:hint="eastAsia" w:ascii="宋体" w:hAnsi="宋体" w:cs="宋体"/>
          <w:bCs w:val="0"/>
          <w:color w:val="auto"/>
          <w:highlight w:val="none"/>
        </w:rPr>
        <w:t>第</w:t>
      </w:r>
      <w:r>
        <w:rPr>
          <w:rFonts w:hint="eastAsia" w:ascii="宋体" w:hAnsi="宋体" w:cs="宋体"/>
          <w:bCs w:val="0"/>
          <w:color w:val="auto"/>
          <w:highlight w:val="none"/>
          <w:lang w:val="en-US" w:eastAsia="zh-CN"/>
        </w:rPr>
        <w:t>一</w:t>
      </w:r>
      <w:r>
        <w:rPr>
          <w:rFonts w:hint="eastAsia" w:ascii="宋体" w:hAnsi="宋体" w:cs="宋体"/>
          <w:bCs w:val="0"/>
          <w:color w:val="auto"/>
          <w:highlight w:val="none"/>
        </w:rPr>
        <w:t>节 资格证明文件格式</w:t>
      </w:r>
      <w:bookmarkEnd w:id="66"/>
      <w:bookmarkEnd w:id="67"/>
    </w:p>
    <w:p w14:paraId="36709BB2">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97D9B7D">
      <w:pPr>
        <w:snapToGrid w:val="0"/>
        <w:spacing w:before="120" w:beforeLines="50" w:after="50"/>
        <w:rPr>
          <w:rFonts w:ascii="宋体" w:hAnsi="宋体" w:cs="宋体"/>
          <w:color w:val="auto"/>
          <w:sz w:val="24"/>
          <w:szCs w:val="20"/>
          <w:highlight w:val="none"/>
        </w:rPr>
      </w:pPr>
    </w:p>
    <w:p w14:paraId="09A0BB99">
      <w:pPr>
        <w:snapToGrid w:val="0"/>
        <w:spacing w:before="120" w:beforeLines="50" w:after="50"/>
        <w:rPr>
          <w:rFonts w:ascii="宋体" w:hAnsi="宋体" w:cs="宋体"/>
          <w:color w:val="auto"/>
          <w:sz w:val="24"/>
          <w:szCs w:val="20"/>
          <w:highlight w:val="none"/>
        </w:rPr>
      </w:pPr>
    </w:p>
    <w:p w14:paraId="223B9397">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75C96105">
      <w:pPr>
        <w:snapToGrid w:val="0"/>
        <w:spacing w:before="120" w:beforeLines="50" w:after="50"/>
        <w:rPr>
          <w:rFonts w:ascii="宋体" w:hAnsi="宋体" w:cs="宋体"/>
          <w:bCs/>
          <w:color w:val="auto"/>
          <w:sz w:val="24"/>
          <w:szCs w:val="20"/>
          <w:highlight w:val="none"/>
        </w:rPr>
      </w:pPr>
    </w:p>
    <w:p w14:paraId="228F7FF8">
      <w:pPr>
        <w:snapToGrid w:val="0"/>
        <w:spacing w:before="120" w:beforeLines="50" w:after="50"/>
        <w:rPr>
          <w:rFonts w:ascii="宋体" w:hAnsi="宋体" w:cs="宋体"/>
          <w:bCs/>
          <w:color w:val="auto"/>
          <w:sz w:val="24"/>
          <w:szCs w:val="20"/>
          <w:highlight w:val="none"/>
        </w:rPr>
      </w:pPr>
    </w:p>
    <w:p w14:paraId="34DDED18">
      <w:pPr>
        <w:snapToGrid w:val="0"/>
        <w:spacing w:before="120" w:beforeLines="50" w:after="50"/>
        <w:rPr>
          <w:rFonts w:ascii="宋体" w:hAnsi="宋体" w:cs="宋体"/>
          <w:bCs/>
          <w:color w:val="auto"/>
          <w:sz w:val="24"/>
          <w:szCs w:val="20"/>
          <w:highlight w:val="none"/>
        </w:rPr>
      </w:pPr>
    </w:p>
    <w:p w14:paraId="143FB149">
      <w:pPr>
        <w:snapToGrid w:val="0"/>
        <w:spacing w:before="120" w:beforeLines="50" w:after="50"/>
        <w:rPr>
          <w:rFonts w:ascii="宋体" w:hAnsi="宋体" w:cs="宋体"/>
          <w:bCs/>
          <w:color w:val="auto"/>
          <w:sz w:val="24"/>
          <w:szCs w:val="20"/>
          <w:highlight w:val="none"/>
        </w:rPr>
      </w:pPr>
    </w:p>
    <w:p w14:paraId="5DB50761">
      <w:pPr>
        <w:snapToGrid w:val="0"/>
        <w:spacing w:before="120" w:beforeLines="50" w:after="50"/>
        <w:rPr>
          <w:rFonts w:ascii="宋体" w:hAnsi="宋体" w:cs="宋体"/>
          <w:bCs/>
          <w:color w:val="auto"/>
          <w:sz w:val="24"/>
          <w:szCs w:val="20"/>
          <w:highlight w:val="none"/>
        </w:rPr>
      </w:pPr>
    </w:p>
    <w:p w14:paraId="2C32461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8" w:name="PO_3000001868_PM002_3"/>
      <w:r>
        <w:rPr>
          <w:rFonts w:hint="eastAsia" w:ascii="宋体" w:hAnsi="宋体" w:cs="宋体"/>
          <w:bCs/>
          <w:color w:val="auto"/>
          <w:sz w:val="32"/>
          <w:szCs w:val="32"/>
          <w:highlight w:val="none"/>
        </w:rPr>
        <w:t>[项目名称]</w:t>
      </w:r>
      <w:bookmarkEnd w:id="68"/>
    </w:p>
    <w:p w14:paraId="0BE0E58C">
      <w:pPr>
        <w:snapToGrid w:val="0"/>
        <w:spacing w:before="120" w:beforeLines="50" w:after="50"/>
        <w:ind w:firstLine="720" w:firstLineChars="225"/>
        <w:rPr>
          <w:rFonts w:ascii="宋体" w:hAnsi="宋体" w:cs="宋体"/>
          <w:bCs/>
          <w:color w:val="auto"/>
          <w:sz w:val="32"/>
          <w:szCs w:val="32"/>
          <w:highlight w:val="none"/>
        </w:rPr>
      </w:pPr>
    </w:p>
    <w:p w14:paraId="0D06564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69" w:name="PO_3000001868_PM001_5"/>
      <w:r>
        <w:rPr>
          <w:rFonts w:hint="eastAsia" w:ascii="宋体" w:hAnsi="宋体" w:cs="宋体"/>
          <w:bCs/>
          <w:color w:val="auto"/>
          <w:sz w:val="32"/>
          <w:szCs w:val="32"/>
          <w:highlight w:val="none"/>
        </w:rPr>
        <w:t>[项目编号]</w:t>
      </w:r>
      <w:bookmarkEnd w:id="69"/>
    </w:p>
    <w:p w14:paraId="4831D49A">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F387DB7">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4F76E2F">
      <w:pPr>
        <w:snapToGrid w:val="0"/>
        <w:spacing w:before="120" w:beforeLines="50" w:after="50"/>
        <w:ind w:firstLine="720" w:firstLineChars="225"/>
        <w:rPr>
          <w:rFonts w:ascii="宋体" w:hAnsi="宋体" w:cs="宋体"/>
          <w:bCs/>
          <w:color w:val="auto"/>
          <w:sz w:val="32"/>
          <w:szCs w:val="32"/>
          <w:highlight w:val="none"/>
        </w:rPr>
      </w:pPr>
    </w:p>
    <w:p w14:paraId="6BB3325B">
      <w:pPr>
        <w:pStyle w:val="9"/>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1B5D515">
      <w:pPr>
        <w:pStyle w:val="9"/>
        <w:snapToGrid w:val="0"/>
        <w:spacing w:before="50" w:after="50"/>
        <w:ind w:firstLine="720" w:firstLineChars="225"/>
        <w:rPr>
          <w:rFonts w:ascii="宋体" w:hAnsi="宋体" w:cs="宋体"/>
          <w:bCs/>
          <w:color w:val="auto"/>
          <w:sz w:val="32"/>
          <w:szCs w:val="32"/>
          <w:highlight w:val="none"/>
        </w:rPr>
      </w:pPr>
    </w:p>
    <w:p w14:paraId="2AFCC04B">
      <w:pPr>
        <w:pStyle w:val="9"/>
        <w:snapToGrid w:val="0"/>
        <w:spacing w:before="50" w:after="50"/>
        <w:ind w:firstLine="720" w:firstLineChars="225"/>
        <w:rPr>
          <w:rFonts w:ascii="宋体" w:hAnsi="宋体" w:cs="宋体"/>
          <w:bCs/>
          <w:color w:val="auto"/>
          <w:sz w:val="32"/>
          <w:szCs w:val="32"/>
          <w:highlight w:val="none"/>
        </w:rPr>
      </w:pPr>
    </w:p>
    <w:p w14:paraId="4C06D23C">
      <w:pPr>
        <w:pStyle w:val="9"/>
        <w:snapToGrid w:val="0"/>
        <w:spacing w:before="50" w:after="50"/>
        <w:ind w:firstLine="720" w:firstLineChars="225"/>
        <w:rPr>
          <w:rFonts w:ascii="宋体" w:hAnsi="宋体" w:cs="宋体"/>
          <w:bCs/>
          <w:color w:val="auto"/>
          <w:sz w:val="32"/>
          <w:szCs w:val="32"/>
          <w:highlight w:val="none"/>
        </w:rPr>
      </w:pPr>
    </w:p>
    <w:p w14:paraId="2FF1A1B8">
      <w:pPr>
        <w:pStyle w:val="9"/>
        <w:snapToGrid w:val="0"/>
        <w:spacing w:before="50" w:after="50"/>
        <w:ind w:firstLine="1280" w:firstLineChars="400"/>
        <w:rPr>
          <w:rFonts w:ascii="宋体" w:hAnsi="宋体" w:cs="宋体"/>
          <w:bCs/>
          <w:color w:val="auto"/>
          <w:sz w:val="32"/>
          <w:szCs w:val="32"/>
          <w:highlight w:val="none"/>
        </w:rPr>
      </w:pPr>
    </w:p>
    <w:p w14:paraId="72C887B3">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3FF91C7">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p>
    <w:p w14:paraId="530F6FFF">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B7517CD">
      <w:pPr>
        <w:snapToGrid w:val="0"/>
        <w:spacing w:line="360" w:lineRule="auto"/>
        <w:rPr>
          <w:rFonts w:ascii="宋体" w:hAnsi="宋体" w:cs="宋体"/>
          <w:color w:val="auto"/>
          <w:kern w:val="0"/>
          <w:sz w:val="24"/>
          <w:highlight w:val="none"/>
        </w:rPr>
      </w:pPr>
    </w:p>
    <w:p w14:paraId="37A80D6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797FF02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二、</w:t>
      </w:r>
      <w:r>
        <w:rPr>
          <w:rFonts w:hint="eastAsia" w:ascii="宋体" w:hAnsi="宋体" w:cs="宋体"/>
          <w:color w:val="auto"/>
          <w:kern w:val="0"/>
          <w:sz w:val="24"/>
          <w:highlight w:val="none"/>
        </w:rPr>
        <w:t>供应商依法缴纳税收的相关材料……………………………（页码）</w:t>
      </w:r>
    </w:p>
    <w:p w14:paraId="6A39E7EA">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三、</w:t>
      </w:r>
      <w:r>
        <w:rPr>
          <w:rFonts w:hint="eastAsia" w:ascii="宋体" w:hAnsi="宋体" w:cs="宋体"/>
          <w:color w:val="auto"/>
          <w:kern w:val="0"/>
          <w:sz w:val="24"/>
          <w:highlight w:val="none"/>
        </w:rPr>
        <w:t>供应商依法缴纳社会保障资金的相关材料………………………………………（页码）</w:t>
      </w:r>
    </w:p>
    <w:p w14:paraId="4F9E65C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四、</w:t>
      </w:r>
      <w:r>
        <w:rPr>
          <w:rFonts w:hint="eastAsia" w:ascii="宋体" w:hAnsi="宋体" w:cs="宋体"/>
          <w:color w:val="auto"/>
          <w:kern w:val="0"/>
          <w:sz w:val="24"/>
          <w:highlight w:val="none"/>
        </w:rPr>
        <w:t>供应商财务状况报告………………………（页码）</w:t>
      </w:r>
    </w:p>
    <w:p w14:paraId="29823BD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、供应商直接控股股东信息</w:t>
      </w:r>
      <w:r>
        <w:rPr>
          <w:rFonts w:hint="eastAsia" w:ascii="宋体" w:hAnsi="宋体" w:cs="宋体"/>
          <w:color w:val="auto"/>
          <w:sz w:val="24"/>
          <w:highlight w:val="none"/>
          <w:lang w:eastAsia="zh-CN"/>
        </w:rPr>
        <w:t>、供应商直接关联关系信息表</w:t>
      </w:r>
      <w:r>
        <w:rPr>
          <w:rFonts w:hint="eastAsia" w:ascii="宋体" w:hAnsi="宋体" w:cs="宋体"/>
          <w:color w:val="auto"/>
          <w:kern w:val="0"/>
          <w:sz w:val="24"/>
          <w:highlight w:val="none"/>
        </w:rPr>
        <w:t>……………（页码）</w:t>
      </w:r>
    </w:p>
    <w:p w14:paraId="361A7C4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w:t>
      </w:r>
      <w:r>
        <w:rPr>
          <w:rFonts w:hint="eastAsia" w:ascii="宋体" w:hAnsi="宋体" w:cs="宋体"/>
          <w:color w:val="auto"/>
          <w:kern w:val="0"/>
          <w:sz w:val="24"/>
          <w:highlight w:val="none"/>
        </w:rPr>
        <w:t>竞标声明………………………………………………（页码）</w:t>
      </w:r>
    </w:p>
    <w:p w14:paraId="67C5654B">
      <w:pPr>
        <w:snapToGrid w:val="0"/>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七、资格证明材料</w:t>
      </w:r>
      <w:r>
        <w:rPr>
          <w:rFonts w:hint="eastAsia" w:ascii="宋体" w:hAnsi="宋体" w:cs="宋体"/>
          <w:color w:val="auto"/>
          <w:kern w:val="0"/>
          <w:sz w:val="24"/>
          <w:highlight w:val="none"/>
        </w:rPr>
        <w:t>…………………………………………（页码）</w:t>
      </w:r>
    </w:p>
    <w:p w14:paraId="1EFDF202">
      <w:pPr>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企业声明函或残疾人福利性单位声明函或属于监狱企业的证明文件</w:t>
      </w:r>
      <w:r>
        <w:rPr>
          <w:rFonts w:hint="eastAsia" w:ascii="宋体" w:hAnsi="宋体" w:cs="宋体"/>
          <w:color w:val="auto"/>
          <w:kern w:val="0"/>
          <w:sz w:val="24"/>
          <w:highlight w:val="none"/>
        </w:rPr>
        <w:t>（页码）</w:t>
      </w:r>
    </w:p>
    <w:p w14:paraId="13450981">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w:t>
      </w:r>
      <w:r>
        <w:rPr>
          <w:rFonts w:hint="eastAsia" w:ascii="宋体" w:hAnsi="宋体" w:cs="宋体"/>
          <w:color w:val="auto"/>
          <w:kern w:val="0"/>
          <w:sz w:val="24"/>
          <w:highlight w:val="none"/>
          <w:lang w:val="en-US" w:eastAsia="zh-CN"/>
        </w:rPr>
        <w:t>联合体协议</w:t>
      </w:r>
      <w:r>
        <w:rPr>
          <w:rFonts w:hint="eastAsia" w:ascii="宋体" w:hAnsi="宋体" w:cs="宋体"/>
          <w:color w:val="auto"/>
          <w:kern w:val="0"/>
          <w:sz w:val="24"/>
          <w:highlight w:val="none"/>
        </w:rPr>
        <w:t>…………………………………………………………………（页码）</w:t>
      </w:r>
    </w:p>
    <w:p w14:paraId="5805A1BA">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十</w:t>
      </w:r>
      <w:r>
        <w:rPr>
          <w:rFonts w:hint="eastAsia" w:ascii="宋体" w:hAnsi="宋体" w:cs="宋体"/>
          <w:color w:val="auto"/>
          <w:sz w:val="24"/>
          <w:highlight w:val="none"/>
        </w:rPr>
        <w:t>、除磋商文件规定必须提供以外，供应商认为需要提供的其他证明材料</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329C024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08CEA85E">
      <w:pPr>
        <w:snapToGrid w:val="0"/>
        <w:spacing w:before="120" w:beforeLines="50" w:after="50" w:line="360" w:lineRule="auto"/>
        <w:ind w:left="142" w:firstLine="420" w:firstLineChars="200"/>
        <w:jc w:val="left"/>
        <w:rPr>
          <w:rFonts w:ascii="宋体" w:hAnsi="宋体" w:cs="宋体"/>
          <w:color w:val="auto"/>
          <w:szCs w:val="21"/>
          <w:highlight w:val="none"/>
        </w:rPr>
      </w:pPr>
    </w:p>
    <w:p w14:paraId="3F240C1C">
      <w:pPr>
        <w:spacing w:line="300" w:lineRule="auto"/>
        <w:rPr>
          <w:rFonts w:ascii="宋体" w:hAnsi="宋体" w:cs="宋体"/>
          <w:color w:val="auto"/>
          <w:szCs w:val="21"/>
          <w:highlight w:val="none"/>
        </w:rPr>
      </w:pPr>
    </w:p>
    <w:p w14:paraId="0583941E">
      <w:pPr>
        <w:spacing w:line="300" w:lineRule="auto"/>
        <w:rPr>
          <w:rFonts w:ascii="宋体" w:hAnsi="宋体" w:cs="宋体"/>
          <w:color w:val="auto"/>
          <w:szCs w:val="21"/>
          <w:highlight w:val="none"/>
        </w:rPr>
      </w:pPr>
    </w:p>
    <w:p w14:paraId="5687D8B4">
      <w:pPr>
        <w:spacing w:line="300" w:lineRule="auto"/>
        <w:rPr>
          <w:rFonts w:ascii="宋体" w:hAnsi="宋体" w:cs="宋体"/>
          <w:color w:val="auto"/>
          <w:szCs w:val="21"/>
          <w:highlight w:val="none"/>
        </w:rPr>
      </w:pPr>
    </w:p>
    <w:p w14:paraId="0646F6E8">
      <w:pPr>
        <w:spacing w:line="300" w:lineRule="auto"/>
        <w:rPr>
          <w:rFonts w:ascii="宋体" w:hAnsi="宋体" w:cs="宋体"/>
          <w:color w:val="auto"/>
          <w:szCs w:val="21"/>
          <w:highlight w:val="none"/>
        </w:rPr>
      </w:pPr>
    </w:p>
    <w:p w14:paraId="039AA8D7">
      <w:pPr>
        <w:spacing w:line="300" w:lineRule="auto"/>
        <w:rPr>
          <w:rFonts w:ascii="宋体" w:hAnsi="宋体" w:cs="宋体"/>
          <w:color w:val="auto"/>
          <w:szCs w:val="21"/>
          <w:highlight w:val="none"/>
        </w:rPr>
      </w:pPr>
    </w:p>
    <w:p w14:paraId="55135968">
      <w:pPr>
        <w:spacing w:line="300" w:lineRule="auto"/>
        <w:rPr>
          <w:rFonts w:ascii="宋体" w:hAnsi="宋体" w:cs="宋体"/>
          <w:color w:val="auto"/>
          <w:szCs w:val="21"/>
          <w:highlight w:val="none"/>
        </w:rPr>
      </w:pPr>
    </w:p>
    <w:p w14:paraId="63C1ECFD">
      <w:pPr>
        <w:spacing w:line="300" w:lineRule="auto"/>
        <w:rPr>
          <w:rFonts w:ascii="宋体" w:hAnsi="宋体" w:cs="宋体"/>
          <w:color w:val="auto"/>
          <w:szCs w:val="21"/>
          <w:highlight w:val="none"/>
        </w:rPr>
      </w:pPr>
    </w:p>
    <w:p w14:paraId="1C0EFA74">
      <w:pPr>
        <w:spacing w:line="300" w:lineRule="auto"/>
        <w:rPr>
          <w:rFonts w:ascii="宋体" w:hAnsi="宋体" w:cs="宋体"/>
          <w:color w:val="auto"/>
          <w:szCs w:val="21"/>
          <w:highlight w:val="none"/>
        </w:rPr>
      </w:pPr>
    </w:p>
    <w:p w14:paraId="3353709E">
      <w:pPr>
        <w:spacing w:line="300" w:lineRule="auto"/>
        <w:rPr>
          <w:rFonts w:ascii="宋体" w:hAnsi="宋体" w:cs="宋体"/>
          <w:color w:val="auto"/>
          <w:szCs w:val="21"/>
          <w:highlight w:val="none"/>
        </w:rPr>
      </w:pPr>
    </w:p>
    <w:p w14:paraId="46E9802B">
      <w:pPr>
        <w:spacing w:line="300" w:lineRule="auto"/>
        <w:rPr>
          <w:rFonts w:ascii="宋体" w:hAnsi="宋体" w:cs="宋体"/>
          <w:color w:val="auto"/>
          <w:szCs w:val="21"/>
          <w:highlight w:val="none"/>
        </w:rPr>
      </w:pPr>
    </w:p>
    <w:p w14:paraId="48B6CF31">
      <w:pPr>
        <w:spacing w:line="300" w:lineRule="auto"/>
        <w:rPr>
          <w:rFonts w:ascii="宋体" w:hAnsi="宋体" w:cs="宋体"/>
          <w:color w:val="auto"/>
          <w:szCs w:val="21"/>
          <w:highlight w:val="none"/>
        </w:rPr>
      </w:pPr>
    </w:p>
    <w:p w14:paraId="2ABD3E48">
      <w:pPr>
        <w:spacing w:line="300" w:lineRule="auto"/>
        <w:rPr>
          <w:rFonts w:ascii="宋体" w:hAnsi="宋体" w:cs="宋体"/>
          <w:color w:val="auto"/>
          <w:szCs w:val="21"/>
          <w:highlight w:val="none"/>
        </w:rPr>
      </w:pPr>
    </w:p>
    <w:p w14:paraId="4CC4F6C1">
      <w:pPr>
        <w:spacing w:line="300" w:lineRule="auto"/>
        <w:rPr>
          <w:rFonts w:ascii="宋体" w:hAnsi="宋体" w:cs="宋体"/>
          <w:color w:val="auto"/>
          <w:szCs w:val="21"/>
          <w:highlight w:val="none"/>
        </w:rPr>
      </w:pPr>
    </w:p>
    <w:p w14:paraId="1F62E52D">
      <w:pPr>
        <w:spacing w:line="300" w:lineRule="auto"/>
        <w:rPr>
          <w:rFonts w:ascii="宋体" w:hAnsi="宋体" w:cs="宋体"/>
          <w:color w:val="auto"/>
          <w:szCs w:val="21"/>
          <w:highlight w:val="none"/>
        </w:rPr>
      </w:pPr>
    </w:p>
    <w:p w14:paraId="5976CC28">
      <w:pPr>
        <w:spacing w:line="300" w:lineRule="auto"/>
        <w:rPr>
          <w:rFonts w:ascii="宋体" w:hAnsi="宋体" w:cs="宋体"/>
          <w:color w:val="auto"/>
          <w:szCs w:val="21"/>
          <w:highlight w:val="none"/>
        </w:rPr>
      </w:pPr>
    </w:p>
    <w:p w14:paraId="0E73A433">
      <w:pPr>
        <w:spacing w:line="300" w:lineRule="auto"/>
        <w:rPr>
          <w:rFonts w:ascii="宋体" w:hAnsi="宋体" w:cs="宋体"/>
          <w:color w:val="auto"/>
          <w:szCs w:val="21"/>
          <w:highlight w:val="none"/>
        </w:rPr>
      </w:pPr>
    </w:p>
    <w:p w14:paraId="528B12CC">
      <w:pPr>
        <w:spacing w:line="300" w:lineRule="auto"/>
        <w:rPr>
          <w:rFonts w:ascii="宋体" w:hAnsi="宋体" w:cs="宋体"/>
          <w:color w:val="auto"/>
          <w:szCs w:val="21"/>
          <w:highlight w:val="none"/>
        </w:rPr>
      </w:pPr>
    </w:p>
    <w:p w14:paraId="59AB4E0A">
      <w:pPr>
        <w:spacing w:line="300" w:lineRule="auto"/>
        <w:rPr>
          <w:rFonts w:ascii="宋体" w:hAnsi="宋体" w:cs="宋体"/>
          <w:color w:val="auto"/>
          <w:szCs w:val="21"/>
          <w:highlight w:val="none"/>
        </w:rPr>
      </w:pPr>
    </w:p>
    <w:p w14:paraId="684FFEA7">
      <w:pPr>
        <w:pStyle w:val="16"/>
        <w:spacing w:line="360" w:lineRule="auto"/>
        <w:ind w:firstLine="482" w:firstLineChars="200"/>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一、营业执照(或事业法人登记证或其他工商等登记证明材料)复印件（供应商为自然人的，提供自然人的身份证明）（电子签章）</w:t>
      </w:r>
    </w:p>
    <w:p w14:paraId="429C372C">
      <w:pPr>
        <w:pStyle w:val="16"/>
        <w:spacing w:line="360" w:lineRule="auto"/>
        <w:ind w:firstLine="482" w:firstLineChars="200"/>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二、供应商依法缴纳税收的相关材料：提供2025年11月至2026年5月期间任意 3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电子签章）</w:t>
      </w:r>
    </w:p>
    <w:p w14:paraId="6BC31102">
      <w:pPr>
        <w:numPr>
          <w:ilvl w:val="0"/>
          <w:numId w:val="0"/>
        </w:numPr>
        <w:snapToGrid w:val="0"/>
        <w:spacing w:line="360" w:lineRule="auto"/>
        <w:ind w:firstLine="482" w:firstLineChars="200"/>
        <w:rPr>
          <w:rFonts w:hint="eastAsia" w:ascii="宋体" w:hAnsi="宋体" w:eastAsia="宋体" w:cs="宋体"/>
          <w:b/>
          <w:color w:val="auto"/>
          <w:kern w:val="0"/>
          <w:sz w:val="24"/>
          <w:szCs w:val="24"/>
          <w:highlight w:val="none"/>
          <w:lang w:val="zh-CN" w:eastAsia="zh-CN" w:bidi="ar-SA"/>
        </w:rPr>
      </w:pPr>
      <w:r>
        <w:rPr>
          <w:rFonts w:hint="eastAsia" w:ascii="宋体" w:hAnsi="宋体" w:eastAsia="宋体" w:cs="宋体"/>
          <w:b/>
          <w:color w:val="auto"/>
          <w:kern w:val="0"/>
          <w:sz w:val="24"/>
          <w:szCs w:val="24"/>
          <w:highlight w:val="none"/>
          <w:lang w:val="zh-CN" w:eastAsia="zh-CN" w:bidi="ar-SA"/>
        </w:rPr>
        <w:t>三、</w:t>
      </w:r>
      <w:r>
        <w:rPr>
          <w:rFonts w:hint="eastAsia" w:ascii="宋体" w:hAnsi="宋体" w:eastAsia="宋体" w:cs="宋体"/>
          <w:b/>
          <w:color w:val="auto"/>
          <w:kern w:val="0"/>
          <w:sz w:val="24"/>
          <w:szCs w:val="24"/>
          <w:highlight w:val="none"/>
          <w:lang w:val="en-US" w:eastAsia="zh-CN" w:bidi="ar-SA"/>
        </w:rPr>
        <w:t>供应商依法缴纳社会保障资金的相关材料：提供2025年11月至2026年5月期间任意 3 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kern w:val="0"/>
          <w:sz w:val="24"/>
          <w:szCs w:val="24"/>
          <w:highlight w:val="none"/>
          <w:lang w:val="zh-CN" w:eastAsia="zh-CN" w:bidi="ar-SA"/>
        </w:rPr>
        <w:t xml:space="preserve"> </w:t>
      </w:r>
      <w:r>
        <w:rPr>
          <w:rFonts w:hint="eastAsia" w:ascii="宋体" w:hAnsi="宋体" w:eastAsia="宋体" w:cs="宋体"/>
          <w:b/>
          <w:color w:val="auto"/>
          <w:kern w:val="0"/>
          <w:sz w:val="24"/>
          <w:szCs w:val="24"/>
          <w:highlight w:val="none"/>
          <w:lang w:val="en-US" w:eastAsia="zh-CN" w:bidi="ar-SA"/>
        </w:rPr>
        <w:t>（电子签章）</w:t>
      </w:r>
    </w:p>
    <w:p w14:paraId="1ED41E49">
      <w:pPr>
        <w:numPr>
          <w:ilvl w:val="0"/>
          <w:numId w:val="0"/>
        </w:numPr>
        <w:snapToGrid w:val="0"/>
        <w:spacing w:line="360" w:lineRule="auto"/>
        <w:ind w:firstLine="482" w:firstLineChars="200"/>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en-US" w:eastAsia="zh-CN" w:bidi="ar-SA"/>
        </w:rPr>
        <w:t>四、供应商财务状况报告：提供2024年或2025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eastAsia="宋体" w:cs="宋体"/>
          <w:b/>
          <w:color w:val="auto"/>
          <w:kern w:val="0"/>
          <w:sz w:val="30"/>
          <w:szCs w:val="30"/>
          <w:highlight w:val="none"/>
          <w:lang w:val="zh-CN" w:eastAsia="zh-CN" w:bidi="ar-SA"/>
        </w:rPr>
        <w:t xml:space="preserve"> </w:t>
      </w:r>
      <w:r>
        <w:rPr>
          <w:rFonts w:hint="eastAsia" w:ascii="宋体" w:hAnsi="宋体" w:eastAsia="宋体" w:cs="宋体"/>
          <w:b/>
          <w:color w:val="auto"/>
          <w:kern w:val="0"/>
          <w:sz w:val="24"/>
          <w:szCs w:val="24"/>
          <w:highlight w:val="none"/>
          <w:lang w:val="en-US" w:eastAsia="zh-CN" w:bidi="ar-SA"/>
        </w:rPr>
        <w:t>（电子签章）</w:t>
      </w:r>
      <w:r>
        <w:rPr>
          <w:rFonts w:hint="eastAsia" w:ascii="宋体" w:hAnsi="宋体" w:eastAsia="宋体" w:cs="宋体"/>
          <w:b/>
          <w:color w:val="auto"/>
          <w:kern w:val="0"/>
          <w:sz w:val="30"/>
          <w:szCs w:val="30"/>
          <w:highlight w:val="none"/>
          <w:lang w:val="zh-CN" w:eastAsia="zh-CN" w:bidi="ar-SA"/>
        </w:rPr>
        <w:t xml:space="preserve">        </w:t>
      </w:r>
      <w:r>
        <w:rPr>
          <w:rFonts w:hint="eastAsia" w:ascii="宋体" w:hAnsi="宋体" w:eastAsia="宋体" w:cs="宋体"/>
          <w:color w:val="auto"/>
          <w:kern w:val="0"/>
          <w:sz w:val="24"/>
          <w:szCs w:val="24"/>
          <w:highlight w:val="none"/>
          <w:lang w:val="zh-CN"/>
        </w:rPr>
        <w:t xml:space="preserve">                                </w:t>
      </w:r>
    </w:p>
    <w:p w14:paraId="69CF33CE">
      <w:pPr>
        <w:snapToGrid w:val="0"/>
        <w:spacing w:line="360" w:lineRule="auto"/>
        <w:ind w:firstLine="480" w:firstLineChars="200"/>
        <w:rPr>
          <w:rFonts w:hint="eastAsia" w:ascii="宋体" w:hAnsi="宋体" w:eastAsia="宋体" w:cs="宋体"/>
          <w:color w:val="auto"/>
          <w:sz w:val="24"/>
          <w:szCs w:val="24"/>
          <w:highlight w:val="none"/>
        </w:rPr>
      </w:pPr>
    </w:p>
    <w:p w14:paraId="0B2AEBC3">
      <w:pPr>
        <w:snapToGri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p>
    <w:p w14:paraId="0BC85620">
      <w:pPr>
        <w:snapToGrid w:val="0"/>
        <w:spacing w:line="360" w:lineRule="auto"/>
        <w:ind w:firstLine="3840" w:firstLineChars="1600"/>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 xml:space="preserve">   </w:t>
      </w:r>
    </w:p>
    <w:p w14:paraId="0F4287BD">
      <w:pPr>
        <w:spacing w:line="300" w:lineRule="auto"/>
        <w:rPr>
          <w:rFonts w:ascii="宋体" w:hAnsi="宋体" w:cs="宋体"/>
          <w:color w:val="auto"/>
          <w:szCs w:val="21"/>
          <w:highlight w:val="none"/>
        </w:rPr>
      </w:pPr>
    </w:p>
    <w:p w14:paraId="594D268E">
      <w:pPr>
        <w:spacing w:line="300" w:lineRule="auto"/>
        <w:rPr>
          <w:rFonts w:ascii="宋体" w:hAnsi="宋体" w:cs="宋体"/>
          <w:color w:val="auto"/>
          <w:szCs w:val="21"/>
          <w:highlight w:val="none"/>
        </w:rPr>
      </w:pPr>
    </w:p>
    <w:p w14:paraId="6655380F">
      <w:pPr>
        <w:spacing w:line="300" w:lineRule="auto"/>
        <w:rPr>
          <w:rFonts w:ascii="宋体" w:hAnsi="宋体" w:cs="宋体"/>
          <w:color w:val="auto"/>
          <w:szCs w:val="21"/>
          <w:highlight w:val="none"/>
        </w:rPr>
      </w:pPr>
    </w:p>
    <w:p w14:paraId="0AFE84D7">
      <w:pPr>
        <w:spacing w:line="300" w:lineRule="auto"/>
        <w:rPr>
          <w:rFonts w:ascii="宋体" w:hAnsi="宋体" w:cs="宋体"/>
          <w:color w:val="auto"/>
          <w:szCs w:val="21"/>
          <w:highlight w:val="none"/>
        </w:rPr>
      </w:pPr>
    </w:p>
    <w:p w14:paraId="6B5EC09A">
      <w:pPr>
        <w:spacing w:line="300" w:lineRule="auto"/>
        <w:rPr>
          <w:rFonts w:ascii="宋体" w:hAnsi="宋体" w:cs="宋体"/>
          <w:color w:val="auto"/>
          <w:szCs w:val="21"/>
          <w:highlight w:val="none"/>
        </w:rPr>
      </w:pPr>
    </w:p>
    <w:p w14:paraId="1B0B1FA5">
      <w:pPr>
        <w:snapToGrid w:val="0"/>
        <w:spacing w:before="120" w:beforeLines="50" w:after="50" w:line="360" w:lineRule="auto"/>
        <w:jc w:val="both"/>
        <w:rPr>
          <w:rFonts w:ascii="宋体" w:hAnsi="宋体" w:cs="宋体"/>
          <w:b/>
          <w:color w:val="auto"/>
          <w:sz w:val="24"/>
          <w:highlight w:val="none"/>
        </w:rPr>
      </w:pPr>
    </w:p>
    <w:p w14:paraId="5FDD00FE">
      <w:pPr>
        <w:snapToGrid w:val="0"/>
        <w:spacing w:before="120" w:beforeLines="50" w:after="50" w:line="360" w:lineRule="auto"/>
        <w:jc w:val="both"/>
        <w:rPr>
          <w:rFonts w:ascii="宋体" w:hAnsi="宋体" w:cs="宋体"/>
          <w:b/>
          <w:color w:val="auto"/>
          <w:sz w:val="24"/>
          <w:highlight w:val="none"/>
        </w:rPr>
      </w:pPr>
    </w:p>
    <w:p w14:paraId="00807685">
      <w:pPr>
        <w:snapToGrid w:val="0"/>
        <w:spacing w:before="120" w:beforeLines="50" w:after="50" w:line="360" w:lineRule="auto"/>
        <w:jc w:val="both"/>
        <w:rPr>
          <w:rFonts w:ascii="宋体" w:hAnsi="宋体" w:cs="宋体"/>
          <w:b/>
          <w:color w:val="auto"/>
          <w:sz w:val="24"/>
          <w:highlight w:val="none"/>
        </w:rPr>
      </w:pPr>
    </w:p>
    <w:p w14:paraId="65717294">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五</w:t>
      </w:r>
      <w:r>
        <w:rPr>
          <w:rFonts w:hint="eastAsia" w:ascii="宋体" w:hAnsi="宋体" w:cs="宋体"/>
          <w:b/>
          <w:color w:val="auto"/>
          <w:kern w:val="0"/>
          <w:sz w:val="30"/>
          <w:szCs w:val="30"/>
          <w:highlight w:val="none"/>
        </w:rPr>
        <w:t>、供应商直接控股股东信息</w:t>
      </w:r>
    </w:p>
    <w:p w14:paraId="28B50EEA">
      <w:pPr>
        <w:spacing w:line="360" w:lineRule="auto"/>
        <w:jc w:val="center"/>
        <w:rPr>
          <w:rFonts w:ascii="宋体" w:hAnsi="宋体" w:cs="宋体"/>
          <w:b/>
          <w:color w:val="auto"/>
          <w:sz w:val="24"/>
          <w:highlight w:val="none"/>
        </w:rPr>
      </w:pPr>
      <w:r>
        <w:rPr>
          <w:rFonts w:hint="default" w:ascii="Calibri" w:hAnsi="Calibri" w:cs="Calibri"/>
          <w:b/>
          <w:color w:val="auto"/>
          <w:kern w:val="0"/>
          <w:sz w:val="30"/>
          <w:szCs w:val="30"/>
          <w:highlight w:val="none"/>
        </w:rPr>
        <w:t>①</w:t>
      </w:r>
      <w:r>
        <w:rPr>
          <w:rFonts w:hint="eastAsia" w:ascii="宋体" w:hAnsi="宋体" w:cs="宋体"/>
          <w:b/>
          <w:color w:val="auto"/>
          <w:kern w:val="0"/>
          <w:sz w:val="30"/>
          <w:szCs w:val="30"/>
          <w:highlight w:val="none"/>
        </w:rPr>
        <w:t>供应商直接控股股东信息</w:t>
      </w:r>
    </w:p>
    <w:tbl>
      <w:tblPr>
        <w:tblStyle w:val="27"/>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825B89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56778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E5716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99674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4C593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FBDE5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5F6B57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69EFD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B83AD5">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CA7661">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536258">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72B9C5">
            <w:pPr>
              <w:widowControl/>
              <w:spacing w:line="360" w:lineRule="auto"/>
              <w:jc w:val="center"/>
              <w:rPr>
                <w:rFonts w:ascii="宋体" w:hAnsi="宋体" w:cs="宋体"/>
                <w:color w:val="auto"/>
                <w:kern w:val="0"/>
                <w:sz w:val="24"/>
                <w:highlight w:val="none"/>
              </w:rPr>
            </w:pPr>
          </w:p>
        </w:tc>
      </w:tr>
      <w:tr w14:paraId="47D0CFA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2ADF54">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0F0613">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E435C4">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1C204">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A29DBE">
            <w:pPr>
              <w:widowControl/>
              <w:spacing w:line="360" w:lineRule="auto"/>
              <w:jc w:val="center"/>
              <w:rPr>
                <w:rFonts w:ascii="宋体" w:hAnsi="宋体" w:cs="宋体"/>
                <w:color w:val="auto"/>
                <w:kern w:val="0"/>
                <w:sz w:val="24"/>
                <w:highlight w:val="none"/>
              </w:rPr>
            </w:pPr>
          </w:p>
        </w:tc>
      </w:tr>
      <w:tr w14:paraId="0536827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C1209F">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4E2240">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D9F84F">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728F91">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E6B183">
            <w:pPr>
              <w:widowControl/>
              <w:spacing w:line="360" w:lineRule="auto"/>
              <w:jc w:val="center"/>
              <w:rPr>
                <w:rFonts w:ascii="宋体" w:hAnsi="宋体" w:cs="宋体"/>
                <w:color w:val="auto"/>
                <w:kern w:val="0"/>
                <w:sz w:val="24"/>
                <w:highlight w:val="none"/>
              </w:rPr>
            </w:pPr>
          </w:p>
        </w:tc>
      </w:tr>
      <w:tr w14:paraId="39855E0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9AE282">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1A1411">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C85942">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12CF7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1312FF">
            <w:pPr>
              <w:widowControl/>
              <w:spacing w:line="360" w:lineRule="auto"/>
              <w:jc w:val="center"/>
              <w:rPr>
                <w:rFonts w:ascii="宋体" w:hAnsi="宋体" w:cs="宋体"/>
                <w:color w:val="auto"/>
                <w:kern w:val="0"/>
                <w:sz w:val="24"/>
                <w:highlight w:val="none"/>
              </w:rPr>
            </w:pPr>
          </w:p>
        </w:tc>
      </w:tr>
    </w:tbl>
    <w:p w14:paraId="73F202A0">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32509009">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0EF0161">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5CDD16C1">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20C3A0D1">
      <w:pPr>
        <w:snapToGrid w:val="0"/>
        <w:spacing w:line="360" w:lineRule="auto"/>
        <w:jc w:val="left"/>
        <w:rPr>
          <w:rFonts w:ascii="宋体" w:hAnsi="宋体" w:cs="宋体"/>
          <w:color w:val="auto"/>
          <w:sz w:val="24"/>
          <w:highlight w:val="none"/>
        </w:rPr>
      </w:pPr>
    </w:p>
    <w:p w14:paraId="4CEF3585">
      <w:pPr>
        <w:snapToGrid w:val="0"/>
        <w:spacing w:line="360" w:lineRule="auto"/>
        <w:jc w:val="left"/>
        <w:rPr>
          <w:rFonts w:ascii="宋体" w:hAnsi="宋体" w:cs="宋体"/>
          <w:color w:val="auto"/>
          <w:sz w:val="24"/>
          <w:highlight w:val="none"/>
        </w:rPr>
      </w:pPr>
    </w:p>
    <w:p w14:paraId="5BCDC265">
      <w:pPr>
        <w:snapToGrid w:val="0"/>
        <w:spacing w:line="360" w:lineRule="auto"/>
        <w:jc w:val="left"/>
        <w:rPr>
          <w:rFonts w:ascii="宋体" w:hAnsi="宋体" w:cs="宋体"/>
          <w:color w:val="auto"/>
          <w:sz w:val="24"/>
          <w:highlight w:val="none"/>
        </w:rPr>
      </w:pPr>
    </w:p>
    <w:p w14:paraId="3BB12234">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BBF8DD8">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4D05CFC">
      <w:pPr>
        <w:snapToGrid w:val="0"/>
        <w:rPr>
          <w:rFonts w:ascii="宋体" w:hAnsi="宋体" w:cs="宋体"/>
          <w:b/>
          <w:color w:val="auto"/>
          <w:kern w:val="0"/>
          <w:sz w:val="30"/>
          <w:szCs w:val="30"/>
          <w:highlight w:val="none"/>
        </w:rPr>
      </w:pPr>
    </w:p>
    <w:p w14:paraId="7CA1C3D8">
      <w:pPr>
        <w:snapToGrid w:val="0"/>
        <w:rPr>
          <w:rFonts w:ascii="宋体" w:hAnsi="宋体" w:cs="宋体"/>
          <w:b/>
          <w:color w:val="auto"/>
          <w:kern w:val="0"/>
          <w:sz w:val="30"/>
          <w:szCs w:val="30"/>
          <w:highlight w:val="none"/>
        </w:rPr>
      </w:pPr>
    </w:p>
    <w:p w14:paraId="2EB4B212">
      <w:pPr>
        <w:snapToGrid w:val="0"/>
        <w:rPr>
          <w:rFonts w:ascii="宋体" w:hAnsi="宋体" w:cs="宋体"/>
          <w:b/>
          <w:color w:val="auto"/>
          <w:kern w:val="0"/>
          <w:sz w:val="30"/>
          <w:szCs w:val="30"/>
          <w:highlight w:val="none"/>
        </w:rPr>
      </w:pPr>
    </w:p>
    <w:p w14:paraId="6086396A">
      <w:pPr>
        <w:snapToGrid w:val="0"/>
        <w:rPr>
          <w:rFonts w:ascii="宋体" w:hAnsi="宋体" w:cs="宋体"/>
          <w:b/>
          <w:color w:val="auto"/>
          <w:kern w:val="0"/>
          <w:sz w:val="30"/>
          <w:szCs w:val="30"/>
          <w:highlight w:val="none"/>
        </w:rPr>
      </w:pPr>
    </w:p>
    <w:p w14:paraId="0F48275A">
      <w:pPr>
        <w:snapToGrid w:val="0"/>
        <w:rPr>
          <w:rFonts w:ascii="宋体" w:hAnsi="宋体" w:cs="宋体"/>
          <w:b/>
          <w:color w:val="auto"/>
          <w:kern w:val="0"/>
          <w:sz w:val="30"/>
          <w:szCs w:val="30"/>
          <w:highlight w:val="none"/>
        </w:rPr>
      </w:pPr>
    </w:p>
    <w:p w14:paraId="2A001110">
      <w:pPr>
        <w:snapToGrid w:val="0"/>
        <w:rPr>
          <w:rFonts w:ascii="宋体" w:hAnsi="宋体" w:cs="宋体"/>
          <w:b/>
          <w:color w:val="auto"/>
          <w:kern w:val="0"/>
          <w:sz w:val="30"/>
          <w:szCs w:val="30"/>
          <w:highlight w:val="none"/>
        </w:rPr>
      </w:pPr>
    </w:p>
    <w:p w14:paraId="54AC13FD">
      <w:pPr>
        <w:snapToGrid w:val="0"/>
        <w:rPr>
          <w:rFonts w:ascii="宋体" w:hAnsi="宋体" w:cs="宋体"/>
          <w:b/>
          <w:color w:val="auto"/>
          <w:kern w:val="0"/>
          <w:sz w:val="30"/>
          <w:szCs w:val="30"/>
          <w:highlight w:val="none"/>
        </w:rPr>
      </w:pPr>
    </w:p>
    <w:p w14:paraId="13057D3A">
      <w:pPr>
        <w:snapToGrid w:val="0"/>
        <w:rPr>
          <w:rFonts w:ascii="宋体" w:hAnsi="宋体" w:cs="宋体"/>
          <w:b/>
          <w:color w:val="auto"/>
          <w:kern w:val="0"/>
          <w:sz w:val="30"/>
          <w:szCs w:val="30"/>
          <w:highlight w:val="none"/>
        </w:rPr>
      </w:pPr>
    </w:p>
    <w:p w14:paraId="32E08DCF">
      <w:pPr>
        <w:snapToGrid w:val="0"/>
        <w:rPr>
          <w:rFonts w:ascii="宋体" w:hAnsi="宋体" w:cs="宋体"/>
          <w:b/>
          <w:color w:val="auto"/>
          <w:kern w:val="0"/>
          <w:sz w:val="30"/>
          <w:szCs w:val="30"/>
          <w:highlight w:val="none"/>
        </w:rPr>
      </w:pPr>
    </w:p>
    <w:p w14:paraId="3ADCAB05">
      <w:pPr>
        <w:snapToGrid w:val="0"/>
        <w:ind w:firstLine="596" w:firstLineChars="198"/>
        <w:jc w:val="center"/>
        <w:rPr>
          <w:rFonts w:ascii="宋体" w:hAnsi="宋体" w:cs="宋体"/>
          <w:b/>
          <w:color w:val="auto"/>
          <w:kern w:val="0"/>
          <w:sz w:val="30"/>
          <w:szCs w:val="30"/>
          <w:highlight w:val="none"/>
        </w:rPr>
      </w:pPr>
      <w:r>
        <w:rPr>
          <w:rFonts w:hint="default" w:ascii="Calibri" w:hAnsi="Calibri" w:cs="Calibri"/>
          <w:b/>
          <w:color w:val="auto"/>
          <w:kern w:val="0"/>
          <w:sz w:val="30"/>
          <w:szCs w:val="30"/>
          <w:highlight w:val="none"/>
          <w:lang w:val="en-US" w:eastAsia="zh-CN"/>
        </w:rPr>
        <w:t>②</w:t>
      </w:r>
      <w:r>
        <w:rPr>
          <w:rFonts w:hint="eastAsia" w:ascii="宋体" w:hAnsi="宋体" w:cs="宋体"/>
          <w:b/>
          <w:color w:val="auto"/>
          <w:kern w:val="0"/>
          <w:sz w:val="30"/>
          <w:szCs w:val="30"/>
          <w:highlight w:val="none"/>
        </w:rPr>
        <w:t>供应商直接管理关系信息表</w:t>
      </w:r>
    </w:p>
    <w:p w14:paraId="3FCC2964">
      <w:pPr>
        <w:snapToGrid w:val="0"/>
        <w:spacing w:line="360" w:lineRule="auto"/>
        <w:jc w:val="center"/>
        <w:rPr>
          <w:rFonts w:ascii="宋体" w:hAnsi="宋体" w:cs="宋体"/>
          <w:b/>
          <w:color w:val="auto"/>
          <w:sz w:val="24"/>
          <w:highlight w:val="none"/>
        </w:rPr>
      </w:pPr>
    </w:p>
    <w:tbl>
      <w:tblPr>
        <w:tblStyle w:val="27"/>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B65717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0A64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C7DB3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122E39">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5B9B7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6A17E4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2C1D6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52F9C8">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7B9F3F">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CDC12D">
            <w:pPr>
              <w:widowControl/>
              <w:spacing w:line="360" w:lineRule="auto"/>
              <w:jc w:val="center"/>
              <w:rPr>
                <w:rFonts w:ascii="宋体" w:hAnsi="宋体" w:cs="宋体"/>
                <w:color w:val="auto"/>
                <w:kern w:val="0"/>
                <w:sz w:val="24"/>
                <w:highlight w:val="none"/>
              </w:rPr>
            </w:pPr>
          </w:p>
        </w:tc>
      </w:tr>
      <w:tr w14:paraId="0E07488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9C07E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53113B">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3B7F3B">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02E542">
            <w:pPr>
              <w:widowControl/>
              <w:spacing w:line="360" w:lineRule="auto"/>
              <w:jc w:val="center"/>
              <w:rPr>
                <w:rFonts w:ascii="宋体" w:hAnsi="宋体" w:cs="宋体"/>
                <w:color w:val="auto"/>
                <w:kern w:val="0"/>
                <w:sz w:val="24"/>
                <w:highlight w:val="none"/>
              </w:rPr>
            </w:pPr>
          </w:p>
        </w:tc>
      </w:tr>
      <w:tr w14:paraId="57E044D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8F4A2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D9D9BA">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2393F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38073E">
            <w:pPr>
              <w:widowControl/>
              <w:spacing w:line="360" w:lineRule="auto"/>
              <w:jc w:val="center"/>
              <w:rPr>
                <w:rFonts w:ascii="宋体" w:hAnsi="宋体" w:cs="宋体"/>
                <w:color w:val="auto"/>
                <w:kern w:val="0"/>
                <w:sz w:val="24"/>
                <w:highlight w:val="none"/>
              </w:rPr>
            </w:pPr>
          </w:p>
        </w:tc>
      </w:tr>
      <w:tr w14:paraId="3BC38DC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5A8546">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251E4F">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DD1009">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8F502A">
            <w:pPr>
              <w:widowControl/>
              <w:spacing w:line="360" w:lineRule="auto"/>
              <w:jc w:val="center"/>
              <w:rPr>
                <w:rFonts w:ascii="宋体" w:hAnsi="宋体" w:cs="宋体"/>
                <w:color w:val="auto"/>
                <w:kern w:val="0"/>
                <w:sz w:val="24"/>
                <w:highlight w:val="none"/>
              </w:rPr>
            </w:pPr>
          </w:p>
        </w:tc>
      </w:tr>
    </w:tbl>
    <w:p w14:paraId="31E58CAD">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EAB4673">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72783B5">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3193C62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1A266515">
      <w:pPr>
        <w:spacing w:line="360" w:lineRule="auto"/>
        <w:jc w:val="left"/>
        <w:rPr>
          <w:rFonts w:ascii="宋体" w:hAnsi="宋体" w:cs="宋体"/>
          <w:color w:val="auto"/>
          <w:sz w:val="24"/>
          <w:highlight w:val="none"/>
        </w:rPr>
      </w:pPr>
    </w:p>
    <w:p w14:paraId="248FF7F9">
      <w:pPr>
        <w:autoSpaceDE w:val="0"/>
        <w:autoSpaceDN w:val="0"/>
        <w:spacing w:line="360" w:lineRule="auto"/>
        <w:ind w:left="4365" w:leftChars="1850" w:hanging="480" w:hanging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供应商名称（电子签章）：</w:t>
      </w:r>
    </w:p>
    <w:p w14:paraId="1ECF6D08">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60724F2">
      <w:pPr>
        <w:spacing w:line="360" w:lineRule="auto"/>
        <w:ind w:right="480" w:firstLine="240" w:firstLineChars="100"/>
        <w:contextualSpacing/>
        <w:jc w:val="center"/>
        <w:rPr>
          <w:rFonts w:hint="eastAsia" w:ascii="宋体" w:hAnsi="宋体" w:cs="宋体"/>
          <w:color w:val="auto"/>
          <w:sz w:val="24"/>
          <w:highlight w:val="none"/>
        </w:rPr>
      </w:pPr>
    </w:p>
    <w:p w14:paraId="7F321F80">
      <w:pPr>
        <w:spacing w:line="360" w:lineRule="auto"/>
        <w:ind w:right="480" w:firstLine="240" w:firstLineChars="100"/>
        <w:contextualSpacing/>
        <w:jc w:val="center"/>
        <w:rPr>
          <w:rFonts w:hint="eastAsia" w:ascii="宋体" w:hAnsi="宋体" w:cs="宋体"/>
          <w:color w:val="auto"/>
          <w:sz w:val="24"/>
          <w:highlight w:val="none"/>
        </w:rPr>
      </w:pPr>
    </w:p>
    <w:p w14:paraId="135F94CC">
      <w:pPr>
        <w:spacing w:line="360" w:lineRule="auto"/>
        <w:ind w:right="480" w:firstLine="240" w:firstLineChars="100"/>
        <w:contextualSpacing/>
        <w:jc w:val="center"/>
        <w:rPr>
          <w:rFonts w:hint="eastAsia" w:ascii="宋体" w:hAnsi="宋体" w:cs="宋体"/>
          <w:color w:val="auto"/>
          <w:sz w:val="24"/>
          <w:highlight w:val="none"/>
        </w:rPr>
      </w:pPr>
    </w:p>
    <w:p w14:paraId="465D5BB7">
      <w:pPr>
        <w:spacing w:line="360" w:lineRule="auto"/>
        <w:ind w:right="480" w:firstLine="240" w:firstLineChars="100"/>
        <w:contextualSpacing/>
        <w:jc w:val="center"/>
        <w:rPr>
          <w:rFonts w:hint="eastAsia" w:ascii="宋体" w:hAnsi="宋体" w:cs="宋体"/>
          <w:color w:val="auto"/>
          <w:sz w:val="24"/>
          <w:highlight w:val="none"/>
        </w:rPr>
      </w:pPr>
    </w:p>
    <w:p w14:paraId="0BCF2FAB">
      <w:pPr>
        <w:spacing w:line="360" w:lineRule="auto"/>
        <w:ind w:right="480" w:firstLine="240" w:firstLineChars="100"/>
        <w:contextualSpacing/>
        <w:jc w:val="center"/>
        <w:rPr>
          <w:rFonts w:hint="eastAsia" w:ascii="宋体" w:hAnsi="宋体" w:cs="宋体"/>
          <w:color w:val="auto"/>
          <w:sz w:val="24"/>
          <w:highlight w:val="none"/>
        </w:rPr>
      </w:pPr>
    </w:p>
    <w:p w14:paraId="460691C6">
      <w:pPr>
        <w:spacing w:line="360" w:lineRule="auto"/>
        <w:ind w:right="480" w:firstLine="240" w:firstLineChars="100"/>
        <w:contextualSpacing/>
        <w:jc w:val="center"/>
        <w:rPr>
          <w:rFonts w:hint="eastAsia" w:ascii="宋体" w:hAnsi="宋体" w:cs="宋体"/>
          <w:color w:val="auto"/>
          <w:sz w:val="24"/>
          <w:highlight w:val="none"/>
        </w:rPr>
      </w:pPr>
    </w:p>
    <w:p w14:paraId="36145E75">
      <w:pPr>
        <w:spacing w:line="360" w:lineRule="auto"/>
        <w:ind w:right="480" w:firstLine="240" w:firstLineChars="100"/>
        <w:contextualSpacing/>
        <w:jc w:val="center"/>
        <w:rPr>
          <w:rFonts w:hint="eastAsia" w:ascii="宋体" w:hAnsi="宋体" w:cs="宋体"/>
          <w:color w:val="auto"/>
          <w:sz w:val="24"/>
          <w:highlight w:val="none"/>
        </w:rPr>
      </w:pPr>
    </w:p>
    <w:p w14:paraId="008C9E4A">
      <w:pPr>
        <w:spacing w:line="360" w:lineRule="auto"/>
        <w:ind w:right="480" w:firstLine="240" w:firstLineChars="100"/>
        <w:contextualSpacing/>
        <w:jc w:val="center"/>
        <w:rPr>
          <w:rFonts w:hint="eastAsia" w:ascii="宋体" w:hAnsi="宋体" w:cs="宋体"/>
          <w:color w:val="auto"/>
          <w:sz w:val="24"/>
          <w:highlight w:val="none"/>
        </w:rPr>
      </w:pPr>
    </w:p>
    <w:p w14:paraId="6CF84D64">
      <w:pPr>
        <w:spacing w:line="360" w:lineRule="auto"/>
        <w:ind w:right="480" w:firstLine="240" w:firstLineChars="100"/>
        <w:contextualSpacing/>
        <w:jc w:val="center"/>
        <w:rPr>
          <w:rFonts w:hint="eastAsia" w:ascii="宋体" w:hAnsi="宋体" w:cs="宋体"/>
          <w:color w:val="auto"/>
          <w:sz w:val="24"/>
          <w:highlight w:val="none"/>
        </w:rPr>
      </w:pPr>
    </w:p>
    <w:p w14:paraId="6CF8B598">
      <w:pPr>
        <w:spacing w:line="360" w:lineRule="auto"/>
        <w:ind w:right="480" w:firstLine="240" w:firstLineChars="100"/>
        <w:contextualSpacing/>
        <w:jc w:val="center"/>
        <w:rPr>
          <w:rFonts w:hint="eastAsia" w:ascii="宋体" w:hAnsi="宋体" w:cs="宋体"/>
          <w:color w:val="auto"/>
          <w:sz w:val="24"/>
          <w:highlight w:val="none"/>
        </w:rPr>
      </w:pPr>
    </w:p>
    <w:p w14:paraId="282BA47C">
      <w:pPr>
        <w:spacing w:line="360" w:lineRule="auto"/>
        <w:ind w:right="480" w:firstLine="240" w:firstLineChars="100"/>
        <w:contextualSpacing/>
        <w:jc w:val="center"/>
        <w:rPr>
          <w:rFonts w:hint="eastAsia" w:ascii="宋体" w:hAnsi="宋体" w:cs="宋体"/>
          <w:color w:val="auto"/>
          <w:sz w:val="24"/>
          <w:highlight w:val="none"/>
        </w:rPr>
      </w:pPr>
    </w:p>
    <w:p w14:paraId="1A1DAEB9">
      <w:pPr>
        <w:spacing w:line="360" w:lineRule="auto"/>
        <w:ind w:right="480"/>
        <w:contextualSpacing/>
        <w:jc w:val="both"/>
        <w:rPr>
          <w:rFonts w:ascii="宋体" w:hAnsi="宋体" w:cs="宋体"/>
          <w:color w:val="auto"/>
          <w:sz w:val="28"/>
          <w:szCs w:val="28"/>
          <w:highlight w:val="none"/>
        </w:rPr>
      </w:pPr>
      <w:r>
        <w:rPr>
          <w:rFonts w:hint="eastAsia" w:ascii="宋体" w:hAnsi="宋体" w:cs="宋体"/>
          <w:b/>
          <w:color w:val="auto"/>
          <w:kern w:val="0"/>
          <w:sz w:val="30"/>
          <w:szCs w:val="30"/>
          <w:highlight w:val="none"/>
          <w:lang w:val="en-US" w:eastAsia="zh-CN"/>
        </w:rPr>
        <w:t>六</w:t>
      </w:r>
      <w:r>
        <w:rPr>
          <w:rFonts w:hint="eastAsia" w:ascii="宋体" w:hAnsi="宋体" w:cs="宋体"/>
          <w:b/>
          <w:color w:val="auto"/>
          <w:kern w:val="0"/>
          <w:sz w:val="30"/>
          <w:szCs w:val="30"/>
          <w:highlight w:val="none"/>
        </w:rPr>
        <w:t>、</w:t>
      </w:r>
      <w:r>
        <w:rPr>
          <w:rFonts w:hint="eastAsia" w:ascii="宋体" w:hAnsi="宋体" w:cs="宋体"/>
          <w:b/>
          <w:color w:val="auto"/>
          <w:kern w:val="0"/>
          <w:sz w:val="30"/>
          <w:szCs w:val="30"/>
          <w:highlight w:val="none"/>
          <w:lang w:val="en-US" w:eastAsia="zh-CN"/>
        </w:rPr>
        <w:t>竞标</w:t>
      </w:r>
      <w:r>
        <w:rPr>
          <w:rFonts w:hint="eastAsia" w:ascii="宋体" w:hAnsi="宋体" w:cs="宋体"/>
          <w:b/>
          <w:color w:val="auto"/>
          <w:kern w:val="0"/>
          <w:sz w:val="30"/>
          <w:szCs w:val="30"/>
          <w:highlight w:val="none"/>
        </w:rPr>
        <w:t>声明函</w:t>
      </w:r>
    </w:p>
    <w:p w14:paraId="6CC3CFC9">
      <w:pPr>
        <w:spacing w:line="320" w:lineRule="exact"/>
        <w:jc w:val="center"/>
        <w:rPr>
          <w:rFonts w:ascii="宋体" w:hAnsi="宋体" w:cs="宋体"/>
          <w:b/>
          <w:color w:val="auto"/>
          <w:sz w:val="32"/>
          <w:szCs w:val="32"/>
          <w:highlight w:val="none"/>
        </w:rPr>
      </w:pPr>
    </w:p>
    <w:p w14:paraId="3BC801B0">
      <w:pPr>
        <w:spacing w:line="320" w:lineRule="exact"/>
        <w:jc w:val="center"/>
        <w:rPr>
          <w:rFonts w:ascii="宋体" w:hAnsi="宋体" w:cs="宋体"/>
          <w:b/>
          <w:color w:val="auto"/>
          <w:sz w:val="32"/>
          <w:szCs w:val="32"/>
          <w:highlight w:val="none"/>
        </w:rPr>
      </w:pPr>
      <w:r>
        <w:rPr>
          <w:rFonts w:hint="eastAsia" w:ascii="宋体" w:hAnsi="宋体" w:cs="宋体"/>
          <w:b/>
          <w:color w:val="auto"/>
          <w:kern w:val="0"/>
          <w:sz w:val="30"/>
          <w:szCs w:val="30"/>
          <w:highlight w:val="none"/>
          <w:lang w:val="en-US" w:eastAsia="zh-CN"/>
        </w:rPr>
        <w:t>竞标</w:t>
      </w:r>
      <w:r>
        <w:rPr>
          <w:rFonts w:hint="eastAsia" w:ascii="宋体" w:hAnsi="宋体" w:cs="宋体"/>
          <w:b/>
          <w:color w:val="auto"/>
          <w:sz w:val="32"/>
          <w:szCs w:val="32"/>
          <w:highlight w:val="none"/>
        </w:rPr>
        <w:t>声明函</w:t>
      </w:r>
    </w:p>
    <w:p w14:paraId="22B84D98">
      <w:pPr>
        <w:spacing w:line="320" w:lineRule="exact"/>
        <w:jc w:val="center"/>
        <w:rPr>
          <w:rFonts w:ascii="宋体" w:hAnsi="宋体" w:cs="宋体"/>
          <w:color w:val="auto"/>
          <w:sz w:val="24"/>
          <w:szCs w:val="20"/>
          <w:highlight w:val="none"/>
        </w:rPr>
      </w:pPr>
    </w:p>
    <w:p w14:paraId="799785A5">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439320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52F389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7A997EE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73E99E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5644BA3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779E12A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C00230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43C4A6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BE920B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459EC3B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7A3268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305A3DD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97AF30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CAE12B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F3C239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74CAAA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01495FF7">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5F92149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0BEC28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16A9FD5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104EA23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0A06F83">
      <w:pPr>
        <w:pStyle w:val="16"/>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5450BD0B">
      <w:pPr>
        <w:pStyle w:val="16"/>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0B9D2DC">
      <w:pPr>
        <w:pStyle w:val="14"/>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6DC9DE6D">
      <w:pPr>
        <w:pStyle w:val="14"/>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04680CAC">
      <w:pPr>
        <w:pStyle w:val="14"/>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1BBAA0ED">
      <w:pPr>
        <w:spacing w:line="360" w:lineRule="auto"/>
        <w:contextualSpacing/>
        <w:jc w:val="left"/>
        <w:rPr>
          <w:rFonts w:hint="eastAsia" w:ascii="宋体" w:hAnsi="宋体" w:cs="宋体"/>
          <w:b/>
          <w:color w:val="auto"/>
          <w:sz w:val="24"/>
          <w:highlight w:val="none"/>
        </w:rPr>
      </w:pPr>
    </w:p>
    <w:p w14:paraId="72E2BC40">
      <w:pPr>
        <w:spacing w:line="360" w:lineRule="auto"/>
        <w:contextualSpacing/>
        <w:jc w:val="left"/>
        <w:rPr>
          <w:rFonts w:hint="eastAsia" w:ascii="宋体" w:hAnsi="宋体" w:cs="宋体"/>
          <w:color w:val="auto"/>
          <w:szCs w:val="21"/>
          <w:highlight w:val="none"/>
        </w:rPr>
      </w:pPr>
    </w:p>
    <w:p w14:paraId="4DD0323D">
      <w:pPr>
        <w:spacing w:line="360" w:lineRule="auto"/>
        <w:ind w:firstLine="1800" w:firstLineChars="750"/>
        <w:contextualSpacing/>
        <w:rPr>
          <w:rFonts w:hint="eastAsia"/>
          <w:color w:val="auto"/>
          <w:sz w:val="24"/>
          <w:szCs w:val="24"/>
          <w:highlight w:val="none"/>
        </w:rPr>
      </w:pPr>
      <w:r>
        <w:rPr>
          <w:rFonts w:hint="eastAsia"/>
          <w:color w:val="auto"/>
          <w:sz w:val="24"/>
          <w:szCs w:val="24"/>
          <w:highlight w:val="none"/>
        </w:rPr>
        <w:t>法定代表人（</w:t>
      </w:r>
      <w:r>
        <w:rPr>
          <w:rFonts w:hint="eastAsia" w:ascii="宋体" w:hAnsi="宋体"/>
          <w:color w:val="auto"/>
          <w:sz w:val="24"/>
          <w:szCs w:val="24"/>
          <w:highlight w:val="none"/>
        </w:rPr>
        <w:t>签字或者盖章或者电子签名</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 xml:space="preserve">                                     </w:t>
      </w:r>
    </w:p>
    <w:p w14:paraId="2A5E6CE1">
      <w:pPr>
        <w:spacing w:line="360" w:lineRule="auto"/>
        <w:ind w:firstLine="1920" w:firstLineChars="800"/>
        <w:contextualSpacing/>
        <w:rPr>
          <w:rFonts w:hint="eastAsia" w:ascii="宋体" w:hAnsi="宋体" w:cs="宋体"/>
          <w:color w:val="auto"/>
          <w:sz w:val="24"/>
          <w:szCs w:val="24"/>
          <w:highlight w:val="none"/>
          <w:u w:val="single"/>
        </w:rPr>
      </w:pPr>
      <w:r>
        <w:rPr>
          <w:rFonts w:hint="eastAsia"/>
          <w:color w:val="auto"/>
          <w:sz w:val="24"/>
          <w:szCs w:val="24"/>
          <w:highlight w:val="none"/>
        </w:rPr>
        <w:t>供应商（电子签章）：</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ascii="宋体" w:hAnsi="宋体" w:cs="宋体"/>
          <w:color w:val="auto"/>
          <w:sz w:val="24"/>
          <w:szCs w:val="24"/>
          <w:highlight w:val="none"/>
        </w:rPr>
        <w:t xml:space="preserve">    </w:t>
      </w:r>
    </w:p>
    <w:p w14:paraId="3F7792C7">
      <w:pPr>
        <w:pStyle w:val="14"/>
        <w:tabs>
          <w:tab w:val="left" w:pos="939"/>
        </w:tabs>
        <w:spacing w:line="360" w:lineRule="auto"/>
        <w:ind w:left="0" w:leftChars="0" w:firstLine="480" w:firstLineChars="200"/>
        <w:rPr>
          <w:rFonts w:hint="eastAsia"/>
          <w:color w:val="auto"/>
          <w:sz w:val="24"/>
          <w:szCs w:val="24"/>
          <w:highlight w:val="none"/>
          <w:lang w:val="en-US" w:eastAsia="zh-CN"/>
        </w:rPr>
      </w:pPr>
      <w:r>
        <w:rPr>
          <w:rFonts w:hint="eastAsia" w:ascii="宋体" w:hAnsi="宋体" w:cs="宋体"/>
          <w:color w:val="auto"/>
          <w:sz w:val="24"/>
          <w:szCs w:val="24"/>
          <w:highlight w:val="none"/>
        </w:rPr>
        <w:t xml:space="preserve">                                               </w:t>
      </w:r>
      <w:r>
        <w:rPr>
          <w:rFonts w:hint="eastAsia"/>
          <w:color w:val="auto"/>
          <w:sz w:val="24"/>
          <w:szCs w:val="24"/>
          <w:highlight w:val="none"/>
        </w:rPr>
        <w:t xml:space="preserve"> 年    月   </w:t>
      </w:r>
      <w:r>
        <w:rPr>
          <w:rFonts w:hint="eastAsia"/>
          <w:color w:val="auto"/>
          <w:sz w:val="24"/>
          <w:szCs w:val="24"/>
          <w:highlight w:val="none"/>
          <w:lang w:val="en-US" w:eastAsia="zh-CN"/>
        </w:rPr>
        <w:t>日</w:t>
      </w:r>
    </w:p>
    <w:p w14:paraId="45246829">
      <w:pPr>
        <w:pStyle w:val="14"/>
        <w:tabs>
          <w:tab w:val="left" w:pos="939"/>
        </w:tabs>
        <w:spacing w:line="360" w:lineRule="auto"/>
        <w:ind w:left="0" w:leftChars="0" w:firstLine="480" w:firstLineChars="200"/>
        <w:rPr>
          <w:rFonts w:hint="eastAsia"/>
          <w:color w:val="auto"/>
          <w:sz w:val="24"/>
          <w:szCs w:val="24"/>
          <w:highlight w:val="none"/>
          <w:lang w:val="en-US" w:eastAsia="zh-CN"/>
        </w:rPr>
      </w:pPr>
    </w:p>
    <w:p w14:paraId="7E1096A7">
      <w:pPr>
        <w:pStyle w:val="14"/>
        <w:tabs>
          <w:tab w:val="left" w:pos="939"/>
        </w:tabs>
        <w:spacing w:line="360" w:lineRule="auto"/>
        <w:ind w:left="0" w:leftChars="0" w:firstLine="480" w:firstLineChars="200"/>
        <w:rPr>
          <w:rFonts w:hint="eastAsia"/>
          <w:color w:val="auto"/>
          <w:sz w:val="24"/>
          <w:szCs w:val="24"/>
          <w:highlight w:val="none"/>
          <w:lang w:val="en-US" w:eastAsia="zh-CN"/>
        </w:rPr>
      </w:pPr>
    </w:p>
    <w:p w14:paraId="11A75057">
      <w:pPr>
        <w:pStyle w:val="14"/>
        <w:tabs>
          <w:tab w:val="left" w:pos="939"/>
        </w:tabs>
        <w:spacing w:line="360" w:lineRule="auto"/>
        <w:ind w:left="0" w:leftChars="0" w:firstLine="480" w:firstLineChars="200"/>
        <w:rPr>
          <w:rFonts w:hint="eastAsia"/>
          <w:color w:val="auto"/>
          <w:sz w:val="24"/>
          <w:szCs w:val="24"/>
          <w:highlight w:val="none"/>
          <w:lang w:val="en-US" w:eastAsia="zh-CN"/>
        </w:rPr>
      </w:pPr>
    </w:p>
    <w:p w14:paraId="7D3D3F49">
      <w:pPr>
        <w:pStyle w:val="14"/>
        <w:tabs>
          <w:tab w:val="left" w:pos="939"/>
        </w:tabs>
        <w:spacing w:line="360" w:lineRule="auto"/>
        <w:ind w:left="0" w:leftChars="0" w:firstLine="480" w:firstLineChars="200"/>
        <w:rPr>
          <w:rFonts w:hint="eastAsia"/>
          <w:color w:val="auto"/>
          <w:sz w:val="24"/>
          <w:szCs w:val="24"/>
          <w:highlight w:val="none"/>
          <w:lang w:val="en-US" w:eastAsia="zh-CN"/>
        </w:rPr>
      </w:pPr>
    </w:p>
    <w:p w14:paraId="1E3AC093">
      <w:pPr>
        <w:pStyle w:val="14"/>
        <w:tabs>
          <w:tab w:val="left" w:pos="939"/>
        </w:tabs>
        <w:spacing w:line="360" w:lineRule="auto"/>
        <w:ind w:left="0" w:leftChars="0" w:firstLine="480" w:firstLineChars="200"/>
        <w:rPr>
          <w:rFonts w:hint="eastAsia"/>
          <w:color w:val="auto"/>
          <w:sz w:val="24"/>
          <w:szCs w:val="24"/>
          <w:highlight w:val="none"/>
          <w:lang w:val="en-US" w:eastAsia="zh-CN"/>
        </w:rPr>
      </w:pPr>
    </w:p>
    <w:p w14:paraId="23B81D68">
      <w:pPr>
        <w:pStyle w:val="14"/>
        <w:tabs>
          <w:tab w:val="left" w:pos="939"/>
        </w:tabs>
        <w:spacing w:line="360" w:lineRule="auto"/>
        <w:ind w:left="0" w:leftChars="0" w:firstLine="480" w:firstLineChars="200"/>
        <w:rPr>
          <w:rFonts w:hint="eastAsia"/>
          <w:color w:val="auto"/>
          <w:sz w:val="24"/>
          <w:szCs w:val="24"/>
          <w:highlight w:val="none"/>
          <w:lang w:val="en-US" w:eastAsia="zh-CN"/>
        </w:rPr>
      </w:pPr>
    </w:p>
    <w:p w14:paraId="6361D9B6">
      <w:pPr>
        <w:pStyle w:val="14"/>
        <w:tabs>
          <w:tab w:val="left" w:pos="939"/>
        </w:tabs>
        <w:spacing w:line="360" w:lineRule="auto"/>
        <w:ind w:left="0" w:leftChars="0" w:firstLine="480" w:firstLineChars="200"/>
        <w:rPr>
          <w:rFonts w:hint="eastAsia"/>
          <w:color w:val="auto"/>
          <w:sz w:val="24"/>
          <w:szCs w:val="24"/>
          <w:highlight w:val="none"/>
          <w:lang w:val="en-US" w:eastAsia="zh-CN"/>
        </w:rPr>
      </w:pPr>
    </w:p>
    <w:p w14:paraId="1EF5F8C1">
      <w:pPr>
        <w:pStyle w:val="14"/>
        <w:tabs>
          <w:tab w:val="left" w:pos="939"/>
        </w:tabs>
        <w:spacing w:line="360" w:lineRule="auto"/>
        <w:ind w:left="0" w:leftChars="0" w:firstLine="480" w:firstLineChars="200"/>
        <w:rPr>
          <w:rFonts w:hint="eastAsia"/>
          <w:color w:val="auto"/>
          <w:sz w:val="24"/>
          <w:szCs w:val="24"/>
          <w:highlight w:val="none"/>
          <w:lang w:val="en-US" w:eastAsia="zh-CN"/>
        </w:rPr>
      </w:pPr>
    </w:p>
    <w:p w14:paraId="52B8B187">
      <w:pPr>
        <w:pStyle w:val="14"/>
        <w:tabs>
          <w:tab w:val="left" w:pos="939"/>
        </w:tabs>
        <w:spacing w:line="360" w:lineRule="auto"/>
        <w:ind w:left="0" w:leftChars="0" w:firstLine="480" w:firstLineChars="200"/>
        <w:rPr>
          <w:rFonts w:hint="eastAsia"/>
          <w:color w:val="auto"/>
          <w:sz w:val="24"/>
          <w:szCs w:val="24"/>
          <w:highlight w:val="none"/>
          <w:lang w:val="en-US" w:eastAsia="zh-CN"/>
        </w:rPr>
      </w:pPr>
    </w:p>
    <w:p w14:paraId="35152C70">
      <w:pPr>
        <w:pStyle w:val="14"/>
        <w:tabs>
          <w:tab w:val="left" w:pos="939"/>
        </w:tabs>
        <w:spacing w:line="360" w:lineRule="auto"/>
        <w:ind w:left="0" w:leftChars="0" w:firstLine="480" w:firstLineChars="200"/>
        <w:rPr>
          <w:rFonts w:hint="eastAsia"/>
          <w:color w:val="auto"/>
          <w:sz w:val="24"/>
          <w:szCs w:val="24"/>
          <w:highlight w:val="none"/>
          <w:lang w:val="en-US" w:eastAsia="zh-CN"/>
        </w:rPr>
      </w:pPr>
    </w:p>
    <w:p w14:paraId="6E2ED02D">
      <w:pPr>
        <w:pStyle w:val="14"/>
        <w:tabs>
          <w:tab w:val="left" w:pos="939"/>
        </w:tabs>
        <w:spacing w:line="360" w:lineRule="auto"/>
        <w:ind w:left="0" w:leftChars="0" w:firstLine="480" w:firstLineChars="200"/>
        <w:rPr>
          <w:rFonts w:hint="eastAsia"/>
          <w:color w:val="auto"/>
          <w:sz w:val="24"/>
          <w:szCs w:val="24"/>
          <w:highlight w:val="none"/>
          <w:lang w:val="en-US" w:eastAsia="zh-CN"/>
        </w:rPr>
      </w:pPr>
    </w:p>
    <w:p w14:paraId="585150FB">
      <w:pPr>
        <w:pStyle w:val="14"/>
        <w:tabs>
          <w:tab w:val="left" w:pos="939"/>
        </w:tabs>
        <w:spacing w:line="360" w:lineRule="auto"/>
        <w:ind w:left="0" w:leftChars="0" w:firstLine="0" w:firstLineChars="0"/>
        <w:rPr>
          <w:rFonts w:hint="eastAsia"/>
          <w:color w:val="auto"/>
          <w:sz w:val="24"/>
          <w:szCs w:val="24"/>
          <w:highlight w:val="none"/>
          <w:lang w:val="en-US" w:eastAsia="zh-CN"/>
        </w:rPr>
      </w:pPr>
    </w:p>
    <w:p w14:paraId="571E6DDC">
      <w:pPr>
        <w:pStyle w:val="14"/>
        <w:tabs>
          <w:tab w:val="left" w:pos="939"/>
        </w:tabs>
        <w:spacing w:line="360" w:lineRule="auto"/>
        <w:ind w:left="0" w:leftChars="0" w:firstLine="482" w:firstLineChars="200"/>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七、资格证书：①供应商须提供建筑工程施工总承包三级(含)以上资质证书，同时持有省级及以上建设行政主管部门颁发的安全生产许可证；②拟投入本工程的项目经理具有二级及以上建造师注册证书，专业是建筑工程类专业（以建造师注册证书中“专业 类别”栏所填写的专业为准），同时持有省级或省级以上建设行政主管部门颁发的安全生产考核合格证书（B类）；③拟投入本工程的安全员应持有省级或省级以上建设行政主管部门颁发的安全生产考核合格证书（C类）。</w:t>
      </w:r>
    </w:p>
    <w:p w14:paraId="7F7273AE">
      <w:pPr>
        <w:spacing w:line="360" w:lineRule="auto"/>
        <w:contextualSpacing/>
        <w:rPr>
          <w:rFonts w:hint="eastAsia" w:ascii="宋体" w:hAnsi="宋体" w:cs="宋体"/>
          <w:color w:val="auto"/>
          <w:sz w:val="24"/>
          <w:highlight w:val="none"/>
        </w:rPr>
      </w:pPr>
    </w:p>
    <w:p w14:paraId="2DE87BEA">
      <w:pPr>
        <w:bidi w:val="0"/>
        <w:jc w:val="left"/>
        <w:rPr>
          <w:rFonts w:hint="eastAsia"/>
          <w:b/>
          <w:bCs/>
          <w:color w:val="auto"/>
          <w:sz w:val="28"/>
          <w:szCs w:val="28"/>
          <w:highlight w:val="none"/>
          <w:lang w:val="en-US" w:eastAsia="zh-CN"/>
        </w:rPr>
      </w:pPr>
    </w:p>
    <w:p w14:paraId="43766A7A">
      <w:pPr>
        <w:bidi w:val="0"/>
        <w:jc w:val="left"/>
        <w:rPr>
          <w:rFonts w:hint="eastAsia"/>
          <w:b/>
          <w:bCs/>
          <w:color w:val="auto"/>
          <w:sz w:val="28"/>
          <w:szCs w:val="28"/>
          <w:highlight w:val="none"/>
          <w:lang w:val="en-US" w:eastAsia="zh-CN"/>
        </w:rPr>
      </w:pPr>
    </w:p>
    <w:p w14:paraId="1746411E">
      <w:pPr>
        <w:bidi w:val="0"/>
        <w:jc w:val="left"/>
        <w:rPr>
          <w:rFonts w:hint="eastAsia"/>
          <w:b/>
          <w:bCs/>
          <w:color w:val="auto"/>
          <w:sz w:val="28"/>
          <w:szCs w:val="28"/>
          <w:highlight w:val="none"/>
          <w:lang w:val="en-US" w:eastAsia="zh-CN"/>
        </w:rPr>
      </w:pPr>
    </w:p>
    <w:p w14:paraId="7CAFB7D4">
      <w:pPr>
        <w:bidi w:val="0"/>
        <w:jc w:val="left"/>
        <w:rPr>
          <w:rFonts w:hint="eastAsia"/>
          <w:b/>
          <w:bCs/>
          <w:color w:val="auto"/>
          <w:sz w:val="28"/>
          <w:szCs w:val="28"/>
          <w:highlight w:val="none"/>
          <w:lang w:val="en-US" w:eastAsia="zh-CN"/>
        </w:rPr>
      </w:pPr>
    </w:p>
    <w:p w14:paraId="37D98FA1">
      <w:pPr>
        <w:bidi w:val="0"/>
        <w:jc w:val="left"/>
        <w:rPr>
          <w:rFonts w:hint="eastAsia"/>
          <w:b/>
          <w:bCs/>
          <w:color w:val="auto"/>
          <w:sz w:val="28"/>
          <w:szCs w:val="28"/>
          <w:highlight w:val="none"/>
          <w:lang w:val="en-US" w:eastAsia="zh-CN"/>
        </w:rPr>
      </w:pPr>
    </w:p>
    <w:p w14:paraId="20156B94">
      <w:pPr>
        <w:bidi w:val="0"/>
        <w:jc w:val="left"/>
        <w:rPr>
          <w:rFonts w:hint="eastAsia"/>
          <w:b/>
          <w:bCs/>
          <w:color w:val="auto"/>
          <w:sz w:val="28"/>
          <w:szCs w:val="28"/>
          <w:highlight w:val="none"/>
          <w:lang w:val="en-US" w:eastAsia="zh-CN"/>
        </w:rPr>
      </w:pPr>
    </w:p>
    <w:p w14:paraId="63652E4C">
      <w:pPr>
        <w:bidi w:val="0"/>
        <w:jc w:val="left"/>
        <w:rPr>
          <w:rFonts w:hint="eastAsia"/>
          <w:b/>
          <w:bCs/>
          <w:color w:val="auto"/>
          <w:sz w:val="28"/>
          <w:szCs w:val="28"/>
          <w:highlight w:val="none"/>
          <w:lang w:val="en-US" w:eastAsia="zh-CN"/>
        </w:rPr>
      </w:pPr>
    </w:p>
    <w:p w14:paraId="5B7AD3C0">
      <w:pPr>
        <w:bidi w:val="0"/>
        <w:jc w:val="left"/>
        <w:rPr>
          <w:rFonts w:hint="eastAsia"/>
          <w:b/>
          <w:bCs/>
          <w:color w:val="auto"/>
          <w:sz w:val="28"/>
          <w:szCs w:val="28"/>
          <w:highlight w:val="none"/>
          <w:lang w:val="en-US" w:eastAsia="zh-CN"/>
        </w:rPr>
      </w:pPr>
    </w:p>
    <w:p w14:paraId="5C87709B">
      <w:pPr>
        <w:bidi w:val="0"/>
        <w:jc w:val="left"/>
        <w:rPr>
          <w:rFonts w:hint="eastAsia"/>
          <w:b/>
          <w:bCs/>
          <w:color w:val="auto"/>
          <w:sz w:val="28"/>
          <w:szCs w:val="28"/>
          <w:highlight w:val="none"/>
          <w:lang w:val="en-US" w:eastAsia="zh-CN"/>
        </w:rPr>
      </w:pPr>
    </w:p>
    <w:p w14:paraId="029D6169">
      <w:pPr>
        <w:bidi w:val="0"/>
        <w:jc w:val="left"/>
        <w:rPr>
          <w:rFonts w:hint="eastAsia"/>
          <w:b/>
          <w:bCs/>
          <w:color w:val="auto"/>
          <w:sz w:val="28"/>
          <w:szCs w:val="28"/>
          <w:highlight w:val="none"/>
          <w:lang w:val="en-US" w:eastAsia="zh-CN"/>
        </w:rPr>
      </w:pPr>
    </w:p>
    <w:p w14:paraId="3287E257">
      <w:pPr>
        <w:bidi w:val="0"/>
        <w:jc w:val="left"/>
        <w:rPr>
          <w:rFonts w:hint="eastAsia"/>
          <w:b/>
          <w:bCs/>
          <w:color w:val="auto"/>
          <w:sz w:val="28"/>
          <w:szCs w:val="28"/>
          <w:highlight w:val="none"/>
          <w:lang w:val="en-US" w:eastAsia="zh-CN"/>
        </w:rPr>
      </w:pPr>
    </w:p>
    <w:p w14:paraId="04FB5A1A">
      <w:pPr>
        <w:bidi w:val="0"/>
        <w:jc w:val="left"/>
        <w:rPr>
          <w:rFonts w:hint="eastAsia"/>
          <w:b/>
          <w:bCs/>
          <w:color w:val="auto"/>
          <w:sz w:val="28"/>
          <w:szCs w:val="28"/>
          <w:highlight w:val="none"/>
          <w:lang w:val="en-US" w:eastAsia="zh-CN"/>
        </w:rPr>
      </w:pPr>
    </w:p>
    <w:p w14:paraId="5B72D764">
      <w:pPr>
        <w:bidi w:val="0"/>
        <w:jc w:val="left"/>
        <w:rPr>
          <w:rFonts w:hint="eastAsia"/>
          <w:b/>
          <w:bCs/>
          <w:color w:val="auto"/>
          <w:sz w:val="28"/>
          <w:szCs w:val="28"/>
          <w:highlight w:val="none"/>
          <w:lang w:val="en-US" w:eastAsia="zh-CN"/>
        </w:rPr>
      </w:pPr>
    </w:p>
    <w:p w14:paraId="7174BB9A">
      <w:pPr>
        <w:bidi w:val="0"/>
        <w:jc w:val="left"/>
        <w:rPr>
          <w:rFonts w:hint="eastAsia"/>
          <w:b/>
          <w:bCs/>
          <w:color w:val="auto"/>
          <w:sz w:val="28"/>
          <w:szCs w:val="28"/>
          <w:highlight w:val="none"/>
          <w:lang w:val="en-US" w:eastAsia="zh-CN"/>
        </w:rPr>
      </w:pPr>
    </w:p>
    <w:p w14:paraId="275CDA56">
      <w:pPr>
        <w:bidi w:val="0"/>
        <w:jc w:val="left"/>
        <w:rPr>
          <w:rFonts w:hint="eastAsia"/>
          <w:b/>
          <w:bCs/>
          <w:color w:val="auto"/>
          <w:sz w:val="28"/>
          <w:szCs w:val="28"/>
          <w:highlight w:val="none"/>
          <w:lang w:val="en-US" w:eastAsia="zh-CN"/>
        </w:rPr>
      </w:pPr>
    </w:p>
    <w:p w14:paraId="322CBC20">
      <w:pPr>
        <w:bidi w:val="0"/>
        <w:jc w:val="left"/>
        <w:rPr>
          <w:rFonts w:hint="eastAsia"/>
          <w:b/>
          <w:bCs/>
          <w:color w:val="auto"/>
          <w:sz w:val="28"/>
          <w:szCs w:val="28"/>
          <w:highlight w:val="none"/>
          <w:lang w:val="en-US" w:eastAsia="zh-CN"/>
        </w:rPr>
      </w:pPr>
    </w:p>
    <w:p w14:paraId="340E9B09">
      <w:pPr>
        <w:bidi w:val="0"/>
        <w:jc w:val="left"/>
        <w:rPr>
          <w:rFonts w:hint="eastAsia"/>
          <w:b/>
          <w:bCs/>
          <w:color w:val="auto"/>
          <w:sz w:val="28"/>
          <w:szCs w:val="28"/>
          <w:highlight w:val="none"/>
          <w:lang w:val="en-US" w:eastAsia="zh-CN"/>
        </w:rPr>
      </w:pPr>
    </w:p>
    <w:p w14:paraId="699961C7">
      <w:pPr>
        <w:bidi w:val="0"/>
        <w:jc w:val="left"/>
        <w:rPr>
          <w:rFonts w:hint="eastAsia"/>
          <w:b/>
          <w:bCs/>
          <w:color w:val="auto"/>
          <w:sz w:val="28"/>
          <w:szCs w:val="28"/>
          <w:highlight w:val="none"/>
          <w:lang w:val="en-US" w:eastAsia="zh-CN"/>
        </w:rPr>
      </w:pPr>
    </w:p>
    <w:p w14:paraId="087CB841">
      <w:pPr>
        <w:bidi w:val="0"/>
        <w:jc w:val="left"/>
        <w:rPr>
          <w:rFonts w:hint="eastAsia"/>
          <w:b/>
          <w:bCs/>
          <w:color w:val="auto"/>
          <w:sz w:val="28"/>
          <w:szCs w:val="28"/>
          <w:highlight w:val="none"/>
          <w:lang w:val="en-US" w:eastAsia="zh-CN"/>
        </w:rPr>
      </w:pPr>
    </w:p>
    <w:p w14:paraId="1F9FC4E0">
      <w:pPr>
        <w:bidi w:val="0"/>
        <w:jc w:val="left"/>
        <w:rPr>
          <w:rFonts w:hint="eastAsia"/>
          <w:b/>
          <w:bCs/>
          <w:color w:val="auto"/>
          <w:sz w:val="28"/>
          <w:szCs w:val="28"/>
          <w:highlight w:val="none"/>
          <w:lang w:val="en-US" w:eastAsia="zh-CN"/>
        </w:rPr>
      </w:pPr>
    </w:p>
    <w:p w14:paraId="0879518E">
      <w:pPr>
        <w:bidi w:val="0"/>
        <w:jc w:val="left"/>
        <w:rPr>
          <w:rFonts w:hint="eastAsia"/>
          <w:b/>
          <w:bCs/>
          <w:color w:val="auto"/>
          <w:sz w:val="28"/>
          <w:szCs w:val="28"/>
          <w:highlight w:val="none"/>
          <w:lang w:val="en-US" w:eastAsia="zh-CN"/>
        </w:rPr>
      </w:pPr>
    </w:p>
    <w:p w14:paraId="37712494">
      <w:pPr>
        <w:bidi w:val="0"/>
        <w:jc w:val="left"/>
        <w:rPr>
          <w:rFonts w:hint="eastAsia"/>
          <w:b/>
          <w:bCs/>
          <w:color w:val="auto"/>
          <w:sz w:val="28"/>
          <w:szCs w:val="28"/>
          <w:highlight w:val="none"/>
          <w:lang w:val="en-US" w:eastAsia="zh-CN"/>
        </w:rPr>
      </w:pPr>
    </w:p>
    <w:p w14:paraId="34AFE28E">
      <w:pPr>
        <w:bidi w:val="0"/>
        <w:jc w:val="left"/>
        <w:rPr>
          <w:rFonts w:hint="eastAsia"/>
          <w:b/>
          <w:bCs/>
          <w:color w:val="auto"/>
          <w:sz w:val="28"/>
          <w:szCs w:val="28"/>
          <w:highlight w:val="none"/>
          <w:lang w:val="en-US" w:eastAsia="zh-CN"/>
        </w:rPr>
      </w:pPr>
    </w:p>
    <w:p w14:paraId="1D4A80A1">
      <w:pPr>
        <w:bidi w:val="0"/>
        <w:jc w:val="left"/>
        <w:rPr>
          <w:rFonts w:hint="eastAsia"/>
          <w:b/>
          <w:bCs/>
          <w:color w:val="auto"/>
          <w:sz w:val="28"/>
          <w:szCs w:val="28"/>
          <w:highlight w:val="none"/>
          <w:lang w:val="en-US" w:eastAsia="zh-CN"/>
        </w:rPr>
      </w:pPr>
    </w:p>
    <w:p w14:paraId="752FCA35">
      <w:pPr>
        <w:bidi w:val="0"/>
        <w:jc w:val="left"/>
        <w:rPr>
          <w:rFonts w:hint="eastAsia"/>
          <w:b/>
          <w:bCs/>
          <w:color w:val="auto"/>
          <w:sz w:val="28"/>
          <w:szCs w:val="28"/>
          <w:highlight w:val="none"/>
          <w:lang w:val="en-US" w:eastAsia="zh-CN"/>
        </w:rPr>
      </w:pPr>
    </w:p>
    <w:p w14:paraId="163F2F44">
      <w:pPr>
        <w:bidi w:val="0"/>
        <w:jc w:val="left"/>
        <w:rPr>
          <w:rFonts w:hint="eastAsia"/>
          <w:b/>
          <w:bCs/>
          <w:color w:val="auto"/>
          <w:sz w:val="28"/>
          <w:szCs w:val="28"/>
          <w:highlight w:val="none"/>
          <w:lang w:val="en-US" w:eastAsia="zh-CN"/>
        </w:rPr>
      </w:pPr>
    </w:p>
    <w:p w14:paraId="2D042AC5">
      <w:pPr>
        <w:bidi w:val="0"/>
        <w:jc w:val="left"/>
        <w:rPr>
          <w:rFonts w:hint="eastAsia"/>
          <w:b/>
          <w:bCs/>
          <w:color w:val="auto"/>
          <w:sz w:val="28"/>
          <w:szCs w:val="28"/>
          <w:highlight w:val="none"/>
          <w:lang w:val="en-US" w:eastAsia="zh-CN"/>
        </w:rPr>
      </w:pPr>
    </w:p>
    <w:p w14:paraId="55124AA4">
      <w:pPr>
        <w:bidi w:val="0"/>
        <w:jc w:val="left"/>
        <w:rPr>
          <w:rFonts w:hint="eastAsia"/>
          <w:b/>
          <w:bCs/>
          <w:color w:val="auto"/>
          <w:sz w:val="28"/>
          <w:szCs w:val="28"/>
          <w:highlight w:val="none"/>
          <w:lang w:val="en-US" w:eastAsia="zh-CN"/>
        </w:rPr>
      </w:pPr>
    </w:p>
    <w:p w14:paraId="1533F97F">
      <w:pPr>
        <w:bidi w:val="0"/>
        <w:jc w:val="left"/>
        <w:rPr>
          <w:rFonts w:hint="eastAsia"/>
          <w:b/>
          <w:bCs/>
          <w:color w:val="auto"/>
          <w:sz w:val="28"/>
          <w:szCs w:val="28"/>
          <w:highlight w:val="none"/>
          <w:lang w:val="en-US" w:eastAsia="zh-CN"/>
        </w:rPr>
      </w:pPr>
    </w:p>
    <w:p w14:paraId="50B5A10D">
      <w:pPr>
        <w:bidi w:val="0"/>
        <w:jc w:val="left"/>
        <w:rPr>
          <w:rFonts w:hint="eastAsia"/>
          <w:b/>
          <w:bCs/>
          <w:color w:val="auto"/>
          <w:sz w:val="28"/>
          <w:szCs w:val="28"/>
          <w:highlight w:val="none"/>
          <w:lang w:val="en-US" w:eastAsia="zh-CN"/>
        </w:rPr>
      </w:pPr>
    </w:p>
    <w:p w14:paraId="6AF95539">
      <w:pPr>
        <w:bidi w:val="0"/>
        <w:jc w:val="left"/>
        <w:rPr>
          <w:rFonts w:hint="eastAsia"/>
          <w:b/>
          <w:bCs/>
          <w:color w:val="auto"/>
          <w:sz w:val="28"/>
          <w:szCs w:val="28"/>
          <w:highlight w:val="none"/>
          <w:lang w:val="en-US" w:eastAsia="zh-CN"/>
        </w:rPr>
      </w:pPr>
    </w:p>
    <w:p w14:paraId="5B2ABBD4">
      <w:pPr>
        <w:bidi w:val="0"/>
        <w:jc w:val="left"/>
        <w:rPr>
          <w:rFonts w:hint="eastAsia"/>
          <w:b/>
          <w:bCs/>
          <w:color w:val="auto"/>
          <w:sz w:val="28"/>
          <w:szCs w:val="28"/>
          <w:highlight w:val="none"/>
          <w:lang w:val="en-US" w:eastAsia="zh-CN"/>
        </w:rPr>
      </w:pPr>
    </w:p>
    <w:p w14:paraId="31ECE55F">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小微</w:t>
      </w:r>
      <w:r>
        <w:rPr>
          <w:rFonts w:hint="eastAsia" w:ascii="宋体" w:hAnsi="宋体" w:cs="宋体"/>
          <w:b/>
          <w:color w:val="auto"/>
          <w:sz w:val="30"/>
          <w:szCs w:val="30"/>
          <w:highlight w:val="none"/>
        </w:rPr>
        <w:t>企业声明函或残疾人福利性单位声明函或属于监狱企业的证明文件</w:t>
      </w:r>
    </w:p>
    <w:p w14:paraId="5145794B">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小</w:t>
      </w:r>
      <w:r>
        <w:rPr>
          <w:rFonts w:hint="eastAsia" w:ascii="宋体" w:hAnsi="宋体" w:cs="宋体"/>
          <w:color w:val="auto"/>
          <w:sz w:val="44"/>
          <w:szCs w:val="44"/>
          <w:highlight w:val="none"/>
          <w:lang w:val="en-US" w:eastAsia="zh-CN"/>
        </w:rPr>
        <w:t>微</w:t>
      </w:r>
      <w:r>
        <w:rPr>
          <w:rFonts w:hint="eastAsia" w:ascii="宋体" w:hAnsi="宋体" w:cs="宋体"/>
          <w:color w:val="auto"/>
          <w:sz w:val="44"/>
          <w:szCs w:val="44"/>
          <w:highlight w:val="none"/>
        </w:rPr>
        <w:t>企业声明函（工程、服务）</w:t>
      </w:r>
    </w:p>
    <w:p w14:paraId="1720A5F1">
      <w:pPr>
        <w:spacing w:line="360" w:lineRule="auto"/>
        <w:ind w:firstLine="550"/>
        <w:rPr>
          <w:rFonts w:ascii="宋体" w:hAnsi="宋体" w:cs="宋体"/>
          <w:color w:val="auto"/>
          <w:kern w:val="0"/>
          <w:sz w:val="24"/>
          <w:highlight w:val="none"/>
        </w:rPr>
      </w:pPr>
    </w:p>
    <w:p w14:paraId="4EDE04AC">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1900548">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65B86FD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745880C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1E5C458F">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00020E2C">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5B2B7FD4">
      <w:pPr>
        <w:ind w:firstLine="552"/>
        <w:rPr>
          <w:rFonts w:ascii="宋体" w:hAnsi="宋体" w:cs="宋体"/>
          <w:color w:val="auto"/>
          <w:kern w:val="0"/>
          <w:szCs w:val="21"/>
          <w:highlight w:val="none"/>
        </w:rPr>
      </w:pPr>
    </w:p>
    <w:p w14:paraId="0AD35B23">
      <w:pPr>
        <w:pStyle w:val="12"/>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2B5FA3F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983EB94">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DD52AB9">
      <w:pPr>
        <w:pStyle w:val="12"/>
        <w:spacing w:after="0" w:line="360" w:lineRule="auto"/>
        <w:ind w:left="3960" w:right="1808"/>
        <w:contextualSpacing/>
        <w:rPr>
          <w:rFonts w:ascii="宋体" w:hAnsi="宋体" w:cs="宋体"/>
          <w:color w:val="auto"/>
          <w:highlight w:val="none"/>
        </w:rPr>
      </w:pPr>
    </w:p>
    <w:p w14:paraId="3390306C">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64456F81">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2C93C82D">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2633D371">
      <w:pPr>
        <w:spacing w:line="520" w:lineRule="exact"/>
        <w:rPr>
          <w:rFonts w:ascii="宋体" w:hAnsi="宋体" w:cs="宋体"/>
          <w:color w:val="auto"/>
          <w:sz w:val="32"/>
          <w:szCs w:val="32"/>
          <w:highlight w:val="none"/>
        </w:rPr>
      </w:pPr>
    </w:p>
    <w:p w14:paraId="1979B0A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0BE9747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DB9CBA5">
      <w:pPr>
        <w:spacing w:line="360" w:lineRule="auto"/>
        <w:contextualSpacing/>
        <w:rPr>
          <w:rFonts w:ascii="宋体" w:hAnsi="宋体" w:cs="宋体"/>
          <w:color w:val="auto"/>
          <w:sz w:val="24"/>
          <w:highlight w:val="none"/>
        </w:rPr>
      </w:pPr>
    </w:p>
    <w:p w14:paraId="38F01F9C">
      <w:pPr>
        <w:spacing w:line="360" w:lineRule="auto"/>
        <w:contextualSpacing/>
        <w:rPr>
          <w:rFonts w:ascii="宋体" w:hAnsi="宋体" w:cs="宋体"/>
          <w:color w:val="auto"/>
          <w:sz w:val="24"/>
          <w:highlight w:val="none"/>
        </w:rPr>
      </w:pPr>
    </w:p>
    <w:p w14:paraId="58DBB245">
      <w:pPr>
        <w:spacing w:line="360" w:lineRule="auto"/>
        <w:contextualSpacing/>
        <w:rPr>
          <w:rFonts w:ascii="宋体" w:hAnsi="宋体" w:cs="宋体"/>
          <w:color w:val="auto"/>
          <w:sz w:val="24"/>
          <w:highlight w:val="none"/>
        </w:rPr>
      </w:pPr>
    </w:p>
    <w:p w14:paraId="7FFDF5DC">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28189E3A">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6726D6AD">
      <w:pPr>
        <w:spacing w:line="360" w:lineRule="auto"/>
        <w:contextualSpacing/>
        <w:rPr>
          <w:rFonts w:ascii="宋体" w:hAnsi="宋体" w:cs="宋体"/>
          <w:color w:val="auto"/>
          <w:sz w:val="24"/>
          <w:highlight w:val="none"/>
        </w:rPr>
      </w:pPr>
    </w:p>
    <w:p w14:paraId="4B7B73A5">
      <w:pPr>
        <w:bidi w:val="0"/>
        <w:jc w:val="left"/>
        <w:rPr>
          <w:rFonts w:hint="eastAsia"/>
          <w:b/>
          <w:bCs/>
          <w:color w:val="auto"/>
          <w:sz w:val="28"/>
          <w:szCs w:val="28"/>
          <w:highlight w:val="none"/>
          <w:lang w:val="en-US" w:eastAsia="zh-CN"/>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77A1B0A1">
      <w:pPr>
        <w:bidi w:val="0"/>
        <w:jc w:val="left"/>
        <w:rPr>
          <w:rFonts w:hint="eastAsia"/>
          <w:b/>
          <w:bCs/>
          <w:color w:val="auto"/>
          <w:sz w:val="28"/>
          <w:szCs w:val="28"/>
          <w:highlight w:val="none"/>
          <w:lang w:val="en-US" w:eastAsia="zh-CN"/>
        </w:rPr>
      </w:pPr>
    </w:p>
    <w:p w14:paraId="574B99D3">
      <w:pPr>
        <w:bidi w:val="0"/>
        <w:jc w:val="left"/>
        <w:rPr>
          <w:rFonts w:hint="eastAsia"/>
          <w:b/>
          <w:bCs/>
          <w:color w:val="auto"/>
          <w:sz w:val="28"/>
          <w:szCs w:val="28"/>
          <w:highlight w:val="none"/>
          <w:lang w:val="en-US" w:eastAsia="zh-CN"/>
        </w:rPr>
      </w:pPr>
    </w:p>
    <w:p w14:paraId="0990B784">
      <w:pPr>
        <w:bidi w:val="0"/>
        <w:jc w:val="left"/>
        <w:rPr>
          <w:rFonts w:hint="eastAsia"/>
          <w:b/>
          <w:bCs/>
          <w:color w:val="auto"/>
          <w:sz w:val="28"/>
          <w:szCs w:val="28"/>
          <w:highlight w:val="none"/>
          <w:lang w:val="en-US" w:eastAsia="zh-CN"/>
        </w:rPr>
      </w:pPr>
    </w:p>
    <w:p w14:paraId="4BF695A4">
      <w:pPr>
        <w:bidi w:val="0"/>
        <w:jc w:val="left"/>
        <w:rPr>
          <w:rFonts w:hint="eastAsia"/>
          <w:b/>
          <w:bCs/>
          <w:color w:val="auto"/>
          <w:sz w:val="28"/>
          <w:szCs w:val="28"/>
          <w:highlight w:val="none"/>
          <w:lang w:val="en-US" w:eastAsia="zh-CN"/>
        </w:rPr>
      </w:pPr>
    </w:p>
    <w:p w14:paraId="71CA461F">
      <w:pPr>
        <w:bidi w:val="0"/>
        <w:jc w:val="left"/>
        <w:rPr>
          <w:rFonts w:hint="eastAsia"/>
          <w:b/>
          <w:bCs/>
          <w:color w:val="auto"/>
          <w:sz w:val="28"/>
          <w:szCs w:val="28"/>
          <w:highlight w:val="none"/>
          <w:lang w:val="en-US" w:eastAsia="zh-CN"/>
        </w:rPr>
      </w:pPr>
    </w:p>
    <w:p w14:paraId="0E38C4DC">
      <w:pPr>
        <w:bidi w:val="0"/>
        <w:jc w:val="left"/>
        <w:rPr>
          <w:rFonts w:hint="eastAsia"/>
          <w:b/>
          <w:bCs/>
          <w:color w:val="auto"/>
          <w:sz w:val="28"/>
          <w:szCs w:val="28"/>
          <w:highlight w:val="none"/>
          <w:lang w:val="en-US" w:eastAsia="zh-CN"/>
        </w:rPr>
      </w:pPr>
    </w:p>
    <w:p w14:paraId="718FCBB7">
      <w:pPr>
        <w:bidi w:val="0"/>
        <w:jc w:val="left"/>
        <w:rPr>
          <w:rFonts w:hint="eastAsia"/>
          <w:b/>
          <w:bCs/>
          <w:color w:val="auto"/>
          <w:sz w:val="28"/>
          <w:szCs w:val="28"/>
          <w:highlight w:val="none"/>
          <w:lang w:val="en-US" w:eastAsia="zh-CN"/>
        </w:rPr>
      </w:pPr>
    </w:p>
    <w:p w14:paraId="2C63990D">
      <w:pPr>
        <w:bidi w:val="0"/>
        <w:jc w:val="left"/>
        <w:rPr>
          <w:rFonts w:hint="eastAsia"/>
          <w:b/>
          <w:bCs/>
          <w:color w:val="auto"/>
          <w:sz w:val="28"/>
          <w:szCs w:val="28"/>
          <w:highlight w:val="none"/>
          <w:lang w:val="en-US" w:eastAsia="zh-CN"/>
        </w:rPr>
      </w:pPr>
    </w:p>
    <w:p w14:paraId="071AF407">
      <w:pPr>
        <w:bidi w:val="0"/>
        <w:jc w:val="left"/>
        <w:rPr>
          <w:rFonts w:hint="eastAsia"/>
          <w:b/>
          <w:bCs/>
          <w:color w:val="auto"/>
          <w:sz w:val="28"/>
          <w:szCs w:val="28"/>
          <w:highlight w:val="none"/>
          <w:lang w:val="en-US" w:eastAsia="zh-CN"/>
        </w:rPr>
      </w:pPr>
    </w:p>
    <w:p w14:paraId="7274D987">
      <w:pPr>
        <w:bidi w:val="0"/>
        <w:jc w:val="left"/>
        <w:rPr>
          <w:rFonts w:hint="eastAsia"/>
          <w:b/>
          <w:bCs/>
          <w:color w:val="auto"/>
          <w:sz w:val="28"/>
          <w:szCs w:val="28"/>
          <w:highlight w:val="none"/>
          <w:lang w:val="en-US" w:eastAsia="zh-CN"/>
        </w:rPr>
      </w:pPr>
    </w:p>
    <w:p w14:paraId="259E6B80">
      <w:pPr>
        <w:bidi w:val="0"/>
        <w:jc w:val="left"/>
        <w:rPr>
          <w:rFonts w:hint="eastAsia"/>
          <w:b/>
          <w:bCs/>
          <w:color w:val="auto"/>
          <w:sz w:val="28"/>
          <w:szCs w:val="28"/>
          <w:highlight w:val="none"/>
          <w:lang w:val="en-US" w:eastAsia="zh-CN"/>
        </w:rPr>
      </w:pPr>
    </w:p>
    <w:p w14:paraId="744B0C71">
      <w:pPr>
        <w:bidi w:val="0"/>
        <w:jc w:val="left"/>
        <w:rPr>
          <w:rFonts w:hint="eastAsia"/>
          <w:b/>
          <w:bCs/>
          <w:color w:val="auto"/>
          <w:sz w:val="28"/>
          <w:szCs w:val="28"/>
          <w:highlight w:val="none"/>
          <w:lang w:val="en-US" w:eastAsia="zh-CN"/>
        </w:rPr>
      </w:pPr>
    </w:p>
    <w:p w14:paraId="68626C0F">
      <w:pPr>
        <w:bidi w:val="0"/>
        <w:jc w:val="left"/>
        <w:rPr>
          <w:rFonts w:hint="eastAsia"/>
          <w:b/>
          <w:bCs/>
          <w:color w:val="auto"/>
          <w:sz w:val="28"/>
          <w:szCs w:val="28"/>
          <w:highlight w:val="none"/>
          <w:lang w:val="en-US" w:eastAsia="zh-CN"/>
        </w:rPr>
      </w:pPr>
    </w:p>
    <w:p w14:paraId="7E010B63">
      <w:pPr>
        <w:bidi w:val="0"/>
        <w:jc w:val="left"/>
        <w:rPr>
          <w:rFonts w:hint="eastAsia"/>
          <w:b/>
          <w:bCs/>
          <w:color w:val="auto"/>
          <w:sz w:val="28"/>
          <w:szCs w:val="28"/>
          <w:highlight w:val="none"/>
          <w:lang w:val="en-US" w:eastAsia="zh-CN"/>
        </w:rPr>
      </w:pPr>
    </w:p>
    <w:p w14:paraId="713E6604">
      <w:pPr>
        <w:bidi w:val="0"/>
        <w:jc w:val="left"/>
        <w:rPr>
          <w:rFonts w:hint="eastAsia"/>
          <w:b/>
          <w:bCs/>
          <w:color w:val="auto"/>
          <w:sz w:val="28"/>
          <w:szCs w:val="28"/>
          <w:highlight w:val="none"/>
          <w:lang w:val="en-US" w:eastAsia="zh-CN"/>
        </w:rPr>
      </w:pPr>
    </w:p>
    <w:p w14:paraId="4C06C445">
      <w:pPr>
        <w:bidi w:val="0"/>
        <w:jc w:val="left"/>
        <w:rPr>
          <w:rFonts w:hint="eastAsia"/>
          <w:b/>
          <w:bCs/>
          <w:color w:val="auto"/>
          <w:sz w:val="28"/>
          <w:szCs w:val="28"/>
          <w:highlight w:val="none"/>
          <w:lang w:val="en-US" w:eastAsia="zh-CN"/>
        </w:rPr>
      </w:pPr>
    </w:p>
    <w:p w14:paraId="45F67281">
      <w:pPr>
        <w:bidi w:val="0"/>
        <w:jc w:val="left"/>
        <w:rPr>
          <w:rFonts w:hint="eastAsia"/>
          <w:b/>
          <w:bCs/>
          <w:color w:val="auto"/>
          <w:sz w:val="28"/>
          <w:szCs w:val="28"/>
          <w:highlight w:val="none"/>
          <w:lang w:val="en-US" w:eastAsia="zh-CN"/>
        </w:rPr>
      </w:pPr>
    </w:p>
    <w:p w14:paraId="684FDD22">
      <w:pPr>
        <w:bidi w:val="0"/>
        <w:jc w:val="left"/>
        <w:rPr>
          <w:rFonts w:hint="eastAsia"/>
          <w:b/>
          <w:bCs/>
          <w:color w:val="auto"/>
          <w:sz w:val="28"/>
          <w:szCs w:val="28"/>
          <w:highlight w:val="none"/>
          <w:lang w:val="en-US" w:eastAsia="zh-CN"/>
        </w:rPr>
      </w:pPr>
    </w:p>
    <w:p w14:paraId="5DD748CA">
      <w:pPr>
        <w:bidi w:val="0"/>
        <w:jc w:val="left"/>
        <w:rPr>
          <w:rFonts w:hint="eastAsia"/>
          <w:b/>
          <w:bCs/>
          <w:color w:val="auto"/>
          <w:sz w:val="28"/>
          <w:szCs w:val="28"/>
          <w:highlight w:val="none"/>
          <w:lang w:val="en-US" w:eastAsia="zh-CN"/>
        </w:rPr>
      </w:pPr>
    </w:p>
    <w:p w14:paraId="072E3DB0">
      <w:pPr>
        <w:bidi w:val="0"/>
        <w:jc w:val="left"/>
        <w:rPr>
          <w:rFonts w:hint="eastAsia"/>
          <w:b/>
          <w:bCs/>
          <w:color w:val="auto"/>
          <w:sz w:val="28"/>
          <w:szCs w:val="28"/>
          <w:highlight w:val="none"/>
          <w:lang w:val="en-US" w:eastAsia="zh-CN"/>
        </w:rPr>
      </w:pPr>
    </w:p>
    <w:p w14:paraId="331B50AF">
      <w:pPr>
        <w:bidi w:val="0"/>
        <w:jc w:val="left"/>
        <w:rPr>
          <w:rFonts w:hint="eastAsia"/>
          <w:b/>
          <w:bCs/>
          <w:color w:val="auto"/>
          <w:sz w:val="28"/>
          <w:szCs w:val="28"/>
          <w:highlight w:val="none"/>
          <w:lang w:val="en-US" w:eastAsia="zh-CN"/>
        </w:rPr>
      </w:pPr>
    </w:p>
    <w:p w14:paraId="0836D11C">
      <w:pPr>
        <w:bidi w:val="0"/>
        <w:jc w:val="left"/>
        <w:rPr>
          <w:rFonts w:hint="eastAsia"/>
          <w:b/>
          <w:bCs/>
          <w:color w:val="auto"/>
          <w:sz w:val="28"/>
          <w:szCs w:val="28"/>
          <w:highlight w:val="none"/>
          <w:lang w:val="en-US" w:eastAsia="zh-CN"/>
        </w:rPr>
      </w:pPr>
    </w:p>
    <w:p w14:paraId="0BA08A5A">
      <w:pPr>
        <w:bidi w:val="0"/>
        <w:jc w:val="left"/>
        <w:rPr>
          <w:rFonts w:hint="eastAsia"/>
          <w:b/>
          <w:bCs/>
          <w:color w:val="auto"/>
          <w:sz w:val="28"/>
          <w:szCs w:val="28"/>
          <w:highlight w:val="none"/>
          <w:lang w:val="en-US" w:eastAsia="zh-CN"/>
        </w:rPr>
      </w:pPr>
    </w:p>
    <w:p w14:paraId="0943DDDD">
      <w:pPr>
        <w:bidi w:val="0"/>
        <w:jc w:val="left"/>
        <w:rPr>
          <w:b/>
          <w:bCs/>
          <w:color w:val="auto"/>
          <w:sz w:val="28"/>
          <w:szCs w:val="28"/>
          <w:highlight w:val="none"/>
        </w:rPr>
      </w:pPr>
      <w:r>
        <w:rPr>
          <w:rFonts w:hint="eastAsia"/>
          <w:b/>
          <w:bCs/>
          <w:color w:val="auto"/>
          <w:sz w:val="28"/>
          <w:szCs w:val="28"/>
          <w:highlight w:val="none"/>
          <w:lang w:val="en-US" w:eastAsia="zh-CN"/>
        </w:rPr>
        <w:t>九</w:t>
      </w:r>
      <w:r>
        <w:rPr>
          <w:rFonts w:hint="eastAsia"/>
          <w:b/>
          <w:bCs/>
          <w:color w:val="auto"/>
          <w:sz w:val="28"/>
          <w:szCs w:val="28"/>
          <w:highlight w:val="none"/>
        </w:rPr>
        <w:t>、联合体协议书（如有）</w:t>
      </w:r>
    </w:p>
    <w:p w14:paraId="2A94D8BD">
      <w:pPr>
        <w:bidi w:val="0"/>
        <w:jc w:val="center"/>
        <w:rPr>
          <w:color w:val="auto"/>
          <w:highlight w:val="none"/>
        </w:rPr>
      </w:pPr>
    </w:p>
    <w:p w14:paraId="2178A059">
      <w:pPr>
        <w:bidi w:val="0"/>
        <w:jc w:val="center"/>
        <w:rPr>
          <w:b/>
          <w:bCs/>
          <w:color w:val="auto"/>
          <w:sz w:val="28"/>
          <w:szCs w:val="28"/>
          <w:highlight w:val="none"/>
        </w:rPr>
      </w:pPr>
      <w:r>
        <w:rPr>
          <w:rFonts w:hint="eastAsia"/>
          <w:b/>
          <w:bCs/>
          <w:color w:val="auto"/>
          <w:sz w:val="28"/>
          <w:szCs w:val="28"/>
          <w:highlight w:val="none"/>
        </w:rPr>
        <w:t>联合体竞标协议书（格式）</w:t>
      </w:r>
    </w:p>
    <w:p w14:paraId="6A0EA1AC">
      <w:pPr>
        <w:autoSpaceDE w:val="0"/>
        <w:autoSpaceDN w:val="0"/>
        <w:adjustRightInd w:val="0"/>
        <w:spacing w:line="360" w:lineRule="auto"/>
        <w:jc w:val="left"/>
        <w:rPr>
          <w:rFonts w:ascii="宋体" w:hAnsi="宋体" w:cs="宋体"/>
          <w:color w:val="auto"/>
          <w:kern w:val="0"/>
          <w:szCs w:val="21"/>
          <w:highlight w:val="none"/>
          <w:u w:val="single"/>
        </w:rPr>
      </w:pPr>
    </w:p>
    <w:p w14:paraId="1D4C0369">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（所有成员单位名称）自愿组成联合体，共同参加</w:t>
      </w:r>
      <w:r>
        <w:rPr>
          <w:rFonts w:hint="eastAsia" w:ascii="宋体" w:hAnsi="宋体" w:cs="宋体"/>
          <w:color w:val="auto"/>
          <w:kern w:val="0"/>
          <w:sz w:val="21"/>
          <w:szCs w:val="21"/>
          <w:highlight w:val="none"/>
          <w:u w:val="single"/>
        </w:rPr>
        <w:t xml:space="preserve">    </w:t>
      </w:r>
      <w:bookmarkStart w:id="70" w:name="PO_3000001868_PM031"/>
      <w:r>
        <w:rPr>
          <w:rFonts w:hint="eastAsia" w:ascii="宋体" w:hAnsi="宋体" w:cs="宋体"/>
          <w:color w:val="auto"/>
          <w:kern w:val="0"/>
          <w:sz w:val="21"/>
          <w:szCs w:val="21"/>
          <w:highlight w:val="none"/>
          <w:u w:val="single"/>
        </w:rPr>
        <w:t>[采购组织机构]</w:t>
      </w:r>
      <w:bookmarkEnd w:id="70"/>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组织的</w:t>
      </w:r>
      <w:r>
        <w:rPr>
          <w:rFonts w:hint="eastAsia" w:ascii="宋体" w:hAnsi="宋体" w:cs="宋体"/>
          <w:color w:val="auto"/>
          <w:kern w:val="0"/>
          <w:sz w:val="21"/>
          <w:szCs w:val="21"/>
          <w:highlight w:val="none"/>
          <w:u w:val="single"/>
        </w:rPr>
        <w:t xml:space="preserve">       </w:t>
      </w:r>
      <w:bookmarkStart w:id="71" w:name="PO_3000001868_PM002_5"/>
      <w:r>
        <w:rPr>
          <w:rFonts w:hint="eastAsia" w:ascii="宋体" w:hAnsi="宋体" w:cs="宋体"/>
          <w:color w:val="auto"/>
          <w:kern w:val="0"/>
          <w:sz w:val="21"/>
          <w:szCs w:val="21"/>
          <w:highlight w:val="none"/>
          <w:u w:val="single"/>
        </w:rPr>
        <w:t>[项目名称]</w:t>
      </w:r>
      <w:bookmarkEnd w:id="71"/>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（项目编号：</w:t>
      </w:r>
      <w:r>
        <w:rPr>
          <w:rFonts w:hint="eastAsia" w:ascii="宋体" w:hAnsi="宋体" w:cs="宋体"/>
          <w:color w:val="auto"/>
          <w:kern w:val="0"/>
          <w:sz w:val="21"/>
          <w:szCs w:val="21"/>
          <w:highlight w:val="none"/>
          <w:u w:val="single"/>
        </w:rPr>
        <w:t xml:space="preserve">  </w:t>
      </w:r>
      <w:bookmarkStart w:id="72" w:name="PO_3000001868_PM001_6"/>
      <w:r>
        <w:rPr>
          <w:rFonts w:hint="eastAsia" w:ascii="宋体" w:hAnsi="宋体" w:cs="宋体"/>
          <w:color w:val="auto"/>
          <w:kern w:val="0"/>
          <w:sz w:val="21"/>
          <w:szCs w:val="21"/>
          <w:highlight w:val="none"/>
          <w:u w:val="single"/>
        </w:rPr>
        <w:t>[项目编号]</w:t>
      </w:r>
      <w:bookmarkEnd w:id="72"/>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）竞争性磋商采购。现就联合体竞标事宜订立如下协议：</w:t>
      </w:r>
    </w:p>
    <w:p w14:paraId="53ACF73E">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sz w:val="21"/>
          <w:szCs w:val="21"/>
          <w:highlight w:val="none"/>
        </w:rPr>
        <w:t>________________________</w:t>
      </w:r>
      <w:r>
        <w:rPr>
          <w:rFonts w:hint="eastAsia" w:ascii="宋体" w:hAnsi="宋体" w:cs="宋体"/>
          <w:color w:val="auto"/>
          <w:kern w:val="0"/>
          <w:sz w:val="21"/>
          <w:szCs w:val="21"/>
          <w:highlight w:val="none"/>
        </w:rPr>
        <w:t>（某成员单位名称）为联合体名称牵头人。</w:t>
      </w:r>
    </w:p>
    <w:p w14:paraId="1230C411">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639640F8">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2C954773">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4、联合体各成员单位内部的职责分工如下</w:t>
      </w:r>
      <w:r>
        <w:rPr>
          <w:rFonts w:hint="eastAsia" w:ascii="宋体" w:hAnsi="宋体" w:cs="宋体"/>
          <w:color w:val="auto"/>
          <w:kern w:val="0"/>
          <w:sz w:val="21"/>
          <w:szCs w:val="21"/>
          <w:highlight w:val="none"/>
          <w:u w:val="none"/>
        </w:rPr>
        <w:t>：</w:t>
      </w:r>
      <w:r>
        <w:rPr>
          <w:rFonts w:hint="eastAsia" w:ascii="宋体" w:hAnsi="宋体" w:cs="宋体"/>
          <w:color w:val="auto"/>
          <w:sz w:val="21"/>
          <w:szCs w:val="21"/>
          <w:highlight w:val="none"/>
          <w:u w:val="single"/>
        </w:rPr>
        <w:t>____________________</w:t>
      </w:r>
      <w:r>
        <w:rPr>
          <w:rFonts w:hint="eastAsia" w:ascii="宋体" w:hAnsi="宋体" w:cs="宋体"/>
          <w:color w:val="auto"/>
          <w:kern w:val="0"/>
          <w:sz w:val="21"/>
          <w:szCs w:val="21"/>
          <w:highlight w:val="none"/>
        </w:rPr>
        <w:t>。</w:t>
      </w:r>
    </w:p>
    <w:p w14:paraId="6A38B978">
      <w:pPr>
        <w:pStyle w:val="16"/>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5、本联合体中</w:t>
      </w:r>
      <w:r>
        <w:rPr>
          <w:rFonts w:hint="eastAsia" w:hAnsi="宋体" w:cs="宋体"/>
          <w:color w:val="auto"/>
          <w:sz w:val="21"/>
          <w:szCs w:val="21"/>
          <w:highlight w:val="none"/>
          <w:u w:val="single"/>
        </w:rPr>
        <w:t>，________________________（某成员单位名称）为______</w:t>
      </w:r>
      <w:r>
        <w:rPr>
          <w:rFonts w:hint="eastAsia" w:hAnsi="宋体" w:cs="宋体"/>
          <w:color w:val="auto"/>
          <w:sz w:val="21"/>
          <w:szCs w:val="21"/>
          <w:highlight w:val="none"/>
        </w:rPr>
        <w:t>（请填写：中型、小型、微型）企业，其协议合同金额占联合体协议合同总金额的</w:t>
      </w:r>
      <w:r>
        <w:rPr>
          <w:rFonts w:hint="eastAsia" w:hAnsi="宋体" w:cs="宋体"/>
          <w:color w:val="auto"/>
          <w:sz w:val="21"/>
          <w:szCs w:val="21"/>
          <w:highlight w:val="none"/>
          <w:u w:val="single"/>
        </w:rPr>
        <w:t>______</w:t>
      </w:r>
      <w:r>
        <w:rPr>
          <w:rFonts w:hint="eastAsia" w:hAnsi="宋体" w:cs="宋体"/>
          <w:color w:val="auto"/>
          <w:sz w:val="21"/>
          <w:szCs w:val="21"/>
          <w:highlight w:val="none"/>
        </w:rPr>
        <w:t>%。【如联合体成员中有小型、微型企业的，请填写此条，否则无需填写；如联合体成员中有多个小型、微型企业的，请逐一列出。】</w:t>
      </w:r>
    </w:p>
    <w:p w14:paraId="368CCBCE">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6、本协议书自签署之日起生效，合同履行完毕后自动失效。</w:t>
      </w:r>
    </w:p>
    <w:p w14:paraId="12ED0A37">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7、本协议书一式</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份，联合体成员和采购代理机构各执一份。</w:t>
      </w:r>
    </w:p>
    <w:p w14:paraId="33AC2956">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注：本协议书由法定代表人签字的，应附法定代表人身份证明；本协议书由委托代理人签字的，应附法定代表人授权委托书。</w:t>
      </w:r>
    </w:p>
    <w:p w14:paraId="2E736BF9">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牵头人名称：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（盖单位公章）</w:t>
      </w:r>
    </w:p>
    <w:p w14:paraId="710D2A67">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（签字或盖章）</w:t>
      </w:r>
    </w:p>
    <w:p w14:paraId="02541616">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成员一名称：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（盖单位公章）</w:t>
      </w:r>
    </w:p>
    <w:p w14:paraId="22F179BD">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（签字或盖章）</w:t>
      </w:r>
    </w:p>
    <w:p w14:paraId="2E408CF0">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成员二名称：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（盖单位公章）</w:t>
      </w:r>
    </w:p>
    <w:p w14:paraId="22C24ED0">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（签字或盖章）</w:t>
      </w:r>
    </w:p>
    <w:p w14:paraId="4B14E3D6">
      <w:pPr>
        <w:snapToGrid w:val="0"/>
        <w:spacing w:line="360" w:lineRule="auto"/>
        <w:jc w:val="right"/>
        <w:rPr>
          <w:rFonts w:hint="eastAsia" w:ascii="宋体" w:hAnsi="宋体" w:cs="宋体"/>
          <w:color w:val="auto"/>
          <w:kern w:val="0"/>
          <w:sz w:val="21"/>
          <w:szCs w:val="21"/>
          <w:highlight w:val="none"/>
          <w:lang w:val="zh-CN"/>
        </w:rPr>
      </w:pPr>
    </w:p>
    <w:p w14:paraId="536A693B">
      <w:pPr>
        <w:snapToGrid w:val="0"/>
        <w:spacing w:line="360" w:lineRule="auto"/>
        <w:jc w:val="right"/>
        <w:rPr>
          <w:rFonts w:hint="eastAsia" w:ascii="宋体" w:hAnsi="宋体" w:cs="宋体"/>
          <w:b/>
          <w:bCs/>
          <w:color w:val="auto"/>
          <w:sz w:val="21"/>
          <w:szCs w:val="21"/>
          <w:highlight w:val="none"/>
          <w:lang w:val="en-US" w:eastAsia="zh-CN"/>
        </w:rPr>
      </w:pPr>
      <w:r>
        <w:rPr>
          <w:rFonts w:hint="eastAsia" w:ascii="宋体" w:hAnsi="宋体" w:cs="宋体"/>
          <w:color w:val="auto"/>
          <w:kern w:val="0"/>
          <w:sz w:val="21"/>
          <w:szCs w:val="21"/>
          <w:highlight w:val="none"/>
          <w:lang w:val="zh-CN"/>
        </w:rPr>
        <w:t>日期：  年  月   日</w:t>
      </w:r>
    </w:p>
    <w:p w14:paraId="082D9C6E">
      <w:pPr>
        <w:snapToGrid w:val="0"/>
        <w:spacing w:line="360" w:lineRule="auto"/>
        <w:rPr>
          <w:rFonts w:ascii="宋体" w:hAnsi="宋体" w:cs="宋体"/>
          <w:b/>
          <w:color w:val="auto"/>
          <w:sz w:val="30"/>
          <w:szCs w:val="30"/>
          <w:highlight w:val="none"/>
        </w:rPr>
      </w:pPr>
      <w:r>
        <w:rPr>
          <w:rFonts w:hint="eastAsia" w:ascii="宋体" w:hAnsi="宋体" w:cs="宋体"/>
          <w:b/>
          <w:bCs/>
          <w:color w:val="auto"/>
          <w:sz w:val="24"/>
          <w:highlight w:val="none"/>
          <w:lang w:val="en-US" w:eastAsia="zh-CN"/>
        </w:rPr>
        <w:t>十</w:t>
      </w:r>
      <w:r>
        <w:rPr>
          <w:rFonts w:hint="eastAsia" w:ascii="宋体" w:hAnsi="宋体" w:cs="宋体"/>
          <w:b/>
          <w:bCs/>
          <w:color w:val="auto"/>
          <w:sz w:val="24"/>
          <w:highlight w:val="none"/>
        </w:rPr>
        <w:t>、除磋商文件规定必须提供以外，供应商认为需要提供的其他证明材料</w:t>
      </w:r>
    </w:p>
    <w:p w14:paraId="32CB596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FF4C6CD">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ADE2369">
      <w:pPr>
        <w:rPr>
          <w:rFonts w:hint="eastAsia" w:ascii="宋体" w:hAnsi="宋体" w:cs="宋体"/>
          <w:b w:val="0"/>
          <w:bCs w:val="0"/>
          <w:color w:val="auto"/>
          <w:highlight w:val="none"/>
        </w:rPr>
      </w:pPr>
      <w:bookmarkStart w:id="73" w:name="_Toc10861"/>
      <w:bookmarkStart w:id="74" w:name="_Toc80205940"/>
    </w:p>
    <w:p w14:paraId="48F7FD7A">
      <w:pPr>
        <w:rPr>
          <w:rFonts w:hint="eastAsia" w:ascii="宋体" w:hAnsi="宋体" w:cs="宋体"/>
          <w:b w:val="0"/>
          <w:bCs w:val="0"/>
          <w:color w:val="auto"/>
          <w:highlight w:val="none"/>
        </w:rPr>
      </w:pPr>
    </w:p>
    <w:p w14:paraId="4A6D5C71">
      <w:pPr>
        <w:rPr>
          <w:rFonts w:hint="eastAsia" w:ascii="宋体" w:hAnsi="宋体" w:cs="宋体"/>
          <w:b w:val="0"/>
          <w:bCs w:val="0"/>
          <w:color w:val="auto"/>
          <w:highlight w:val="none"/>
        </w:rPr>
      </w:pPr>
    </w:p>
    <w:p w14:paraId="7582477B">
      <w:pPr>
        <w:rPr>
          <w:rFonts w:hint="eastAsia" w:ascii="宋体" w:hAnsi="宋体" w:cs="宋体"/>
          <w:b w:val="0"/>
          <w:bCs w:val="0"/>
          <w:color w:val="auto"/>
          <w:highlight w:val="none"/>
        </w:rPr>
      </w:pPr>
    </w:p>
    <w:p w14:paraId="23653174">
      <w:pPr>
        <w:pStyle w:val="3"/>
        <w:jc w:val="center"/>
        <w:rPr>
          <w:rFonts w:ascii="宋体" w:hAnsi="宋体" w:cs="宋体"/>
          <w:b w:val="0"/>
          <w:color w:val="auto"/>
          <w:highlight w:val="none"/>
        </w:rPr>
      </w:pPr>
      <w:r>
        <w:rPr>
          <w:rFonts w:hint="eastAsia" w:ascii="宋体" w:hAnsi="宋体" w:cs="宋体"/>
          <w:b w:val="0"/>
          <w:bCs w:val="0"/>
          <w:color w:val="auto"/>
          <w:highlight w:val="none"/>
        </w:rPr>
        <w:t>第</w:t>
      </w:r>
      <w:r>
        <w:rPr>
          <w:rFonts w:hint="eastAsia" w:ascii="宋体" w:hAnsi="宋体" w:cs="宋体"/>
          <w:b w:val="0"/>
          <w:bCs w:val="0"/>
          <w:color w:val="auto"/>
          <w:highlight w:val="none"/>
          <w:lang w:val="en-US" w:eastAsia="zh-CN"/>
        </w:rPr>
        <w:t>二</w:t>
      </w:r>
      <w:r>
        <w:rPr>
          <w:rFonts w:hint="eastAsia" w:ascii="宋体" w:hAnsi="宋体" w:cs="宋体"/>
          <w:b w:val="0"/>
          <w:bCs w:val="0"/>
          <w:color w:val="auto"/>
          <w:highlight w:val="none"/>
        </w:rPr>
        <w:t xml:space="preserve">节 </w:t>
      </w:r>
      <w:r>
        <w:rPr>
          <w:rFonts w:hint="eastAsia" w:ascii="宋体" w:hAnsi="宋体" w:cs="宋体"/>
          <w:b w:val="0"/>
          <w:color w:val="auto"/>
          <w:highlight w:val="none"/>
        </w:rPr>
        <w:t>商务技术文件格式</w:t>
      </w:r>
      <w:bookmarkEnd w:id="73"/>
      <w:bookmarkEnd w:id="74"/>
    </w:p>
    <w:p w14:paraId="3DE36F4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2DFA9663">
      <w:pPr>
        <w:snapToGrid w:val="0"/>
        <w:spacing w:before="120" w:beforeLines="50" w:after="50"/>
        <w:rPr>
          <w:rFonts w:ascii="宋体" w:hAnsi="宋体" w:cs="宋体"/>
          <w:color w:val="auto"/>
          <w:sz w:val="24"/>
          <w:szCs w:val="20"/>
          <w:highlight w:val="none"/>
        </w:rPr>
      </w:pPr>
    </w:p>
    <w:p w14:paraId="71A8F2F6">
      <w:pPr>
        <w:snapToGrid w:val="0"/>
        <w:spacing w:before="120" w:beforeLines="50" w:after="50"/>
        <w:rPr>
          <w:rFonts w:ascii="宋体" w:hAnsi="宋体" w:cs="宋体"/>
          <w:color w:val="auto"/>
          <w:sz w:val="24"/>
          <w:szCs w:val="20"/>
          <w:highlight w:val="none"/>
        </w:rPr>
      </w:pPr>
    </w:p>
    <w:p w14:paraId="5CCB68AB">
      <w:pPr>
        <w:snapToGrid w:val="0"/>
        <w:spacing w:before="120" w:beforeLines="50" w:after="50"/>
        <w:rPr>
          <w:rFonts w:ascii="宋体" w:hAnsi="宋体" w:cs="宋体"/>
          <w:color w:val="auto"/>
          <w:sz w:val="24"/>
          <w:szCs w:val="20"/>
          <w:highlight w:val="none"/>
        </w:rPr>
      </w:pPr>
    </w:p>
    <w:p w14:paraId="0C8A7507">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78B0D63E">
      <w:pPr>
        <w:snapToGrid w:val="0"/>
        <w:spacing w:before="120" w:beforeLines="50" w:after="50"/>
        <w:rPr>
          <w:rFonts w:ascii="宋体" w:hAnsi="宋体" w:cs="宋体"/>
          <w:bCs/>
          <w:color w:val="auto"/>
          <w:sz w:val="24"/>
          <w:szCs w:val="20"/>
          <w:highlight w:val="none"/>
        </w:rPr>
      </w:pPr>
    </w:p>
    <w:p w14:paraId="5B7A9836">
      <w:pPr>
        <w:snapToGrid w:val="0"/>
        <w:spacing w:before="120" w:beforeLines="50" w:after="50"/>
        <w:rPr>
          <w:rFonts w:ascii="宋体" w:hAnsi="宋体" w:cs="宋体"/>
          <w:bCs/>
          <w:color w:val="auto"/>
          <w:sz w:val="24"/>
          <w:szCs w:val="20"/>
          <w:highlight w:val="none"/>
        </w:rPr>
      </w:pPr>
    </w:p>
    <w:p w14:paraId="14582DCE">
      <w:pPr>
        <w:snapToGrid w:val="0"/>
        <w:spacing w:before="120" w:beforeLines="50" w:after="50"/>
        <w:rPr>
          <w:rFonts w:ascii="宋体" w:hAnsi="宋体" w:cs="宋体"/>
          <w:bCs/>
          <w:color w:val="auto"/>
          <w:sz w:val="24"/>
          <w:szCs w:val="20"/>
          <w:highlight w:val="none"/>
        </w:rPr>
      </w:pPr>
    </w:p>
    <w:p w14:paraId="209FF2BC">
      <w:pPr>
        <w:snapToGrid w:val="0"/>
        <w:spacing w:before="120" w:beforeLines="50" w:after="50"/>
        <w:rPr>
          <w:rFonts w:ascii="宋体" w:hAnsi="宋体" w:cs="宋体"/>
          <w:bCs/>
          <w:color w:val="auto"/>
          <w:sz w:val="24"/>
          <w:szCs w:val="20"/>
          <w:highlight w:val="none"/>
        </w:rPr>
      </w:pPr>
    </w:p>
    <w:p w14:paraId="4432332B">
      <w:pPr>
        <w:snapToGrid w:val="0"/>
        <w:spacing w:before="120" w:beforeLines="50" w:after="50"/>
        <w:rPr>
          <w:rFonts w:ascii="宋体" w:hAnsi="宋体" w:cs="宋体"/>
          <w:bCs/>
          <w:color w:val="auto"/>
          <w:sz w:val="24"/>
          <w:szCs w:val="20"/>
          <w:highlight w:val="none"/>
        </w:rPr>
      </w:pPr>
    </w:p>
    <w:p w14:paraId="4B74A1AE">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5" w:name="PO_3000001868_PM002_6"/>
      <w:r>
        <w:rPr>
          <w:rFonts w:hint="eastAsia" w:ascii="宋体" w:hAnsi="宋体" w:cs="宋体"/>
          <w:bCs/>
          <w:color w:val="auto"/>
          <w:sz w:val="32"/>
          <w:szCs w:val="32"/>
          <w:highlight w:val="none"/>
        </w:rPr>
        <w:t>[项目名称]</w:t>
      </w:r>
      <w:bookmarkEnd w:id="75"/>
    </w:p>
    <w:p w14:paraId="4FFCD1F2">
      <w:pPr>
        <w:snapToGrid w:val="0"/>
        <w:spacing w:before="120" w:beforeLines="50" w:after="50"/>
        <w:ind w:firstLine="720" w:firstLineChars="225"/>
        <w:rPr>
          <w:rFonts w:ascii="宋体" w:hAnsi="宋体" w:cs="宋体"/>
          <w:bCs/>
          <w:color w:val="auto"/>
          <w:sz w:val="32"/>
          <w:szCs w:val="32"/>
          <w:highlight w:val="none"/>
        </w:rPr>
      </w:pPr>
    </w:p>
    <w:p w14:paraId="76FE83D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6" w:name="PO_3000001868_PM001_7"/>
      <w:r>
        <w:rPr>
          <w:rFonts w:hint="eastAsia" w:ascii="宋体" w:hAnsi="宋体" w:cs="宋体"/>
          <w:bCs/>
          <w:color w:val="auto"/>
          <w:sz w:val="32"/>
          <w:szCs w:val="32"/>
          <w:highlight w:val="none"/>
        </w:rPr>
        <w:t>[项目编号]</w:t>
      </w:r>
      <w:bookmarkEnd w:id="76"/>
    </w:p>
    <w:p w14:paraId="3AE36B1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04D9A68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58B0D36">
      <w:pPr>
        <w:snapToGrid w:val="0"/>
        <w:spacing w:before="120" w:beforeLines="50" w:after="50"/>
        <w:ind w:firstLine="720" w:firstLineChars="225"/>
        <w:rPr>
          <w:rFonts w:ascii="宋体" w:hAnsi="宋体" w:cs="宋体"/>
          <w:bCs/>
          <w:color w:val="auto"/>
          <w:sz w:val="32"/>
          <w:szCs w:val="32"/>
          <w:highlight w:val="none"/>
        </w:rPr>
      </w:pPr>
    </w:p>
    <w:p w14:paraId="14D312CE">
      <w:pPr>
        <w:pStyle w:val="9"/>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98D4497">
      <w:pPr>
        <w:pStyle w:val="9"/>
        <w:snapToGrid w:val="0"/>
        <w:spacing w:before="50" w:after="50"/>
        <w:ind w:left="0" w:leftChars="0" w:firstLine="0" w:firstLineChars="0"/>
        <w:rPr>
          <w:rFonts w:ascii="宋体" w:hAnsi="宋体" w:cs="宋体"/>
          <w:bCs/>
          <w:color w:val="auto"/>
          <w:sz w:val="32"/>
          <w:szCs w:val="32"/>
          <w:highlight w:val="none"/>
        </w:rPr>
      </w:pPr>
    </w:p>
    <w:p w14:paraId="4031B0A4">
      <w:pPr>
        <w:pStyle w:val="9"/>
        <w:snapToGrid w:val="0"/>
        <w:spacing w:before="50" w:after="50"/>
        <w:ind w:firstLine="1280" w:firstLineChars="400"/>
        <w:rPr>
          <w:rFonts w:ascii="宋体" w:hAnsi="宋体" w:cs="宋体"/>
          <w:bCs/>
          <w:color w:val="auto"/>
          <w:sz w:val="32"/>
          <w:szCs w:val="32"/>
          <w:highlight w:val="none"/>
        </w:rPr>
      </w:pPr>
    </w:p>
    <w:p w14:paraId="3AAC547E">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3B55BF31">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3C4E7CB6">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5CAAC8CC">
      <w:pPr>
        <w:jc w:val="center"/>
        <w:rPr>
          <w:rFonts w:ascii="宋体" w:hAnsi="宋体" w:cs="宋体"/>
          <w:b/>
          <w:color w:val="auto"/>
          <w:kern w:val="0"/>
          <w:sz w:val="28"/>
          <w:szCs w:val="28"/>
          <w:highlight w:val="none"/>
        </w:rPr>
      </w:pPr>
    </w:p>
    <w:p w14:paraId="42BF5788">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101C2926">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52F58E07">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16E60927">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306FF1E6">
      <w:pPr>
        <w:pStyle w:val="40"/>
        <w:spacing w:line="360" w:lineRule="auto"/>
        <w:rPr>
          <w:rFonts w:ascii="宋体" w:hAnsi="宋体" w:eastAsia="宋体" w:cs="宋体"/>
          <w:color w:val="auto"/>
          <w:highlight w:val="none"/>
        </w:rPr>
      </w:pPr>
      <w:bookmarkStart w:id="77" w:name="OLE_LINK6"/>
      <w:bookmarkStart w:id="78" w:name="OLE_LINK7"/>
      <w:bookmarkStart w:id="79" w:name="OLE_LINK5"/>
      <w:r>
        <w:rPr>
          <w:rFonts w:hint="eastAsia" w:ascii="宋体" w:hAnsi="宋体" w:eastAsia="宋体" w:cs="宋体"/>
          <w:color w:val="auto"/>
          <w:highlight w:val="none"/>
        </w:rPr>
        <w:t>五、服务需求偏离表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26F9774">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六、</w:t>
      </w:r>
      <w:r>
        <w:rPr>
          <w:rFonts w:hint="eastAsia" w:ascii="宋体" w:hAnsi="宋体" w:eastAsia="宋体" w:cs="宋体"/>
          <w:color w:val="auto"/>
          <w:highlight w:val="none"/>
          <w:lang w:eastAsia="zh-CN"/>
        </w:rPr>
        <w:t>施工组织设计</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77"/>
      <w:bookmarkEnd w:id="78"/>
    </w:p>
    <w:bookmarkEnd w:id="79"/>
    <w:p w14:paraId="3FCAB1B1">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七、售后服务方案…………………………………………………………（页码）</w:t>
      </w:r>
    </w:p>
    <w:p w14:paraId="66092315">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highlight w:val="none"/>
          <w:lang w:val="en-US" w:eastAsia="zh-CN"/>
        </w:rPr>
        <w:t>项目实施人员一览表</w:t>
      </w:r>
      <w:r>
        <w:rPr>
          <w:rFonts w:hint="eastAsia" w:ascii="宋体" w:hAnsi="宋体" w:eastAsia="宋体" w:cs="宋体"/>
          <w:color w:val="auto"/>
          <w:highlight w:val="none"/>
        </w:rPr>
        <w:t>…………………………………………………（页码）</w:t>
      </w:r>
    </w:p>
    <w:p w14:paraId="71E67E04">
      <w:pPr>
        <w:pStyle w:val="40"/>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、供应商类似业绩的证明文件</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3B25DAD">
      <w:pPr>
        <w:pStyle w:val="40"/>
        <w:spacing w:line="360" w:lineRule="auto"/>
        <w:jc w:val="left"/>
        <w:rPr>
          <w:rFonts w:ascii="宋体" w:hAnsi="宋体" w:eastAsia="宋体" w:cs="宋体"/>
          <w:color w:val="auto"/>
          <w:highlight w:val="none"/>
        </w:rPr>
      </w:pPr>
      <w:r>
        <w:rPr>
          <w:rFonts w:hint="eastAsia" w:ascii="宋体" w:hAnsi="宋体" w:eastAsia="宋体" w:cs="宋体"/>
          <w:color w:val="auto"/>
          <w:highlight w:val="none"/>
          <w:lang w:val="en-US" w:eastAsia="zh-CN"/>
        </w:rPr>
        <w:t>十</w:t>
      </w:r>
      <w:r>
        <w:rPr>
          <w:rFonts w:hint="eastAsia" w:ascii="宋体" w:hAnsi="宋体" w:eastAsia="宋体" w:cs="宋体"/>
          <w:color w:val="auto"/>
          <w:highlight w:val="none"/>
        </w:rPr>
        <w:t>、对应采购需求的服务需求、商务条款提供的其他文件资料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ECEC028">
      <w:pPr>
        <w:pStyle w:val="40"/>
        <w:spacing w:line="360" w:lineRule="auto"/>
        <w:rPr>
          <w:rFonts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、供应商认为需要提供的其他有关资料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3F007A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5DAFE163">
      <w:pPr>
        <w:spacing w:line="400" w:lineRule="exact"/>
        <w:rPr>
          <w:rFonts w:ascii="宋体" w:hAnsi="宋体" w:cs="宋体"/>
          <w:color w:val="auto"/>
          <w:sz w:val="32"/>
          <w:szCs w:val="32"/>
          <w:highlight w:val="none"/>
        </w:rPr>
      </w:pPr>
    </w:p>
    <w:p w14:paraId="60366F2E">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42F87C70">
      <w:pPr>
        <w:spacing w:line="520" w:lineRule="exact"/>
        <w:jc w:val="center"/>
        <w:rPr>
          <w:rFonts w:ascii="宋体" w:hAnsi="宋体" w:cs="宋体"/>
          <w:color w:val="auto"/>
          <w:sz w:val="44"/>
          <w:szCs w:val="44"/>
          <w:highlight w:val="none"/>
        </w:rPr>
      </w:pPr>
    </w:p>
    <w:p w14:paraId="2789C35A">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3E8DE5DF">
      <w:pPr>
        <w:spacing w:line="520" w:lineRule="exact"/>
        <w:ind w:firstLine="640" w:firstLineChars="200"/>
        <w:rPr>
          <w:rFonts w:ascii="宋体" w:hAnsi="宋体" w:cs="宋体"/>
          <w:color w:val="auto"/>
          <w:sz w:val="32"/>
          <w:szCs w:val="32"/>
          <w:highlight w:val="none"/>
        </w:rPr>
      </w:pPr>
    </w:p>
    <w:p w14:paraId="72AAF8E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68DDD0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472560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1C291E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23787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1B7C0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725328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412459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2179EF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5F9A59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C4CB4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21718D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3D8267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78B63F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3E348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E637E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238AA4C5">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38DF75C">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90CD9BC">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53EA8EB1">
      <w:pPr>
        <w:spacing w:line="360" w:lineRule="auto"/>
        <w:ind w:left="540"/>
        <w:contextualSpacing/>
        <w:rPr>
          <w:rFonts w:ascii="宋体" w:hAnsi="宋体" w:cs="宋体"/>
          <w:color w:val="auto"/>
          <w:sz w:val="32"/>
          <w:szCs w:val="32"/>
          <w:highlight w:val="none"/>
        </w:rPr>
      </w:pPr>
    </w:p>
    <w:p w14:paraId="0DEDDFF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2B44C0C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20230628">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593A6BD">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B5E186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1DC0B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6ACFE5E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2AEEE83E">
      <w:pPr>
        <w:spacing w:line="360" w:lineRule="auto"/>
        <w:ind w:left="540"/>
        <w:contextualSpacing/>
        <w:rPr>
          <w:rFonts w:ascii="宋体" w:hAnsi="宋体" w:cs="宋体"/>
          <w:color w:val="auto"/>
          <w:sz w:val="24"/>
          <w:highlight w:val="none"/>
        </w:rPr>
      </w:pPr>
    </w:p>
    <w:p w14:paraId="0531DA7C">
      <w:pPr>
        <w:spacing w:line="360" w:lineRule="auto"/>
        <w:ind w:left="540"/>
        <w:contextualSpacing/>
        <w:rPr>
          <w:rFonts w:ascii="宋体" w:hAnsi="宋体" w:cs="宋体"/>
          <w:color w:val="auto"/>
          <w:sz w:val="24"/>
          <w:highlight w:val="none"/>
        </w:rPr>
      </w:pPr>
    </w:p>
    <w:p w14:paraId="6B18841F">
      <w:pPr>
        <w:spacing w:line="360" w:lineRule="auto"/>
        <w:ind w:left="540"/>
        <w:contextualSpacing/>
        <w:rPr>
          <w:rFonts w:ascii="宋体" w:hAnsi="宋体" w:cs="宋体"/>
          <w:color w:val="auto"/>
          <w:sz w:val="24"/>
          <w:highlight w:val="none"/>
        </w:rPr>
      </w:pPr>
    </w:p>
    <w:p w14:paraId="6030571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9D4F2FF">
      <w:pPr>
        <w:spacing w:line="360" w:lineRule="auto"/>
        <w:ind w:left="540"/>
        <w:contextualSpacing/>
        <w:rPr>
          <w:rFonts w:ascii="宋体" w:hAnsi="宋体" w:cs="宋体"/>
          <w:color w:val="auto"/>
          <w:sz w:val="24"/>
          <w:highlight w:val="none"/>
        </w:rPr>
      </w:pPr>
    </w:p>
    <w:p w14:paraId="1C9ADAB8">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00C612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CDEB0D0">
      <w:pPr>
        <w:spacing w:line="360" w:lineRule="auto"/>
        <w:jc w:val="left"/>
        <w:rPr>
          <w:rFonts w:ascii="宋体" w:hAnsi="宋体" w:cs="宋体"/>
          <w:color w:val="auto"/>
          <w:sz w:val="24"/>
          <w:highlight w:val="none"/>
        </w:rPr>
      </w:pPr>
    </w:p>
    <w:p w14:paraId="4D2A8681">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2C363E2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B733A2E">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7"/>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623B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457B466A">
            <w:pPr>
              <w:spacing w:line="360" w:lineRule="auto"/>
              <w:rPr>
                <w:rFonts w:ascii="宋体" w:hAnsi="宋体" w:cs="宋体"/>
                <w:b/>
                <w:color w:val="auto"/>
                <w:sz w:val="24"/>
                <w:highlight w:val="none"/>
              </w:rPr>
            </w:pPr>
          </w:p>
          <w:p w14:paraId="056448AA">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6521165A">
      <w:pPr>
        <w:spacing w:line="360" w:lineRule="auto"/>
        <w:ind w:firstLine="482" w:firstLineChars="200"/>
        <w:jc w:val="left"/>
        <w:rPr>
          <w:rFonts w:ascii="宋体" w:hAnsi="宋体" w:cs="宋体"/>
          <w:bCs/>
          <w:color w:val="auto"/>
          <w:sz w:val="44"/>
          <w:szCs w:val="44"/>
          <w:highlight w:val="none"/>
        </w:rPr>
      </w:pPr>
      <w:r>
        <w:rPr>
          <w:rFonts w:hint="eastAsia" w:ascii="宋体" w:hAnsi="宋体" w:cs="宋体"/>
          <w:b/>
          <w:color w:val="auto"/>
          <w:sz w:val="24"/>
          <w:highlight w:val="none"/>
        </w:rPr>
        <w:t>附件：</w:t>
      </w: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17192BBC">
      <w:pPr>
        <w:spacing w:line="500" w:lineRule="exact"/>
        <w:jc w:val="center"/>
        <w:rPr>
          <w:rFonts w:ascii="宋体" w:hAnsi="宋体" w:cs="宋体"/>
          <w:color w:val="auto"/>
          <w:sz w:val="44"/>
          <w:szCs w:val="44"/>
          <w:highlight w:val="none"/>
        </w:rPr>
      </w:pPr>
    </w:p>
    <w:p w14:paraId="05C94C20">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26C708BB">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7D81622C">
      <w:pPr>
        <w:spacing w:line="520" w:lineRule="exact"/>
        <w:rPr>
          <w:rFonts w:ascii="宋体" w:hAnsi="宋体" w:cs="宋体"/>
          <w:color w:val="auto"/>
          <w:sz w:val="32"/>
          <w:szCs w:val="32"/>
          <w:highlight w:val="none"/>
        </w:rPr>
      </w:pPr>
    </w:p>
    <w:p w14:paraId="16F93C65">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80" w:name="PO_3000001868_PM031_7"/>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采购人名称</w:t>
      </w:r>
      <w:r>
        <w:rPr>
          <w:rFonts w:hint="eastAsia" w:ascii="宋体" w:hAnsi="宋体" w:cs="宋体"/>
          <w:color w:val="auto"/>
          <w:sz w:val="24"/>
          <w:highlight w:val="none"/>
          <w:u w:val="single"/>
        </w:rPr>
        <w:t>]</w:t>
      </w:r>
      <w:bookmarkEnd w:id="80"/>
      <w:r>
        <w:rPr>
          <w:rFonts w:hint="eastAsia" w:ascii="宋体" w:hAnsi="宋体" w:cs="宋体"/>
          <w:color w:val="auto"/>
          <w:sz w:val="24"/>
          <w:highlight w:val="none"/>
        </w:rPr>
        <w:t>：</w:t>
      </w:r>
    </w:p>
    <w:p w14:paraId="6EB241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1" w:name="PO_3000001868_PM002_7"/>
      <w:r>
        <w:rPr>
          <w:rFonts w:hint="eastAsia" w:ascii="宋体" w:hAnsi="宋体" w:cs="宋体"/>
          <w:color w:val="auto"/>
          <w:sz w:val="24"/>
          <w:highlight w:val="none"/>
          <w:u w:val="single"/>
        </w:rPr>
        <w:t>[项目名称]</w:t>
      </w:r>
      <w:bookmarkEnd w:id="81"/>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1267173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09861F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3D5A8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538065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36F5147F">
      <w:pPr>
        <w:spacing w:line="360" w:lineRule="auto"/>
        <w:rPr>
          <w:rFonts w:ascii="宋体" w:hAnsi="宋体" w:cs="宋体"/>
          <w:color w:val="auto"/>
          <w:sz w:val="24"/>
          <w:highlight w:val="none"/>
        </w:rPr>
      </w:pPr>
    </w:p>
    <w:p w14:paraId="4BD2FEA0">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 xml:space="preserve">）：         法定代表人（签字或盖章）：                    </w:t>
      </w:r>
    </w:p>
    <w:p w14:paraId="38DEB3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7DCD6F5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2D741F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2946E001">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08931D46">
      <w:pPr>
        <w:spacing w:line="360" w:lineRule="auto"/>
        <w:rPr>
          <w:rFonts w:ascii="宋体" w:hAnsi="宋体" w:cs="宋体"/>
          <w:color w:val="auto"/>
          <w:sz w:val="24"/>
          <w:highlight w:val="none"/>
        </w:rPr>
      </w:pPr>
    </w:p>
    <w:p w14:paraId="64E679DD">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w:t>
      </w:r>
      <w:r>
        <w:rPr>
          <w:rFonts w:hint="eastAsia" w:ascii="宋体" w:hAnsi="宋体" w:cs="宋体"/>
          <w:b/>
          <w:color w:val="auto"/>
          <w:sz w:val="24"/>
          <w:highlight w:val="none"/>
        </w:rPr>
        <w:t>否则其响应文件按无效响应处理。</w:t>
      </w:r>
    </w:p>
    <w:p w14:paraId="41CE5FC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3375E6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法人、其他组织竞标时“我方”是指“我单位”，自然人竞标时“我方”是指“本人”。</w:t>
      </w:r>
    </w:p>
    <w:p w14:paraId="19716603">
      <w:pPr>
        <w:spacing w:line="360" w:lineRule="auto"/>
        <w:ind w:firstLine="480" w:firstLineChars="200"/>
        <w:jc w:val="left"/>
        <w:rPr>
          <w:rFonts w:hint="eastAsia" w:ascii="宋体" w:hAnsi="宋体" w:cs="宋体"/>
          <w:color w:val="auto"/>
          <w:sz w:val="24"/>
          <w:highlight w:val="none"/>
        </w:rPr>
      </w:pPr>
    </w:p>
    <w:p w14:paraId="5CFDA645">
      <w:pPr>
        <w:spacing w:line="360" w:lineRule="auto"/>
        <w:ind w:firstLine="480" w:firstLineChars="200"/>
        <w:jc w:val="left"/>
        <w:rPr>
          <w:rFonts w:hint="eastAsia" w:ascii="宋体" w:hAnsi="宋体" w:cs="宋体"/>
          <w:color w:val="auto"/>
          <w:sz w:val="24"/>
          <w:highlight w:val="none"/>
        </w:rPr>
      </w:pPr>
    </w:p>
    <w:p w14:paraId="06BF39F8">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授权委托书（联合体竞标格式）</w:t>
      </w:r>
    </w:p>
    <w:p w14:paraId="27A7BA77">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7FEC93BE">
      <w:pPr>
        <w:spacing w:line="500" w:lineRule="exact"/>
        <w:jc w:val="center"/>
        <w:rPr>
          <w:rFonts w:ascii="宋体" w:hAnsi="宋体" w:cs="宋体"/>
          <w:color w:val="auto"/>
          <w:sz w:val="44"/>
          <w:szCs w:val="44"/>
          <w:highlight w:val="none"/>
        </w:rPr>
      </w:pPr>
    </w:p>
    <w:p w14:paraId="5C1EC9E2">
      <w:pPr>
        <w:spacing w:line="500" w:lineRule="exact"/>
        <w:jc w:val="center"/>
        <w:rPr>
          <w:rFonts w:ascii="宋体" w:hAnsi="宋体" w:cs="宋体"/>
          <w:color w:val="auto"/>
          <w:sz w:val="32"/>
          <w:szCs w:val="32"/>
          <w:highlight w:val="none"/>
        </w:rPr>
      </w:pPr>
    </w:p>
    <w:p w14:paraId="2924C41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45345F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34D3C5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726C8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FD031E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43190C1F">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62A9C244">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14ADDD4A">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22C47B1E">
      <w:pPr>
        <w:spacing w:line="360" w:lineRule="auto"/>
        <w:rPr>
          <w:rFonts w:ascii="宋体" w:hAnsi="宋体" w:cs="宋体"/>
          <w:color w:val="auto"/>
          <w:sz w:val="24"/>
          <w:highlight w:val="none"/>
        </w:rPr>
      </w:pPr>
    </w:p>
    <w:p w14:paraId="79078E7F">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6F13BCCE">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071A358C">
      <w:pPr>
        <w:spacing w:line="360" w:lineRule="auto"/>
        <w:rPr>
          <w:rFonts w:ascii="宋体" w:hAnsi="宋体" w:cs="宋体"/>
          <w:color w:val="auto"/>
          <w:sz w:val="24"/>
          <w:highlight w:val="none"/>
        </w:rPr>
      </w:pPr>
    </w:p>
    <w:p w14:paraId="3FDEE3AB">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0B37DCD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1C6E06A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1CE190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738E47AC">
      <w:pPr>
        <w:spacing w:line="520" w:lineRule="exact"/>
        <w:ind w:firstLine="420" w:firstLineChars="200"/>
        <w:jc w:val="left"/>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2E228B08">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0EFDD4BD">
      <w:pPr>
        <w:spacing w:line="520" w:lineRule="exact"/>
        <w:rPr>
          <w:rFonts w:ascii="宋体" w:hAnsi="宋体" w:cs="宋体"/>
          <w:color w:val="auto"/>
          <w:sz w:val="32"/>
          <w:szCs w:val="32"/>
          <w:highlight w:val="none"/>
        </w:rPr>
      </w:pPr>
    </w:p>
    <w:p w14:paraId="245C05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2" w:name="PO_3000001868_PM001_8"/>
      <w:r>
        <w:rPr>
          <w:rFonts w:hint="eastAsia" w:ascii="宋体" w:hAnsi="宋体" w:cs="宋体"/>
          <w:color w:val="auto"/>
          <w:sz w:val="24"/>
          <w:highlight w:val="none"/>
          <w:u w:val="single"/>
        </w:rPr>
        <w:t>[项目编号]</w:t>
      </w:r>
      <w:bookmarkEnd w:id="82"/>
      <w:r>
        <w:rPr>
          <w:rFonts w:hint="eastAsia" w:ascii="宋体" w:hAnsi="宋体" w:cs="宋体"/>
          <w:color w:val="auto"/>
          <w:sz w:val="24"/>
          <w:highlight w:val="none"/>
          <w:u w:val="single"/>
        </w:rPr>
        <w:t xml:space="preserve">  </w:t>
      </w:r>
    </w:p>
    <w:p w14:paraId="00EEF7FD">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83" w:name="PO_3000001868_PM002_8"/>
      <w:r>
        <w:rPr>
          <w:rFonts w:hint="eastAsia" w:ascii="宋体" w:hAnsi="宋体" w:cs="宋体"/>
          <w:color w:val="auto"/>
          <w:sz w:val="24"/>
          <w:highlight w:val="none"/>
          <w:u w:val="single"/>
        </w:rPr>
        <w:t>[项目名称]</w:t>
      </w:r>
      <w:bookmarkEnd w:id="83"/>
      <w:r>
        <w:rPr>
          <w:rFonts w:hint="eastAsia" w:ascii="宋体" w:hAnsi="宋体" w:cs="宋体"/>
          <w:color w:val="auto"/>
          <w:sz w:val="24"/>
          <w:highlight w:val="none"/>
          <w:u w:val="single"/>
        </w:rPr>
        <w:t xml:space="preserve"> </w:t>
      </w:r>
    </w:p>
    <w:p w14:paraId="7B1D838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7"/>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1EC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0C97487A">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40269678">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865D1D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0446B27">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66EB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376B9190">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15E5B34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F46A7A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53BC0E2">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E2DA656">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F54827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BF993E6">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070D2291">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932AF04">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7E96E32F">
            <w:pPr>
              <w:spacing w:line="300" w:lineRule="exact"/>
              <w:rPr>
                <w:rFonts w:ascii="宋体" w:hAnsi="宋体" w:cs="宋体"/>
                <w:color w:val="auto"/>
                <w:szCs w:val="21"/>
                <w:highlight w:val="none"/>
              </w:rPr>
            </w:pPr>
          </w:p>
        </w:tc>
      </w:tr>
      <w:tr w14:paraId="0C28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D04BFB3">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445250D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3950D14">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7C1B9E7E">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3E87E88">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61E1CC2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A4A80EA">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403F62A">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65A955C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0B225D3">
            <w:pPr>
              <w:spacing w:line="300" w:lineRule="exact"/>
              <w:rPr>
                <w:rFonts w:ascii="宋体" w:hAnsi="宋体" w:cs="宋体"/>
                <w:color w:val="auto"/>
                <w:szCs w:val="21"/>
                <w:highlight w:val="none"/>
              </w:rPr>
            </w:pPr>
          </w:p>
        </w:tc>
      </w:tr>
      <w:tr w14:paraId="7834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C80C693">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7E4BC89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4D2E7D9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7E0B601C">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6EB01B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45C2950">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4A95D6AD">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20D64C4">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73160AA">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0E4E29E">
            <w:pPr>
              <w:spacing w:line="300" w:lineRule="exact"/>
              <w:rPr>
                <w:rFonts w:ascii="宋体" w:hAnsi="宋体" w:cs="宋体"/>
                <w:color w:val="auto"/>
                <w:szCs w:val="21"/>
                <w:highlight w:val="none"/>
              </w:rPr>
            </w:pPr>
          </w:p>
        </w:tc>
      </w:tr>
    </w:tbl>
    <w:p w14:paraId="27802C83">
      <w:pPr>
        <w:pStyle w:val="13"/>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0386F74">
      <w:pPr>
        <w:pStyle w:val="13"/>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3E7D5411">
      <w:pPr>
        <w:pStyle w:val="13"/>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14CF4EC">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3FDE90D7">
      <w:pPr>
        <w:pStyle w:val="16"/>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675A5360">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6E4E338F">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0E3168D8">
      <w:pPr>
        <w:snapToGrid w:val="0"/>
        <w:spacing w:line="360" w:lineRule="auto"/>
        <w:ind w:firstLine="602" w:firstLineChars="200"/>
        <w:rPr>
          <w:rFonts w:ascii="宋体" w:hAnsi="宋体" w:cs="宋体"/>
          <w:b/>
          <w:color w:val="auto"/>
          <w:sz w:val="30"/>
          <w:szCs w:val="30"/>
          <w:highlight w:val="none"/>
        </w:rPr>
      </w:pPr>
    </w:p>
    <w:p w14:paraId="2B0BD168">
      <w:pPr>
        <w:snapToGrid w:val="0"/>
        <w:spacing w:before="120" w:beforeLines="50" w:after="50"/>
        <w:ind w:firstLine="602" w:firstLineChars="200"/>
        <w:rPr>
          <w:rFonts w:hint="eastAsia" w:ascii="宋体" w:hAnsi="宋体" w:cs="宋体"/>
          <w:b/>
          <w:color w:val="auto"/>
          <w:sz w:val="30"/>
          <w:szCs w:val="30"/>
          <w:highlight w:val="none"/>
        </w:rPr>
      </w:pPr>
    </w:p>
    <w:p w14:paraId="5AE1070C">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、服务需求偏离表</w:t>
      </w:r>
    </w:p>
    <w:p w14:paraId="0CA44EAB">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服务需求偏离表</w:t>
      </w:r>
    </w:p>
    <w:p w14:paraId="2FC40BB0">
      <w:pPr>
        <w:spacing w:line="360" w:lineRule="auto"/>
        <w:jc w:val="left"/>
        <w:rPr>
          <w:rFonts w:ascii="宋体" w:hAnsi="宋体" w:cs="宋体"/>
          <w:color w:val="auto"/>
          <w:sz w:val="24"/>
          <w:highlight w:val="none"/>
        </w:rPr>
      </w:pPr>
    </w:p>
    <w:p w14:paraId="433510F0">
      <w:pPr>
        <w:pStyle w:val="16"/>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27"/>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4722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7D34D5E7">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72EB5288">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42C32D6E">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79BF952C">
            <w:pPr>
              <w:rPr>
                <w:rFonts w:ascii="宋体" w:hAnsi="宋体" w:cs="宋体"/>
                <w:color w:val="auto"/>
                <w:szCs w:val="21"/>
                <w:highlight w:val="none"/>
              </w:rPr>
            </w:pPr>
            <w:r>
              <w:rPr>
                <w:rFonts w:hint="eastAsia" w:ascii="宋体" w:hAnsi="宋体" w:cs="宋体"/>
                <w:color w:val="auto"/>
                <w:szCs w:val="21"/>
                <w:highlight w:val="none"/>
              </w:rPr>
              <w:t>偏离说明</w:t>
            </w:r>
          </w:p>
        </w:tc>
      </w:tr>
      <w:tr w14:paraId="2FBB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37B8F4C2">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699289ED">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32B3C21E">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0B87C02D">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3CDE91EB">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19A0B766">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22DA1440">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560144B5">
            <w:pPr>
              <w:widowControl/>
              <w:jc w:val="left"/>
              <w:rPr>
                <w:rFonts w:ascii="宋体" w:hAnsi="宋体" w:cs="宋体"/>
                <w:color w:val="auto"/>
                <w:szCs w:val="21"/>
                <w:highlight w:val="none"/>
              </w:rPr>
            </w:pPr>
          </w:p>
        </w:tc>
      </w:tr>
      <w:tr w14:paraId="4A63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69DF069F">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3657536F">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32B20B3C">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76746FB8">
            <w:pPr>
              <w:rPr>
                <w:rFonts w:ascii="宋体" w:hAnsi="宋体" w:cs="宋体"/>
                <w:color w:val="auto"/>
                <w:szCs w:val="21"/>
                <w:highlight w:val="none"/>
              </w:rPr>
            </w:pPr>
            <w:r>
              <w:rPr>
                <w:rFonts w:hint="eastAsia" w:ascii="宋体" w:hAnsi="宋体" w:cs="宋体"/>
                <w:color w:val="auto"/>
                <w:szCs w:val="21"/>
                <w:highlight w:val="none"/>
              </w:rPr>
              <w:t>1  ……</w:t>
            </w:r>
          </w:p>
          <w:p w14:paraId="04534BC2">
            <w:pPr>
              <w:rPr>
                <w:rFonts w:ascii="宋体" w:hAnsi="宋体" w:cs="宋体"/>
                <w:color w:val="auto"/>
                <w:szCs w:val="21"/>
                <w:highlight w:val="none"/>
              </w:rPr>
            </w:pPr>
            <w:r>
              <w:rPr>
                <w:rFonts w:hint="eastAsia" w:ascii="宋体" w:hAnsi="宋体" w:cs="宋体"/>
                <w:color w:val="auto"/>
                <w:szCs w:val="21"/>
                <w:highlight w:val="none"/>
              </w:rPr>
              <w:t>2  ……</w:t>
            </w:r>
          </w:p>
          <w:p w14:paraId="1720A876">
            <w:pPr>
              <w:rPr>
                <w:rFonts w:ascii="宋体" w:hAnsi="宋体" w:cs="宋体"/>
                <w:color w:val="auto"/>
                <w:szCs w:val="21"/>
                <w:highlight w:val="none"/>
              </w:rPr>
            </w:pPr>
            <w:r>
              <w:rPr>
                <w:rFonts w:hint="eastAsia" w:ascii="宋体" w:hAnsi="宋体" w:cs="宋体"/>
                <w:color w:val="auto"/>
                <w:szCs w:val="21"/>
                <w:highlight w:val="none"/>
              </w:rPr>
              <w:t>3  ……</w:t>
            </w:r>
          </w:p>
          <w:p w14:paraId="5E7FE22F">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658BADA7">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67847661">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28EFAA7D">
            <w:pPr>
              <w:rPr>
                <w:rFonts w:ascii="宋体" w:hAnsi="宋体" w:cs="宋体"/>
                <w:color w:val="auto"/>
                <w:szCs w:val="21"/>
                <w:highlight w:val="none"/>
              </w:rPr>
            </w:pPr>
            <w:r>
              <w:rPr>
                <w:rFonts w:hint="eastAsia" w:ascii="宋体" w:hAnsi="宋体" w:cs="宋体"/>
                <w:color w:val="auto"/>
                <w:szCs w:val="21"/>
                <w:highlight w:val="none"/>
              </w:rPr>
              <w:t>1  ……</w:t>
            </w:r>
          </w:p>
          <w:p w14:paraId="1FCBB2C7">
            <w:pPr>
              <w:rPr>
                <w:rFonts w:ascii="宋体" w:hAnsi="宋体" w:cs="宋体"/>
                <w:color w:val="auto"/>
                <w:szCs w:val="21"/>
                <w:highlight w:val="none"/>
              </w:rPr>
            </w:pPr>
            <w:r>
              <w:rPr>
                <w:rFonts w:hint="eastAsia" w:ascii="宋体" w:hAnsi="宋体" w:cs="宋体"/>
                <w:color w:val="auto"/>
                <w:szCs w:val="21"/>
                <w:highlight w:val="none"/>
              </w:rPr>
              <w:t>2  ……</w:t>
            </w:r>
          </w:p>
          <w:p w14:paraId="4A7871E6">
            <w:pPr>
              <w:rPr>
                <w:rFonts w:ascii="宋体" w:hAnsi="宋体" w:cs="宋体"/>
                <w:color w:val="auto"/>
                <w:szCs w:val="21"/>
                <w:highlight w:val="none"/>
              </w:rPr>
            </w:pPr>
            <w:r>
              <w:rPr>
                <w:rFonts w:hint="eastAsia" w:ascii="宋体" w:hAnsi="宋体" w:cs="宋体"/>
                <w:color w:val="auto"/>
                <w:szCs w:val="21"/>
                <w:highlight w:val="none"/>
              </w:rPr>
              <w:t>3  ……</w:t>
            </w:r>
          </w:p>
          <w:p w14:paraId="24DBE6CE">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54E9FFE6">
            <w:pPr>
              <w:rPr>
                <w:rFonts w:ascii="宋体" w:hAnsi="宋体" w:cs="宋体"/>
                <w:color w:val="auto"/>
                <w:szCs w:val="21"/>
                <w:highlight w:val="none"/>
              </w:rPr>
            </w:pPr>
          </w:p>
        </w:tc>
      </w:tr>
      <w:tr w14:paraId="3B46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092F4636">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1E40F9ED">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35710568">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597A315E">
            <w:pPr>
              <w:rPr>
                <w:rFonts w:ascii="宋体" w:hAnsi="宋体" w:cs="宋体"/>
                <w:color w:val="auto"/>
                <w:szCs w:val="21"/>
                <w:highlight w:val="none"/>
              </w:rPr>
            </w:pPr>
            <w:r>
              <w:rPr>
                <w:rFonts w:hint="eastAsia" w:ascii="宋体" w:hAnsi="宋体" w:cs="宋体"/>
                <w:color w:val="auto"/>
                <w:szCs w:val="21"/>
                <w:highlight w:val="none"/>
              </w:rPr>
              <w:t>1  ……</w:t>
            </w:r>
          </w:p>
          <w:p w14:paraId="4A2A1219">
            <w:pPr>
              <w:rPr>
                <w:rFonts w:ascii="宋体" w:hAnsi="宋体" w:cs="宋体"/>
                <w:color w:val="auto"/>
                <w:szCs w:val="21"/>
                <w:highlight w:val="none"/>
              </w:rPr>
            </w:pPr>
            <w:r>
              <w:rPr>
                <w:rFonts w:hint="eastAsia" w:ascii="宋体" w:hAnsi="宋体" w:cs="宋体"/>
                <w:color w:val="auto"/>
                <w:szCs w:val="21"/>
                <w:highlight w:val="none"/>
              </w:rPr>
              <w:t>2  ……</w:t>
            </w:r>
          </w:p>
          <w:p w14:paraId="1470F904">
            <w:pPr>
              <w:rPr>
                <w:rFonts w:ascii="宋体" w:hAnsi="宋体" w:cs="宋体"/>
                <w:color w:val="auto"/>
                <w:szCs w:val="21"/>
                <w:highlight w:val="none"/>
              </w:rPr>
            </w:pPr>
            <w:r>
              <w:rPr>
                <w:rFonts w:hint="eastAsia" w:ascii="宋体" w:hAnsi="宋体" w:cs="宋体"/>
                <w:color w:val="auto"/>
                <w:szCs w:val="21"/>
                <w:highlight w:val="none"/>
              </w:rPr>
              <w:t>3  ……</w:t>
            </w:r>
          </w:p>
          <w:p w14:paraId="7C04D96A">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05619ADC">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17ED7CEA">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5989DBE0">
            <w:pPr>
              <w:rPr>
                <w:rFonts w:ascii="宋体" w:hAnsi="宋体" w:cs="宋体"/>
                <w:color w:val="auto"/>
                <w:szCs w:val="21"/>
                <w:highlight w:val="none"/>
              </w:rPr>
            </w:pPr>
            <w:r>
              <w:rPr>
                <w:rFonts w:hint="eastAsia" w:ascii="宋体" w:hAnsi="宋体" w:cs="宋体"/>
                <w:color w:val="auto"/>
                <w:szCs w:val="21"/>
                <w:highlight w:val="none"/>
              </w:rPr>
              <w:t>1  ……</w:t>
            </w:r>
          </w:p>
          <w:p w14:paraId="74279FEE">
            <w:pPr>
              <w:rPr>
                <w:rFonts w:ascii="宋体" w:hAnsi="宋体" w:cs="宋体"/>
                <w:color w:val="auto"/>
                <w:szCs w:val="21"/>
                <w:highlight w:val="none"/>
              </w:rPr>
            </w:pPr>
            <w:r>
              <w:rPr>
                <w:rFonts w:hint="eastAsia" w:ascii="宋体" w:hAnsi="宋体" w:cs="宋体"/>
                <w:color w:val="auto"/>
                <w:szCs w:val="21"/>
                <w:highlight w:val="none"/>
              </w:rPr>
              <w:t>2  ……</w:t>
            </w:r>
          </w:p>
          <w:p w14:paraId="589DE710">
            <w:pPr>
              <w:rPr>
                <w:rFonts w:ascii="宋体" w:hAnsi="宋体" w:cs="宋体"/>
                <w:color w:val="auto"/>
                <w:szCs w:val="21"/>
                <w:highlight w:val="none"/>
              </w:rPr>
            </w:pPr>
            <w:r>
              <w:rPr>
                <w:rFonts w:hint="eastAsia" w:ascii="宋体" w:hAnsi="宋体" w:cs="宋体"/>
                <w:color w:val="auto"/>
                <w:szCs w:val="21"/>
                <w:highlight w:val="none"/>
              </w:rPr>
              <w:t>3  ……</w:t>
            </w:r>
          </w:p>
          <w:p w14:paraId="5DA1FC7A">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45B67F52">
            <w:pPr>
              <w:rPr>
                <w:rFonts w:ascii="宋体" w:hAnsi="宋体" w:cs="宋体"/>
                <w:color w:val="auto"/>
                <w:szCs w:val="21"/>
                <w:highlight w:val="none"/>
              </w:rPr>
            </w:pPr>
          </w:p>
        </w:tc>
      </w:tr>
      <w:tr w14:paraId="75C6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5338E3F1">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2B254E92">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4A42FC20">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3DC72726">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0DFFF939">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3105DA7D">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68A8281">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40FFAAB">
            <w:pPr>
              <w:rPr>
                <w:rFonts w:ascii="宋体" w:hAnsi="宋体" w:cs="宋体"/>
                <w:color w:val="auto"/>
                <w:szCs w:val="21"/>
                <w:highlight w:val="none"/>
              </w:rPr>
            </w:pPr>
          </w:p>
        </w:tc>
      </w:tr>
    </w:tbl>
    <w:p w14:paraId="14EABA31">
      <w:pPr>
        <w:pStyle w:val="11"/>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5431574B">
      <w:pPr>
        <w:pStyle w:val="11"/>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01A68709">
      <w:pPr>
        <w:pStyle w:val="11"/>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003BD45F">
      <w:pPr>
        <w:pStyle w:val="13"/>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76CB513">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3A34C2CB">
      <w:pPr>
        <w:pStyle w:val="16"/>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0A7D91F">
      <w:pPr>
        <w:pStyle w:val="13"/>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1A8223A2">
      <w:pPr>
        <w:snapToGrid w:val="0"/>
        <w:spacing w:line="360" w:lineRule="auto"/>
        <w:ind w:firstLine="602" w:firstLineChars="200"/>
        <w:rPr>
          <w:rFonts w:ascii="宋体" w:hAnsi="宋体" w:cs="宋体"/>
          <w:b/>
          <w:color w:val="auto"/>
          <w:sz w:val="30"/>
          <w:szCs w:val="30"/>
          <w:highlight w:val="none"/>
        </w:rPr>
      </w:pPr>
    </w:p>
    <w:p w14:paraId="03C929CD">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9096BB2">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7817564">
      <w:pPr>
        <w:adjustRightInd w:val="0"/>
        <w:snapToGrid w:val="0"/>
        <w:spacing w:line="520" w:lineRule="exact"/>
        <w:jc w:val="center"/>
        <w:rPr>
          <w:rFonts w:ascii="宋体" w:hAnsi="宋体" w:cs="宋体"/>
          <w:bCs/>
          <w:color w:val="auto"/>
          <w:sz w:val="44"/>
          <w:szCs w:val="44"/>
          <w:highlight w:val="none"/>
        </w:rPr>
      </w:pPr>
    </w:p>
    <w:p w14:paraId="61169546">
      <w:pPr>
        <w:pStyle w:val="38"/>
        <w:rPr>
          <w:rFonts w:ascii="宋体" w:hAnsi="宋体" w:eastAsia="宋体" w:cs="宋体"/>
          <w:color w:val="auto"/>
          <w:highlight w:val="none"/>
        </w:rPr>
      </w:pPr>
    </w:p>
    <w:p w14:paraId="29A03C67">
      <w:pPr>
        <w:snapToGrid w:val="0"/>
        <w:spacing w:line="360" w:lineRule="auto"/>
        <w:ind w:firstLine="602" w:firstLineChars="200"/>
        <w:rPr>
          <w:rFonts w:ascii="宋体" w:hAnsi="宋体" w:cs="宋体"/>
          <w:b/>
          <w:color w:val="auto"/>
          <w:sz w:val="30"/>
          <w:szCs w:val="30"/>
          <w:highlight w:val="none"/>
        </w:rPr>
      </w:pPr>
    </w:p>
    <w:p w14:paraId="09EBE4E9">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eastAsia="zh-CN"/>
        </w:rPr>
        <w:t>施工组织设计</w:t>
      </w:r>
    </w:p>
    <w:p w14:paraId="4954BF99">
      <w:pPr>
        <w:autoSpaceDE w:val="0"/>
        <w:autoSpaceDN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供应商可根据第四章评审办法自行编写</w:t>
      </w:r>
    </w:p>
    <w:p w14:paraId="1D1CD200">
      <w:pPr>
        <w:spacing w:line="500" w:lineRule="exact"/>
        <w:rPr>
          <w:rFonts w:ascii="宋体" w:hAnsi="宋体" w:cs="宋体"/>
          <w:color w:val="auto"/>
          <w:sz w:val="32"/>
          <w:szCs w:val="32"/>
          <w:highlight w:val="none"/>
        </w:rPr>
      </w:pPr>
    </w:p>
    <w:p w14:paraId="4DAD062C">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91B1FC9">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922D2DB">
      <w:pPr>
        <w:spacing w:line="500" w:lineRule="exact"/>
        <w:rPr>
          <w:rFonts w:ascii="宋体" w:hAnsi="宋体" w:cs="宋体"/>
          <w:color w:val="auto"/>
          <w:sz w:val="32"/>
          <w:szCs w:val="32"/>
          <w:highlight w:val="none"/>
        </w:rPr>
      </w:pPr>
    </w:p>
    <w:p w14:paraId="39E58FEA">
      <w:pPr>
        <w:snapToGrid w:val="0"/>
        <w:spacing w:before="120" w:beforeLines="50" w:after="50"/>
        <w:ind w:left="143" w:leftChars="68" w:firstLine="596" w:firstLineChars="198"/>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售后服务承诺</w:t>
      </w:r>
    </w:p>
    <w:p w14:paraId="14DF63CB">
      <w:pPr>
        <w:snapToGrid w:val="0"/>
        <w:spacing w:before="120" w:beforeLines="50" w:after="50"/>
        <w:ind w:left="143" w:leftChars="68" w:firstLine="420" w:firstLineChars="200"/>
        <w:rPr>
          <w:rFonts w:ascii="宋体" w:hAnsi="宋体" w:cs="宋体"/>
          <w:color w:val="auto"/>
          <w:highlight w:val="none"/>
        </w:rPr>
      </w:pPr>
      <w:r>
        <w:rPr>
          <w:rFonts w:hint="eastAsia" w:ascii="宋体" w:hAnsi="宋体" w:cs="宋体"/>
          <w:color w:val="auto"/>
          <w:highlight w:val="none"/>
        </w:rPr>
        <w:t>由竞标人按本项目竞争性磋商采购文件</w:t>
      </w:r>
      <w:r>
        <w:rPr>
          <w:rFonts w:hint="eastAsia" w:ascii="宋体" w:hAnsi="宋体" w:cs="宋体"/>
          <w:color w:val="auto"/>
          <w:highlight w:val="none"/>
          <w:lang w:val="en-US" w:eastAsia="zh-CN"/>
        </w:rPr>
        <w:t>相关内容自行编制</w:t>
      </w:r>
      <w:r>
        <w:rPr>
          <w:rFonts w:hint="eastAsia" w:ascii="宋体" w:hAnsi="宋体" w:cs="宋体"/>
          <w:color w:val="auto"/>
          <w:highlight w:val="none"/>
        </w:rPr>
        <w:t>。</w:t>
      </w:r>
    </w:p>
    <w:p w14:paraId="7EB7CB06">
      <w:pPr>
        <w:spacing w:line="500" w:lineRule="exact"/>
        <w:rPr>
          <w:rFonts w:ascii="宋体" w:hAnsi="宋体" w:cs="宋体"/>
          <w:color w:val="auto"/>
          <w:sz w:val="32"/>
          <w:szCs w:val="32"/>
          <w:highlight w:val="none"/>
        </w:rPr>
      </w:pPr>
    </w:p>
    <w:p w14:paraId="70B7578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3B2B609">
      <w:pPr>
        <w:snapToGrid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2EFAB60">
      <w:pPr>
        <w:snapToGrid w:val="0"/>
        <w:spacing w:line="360" w:lineRule="auto"/>
        <w:ind w:firstLine="602" w:firstLineChars="200"/>
        <w:rPr>
          <w:rFonts w:ascii="宋体" w:hAnsi="宋体" w:cs="宋体"/>
          <w:b/>
          <w:color w:val="auto"/>
          <w:sz w:val="30"/>
          <w:szCs w:val="30"/>
          <w:highlight w:val="none"/>
        </w:rPr>
      </w:pPr>
    </w:p>
    <w:p w14:paraId="4FA27A37">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、项目实施人员一览表</w:t>
      </w:r>
    </w:p>
    <w:p w14:paraId="71926726">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tbl>
      <w:tblPr>
        <w:tblStyle w:val="27"/>
        <w:tblW w:w="4997" w:type="pct"/>
        <w:tblInd w:w="0" w:type="dxa"/>
        <w:tblLayout w:type="autofit"/>
        <w:tblCellMar>
          <w:top w:w="0" w:type="dxa"/>
          <w:left w:w="108" w:type="dxa"/>
          <w:bottom w:w="0" w:type="dxa"/>
          <w:right w:w="108" w:type="dxa"/>
        </w:tblCellMar>
      </w:tblPr>
      <w:tblGrid>
        <w:gridCol w:w="456"/>
        <w:gridCol w:w="646"/>
        <w:gridCol w:w="456"/>
        <w:gridCol w:w="476"/>
        <w:gridCol w:w="857"/>
        <w:gridCol w:w="897"/>
        <w:gridCol w:w="897"/>
        <w:gridCol w:w="1050"/>
        <w:gridCol w:w="743"/>
        <w:gridCol w:w="1648"/>
        <w:gridCol w:w="815"/>
      </w:tblGrid>
      <w:tr w14:paraId="0FB60A0C">
        <w:tblPrEx>
          <w:tblCellMar>
            <w:top w:w="0" w:type="dxa"/>
            <w:left w:w="108" w:type="dxa"/>
            <w:bottom w:w="0" w:type="dxa"/>
            <w:right w:w="108" w:type="dxa"/>
          </w:tblCellMar>
        </w:tblPrEx>
        <w:tc>
          <w:tcPr>
            <w:tcW w:w="255" w:type="pct"/>
            <w:tcBorders>
              <w:top w:val="single" w:color="auto" w:sz="6" w:space="0"/>
              <w:left w:val="single" w:color="auto" w:sz="6" w:space="0"/>
              <w:bottom w:val="single" w:color="auto" w:sz="6" w:space="0"/>
              <w:right w:val="single" w:color="auto" w:sz="6" w:space="0"/>
            </w:tcBorders>
            <w:vAlign w:val="center"/>
          </w:tcPr>
          <w:p w14:paraId="75C57F8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361" w:type="pct"/>
            <w:tcBorders>
              <w:top w:val="single" w:color="auto" w:sz="6" w:space="0"/>
              <w:left w:val="single" w:color="auto" w:sz="6" w:space="0"/>
              <w:bottom w:val="single" w:color="auto" w:sz="6" w:space="0"/>
              <w:right w:val="single" w:color="auto" w:sz="6" w:space="0"/>
            </w:tcBorders>
            <w:vAlign w:val="center"/>
          </w:tcPr>
          <w:p w14:paraId="206FFBB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255" w:type="pct"/>
            <w:tcBorders>
              <w:top w:val="single" w:color="auto" w:sz="6" w:space="0"/>
              <w:left w:val="single" w:color="auto" w:sz="6" w:space="0"/>
              <w:bottom w:val="single" w:color="auto" w:sz="6" w:space="0"/>
              <w:right w:val="single" w:color="auto" w:sz="6" w:space="0"/>
            </w:tcBorders>
            <w:vAlign w:val="center"/>
          </w:tcPr>
          <w:p w14:paraId="5F36400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266" w:type="pct"/>
            <w:tcBorders>
              <w:top w:val="single" w:color="auto" w:sz="6" w:space="0"/>
              <w:left w:val="single" w:color="auto" w:sz="6" w:space="0"/>
              <w:bottom w:val="single" w:color="auto" w:sz="6" w:space="0"/>
              <w:right w:val="single" w:color="auto" w:sz="6" w:space="0"/>
            </w:tcBorders>
            <w:vAlign w:val="center"/>
          </w:tcPr>
          <w:p w14:paraId="5876425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479" w:type="pct"/>
            <w:tcBorders>
              <w:top w:val="single" w:color="auto" w:sz="6" w:space="0"/>
              <w:left w:val="single" w:color="auto" w:sz="6" w:space="0"/>
              <w:bottom w:val="single" w:color="auto" w:sz="6" w:space="0"/>
              <w:right w:val="single" w:color="auto" w:sz="6" w:space="0"/>
            </w:tcBorders>
            <w:vAlign w:val="center"/>
          </w:tcPr>
          <w:p w14:paraId="14CFE3D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501" w:type="pct"/>
            <w:tcBorders>
              <w:top w:val="single" w:color="auto" w:sz="6" w:space="0"/>
              <w:left w:val="single" w:color="auto" w:sz="6" w:space="0"/>
              <w:bottom w:val="single" w:color="auto" w:sz="6" w:space="0"/>
              <w:right w:val="single" w:color="auto" w:sz="6" w:space="0"/>
            </w:tcBorders>
            <w:vAlign w:val="center"/>
          </w:tcPr>
          <w:p w14:paraId="5C8F6F3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501" w:type="pct"/>
            <w:tcBorders>
              <w:top w:val="single" w:color="auto" w:sz="6" w:space="0"/>
              <w:left w:val="single" w:color="auto" w:sz="6" w:space="0"/>
              <w:bottom w:val="single" w:color="auto" w:sz="6" w:space="0"/>
              <w:right w:val="single" w:color="auto" w:sz="6" w:space="0"/>
            </w:tcBorders>
            <w:vAlign w:val="center"/>
          </w:tcPr>
          <w:p w14:paraId="0AA9BD2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587" w:type="pct"/>
            <w:tcBorders>
              <w:top w:val="single" w:color="auto" w:sz="6" w:space="0"/>
              <w:left w:val="single" w:color="auto" w:sz="6" w:space="0"/>
              <w:bottom w:val="single" w:color="auto" w:sz="6" w:space="0"/>
              <w:right w:val="single" w:color="auto" w:sz="6" w:space="0"/>
            </w:tcBorders>
            <w:vAlign w:val="center"/>
          </w:tcPr>
          <w:p w14:paraId="5696D0E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415" w:type="pct"/>
            <w:tcBorders>
              <w:top w:val="single" w:color="auto" w:sz="6" w:space="0"/>
              <w:left w:val="single" w:color="auto" w:sz="6" w:space="0"/>
              <w:bottom w:val="single" w:color="auto" w:sz="6" w:space="0"/>
              <w:right w:val="single" w:color="auto" w:sz="6" w:space="0"/>
            </w:tcBorders>
            <w:vAlign w:val="center"/>
          </w:tcPr>
          <w:p w14:paraId="3FF8143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921" w:type="pct"/>
            <w:tcBorders>
              <w:top w:val="single" w:color="auto" w:sz="6" w:space="0"/>
              <w:left w:val="single" w:color="auto" w:sz="6" w:space="0"/>
              <w:bottom w:val="single" w:color="auto" w:sz="6" w:space="0"/>
              <w:right w:val="single" w:color="auto" w:sz="6" w:space="0"/>
            </w:tcBorders>
            <w:vAlign w:val="center"/>
          </w:tcPr>
          <w:p w14:paraId="45DB289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c>
          <w:tcPr>
            <w:tcW w:w="455" w:type="pct"/>
            <w:tcBorders>
              <w:top w:val="single" w:color="auto" w:sz="6" w:space="0"/>
              <w:left w:val="single" w:color="auto" w:sz="6" w:space="0"/>
              <w:bottom w:val="single" w:color="auto" w:sz="6" w:space="0"/>
              <w:right w:val="single" w:color="auto" w:sz="6" w:space="0"/>
            </w:tcBorders>
            <w:vAlign w:val="center"/>
          </w:tcPr>
          <w:p w14:paraId="777D9B11">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页码</w:t>
            </w:r>
          </w:p>
        </w:tc>
      </w:tr>
      <w:tr w14:paraId="0262D8A7">
        <w:tblPrEx>
          <w:tblCellMar>
            <w:top w:w="0" w:type="dxa"/>
            <w:left w:w="108" w:type="dxa"/>
            <w:bottom w:w="0" w:type="dxa"/>
            <w:right w:w="108" w:type="dxa"/>
          </w:tblCellMar>
        </w:tblPrEx>
        <w:trPr>
          <w:trHeight w:val="479" w:hRule="atLeast"/>
        </w:trPr>
        <w:tc>
          <w:tcPr>
            <w:tcW w:w="255" w:type="pct"/>
            <w:tcBorders>
              <w:top w:val="single" w:color="auto" w:sz="6" w:space="0"/>
              <w:left w:val="single" w:color="auto" w:sz="6" w:space="0"/>
              <w:bottom w:val="single" w:color="auto" w:sz="6" w:space="0"/>
              <w:right w:val="single" w:color="auto" w:sz="6" w:space="0"/>
            </w:tcBorders>
          </w:tcPr>
          <w:p w14:paraId="6FF50870">
            <w:pPr>
              <w:autoSpaceDE w:val="0"/>
              <w:autoSpaceDN w:val="0"/>
              <w:spacing w:line="360" w:lineRule="auto"/>
              <w:jc w:val="center"/>
              <w:rPr>
                <w:rFonts w:ascii="宋体" w:hAnsi="宋体" w:cs="宋体"/>
                <w:color w:val="auto"/>
                <w:sz w:val="24"/>
                <w:highlight w:val="none"/>
              </w:rPr>
            </w:pPr>
          </w:p>
        </w:tc>
        <w:tc>
          <w:tcPr>
            <w:tcW w:w="361" w:type="pct"/>
            <w:tcBorders>
              <w:top w:val="single" w:color="auto" w:sz="6" w:space="0"/>
              <w:left w:val="single" w:color="auto" w:sz="6" w:space="0"/>
              <w:bottom w:val="single" w:color="auto" w:sz="6" w:space="0"/>
              <w:right w:val="single" w:color="auto" w:sz="6" w:space="0"/>
            </w:tcBorders>
          </w:tcPr>
          <w:p w14:paraId="6A056B2C">
            <w:pPr>
              <w:autoSpaceDE w:val="0"/>
              <w:autoSpaceDN w:val="0"/>
              <w:spacing w:line="360" w:lineRule="auto"/>
              <w:rPr>
                <w:rFonts w:ascii="宋体" w:hAnsi="宋体" w:cs="宋体"/>
                <w:color w:val="auto"/>
                <w:sz w:val="24"/>
                <w:highlight w:val="none"/>
              </w:rPr>
            </w:pPr>
          </w:p>
        </w:tc>
        <w:tc>
          <w:tcPr>
            <w:tcW w:w="255" w:type="pct"/>
            <w:tcBorders>
              <w:top w:val="single" w:color="auto" w:sz="6" w:space="0"/>
              <w:left w:val="single" w:color="auto" w:sz="6" w:space="0"/>
              <w:bottom w:val="single" w:color="auto" w:sz="6" w:space="0"/>
              <w:right w:val="single" w:color="auto" w:sz="6" w:space="0"/>
            </w:tcBorders>
          </w:tcPr>
          <w:p w14:paraId="60D4B397">
            <w:pPr>
              <w:autoSpaceDE w:val="0"/>
              <w:autoSpaceDN w:val="0"/>
              <w:spacing w:line="360" w:lineRule="auto"/>
              <w:rPr>
                <w:rFonts w:ascii="宋体" w:hAnsi="宋体" w:cs="宋体"/>
                <w:color w:val="auto"/>
                <w:sz w:val="24"/>
                <w:highlight w:val="none"/>
              </w:rPr>
            </w:pPr>
          </w:p>
        </w:tc>
        <w:tc>
          <w:tcPr>
            <w:tcW w:w="266" w:type="pct"/>
            <w:tcBorders>
              <w:top w:val="single" w:color="auto" w:sz="6" w:space="0"/>
              <w:left w:val="single" w:color="auto" w:sz="6" w:space="0"/>
              <w:bottom w:val="single" w:color="auto" w:sz="6" w:space="0"/>
              <w:right w:val="single" w:color="auto" w:sz="6" w:space="0"/>
            </w:tcBorders>
          </w:tcPr>
          <w:p w14:paraId="70B3E044">
            <w:pPr>
              <w:autoSpaceDE w:val="0"/>
              <w:autoSpaceDN w:val="0"/>
              <w:spacing w:line="360" w:lineRule="auto"/>
              <w:rPr>
                <w:rFonts w:ascii="宋体" w:hAnsi="宋体" w:cs="宋体"/>
                <w:color w:val="auto"/>
                <w:sz w:val="24"/>
                <w:highlight w:val="none"/>
              </w:rPr>
            </w:pPr>
          </w:p>
        </w:tc>
        <w:tc>
          <w:tcPr>
            <w:tcW w:w="479" w:type="pct"/>
            <w:tcBorders>
              <w:top w:val="single" w:color="auto" w:sz="6" w:space="0"/>
              <w:left w:val="single" w:color="auto" w:sz="6" w:space="0"/>
              <w:bottom w:val="single" w:color="auto" w:sz="6" w:space="0"/>
              <w:right w:val="single" w:color="auto" w:sz="6" w:space="0"/>
            </w:tcBorders>
          </w:tcPr>
          <w:p w14:paraId="56AA611C">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1FD06D53">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43B0AE53">
            <w:pPr>
              <w:autoSpaceDE w:val="0"/>
              <w:autoSpaceDN w:val="0"/>
              <w:spacing w:line="360" w:lineRule="auto"/>
              <w:rPr>
                <w:rFonts w:ascii="宋体" w:hAnsi="宋体" w:cs="宋体"/>
                <w:color w:val="auto"/>
                <w:sz w:val="24"/>
                <w:highlight w:val="none"/>
              </w:rPr>
            </w:pPr>
          </w:p>
        </w:tc>
        <w:tc>
          <w:tcPr>
            <w:tcW w:w="587" w:type="pct"/>
            <w:tcBorders>
              <w:top w:val="single" w:color="auto" w:sz="6" w:space="0"/>
              <w:left w:val="single" w:color="auto" w:sz="6" w:space="0"/>
              <w:bottom w:val="single" w:color="auto" w:sz="6" w:space="0"/>
              <w:right w:val="single" w:color="auto" w:sz="6" w:space="0"/>
            </w:tcBorders>
          </w:tcPr>
          <w:p w14:paraId="54843AFB">
            <w:pPr>
              <w:autoSpaceDE w:val="0"/>
              <w:autoSpaceDN w:val="0"/>
              <w:spacing w:line="360" w:lineRule="auto"/>
              <w:rPr>
                <w:rFonts w:ascii="宋体" w:hAnsi="宋体" w:cs="宋体"/>
                <w:color w:val="auto"/>
                <w:sz w:val="24"/>
                <w:highlight w:val="none"/>
              </w:rPr>
            </w:pPr>
          </w:p>
        </w:tc>
        <w:tc>
          <w:tcPr>
            <w:tcW w:w="415" w:type="pct"/>
            <w:tcBorders>
              <w:top w:val="single" w:color="auto" w:sz="6" w:space="0"/>
              <w:left w:val="single" w:color="auto" w:sz="6" w:space="0"/>
              <w:bottom w:val="single" w:color="auto" w:sz="6" w:space="0"/>
              <w:right w:val="single" w:color="auto" w:sz="6" w:space="0"/>
            </w:tcBorders>
          </w:tcPr>
          <w:p w14:paraId="3FAFCCF7">
            <w:pPr>
              <w:autoSpaceDE w:val="0"/>
              <w:autoSpaceDN w:val="0"/>
              <w:spacing w:line="360" w:lineRule="auto"/>
              <w:rPr>
                <w:rFonts w:ascii="宋体" w:hAnsi="宋体" w:cs="宋体"/>
                <w:color w:val="auto"/>
                <w:sz w:val="24"/>
                <w:highlight w:val="none"/>
              </w:rPr>
            </w:pPr>
          </w:p>
        </w:tc>
        <w:tc>
          <w:tcPr>
            <w:tcW w:w="921" w:type="pct"/>
            <w:tcBorders>
              <w:top w:val="single" w:color="auto" w:sz="6" w:space="0"/>
              <w:left w:val="single" w:color="auto" w:sz="6" w:space="0"/>
              <w:bottom w:val="single" w:color="auto" w:sz="6" w:space="0"/>
              <w:right w:val="single" w:color="auto" w:sz="6" w:space="0"/>
            </w:tcBorders>
          </w:tcPr>
          <w:p w14:paraId="0E59E2A6">
            <w:pPr>
              <w:autoSpaceDE w:val="0"/>
              <w:autoSpaceDN w:val="0"/>
              <w:spacing w:line="360" w:lineRule="auto"/>
              <w:rPr>
                <w:rFonts w:ascii="宋体" w:hAnsi="宋体" w:cs="宋体"/>
                <w:color w:val="auto"/>
                <w:sz w:val="24"/>
                <w:highlight w:val="none"/>
              </w:rPr>
            </w:pPr>
          </w:p>
        </w:tc>
        <w:tc>
          <w:tcPr>
            <w:tcW w:w="455" w:type="pct"/>
            <w:tcBorders>
              <w:top w:val="single" w:color="auto" w:sz="6" w:space="0"/>
              <w:left w:val="single" w:color="auto" w:sz="6" w:space="0"/>
              <w:bottom w:val="single" w:color="auto" w:sz="6" w:space="0"/>
              <w:right w:val="single" w:color="auto" w:sz="6" w:space="0"/>
            </w:tcBorders>
          </w:tcPr>
          <w:p w14:paraId="179E64E3">
            <w:pPr>
              <w:autoSpaceDE w:val="0"/>
              <w:autoSpaceDN w:val="0"/>
              <w:spacing w:line="360" w:lineRule="auto"/>
              <w:rPr>
                <w:rFonts w:ascii="宋体" w:hAnsi="宋体" w:cs="宋体"/>
                <w:color w:val="auto"/>
                <w:sz w:val="24"/>
                <w:highlight w:val="none"/>
              </w:rPr>
            </w:pPr>
          </w:p>
        </w:tc>
      </w:tr>
      <w:tr w14:paraId="13A40147">
        <w:trPr>
          <w:trHeight w:val="473" w:hRule="atLeast"/>
        </w:trPr>
        <w:tc>
          <w:tcPr>
            <w:tcW w:w="255" w:type="pct"/>
            <w:tcBorders>
              <w:top w:val="single" w:color="auto" w:sz="6" w:space="0"/>
              <w:left w:val="single" w:color="auto" w:sz="6" w:space="0"/>
              <w:bottom w:val="single" w:color="auto" w:sz="6" w:space="0"/>
              <w:right w:val="single" w:color="auto" w:sz="6" w:space="0"/>
            </w:tcBorders>
          </w:tcPr>
          <w:p w14:paraId="5B42E7B0">
            <w:pPr>
              <w:autoSpaceDE w:val="0"/>
              <w:autoSpaceDN w:val="0"/>
              <w:spacing w:line="360" w:lineRule="auto"/>
              <w:jc w:val="center"/>
              <w:rPr>
                <w:rFonts w:ascii="宋体" w:hAnsi="宋体" w:cs="宋体"/>
                <w:color w:val="auto"/>
                <w:sz w:val="24"/>
                <w:highlight w:val="none"/>
              </w:rPr>
            </w:pPr>
          </w:p>
        </w:tc>
        <w:tc>
          <w:tcPr>
            <w:tcW w:w="361" w:type="pct"/>
            <w:tcBorders>
              <w:top w:val="single" w:color="auto" w:sz="6" w:space="0"/>
              <w:left w:val="single" w:color="auto" w:sz="6" w:space="0"/>
              <w:bottom w:val="single" w:color="auto" w:sz="6" w:space="0"/>
              <w:right w:val="single" w:color="auto" w:sz="6" w:space="0"/>
            </w:tcBorders>
          </w:tcPr>
          <w:p w14:paraId="29C94CEE">
            <w:pPr>
              <w:autoSpaceDE w:val="0"/>
              <w:autoSpaceDN w:val="0"/>
              <w:spacing w:line="360" w:lineRule="auto"/>
              <w:rPr>
                <w:rFonts w:ascii="宋体" w:hAnsi="宋体" w:cs="宋体"/>
                <w:color w:val="auto"/>
                <w:sz w:val="24"/>
                <w:highlight w:val="none"/>
              </w:rPr>
            </w:pPr>
          </w:p>
        </w:tc>
        <w:tc>
          <w:tcPr>
            <w:tcW w:w="255" w:type="pct"/>
            <w:tcBorders>
              <w:top w:val="single" w:color="auto" w:sz="6" w:space="0"/>
              <w:left w:val="single" w:color="auto" w:sz="6" w:space="0"/>
              <w:bottom w:val="single" w:color="auto" w:sz="6" w:space="0"/>
              <w:right w:val="single" w:color="auto" w:sz="6" w:space="0"/>
            </w:tcBorders>
          </w:tcPr>
          <w:p w14:paraId="0F2C5C89">
            <w:pPr>
              <w:autoSpaceDE w:val="0"/>
              <w:autoSpaceDN w:val="0"/>
              <w:spacing w:line="360" w:lineRule="auto"/>
              <w:rPr>
                <w:rFonts w:ascii="宋体" w:hAnsi="宋体" w:cs="宋体"/>
                <w:color w:val="auto"/>
                <w:sz w:val="24"/>
                <w:highlight w:val="none"/>
              </w:rPr>
            </w:pPr>
          </w:p>
        </w:tc>
        <w:tc>
          <w:tcPr>
            <w:tcW w:w="266" w:type="pct"/>
            <w:tcBorders>
              <w:top w:val="single" w:color="auto" w:sz="6" w:space="0"/>
              <w:left w:val="single" w:color="auto" w:sz="6" w:space="0"/>
              <w:bottom w:val="single" w:color="auto" w:sz="6" w:space="0"/>
              <w:right w:val="single" w:color="auto" w:sz="6" w:space="0"/>
            </w:tcBorders>
          </w:tcPr>
          <w:p w14:paraId="5297DF10">
            <w:pPr>
              <w:autoSpaceDE w:val="0"/>
              <w:autoSpaceDN w:val="0"/>
              <w:spacing w:line="360" w:lineRule="auto"/>
              <w:rPr>
                <w:rFonts w:ascii="宋体" w:hAnsi="宋体" w:cs="宋体"/>
                <w:color w:val="auto"/>
                <w:sz w:val="24"/>
                <w:highlight w:val="none"/>
              </w:rPr>
            </w:pPr>
          </w:p>
        </w:tc>
        <w:tc>
          <w:tcPr>
            <w:tcW w:w="479" w:type="pct"/>
            <w:tcBorders>
              <w:top w:val="single" w:color="auto" w:sz="6" w:space="0"/>
              <w:left w:val="single" w:color="auto" w:sz="6" w:space="0"/>
              <w:bottom w:val="single" w:color="auto" w:sz="6" w:space="0"/>
              <w:right w:val="single" w:color="auto" w:sz="6" w:space="0"/>
            </w:tcBorders>
          </w:tcPr>
          <w:p w14:paraId="7FFCEECB">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7E0BFC61">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4F4CE8B7">
            <w:pPr>
              <w:autoSpaceDE w:val="0"/>
              <w:autoSpaceDN w:val="0"/>
              <w:spacing w:line="360" w:lineRule="auto"/>
              <w:rPr>
                <w:rFonts w:ascii="宋体" w:hAnsi="宋体" w:cs="宋体"/>
                <w:color w:val="auto"/>
                <w:sz w:val="24"/>
                <w:highlight w:val="none"/>
              </w:rPr>
            </w:pPr>
          </w:p>
        </w:tc>
        <w:tc>
          <w:tcPr>
            <w:tcW w:w="587" w:type="pct"/>
            <w:tcBorders>
              <w:top w:val="single" w:color="auto" w:sz="6" w:space="0"/>
              <w:left w:val="single" w:color="auto" w:sz="6" w:space="0"/>
              <w:bottom w:val="single" w:color="auto" w:sz="6" w:space="0"/>
              <w:right w:val="single" w:color="auto" w:sz="6" w:space="0"/>
            </w:tcBorders>
          </w:tcPr>
          <w:p w14:paraId="505AC142">
            <w:pPr>
              <w:autoSpaceDE w:val="0"/>
              <w:autoSpaceDN w:val="0"/>
              <w:spacing w:line="360" w:lineRule="auto"/>
              <w:rPr>
                <w:rFonts w:ascii="宋体" w:hAnsi="宋体" w:cs="宋体"/>
                <w:color w:val="auto"/>
                <w:sz w:val="24"/>
                <w:highlight w:val="none"/>
              </w:rPr>
            </w:pPr>
          </w:p>
        </w:tc>
        <w:tc>
          <w:tcPr>
            <w:tcW w:w="415" w:type="pct"/>
            <w:tcBorders>
              <w:top w:val="single" w:color="auto" w:sz="6" w:space="0"/>
              <w:left w:val="single" w:color="auto" w:sz="6" w:space="0"/>
              <w:bottom w:val="single" w:color="auto" w:sz="6" w:space="0"/>
              <w:right w:val="single" w:color="auto" w:sz="6" w:space="0"/>
            </w:tcBorders>
          </w:tcPr>
          <w:p w14:paraId="1CAE13D9">
            <w:pPr>
              <w:autoSpaceDE w:val="0"/>
              <w:autoSpaceDN w:val="0"/>
              <w:spacing w:line="360" w:lineRule="auto"/>
              <w:rPr>
                <w:rFonts w:ascii="宋体" w:hAnsi="宋体" w:cs="宋体"/>
                <w:color w:val="auto"/>
                <w:sz w:val="24"/>
                <w:highlight w:val="none"/>
              </w:rPr>
            </w:pPr>
          </w:p>
        </w:tc>
        <w:tc>
          <w:tcPr>
            <w:tcW w:w="921" w:type="pct"/>
            <w:tcBorders>
              <w:top w:val="single" w:color="auto" w:sz="6" w:space="0"/>
              <w:left w:val="single" w:color="auto" w:sz="6" w:space="0"/>
              <w:bottom w:val="single" w:color="auto" w:sz="6" w:space="0"/>
              <w:right w:val="single" w:color="auto" w:sz="6" w:space="0"/>
            </w:tcBorders>
          </w:tcPr>
          <w:p w14:paraId="0E2F300D">
            <w:pPr>
              <w:autoSpaceDE w:val="0"/>
              <w:autoSpaceDN w:val="0"/>
              <w:spacing w:line="360" w:lineRule="auto"/>
              <w:rPr>
                <w:rFonts w:ascii="宋体" w:hAnsi="宋体" w:cs="宋体"/>
                <w:color w:val="auto"/>
                <w:sz w:val="24"/>
                <w:highlight w:val="none"/>
              </w:rPr>
            </w:pPr>
          </w:p>
        </w:tc>
        <w:tc>
          <w:tcPr>
            <w:tcW w:w="455" w:type="pct"/>
            <w:tcBorders>
              <w:top w:val="single" w:color="auto" w:sz="6" w:space="0"/>
              <w:left w:val="single" w:color="auto" w:sz="6" w:space="0"/>
              <w:bottom w:val="single" w:color="auto" w:sz="6" w:space="0"/>
              <w:right w:val="single" w:color="auto" w:sz="6" w:space="0"/>
            </w:tcBorders>
          </w:tcPr>
          <w:p w14:paraId="3327DEAF">
            <w:pPr>
              <w:autoSpaceDE w:val="0"/>
              <w:autoSpaceDN w:val="0"/>
              <w:spacing w:line="360" w:lineRule="auto"/>
              <w:rPr>
                <w:rFonts w:ascii="宋体" w:hAnsi="宋体" w:cs="宋体"/>
                <w:color w:val="auto"/>
                <w:sz w:val="24"/>
                <w:highlight w:val="none"/>
              </w:rPr>
            </w:pPr>
          </w:p>
        </w:tc>
      </w:tr>
      <w:tr w14:paraId="6EDF31DA">
        <w:tblPrEx>
          <w:tblCellMar>
            <w:top w:w="0" w:type="dxa"/>
            <w:left w:w="108" w:type="dxa"/>
            <w:bottom w:w="0" w:type="dxa"/>
            <w:right w:w="108" w:type="dxa"/>
          </w:tblCellMar>
        </w:tblPrEx>
        <w:trPr>
          <w:trHeight w:val="473" w:hRule="atLeast"/>
        </w:trPr>
        <w:tc>
          <w:tcPr>
            <w:tcW w:w="255" w:type="pct"/>
            <w:tcBorders>
              <w:top w:val="single" w:color="auto" w:sz="6" w:space="0"/>
              <w:left w:val="single" w:color="auto" w:sz="6" w:space="0"/>
              <w:bottom w:val="single" w:color="auto" w:sz="6" w:space="0"/>
              <w:right w:val="single" w:color="auto" w:sz="6" w:space="0"/>
            </w:tcBorders>
          </w:tcPr>
          <w:p w14:paraId="2135CB37">
            <w:pPr>
              <w:autoSpaceDE w:val="0"/>
              <w:autoSpaceDN w:val="0"/>
              <w:spacing w:line="360" w:lineRule="auto"/>
              <w:jc w:val="center"/>
              <w:rPr>
                <w:rFonts w:ascii="宋体" w:hAnsi="宋体" w:cs="宋体"/>
                <w:color w:val="auto"/>
                <w:sz w:val="24"/>
                <w:highlight w:val="none"/>
              </w:rPr>
            </w:pPr>
          </w:p>
        </w:tc>
        <w:tc>
          <w:tcPr>
            <w:tcW w:w="361" w:type="pct"/>
            <w:tcBorders>
              <w:top w:val="single" w:color="auto" w:sz="6" w:space="0"/>
              <w:left w:val="single" w:color="auto" w:sz="6" w:space="0"/>
              <w:bottom w:val="single" w:color="auto" w:sz="6" w:space="0"/>
              <w:right w:val="single" w:color="auto" w:sz="6" w:space="0"/>
            </w:tcBorders>
          </w:tcPr>
          <w:p w14:paraId="5E0BAD54">
            <w:pPr>
              <w:autoSpaceDE w:val="0"/>
              <w:autoSpaceDN w:val="0"/>
              <w:spacing w:line="360" w:lineRule="auto"/>
              <w:rPr>
                <w:rFonts w:ascii="宋体" w:hAnsi="宋体" w:cs="宋体"/>
                <w:color w:val="auto"/>
                <w:sz w:val="24"/>
                <w:highlight w:val="none"/>
              </w:rPr>
            </w:pPr>
          </w:p>
        </w:tc>
        <w:tc>
          <w:tcPr>
            <w:tcW w:w="255" w:type="pct"/>
            <w:tcBorders>
              <w:top w:val="single" w:color="auto" w:sz="6" w:space="0"/>
              <w:left w:val="single" w:color="auto" w:sz="6" w:space="0"/>
              <w:bottom w:val="single" w:color="auto" w:sz="6" w:space="0"/>
              <w:right w:val="single" w:color="auto" w:sz="6" w:space="0"/>
            </w:tcBorders>
          </w:tcPr>
          <w:p w14:paraId="4AD53270">
            <w:pPr>
              <w:autoSpaceDE w:val="0"/>
              <w:autoSpaceDN w:val="0"/>
              <w:spacing w:line="360" w:lineRule="auto"/>
              <w:rPr>
                <w:rFonts w:ascii="宋体" w:hAnsi="宋体" w:cs="宋体"/>
                <w:color w:val="auto"/>
                <w:sz w:val="24"/>
                <w:highlight w:val="none"/>
              </w:rPr>
            </w:pPr>
          </w:p>
        </w:tc>
        <w:tc>
          <w:tcPr>
            <w:tcW w:w="266" w:type="pct"/>
            <w:tcBorders>
              <w:top w:val="single" w:color="auto" w:sz="6" w:space="0"/>
              <w:left w:val="single" w:color="auto" w:sz="6" w:space="0"/>
              <w:bottom w:val="single" w:color="auto" w:sz="6" w:space="0"/>
              <w:right w:val="single" w:color="auto" w:sz="6" w:space="0"/>
            </w:tcBorders>
          </w:tcPr>
          <w:p w14:paraId="44975C50">
            <w:pPr>
              <w:autoSpaceDE w:val="0"/>
              <w:autoSpaceDN w:val="0"/>
              <w:spacing w:line="360" w:lineRule="auto"/>
              <w:rPr>
                <w:rFonts w:ascii="宋体" w:hAnsi="宋体" w:cs="宋体"/>
                <w:color w:val="auto"/>
                <w:sz w:val="24"/>
                <w:highlight w:val="none"/>
              </w:rPr>
            </w:pPr>
          </w:p>
        </w:tc>
        <w:tc>
          <w:tcPr>
            <w:tcW w:w="479" w:type="pct"/>
            <w:tcBorders>
              <w:top w:val="single" w:color="auto" w:sz="6" w:space="0"/>
              <w:left w:val="single" w:color="auto" w:sz="6" w:space="0"/>
              <w:bottom w:val="single" w:color="auto" w:sz="6" w:space="0"/>
              <w:right w:val="single" w:color="auto" w:sz="6" w:space="0"/>
            </w:tcBorders>
          </w:tcPr>
          <w:p w14:paraId="1D02A03D">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60739D95">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6829D0DE">
            <w:pPr>
              <w:autoSpaceDE w:val="0"/>
              <w:autoSpaceDN w:val="0"/>
              <w:spacing w:line="360" w:lineRule="auto"/>
              <w:rPr>
                <w:rFonts w:ascii="宋体" w:hAnsi="宋体" w:cs="宋体"/>
                <w:color w:val="auto"/>
                <w:sz w:val="24"/>
                <w:highlight w:val="none"/>
              </w:rPr>
            </w:pPr>
          </w:p>
        </w:tc>
        <w:tc>
          <w:tcPr>
            <w:tcW w:w="587" w:type="pct"/>
            <w:tcBorders>
              <w:top w:val="single" w:color="auto" w:sz="6" w:space="0"/>
              <w:left w:val="single" w:color="auto" w:sz="6" w:space="0"/>
              <w:bottom w:val="single" w:color="auto" w:sz="6" w:space="0"/>
              <w:right w:val="single" w:color="auto" w:sz="6" w:space="0"/>
            </w:tcBorders>
          </w:tcPr>
          <w:p w14:paraId="7E4C1FB6">
            <w:pPr>
              <w:autoSpaceDE w:val="0"/>
              <w:autoSpaceDN w:val="0"/>
              <w:spacing w:line="360" w:lineRule="auto"/>
              <w:rPr>
                <w:rFonts w:ascii="宋体" w:hAnsi="宋体" w:cs="宋体"/>
                <w:color w:val="auto"/>
                <w:sz w:val="24"/>
                <w:highlight w:val="none"/>
              </w:rPr>
            </w:pPr>
          </w:p>
        </w:tc>
        <w:tc>
          <w:tcPr>
            <w:tcW w:w="415" w:type="pct"/>
            <w:tcBorders>
              <w:top w:val="single" w:color="auto" w:sz="6" w:space="0"/>
              <w:left w:val="single" w:color="auto" w:sz="6" w:space="0"/>
              <w:bottom w:val="single" w:color="auto" w:sz="6" w:space="0"/>
              <w:right w:val="single" w:color="auto" w:sz="6" w:space="0"/>
            </w:tcBorders>
          </w:tcPr>
          <w:p w14:paraId="7753FCEB">
            <w:pPr>
              <w:autoSpaceDE w:val="0"/>
              <w:autoSpaceDN w:val="0"/>
              <w:spacing w:line="360" w:lineRule="auto"/>
              <w:rPr>
                <w:rFonts w:ascii="宋体" w:hAnsi="宋体" w:cs="宋体"/>
                <w:color w:val="auto"/>
                <w:sz w:val="24"/>
                <w:highlight w:val="none"/>
              </w:rPr>
            </w:pPr>
          </w:p>
        </w:tc>
        <w:tc>
          <w:tcPr>
            <w:tcW w:w="921" w:type="pct"/>
            <w:tcBorders>
              <w:top w:val="single" w:color="auto" w:sz="6" w:space="0"/>
              <w:left w:val="single" w:color="auto" w:sz="6" w:space="0"/>
              <w:bottom w:val="single" w:color="auto" w:sz="6" w:space="0"/>
              <w:right w:val="single" w:color="auto" w:sz="6" w:space="0"/>
            </w:tcBorders>
          </w:tcPr>
          <w:p w14:paraId="199D4DBC">
            <w:pPr>
              <w:autoSpaceDE w:val="0"/>
              <w:autoSpaceDN w:val="0"/>
              <w:spacing w:line="360" w:lineRule="auto"/>
              <w:rPr>
                <w:rFonts w:ascii="宋体" w:hAnsi="宋体" w:cs="宋体"/>
                <w:color w:val="auto"/>
                <w:sz w:val="24"/>
                <w:highlight w:val="none"/>
              </w:rPr>
            </w:pPr>
          </w:p>
        </w:tc>
        <w:tc>
          <w:tcPr>
            <w:tcW w:w="455" w:type="pct"/>
            <w:tcBorders>
              <w:top w:val="single" w:color="auto" w:sz="6" w:space="0"/>
              <w:left w:val="single" w:color="auto" w:sz="6" w:space="0"/>
              <w:bottom w:val="single" w:color="auto" w:sz="6" w:space="0"/>
              <w:right w:val="single" w:color="auto" w:sz="6" w:space="0"/>
            </w:tcBorders>
          </w:tcPr>
          <w:p w14:paraId="694AC6D8">
            <w:pPr>
              <w:autoSpaceDE w:val="0"/>
              <w:autoSpaceDN w:val="0"/>
              <w:spacing w:line="360" w:lineRule="auto"/>
              <w:rPr>
                <w:rFonts w:ascii="宋体" w:hAnsi="宋体" w:cs="宋体"/>
                <w:color w:val="auto"/>
                <w:sz w:val="24"/>
                <w:highlight w:val="none"/>
              </w:rPr>
            </w:pPr>
          </w:p>
        </w:tc>
      </w:tr>
      <w:tr w14:paraId="5F367C83">
        <w:tblPrEx>
          <w:tblCellMar>
            <w:top w:w="0" w:type="dxa"/>
            <w:left w:w="108" w:type="dxa"/>
            <w:bottom w:w="0" w:type="dxa"/>
            <w:right w:w="108" w:type="dxa"/>
          </w:tblCellMar>
        </w:tblPrEx>
        <w:trPr>
          <w:trHeight w:val="473" w:hRule="atLeast"/>
        </w:trPr>
        <w:tc>
          <w:tcPr>
            <w:tcW w:w="255" w:type="pct"/>
            <w:tcBorders>
              <w:top w:val="single" w:color="auto" w:sz="6" w:space="0"/>
              <w:left w:val="single" w:color="auto" w:sz="6" w:space="0"/>
              <w:bottom w:val="single" w:color="auto" w:sz="6" w:space="0"/>
              <w:right w:val="single" w:color="auto" w:sz="6" w:space="0"/>
            </w:tcBorders>
          </w:tcPr>
          <w:p w14:paraId="1DCC32A6">
            <w:pPr>
              <w:autoSpaceDE w:val="0"/>
              <w:autoSpaceDN w:val="0"/>
              <w:spacing w:line="360" w:lineRule="auto"/>
              <w:jc w:val="center"/>
              <w:rPr>
                <w:rFonts w:ascii="宋体" w:hAnsi="宋体" w:cs="宋体"/>
                <w:color w:val="auto"/>
                <w:sz w:val="24"/>
                <w:highlight w:val="none"/>
              </w:rPr>
            </w:pPr>
          </w:p>
        </w:tc>
        <w:tc>
          <w:tcPr>
            <w:tcW w:w="361" w:type="pct"/>
            <w:tcBorders>
              <w:top w:val="single" w:color="auto" w:sz="6" w:space="0"/>
              <w:left w:val="single" w:color="auto" w:sz="6" w:space="0"/>
              <w:bottom w:val="single" w:color="auto" w:sz="6" w:space="0"/>
              <w:right w:val="single" w:color="auto" w:sz="6" w:space="0"/>
            </w:tcBorders>
          </w:tcPr>
          <w:p w14:paraId="706010B3">
            <w:pPr>
              <w:autoSpaceDE w:val="0"/>
              <w:autoSpaceDN w:val="0"/>
              <w:spacing w:line="360" w:lineRule="auto"/>
              <w:rPr>
                <w:rFonts w:ascii="宋体" w:hAnsi="宋体" w:cs="宋体"/>
                <w:color w:val="auto"/>
                <w:sz w:val="24"/>
                <w:highlight w:val="none"/>
              </w:rPr>
            </w:pPr>
          </w:p>
        </w:tc>
        <w:tc>
          <w:tcPr>
            <w:tcW w:w="255" w:type="pct"/>
            <w:tcBorders>
              <w:top w:val="single" w:color="auto" w:sz="6" w:space="0"/>
              <w:left w:val="single" w:color="auto" w:sz="6" w:space="0"/>
              <w:bottom w:val="single" w:color="auto" w:sz="6" w:space="0"/>
              <w:right w:val="single" w:color="auto" w:sz="6" w:space="0"/>
            </w:tcBorders>
          </w:tcPr>
          <w:p w14:paraId="0FBC4746">
            <w:pPr>
              <w:autoSpaceDE w:val="0"/>
              <w:autoSpaceDN w:val="0"/>
              <w:spacing w:line="360" w:lineRule="auto"/>
              <w:rPr>
                <w:rFonts w:ascii="宋体" w:hAnsi="宋体" w:cs="宋体"/>
                <w:color w:val="auto"/>
                <w:sz w:val="24"/>
                <w:highlight w:val="none"/>
              </w:rPr>
            </w:pPr>
          </w:p>
        </w:tc>
        <w:tc>
          <w:tcPr>
            <w:tcW w:w="266" w:type="pct"/>
            <w:tcBorders>
              <w:top w:val="single" w:color="auto" w:sz="6" w:space="0"/>
              <w:left w:val="single" w:color="auto" w:sz="6" w:space="0"/>
              <w:bottom w:val="single" w:color="auto" w:sz="6" w:space="0"/>
              <w:right w:val="single" w:color="auto" w:sz="6" w:space="0"/>
            </w:tcBorders>
          </w:tcPr>
          <w:p w14:paraId="49923E9A">
            <w:pPr>
              <w:autoSpaceDE w:val="0"/>
              <w:autoSpaceDN w:val="0"/>
              <w:spacing w:line="360" w:lineRule="auto"/>
              <w:rPr>
                <w:rFonts w:ascii="宋体" w:hAnsi="宋体" w:cs="宋体"/>
                <w:color w:val="auto"/>
                <w:sz w:val="24"/>
                <w:highlight w:val="none"/>
              </w:rPr>
            </w:pPr>
          </w:p>
        </w:tc>
        <w:tc>
          <w:tcPr>
            <w:tcW w:w="479" w:type="pct"/>
            <w:tcBorders>
              <w:top w:val="single" w:color="auto" w:sz="6" w:space="0"/>
              <w:left w:val="single" w:color="auto" w:sz="6" w:space="0"/>
              <w:bottom w:val="single" w:color="auto" w:sz="6" w:space="0"/>
              <w:right w:val="single" w:color="auto" w:sz="6" w:space="0"/>
            </w:tcBorders>
          </w:tcPr>
          <w:p w14:paraId="68241AD6">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25DA85BF">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7A33FDE3">
            <w:pPr>
              <w:autoSpaceDE w:val="0"/>
              <w:autoSpaceDN w:val="0"/>
              <w:spacing w:line="360" w:lineRule="auto"/>
              <w:rPr>
                <w:rFonts w:ascii="宋体" w:hAnsi="宋体" w:cs="宋体"/>
                <w:color w:val="auto"/>
                <w:sz w:val="24"/>
                <w:highlight w:val="none"/>
              </w:rPr>
            </w:pPr>
          </w:p>
        </w:tc>
        <w:tc>
          <w:tcPr>
            <w:tcW w:w="587" w:type="pct"/>
            <w:tcBorders>
              <w:top w:val="single" w:color="auto" w:sz="6" w:space="0"/>
              <w:left w:val="single" w:color="auto" w:sz="6" w:space="0"/>
              <w:bottom w:val="single" w:color="auto" w:sz="6" w:space="0"/>
              <w:right w:val="single" w:color="auto" w:sz="6" w:space="0"/>
            </w:tcBorders>
          </w:tcPr>
          <w:p w14:paraId="07A4EB1D">
            <w:pPr>
              <w:autoSpaceDE w:val="0"/>
              <w:autoSpaceDN w:val="0"/>
              <w:spacing w:line="360" w:lineRule="auto"/>
              <w:rPr>
                <w:rFonts w:ascii="宋体" w:hAnsi="宋体" w:cs="宋体"/>
                <w:color w:val="auto"/>
                <w:sz w:val="24"/>
                <w:highlight w:val="none"/>
              </w:rPr>
            </w:pPr>
          </w:p>
        </w:tc>
        <w:tc>
          <w:tcPr>
            <w:tcW w:w="415" w:type="pct"/>
            <w:tcBorders>
              <w:top w:val="single" w:color="auto" w:sz="6" w:space="0"/>
              <w:left w:val="single" w:color="auto" w:sz="6" w:space="0"/>
              <w:bottom w:val="single" w:color="auto" w:sz="6" w:space="0"/>
              <w:right w:val="single" w:color="auto" w:sz="6" w:space="0"/>
            </w:tcBorders>
          </w:tcPr>
          <w:p w14:paraId="770375ED">
            <w:pPr>
              <w:autoSpaceDE w:val="0"/>
              <w:autoSpaceDN w:val="0"/>
              <w:spacing w:line="360" w:lineRule="auto"/>
              <w:rPr>
                <w:rFonts w:ascii="宋体" w:hAnsi="宋体" w:cs="宋体"/>
                <w:color w:val="auto"/>
                <w:sz w:val="24"/>
                <w:highlight w:val="none"/>
              </w:rPr>
            </w:pPr>
          </w:p>
        </w:tc>
        <w:tc>
          <w:tcPr>
            <w:tcW w:w="921" w:type="pct"/>
            <w:tcBorders>
              <w:top w:val="single" w:color="auto" w:sz="6" w:space="0"/>
              <w:left w:val="single" w:color="auto" w:sz="6" w:space="0"/>
              <w:bottom w:val="single" w:color="auto" w:sz="6" w:space="0"/>
              <w:right w:val="single" w:color="auto" w:sz="6" w:space="0"/>
            </w:tcBorders>
          </w:tcPr>
          <w:p w14:paraId="79DACDAD">
            <w:pPr>
              <w:autoSpaceDE w:val="0"/>
              <w:autoSpaceDN w:val="0"/>
              <w:spacing w:line="360" w:lineRule="auto"/>
              <w:rPr>
                <w:rFonts w:ascii="宋体" w:hAnsi="宋体" w:cs="宋体"/>
                <w:color w:val="auto"/>
                <w:sz w:val="24"/>
                <w:highlight w:val="none"/>
              </w:rPr>
            </w:pPr>
          </w:p>
        </w:tc>
        <w:tc>
          <w:tcPr>
            <w:tcW w:w="455" w:type="pct"/>
            <w:tcBorders>
              <w:top w:val="single" w:color="auto" w:sz="6" w:space="0"/>
              <w:left w:val="single" w:color="auto" w:sz="6" w:space="0"/>
              <w:bottom w:val="single" w:color="auto" w:sz="6" w:space="0"/>
              <w:right w:val="single" w:color="auto" w:sz="6" w:space="0"/>
            </w:tcBorders>
          </w:tcPr>
          <w:p w14:paraId="4B1455DD">
            <w:pPr>
              <w:autoSpaceDE w:val="0"/>
              <w:autoSpaceDN w:val="0"/>
              <w:spacing w:line="360" w:lineRule="auto"/>
              <w:rPr>
                <w:rFonts w:ascii="宋体" w:hAnsi="宋体" w:cs="宋体"/>
                <w:color w:val="auto"/>
                <w:sz w:val="24"/>
                <w:highlight w:val="none"/>
              </w:rPr>
            </w:pPr>
          </w:p>
        </w:tc>
      </w:tr>
      <w:tr w14:paraId="564ABE70">
        <w:tblPrEx>
          <w:tblCellMar>
            <w:top w:w="0" w:type="dxa"/>
            <w:left w:w="108" w:type="dxa"/>
            <w:bottom w:w="0" w:type="dxa"/>
            <w:right w:w="108" w:type="dxa"/>
          </w:tblCellMar>
        </w:tblPrEx>
        <w:trPr>
          <w:trHeight w:val="473" w:hRule="atLeast"/>
        </w:trPr>
        <w:tc>
          <w:tcPr>
            <w:tcW w:w="255" w:type="pct"/>
            <w:tcBorders>
              <w:top w:val="single" w:color="auto" w:sz="6" w:space="0"/>
              <w:left w:val="single" w:color="auto" w:sz="6" w:space="0"/>
              <w:bottom w:val="single" w:color="auto" w:sz="6" w:space="0"/>
              <w:right w:val="single" w:color="auto" w:sz="6" w:space="0"/>
            </w:tcBorders>
          </w:tcPr>
          <w:p w14:paraId="13A63FBE">
            <w:pPr>
              <w:autoSpaceDE w:val="0"/>
              <w:autoSpaceDN w:val="0"/>
              <w:spacing w:line="360" w:lineRule="auto"/>
              <w:jc w:val="center"/>
              <w:rPr>
                <w:rFonts w:ascii="宋体" w:hAnsi="宋体" w:cs="宋体"/>
                <w:color w:val="auto"/>
                <w:sz w:val="24"/>
                <w:highlight w:val="none"/>
              </w:rPr>
            </w:pPr>
          </w:p>
        </w:tc>
        <w:tc>
          <w:tcPr>
            <w:tcW w:w="361" w:type="pct"/>
            <w:tcBorders>
              <w:top w:val="single" w:color="auto" w:sz="6" w:space="0"/>
              <w:left w:val="single" w:color="auto" w:sz="6" w:space="0"/>
              <w:bottom w:val="single" w:color="auto" w:sz="6" w:space="0"/>
              <w:right w:val="single" w:color="auto" w:sz="6" w:space="0"/>
            </w:tcBorders>
          </w:tcPr>
          <w:p w14:paraId="4BD593BE">
            <w:pPr>
              <w:autoSpaceDE w:val="0"/>
              <w:autoSpaceDN w:val="0"/>
              <w:spacing w:line="360" w:lineRule="auto"/>
              <w:rPr>
                <w:rFonts w:ascii="宋体" w:hAnsi="宋体" w:cs="宋体"/>
                <w:color w:val="auto"/>
                <w:sz w:val="24"/>
                <w:highlight w:val="none"/>
              </w:rPr>
            </w:pPr>
          </w:p>
        </w:tc>
        <w:tc>
          <w:tcPr>
            <w:tcW w:w="255" w:type="pct"/>
            <w:tcBorders>
              <w:top w:val="single" w:color="auto" w:sz="6" w:space="0"/>
              <w:left w:val="single" w:color="auto" w:sz="6" w:space="0"/>
              <w:bottom w:val="single" w:color="auto" w:sz="6" w:space="0"/>
              <w:right w:val="single" w:color="auto" w:sz="6" w:space="0"/>
            </w:tcBorders>
          </w:tcPr>
          <w:p w14:paraId="0DB4AC04">
            <w:pPr>
              <w:autoSpaceDE w:val="0"/>
              <w:autoSpaceDN w:val="0"/>
              <w:spacing w:line="360" w:lineRule="auto"/>
              <w:rPr>
                <w:rFonts w:ascii="宋体" w:hAnsi="宋体" w:cs="宋体"/>
                <w:color w:val="auto"/>
                <w:sz w:val="24"/>
                <w:highlight w:val="none"/>
              </w:rPr>
            </w:pPr>
          </w:p>
        </w:tc>
        <w:tc>
          <w:tcPr>
            <w:tcW w:w="266" w:type="pct"/>
            <w:tcBorders>
              <w:top w:val="single" w:color="auto" w:sz="6" w:space="0"/>
              <w:left w:val="single" w:color="auto" w:sz="6" w:space="0"/>
              <w:bottom w:val="single" w:color="auto" w:sz="6" w:space="0"/>
              <w:right w:val="single" w:color="auto" w:sz="6" w:space="0"/>
            </w:tcBorders>
          </w:tcPr>
          <w:p w14:paraId="54D0568F">
            <w:pPr>
              <w:autoSpaceDE w:val="0"/>
              <w:autoSpaceDN w:val="0"/>
              <w:spacing w:line="360" w:lineRule="auto"/>
              <w:rPr>
                <w:rFonts w:ascii="宋体" w:hAnsi="宋体" w:cs="宋体"/>
                <w:color w:val="auto"/>
                <w:sz w:val="24"/>
                <w:highlight w:val="none"/>
              </w:rPr>
            </w:pPr>
          </w:p>
        </w:tc>
        <w:tc>
          <w:tcPr>
            <w:tcW w:w="479" w:type="pct"/>
            <w:tcBorders>
              <w:top w:val="single" w:color="auto" w:sz="6" w:space="0"/>
              <w:left w:val="single" w:color="auto" w:sz="6" w:space="0"/>
              <w:bottom w:val="single" w:color="auto" w:sz="6" w:space="0"/>
              <w:right w:val="single" w:color="auto" w:sz="6" w:space="0"/>
            </w:tcBorders>
          </w:tcPr>
          <w:p w14:paraId="6F5A1824">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278C5140">
            <w:pPr>
              <w:autoSpaceDE w:val="0"/>
              <w:autoSpaceDN w:val="0"/>
              <w:spacing w:line="360" w:lineRule="auto"/>
              <w:rPr>
                <w:rFonts w:ascii="宋体" w:hAnsi="宋体" w:cs="宋体"/>
                <w:color w:val="auto"/>
                <w:sz w:val="24"/>
                <w:highlight w:val="none"/>
              </w:rPr>
            </w:pPr>
          </w:p>
        </w:tc>
        <w:tc>
          <w:tcPr>
            <w:tcW w:w="501" w:type="pct"/>
            <w:tcBorders>
              <w:top w:val="single" w:color="auto" w:sz="6" w:space="0"/>
              <w:left w:val="single" w:color="auto" w:sz="6" w:space="0"/>
              <w:bottom w:val="single" w:color="auto" w:sz="6" w:space="0"/>
              <w:right w:val="single" w:color="auto" w:sz="6" w:space="0"/>
            </w:tcBorders>
          </w:tcPr>
          <w:p w14:paraId="407BE0DF">
            <w:pPr>
              <w:autoSpaceDE w:val="0"/>
              <w:autoSpaceDN w:val="0"/>
              <w:spacing w:line="360" w:lineRule="auto"/>
              <w:rPr>
                <w:rFonts w:ascii="宋体" w:hAnsi="宋体" w:cs="宋体"/>
                <w:color w:val="auto"/>
                <w:sz w:val="24"/>
                <w:highlight w:val="none"/>
              </w:rPr>
            </w:pPr>
          </w:p>
        </w:tc>
        <w:tc>
          <w:tcPr>
            <w:tcW w:w="587" w:type="pct"/>
            <w:tcBorders>
              <w:top w:val="single" w:color="auto" w:sz="6" w:space="0"/>
              <w:left w:val="single" w:color="auto" w:sz="6" w:space="0"/>
              <w:bottom w:val="single" w:color="auto" w:sz="6" w:space="0"/>
              <w:right w:val="single" w:color="auto" w:sz="6" w:space="0"/>
            </w:tcBorders>
          </w:tcPr>
          <w:p w14:paraId="0F4BFC99">
            <w:pPr>
              <w:autoSpaceDE w:val="0"/>
              <w:autoSpaceDN w:val="0"/>
              <w:spacing w:line="360" w:lineRule="auto"/>
              <w:rPr>
                <w:rFonts w:ascii="宋体" w:hAnsi="宋体" w:cs="宋体"/>
                <w:color w:val="auto"/>
                <w:sz w:val="24"/>
                <w:highlight w:val="none"/>
              </w:rPr>
            </w:pPr>
          </w:p>
        </w:tc>
        <w:tc>
          <w:tcPr>
            <w:tcW w:w="415" w:type="pct"/>
            <w:tcBorders>
              <w:top w:val="single" w:color="auto" w:sz="6" w:space="0"/>
              <w:left w:val="single" w:color="auto" w:sz="6" w:space="0"/>
              <w:bottom w:val="single" w:color="auto" w:sz="6" w:space="0"/>
              <w:right w:val="single" w:color="auto" w:sz="6" w:space="0"/>
            </w:tcBorders>
          </w:tcPr>
          <w:p w14:paraId="4E028B85">
            <w:pPr>
              <w:autoSpaceDE w:val="0"/>
              <w:autoSpaceDN w:val="0"/>
              <w:spacing w:line="360" w:lineRule="auto"/>
              <w:rPr>
                <w:rFonts w:ascii="宋体" w:hAnsi="宋体" w:cs="宋体"/>
                <w:color w:val="auto"/>
                <w:sz w:val="24"/>
                <w:highlight w:val="none"/>
              </w:rPr>
            </w:pPr>
          </w:p>
        </w:tc>
        <w:tc>
          <w:tcPr>
            <w:tcW w:w="921" w:type="pct"/>
            <w:tcBorders>
              <w:top w:val="single" w:color="auto" w:sz="6" w:space="0"/>
              <w:left w:val="single" w:color="auto" w:sz="6" w:space="0"/>
              <w:bottom w:val="single" w:color="auto" w:sz="6" w:space="0"/>
              <w:right w:val="single" w:color="auto" w:sz="6" w:space="0"/>
            </w:tcBorders>
          </w:tcPr>
          <w:p w14:paraId="0F61FF8C">
            <w:pPr>
              <w:autoSpaceDE w:val="0"/>
              <w:autoSpaceDN w:val="0"/>
              <w:spacing w:line="360" w:lineRule="auto"/>
              <w:rPr>
                <w:rFonts w:ascii="宋体" w:hAnsi="宋体" w:cs="宋体"/>
                <w:color w:val="auto"/>
                <w:sz w:val="24"/>
                <w:highlight w:val="none"/>
              </w:rPr>
            </w:pPr>
          </w:p>
        </w:tc>
        <w:tc>
          <w:tcPr>
            <w:tcW w:w="455" w:type="pct"/>
            <w:tcBorders>
              <w:top w:val="single" w:color="auto" w:sz="6" w:space="0"/>
              <w:left w:val="single" w:color="auto" w:sz="6" w:space="0"/>
              <w:bottom w:val="single" w:color="auto" w:sz="6" w:space="0"/>
              <w:right w:val="single" w:color="auto" w:sz="6" w:space="0"/>
            </w:tcBorders>
          </w:tcPr>
          <w:p w14:paraId="2DD7668C">
            <w:pPr>
              <w:autoSpaceDE w:val="0"/>
              <w:autoSpaceDN w:val="0"/>
              <w:spacing w:line="360" w:lineRule="auto"/>
              <w:rPr>
                <w:rFonts w:ascii="宋体" w:hAnsi="宋体" w:cs="宋体"/>
                <w:color w:val="auto"/>
                <w:sz w:val="24"/>
                <w:highlight w:val="none"/>
              </w:rPr>
            </w:pPr>
          </w:p>
        </w:tc>
      </w:tr>
    </w:tbl>
    <w:p w14:paraId="029BC81F">
      <w:pPr>
        <w:spacing w:line="360" w:lineRule="auto"/>
        <w:rPr>
          <w:rFonts w:ascii="宋体" w:hAnsi="宋体" w:cs="宋体"/>
          <w:b/>
          <w:color w:val="auto"/>
          <w:sz w:val="30"/>
          <w:szCs w:val="30"/>
          <w:highlight w:val="none"/>
        </w:rPr>
      </w:pPr>
      <w:r>
        <w:rPr>
          <w:rFonts w:hint="eastAsia" w:ascii="宋体" w:hAnsi="宋体" w:cs="宋体"/>
          <w:b/>
          <w:color w:val="auto"/>
          <w:sz w:val="24"/>
          <w:highlight w:val="none"/>
        </w:rPr>
        <w:t>注：供应商可按上述的格式自行编制，随表提交相应的证书复印件并注明所在响应技术文件页码。</w:t>
      </w:r>
    </w:p>
    <w:p w14:paraId="6297C254">
      <w:pPr>
        <w:autoSpaceDE w:val="0"/>
        <w:autoSpaceDN w:val="0"/>
        <w:spacing w:line="360" w:lineRule="auto"/>
        <w:ind w:firstLine="6505" w:firstLineChars="2700"/>
        <w:rPr>
          <w:rFonts w:ascii="宋体" w:hAnsi="宋体" w:cs="宋体"/>
          <w:b/>
          <w:bCs/>
          <w:color w:val="auto"/>
          <w:sz w:val="24"/>
          <w:highlight w:val="none"/>
        </w:rPr>
      </w:pPr>
    </w:p>
    <w:p w14:paraId="1203D8EF">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192470B">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B14FC1E">
      <w:pPr>
        <w:autoSpaceDE w:val="0"/>
        <w:autoSpaceDN w:val="0"/>
        <w:spacing w:line="360" w:lineRule="auto"/>
        <w:ind w:firstLine="6480" w:firstLineChars="2700"/>
        <w:rPr>
          <w:rFonts w:hint="eastAsia" w:ascii="宋体" w:hAnsi="宋体" w:cs="宋体"/>
          <w:color w:val="auto"/>
          <w:kern w:val="0"/>
          <w:sz w:val="24"/>
          <w:highlight w:val="none"/>
          <w:lang w:val="zh-CN"/>
        </w:rPr>
      </w:pPr>
    </w:p>
    <w:p w14:paraId="6A00E5E1">
      <w:pPr>
        <w:autoSpaceDE w:val="0"/>
        <w:autoSpaceDN w:val="0"/>
        <w:spacing w:line="360" w:lineRule="auto"/>
        <w:ind w:firstLine="6480" w:firstLineChars="2700"/>
        <w:rPr>
          <w:rFonts w:hint="eastAsia" w:ascii="宋体" w:hAnsi="宋体" w:cs="宋体"/>
          <w:color w:val="auto"/>
          <w:kern w:val="0"/>
          <w:sz w:val="24"/>
          <w:highlight w:val="none"/>
          <w:lang w:val="zh-CN"/>
        </w:rPr>
      </w:pPr>
    </w:p>
    <w:p w14:paraId="22A08F33">
      <w:pPr>
        <w:snapToGrid w:val="0"/>
        <w:spacing w:line="360" w:lineRule="auto"/>
        <w:rPr>
          <w:rFonts w:hint="eastAsia" w:ascii="宋体" w:hAnsi="宋体" w:cs="宋体"/>
          <w:b/>
          <w:color w:val="auto"/>
          <w:sz w:val="30"/>
          <w:szCs w:val="30"/>
          <w:highlight w:val="none"/>
          <w:lang w:val="en-US" w:eastAsia="zh-CN"/>
        </w:rPr>
      </w:pPr>
    </w:p>
    <w:p w14:paraId="5C9A7F3E">
      <w:pPr>
        <w:keepNext w:val="0"/>
        <w:keepLines w:val="0"/>
        <w:pageBreakBefore w:val="0"/>
        <w:numPr>
          <w:ilvl w:val="0"/>
          <w:numId w:val="0"/>
        </w:numPr>
        <w:kinsoku/>
        <w:wordWrap/>
        <w:overflowPunct/>
        <w:topLinePunct w:val="0"/>
        <w:autoSpaceDE/>
        <w:autoSpaceDN/>
        <w:bidi w:val="0"/>
        <w:adjustRightInd/>
        <w:snapToGrid w:val="0"/>
        <w:spacing w:before="120" w:beforeLines="50" w:after="50" w:line="360" w:lineRule="auto"/>
        <w:ind w:firstLine="602" w:firstLineChars="200"/>
        <w:textAlignment w:val="auto"/>
        <w:rPr>
          <w:rFonts w:hint="eastAsia" w:ascii="宋体" w:hAnsi="宋体" w:cs="宋体"/>
          <w:b/>
          <w:color w:val="auto"/>
          <w:sz w:val="30"/>
          <w:szCs w:val="30"/>
          <w:highlight w:val="none"/>
        </w:rPr>
      </w:pPr>
      <w:r>
        <w:rPr>
          <w:rFonts w:hint="eastAsia" w:ascii="宋体" w:hAnsi="宋体" w:cs="宋体"/>
          <w:b/>
          <w:color w:val="auto"/>
          <w:kern w:val="2"/>
          <w:sz w:val="30"/>
          <w:szCs w:val="30"/>
          <w:highlight w:val="none"/>
          <w:lang w:val="en-US" w:eastAsia="zh-CN" w:bidi="ar-SA"/>
        </w:rPr>
        <w:t>九</w:t>
      </w:r>
      <w:r>
        <w:rPr>
          <w:rFonts w:hint="eastAsia" w:ascii="宋体" w:hAnsi="宋体" w:eastAsia="宋体" w:cs="宋体"/>
          <w:b/>
          <w:color w:val="auto"/>
          <w:kern w:val="2"/>
          <w:sz w:val="30"/>
          <w:szCs w:val="30"/>
          <w:highlight w:val="none"/>
          <w:lang w:val="en-US" w:eastAsia="zh-CN" w:bidi="ar-SA"/>
        </w:rPr>
        <w:t>、</w:t>
      </w:r>
      <w:r>
        <w:rPr>
          <w:rFonts w:hint="eastAsia" w:ascii="宋体" w:hAnsi="宋体" w:cs="宋体"/>
          <w:b/>
          <w:color w:val="auto"/>
          <w:sz w:val="30"/>
          <w:szCs w:val="30"/>
          <w:highlight w:val="none"/>
        </w:rPr>
        <w:t>供应商类似的业绩证明文件</w:t>
      </w:r>
    </w:p>
    <w:p w14:paraId="03A945BD">
      <w:pPr>
        <w:keepNext w:val="0"/>
        <w:keepLines w:val="0"/>
        <w:pageBreakBefore w:val="0"/>
        <w:numPr>
          <w:ilvl w:val="0"/>
          <w:numId w:val="0"/>
        </w:numPr>
        <w:kinsoku/>
        <w:wordWrap/>
        <w:overflowPunct/>
        <w:topLinePunct w:val="0"/>
        <w:autoSpaceDE/>
        <w:autoSpaceDN/>
        <w:bidi w:val="0"/>
        <w:adjustRightInd/>
        <w:snapToGrid w:val="0"/>
        <w:spacing w:before="120" w:beforeLines="50" w:after="50" w:line="360" w:lineRule="auto"/>
        <w:jc w:val="center"/>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业绩一览</w:t>
      </w:r>
    </w:p>
    <w:tbl>
      <w:tblPr>
        <w:tblStyle w:val="27"/>
        <w:tblpPr w:leftFromText="180" w:rightFromText="180" w:vertAnchor="page" w:horzAnchor="page" w:tblpX="932" w:tblpY="2831"/>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426"/>
        <w:gridCol w:w="1408"/>
        <w:gridCol w:w="1276"/>
        <w:gridCol w:w="1841"/>
      </w:tblGrid>
      <w:tr w14:paraId="7C10F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14:paraId="17DFAA0E">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5EE792D">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56C240E8">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合同</w:t>
            </w:r>
          </w:p>
          <w:p w14:paraId="191195E3">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金额</w:t>
            </w:r>
          </w:p>
          <w:p w14:paraId="6E4F2CA7">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6B1B20E5">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468E3EFD">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579C0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7"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32535C25">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cs="宋体"/>
                <w:color w:val="auto"/>
                <w:sz w:val="24"/>
                <w:highlight w:val="none"/>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164945F">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4DAA82E">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cs="宋体"/>
                <w:color w:val="auto"/>
                <w:sz w:val="24"/>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5E150753">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合同</w:t>
            </w:r>
            <w:r>
              <w:rPr>
                <w:rFonts w:hint="eastAsia" w:ascii="宋体" w:hAnsi="宋体" w:cs="宋体"/>
                <w:color w:val="auto"/>
                <w:sz w:val="24"/>
                <w:highlight w:val="none"/>
                <w:lang w:val="en-US" w:eastAsia="zh-CN"/>
              </w:rPr>
              <w:t>或中标（成交）通知书</w:t>
            </w:r>
          </w:p>
        </w:tc>
        <w:tc>
          <w:tcPr>
            <w:tcW w:w="1408" w:type="dxa"/>
            <w:tcBorders>
              <w:top w:val="single" w:color="auto" w:sz="4" w:space="0"/>
              <w:left w:val="single" w:color="auto" w:sz="4" w:space="0"/>
              <w:bottom w:val="single" w:color="auto" w:sz="4" w:space="0"/>
              <w:right w:val="single" w:color="auto" w:sz="4" w:space="0"/>
            </w:tcBorders>
            <w:vAlign w:val="center"/>
          </w:tcPr>
          <w:p w14:paraId="2055773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竣工验收</w:t>
            </w:r>
            <w:r>
              <w:rPr>
                <w:rFonts w:hint="eastAsia" w:ascii="宋体" w:hAnsi="宋体" w:cs="宋体"/>
                <w:color w:val="auto"/>
                <w:sz w:val="24"/>
                <w:highlight w:val="none"/>
              </w:rPr>
              <w:t>报告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14:paraId="702D91F8">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用户评价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3FC2FE7F">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cs="宋体"/>
                <w:color w:val="auto"/>
                <w:sz w:val="24"/>
                <w:highlight w:val="none"/>
              </w:rPr>
            </w:pPr>
          </w:p>
        </w:tc>
      </w:tr>
      <w:tr w14:paraId="1F691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14:paraId="4533D724">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1DD92C3">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729DA0B">
            <w:pPr>
              <w:snapToGrid w:val="0"/>
              <w:spacing w:line="240" w:lineRule="exact"/>
              <w:jc w:val="left"/>
              <w:rPr>
                <w:rFonts w:ascii="宋体" w:hAnsi="宋体" w:cs="宋体"/>
                <w:color w:val="auto"/>
                <w:sz w:val="24"/>
                <w:highlight w:val="none"/>
              </w:rPr>
            </w:pPr>
          </w:p>
        </w:tc>
        <w:tc>
          <w:tcPr>
            <w:tcW w:w="1426" w:type="dxa"/>
            <w:tcBorders>
              <w:top w:val="single" w:color="auto" w:sz="4" w:space="0"/>
              <w:left w:val="single" w:color="auto" w:sz="4" w:space="0"/>
              <w:bottom w:val="single" w:color="auto" w:sz="4" w:space="0"/>
              <w:right w:val="single" w:color="auto" w:sz="4" w:space="0"/>
            </w:tcBorders>
          </w:tcPr>
          <w:p w14:paraId="3D8A3F4A">
            <w:pPr>
              <w:snapToGrid w:val="0"/>
              <w:spacing w:line="240" w:lineRule="exact"/>
              <w:jc w:val="left"/>
              <w:rPr>
                <w:rFonts w:ascii="宋体" w:hAnsi="宋体" w:cs="宋体"/>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tcPr>
          <w:p w14:paraId="6E0ED8DD">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2415B42">
            <w:pPr>
              <w:snapToGrid w:val="0"/>
              <w:spacing w:line="24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0D856D6">
            <w:pPr>
              <w:snapToGrid w:val="0"/>
              <w:spacing w:line="240" w:lineRule="exact"/>
              <w:jc w:val="left"/>
              <w:rPr>
                <w:rFonts w:ascii="宋体" w:hAnsi="宋体" w:cs="宋体"/>
                <w:color w:val="auto"/>
                <w:sz w:val="24"/>
                <w:highlight w:val="none"/>
              </w:rPr>
            </w:pPr>
          </w:p>
        </w:tc>
      </w:tr>
      <w:tr w14:paraId="17225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45D94CF4">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7E046426">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4202CD9">
            <w:pPr>
              <w:snapToGrid w:val="0"/>
              <w:spacing w:before="50" w:after="120" w:afterLines="50" w:line="400" w:lineRule="exact"/>
              <w:jc w:val="left"/>
              <w:rPr>
                <w:rFonts w:ascii="宋体" w:hAnsi="宋体" w:cs="宋体"/>
                <w:color w:val="auto"/>
                <w:sz w:val="24"/>
                <w:highlight w:val="none"/>
              </w:rPr>
            </w:pPr>
          </w:p>
        </w:tc>
        <w:tc>
          <w:tcPr>
            <w:tcW w:w="1426" w:type="dxa"/>
            <w:tcBorders>
              <w:top w:val="single" w:color="auto" w:sz="4" w:space="0"/>
              <w:left w:val="single" w:color="auto" w:sz="4" w:space="0"/>
              <w:bottom w:val="single" w:color="auto" w:sz="4" w:space="0"/>
              <w:right w:val="single" w:color="auto" w:sz="4" w:space="0"/>
            </w:tcBorders>
          </w:tcPr>
          <w:p w14:paraId="0F2A3DC0">
            <w:pPr>
              <w:snapToGrid w:val="0"/>
              <w:spacing w:before="50" w:after="120" w:afterLines="50" w:line="400" w:lineRule="exact"/>
              <w:jc w:val="left"/>
              <w:rPr>
                <w:rFonts w:ascii="宋体" w:hAnsi="宋体" w:cs="宋体"/>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tcPr>
          <w:p w14:paraId="768A4C68">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B6B9A6B">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67B99281">
            <w:pPr>
              <w:snapToGrid w:val="0"/>
              <w:spacing w:before="50" w:after="120" w:afterLines="50" w:line="400" w:lineRule="exact"/>
              <w:jc w:val="left"/>
              <w:rPr>
                <w:rFonts w:ascii="宋体" w:hAnsi="宋体" w:cs="宋体"/>
                <w:color w:val="auto"/>
                <w:sz w:val="24"/>
                <w:highlight w:val="none"/>
              </w:rPr>
            </w:pPr>
          </w:p>
        </w:tc>
      </w:tr>
      <w:tr w14:paraId="4CACE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14:paraId="11DC6422">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8B64941">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93FC6B5">
            <w:pPr>
              <w:snapToGrid w:val="0"/>
              <w:spacing w:before="50" w:after="120" w:afterLines="50" w:line="400" w:lineRule="exact"/>
              <w:jc w:val="left"/>
              <w:rPr>
                <w:rFonts w:ascii="宋体" w:hAnsi="宋体" w:cs="宋体"/>
                <w:color w:val="auto"/>
                <w:sz w:val="24"/>
                <w:highlight w:val="none"/>
              </w:rPr>
            </w:pPr>
          </w:p>
        </w:tc>
        <w:tc>
          <w:tcPr>
            <w:tcW w:w="1426" w:type="dxa"/>
            <w:tcBorders>
              <w:top w:val="single" w:color="auto" w:sz="4" w:space="0"/>
              <w:left w:val="single" w:color="auto" w:sz="4" w:space="0"/>
              <w:bottom w:val="single" w:color="auto" w:sz="4" w:space="0"/>
              <w:right w:val="single" w:color="auto" w:sz="4" w:space="0"/>
            </w:tcBorders>
          </w:tcPr>
          <w:p w14:paraId="1B02D8F7">
            <w:pPr>
              <w:snapToGrid w:val="0"/>
              <w:spacing w:before="50" w:after="120" w:afterLines="50" w:line="400" w:lineRule="exact"/>
              <w:jc w:val="left"/>
              <w:rPr>
                <w:rFonts w:ascii="宋体" w:hAnsi="宋体" w:cs="宋体"/>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tcPr>
          <w:p w14:paraId="54682821">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D84559A">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18CA8294">
            <w:pPr>
              <w:snapToGrid w:val="0"/>
              <w:spacing w:before="50" w:after="120" w:afterLines="50" w:line="400" w:lineRule="exact"/>
              <w:jc w:val="left"/>
              <w:rPr>
                <w:rFonts w:ascii="宋体" w:hAnsi="宋体" w:cs="宋体"/>
                <w:color w:val="auto"/>
                <w:sz w:val="24"/>
                <w:highlight w:val="none"/>
              </w:rPr>
            </w:pPr>
          </w:p>
        </w:tc>
      </w:tr>
      <w:tr w14:paraId="29F96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65122BF3">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75EFD89B">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6CE21B4">
            <w:pPr>
              <w:snapToGrid w:val="0"/>
              <w:spacing w:before="50" w:after="120" w:afterLines="50" w:line="400" w:lineRule="exact"/>
              <w:jc w:val="left"/>
              <w:rPr>
                <w:rFonts w:ascii="宋体" w:hAnsi="宋体" w:cs="宋体"/>
                <w:color w:val="auto"/>
                <w:sz w:val="24"/>
                <w:highlight w:val="none"/>
              </w:rPr>
            </w:pPr>
          </w:p>
        </w:tc>
        <w:tc>
          <w:tcPr>
            <w:tcW w:w="1426" w:type="dxa"/>
            <w:tcBorders>
              <w:top w:val="single" w:color="auto" w:sz="4" w:space="0"/>
              <w:left w:val="single" w:color="auto" w:sz="4" w:space="0"/>
              <w:bottom w:val="single" w:color="auto" w:sz="4" w:space="0"/>
              <w:right w:val="single" w:color="auto" w:sz="4" w:space="0"/>
            </w:tcBorders>
          </w:tcPr>
          <w:p w14:paraId="023254B0">
            <w:pPr>
              <w:snapToGrid w:val="0"/>
              <w:spacing w:before="50" w:after="120" w:afterLines="50" w:line="400" w:lineRule="exact"/>
              <w:jc w:val="left"/>
              <w:rPr>
                <w:rFonts w:ascii="宋体" w:hAnsi="宋体" w:cs="宋体"/>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tcPr>
          <w:p w14:paraId="453419DB">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A0F9267">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1503327E">
            <w:pPr>
              <w:snapToGrid w:val="0"/>
              <w:spacing w:before="50" w:after="120" w:afterLines="50" w:line="400" w:lineRule="exact"/>
              <w:jc w:val="left"/>
              <w:rPr>
                <w:rFonts w:ascii="宋体" w:hAnsi="宋体" w:cs="宋体"/>
                <w:color w:val="auto"/>
                <w:sz w:val="24"/>
                <w:highlight w:val="none"/>
              </w:rPr>
            </w:pPr>
          </w:p>
        </w:tc>
      </w:tr>
      <w:tr w14:paraId="0CA6F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47957F2D">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4BDC228">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38FA24C">
            <w:pPr>
              <w:snapToGrid w:val="0"/>
              <w:spacing w:before="50" w:after="120" w:afterLines="50" w:line="400" w:lineRule="exact"/>
              <w:jc w:val="left"/>
              <w:rPr>
                <w:rFonts w:ascii="宋体" w:hAnsi="宋体" w:cs="宋体"/>
                <w:color w:val="auto"/>
                <w:sz w:val="24"/>
                <w:highlight w:val="none"/>
              </w:rPr>
            </w:pPr>
          </w:p>
        </w:tc>
        <w:tc>
          <w:tcPr>
            <w:tcW w:w="1426" w:type="dxa"/>
            <w:tcBorders>
              <w:top w:val="single" w:color="auto" w:sz="4" w:space="0"/>
              <w:left w:val="single" w:color="auto" w:sz="4" w:space="0"/>
              <w:bottom w:val="single" w:color="auto" w:sz="4" w:space="0"/>
              <w:right w:val="single" w:color="auto" w:sz="4" w:space="0"/>
            </w:tcBorders>
          </w:tcPr>
          <w:p w14:paraId="6942BF02">
            <w:pPr>
              <w:snapToGrid w:val="0"/>
              <w:spacing w:before="50" w:after="120" w:afterLines="50" w:line="400" w:lineRule="exact"/>
              <w:jc w:val="left"/>
              <w:rPr>
                <w:rFonts w:ascii="宋体" w:hAnsi="宋体" w:cs="宋体"/>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tcPr>
          <w:p w14:paraId="4F3A833B">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607CA76">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4996ED6A">
            <w:pPr>
              <w:snapToGrid w:val="0"/>
              <w:spacing w:before="50" w:after="120" w:afterLines="50" w:line="400" w:lineRule="exact"/>
              <w:jc w:val="left"/>
              <w:rPr>
                <w:rFonts w:ascii="宋体" w:hAnsi="宋体" w:cs="宋体"/>
                <w:color w:val="auto"/>
                <w:sz w:val="24"/>
                <w:highlight w:val="none"/>
              </w:rPr>
            </w:pPr>
          </w:p>
        </w:tc>
      </w:tr>
    </w:tbl>
    <w:p w14:paraId="542E7399">
      <w:pPr>
        <w:snapToGrid w:val="0"/>
        <w:spacing w:line="360" w:lineRule="auto"/>
        <w:rPr>
          <w:rFonts w:hint="eastAsia" w:ascii="宋体" w:hAnsi="宋体" w:cs="宋体"/>
          <w:color w:val="auto"/>
          <w:szCs w:val="21"/>
          <w:highlight w:val="none"/>
        </w:rPr>
      </w:pPr>
    </w:p>
    <w:p w14:paraId="6BA9004A">
      <w:pPr>
        <w:autoSpaceDE w:val="0"/>
        <w:autoSpaceDN w:val="0"/>
        <w:spacing w:line="360" w:lineRule="auto"/>
        <w:ind w:firstLine="12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注：</w:t>
      </w:r>
      <w:r>
        <w:rPr>
          <w:rFonts w:hint="eastAsia" w:ascii="宋体" w:hAnsi="宋体" w:cs="宋体"/>
          <w:b/>
          <w:bCs/>
          <w:color w:val="auto"/>
          <w:sz w:val="24"/>
          <w:szCs w:val="24"/>
          <w:highlight w:val="none"/>
        </w:rPr>
        <w:t>项目业绩一览表</w:t>
      </w:r>
      <w:r>
        <w:rPr>
          <w:rFonts w:hint="eastAsia" w:ascii="宋体" w:hAnsi="宋体" w:cs="宋体"/>
          <w:b/>
          <w:bCs/>
          <w:color w:val="auto"/>
          <w:sz w:val="24"/>
          <w:szCs w:val="24"/>
          <w:highlight w:val="none"/>
          <w:lang w:val="en-US" w:eastAsia="zh-CN"/>
        </w:rPr>
        <w:t>按采购文件第四章业绩要求附证明材料，加盖单位电子公章。</w:t>
      </w:r>
    </w:p>
    <w:p w14:paraId="761F13AB">
      <w:pPr>
        <w:snapToGrid w:val="0"/>
        <w:spacing w:line="360" w:lineRule="auto"/>
        <w:rPr>
          <w:rFonts w:ascii="宋体" w:hAnsi="宋体" w:cs="宋体"/>
          <w:color w:val="auto"/>
          <w:szCs w:val="21"/>
          <w:highlight w:val="none"/>
        </w:rPr>
      </w:pPr>
    </w:p>
    <w:p w14:paraId="52CFF48D">
      <w:pP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p>
    <w:p w14:paraId="6FEAD3A4">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十</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rPr>
        <w:t>对应采购需求的服务需求、商务条款提供的其他文件资料；</w:t>
      </w:r>
    </w:p>
    <w:p w14:paraId="2783A0CC">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十一、</w:t>
      </w:r>
      <w:r>
        <w:rPr>
          <w:rFonts w:hint="eastAsia" w:ascii="宋体" w:hAnsi="宋体" w:cs="宋体"/>
          <w:b/>
          <w:color w:val="auto"/>
          <w:sz w:val="30"/>
          <w:szCs w:val="30"/>
          <w:highlight w:val="none"/>
        </w:rPr>
        <w:t>供应商认为需要提供的其他有关资料。</w:t>
      </w:r>
    </w:p>
    <w:p w14:paraId="776B7AE7">
      <w:pPr>
        <w:widowControl/>
        <w:spacing w:line="360" w:lineRule="auto"/>
        <w:jc w:val="left"/>
        <w:rPr>
          <w:rFonts w:ascii="宋体" w:hAnsi="宋体" w:cs="宋体"/>
          <w:b/>
          <w:bCs/>
          <w:color w:val="auto"/>
          <w:sz w:val="24"/>
          <w:highlight w:val="none"/>
        </w:rPr>
        <w:sectPr>
          <w:pgSz w:w="11910" w:h="16840"/>
          <w:pgMar w:top="1340" w:right="1500" w:bottom="280" w:left="1680" w:header="720" w:footer="720" w:gutter="0"/>
          <w:cols w:space="720" w:num="1"/>
        </w:sectPr>
      </w:pPr>
    </w:p>
    <w:p w14:paraId="4019BDA1">
      <w:pPr>
        <w:autoSpaceDE w:val="0"/>
        <w:autoSpaceDN w:val="0"/>
        <w:spacing w:line="360" w:lineRule="auto"/>
        <w:ind w:firstLine="6505" w:firstLineChars="2700"/>
        <w:rPr>
          <w:rFonts w:ascii="宋体" w:hAnsi="宋体" w:cs="宋体"/>
          <w:b/>
          <w:bCs/>
          <w:color w:val="auto"/>
          <w:sz w:val="24"/>
          <w:highlight w:val="none"/>
        </w:rPr>
      </w:pPr>
    </w:p>
    <w:p w14:paraId="02DF6EDD">
      <w:pPr>
        <w:pStyle w:val="3"/>
        <w:jc w:val="center"/>
        <w:rPr>
          <w:rFonts w:ascii="宋体" w:hAnsi="宋体" w:cs="宋体"/>
          <w:color w:val="auto"/>
          <w:highlight w:val="none"/>
        </w:rPr>
      </w:pPr>
      <w:bookmarkStart w:id="84" w:name="_Toc32512"/>
      <w:bookmarkStart w:id="85" w:name="_Toc80205941"/>
      <w:r>
        <w:rPr>
          <w:rFonts w:hint="eastAsia" w:ascii="宋体" w:hAnsi="宋体" w:cs="宋体"/>
          <w:color w:val="auto"/>
          <w:highlight w:val="none"/>
        </w:rPr>
        <w:t>第</w:t>
      </w:r>
      <w:r>
        <w:rPr>
          <w:rFonts w:hint="eastAsia" w:ascii="宋体" w:hAnsi="宋体" w:cs="宋体"/>
          <w:color w:val="auto"/>
          <w:highlight w:val="none"/>
          <w:lang w:val="en-US" w:eastAsia="zh-CN"/>
        </w:rPr>
        <w:t>三</w:t>
      </w:r>
      <w:r>
        <w:rPr>
          <w:rFonts w:hint="eastAsia" w:ascii="宋体" w:hAnsi="宋体" w:cs="宋体"/>
          <w:color w:val="auto"/>
          <w:highlight w:val="none"/>
        </w:rPr>
        <w:t>节 报价文件格式</w:t>
      </w:r>
      <w:bookmarkEnd w:id="84"/>
      <w:bookmarkEnd w:id="85"/>
    </w:p>
    <w:p w14:paraId="75D5E4DE">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4580064">
      <w:pPr>
        <w:snapToGrid w:val="0"/>
        <w:spacing w:before="120" w:beforeLines="50" w:after="50"/>
        <w:rPr>
          <w:rFonts w:ascii="宋体" w:hAnsi="宋体" w:cs="宋体"/>
          <w:color w:val="auto"/>
          <w:sz w:val="24"/>
          <w:szCs w:val="20"/>
          <w:highlight w:val="none"/>
        </w:rPr>
      </w:pPr>
    </w:p>
    <w:p w14:paraId="3FA33DB3">
      <w:pPr>
        <w:snapToGrid w:val="0"/>
        <w:spacing w:before="120" w:beforeLines="50" w:after="50"/>
        <w:rPr>
          <w:rFonts w:ascii="宋体" w:hAnsi="宋体" w:cs="宋体"/>
          <w:color w:val="auto"/>
          <w:sz w:val="24"/>
          <w:szCs w:val="20"/>
          <w:highlight w:val="none"/>
        </w:rPr>
      </w:pPr>
    </w:p>
    <w:p w14:paraId="4F0F48AE">
      <w:pPr>
        <w:snapToGrid w:val="0"/>
        <w:spacing w:before="120" w:beforeLines="50" w:after="50"/>
        <w:rPr>
          <w:rFonts w:ascii="宋体" w:hAnsi="宋体" w:cs="宋体"/>
          <w:color w:val="auto"/>
          <w:sz w:val="24"/>
          <w:szCs w:val="20"/>
          <w:highlight w:val="none"/>
        </w:rPr>
      </w:pPr>
    </w:p>
    <w:p w14:paraId="4371CBD3">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13653562">
      <w:pPr>
        <w:snapToGrid w:val="0"/>
        <w:spacing w:before="120" w:beforeLines="50" w:after="50"/>
        <w:rPr>
          <w:rFonts w:ascii="宋体" w:hAnsi="宋体" w:cs="宋体"/>
          <w:bCs/>
          <w:color w:val="auto"/>
          <w:sz w:val="24"/>
          <w:szCs w:val="20"/>
          <w:highlight w:val="none"/>
        </w:rPr>
      </w:pPr>
    </w:p>
    <w:p w14:paraId="4D35A0E7">
      <w:pPr>
        <w:snapToGrid w:val="0"/>
        <w:spacing w:before="120" w:beforeLines="50" w:after="50"/>
        <w:rPr>
          <w:rFonts w:ascii="宋体" w:hAnsi="宋体" w:cs="宋体"/>
          <w:bCs/>
          <w:color w:val="auto"/>
          <w:sz w:val="24"/>
          <w:szCs w:val="20"/>
          <w:highlight w:val="none"/>
        </w:rPr>
      </w:pPr>
    </w:p>
    <w:p w14:paraId="5F173285">
      <w:pPr>
        <w:snapToGrid w:val="0"/>
        <w:spacing w:before="120" w:beforeLines="50" w:after="50"/>
        <w:rPr>
          <w:rFonts w:ascii="宋体" w:hAnsi="宋体" w:cs="宋体"/>
          <w:bCs/>
          <w:color w:val="auto"/>
          <w:sz w:val="24"/>
          <w:szCs w:val="20"/>
          <w:highlight w:val="none"/>
        </w:rPr>
      </w:pPr>
    </w:p>
    <w:p w14:paraId="3E0AF470">
      <w:pPr>
        <w:snapToGrid w:val="0"/>
        <w:spacing w:before="120" w:beforeLines="50" w:after="50"/>
        <w:rPr>
          <w:rFonts w:ascii="宋体" w:hAnsi="宋体" w:cs="宋体"/>
          <w:bCs/>
          <w:color w:val="auto"/>
          <w:sz w:val="24"/>
          <w:szCs w:val="20"/>
          <w:highlight w:val="none"/>
        </w:rPr>
      </w:pPr>
    </w:p>
    <w:p w14:paraId="7D74A3A6">
      <w:pPr>
        <w:snapToGrid w:val="0"/>
        <w:spacing w:before="120" w:beforeLines="50" w:after="50"/>
        <w:rPr>
          <w:rFonts w:ascii="宋体" w:hAnsi="宋体" w:cs="宋体"/>
          <w:bCs/>
          <w:color w:val="auto"/>
          <w:sz w:val="24"/>
          <w:szCs w:val="20"/>
          <w:highlight w:val="none"/>
        </w:rPr>
      </w:pPr>
    </w:p>
    <w:p w14:paraId="7CBD16A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6" w:name="PO_3000001868_PM002_9"/>
      <w:r>
        <w:rPr>
          <w:rFonts w:hint="eastAsia" w:ascii="宋体" w:hAnsi="宋体" w:cs="宋体"/>
          <w:bCs/>
          <w:color w:val="auto"/>
          <w:sz w:val="32"/>
          <w:szCs w:val="32"/>
          <w:highlight w:val="none"/>
        </w:rPr>
        <w:t>[项目名称]</w:t>
      </w:r>
      <w:bookmarkEnd w:id="86"/>
    </w:p>
    <w:p w14:paraId="38E3852A">
      <w:pPr>
        <w:snapToGrid w:val="0"/>
        <w:spacing w:before="120" w:beforeLines="50" w:after="50"/>
        <w:ind w:firstLine="720" w:firstLineChars="225"/>
        <w:rPr>
          <w:rFonts w:ascii="宋体" w:hAnsi="宋体" w:cs="宋体"/>
          <w:bCs/>
          <w:color w:val="auto"/>
          <w:sz w:val="32"/>
          <w:szCs w:val="32"/>
          <w:highlight w:val="none"/>
        </w:rPr>
      </w:pPr>
    </w:p>
    <w:p w14:paraId="482D227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7" w:name="PO_3000001868_PM001_9"/>
      <w:r>
        <w:rPr>
          <w:rFonts w:hint="eastAsia" w:ascii="宋体" w:hAnsi="宋体" w:cs="宋体"/>
          <w:bCs/>
          <w:color w:val="auto"/>
          <w:sz w:val="32"/>
          <w:szCs w:val="32"/>
          <w:highlight w:val="none"/>
        </w:rPr>
        <w:t>[项目编号]</w:t>
      </w:r>
      <w:bookmarkEnd w:id="87"/>
    </w:p>
    <w:p w14:paraId="4E3A918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5B61CB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268D73C">
      <w:pPr>
        <w:snapToGrid w:val="0"/>
        <w:spacing w:before="120" w:beforeLines="50" w:after="50"/>
        <w:ind w:firstLine="720" w:firstLineChars="225"/>
        <w:rPr>
          <w:rFonts w:ascii="宋体" w:hAnsi="宋体" w:cs="宋体"/>
          <w:bCs/>
          <w:color w:val="auto"/>
          <w:sz w:val="32"/>
          <w:szCs w:val="32"/>
          <w:highlight w:val="none"/>
        </w:rPr>
      </w:pPr>
    </w:p>
    <w:p w14:paraId="790272E0">
      <w:pPr>
        <w:pStyle w:val="9"/>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29F7A24">
      <w:pPr>
        <w:pStyle w:val="9"/>
        <w:snapToGrid w:val="0"/>
        <w:spacing w:before="50" w:after="50"/>
        <w:ind w:firstLine="720" w:firstLineChars="225"/>
        <w:rPr>
          <w:rFonts w:ascii="宋体" w:hAnsi="宋体" w:cs="宋体"/>
          <w:bCs/>
          <w:color w:val="auto"/>
          <w:sz w:val="32"/>
          <w:szCs w:val="32"/>
          <w:highlight w:val="none"/>
        </w:rPr>
      </w:pPr>
    </w:p>
    <w:p w14:paraId="0C5AB9E6">
      <w:pPr>
        <w:pStyle w:val="9"/>
        <w:snapToGrid w:val="0"/>
        <w:spacing w:before="50" w:after="50"/>
        <w:ind w:firstLine="720" w:firstLineChars="225"/>
        <w:rPr>
          <w:rFonts w:ascii="宋体" w:hAnsi="宋体" w:cs="宋体"/>
          <w:bCs/>
          <w:color w:val="auto"/>
          <w:sz w:val="32"/>
          <w:szCs w:val="32"/>
          <w:highlight w:val="none"/>
        </w:rPr>
      </w:pPr>
    </w:p>
    <w:p w14:paraId="4D70CF82">
      <w:pPr>
        <w:pStyle w:val="9"/>
        <w:snapToGrid w:val="0"/>
        <w:spacing w:before="50" w:after="50"/>
        <w:ind w:firstLine="1280" w:firstLineChars="400"/>
        <w:rPr>
          <w:rFonts w:ascii="宋体" w:hAnsi="宋体" w:cs="宋体"/>
          <w:bCs/>
          <w:color w:val="auto"/>
          <w:sz w:val="32"/>
          <w:szCs w:val="32"/>
          <w:highlight w:val="none"/>
        </w:rPr>
      </w:pPr>
    </w:p>
    <w:p w14:paraId="6B4B50FC">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F92A858">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72D7D323">
      <w:pPr>
        <w:rPr>
          <w:rFonts w:ascii="宋体" w:hAnsi="宋体" w:cs="宋体"/>
          <w:color w:val="auto"/>
          <w:highlight w:val="none"/>
        </w:rPr>
      </w:pPr>
    </w:p>
    <w:p w14:paraId="702CA9E0">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6AE39F70">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301FA5D8">
      <w:pPr>
        <w:snapToGrid w:val="0"/>
        <w:spacing w:before="120" w:beforeLines="50" w:after="50"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kern w:val="0"/>
          <w:sz w:val="24"/>
          <w:highlight w:val="none"/>
          <w:lang w:val="en-US" w:eastAsia="zh-CN"/>
        </w:rPr>
        <w:t>已标价工程量清单</w:t>
      </w:r>
      <w:r>
        <w:rPr>
          <w:rFonts w:hint="eastAsia" w:ascii="宋体" w:hAnsi="宋体" w:cs="宋体"/>
          <w:color w:val="auto"/>
          <w:kern w:val="0"/>
          <w:sz w:val="24"/>
          <w:highlight w:val="none"/>
        </w:rPr>
        <w:t>………………………</w:t>
      </w:r>
      <w:r>
        <w:rPr>
          <w:rFonts w:hint="eastAsia" w:ascii="宋体" w:hAnsi="宋体" w:cs="宋体"/>
          <w:color w:val="auto"/>
          <w:sz w:val="24"/>
          <w:highlight w:val="none"/>
          <w:lang w:val="en-US" w:eastAsia="zh-CN"/>
        </w:rPr>
        <w:t>（页码）</w:t>
      </w: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18D5A8BA">
      <w:pPr>
        <w:pStyle w:val="16"/>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691227E6">
      <w:pPr>
        <w:pStyle w:val="16"/>
        <w:spacing w:line="360" w:lineRule="auto"/>
        <w:rPr>
          <w:rFonts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bookmarkStart w:id="88" w:name="PO_3000001868_PM031_4"/>
      <w:r>
        <w:rPr>
          <w:rFonts w:hint="eastAsia" w:hAnsi="宋体" w:cs="宋体"/>
          <w:color w:val="auto"/>
          <w:sz w:val="21"/>
          <w:szCs w:val="21"/>
          <w:highlight w:val="none"/>
          <w:u w:val="single"/>
        </w:rPr>
        <w:t>[</w:t>
      </w:r>
      <w:r>
        <w:rPr>
          <w:rFonts w:hint="eastAsia" w:hAnsi="宋体" w:cs="宋体"/>
          <w:color w:val="auto"/>
          <w:sz w:val="21"/>
          <w:szCs w:val="21"/>
          <w:highlight w:val="none"/>
          <w:u w:val="single"/>
          <w:lang w:val="en-US" w:eastAsia="zh-CN"/>
        </w:rPr>
        <w:t>采购人</w:t>
      </w:r>
      <w:r>
        <w:rPr>
          <w:rFonts w:hint="eastAsia" w:hAnsi="宋体" w:cs="宋体"/>
          <w:color w:val="auto"/>
          <w:sz w:val="21"/>
          <w:szCs w:val="21"/>
          <w:highlight w:val="none"/>
          <w:u w:val="single"/>
        </w:rPr>
        <w:t>]</w:t>
      </w:r>
      <w:bookmarkEnd w:id="88"/>
      <w:r>
        <w:rPr>
          <w:rFonts w:hint="eastAsia" w:hAnsi="宋体" w:cs="宋体"/>
          <w:color w:val="auto"/>
          <w:sz w:val="21"/>
          <w:szCs w:val="21"/>
          <w:highlight w:val="none"/>
          <w:u w:val="single"/>
        </w:rPr>
        <w:t xml:space="preserve"> </w:t>
      </w:r>
    </w:p>
    <w:p w14:paraId="6B4627F4">
      <w:pPr>
        <w:pStyle w:val="16"/>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我方已仔细阅读了贵方组织的</w:t>
      </w:r>
      <w:r>
        <w:rPr>
          <w:rFonts w:hint="eastAsia" w:hAnsi="宋体" w:cs="宋体"/>
          <w:color w:val="auto"/>
          <w:sz w:val="21"/>
          <w:szCs w:val="21"/>
          <w:highlight w:val="none"/>
          <w:u w:val="single"/>
        </w:rPr>
        <w:t xml:space="preserve"> </w:t>
      </w:r>
      <w:bookmarkStart w:id="89" w:name="PO_3000001868_PM002_10"/>
      <w:r>
        <w:rPr>
          <w:rFonts w:hint="eastAsia" w:hAnsi="宋体" w:cs="宋体"/>
          <w:color w:val="auto"/>
          <w:sz w:val="21"/>
          <w:szCs w:val="21"/>
          <w:highlight w:val="none"/>
          <w:u w:val="single"/>
        </w:rPr>
        <w:t>[项目名称]</w:t>
      </w:r>
      <w:bookmarkEnd w:id="89"/>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项目（项目编号：</w:t>
      </w:r>
      <w:r>
        <w:rPr>
          <w:rFonts w:hint="eastAsia" w:hAnsi="宋体" w:cs="宋体"/>
          <w:color w:val="auto"/>
          <w:sz w:val="21"/>
          <w:szCs w:val="21"/>
          <w:highlight w:val="none"/>
          <w:u w:val="single"/>
        </w:rPr>
        <w:t xml:space="preserve">  </w:t>
      </w:r>
      <w:bookmarkStart w:id="90" w:name="PO_3000001868_PM001_10"/>
      <w:r>
        <w:rPr>
          <w:rFonts w:hint="eastAsia" w:hAnsi="宋体" w:cs="宋体"/>
          <w:color w:val="auto"/>
          <w:sz w:val="21"/>
          <w:szCs w:val="21"/>
          <w:highlight w:val="none"/>
          <w:u w:val="single"/>
        </w:rPr>
        <w:t>[项目编号]</w:t>
      </w:r>
      <w:bookmarkEnd w:id="90"/>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）的竞争性磋商采购文件的全部内容，现正式递交下述文件参加贵方组织的本次政府采购活动： </w:t>
      </w:r>
    </w:p>
    <w:p w14:paraId="47562EC7">
      <w:pPr>
        <w:pStyle w:val="16"/>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一、首次报价文件电子版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713CFE5E">
      <w:pPr>
        <w:pStyle w:val="16"/>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二、技术文件电子版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4D5AD9FD">
      <w:pPr>
        <w:pStyle w:val="16"/>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三、</w:t>
      </w:r>
      <w:r>
        <w:rPr>
          <w:rFonts w:hint="eastAsia" w:hAnsi="宋体" w:cs="宋体"/>
          <w:color w:val="auto"/>
          <w:sz w:val="21"/>
          <w:szCs w:val="21"/>
          <w:highlight w:val="none"/>
        </w:rPr>
        <w:t>商务文件电子版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供应商须知”提交的全部文件）；（商务技术文件已合并装订成册）；</w:t>
      </w:r>
    </w:p>
    <w:p w14:paraId="01771002">
      <w:pPr>
        <w:pStyle w:val="16"/>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四</w:t>
      </w:r>
      <w:r>
        <w:rPr>
          <w:rFonts w:hint="eastAsia" w:hAnsi="宋体" w:cs="宋体"/>
          <w:color w:val="auto"/>
          <w:sz w:val="21"/>
          <w:szCs w:val="21"/>
          <w:highlight w:val="none"/>
        </w:rPr>
        <w:t>、资格证明文件电子版（包含按“第三章供应商须知”提交的全部文件）；</w:t>
      </w:r>
    </w:p>
    <w:p w14:paraId="57DDB7DF">
      <w:pPr>
        <w:pStyle w:val="16"/>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据此函，签字人兹宣布：</w:t>
      </w:r>
    </w:p>
    <w:p w14:paraId="03D451C8">
      <w:pPr>
        <w:pStyle w:val="16"/>
        <w:spacing w:line="360" w:lineRule="auto"/>
        <w:ind w:firstLine="482"/>
        <w:rPr>
          <w:rFonts w:hint="eastAsia" w:hAnsi="宋体" w:eastAsia="宋体" w:cs="宋体"/>
          <w:color w:val="auto"/>
          <w:sz w:val="21"/>
          <w:szCs w:val="21"/>
          <w:highlight w:val="none"/>
          <w:lang w:eastAsia="zh-CN"/>
        </w:rPr>
      </w:pPr>
      <w:r>
        <w:rPr>
          <w:rFonts w:hint="eastAsia" w:hAnsi="宋体" w:cs="宋体"/>
          <w:color w:val="auto"/>
          <w:sz w:val="21"/>
          <w:szCs w:val="21"/>
          <w:highlight w:val="none"/>
        </w:rPr>
        <w:t>1、我方愿意以</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大写</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的竞标</w:t>
      </w:r>
      <w:r>
        <w:rPr>
          <w:rFonts w:hint="eastAsia" w:hAnsi="宋体" w:cs="宋体"/>
          <w:color w:val="auto"/>
          <w:sz w:val="21"/>
          <w:szCs w:val="21"/>
          <w:highlight w:val="none"/>
          <w:lang w:val="en-US" w:eastAsia="zh-CN"/>
        </w:rPr>
        <w:t>总</w:t>
      </w:r>
      <w:r>
        <w:rPr>
          <w:rFonts w:hint="eastAsia" w:hAnsi="宋体" w:cs="宋体"/>
          <w:color w:val="auto"/>
          <w:sz w:val="21"/>
          <w:szCs w:val="21"/>
          <w:highlight w:val="none"/>
        </w:rPr>
        <w:t>报价，</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（无分标时填写）：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none"/>
          <w:lang w:val="en-US" w:eastAsia="zh-CN"/>
        </w:rPr>
        <w:t>，</w:t>
      </w:r>
      <w:r>
        <w:rPr>
          <w:rFonts w:hint="eastAsia" w:hAnsi="宋体" w:cs="宋体"/>
          <w:color w:val="auto"/>
          <w:sz w:val="21"/>
          <w:szCs w:val="21"/>
          <w:highlight w:val="none"/>
        </w:rPr>
        <w:t>提供本项目竞争性磋商采购文件第二章“服务需求一览表”中相应的采购内容</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并</w:t>
      </w:r>
      <w:r>
        <w:rPr>
          <w:rFonts w:hint="eastAsia" w:hAnsi="宋体" w:cs="宋体"/>
          <w:color w:val="auto"/>
          <w:sz w:val="21"/>
          <w:szCs w:val="21"/>
          <w:highlight w:val="none"/>
          <w:lang w:eastAsia="zh-CN"/>
        </w:rPr>
        <w:t>按合同约定</w:t>
      </w:r>
      <w:r>
        <w:rPr>
          <w:rFonts w:hint="eastAsia" w:hAnsi="宋体" w:cs="宋体"/>
          <w:color w:val="auto"/>
          <w:sz w:val="21"/>
          <w:szCs w:val="21"/>
          <w:highlight w:val="none"/>
          <w:lang w:val="en-US" w:eastAsia="zh-CN"/>
        </w:rPr>
        <w:t>完成服务</w:t>
      </w:r>
      <w:r>
        <w:rPr>
          <w:rFonts w:hint="eastAsia" w:hAnsi="宋体" w:cs="宋体"/>
          <w:color w:val="auto"/>
          <w:sz w:val="21"/>
          <w:szCs w:val="21"/>
          <w:highlight w:val="none"/>
          <w:lang w:eastAsia="zh-CN"/>
        </w:rPr>
        <w:t>。</w:t>
      </w:r>
    </w:p>
    <w:p w14:paraId="55024592">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404D14B6">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3、我方在此声明，所递交的响应文件及有关资料内容完整、真实和准确。</w:t>
      </w:r>
    </w:p>
    <w:p w14:paraId="559BF1CF">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4、如本项目采购内容涉及须符合国家强制规定的，我方承诺我方本次竞标均符合国家有关强制规定。</w:t>
      </w:r>
    </w:p>
    <w:p w14:paraId="4373FF83">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64411E19">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6、我方已详细审核竞争性磋商采购文件，我方知道必须放弃提出含糊不清或误解问题的权利。</w:t>
      </w:r>
    </w:p>
    <w:p w14:paraId="36FE3D02">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7、我方承诺满足竞争性磋商采购文件第六章“合同文本”的条款，承担完成合同的责任和义务。</w:t>
      </w:r>
    </w:p>
    <w:p w14:paraId="739C7070">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8、我方同意应贵方要求提供与本竞标有关的任何数据或资料。若贵方需要，我方愿意提供我方作出的一切承诺的证明材料。</w:t>
      </w:r>
    </w:p>
    <w:p w14:paraId="4D3A4F56">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9、我方完全理解贵方不一定接受响应报价最低的竞标人为成交供应商的行为。</w:t>
      </w:r>
    </w:p>
    <w:p w14:paraId="7FDD46CD">
      <w:pPr>
        <w:pStyle w:val="16"/>
        <w:spacing w:line="360" w:lineRule="auto"/>
        <w:ind w:firstLine="482"/>
        <w:rPr>
          <w:rFonts w:hAnsi="宋体" w:cs="宋体"/>
          <w:color w:val="auto"/>
          <w:sz w:val="21"/>
          <w:szCs w:val="21"/>
          <w:highlight w:val="none"/>
        </w:rPr>
      </w:pPr>
      <w:r>
        <w:rPr>
          <w:rFonts w:hint="eastAsia" w:hAnsi="宋体" w:cs="宋体"/>
          <w:color w:val="auto"/>
          <w:sz w:val="21"/>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232A62B">
      <w:pPr>
        <w:pStyle w:val="16"/>
        <w:numPr>
          <w:ilvl w:val="0"/>
          <w:numId w:val="3"/>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提供虚假材料谋取中标、成交的；</w:t>
      </w:r>
    </w:p>
    <w:p w14:paraId="754C1474">
      <w:pPr>
        <w:pStyle w:val="16"/>
        <w:numPr>
          <w:ilvl w:val="0"/>
          <w:numId w:val="3"/>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采取不正当手段诋毁、排挤其他供应商的；</w:t>
      </w:r>
    </w:p>
    <w:p w14:paraId="62D2A32D">
      <w:pPr>
        <w:pStyle w:val="16"/>
        <w:numPr>
          <w:ilvl w:val="0"/>
          <w:numId w:val="3"/>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与采购人、其他供应商或者采购代理机构恶意串通的；</w:t>
      </w:r>
    </w:p>
    <w:p w14:paraId="75274E22">
      <w:pPr>
        <w:pStyle w:val="16"/>
        <w:numPr>
          <w:ilvl w:val="0"/>
          <w:numId w:val="3"/>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向采购人、采购代理机构行贿或者提供其他不正当利益的；</w:t>
      </w:r>
    </w:p>
    <w:p w14:paraId="496E045E">
      <w:pPr>
        <w:pStyle w:val="16"/>
        <w:numPr>
          <w:ilvl w:val="0"/>
          <w:numId w:val="3"/>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在采购过程中与采购人进行协商谈判的；</w:t>
      </w:r>
    </w:p>
    <w:p w14:paraId="2AE99FC9">
      <w:pPr>
        <w:pStyle w:val="16"/>
        <w:numPr>
          <w:ilvl w:val="0"/>
          <w:numId w:val="3"/>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拒绝有关部门监督检查或提供虚假情况的。</w:t>
      </w:r>
    </w:p>
    <w:p w14:paraId="4104862E">
      <w:pPr>
        <w:pStyle w:val="16"/>
        <w:spacing w:line="360" w:lineRule="auto"/>
        <w:ind w:firstLine="420"/>
        <w:rPr>
          <w:rFonts w:hAnsi="宋体" w:cs="宋体"/>
          <w:color w:val="auto"/>
          <w:sz w:val="21"/>
          <w:szCs w:val="21"/>
          <w:highlight w:val="none"/>
        </w:rPr>
      </w:pPr>
      <w:r>
        <w:rPr>
          <w:rFonts w:hint="eastAsia" w:hAnsi="宋体" w:cs="宋体"/>
          <w:color w:val="auto"/>
          <w:sz w:val="21"/>
          <w:szCs w:val="21"/>
          <w:highlight w:val="none"/>
        </w:rPr>
        <w:t>11.与本磋商有关的一切正式往来信函请寄：</w:t>
      </w:r>
    </w:p>
    <w:p w14:paraId="4FBD86B1">
      <w:pPr>
        <w:pStyle w:val="16"/>
        <w:spacing w:line="360" w:lineRule="auto"/>
        <w:ind w:firstLine="420"/>
        <w:rPr>
          <w:rFonts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633A1C8B">
      <w:pPr>
        <w:pStyle w:val="16"/>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p>
    <w:p w14:paraId="19E494B0">
      <w:pPr>
        <w:pStyle w:val="16"/>
        <w:spacing w:line="360" w:lineRule="auto"/>
        <w:ind w:firstLine="420"/>
        <w:rPr>
          <w:rFonts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u w:val="single"/>
        </w:rPr>
        <w:t>　　　　　　　　　　　　　　　　　　　　　　　　　　　　</w:t>
      </w:r>
    </w:p>
    <w:p w14:paraId="69A5C070">
      <w:pPr>
        <w:pStyle w:val="16"/>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邮政编码：</w:t>
      </w:r>
      <w:r>
        <w:rPr>
          <w:rFonts w:hint="eastAsia" w:hAnsi="宋体" w:cs="宋体"/>
          <w:color w:val="auto"/>
          <w:sz w:val="21"/>
          <w:szCs w:val="21"/>
          <w:highlight w:val="none"/>
          <w:u w:val="single"/>
        </w:rPr>
        <w:t xml:space="preserve">                                                    </w:t>
      </w:r>
    </w:p>
    <w:p w14:paraId="53E5BBC0">
      <w:pPr>
        <w:pStyle w:val="16"/>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14:paraId="128D9EFF">
      <w:pPr>
        <w:pStyle w:val="16"/>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14:paraId="2E601329">
      <w:pPr>
        <w:pStyle w:val="16"/>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银行账号：</w:t>
      </w:r>
      <w:r>
        <w:rPr>
          <w:rFonts w:hint="eastAsia" w:hAnsi="宋体" w:cs="宋体"/>
          <w:color w:val="auto"/>
          <w:sz w:val="21"/>
          <w:szCs w:val="21"/>
          <w:highlight w:val="none"/>
          <w:u w:val="single"/>
        </w:rPr>
        <w:t xml:space="preserve">                                                    </w:t>
      </w:r>
    </w:p>
    <w:p w14:paraId="6652FE19">
      <w:pPr>
        <w:pStyle w:val="14"/>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5C76FC74">
      <w:pPr>
        <w:spacing w:line="360" w:lineRule="auto"/>
        <w:jc w:val="left"/>
        <w:rPr>
          <w:rFonts w:ascii="宋体" w:hAnsi="宋体" w:cs="宋体"/>
          <w:color w:val="auto"/>
          <w:sz w:val="21"/>
          <w:szCs w:val="21"/>
          <w:highlight w:val="none"/>
        </w:rPr>
      </w:pPr>
    </w:p>
    <w:p w14:paraId="0D09D212">
      <w:pPr>
        <w:autoSpaceDE w:val="0"/>
        <w:autoSpaceDN w:val="0"/>
        <w:spacing w:line="360" w:lineRule="auto"/>
        <w:ind w:left="4305" w:leftChars="1950" w:hanging="210" w:hanging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499260FD">
      <w:pPr>
        <w:autoSpaceDE w:val="0"/>
        <w:autoSpaceDN w:val="0"/>
        <w:spacing w:line="360" w:lineRule="auto"/>
        <w:ind w:firstLine="5670" w:firstLineChars="27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479FA79D">
      <w:pPr>
        <w:widowControl/>
        <w:spacing w:line="360" w:lineRule="auto"/>
        <w:jc w:val="left"/>
        <w:rPr>
          <w:rFonts w:ascii="宋体" w:hAnsi="宋体" w:cs="宋体"/>
          <w:color w:val="auto"/>
          <w:kern w:val="0"/>
          <w:sz w:val="21"/>
          <w:szCs w:val="21"/>
          <w:highlight w:val="none"/>
          <w:lang w:val="zh-CN"/>
        </w:rPr>
        <w:sectPr>
          <w:pgSz w:w="11910" w:h="16840"/>
          <w:pgMar w:top="1340" w:right="1500" w:bottom="280" w:left="1680" w:header="720" w:footer="720" w:gutter="0"/>
          <w:cols w:space="720" w:num="1"/>
        </w:sectPr>
      </w:pPr>
    </w:p>
    <w:p w14:paraId="6169A2B6">
      <w:pPr>
        <w:autoSpaceDE w:val="0"/>
        <w:autoSpaceDN w:val="0"/>
        <w:spacing w:line="360" w:lineRule="auto"/>
        <w:ind w:firstLine="6480" w:firstLineChars="2700"/>
        <w:rPr>
          <w:rFonts w:ascii="宋体" w:hAnsi="宋体" w:cs="宋体"/>
          <w:color w:val="auto"/>
          <w:kern w:val="0"/>
          <w:sz w:val="24"/>
          <w:highlight w:val="none"/>
          <w:lang w:val="zh-CN"/>
        </w:rPr>
      </w:pPr>
    </w:p>
    <w:p w14:paraId="39F4AC1D">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5DC6D83E">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1" w:name="PO_3000001868_PM002_11"/>
      <w:r>
        <w:rPr>
          <w:rFonts w:hint="eastAsia" w:ascii="宋体" w:hAnsi="宋体" w:cs="宋体"/>
          <w:color w:val="auto"/>
          <w:sz w:val="24"/>
          <w:highlight w:val="none"/>
          <w:u w:val="single"/>
        </w:rPr>
        <w:t>[项目名称]</w:t>
      </w:r>
      <w:bookmarkEnd w:id="91"/>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2" w:name="PO_3000001868_PM001_11"/>
      <w:r>
        <w:rPr>
          <w:rFonts w:hint="eastAsia" w:ascii="宋体" w:hAnsi="宋体" w:cs="宋体"/>
          <w:color w:val="auto"/>
          <w:sz w:val="24"/>
          <w:highlight w:val="none"/>
          <w:u w:val="single"/>
        </w:rPr>
        <w:t>[项目编号]</w:t>
      </w:r>
      <w:bookmarkEnd w:id="92"/>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4103CE0">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7"/>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77B7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F02852E">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59E86125">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项目名称</w:t>
            </w:r>
          </w:p>
        </w:tc>
        <w:tc>
          <w:tcPr>
            <w:tcW w:w="2063" w:type="dxa"/>
            <w:tcBorders>
              <w:top w:val="single" w:color="auto" w:sz="4" w:space="0"/>
              <w:left w:val="single" w:color="auto" w:sz="4" w:space="0"/>
              <w:bottom w:val="single" w:color="auto" w:sz="4" w:space="0"/>
              <w:right w:val="single" w:color="auto" w:sz="4" w:space="0"/>
            </w:tcBorders>
            <w:vAlign w:val="center"/>
          </w:tcPr>
          <w:p w14:paraId="455A6841">
            <w:pPr>
              <w:jc w:val="center"/>
              <w:rPr>
                <w:rFonts w:hint="default" w:ascii="宋体" w:hAnsi="宋体" w:cs="宋体"/>
                <w:color w:val="auto"/>
                <w:szCs w:val="22"/>
                <w:highlight w:val="none"/>
                <w:lang w:val="en-US"/>
              </w:rPr>
            </w:pPr>
            <w:r>
              <w:rPr>
                <w:rFonts w:hint="eastAsia" w:ascii="宋体" w:hAnsi="宋体" w:cs="宋体"/>
                <w:color w:val="auto"/>
                <w:szCs w:val="22"/>
                <w:highlight w:val="none"/>
                <w:lang w:val="en-US" w:eastAsia="zh-CN"/>
              </w:rPr>
              <w:t>采购范围</w:t>
            </w:r>
          </w:p>
        </w:tc>
        <w:tc>
          <w:tcPr>
            <w:tcW w:w="1080" w:type="dxa"/>
            <w:tcBorders>
              <w:top w:val="single" w:color="auto" w:sz="4" w:space="0"/>
              <w:left w:val="single" w:color="auto" w:sz="4" w:space="0"/>
              <w:bottom w:val="single" w:color="auto" w:sz="4" w:space="0"/>
              <w:right w:val="single" w:color="auto" w:sz="4" w:space="0"/>
            </w:tcBorders>
            <w:vAlign w:val="center"/>
          </w:tcPr>
          <w:p w14:paraId="55E70ADE">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64469D36">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2A344883">
            <w:pPr>
              <w:jc w:val="center"/>
              <w:rPr>
                <w:rFonts w:hint="eastAsia" w:ascii="宋体" w:hAnsi="宋体" w:cs="宋体"/>
                <w:color w:val="auto"/>
                <w:szCs w:val="22"/>
                <w:highlight w:val="none"/>
              </w:rPr>
            </w:pPr>
            <w:r>
              <w:rPr>
                <w:rFonts w:hint="eastAsia" w:ascii="宋体" w:hAnsi="宋体" w:cs="宋体"/>
                <w:color w:val="auto"/>
                <w:szCs w:val="22"/>
                <w:highlight w:val="none"/>
              </w:rPr>
              <w:t>磋商</w:t>
            </w:r>
            <w:r>
              <w:rPr>
                <w:rFonts w:hint="eastAsia" w:ascii="宋体" w:hAnsi="宋体" w:cs="宋体"/>
                <w:color w:val="auto"/>
                <w:szCs w:val="22"/>
                <w:highlight w:val="none"/>
                <w:lang w:val="en-US" w:eastAsia="zh-CN"/>
              </w:rPr>
              <w:t>总</w:t>
            </w:r>
            <w:r>
              <w:rPr>
                <w:rFonts w:hint="eastAsia" w:ascii="宋体" w:hAnsi="宋体" w:cs="宋体"/>
                <w:color w:val="auto"/>
                <w:szCs w:val="22"/>
                <w:highlight w:val="none"/>
              </w:rPr>
              <w:t>报价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5A47378F">
            <w:pPr>
              <w:spacing w:line="360" w:lineRule="auto"/>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05FCBBFC">
            <w:pPr>
              <w:rPr>
                <w:rFonts w:ascii="宋体" w:hAnsi="宋体" w:cs="宋体"/>
                <w:color w:val="auto"/>
                <w:szCs w:val="22"/>
                <w:highlight w:val="none"/>
              </w:rPr>
            </w:pPr>
            <w:r>
              <w:rPr>
                <w:rFonts w:hint="eastAsia" w:ascii="宋体" w:hAnsi="宋体" w:cs="宋体"/>
                <w:color w:val="auto"/>
                <w:szCs w:val="22"/>
                <w:highlight w:val="none"/>
              </w:rPr>
              <w:t>备注</w:t>
            </w:r>
          </w:p>
        </w:tc>
      </w:tr>
      <w:tr w14:paraId="717B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EDB6272">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1</w:t>
            </w:r>
          </w:p>
        </w:tc>
        <w:tc>
          <w:tcPr>
            <w:tcW w:w="1259" w:type="dxa"/>
            <w:tcBorders>
              <w:top w:val="single" w:color="auto" w:sz="4" w:space="0"/>
              <w:left w:val="single" w:color="auto" w:sz="4" w:space="0"/>
              <w:bottom w:val="single" w:color="auto" w:sz="4" w:space="0"/>
              <w:right w:val="single" w:color="auto" w:sz="4" w:space="0"/>
            </w:tcBorders>
            <w:vAlign w:val="center"/>
          </w:tcPr>
          <w:p w14:paraId="291EEA45">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763D5D2C">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3BF31BA">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详见已标价的工程量清单</w:t>
            </w:r>
          </w:p>
        </w:tc>
        <w:tc>
          <w:tcPr>
            <w:tcW w:w="1289" w:type="dxa"/>
            <w:tcBorders>
              <w:top w:val="single" w:color="auto" w:sz="4" w:space="0"/>
              <w:left w:val="single" w:color="auto" w:sz="4" w:space="0"/>
              <w:bottom w:val="single" w:color="auto" w:sz="4" w:space="0"/>
              <w:right w:val="single" w:color="auto" w:sz="4" w:space="0"/>
            </w:tcBorders>
            <w:vAlign w:val="center"/>
          </w:tcPr>
          <w:p w14:paraId="7BA93459">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详见已标价的工程量清单</w:t>
            </w:r>
          </w:p>
        </w:tc>
        <w:tc>
          <w:tcPr>
            <w:tcW w:w="1290" w:type="dxa"/>
            <w:tcBorders>
              <w:top w:val="single" w:color="auto" w:sz="4" w:space="0"/>
              <w:left w:val="single" w:color="auto" w:sz="4" w:space="0"/>
              <w:bottom w:val="single" w:color="auto" w:sz="4" w:space="0"/>
              <w:right w:val="single" w:color="auto" w:sz="4" w:space="0"/>
            </w:tcBorders>
            <w:vAlign w:val="center"/>
          </w:tcPr>
          <w:p w14:paraId="606E8000">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B7AA517">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30CAB47">
            <w:pPr>
              <w:rPr>
                <w:rFonts w:ascii="宋体" w:hAnsi="宋体" w:cs="宋体"/>
                <w:color w:val="auto"/>
                <w:szCs w:val="22"/>
                <w:highlight w:val="none"/>
              </w:rPr>
            </w:pPr>
          </w:p>
        </w:tc>
      </w:tr>
      <w:tr w14:paraId="1041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70700358">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val="en-US" w:eastAsia="zh-CN"/>
              </w:rPr>
              <w:t>（大写）人民币         （￥       ）</w:t>
            </w:r>
            <w:r>
              <w:rPr>
                <w:rFonts w:hint="eastAsia" w:ascii="宋体" w:hAnsi="宋体" w:cs="宋体"/>
                <w:color w:val="auto"/>
                <w:szCs w:val="22"/>
                <w:highlight w:val="none"/>
              </w:rPr>
              <w:t xml:space="preserve">                            </w:t>
            </w:r>
          </w:p>
        </w:tc>
      </w:tr>
      <w:tr w14:paraId="4484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F36B485">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0123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5B4420B1">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验收标准</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r w14:paraId="2590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D605FDD">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bl>
    <w:p w14:paraId="32AA6E2C">
      <w:pPr>
        <w:snapToGrid w:val="0"/>
        <w:spacing w:before="50" w:after="50"/>
        <w:ind w:firstLine="480" w:firstLineChars="200"/>
        <w:jc w:val="left"/>
        <w:rPr>
          <w:rFonts w:hint="eastAsia" w:ascii="宋体" w:hAnsi="宋体" w:cs="宋体"/>
          <w:color w:val="auto"/>
          <w:kern w:val="0"/>
          <w:sz w:val="24"/>
          <w:highlight w:val="none"/>
          <w:lang w:val="zh-CN"/>
        </w:rPr>
      </w:pPr>
    </w:p>
    <w:p w14:paraId="09E4D686">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D8FD561">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60E039B8">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5A155FFA">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en-US" w:eastAsia="zh-CN"/>
        </w:rPr>
        <w:t>3</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C4FE013">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330B2B3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6D1CBC9">
      <w:pPr>
        <w:pStyle w:val="16"/>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3FF6745C">
      <w:pPr>
        <w:pStyle w:val="3"/>
        <w:jc w:val="both"/>
        <w:rPr>
          <w:rFonts w:hint="eastAsia" w:ascii="宋体" w:hAnsi="宋体" w:cs="宋体"/>
          <w:color w:val="auto"/>
          <w:highlight w:val="none"/>
        </w:rPr>
      </w:pPr>
      <w:bookmarkStart w:id="93" w:name="_Toc80205942"/>
      <w:bookmarkStart w:id="94" w:name="_Toc15428"/>
    </w:p>
    <w:p w14:paraId="66746E03">
      <w:pPr>
        <w:rPr>
          <w:rFonts w:hint="eastAsia" w:ascii="宋体" w:hAnsi="宋体" w:cs="宋体"/>
          <w:color w:val="auto"/>
          <w:highlight w:val="none"/>
        </w:rPr>
      </w:pPr>
      <w:r>
        <w:rPr>
          <w:rFonts w:hint="eastAsia" w:ascii="宋体" w:hAnsi="宋体" w:eastAsia="宋体" w:cs="宋体"/>
          <w:b/>
          <w:bCs/>
          <w:color w:val="auto"/>
          <w:sz w:val="32"/>
          <w:szCs w:val="32"/>
          <w:highlight w:val="none"/>
          <w:lang w:val="en-US" w:eastAsia="zh-CN"/>
        </w:rPr>
        <w:t>三、已标价工程量清单</w:t>
      </w:r>
    </w:p>
    <w:p w14:paraId="5170AD93">
      <w:pPr>
        <w:rPr>
          <w:rFonts w:hint="eastAsia" w:ascii="宋体" w:hAnsi="宋体" w:cs="宋体"/>
          <w:color w:val="auto"/>
          <w:highlight w:val="none"/>
        </w:rPr>
      </w:pPr>
    </w:p>
    <w:bookmarkEnd w:id="93"/>
    <w:bookmarkEnd w:id="94"/>
    <w:p w14:paraId="6C0FB452">
      <w:pPr>
        <w:spacing w:line="520" w:lineRule="exact"/>
        <w:jc w:val="center"/>
        <w:rPr>
          <w:rFonts w:ascii="宋体" w:hAnsi="宋体" w:cs="宋体"/>
          <w:color w:val="auto"/>
          <w:sz w:val="24"/>
          <w:highlight w:val="none"/>
        </w:rPr>
      </w:pPr>
    </w:p>
    <w:p w14:paraId="0034AFC3">
      <w:pPr>
        <w:spacing w:line="520" w:lineRule="exact"/>
        <w:jc w:val="center"/>
        <w:rPr>
          <w:rFonts w:ascii="宋体" w:hAnsi="宋体" w:cs="宋体"/>
          <w:color w:val="auto"/>
          <w:sz w:val="24"/>
          <w:highlight w:val="none"/>
        </w:rPr>
      </w:pPr>
    </w:p>
    <w:p w14:paraId="39821953">
      <w:pPr>
        <w:pStyle w:val="2"/>
        <w:jc w:val="center"/>
        <w:rPr>
          <w:rFonts w:hint="eastAsia" w:ascii="宋体" w:hAnsi="宋体" w:cs="宋体"/>
          <w:b w:val="0"/>
          <w:bCs w:val="0"/>
          <w:color w:val="auto"/>
          <w:highlight w:val="none"/>
        </w:rPr>
      </w:pPr>
      <w:bookmarkStart w:id="95" w:name="_Toc10609"/>
    </w:p>
    <w:p w14:paraId="252B2509">
      <w:pPr>
        <w:rPr>
          <w:rFonts w:hint="eastAsia" w:ascii="宋体" w:hAnsi="宋体" w:cs="宋体"/>
          <w:b w:val="0"/>
          <w:bCs w:val="0"/>
          <w:color w:val="auto"/>
          <w:highlight w:val="none"/>
        </w:rPr>
      </w:pPr>
    </w:p>
    <w:p w14:paraId="4CFC6BA0">
      <w:pPr>
        <w:rPr>
          <w:rFonts w:hint="eastAsia" w:ascii="宋体" w:hAnsi="宋体" w:cs="宋体"/>
          <w:b w:val="0"/>
          <w:bCs w:val="0"/>
          <w:color w:val="auto"/>
          <w:highlight w:val="none"/>
        </w:rPr>
      </w:pPr>
    </w:p>
    <w:p w14:paraId="4C809FF7">
      <w:pPr>
        <w:rPr>
          <w:rFonts w:hint="eastAsia" w:ascii="宋体" w:hAnsi="宋体" w:cs="宋体"/>
          <w:b w:val="0"/>
          <w:bCs w:val="0"/>
          <w:color w:val="auto"/>
          <w:highlight w:val="none"/>
        </w:rPr>
      </w:pPr>
    </w:p>
    <w:p w14:paraId="1DC774D7">
      <w:pPr>
        <w:rPr>
          <w:rFonts w:hint="eastAsia" w:ascii="宋体" w:hAnsi="宋体" w:cs="宋体"/>
          <w:b w:val="0"/>
          <w:bCs w:val="0"/>
          <w:color w:val="auto"/>
          <w:highlight w:val="none"/>
        </w:rPr>
      </w:pPr>
    </w:p>
    <w:p w14:paraId="27A8EB60">
      <w:pPr>
        <w:rPr>
          <w:rFonts w:hint="eastAsia" w:ascii="宋体" w:hAnsi="宋体" w:cs="宋体"/>
          <w:b w:val="0"/>
          <w:bCs w:val="0"/>
          <w:color w:val="auto"/>
          <w:highlight w:val="none"/>
        </w:rPr>
      </w:pPr>
    </w:p>
    <w:p w14:paraId="5FB8011E">
      <w:pPr>
        <w:rPr>
          <w:rFonts w:hint="eastAsia" w:ascii="宋体" w:hAnsi="宋体" w:cs="宋体"/>
          <w:b w:val="0"/>
          <w:bCs w:val="0"/>
          <w:color w:val="auto"/>
          <w:highlight w:val="none"/>
        </w:rPr>
      </w:pPr>
    </w:p>
    <w:p w14:paraId="34560D3D">
      <w:pPr>
        <w:pStyle w:val="2"/>
        <w:jc w:val="center"/>
        <w:rPr>
          <w:rFonts w:ascii="宋体" w:hAnsi="宋体" w:cs="宋体"/>
          <w:b w:val="0"/>
          <w:bCs w:val="0"/>
          <w:color w:val="auto"/>
          <w:highlight w:val="none"/>
        </w:rPr>
      </w:pPr>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95"/>
    </w:p>
    <w:p w14:paraId="7834E2E2">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359ED396">
      <w:pPr>
        <w:spacing w:line="360" w:lineRule="auto"/>
        <w:jc w:val="center"/>
        <w:rPr>
          <w:rFonts w:ascii="宋体" w:hAnsi="宋体" w:cs="宋体"/>
          <w:b/>
          <w:bCs/>
          <w:color w:val="auto"/>
          <w:sz w:val="52"/>
          <w:highlight w:val="none"/>
        </w:rPr>
      </w:pPr>
    </w:p>
    <w:p w14:paraId="7D711087">
      <w:pPr>
        <w:spacing w:line="360" w:lineRule="auto"/>
        <w:ind w:firstLine="420" w:firstLineChars="200"/>
        <w:rPr>
          <w:rFonts w:ascii="宋体" w:hAnsi="宋体" w:cs="宋体"/>
          <w:color w:val="auto"/>
          <w:highlight w:val="none"/>
        </w:rPr>
      </w:pPr>
    </w:p>
    <w:p w14:paraId="211F59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6200FA79">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96" w:name="PO_3000001868_PM002_15"/>
      <w:r>
        <w:rPr>
          <w:rFonts w:hint="eastAsia" w:ascii="宋体" w:hAnsi="宋体" w:cs="宋体"/>
          <w:b/>
          <w:bCs/>
          <w:color w:val="auto"/>
          <w:sz w:val="44"/>
          <w:highlight w:val="none"/>
          <w:u w:val="single"/>
        </w:rPr>
        <w:t>[项目名称]</w:t>
      </w:r>
      <w:bookmarkEnd w:id="96"/>
      <w:r>
        <w:rPr>
          <w:rFonts w:hint="eastAsia" w:ascii="宋体" w:hAnsi="宋体" w:cs="宋体"/>
          <w:b/>
          <w:bCs/>
          <w:color w:val="auto"/>
          <w:sz w:val="44"/>
          <w:highlight w:val="none"/>
        </w:rPr>
        <w:t>合同</w:t>
      </w:r>
    </w:p>
    <w:p w14:paraId="792C0B0E">
      <w:pPr>
        <w:spacing w:line="360" w:lineRule="auto"/>
        <w:jc w:val="center"/>
        <w:rPr>
          <w:rFonts w:ascii="宋体" w:hAnsi="宋体" w:cs="宋体"/>
          <w:b/>
          <w:bCs/>
          <w:color w:val="auto"/>
          <w:sz w:val="44"/>
          <w:highlight w:val="none"/>
        </w:rPr>
      </w:pPr>
    </w:p>
    <w:p w14:paraId="1B4A2676">
      <w:pPr>
        <w:spacing w:line="360" w:lineRule="auto"/>
        <w:ind w:firstLine="3507" w:firstLineChars="794"/>
        <w:rPr>
          <w:rFonts w:ascii="宋体" w:hAnsi="宋体" w:cs="宋体"/>
          <w:b/>
          <w:bCs/>
          <w:color w:val="auto"/>
          <w:sz w:val="44"/>
          <w:highlight w:val="none"/>
        </w:rPr>
      </w:pPr>
    </w:p>
    <w:p w14:paraId="2E519A26">
      <w:pPr>
        <w:spacing w:line="360" w:lineRule="auto"/>
        <w:ind w:firstLine="3507" w:firstLineChars="794"/>
        <w:rPr>
          <w:rFonts w:ascii="宋体" w:hAnsi="宋体" w:cs="宋体"/>
          <w:b/>
          <w:bCs/>
          <w:color w:val="auto"/>
          <w:sz w:val="44"/>
          <w:highlight w:val="none"/>
        </w:rPr>
      </w:pPr>
    </w:p>
    <w:p w14:paraId="0425B3B1">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bookmarkStart w:id="97" w:name="PO_3000001868_PM001_12"/>
      <w:r>
        <w:rPr>
          <w:rFonts w:hint="eastAsia" w:ascii="宋体" w:hAnsi="宋体" w:cs="宋体"/>
          <w:b/>
          <w:color w:val="auto"/>
          <w:sz w:val="36"/>
          <w:szCs w:val="36"/>
          <w:highlight w:val="none"/>
          <w:u w:val="single"/>
        </w:rPr>
        <w:t>[项目编号]</w:t>
      </w:r>
      <w:bookmarkEnd w:id="97"/>
      <w:r>
        <w:rPr>
          <w:rFonts w:hint="eastAsia" w:ascii="宋体" w:hAnsi="宋体" w:cs="宋体"/>
          <w:b/>
          <w:color w:val="auto"/>
          <w:sz w:val="36"/>
          <w:szCs w:val="36"/>
          <w:highlight w:val="none"/>
          <w:u w:val="single"/>
        </w:rPr>
        <w:t xml:space="preserve">  </w:t>
      </w:r>
    </w:p>
    <w:p w14:paraId="79EA4FD1">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bookmarkStart w:id="98" w:name="PO_3000001868_PM001WMC001"/>
      <w:r>
        <w:rPr>
          <w:rFonts w:hint="eastAsia" w:ascii="宋体" w:hAnsi="宋体" w:cs="宋体"/>
          <w:b/>
          <w:color w:val="auto"/>
          <w:sz w:val="36"/>
          <w:szCs w:val="36"/>
          <w:highlight w:val="none"/>
          <w:u w:val="single"/>
        </w:rPr>
        <w:t>[采购计划文号（5）]</w:t>
      </w:r>
      <w:bookmarkEnd w:id="98"/>
      <w:r>
        <w:rPr>
          <w:rFonts w:hint="eastAsia" w:ascii="宋体" w:hAnsi="宋体" w:cs="宋体"/>
          <w:b/>
          <w:color w:val="auto"/>
          <w:sz w:val="36"/>
          <w:szCs w:val="36"/>
          <w:highlight w:val="none"/>
          <w:u w:val="single"/>
        </w:rPr>
        <w:t xml:space="preserve"> </w:t>
      </w:r>
    </w:p>
    <w:p w14:paraId="74FE4C50">
      <w:pPr>
        <w:ind w:firstLine="1308" w:firstLineChars="545"/>
        <w:rPr>
          <w:rFonts w:ascii="宋体" w:hAnsi="宋体" w:cs="宋体"/>
          <w:color w:val="auto"/>
          <w:sz w:val="24"/>
          <w:highlight w:val="none"/>
        </w:rPr>
      </w:pPr>
    </w:p>
    <w:p w14:paraId="6A8A2243">
      <w:pPr>
        <w:ind w:firstLine="1995" w:firstLineChars="552"/>
        <w:rPr>
          <w:rFonts w:ascii="宋体" w:hAnsi="宋体" w:cs="宋体"/>
          <w:b/>
          <w:color w:val="auto"/>
          <w:sz w:val="36"/>
          <w:szCs w:val="36"/>
          <w:highlight w:val="none"/>
          <w:u w:val="single"/>
        </w:rPr>
      </w:pPr>
    </w:p>
    <w:p w14:paraId="7CBFAD0C">
      <w:pPr>
        <w:ind w:firstLine="1995" w:firstLineChars="552"/>
        <w:rPr>
          <w:rFonts w:ascii="宋体" w:hAnsi="宋体" w:cs="宋体"/>
          <w:b/>
          <w:color w:val="auto"/>
          <w:sz w:val="36"/>
          <w:szCs w:val="36"/>
          <w:highlight w:val="none"/>
          <w:u w:val="single"/>
        </w:rPr>
      </w:pPr>
    </w:p>
    <w:p w14:paraId="2EB8E4B5">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lang w:val="en-US" w:eastAsia="zh-CN"/>
        </w:rPr>
        <w:t>发包人</w:t>
      </w:r>
      <w:r>
        <w:rPr>
          <w:rFonts w:hint="eastAsia" w:ascii="宋体" w:hAnsi="宋体" w:cs="宋体"/>
          <w:b/>
          <w:color w:val="auto"/>
          <w:sz w:val="36"/>
          <w:szCs w:val="36"/>
          <w:highlight w:val="none"/>
        </w:rPr>
        <w:t>：</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cs="宋体"/>
          <w:b/>
          <w:color w:val="auto"/>
          <w:sz w:val="36"/>
          <w:szCs w:val="36"/>
          <w:highlight w:val="none"/>
          <w:u w:val="single"/>
        </w:rPr>
        <w:t xml:space="preserve"> </w:t>
      </w:r>
    </w:p>
    <w:p w14:paraId="392D716E">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lang w:val="en-US" w:eastAsia="zh-CN"/>
        </w:rPr>
        <w:t>承包人</w:t>
      </w:r>
      <w:r>
        <w:rPr>
          <w:rFonts w:hint="eastAsia" w:ascii="宋体" w:hAnsi="宋体" w:cs="宋体"/>
          <w:b/>
          <w:color w:val="auto"/>
          <w:sz w:val="36"/>
          <w:szCs w:val="36"/>
          <w:highlight w:val="none"/>
        </w:rPr>
        <w:t>：</w:t>
      </w:r>
      <w:r>
        <w:rPr>
          <w:rFonts w:hint="eastAsia" w:ascii="宋体" w:hAnsi="宋体" w:cs="宋体"/>
          <w:b/>
          <w:color w:val="auto"/>
          <w:sz w:val="36"/>
          <w:szCs w:val="36"/>
          <w:highlight w:val="none"/>
          <w:u w:val="single"/>
        </w:rPr>
        <w:t xml:space="preserve">                   </w:t>
      </w:r>
    </w:p>
    <w:p w14:paraId="5F58E727">
      <w:pPr>
        <w:tabs>
          <w:tab w:val="left" w:pos="7380"/>
        </w:tabs>
        <w:spacing w:line="360" w:lineRule="auto"/>
        <w:rPr>
          <w:rFonts w:ascii="宋体" w:hAnsi="宋体" w:cs="宋体"/>
          <w:b/>
          <w:bCs/>
          <w:color w:val="auto"/>
          <w:sz w:val="44"/>
          <w:highlight w:val="none"/>
        </w:rPr>
      </w:pPr>
    </w:p>
    <w:p w14:paraId="58216F00">
      <w:pPr>
        <w:tabs>
          <w:tab w:val="left" w:pos="7380"/>
        </w:tabs>
        <w:spacing w:line="360" w:lineRule="auto"/>
        <w:rPr>
          <w:rFonts w:ascii="宋体" w:hAnsi="宋体" w:cs="宋体"/>
          <w:b/>
          <w:bCs/>
          <w:color w:val="auto"/>
          <w:sz w:val="44"/>
          <w:highlight w:val="none"/>
        </w:rPr>
      </w:pPr>
    </w:p>
    <w:p w14:paraId="368D37A2">
      <w:pPr>
        <w:tabs>
          <w:tab w:val="left" w:pos="7380"/>
        </w:tabs>
        <w:spacing w:line="360" w:lineRule="auto"/>
        <w:ind w:firstLine="2640" w:firstLineChars="1100"/>
        <w:jc w:val="both"/>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6851A632">
      <w:pPr>
        <w:snapToGrid w:val="0"/>
        <w:spacing w:line="360" w:lineRule="auto"/>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6E8E72FF">
      <w:pPr>
        <w:keepNext/>
        <w:keepLines/>
        <w:pageBreakBefore w:val="0"/>
        <w:widowControl w:val="0"/>
        <w:kinsoku/>
        <w:wordWrap/>
        <w:overflowPunct/>
        <w:topLinePunct w:val="0"/>
        <w:autoSpaceDE/>
        <w:autoSpaceDN/>
        <w:bidi w:val="0"/>
        <w:adjustRightInd/>
        <w:snapToGrid/>
        <w:spacing w:line="360" w:lineRule="auto"/>
        <w:jc w:val="center"/>
        <w:textAlignment w:val="auto"/>
        <w:outlineLvl w:val="1"/>
        <w:rPr>
          <w:b/>
          <w:bCs/>
          <w:color w:val="auto"/>
          <w:sz w:val="28"/>
          <w:szCs w:val="28"/>
          <w:highlight w:val="none"/>
        </w:rPr>
      </w:pPr>
      <w:r>
        <w:rPr>
          <w:b/>
          <w:bCs/>
          <w:color w:val="auto"/>
          <w:sz w:val="28"/>
          <w:szCs w:val="28"/>
          <w:highlight w:val="none"/>
        </w:rPr>
        <w:t>第一部分合同协议书</w:t>
      </w:r>
    </w:p>
    <w:p w14:paraId="64C620BB">
      <w:pPr>
        <w:tabs>
          <w:tab w:val="left" w:pos="7380"/>
        </w:tabs>
        <w:spacing w:line="360" w:lineRule="auto"/>
        <w:rPr>
          <w:rFonts w:hAnsi="宋体" w:cs="宋体"/>
          <w:color w:val="auto"/>
          <w:highlight w:val="none"/>
          <w:u w:val="single"/>
        </w:rPr>
      </w:pPr>
      <w:r>
        <w:rPr>
          <w:rFonts w:hint="eastAsia" w:hAnsi="宋体" w:cs="宋体"/>
          <w:color w:val="auto"/>
          <w:highlight w:val="none"/>
        </w:rPr>
        <w:t>发包人（全称）：</w:t>
      </w:r>
    </w:p>
    <w:p w14:paraId="394CA789">
      <w:pPr>
        <w:tabs>
          <w:tab w:val="left" w:pos="7380"/>
        </w:tabs>
        <w:spacing w:line="360" w:lineRule="auto"/>
        <w:rPr>
          <w:rFonts w:hint="eastAsia" w:ascii="Times New Roman" w:hAnsi="宋体" w:eastAsia="宋体" w:cs="宋体"/>
          <w:color w:val="auto"/>
          <w:highlight w:val="none"/>
        </w:rPr>
      </w:pPr>
      <w:r>
        <w:rPr>
          <w:rFonts w:hint="eastAsia" w:ascii="Times New Roman" w:hAnsi="宋体" w:eastAsia="宋体" w:cs="宋体"/>
          <w:color w:val="auto"/>
          <w:highlight w:val="none"/>
        </w:rPr>
        <w:t>承包人（全称）：</w:t>
      </w:r>
    </w:p>
    <w:p w14:paraId="070AEF38">
      <w:pPr>
        <w:spacing w:line="440" w:lineRule="exact"/>
        <w:ind w:firstLine="420" w:firstLineChars="200"/>
        <w:rPr>
          <w:rFonts w:hAnsi="宋体"/>
          <w:color w:val="auto"/>
          <w:highlight w:val="none"/>
        </w:rPr>
      </w:pPr>
      <w:r>
        <w:rPr>
          <w:rFonts w:hint="eastAsia" w:hAnsi="宋体" w:cs="宋体"/>
          <w:color w:val="auto"/>
          <w:highlight w:val="none"/>
        </w:rPr>
        <w:t>根据《中华人民共和国民法典》、《中华人民共和国建筑法》及有关法律规定，遵循平等、自愿、公平和诚实信用的原则，双方就</w:t>
      </w:r>
      <w:r>
        <w:rPr>
          <w:rFonts w:hint="eastAsia" w:cs="Times New Roman"/>
          <w:b/>
          <w:color w:val="auto"/>
          <w:highlight w:val="none"/>
          <w:u w:val="single"/>
          <w:lang w:val="en-US" w:eastAsia="zh-CN"/>
        </w:rPr>
        <w:t>靖西市第十幼儿园大门、围墙和室外活动场地工程</w:t>
      </w:r>
      <w:r>
        <w:rPr>
          <w:rFonts w:hint="eastAsia" w:hAnsi="宋体" w:cs="宋体"/>
          <w:color w:val="auto"/>
          <w:highlight w:val="none"/>
        </w:rPr>
        <w:t>施工及有关事项协商一致，共同达成如下协议：</w:t>
      </w:r>
      <w:bookmarkStart w:id="99" w:name="_Toc351203481"/>
    </w:p>
    <w:p w14:paraId="61F2F35D">
      <w:pPr>
        <w:spacing w:line="440" w:lineRule="exact"/>
        <w:ind w:firstLine="422" w:firstLineChars="200"/>
        <w:outlineLvl w:val="0"/>
        <w:rPr>
          <w:b/>
          <w:bCs/>
          <w:color w:val="auto"/>
          <w:highlight w:val="none"/>
        </w:rPr>
      </w:pPr>
      <w:bookmarkStart w:id="100" w:name="_Toc120869339"/>
      <w:r>
        <w:rPr>
          <w:rFonts w:hint="eastAsia" w:hAnsi="宋体" w:cs="宋体"/>
          <w:b/>
          <w:bCs/>
          <w:color w:val="auto"/>
          <w:highlight w:val="none"/>
        </w:rPr>
        <w:t>一、工程概况</w:t>
      </w:r>
      <w:bookmarkEnd w:id="99"/>
      <w:bookmarkEnd w:id="100"/>
    </w:p>
    <w:p w14:paraId="0DFCA71F">
      <w:pPr>
        <w:spacing w:line="440" w:lineRule="exact"/>
        <w:ind w:firstLine="411" w:firstLineChars="196"/>
        <w:rPr>
          <w:color w:val="auto"/>
          <w:highlight w:val="none"/>
          <w:u w:val="single"/>
        </w:rPr>
      </w:pPr>
      <w:r>
        <w:rPr>
          <w:color w:val="auto"/>
          <w:highlight w:val="none"/>
        </w:rPr>
        <w:t xml:space="preserve">1. </w:t>
      </w:r>
      <w:r>
        <w:rPr>
          <w:rFonts w:hint="eastAsia" w:hAnsi="宋体" w:cs="宋体"/>
          <w:color w:val="auto"/>
          <w:highlight w:val="none"/>
        </w:rPr>
        <w:t>工程名称：</w:t>
      </w:r>
      <w:r>
        <w:rPr>
          <w:rFonts w:hint="eastAsia" w:cs="Times New Roman"/>
          <w:b/>
          <w:color w:val="auto"/>
          <w:highlight w:val="none"/>
          <w:u w:val="single"/>
          <w:lang w:val="en-US" w:eastAsia="zh-CN"/>
        </w:rPr>
        <w:t>靖西市第十幼儿园大门、围墙和室外活动场地工程</w:t>
      </w:r>
      <w:r>
        <w:rPr>
          <w:rFonts w:hint="eastAsia" w:hAnsi="宋体" w:cs="宋体"/>
          <w:color w:val="auto"/>
          <w:highlight w:val="none"/>
        </w:rPr>
        <w:t>。</w:t>
      </w:r>
    </w:p>
    <w:p w14:paraId="66E759EA">
      <w:pPr>
        <w:spacing w:line="440" w:lineRule="exact"/>
        <w:ind w:firstLine="411" w:firstLineChars="196"/>
        <w:rPr>
          <w:color w:val="auto"/>
          <w:highlight w:val="none"/>
        </w:rPr>
      </w:pPr>
      <w:r>
        <w:rPr>
          <w:color w:val="auto"/>
          <w:highlight w:val="none"/>
        </w:rPr>
        <w:t xml:space="preserve">2. </w:t>
      </w:r>
      <w:r>
        <w:rPr>
          <w:rFonts w:hint="eastAsia" w:hAnsi="宋体" w:cs="宋体"/>
          <w:color w:val="auto"/>
          <w:highlight w:val="none"/>
        </w:rPr>
        <w:t>工程地点：</w:t>
      </w:r>
      <w:r>
        <w:rPr>
          <w:rFonts w:hint="eastAsia" w:cs="Times New Roman"/>
          <w:b/>
          <w:color w:val="auto"/>
          <w:highlight w:val="none"/>
          <w:u w:val="single"/>
          <w:lang w:val="en-US" w:eastAsia="zh-CN"/>
        </w:rPr>
        <w:t>靖西市第十幼儿园</w:t>
      </w:r>
      <w:r>
        <w:rPr>
          <w:rFonts w:hint="eastAsia" w:hAnsi="宋体" w:cs="宋体"/>
          <w:color w:val="auto"/>
          <w:highlight w:val="none"/>
        </w:rPr>
        <w:t>。</w:t>
      </w:r>
    </w:p>
    <w:p w14:paraId="14744A44">
      <w:pPr>
        <w:spacing w:line="440" w:lineRule="exact"/>
        <w:ind w:firstLine="411" w:firstLineChars="196"/>
        <w:rPr>
          <w:color w:val="auto"/>
          <w:highlight w:val="none"/>
        </w:rPr>
      </w:pPr>
      <w:r>
        <w:rPr>
          <w:color w:val="auto"/>
          <w:highlight w:val="none"/>
        </w:rPr>
        <w:t xml:space="preserve">3. </w:t>
      </w:r>
      <w:r>
        <w:rPr>
          <w:rFonts w:hint="eastAsia" w:hAnsi="宋体" w:cs="宋体"/>
          <w:color w:val="auto"/>
          <w:highlight w:val="none"/>
        </w:rPr>
        <w:t>工程立项批准文号：</w:t>
      </w:r>
      <w:r>
        <w:rPr>
          <w:rFonts w:hint="eastAsia" w:hAnsi="宋体" w:cs="宋体"/>
          <w:color w:val="auto"/>
          <w:highlight w:val="none"/>
          <w:u w:val="single"/>
        </w:rPr>
        <w:t xml:space="preserve"> /</w:t>
      </w:r>
      <w:r>
        <w:rPr>
          <w:rFonts w:hint="eastAsia" w:hAnsi="宋体" w:cs="宋体"/>
          <w:color w:val="auto"/>
          <w:highlight w:val="none"/>
        </w:rPr>
        <w:t>。</w:t>
      </w:r>
    </w:p>
    <w:p w14:paraId="51123EF1">
      <w:pPr>
        <w:spacing w:line="440" w:lineRule="exact"/>
        <w:ind w:firstLine="411" w:firstLineChars="196"/>
        <w:rPr>
          <w:color w:val="auto"/>
          <w:highlight w:val="none"/>
        </w:rPr>
      </w:pPr>
      <w:r>
        <w:rPr>
          <w:color w:val="auto"/>
          <w:highlight w:val="none"/>
        </w:rPr>
        <w:t xml:space="preserve">4. </w:t>
      </w:r>
      <w:r>
        <w:rPr>
          <w:rFonts w:hint="eastAsia" w:hAnsi="宋体" w:cs="宋体"/>
          <w:color w:val="auto"/>
          <w:highlight w:val="none"/>
        </w:rPr>
        <w:t>资金来源：</w:t>
      </w:r>
      <w:r>
        <w:rPr>
          <w:rFonts w:hint="eastAsia" w:hAnsi="宋体" w:cs="宋体"/>
          <w:color w:val="auto"/>
          <w:highlight w:val="none"/>
          <w:u w:val="single"/>
          <w:lang w:val="en-US" w:eastAsia="zh-CN"/>
        </w:rPr>
        <w:t xml:space="preserve">  财政资金       </w:t>
      </w:r>
      <w:r>
        <w:rPr>
          <w:rFonts w:hint="eastAsia" w:hAnsi="宋体" w:cs="宋体"/>
          <w:color w:val="auto"/>
          <w:highlight w:val="none"/>
          <w:lang w:val="en-US" w:eastAsia="zh-CN"/>
        </w:rPr>
        <w:t xml:space="preserve"> </w:t>
      </w:r>
      <w:r>
        <w:rPr>
          <w:rFonts w:hint="eastAsia" w:hAnsi="宋体" w:cs="宋体"/>
          <w:color w:val="auto"/>
          <w:highlight w:val="none"/>
        </w:rPr>
        <w:t>。</w:t>
      </w:r>
    </w:p>
    <w:p w14:paraId="7114466E">
      <w:pPr>
        <w:spacing w:line="440" w:lineRule="exact"/>
        <w:ind w:firstLine="420" w:firstLineChars="200"/>
        <w:contextualSpacing/>
        <w:rPr>
          <w:color w:val="auto"/>
          <w:highlight w:val="none"/>
        </w:rPr>
      </w:pPr>
      <w:r>
        <w:rPr>
          <w:color w:val="auto"/>
          <w:highlight w:val="none"/>
        </w:rPr>
        <w:t xml:space="preserve">5. </w:t>
      </w:r>
      <w:r>
        <w:rPr>
          <w:rFonts w:hint="eastAsia" w:ascii="宋体" w:hAnsi="宋体" w:cs="宋体"/>
          <w:color w:val="auto"/>
          <w:szCs w:val="21"/>
          <w:highlight w:val="none"/>
        </w:rPr>
        <w:t>工程项目概况：</w:t>
      </w:r>
      <w:r>
        <w:rPr>
          <w:rFonts w:hint="eastAsia" w:hAnsi="宋体" w:cs="宋体"/>
          <w:color w:val="auto"/>
          <w:highlight w:val="none"/>
          <w:u w:val="single"/>
          <w:lang w:val="en-US" w:eastAsia="zh-CN"/>
        </w:rPr>
        <w:t>靖西市第十幼儿园大门、围墙和室外活动场地工程，采购内容包含大门拆除及重建、围墙拆除及重建、新建戏水池、沙池、树池工程、地面硬化工程、新建路缘石、挡土墙及护栏工程等</w:t>
      </w:r>
      <w:r>
        <w:rPr>
          <w:rFonts w:hint="eastAsia" w:ascii="Times New Roman" w:hAnsi="宋体" w:eastAsia="宋体" w:cs="宋体"/>
          <w:color w:val="auto"/>
          <w:highlight w:val="none"/>
          <w:u w:val="single"/>
          <w:lang w:val="en-US" w:eastAsia="zh-CN"/>
        </w:rPr>
        <w:t>。</w:t>
      </w:r>
    </w:p>
    <w:p w14:paraId="28808F7E">
      <w:pPr>
        <w:spacing w:line="440" w:lineRule="exact"/>
        <w:ind w:firstLine="411" w:firstLineChars="196"/>
        <w:rPr>
          <w:rFonts w:hAnsi="宋体" w:cs="宋体"/>
          <w:color w:val="auto"/>
          <w:highlight w:val="none"/>
        </w:rPr>
      </w:pPr>
      <w:r>
        <w:rPr>
          <w:color w:val="auto"/>
          <w:highlight w:val="none"/>
        </w:rPr>
        <w:t xml:space="preserve">6. </w:t>
      </w:r>
      <w:r>
        <w:rPr>
          <w:rFonts w:hint="eastAsia" w:hAnsi="宋体" w:cs="宋体"/>
          <w:color w:val="auto"/>
          <w:highlight w:val="none"/>
        </w:rPr>
        <w:t>工程承包范围：</w:t>
      </w:r>
      <w:r>
        <w:rPr>
          <w:rFonts w:hint="eastAsia" w:hAnsi="宋体" w:cs="宋体"/>
          <w:color w:val="auto"/>
          <w:highlight w:val="none"/>
          <w:u w:val="single"/>
          <w:lang w:val="en-US" w:eastAsia="zh-CN"/>
        </w:rPr>
        <w:t>靖西市第十幼儿园大门、围墙和室外活动场地工程，采购内容包含大门拆除及重建、围墙拆除及重建、新建戏水池、沙池、树池工程、地面硬化工程、新建路缘石、挡土墙及护栏工程等。具体要求见本项目工程量清单及施工图纸。</w:t>
      </w:r>
    </w:p>
    <w:p w14:paraId="3D0D7B55">
      <w:pPr>
        <w:spacing w:line="440" w:lineRule="exact"/>
        <w:ind w:firstLine="420" w:firstLineChars="200"/>
        <w:contextualSpacing/>
        <w:rPr>
          <w:rFonts w:ascii="宋体" w:hAnsi="宋体" w:cs="宋体"/>
          <w:iCs/>
          <w:color w:val="auto"/>
          <w:szCs w:val="21"/>
          <w:highlight w:val="none"/>
        </w:rPr>
      </w:pPr>
      <w:r>
        <w:rPr>
          <w:rFonts w:hint="eastAsia"/>
          <w:color w:val="auto"/>
          <w:highlight w:val="none"/>
        </w:rPr>
        <w:t>7. 工程建设规模：</w:t>
      </w:r>
      <w:r>
        <w:rPr>
          <w:rFonts w:hint="eastAsia"/>
          <w:color w:val="auto"/>
          <w:highlight w:val="none"/>
          <w:u w:val="single"/>
          <w:lang w:eastAsia="zh-CN"/>
        </w:rPr>
        <w:t>靖西市第十幼儿园大门、围墙和室外活动场地工程，采购内容包含大门拆除及重建、围墙拆除及重建、新建戏水池、沙池、树池工程、地面硬化工程、新建路缘石、挡土墙及护栏工程等。具体要求见本项目工程量清单</w:t>
      </w:r>
      <w:r>
        <w:rPr>
          <w:rFonts w:hint="eastAsia" w:hAnsi="宋体" w:cs="宋体"/>
          <w:color w:val="auto"/>
          <w:highlight w:val="none"/>
          <w:u w:val="single"/>
          <w:lang w:val="en-US" w:eastAsia="zh-CN"/>
        </w:rPr>
        <w:t>及施工图纸。</w:t>
      </w:r>
    </w:p>
    <w:p w14:paraId="0EAA8996">
      <w:pPr>
        <w:spacing w:line="440" w:lineRule="exact"/>
        <w:ind w:firstLine="411" w:firstLineChars="196"/>
        <w:rPr>
          <w:color w:val="auto"/>
          <w:highlight w:val="none"/>
          <w:u w:val="single"/>
        </w:rPr>
      </w:pPr>
    </w:p>
    <w:p w14:paraId="7735100D">
      <w:pPr>
        <w:spacing w:line="440" w:lineRule="exact"/>
        <w:ind w:firstLine="407" w:firstLineChars="193"/>
        <w:outlineLvl w:val="0"/>
        <w:rPr>
          <w:b/>
          <w:bCs/>
          <w:color w:val="auto"/>
          <w:highlight w:val="none"/>
        </w:rPr>
      </w:pPr>
      <w:bookmarkStart w:id="101" w:name="_Toc351203482"/>
      <w:bookmarkStart w:id="102" w:name="_Toc120869340"/>
      <w:r>
        <w:rPr>
          <w:rFonts w:hint="eastAsia" w:hAnsi="宋体" w:cs="宋体"/>
          <w:b/>
          <w:bCs/>
          <w:color w:val="auto"/>
          <w:highlight w:val="none"/>
        </w:rPr>
        <w:t>二、合同工期</w:t>
      </w:r>
      <w:bookmarkEnd w:id="101"/>
      <w:bookmarkEnd w:id="102"/>
    </w:p>
    <w:p w14:paraId="6B0809A0">
      <w:pPr>
        <w:spacing w:line="440" w:lineRule="exact"/>
        <w:ind w:firstLine="459"/>
        <w:rPr>
          <w:rFonts w:hint="eastAsia" w:ascii="宋体" w:hAnsi="宋体" w:eastAsia="宋体" w:cs="宋体"/>
          <w:color w:val="auto"/>
          <w:highlight w:val="none"/>
        </w:rPr>
      </w:pPr>
      <w:r>
        <w:rPr>
          <w:rFonts w:hint="eastAsia" w:hAnsi="宋体" w:cs="宋体"/>
          <w:color w:val="auto"/>
          <w:highlight w:val="none"/>
        </w:rPr>
        <w:t>计划开工日期：</w:t>
      </w:r>
      <w:r>
        <w:rPr>
          <w:rFonts w:hint="eastAsia" w:ascii="宋体" w:hAnsi="宋体" w:eastAsia="宋体" w:cs="宋体"/>
          <w:color w:val="auto"/>
          <w:highlight w:val="none"/>
          <w:u w:val="single"/>
        </w:rPr>
        <w:t>202</w:t>
      </w:r>
      <w:r>
        <w:rPr>
          <w:rFonts w:hint="eastAsia" w:ascii="宋体" w:hAnsi="宋体" w:eastAsia="宋体" w:cs="宋体"/>
          <w:color w:val="auto"/>
          <w:highlight w:val="none"/>
          <w:u w:val="single"/>
          <w:lang w:val="en-US" w:eastAsia="zh-CN"/>
        </w:rPr>
        <w:t>6</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日。（具体以发包人书面通知为准）</w:t>
      </w:r>
    </w:p>
    <w:p w14:paraId="6C9FE1F8">
      <w:pPr>
        <w:spacing w:line="440" w:lineRule="exact"/>
        <w:ind w:firstLine="459"/>
        <w:rPr>
          <w:rFonts w:hint="eastAsia" w:ascii="宋体" w:hAnsi="宋体" w:eastAsia="宋体" w:cs="宋体"/>
          <w:color w:val="auto"/>
          <w:highlight w:val="none"/>
        </w:rPr>
      </w:pPr>
      <w:r>
        <w:rPr>
          <w:rFonts w:hint="eastAsia" w:ascii="宋体" w:hAnsi="宋体" w:eastAsia="宋体" w:cs="宋体"/>
          <w:color w:val="auto"/>
          <w:highlight w:val="none"/>
        </w:rPr>
        <w:t>计划竣工日期：</w:t>
      </w:r>
      <w:r>
        <w:rPr>
          <w:rFonts w:hint="eastAsia" w:ascii="宋体" w:hAnsi="宋体" w:eastAsia="宋体" w:cs="宋体"/>
          <w:color w:val="auto"/>
          <w:highlight w:val="none"/>
          <w:u w:val="single"/>
        </w:rPr>
        <w:t>202</w:t>
      </w:r>
      <w:r>
        <w:rPr>
          <w:rFonts w:hint="eastAsia" w:ascii="宋体" w:hAnsi="宋体" w:eastAsia="宋体" w:cs="宋体"/>
          <w:color w:val="auto"/>
          <w:highlight w:val="none"/>
          <w:u w:val="single"/>
          <w:lang w:val="en-US" w:eastAsia="zh-CN"/>
        </w:rPr>
        <w:t>6</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p>
    <w:p w14:paraId="23A8DC50">
      <w:pPr>
        <w:spacing w:line="440" w:lineRule="exact"/>
        <w:ind w:firstLine="459"/>
        <w:rPr>
          <w:rFonts w:hAnsi="宋体"/>
          <w:color w:val="auto"/>
          <w:highlight w:val="none"/>
        </w:rPr>
      </w:pPr>
      <w:r>
        <w:rPr>
          <w:rFonts w:hint="eastAsia" w:ascii="宋体" w:hAnsi="宋体" w:eastAsia="宋体" w:cs="宋体"/>
          <w:color w:val="auto"/>
          <w:highlight w:val="none"/>
        </w:rPr>
        <w:t>工期总日历天数：</w:t>
      </w:r>
      <w:r>
        <w:rPr>
          <w:rFonts w:hint="eastAsia" w:ascii="宋体" w:hAnsi="宋体" w:cs="宋体"/>
          <w:color w:val="auto"/>
          <w:highlight w:val="none"/>
          <w:u w:val="single"/>
          <w:lang w:val="en-US" w:eastAsia="zh-CN"/>
        </w:rPr>
        <w:t>60个</w:t>
      </w:r>
      <w:r>
        <w:rPr>
          <w:rFonts w:hint="eastAsia" w:ascii="宋体" w:hAnsi="宋体" w:eastAsia="宋体" w:cs="宋体"/>
          <w:color w:val="auto"/>
          <w:highlight w:val="none"/>
          <w:u w:val="single"/>
        </w:rPr>
        <w:t>日历日</w:t>
      </w:r>
      <w:r>
        <w:rPr>
          <w:rFonts w:hint="eastAsia" w:ascii="宋体" w:hAnsi="宋体" w:eastAsia="宋体" w:cs="宋体"/>
          <w:color w:val="auto"/>
          <w:highlight w:val="none"/>
        </w:rPr>
        <w:t>。</w:t>
      </w:r>
      <w:r>
        <w:rPr>
          <w:rFonts w:hint="eastAsia" w:hAnsi="宋体" w:cs="宋体"/>
          <w:color w:val="auto"/>
          <w:highlight w:val="none"/>
        </w:rPr>
        <w:t>工期总日历天数与根据前述计划开竣工日期计算的工期天数不一致的，以工期总日历天数为准。</w:t>
      </w:r>
    </w:p>
    <w:p w14:paraId="56CF046B">
      <w:pPr>
        <w:spacing w:line="440" w:lineRule="exact"/>
        <w:ind w:firstLine="459"/>
        <w:outlineLvl w:val="0"/>
        <w:rPr>
          <w:b/>
          <w:bCs/>
          <w:color w:val="auto"/>
          <w:highlight w:val="none"/>
        </w:rPr>
      </w:pPr>
      <w:bookmarkStart w:id="103" w:name="_Toc351203483"/>
      <w:bookmarkStart w:id="104" w:name="_Toc120869341"/>
      <w:r>
        <w:rPr>
          <w:rFonts w:hint="eastAsia" w:hAnsi="宋体" w:cs="宋体"/>
          <w:b/>
          <w:bCs/>
          <w:color w:val="auto"/>
          <w:highlight w:val="none"/>
        </w:rPr>
        <w:t>三、质量标准</w:t>
      </w:r>
      <w:bookmarkEnd w:id="103"/>
      <w:bookmarkEnd w:id="104"/>
    </w:p>
    <w:p w14:paraId="086B89D6">
      <w:pPr>
        <w:spacing w:line="440" w:lineRule="exact"/>
        <w:ind w:firstLine="459"/>
        <w:rPr>
          <w:rFonts w:hAnsi="宋体"/>
          <w:color w:val="auto"/>
          <w:highlight w:val="none"/>
        </w:rPr>
      </w:pPr>
      <w:r>
        <w:rPr>
          <w:rFonts w:hint="eastAsia" w:hAnsi="宋体" w:cs="宋体"/>
          <w:color w:val="auto"/>
          <w:highlight w:val="none"/>
        </w:rPr>
        <w:t>工程质量符合</w:t>
      </w:r>
      <w:r>
        <w:rPr>
          <w:rFonts w:hint="eastAsia" w:ascii="宋体" w:hAnsi="宋体" w:cs="宋体"/>
          <w:color w:val="auto"/>
          <w:highlight w:val="none"/>
          <w:u w:val="single"/>
        </w:rPr>
        <w:t>合格</w:t>
      </w:r>
      <w:r>
        <w:rPr>
          <w:rFonts w:hint="eastAsia" w:hAnsi="宋体" w:cs="宋体"/>
          <w:color w:val="auto"/>
          <w:highlight w:val="none"/>
        </w:rPr>
        <w:t>标准。</w:t>
      </w:r>
    </w:p>
    <w:p w14:paraId="1D79872D">
      <w:pPr>
        <w:spacing w:line="440" w:lineRule="exact"/>
        <w:ind w:firstLine="459"/>
        <w:outlineLvl w:val="0"/>
        <w:rPr>
          <w:rFonts w:hAnsi="宋体"/>
          <w:b/>
          <w:bCs/>
          <w:color w:val="auto"/>
          <w:highlight w:val="none"/>
        </w:rPr>
      </w:pPr>
      <w:bookmarkStart w:id="105" w:name="_Toc120869342"/>
      <w:bookmarkStart w:id="106" w:name="_Toc351203484"/>
      <w:r>
        <w:rPr>
          <w:rFonts w:hint="eastAsia" w:hAnsi="宋体" w:cs="宋体"/>
          <w:b/>
          <w:bCs/>
          <w:color w:val="auto"/>
          <w:highlight w:val="none"/>
        </w:rPr>
        <w:t>四、签约合同价与合同价格形式</w:t>
      </w:r>
      <w:bookmarkEnd w:id="105"/>
      <w:bookmarkEnd w:id="106"/>
    </w:p>
    <w:p w14:paraId="2AFA3AF4">
      <w:pPr>
        <w:spacing w:line="440" w:lineRule="exact"/>
        <w:ind w:firstLine="459"/>
        <w:rPr>
          <w:color w:val="auto"/>
          <w:highlight w:val="none"/>
        </w:rPr>
      </w:pPr>
      <w:bookmarkStart w:id="107" w:name="_Toc351203485"/>
      <w:bookmarkStart w:id="108" w:name="_Toc120869343"/>
      <w:r>
        <w:rPr>
          <w:color w:val="auto"/>
          <w:highlight w:val="none"/>
        </w:rPr>
        <w:t xml:space="preserve">1. </w:t>
      </w:r>
      <w:r>
        <w:rPr>
          <w:rFonts w:hint="eastAsia" w:hAnsi="宋体" w:cs="宋体"/>
          <w:color w:val="auto"/>
          <w:highlight w:val="none"/>
        </w:rPr>
        <w:t>签约合同价为：</w:t>
      </w:r>
    </w:p>
    <w:p w14:paraId="417C929F">
      <w:pPr>
        <w:spacing w:line="440" w:lineRule="exact"/>
        <w:ind w:firstLine="525" w:firstLineChars="250"/>
        <w:rPr>
          <w:rFonts w:hAnsi="宋体"/>
          <w:color w:val="auto"/>
          <w:highlight w:val="none"/>
        </w:rPr>
      </w:pPr>
      <w:r>
        <w:rPr>
          <w:rFonts w:hint="eastAsia" w:hAnsi="宋体" w:cs="宋体"/>
          <w:color w:val="auto"/>
          <w:highlight w:val="none"/>
        </w:rPr>
        <w:t>人民币（大写）</w:t>
      </w:r>
      <w:r>
        <w:rPr>
          <w:rFonts w:hint="eastAsia"/>
          <w:color w:val="auto"/>
          <w:highlight w:val="none"/>
        </w:rPr>
        <w:t>（</w:t>
      </w:r>
      <w:r>
        <w:rPr>
          <w:color w:val="auto"/>
          <w:highlight w:val="none"/>
        </w:rPr>
        <w:t>¥</w:t>
      </w:r>
      <w:r>
        <w:rPr>
          <w:rFonts w:hint="eastAsia" w:hAnsi="宋体"/>
          <w:color w:val="auto"/>
          <w:highlight w:val="none"/>
        </w:rPr>
        <w:t>元</w:t>
      </w:r>
      <w:r>
        <w:rPr>
          <w:rFonts w:hint="eastAsia"/>
          <w:color w:val="auto"/>
          <w:highlight w:val="none"/>
        </w:rPr>
        <w:t>）</w:t>
      </w:r>
      <w:r>
        <w:rPr>
          <w:rFonts w:hint="eastAsia" w:hAnsi="宋体" w:cs="宋体"/>
          <w:color w:val="auto"/>
          <w:highlight w:val="none"/>
        </w:rPr>
        <w:t>；</w:t>
      </w:r>
    </w:p>
    <w:p w14:paraId="568DF314">
      <w:pPr>
        <w:spacing w:line="440" w:lineRule="exact"/>
        <w:ind w:firstLine="525" w:firstLineChars="250"/>
        <w:rPr>
          <w:rFonts w:hAnsi="宋体"/>
          <w:color w:val="auto"/>
          <w:highlight w:val="none"/>
        </w:rPr>
      </w:pPr>
      <w:r>
        <w:rPr>
          <w:rFonts w:hint="eastAsia" w:hAnsi="宋体" w:cs="宋体"/>
          <w:color w:val="auto"/>
          <w:highlight w:val="none"/>
        </w:rPr>
        <w:t>其中：</w:t>
      </w:r>
    </w:p>
    <w:p w14:paraId="00B50719">
      <w:pPr>
        <w:spacing w:line="440" w:lineRule="exact"/>
        <w:ind w:firstLine="420" w:firstLineChars="200"/>
        <w:rPr>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）安全文明施工费：</w:t>
      </w:r>
    </w:p>
    <w:p w14:paraId="043EA632">
      <w:pPr>
        <w:spacing w:line="440" w:lineRule="exact"/>
        <w:ind w:left="420" w:leftChars="200" w:firstLine="525" w:firstLineChars="250"/>
        <w:rPr>
          <w:rFonts w:hAnsi="宋体"/>
          <w:color w:val="auto"/>
          <w:highlight w:val="none"/>
        </w:rPr>
      </w:pPr>
      <w:r>
        <w:rPr>
          <w:rFonts w:hint="eastAsia" w:hAnsi="宋体" w:cs="宋体"/>
          <w:color w:val="auto"/>
          <w:highlight w:val="none"/>
        </w:rPr>
        <w:t>人民币（大写）</w:t>
      </w:r>
      <w:r>
        <w:rPr>
          <w:rFonts w:hint="eastAsia"/>
          <w:color w:val="auto"/>
          <w:highlight w:val="none"/>
        </w:rPr>
        <w:t>（</w:t>
      </w:r>
      <w:r>
        <w:rPr>
          <w:color w:val="auto"/>
          <w:highlight w:val="none"/>
        </w:rPr>
        <w:t>¥</w:t>
      </w:r>
      <w:r>
        <w:rPr>
          <w:rFonts w:hint="eastAsia" w:hAnsi="宋体"/>
          <w:color w:val="auto"/>
          <w:highlight w:val="none"/>
        </w:rPr>
        <w:t>元</w:t>
      </w:r>
      <w:r>
        <w:rPr>
          <w:rFonts w:hint="eastAsia"/>
          <w:color w:val="auto"/>
          <w:highlight w:val="none"/>
        </w:rPr>
        <w:t>）</w:t>
      </w:r>
      <w:r>
        <w:rPr>
          <w:rFonts w:hint="eastAsia" w:hAnsi="宋体" w:cs="宋体"/>
          <w:color w:val="auto"/>
          <w:highlight w:val="none"/>
        </w:rPr>
        <w:t>；</w:t>
      </w:r>
    </w:p>
    <w:p w14:paraId="788BC89C">
      <w:pPr>
        <w:spacing w:line="440" w:lineRule="exact"/>
        <w:ind w:firstLine="420" w:firstLineChars="200"/>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）材料和工程设备暂估价金额：</w:t>
      </w:r>
    </w:p>
    <w:p w14:paraId="2284C44C">
      <w:pPr>
        <w:spacing w:line="440" w:lineRule="exact"/>
        <w:ind w:firstLine="945" w:firstLineChars="450"/>
        <w:rPr>
          <w:color w:val="auto"/>
          <w:highlight w:val="none"/>
        </w:rPr>
      </w:pPr>
      <w:r>
        <w:rPr>
          <w:rFonts w:hint="eastAsia" w:hAnsi="宋体" w:cs="宋体"/>
          <w:color w:val="auto"/>
          <w:highlight w:val="none"/>
        </w:rPr>
        <w:t>人民币（大写）</w:t>
      </w:r>
      <w:r>
        <w:rPr>
          <w:rFonts w:hint="eastAsia"/>
          <w:color w:val="auto"/>
          <w:highlight w:val="none"/>
        </w:rPr>
        <w:t>（</w:t>
      </w:r>
      <w:r>
        <w:rPr>
          <w:color w:val="auto"/>
          <w:highlight w:val="none"/>
        </w:rPr>
        <w:t>¥</w:t>
      </w:r>
      <w:r>
        <w:rPr>
          <w:rFonts w:hint="eastAsia" w:hAnsi="宋体"/>
          <w:color w:val="auto"/>
          <w:highlight w:val="none"/>
        </w:rPr>
        <w:t>元</w:t>
      </w:r>
      <w:r>
        <w:rPr>
          <w:rFonts w:hint="eastAsia"/>
          <w:color w:val="auto"/>
          <w:highlight w:val="none"/>
        </w:rPr>
        <w:t>）</w:t>
      </w:r>
      <w:r>
        <w:rPr>
          <w:rFonts w:hint="eastAsia" w:hAnsi="宋体" w:cs="宋体"/>
          <w:color w:val="auto"/>
          <w:highlight w:val="none"/>
        </w:rPr>
        <w:t>；</w:t>
      </w:r>
    </w:p>
    <w:p w14:paraId="16F7A577">
      <w:pPr>
        <w:spacing w:line="440" w:lineRule="exact"/>
        <w:ind w:firstLine="420" w:firstLineChars="200"/>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）专业工程暂估价金额：</w:t>
      </w:r>
    </w:p>
    <w:p w14:paraId="342DB0D6">
      <w:pPr>
        <w:spacing w:line="440" w:lineRule="exact"/>
        <w:ind w:firstLine="945" w:firstLineChars="450"/>
        <w:rPr>
          <w:color w:val="auto"/>
          <w:highlight w:val="none"/>
        </w:rPr>
      </w:pPr>
      <w:r>
        <w:rPr>
          <w:rFonts w:hint="eastAsia" w:hAnsi="宋体" w:cs="宋体"/>
          <w:color w:val="auto"/>
          <w:highlight w:val="none"/>
        </w:rPr>
        <w:t>人民币（大写）</w:t>
      </w:r>
      <w:r>
        <w:rPr>
          <w:rFonts w:hint="eastAsia"/>
          <w:color w:val="auto"/>
          <w:highlight w:val="none"/>
        </w:rPr>
        <w:t>（</w:t>
      </w:r>
      <w:r>
        <w:rPr>
          <w:color w:val="auto"/>
          <w:highlight w:val="none"/>
        </w:rPr>
        <w:t>¥</w:t>
      </w:r>
      <w:r>
        <w:rPr>
          <w:rFonts w:hint="eastAsia" w:hAnsi="宋体"/>
          <w:color w:val="auto"/>
          <w:highlight w:val="none"/>
        </w:rPr>
        <w:t>元</w:t>
      </w:r>
      <w:r>
        <w:rPr>
          <w:rFonts w:hint="eastAsia"/>
          <w:color w:val="auto"/>
          <w:highlight w:val="none"/>
        </w:rPr>
        <w:t>）</w:t>
      </w:r>
      <w:r>
        <w:rPr>
          <w:rFonts w:hint="eastAsia" w:hAnsi="宋体" w:cs="宋体"/>
          <w:color w:val="auto"/>
          <w:highlight w:val="none"/>
        </w:rPr>
        <w:t>；</w:t>
      </w:r>
    </w:p>
    <w:p w14:paraId="1642709D">
      <w:pPr>
        <w:spacing w:line="440" w:lineRule="exact"/>
        <w:ind w:firstLine="420" w:firstLineChars="200"/>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）暂列金额：</w:t>
      </w:r>
    </w:p>
    <w:p w14:paraId="28D042B9">
      <w:pPr>
        <w:spacing w:line="440" w:lineRule="exact"/>
        <w:ind w:firstLine="945" w:firstLineChars="450"/>
        <w:rPr>
          <w:rFonts w:hAnsi="宋体"/>
          <w:color w:val="auto"/>
          <w:highlight w:val="none"/>
        </w:rPr>
      </w:pPr>
      <w:r>
        <w:rPr>
          <w:rFonts w:hint="eastAsia" w:hAnsi="宋体" w:cs="宋体"/>
          <w:color w:val="auto"/>
          <w:highlight w:val="none"/>
        </w:rPr>
        <w:t>人民币（大写）</w:t>
      </w:r>
      <w:r>
        <w:rPr>
          <w:rFonts w:hint="eastAsia"/>
          <w:color w:val="auto"/>
          <w:highlight w:val="none"/>
        </w:rPr>
        <w:t>（</w:t>
      </w:r>
      <w:r>
        <w:rPr>
          <w:color w:val="auto"/>
          <w:highlight w:val="none"/>
        </w:rPr>
        <w:t>¥</w:t>
      </w:r>
      <w:r>
        <w:rPr>
          <w:rFonts w:hint="eastAsia" w:hAnsi="宋体"/>
          <w:color w:val="auto"/>
          <w:highlight w:val="none"/>
        </w:rPr>
        <w:t>元</w:t>
      </w:r>
      <w:r>
        <w:rPr>
          <w:rFonts w:hint="eastAsia"/>
          <w:color w:val="auto"/>
          <w:highlight w:val="none"/>
        </w:rPr>
        <w:t>）</w:t>
      </w:r>
      <w:r>
        <w:rPr>
          <w:rFonts w:hint="eastAsia" w:hAnsi="宋体" w:cs="宋体"/>
          <w:color w:val="auto"/>
          <w:highlight w:val="none"/>
        </w:rPr>
        <w:t>。</w:t>
      </w:r>
    </w:p>
    <w:p w14:paraId="71C31FB2">
      <w:pPr>
        <w:spacing w:line="440" w:lineRule="exact"/>
        <w:ind w:firstLine="420" w:firstLineChars="200"/>
        <w:rPr>
          <w:rFonts w:hAnsi="宋体"/>
          <w:color w:val="auto"/>
          <w:highlight w:val="none"/>
        </w:rPr>
      </w:pPr>
      <w:r>
        <w:rPr>
          <w:color w:val="auto"/>
          <w:highlight w:val="none"/>
        </w:rPr>
        <w:t xml:space="preserve">2. </w:t>
      </w:r>
      <w:r>
        <w:rPr>
          <w:rFonts w:hint="eastAsia" w:hAnsi="宋体" w:cs="宋体"/>
          <w:color w:val="auto"/>
          <w:highlight w:val="none"/>
        </w:rPr>
        <w:t>合同价格形式：</w:t>
      </w:r>
      <w:r>
        <w:rPr>
          <w:rFonts w:hint="eastAsia" w:hAnsi="宋体" w:cs="宋体"/>
          <w:color w:val="auto"/>
          <w:highlight w:val="none"/>
          <w:u w:val="single"/>
          <w:lang w:val="en-US" w:eastAsia="zh-CN"/>
        </w:rPr>
        <w:t>固定综合</w:t>
      </w:r>
      <w:r>
        <w:rPr>
          <w:rFonts w:hint="eastAsia"/>
          <w:color w:val="auto"/>
          <w:highlight w:val="none"/>
          <w:u w:val="single"/>
        </w:rPr>
        <w:t>单价合同</w:t>
      </w:r>
      <w:r>
        <w:rPr>
          <w:rFonts w:hint="eastAsia" w:hAnsi="宋体" w:cs="宋体"/>
          <w:color w:val="auto"/>
          <w:highlight w:val="none"/>
        </w:rPr>
        <w:t>。</w:t>
      </w:r>
    </w:p>
    <w:p w14:paraId="40D21FC8">
      <w:pPr>
        <w:spacing w:line="440" w:lineRule="exact"/>
        <w:ind w:firstLine="422" w:firstLineChars="200"/>
        <w:outlineLvl w:val="0"/>
        <w:rPr>
          <w:b/>
          <w:bCs/>
          <w:color w:val="auto"/>
          <w:highlight w:val="none"/>
        </w:rPr>
      </w:pPr>
      <w:r>
        <w:rPr>
          <w:rFonts w:hint="eastAsia" w:hAnsi="宋体" w:cs="宋体"/>
          <w:b/>
          <w:bCs/>
          <w:color w:val="auto"/>
          <w:highlight w:val="none"/>
        </w:rPr>
        <w:t>五、</w:t>
      </w:r>
      <w:bookmarkEnd w:id="107"/>
      <w:r>
        <w:rPr>
          <w:rFonts w:hint="eastAsia" w:hAnsi="宋体" w:cs="宋体"/>
          <w:b/>
          <w:bCs/>
          <w:color w:val="auto"/>
          <w:highlight w:val="none"/>
        </w:rPr>
        <w:t>项目经理</w:t>
      </w:r>
      <w:bookmarkEnd w:id="108"/>
    </w:p>
    <w:p w14:paraId="2C11A018">
      <w:pPr>
        <w:spacing w:line="440" w:lineRule="exact"/>
        <w:ind w:firstLine="420" w:firstLineChars="200"/>
        <w:rPr>
          <w:rFonts w:hAnsi="宋体"/>
          <w:color w:val="auto"/>
          <w:highlight w:val="none"/>
        </w:rPr>
      </w:pPr>
      <w:r>
        <w:rPr>
          <w:rFonts w:hint="eastAsia" w:hAnsi="宋体" w:cs="宋体"/>
          <w:color w:val="auto"/>
          <w:highlight w:val="none"/>
        </w:rPr>
        <w:t>承包人项目经理：。</w:t>
      </w:r>
      <w:r>
        <w:rPr>
          <w:rFonts w:hint="eastAsia" w:hAnsi="宋体"/>
          <w:color w:val="auto"/>
          <w:highlight w:val="none"/>
        </w:rPr>
        <w:t>承包人须向发包人提供该项目经理的资格证、职称证及身份证复印件作为留存（复印件需加盖承包人原色公章）</w:t>
      </w:r>
    </w:p>
    <w:p w14:paraId="429C20F1">
      <w:pPr>
        <w:spacing w:line="440" w:lineRule="exact"/>
        <w:ind w:firstLine="422" w:firstLineChars="200"/>
        <w:outlineLvl w:val="0"/>
        <w:rPr>
          <w:b/>
          <w:bCs/>
          <w:color w:val="auto"/>
          <w:highlight w:val="none"/>
        </w:rPr>
      </w:pPr>
      <w:bookmarkStart w:id="109" w:name="_Toc351203486"/>
      <w:bookmarkStart w:id="110" w:name="_Toc120869344"/>
      <w:r>
        <w:rPr>
          <w:rFonts w:hint="eastAsia" w:hAnsi="宋体" w:cs="宋体"/>
          <w:b/>
          <w:bCs/>
          <w:color w:val="auto"/>
          <w:highlight w:val="none"/>
        </w:rPr>
        <w:t>六、合同文件构成</w:t>
      </w:r>
      <w:bookmarkEnd w:id="109"/>
      <w:bookmarkEnd w:id="110"/>
    </w:p>
    <w:p w14:paraId="11F79834">
      <w:pPr>
        <w:spacing w:line="440" w:lineRule="exact"/>
        <w:ind w:firstLine="420" w:firstLineChars="200"/>
        <w:rPr>
          <w:color w:val="auto"/>
          <w:highlight w:val="none"/>
        </w:rPr>
      </w:pPr>
      <w:r>
        <w:rPr>
          <w:rFonts w:hint="eastAsia" w:hAnsi="宋体" w:cs="宋体"/>
          <w:color w:val="auto"/>
          <w:highlight w:val="none"/>
        </w:rPr>
        <w:t>本协议书与下列文件一起构成合同文件：</w:t>
      </w:r>
    </w:p>
    <w:p w14:paraId="0716294D">
      <w:pPr>
        <w:autoSpaceDE w:val="0"/>
        <w:autoSpaceDN w:val="0"/>
        <w:adjustRightInd w:val="0"/>
        <w:spacing w:line="440" w:lineRule="exact"/>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）成交通知书（如有）；</w:t>
      </w:r>
    </w:p>
    <w:p w14:paraId="290D432B">
      <w:pPr>
        <w:autoSpaceDE w:val="0"/>
        <w:autoSpaceDN w:val="0"/>
        <w:adjustRightInd w:val="0"/>
        <w:spacing w:line="440" w:lineRule="exact"/>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）响应函；</w:t>
      </w:r>
    </w:p>
    <w:p w14:paraId="34E258A2">
      <w:pPr>
        <w:autoSpaceDE w:val="0"/>
        <w:autoSpaceDN w:val="0"/>
        <w:adjustRightInd w:val="0"/>
        <w:spacing w:line="440" w:lineRule="exact"/>
        <w:ind w:firstLine="420" w:firstLineChars="200"/>
        <w:jc w:val="left"/>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）专用合同条款及其附件；</w:t>
      </w:r>
    </w:p>
    <w:p w14:paraId="1D84FA30">
      <w:pPr>
        <w:autoSpaceDE w:val="0"/>
        <w:autoSpaceDN w:val="0"/>
        <w:adjustRightInd w:val="0"/>
        <w:spacing w:line="440" w:lineRule="exact"/>
        <w:ind w:firstLine="420" w:firstLineChars="200"/>
        <w:jc w:val="left"/>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）通用合同条款；</w:t>
      </w:r>
    </w:p>
    <w:p w14:paraId="5610D8EC">
      <w:pPr>
        <w:autoSpaceDE w:val="0"/>
        <w:autoSpaceDN w:val="0"/>
        <w:adjustRightInd w:val="0"/>
        <w:spacing w:line="440" w:lineRule="exact"/>
        <w:ind w:firstLine="420" w:firstLineChars="200"/>
        <w:jc w:val="left"/>
        <w:rPr>
          <w:color w:val="auto"/>
          <w:highlight w:val="none"/>
        </w:rPr>
      </w:pPr>
      <w:r>
        <w:rPr>
          <w:rFonts w:hint="eastAsia" w:hAnsi="宋体" w:cs="宋体"/>
          <w:color w:val="auto"/>
          <w:highlight w:val="none"/>
        </w:rPr>
        <w:t>（</w:t>
      </w:r>
      <w:r>
        <w:rPr>
          <w:color w:val="auto"/>
          <w:highlight w:val="none"/>
        </w:rPr>
        <w:t>5</w:t>
      </w:r>
      <w:r>
        <w:rPr>
          <w:rFonts w:hint="eastAsia" w:hAnsi="宋体" w:cs="宋体"/>
          <w:color w:val="auto"/>
          <w:highlight w:val="none"/>
        </w:rPr>
        <w:t>）</w:t>
      </w:r>
      <w:r>
        <w:rPr>
          <w:rFonts w:hint="eastAsia" w:hAnsi="宋体"/>
          <w:color w:val="auto"/>
          <w:highlight w:val="none"/>
          <w:u w:val="single"/>
        </w:rPr>
        <w:t>技术标准和要求</w:t>
      </w:r>
      <w:r>
        <w:rPr>
          <w:rFonts w:hint="eastAsia" w:hAnsi="宋体" w:cs="宋体"/>
          <w:color w:val="auto"/>
          <w:highlight w:val="none"/>
        </w:rPr>
        <w:t>；</w:t>
      </w:r>
    </w:p>
    <w:p w14:paraId="1B3B0396">
      <w:pPr>
        <w:autoSpaceDE w:val="0"/>
        <w:autoSpaceDN w:val="0"/>
        <w:adjustRightInd w:val="0"/>
        <w:spacing w:line="440" w:lineRule="exact"/>
        <w:ind w:firstLine="420" w:firstLineChars="200"/>
        <w:jc w:val="left"/>
        <w:rPr>
          <w:color w:val="auto"/>
          <w:highlight w:val="none"/>
        </w:rPr>
      </w:pPr>
      <w:r>
        <w:rPr>
          <w:rFonts w:hint="eastAsia" w:hAnsi="宋体" w:cs="宋体"/>
          <w:color w:val="auto"/>
          <w:highlight w:val="none"/>
        </w:rPr>
        <w:t>（</w:t>
      </w:r>
      <w:r>
        <w:rPr>
          <w:color w:val="auto"/>
          <w:highlight w:val="none"/>
        </w:rPr>
        <w:t>6</w:t>
      </w:r>
      <w:r>
        <w:rPr>
          <w:rFonts w:hint="eastAsia" w:hAnsi="宋体" w:cs="宋体"/>
          <w:color w:val="auto"/>
          <w:highlight w:val="none"/>
        </w:rPr>
        <w:t>）</w:t>
      </w:r>
      <w:r>
        <w:rPr>
          <w:rFonts w:hint="eastAsia" w:hAnsi="宋体"/>
          <w:color w:val="auto"/>
          <w:highlight w:val="none"/>
          <w:u w:val="single"/>
        </w:rPr>
        <w:t>已标价工程量清单或预算书</w:t>
      </w:r>
      <w:r>
        <w:rPr>
          <w:rFonts w:hint="eastAsia" w:hAnsi="宋体" w:cs="宋体"/>
          <w:color w:val="auto"/>
          <w:highlight w:val="none"/>
        </w:rPr>
        <w:t>；</w:t>
      </w:r>
    </w:p>
    <w:p w14:paraId="2F915232">
      <w:pPr>
        <w:autoSpaceDE w:val="0"/>
        <w:autoSpaceDN w:val="0"/>
        <w:adjustRightInd w:val="0"/>
        <w:spacing w:line="440" w:lineRule="exact"/>
        <w:ind w:firstLine="420" w:firstLineChars="200"/>
        <w:jc w:val="left"/>
        <w:rPr>
          <w:color w:val="auto"/>
          <w:highlight w:val="none"/>
        </w:rPr>
      </w:pPr>
      <w:r>
        <w:rPr>
          <w:rFonts w:hint="eastAsia" w:hAnsi="宋体" w:cs="宋体"/>
          <w:color w:val="auto"/>
          <w:highlight w:val="none"/>
        </w:rPr>
        <w:t>（</w:t>
      </w:r>
      <w:r>
        <w:rPr>
          <w:color w:val="auto"/>
          <w:highlight w:val="none"/>
        </w:rPr>
        <w:t>7</w:t>
      </w:r>
      <w:r>
        <w:rPr>
          <w:rFonts w:hint="eastAsia" w:hAnsi="宋体" w:cs="宋体"/>
          <w:color w:val="auto"/>
          <w:highlight w:val="none"/>
        </w:rPr>
        <w:t>）</w:t>
      </w:r>
      <w:r>
        <w:rPr>
          <w:rFonts w:hint="eastAsia" w:hAnsi="宋体"/>
          <w:color w:val="auto"/>
          <w:highlight w:val="none"/>
          <w:u w:val="single"/>
        </w:rPr>
        <w:t>图纸</w:t>
      </w:r>
      <w:r>
        <w:rPr>
          <w:rFonts w:hint="eastAsia" w:hAnsi="宋体" w:cs="宋体"/>
          <w:color w:val="auto"/>
          <w:highlight w:val="none"/>
        </w:rPr>
        <w:t>；</w:t>
      </w:r>
    </w:p>
    <w:p w14:paraId="391C6A3E">
      <w:pPr>
        <w:autoSpaceDE w:val="0"/>
        <w:autoSpaceDN w:val="0"/>
        <w:adjustRightInd w:val="0"/>
        <w:spacing w:line="440" w:lineRule="exact"/>
        <w:ind w:firstLine="420" w:firstLineChars="200"/>
        <w:jc w:val="left"/>
        <w:rPr>
          <w:color w:val="auto"/>
          <w:highlight w:val="none"/>
        </w:rPr>
      </w:pPr>
      <w:r>
        <w:rPr>
          <w:rFonts w:hint="eastAsia" w:hAnsi="宋体" w:cs="宋体"/>
          <w:color w:val="auto"/>
          <w:highlight w:val="none"/>
        </w:rPr>
        <w:t>（</w:t>
      </w:r>
      <w:r>
        <w:rPr>
          <w:color w:val="auto"/>
          <w:highlight w:val="none"/>
        </w:rPr>
        <w:t>8</w:t>
      </w:r>
      <w:r>
        <w:rPr>
          <w:rFonts w:hint="eastAsia" w:hAnsi="宋体" w:cs="宋体"/>
          <w:color w:val="auto"/>
          <w:highlight w:val="none"/>
        </w:rPr>
        <w:t>）其他合同文件：</w:t>
      </w:r>
    </w:p>
    <w:p w14:paraId="507E008F">
      <w:pPr>
        <w:autoSpaceDE w:val="0"/>
        <w:autoSpaceDN w:val="0"/>
        <w:adjustRightInd w:val="0"/>
        <w:spacing w:line="440" w:lineRule="exact"/>
        <w:ind w:firstLine="420" w:firstLineChars="200"/>
        <w:jc w:val="left"/>
        <w:rPr>
          <w:rFonts w:hAnsi="宋体"/>
          <w:color w:val="auto"/>
          <w:highlight w:val="none"/>
        </w:rPr>
      </w:pPr>
      <w:r>
        <w:rPr>
          <w:rFonts w:hint="eastAsia" w:hAnsi="宋体" w:cs="宋体"/>
          <w:color w:val="auto"/>
          <w:highlight w:val="none"/>
        </w:rPr>
        <w:t>上述各项合同文件包括合同当事人就该项合同文件所作出的补充和修改，属于同一类内容的文件，应以最新签署的为准（违反招标文件</w:t>
      </w:r>
      <w:r>
        <w:rPr>
          <w:rFonts w:hAnsi="宋体" w:cs="宋体"/>
          <w:color w:val="auto"/>
          <w:highlight w:val="none"/>
        </w:rPr>
        <w:t>实质性内容的约定除外</w:t>
      </w:r>
      <w:r>
        <w:rPr>
          <w:rFonts w:hint="eastAsia" w:hAnsi="宋体" w:cs="宋体"/>
          <w:color w:val="auto"/>
          <w:highlight w:val="none"/>
        </w:rPr>
        <w:t>）。专用合同条款及其附件须经合同当事人签字或盖章。</w:t>
      </w:r>
    </w:p>
    <w:p w14:paraId="508C0278">
      <w:pPr>
        <w:autoSpaceDE w:val="0"/>
        <w:autoSpaceDN w:val="0"/>
        <w:adjustRightInd w:val="0"/>
        <w:spacing w:line="440" w:lineRule="exact"/>
        <w:ind w:firstLine="422" w:firstLineChars="200"/>
        <w:jc w:val="left"/>
        <w:outlineLvl w:val="0"/>
        <w:rPr>
          <w:b/>
          <w:bCs/>
          <w:color w:val="auto"/>
          <w:highlight w:val="none"/>
        </w:rPr>
      </w:pPr>
      <w:bookmarkStart w:id="111" w:name="_Toc351203487"/>
      <w:bookmarkStart w:id="112" w:name="_Toc120869345"/>
      <w:r>
        <w:rPr>
          <w:rFonts w:hint="eastAsia" w:hAnsi="宋体" w:cs="宋体"/>
          <w:b/>
          <w:bCs/>
          <w:color w:val="auto"/>
          <w:highlight w:val="none"/>
        </w:rPr>
        <w:t>七、承诺</w:t>
      </w:r>
      <w:bookmarkEnd w:id="111"/>
      <w:bookmarkEnd w:id="112"/>
    </w:p>
    <w:p w14:paraId="2EE60C55">
      <w:pPr>
        <w:spacing w:line="440" w:lineRule="exact"/>
        <w:ind w:firstLine="420" w:firstLineChars="200"/>
        <w:rPr>
          <w:color w:val="auto"/>
          <w:highlight w:val="none"/>
        </w:rPr>
      </w:pPr>
      <w:r>
        <w:rPr>
          <w:color w:val="auto"/>
          <w:highlight w:val="none"/>
        </w:rPr>
        <w:t xml:space="preserve">1. </w:t>
      </w:r>
      <w:r>
        <w:rPr>
          <w:rFonts w:hint="eastAsia" w:hAnsi="宋体" w:cs="宋体"/>
          <w:color w:val="auto"/>
          <w:highlight w:val="none"/>
        </w:rPr>
        <w:t>发包人承诺按照法律规定履行项目审批手续、筹集工程建设资金并按照合同约定的期限和方式支付合同价款。</w:t>
      </w:r>
    </w:p>
    <w:p w14:paraId="2CF0702A">
      <w:pPr>
        <w:spacing w:line="440" w:lineRule="exact"/>
        <w:ind w:firstLine="420" w:firstLineChars="200"/>
        <w:rPr>
          <w:color w:val="auto"/>
          <w:highlight w:val="none"/>
        </w:rPr>
      </w:pPr>
      <w:r>
        <w:rPr>
          <w:color w:val="auto"/>
          <w:highlight w:val="none"/>
        </w:rPr>
        <w:t xml:space="preserve">2. </w:t>
      </w:r>
      <w:r>
        <w:rPr>
          <w:rFonts w:hint="eastAsia" w:hAnsi="宋体" w:cs="宋体"/>
          <w:color w:val="auto"/>
          <w:highlight w:val="none"/>
        </w:rPr>
        <w:t>承包人承诺按照法律规定及合同约定组织完成工程施工，确保工程质量和安全，不进行转包及违法分包，并在缺陷责任期及保修期内承担相应的工程维修责任。</w:t>
      </w:r>
    </w:p>
    <w:p w14:paraId="711A8336">
      <w:pPr>
        <w:spacing w:line="440" w:lineRule="exact"/>
        <w:ind w:firstLine="420" w:firstLineChars="200"/>
        <w:rPr>
          <w:rFonts w:hAnsi="宋体"/>
          <w:color w:val="auto"/>
          <w:highlight w:val="none"/>
        </w:rPr>
      </w:pPr>
      <w:r>
        <w:rPr>
          <w:color w:val="auto"/>
          <w:highlight w:val="none"/>
        </w:rPr>
        <w:t xml:space="preserve">3. </w:t>
      </w:r>
      <w:r>
        <w:rPr>
          <w:rFonts w:hint="eastAsia" w:hAnsi="宋体" w:cs="宋体"/>
          <w:color w:val="auto"/>
          <w:highlight w:val="none"/>
        </w:rPr>
        <w:t>发包人和承包人通过招投标形式签订合同的，双方理解并承诺不再就同一工程另行签订与合同实质性内容相背离的协议。</w:t>
      </w:r>
      <w:bookmarkStart w:id="113" w:name="_Toc351203488"/>
    </w:p>
    <w:p w14:paraId="4607BFA3">
      <w:pPr>
        <w:spacing w:line="440" w:lineRule="exact"/>
        <w:ind w:firstLine="422" w:firstLineChars="200"/>
        <w:outlineLvl w:val="0"/>
        <w:rPr>
          <w:b/>
          <w:bCs/>
          <w:color w:val="auto"/>
          <w:highlight w:val="none"/>
        </w:rPr>
      </w:pPr>
      <w:bookmarkStart w:id="114" w:name="_Toc120869346"/>
      <w:r>
        <w:rPr>
          <w:rFonts w:hint="eastAsia" w:hAnsi="宋体" w:cs="宋体"/>
          <w:b/>
          <w:bCs/>
          <w:color w:val="auto"/>
          <w:highlight w:val="none"/>
        </w:rPr>
        <w:t>八、词语含义</w:t>
      </w:r>
      <w:bookmarkEnd w:id="113"/>
      <w:bookmarkEnd w:id="114"/>
    </w:p>
    <w:p w14:paraId="1AC90ED5">
      <w:pPr>
        <w:spacing w:line="440" w:lineRule="exact"/>
        <w:ind w:firstLine="420" w:firstLineChars="200"/>
        <w:rPr>
          <w:rFonts w:hAnsi="宋体"/>
          <w:color w:val="auto"/>
          <w:highlight w:val="none"/>
        </w:rPr>
      </w:pPr>
      <w:r>
        <w:rPr>
          <w:rFonts w:hint="eastAsia" w:hAnsi="宋体" w:cs="宋体"/>
          <w:color w:val="auto"/>
          <w:highlight w:val="none"/>
        </w:rPr>
        <w:t>本协议书中词语含义与第二部分通用合同条款中赋予的含义相同。</w:t>
      </w:r>
    </w:p>
    <w:p w14:paraId="36C01786">
      <w:pPr>
        <w:spacing w:line="440" w:lineRule="exact"/>
        <w:ind w:firstLine="422" w:firstLineChars="200"/>
        <w:outlineLvl w:val="0"/>
        <w:rPr>
          <w:b/>
          <w:bCs/>
          <w:color w:val="auto"/>
          <w:highlight w:val="none"/>
        </w:rPr>
      </w:pPr>
      <w:bookmarkStart w:id="115" w:name="_Toc351203489"/>
      <w:bookmarkStart w:id="116" w:name="_Toc120869347"/>
      <w:r>
        <w:rPr>
          <w:rFonts w:hint="eastAsia" w:hAnsi="宋体" w:cs="宋体"/>
          <w:b/>
          <w:bCs/>
          <w:color w:val="auto"/>
          <w:highlight w:val="none"/>
        </w:rPr>
        <w:t>九、签订时间</w:t>
      </w:r>
      <w:bookmarkEnd w:id="115"/>
      <w:bookmarkEnd w:id="116"/>
    </w:p>
    <w:p w14:paraId="468CC035">
      <w:pPr>
        <w:spacing w:line="440" w:lineRule="exact"/>
        <w:ind w:firstLine="420" w:firstLineChars="200"/>
        <w:outlineLvl w:val="0"/>
        <w:rPr>
          <w:rFonts w:hAnsi="宋体" w:cs="宋体"/>
          <w:color w:val="auto"/>
          <w:highlight w:val="none"/>
        </w:rPr>
      </w:pPr>
      <w:bookmarkStart w:id="117" w:name="_Toc120869348"/>
      <w:bookmarkStart w:id="118" w:name="_Toc351203490"/>
      <w:r>
        <w:rPr>
          <w:rFonts w:hint="eastAsia" w:hAnsi="宋体" w:cs="宋体"/>
          <w:color w:val="auto"/>
          <w:highlight w:val="none"/>
        </w:rPr>
        <w:t>本合同于年月日签订。</w:t>
      </w:r>
    </w:p>
    <w:p w14:paraId="447D4460">
      <w:pPr>
        <w:spacing w:line="440" w:lineRule="exact"/>
        <w:ind w:firstLine="422" w:firstLineChars="200"/>
        <w:outlineLvl w:val="0"/>
        <w:rPr>
          <w:b/>
          <w:bCs/>
          <w:color w:val="auto"/>
          <w:highlight w:val="none"/>
        </w:rPr>
      </w:pPr>
      <w:r>
        <w:rPr>
          <w:rFonts w:hint="eastAsia" w:hAnsi="宋体" w:cs="宋体"/>
          <w:b/>
          <w:bCs/>
          <w:color w:val="auto"/>
          <w:highlight w:val="none"/>
        </w:rPr>
        <w:t>十、签订地点</w:t>
      </w:r>
      <w:bookmarkEnd w:id="117"/>
      <w:bookmarkEnd w:id="118"/>
    </w:p>
    <w:p w14:paraId="71AD2474">
      <w:pPr>
        <w:spacing w:line="440" w:lineRule="exact"/>
        <w:ind w:firstLine="420" w:firstLineChars="200"/>
        <w:rPr>
          <w:rFonts w:hAnsi="宋体"/>
          <w:color w:val="auto"/>
          <w:highlight w:val="none"/>
        </w:rPr>
      </w:pPr>
      <w:r>
        <w:rPr>
          <w:rFonts w:hint="eastAsia" w:hAnsi="宋体" w:cs="宋体"/>
          <w:color w:val="auto"/>
          <w:highlight w:val="none"/>
        </w:rPr>
        <w:t>本合同在签订。</w:t>
      </w:r>
    </w:p>
    <w:p w14:paraId="2668781A">
      <w:pPr>
        <w:spacing w:line="440" w:lineRule="exact"/>
        <w:ind w:firstLine="422" w:firstLineChars="200"/>
        <w:outlineLvl w:val="0"/>
        <w:rPr>
          <w:b/>
          <w:bCs/>
          <w:color w:val="auto"/>
          <w:highlight w:val="none"/>
        </w:rPr>
      </w:pPr>
      <w:bookmarkStart w:id="119" w:name="_Toc120869349"/>
      <w:bookmarkStart w:id="120" w:name="_Toc351203491"/>
      <w:r>
        <w:rPr>
          <w:rFonts w:hint="eastAsia" w:hAnsi="宋体" w:cs="宋体"/>
          <w:b/>
          <w:bCs/>
          <w:color w:val="auto"/>
          <w:highlight w:val="none"/>
        </w:rPr>
        <w:t>十一、补充协议</w:t>
      </w:r>
      <w:bookmarkEnd w:id="119"/>
      <w:bookmarkEnd w:id="120"/>
    </w:p>
    <w:p w14:paraId="51B92755">
      <w:pPr>
        <w:spacing w:line="440" w:lineRule="exact"/>
        <w:ind w:firstLine="420" w:firstLineChars="200"/>
        <w:rPr>
          <w:rFonts w:hAnsi="宋体"/>
          <w:color w:val="auto"/>
          <w:highlight w:val="none"/>
        </w:rPr>
      </w:pPr>
      <w:r>
        <w:rPr>
          <w:rFonts w:hint="eastAsia" w:hAnsi="宋体" w:cs="宋体"/>
          <w:color w:val="auto"/>
          <w:highlight w:val="none"/>
        </w:rPr>
        <w:t>合同未尽事宜，合同当事人另行签订补充协议，补充协议是合同的组成部分。</w:t>
      </w:r>
    </w:p>
    <w:p w14:paraId="33FBBA26">
      <w:pPr>
        <w:spacing w:line="440" w:lineRule="exact"/>
        <w:ind w:firstLine="422" w:firstLineChars="200"/>
        <w:outlineLvl w:val="0"/>
        <w:rPr>
          <w:b/>
          <w:bCs/>
          <w:color w:val="auto"/>
          <w:highlight w:val="none"/>
        </w:rPr>
      </w:pPr>
      <w:bookmarkStart w:id="121" w:name="_Toc351203492"/>
      <w:bookmarkStart w:id="122" w:name="_Toc120869350"/>
      <w:r>
        <w:rPr>
          <w:rFonts w:hint="eastAsia" w:hAnsi="宋体" w:cs="宋体"/>
          <w:b/>
          <w:bCs/>
          <w:color w:val="auto"/>
          <w:highlight w:val="none"/>
        </w:rPr>
        <w:t>十二、合同生效</w:t>
      </w:r>
      <w:bookmarkEnd w:id="121"/>
      <w:bookmarkEnd w:id="122"/>
    </w:p>
    <w:p w14:paraId="49FD8AD4">
      <w:pPr>
        <w:spacing w:line="440" w:lineRule="exact"/>
        <w:ind w:firstLine="420" w:firstLineChars="200"/>
        <w:rPr>
          <w:rFonts w:hAnsi="宋体"/>
          <w:color w:val="auto"/>
          <w:highlight w:val="none"/>
        </w:rPr>
      </w:pPr>
      <w:r>
        <w:rPr>
          <w:rFonts w:hint="eastAsia" w:hAnsi="宋体" w:cs="宋体"/>
          <w:color w:val="auto"/>
          <w:highlight w:val="none"/>
        </w:rPr>
        <w:t>本合同自</w:t>
      </w:r>
      <w:r>
        <w:rPr>
          <w:rFonts w:hint="eastAsia"/>
          <w:bCs/>
          <w:color w:val="auto"/>
          <w:highlight w:val="none"/>
          <w:u w:val="single"/>
        </w:rPr>
        <w:t>双方法定代表人或其委托代理人签字或盖章并加盖单位公章之日起</w:t>
      </w:r>
      <w:r>
        <w:rPr>
          <w:rFonts w:hint="eastAsia" w:hAnsi="宋体" w:cs="宋体"/>
          <w:color w:val="auto"/>
          <w:highlight w:val="none"/>
        </w:rPr>
        <w:t>生效。</w:t>
      </w:r>
    </w:p>
    <w:p w14:paraId="1C625B7F">
      <w:pPr>
        <w:spacing w:line="440" w:lineRule="exact"/>
        <w:ind w:firstLine="422" w:firstLineChars="200"/>
        <w:outlineLvl w:val="0"/>
        <w:rPr>
          <w:b/>
          <w:bCs/>
          <w:color w:val="auto"/>
          <w:highlight w:val="none"/>
        </w:rPr>
      </w:pPr>
      <w:bookmarkStart w:id="123" w:name="_Toc351203493"/>
      <w:bookmarkStart w:id="124" w:name="_Toc120869351"/>
      <w:r>
        <w:rPr>
          <w:rFonts w:hint="eastAsia" w:hAnsi="宋体" w:cs="宋体"/>
          <w:b/>
          <w:bCs/>
          <w:color w:val="auto"/>
          <w:highlight w:val="none"/>
        </w:rPr>
        <w:t>十三、合同份数</w:t>
      </w:r>
      <w:bookmarkEnd w:id="123"/>
      <w:bookmarkEnd w:id="124"/>
    </w:p>
    <w:p w14:paraId="4F9617DE">
      <w:pPr>
        <w:pStyle w:val="25"/>
        <w:spacing w:line="440" w:lineRule="exact"/>
        <w:ind w:firstLine="420" w:firstLineChars="200"/>
        <w:rPr>
          <w:color w:val="auto"/>
          <w:highlight w:val="none"/>
        </w:rPr>
      </w:pPr>
      <w:r>
        <w:rPr>
          <w:rFonts w:hint="eastAsia" w:ascii="Times New Roman" w:hAnsi="Times New Roman" w:cs="宋体"/>
          <w:color w:val="auto"/>
          <w:sz w:val="21"/>
          <w:szCs w:val="21"/>
          <w:highlight w:val="none"/>
        </w:rPr>
        <w:t>本合同一式</w:t>
      </w:r>
      <w:r>
        <w:rPr>
          <w:rFonts w:ascii="Times New Roman" w:hAnsi="Times New Roman"/>
          <w:color w:val="auto"/>
          <w:sz w:val="21"/>
          <w:szCs w:val="21"/>
          <w:highlight w:val="none"/>
          <w:u w:val="single"/>
        </w:rPr>
        <w:t>_</w:t>
      </w:r>
      <w:r>
        <w:rPr>
          <w:rFonts w:hint="eastAsia" w:ascii="Times New Roman" w:hAnsi="Times New Roman" w:cs="宋体"/>
          <w:color w:val="auto"/>
          <w:sz w:val="21"/>
          <w:szCs w:val="21"/>
          <w:highlight w:val="none"/>
          <w:u w:val="single"/>
          <w:lang w:val="en-US" w:eastAsia="zh-CN"/>
        </w:rPr>
        <w:t xml:space="preserve">陆 </w:t>
      </w:r>
      <w:r>
        <w:rPr>
          <w:rFonts w:hint="eastAsia" w:ascii="Times New Roman" w:hAnsi="Times New Roman" w:cs="宋体"/>
          <w:color w:val="auto"/>
          <w:sz w:val="21"/>
          <w:szCs w:val="21"/>
          <w:highlight w:val="none"/>
        </w:rPr>
        <w:t>份，均具有同等法律效力，发包人执</w:t>
      </w:r>
      <w:r>
        <w:rPr>
          <w:rFonts w:hint="eastAsia" w:ascii="Times New Roman" w:hAnsi="Times New Roman" w:cs="宋体"/>
          <w:color w:val="auto"/>
          <w:sz w:val="21"/>
          <w:szCs w:val="21"/>
          <w:highlight w:val="none"/>
          <w:u w:val="single"/>
          <w:lang w:val="en-US" w:eastAsia="zh-CN"/>
        </w:rPr>
        <w:t>叁</w:t>
      </w:r>
      <w:r>
        <w:rPr>
          <w:rFonts w:hint="eastAsia" w:ascii="Times New Roman" w:hAnsi="Times New Roman" w:cs="宋体"/>
          <w:color w:val="auto"/>
          <w:sz w:val="21"/>
          <w:szCs w:val="21"/>
          <w:highlight w:val="none"/>
        </w:rPr>
        <w:t>份，承包人执</w:t>
      </w:r>
      <w:r>
        <w:rPr>
          <w:rFonts w:hint="eastAsia" w:ascii="Times New Roman" w:hAnsi="Times New Roman" w:cs="宋体"/>
          <w:color w:val="auto"/>
          <w:sz w:val="21"/>
          <w:szCs w:val="21"/>
          <w:highlight w:val="none"/>
          <w:u w:val="single"/>
        </w:rPr>
        <w:t>叁</w:t>
      </w:r>
      <w:r>
        <w:rPr>
          <w:rFonts w:hint="eastAsia" w:ascii="Times New Roman" w:hAnsi="Times New Roman" w:cs="宋体"/>
          <w:color w:val="auto"/>
          <w:sz w:val="21"/>
          <w:szCs w:val="21"/>
          <w:highlight w:val="none"/>
        </w:rPr>
        <w:t>份。</w:t>
      </w:r>
    </w:p>
    <w:p w14:paraId="7B0A829A">
      <w:pPr>
        <w:spacing w:line="360" w:lineRule="auto"/>
        <w:rPr>
          <w:color w:val="auto"/>
          <w:highlight w:val="none"/>
          <w:u w:val="single"/>
        </w:rPr>
      </w:pPr>
      <w:bookmarkStart w:id="125" w:name="_Toc456084081"/>
      <w:bookmarkStart w:id="126" w:name="_Toc28303"/>
      <w:bookmarkStart w:id="127" w:name="_Toc376121759"/>
      <w:bookmarkStart w:id="128" w:name="_Toc351203494"/>
      <w:bookmarkStart w:id="129" w:name="_Toc373227553"/>
      <w:bookmarkStart w:id="130" w:name="_Toc81837450"/>
      <w:bookmarkStart w:id="131" w:name="_Toc383182198"/>
      <w:bookmarkStart w:id="132" w:name="_Toc437516223"/>
    </w:p>
    <w:p w14:paraId="687817E2">
      <w:pPr>
        <w:spacing w:line="360" w:lineRule="auto"/>
        <w:rPr>
          <w:color w:val="auto"/>
          <w:highlight w:val="none"/>
          <w:u w:val="single"/>
        </w:rPr>
      </w:pPr>
      <w:r>
        <w:rPr>
          <w:rFonts w:hint="eastAsia" w:hAnsi="宋体"/>
          <w:color w:val="auto"/>
          <w:highlight w:val="none"/>
        </w:rPr>
        <w:t>发包人：</w:t>
      </w:r>
      <w:r>
        <w:rPr>
          <w:rFonts w:hint="eastAsia"/>
          <w:color w:val="auto"/>
          <w:highlight w:val="none"/>
        </w:rPr>
        <w:t>（</w:t>
      </w:r>
      <w:r>
        <w:rPr>
          <w:rFonts w:hint="eastAsia" w:hAnsi="宋体"/>
          <w:color w:val="auto"/>
          <w:highlight w:val="none"/>
        </w:rPr>
        <w:t>公章</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rFonts w:hint="eastAsia" w:hAnsi="宋体"/>
          <w:color w:val="auto"/>
          <w:highlight w:val="none"/>
        </w:rPr>
        <w:t>承包人：</w:t>
      </w:r>
      <w:r>
        <w:rPr>
          <w:rFonts w:hint="eastAsia"/>
          <w:color w:val="auto"/>
          <w:highlight w:val="none"/>
        </w:rPr>
        <w:t>（</w:t>
      </w:r>
      <w:r>
        <w:rPr>
          <w:rFonts w:hint="eastAsia" w:hAnsi="宋体"/>
          <w:color w:val="auto"/>
          <w:highlight w:val="none"/>
        </w:rPr>
        <w:t>公章</w:t>
      </w:r>
      <w:r>
        <w:rPr>
          <w:rFonts w:hint="eastAsia"/>
          <w:color w:val="auto"/>
          <w:highlight w:val="none"/>
        </w:rPr>
        <w:t>）</w:t>
      </w:r>
      <w:r>
        <w:rPr>
          <w:rFonts w:hint="eastAsia"/>
          <w:color w:val="auto"/>
          <w:highlight w:val="none"/>
          <w:u w:val="single"/>
          <w:lang w:val="en-US" w:eastAsia="zh-CN"/>
        </w:rPr>
        <w:t xml:space="preserve">                 </w:t>
      </w:r>
    </w:p>
    <w:p w14:paraId="0004E82C">
      <w:pPr>
        <w:spacing w:line="360" w:lineRule="auto"/>
        <w:rPr>
          <w:color w:val="auto"/>
          <w:highlight w:val="none"/>
        </w:rPr>
      </w:pPr>
      <w:r>
        <w:rPr>
          <w:rFonts w:hint="eastAsia" w:hAnsi="宋体"/>
          <w:color w:val="auto"/>
          <w:highlight w:val="none"/>
        </w:rPr>
        <w:t>法定代表人或其委托代理人：</w:t>
      </w:r>
      <w:r>
        <w:rPr>
          <w:rFonts w:hint="eastAsia"/>
          <w:color w:val="auto"/>
          <w:highlight w:val="none"/>
          <w:u w:val="single"/>
          <w:lang w:val="en-US" w:eastAsia="zh-CN"/>
        </w:rPr>
        <w:t xml:space="preserve">                </w:t>
      </w:r>
      <w:r>
        <w:rPr>
          <w:rFonts w:hint="eastAsia" w:hAnsi="宋体"/>
          <w:color w:val="auto"/>
          <w:highlight w:val="none"/>
          <w:lang w:val="en-US" w:eastAsia="zh-CN"/>
        </w:rPr>
        <w:t xml:space="preserve">  </w:t>
      </w:r>
      <w:r>
        <w:rPr>
          <w:rFonts w:hint="eastAsia" w:hAnsi="宋体"/>
          <w:color w:val="auto"/>
          <w:highlight w:val="none"/>
        </w:rPr>
        <w:t>法定代表人或其委托代理人：</w:t>
      </w:r>
      <w:r>
        <w:rPr>
          <w:rFonts w:hint="eastAsia"/>
          <w:color w:val="auto"/>
          <w:highlight w:val="none"/>
          <w:u w:val="single"/>
          <w:lang w:val="en-US" w:eastAsia="zh-CN"/>
        </w:rPr>
        <w:t xml:space="preserve">              </w:t>
      </w:r>
    </w:p>
    <w:p w14:paraId="37E9D84D">
      <w:pPr>
        <w:spacing w:line="360" w:lineRule="auto"/>
        <w:rPr>
          <w:color w:val="auto"/>
          <w:highlight w:val="none"/>
          <w:u w:val="single"/>
        </w:rPr>
      </w:pPr>
      <w:r>
        <w:rPr>
          <w:rFonts w:hint="eastAsia" w:hAnsi="宋体"/>
          <w:color w:val="auto"/>
          <w:highlight w:val="none"/>
        </w:rPr>
        <w:t>（签字）</w:t>
      </w:r>
      <w:r>
        <w:rPr>
          <w:rFonts w:hint="eastAsia" w:hAnsi="宋体"/>
          <w:color w:val="auto"/>
          <w:highlight w:val="none"/>
          <w:lang w:val="en-US" w:eastAsia="zh-CN"/>
        </w:rPr>
        <w:t xml:space="preserve">                                   </w:t>
      </w:r>
      <w:r>
        <w:rPr>
          <w:rFonts w:hint="eastAsia" w:hAnsi="宋体"/>
          <w:color w:val="auto"/>
          <w:highlight w:val="none"/>
        </w:rPr>
        <w:t>（签字）</w:t>
      </w:r>
    </w:p>
    <w:p w14:paraId="38E07A30">
      <w:pPr>
        <w:tabs>
          <w:tab w:val="left" w:pos="4410"/>
        </w:tabs>
        <w:spacing w:line="360" w:lineRule="auto"/>
        <w:rPr>
          <w:color w:val="auto"/>
          <w:highlight w:val="none"/>
        </w:rPr>
      </w:pPr>
      <w:r>
        <w:rPr>
          <w:rFonts w:hint="eastAsia" w:hAnsi="宋体" w:cs="宋体"/>
          <w:color w:val="auto"/>
          <w:szCs w:val="22"/>
          <w:highlight w:val="none"/>
        </w:rPr>
        <w:t>统一</w:t>
      </w:r>
      <w:r>
        <w:rPr>
          <w:rFonts w:hint="eastAsia" w:hAnsi="宋体"/>
          <w:color w:val="auto"/>
          <w:highlight w:val="none"/>
        </w:rPr>
        <w:t>社会信用代码：</w:t>
      </w:r>
      <w:r>
        <w:rPr>
          <w:rFonts w:hint="eastAsia"/>
          <w:color w:val="auto"/>
          <w:highlight w:val="none"/>
          <w:u w:val="single"/>
          <w:lang w:val="en-US" w:eastAsia="zh-CN"/>
        </w:rPr>
        <w:t xml:space="preserve">                    </w:t>
      </w:r>
      <w:r>
        <w:rPr>
          <w:rFonts w:hint="eastAsia" w:hAnsi="宋体"/>
          <w:color w:val="auto"/>
          <w:highlight w:val="none"/>
          <w:lang w:val="en-US" w:eastAsia="zh-CN"/>
        </w:rPr>
        <w:t xml:space="preserve">       </w:t>
      </w:r>
      <w:r>
        <w:rPr>
          <w:rFonts w:hint="eastAsia" w:hAnsi="宋体" w:cs="宋体"/>
          <w:color w:val="auto"/>
          <w:szCs w:val="22"/>
          <w:highlight w:val="none"/>
        </w:rPr>
        <w:t>统一</w:t>
      </w:r>
      <w:r>
        <w:rPr>
          <w:rFonts w:hint="eastAsia" w:hAnsi="宋体"/>
          <w:color w:val="auto"/>
          <w:highlight w:val="none"/>
        </w:rPr>
        <w:t>社会信用代码：</w:t>
      </w:r>
      <w:r>
        <w:rPr>
          <w:rFonts w:hint="eastAsia"/>
          <w:color w:val="auto"/>
          <w:highlight w:val="none"/>
          <w:u w:val="single"/>
          <w:lang w:val="en-US" w:eastAsia="zh-CN"/>
        </w:rPr>
        <w:t xml:space="preserve">                    </w:t>
      </w:r>
    </w:p>
    <w:p w14:paraId="14F7D467">
      <w:pPr>
        <w:spacing w:line="360" w:lineRule="auto"/>
        <w:rPr>
          <w:color w:val="auto"/>
          <w:highlight w:val="none"/>
          <w:u w:val="single"/>
        </w:rPr>
      </w:pPr>
      <w:r>
        <w:rPr>
          <w:rFonts w:hint="eastAsia" w:hAnsi="宋体"/>
          <w:color w:val="auto"/>
          <w:highlight w:val="none"/>
        </w:rPr>
        <w:t>地址：</w:t>
      </w:r>
      <w:r>
        <w:rPr>
          <w:rFonts w:hint="eastAsia"/>
          <w:color w:val="auto"/>
          <w:highlight w:val="none"/>
          <w:u w:val="single"/>
          <w:lang w:val="en-US" w:eastAsia="zh-CN"/>
        </w:rPr>
        <w:t xml:space="preserve">                    </w:t>
      </w:r>
      <w:r>
        <w:rPr>
          <w:rFonts w:hint="eastAsia" w:hAnsi="宋体"/>
          <w:color w:val="auto"/>
          <w:highlight w:val="none"/>
          <w:lang w:val="en-US" w:eastAsia="zh-CN"/>
        </w:rPr>
        <w:t xml:space="preserve">                   </w:t>
      </w:r>
      <w:r>
        <w:rPr>
          <w:rFonts w:hint="eastAsia" w:hAnsi="宋体"/>
          <w:color w:val="auto"/>
          <w:highlight w:val="none"/>
        </w:rPr>
        <w:t>地址：</w:t>
      </w:r>
      <w:r>
        <w:rPr>
          <w:rFonts w:hint="eastAsia"/>
          <w:color w:val="auto"/>
          <w:highlight w:val="none"/>
          <w:u w:val="single"/>
          <w:lang w:val="en-US" w:eastAsia="zh-CN"/>
        </w:rPr>
        <w:t xml:space="preserve">                    </w:t>
      </w:r>
    </w:p>
    <w:p w14:paraId="32A90048">
      <w:pPr>
        <w:spacing w:line="360" w:lineRule="auto"/>
        <w:rPr>
          <w:color w:val="auto"/>
          <w:highlight w:val="none"/>
        </w:rPr>
      </w:pPr>
      <w:r>
        <w:rPr>
          <w:rFonts w:hint="eastAsia" w:hAnsi="宋体"/>
          <w:color w:val="auto"/>
          <w:highlight w:val="none"/>
        </w:rPr>
        <w:t>邮政编码：</w:t>
      </w:r>
      <w:r>
        <w:rPr>
          <w:rFonts w:hint="eastAsia"/>
          <w:color w:val="auto"/>
          <w:highlight w:val="none"/>
          <w:u w:val="single"/>
          <w:lang w:val="en-US" w:eastAsia="zh-CN"/>
        </w:rPr>
        <w:t xml:space="preserve">                    </w:t>
      </w:r>
      <w:r>
        <w:rPr>
          <w:rFonts w:hint="eastAsia" w:hAnsi="宋体"/>
          <w:color w:val="auto"/>
          <w:highlight w:val="none"/>
          <w:lang w:val="en-US" w:eastAsia="zh-CN"/>
        </w:rPr>
        <w:t xml:space="preserve">               </w:t>
      </w:r>
      <w:r>
        <w:rPr>
          <w:rFonts w:hint="eastAsia" w:hAnsi="宋体"/>
          <w:color w:val="auto"/>
          <w:highlight w:val="none"/>
        </w:rPr>
        <w:t>邮政编码：</w:t>
      </w:r>
      <w:r>
        <w:rPr>
          <w:rFonts w:hint="eastAsia"/>
          <w:color w:val="auto"/>
          <w:highlight w:val="none"/>
          <w:u w:val="single"/>
          <w:lang w:val="en-US" w:eastAsia="zh-CN"/>
        </w:rPr>
        <w:t xml:space="preserve">                    </w:t>
      </w:r>
    </w:p>
    <w:p w14:paraId="33A9654D">
      <w:pPr>
        <w:spacing w:line="360" w:lineRule="auto"/>
        <w:rPr>
          <w:color w:val="auto"/>
          <w:highlight w:val="none"/>
        </w:rPr>
      </w:pPr>
      <w:r>
        <w:rPr>
          <w:rFonts w:hint="eastAsia" w:hAnsi="宋体"/>
          <w:color w:val="auto"/>
          <w:highlight w:val="none"/>
        </w:rPr>
        <w:t>法定代表人：</w:t>
      </w:r>
      <w:r>
        <w:rPr>
          <w:rFonts w:hint="eastAsia"/>
          <w:color w:val="auto"/>
          <w:highlight w:val="none"/>
          <w:u w:val="single"/>
          <w:lang w:val="en-US" w:eastAsia="zh-CN"/>
        </w:rPr>
        <w:t xml:space="preserve">                    </w:t>
      </w:r>
      <w:r>
        <w:rPr>
          <w:rFonts w:hint="eastAsia" w:hAnsi="宋体"/>
          <w:color w:val="auto"/>
          <w:highlight w:val="none"/>
          <w:lang w:val="en-US" w:eastAsia="zh-CN"/>
        </w:rPr>
        <w:t xml:space="preserve">            </w:t>
      </w:r>
      <w:r>
        <w:rPr>
          <w:rFonts w:hint="eastAsia" w:hAnsi="宋体"/>
          <w:color w:val="auto"/>
          <w:highlight w:val="none"/>
        </w:rPr>
        <w:t>法定代表人：</w:t>
      </w:r>
      <w:r>
        <w:rPr>
          <w:rFonts w:hint="eastAsia"/>
          <w:color w:val="auto"/>
          <w:highlight w:val="none"/>
          <w:u w:val="single"/>
          <w:lang w:val="en-US" w:eastAsia="zh-CN"/>
        </w:rPr>
        <w:t xml:space="preserve">                    </w:t>
      </w:r>
    </w:p>
    <w:p w14:paraId="5FAF9F6F">
      <w:pPr>
        <w:spacing w:line="360" w:lineRule="auto"/>
        <w:rPr>
          <w:color w:val="auto"/>
          <w:highlight w:val="none"/>
        </w:rPr>
      </w:pPr>
      <w:r>
        <w:rPr>
          <w:rFonts w:hint="eastAsia" w:hAnsi="宋体"/>
          <w:color w:val="auto"/>
          <w:highlight w:val="none"/>
        </w:rPr>
        <w:t>委托代理人：</w:t>
      </w:r>
      <w:r>
        <w:rPr>
          <w:rFonts w:hint="eastAsia"/>
          <w:color w:val="auto"/>
          <w:highlight w:val="none"/>
          <w:u w:val="single"/>
          <w:lang w:val="en-US" w:eastAsia="zh-CN"/>
        </w:rPr>
        <w:t xml:space="preserve">                    </w:t>
      </w:r>
      <w:r>
        <w:rPr>
          <w:rFonts w:hint="eastAsia" w:hAnsi="宋体"/>
          <w:color w:val="auto"/>
          <w:highlight w:val="none"/>
          <w:lang w:val="en-US" w:eastAsia="zh-CN"/>
        </w:rPr>
        <w:t xml:space="preserve">             </w:t>
      </w:r>
      <w:r>
        <w:rPr>
          <w:rFonts w:hint="eastAsia" w:hAnsi="宋体"/>
          <w:color w:val="auto"/>
          <w:highlight w:val="none"/>
        </w:rPr>
        <w:t>委托代理人：</w:t>
      </w:r>
      <w:r>
        <w:rPr>
          <w:rFonts w:hint="eastAsia"/>
          <w:color w:val="auto"/>
          <w:highlight w:val="none"/>
          <w:u w:val="single"/>
          <w:lang w:val="en-US" w:eastAsia="zh-CN"/>
        </w:rPr>
        <w:t xml:space="preserve">                    </w:t>
      </w:r>
    </w:p>
    <w:p w14:paraId="48BF5087">
      <w:pPr>
        <w:spacing w:line="360" w:lineRule="auto"/>
        <w:rPr>
          <w:color w:val="auto"/>
          <w:highlight w:val="none"/>
        </w:rPr>
      </w:pPr>
      <w:r>
        <w:rPr>
          <w:rFonts w:hint="eastAsia" w:hAnsi="宋体"/>
          <w:color w:val="auto"/>
          <w:highlight w:val="none"/>
        </w:rPr>
        <w:t>电话：</w:t>
      </w:r>
      <w:r>
        <w:rPr>
          <w:rFonts w:hint="eastAsia"/>
          <w:color w:val="auto"/>
          <w:highlight w:val="none"/>
          <w:u w:val="single"/>
          <w:lang w:val="en-US" w:eastAsia="zh-CN"/>
        </w:rPr>
        <w:t xml:space="preserve">                      </w:t>
      </w:r>
      <w:r>
        <w:rPr>
          <w:rFonts w:hint="eastAsia" w:hAnsi="宋体"/>
          <w:color w:val="auto"/>
          <w:highlight w:val="none"/>
          <w:lang w:val="en-US" w:eastAsia="zh-CN"/>
        </w:rPr>
        <w:t xml:space="preserve">                 </w:t>
      </w:r>
      <w:r>
        <w:rPr>
          <w:rFonts w:hint="eastAsia" w:hAnsi="宋体"/>
          <w:color w:val="auto"/>
          <w:highlight w:val="none"/>
        </w:rPr>
        <w:t>电话：</w:t>
      </w:r>
      <w:r>
        <w:rPr>
          <w:rFonts w:hint="eastAsia"/>
          <w:color w:val="auto"/>
          <w:highlight w:val="none"/>
          <w:u w:val="single"/>
          <w:lang w:val="en-US" w:eastAsia="zh-CN"/>
        </w:rPr>
        <w:t xml:space="preserve">                    </w:t>
      </w:r>
    </w:p>
    <w:p w14:paraId="6BF1C216">
      <w:pPr>
        <w:spacing w:line="360" w:lineRule="auto"/>
        <w:rPr>
          <w:color w:val="auto"/>
          <w:highlight w:val="none"/>
        </w:rPr>
      </w:pPr>
      <w:r>
        <w:rPr>
          <w:rFonts w:hint="eastAsia" w:hAnsi="宋体"/>
          <w:color w:val="auto"/>
          <w:highlight w:val="none"/>
        </w:rPr>
        <w:t>传真：</w:t>
      </w:r>
      <w:r>
        <w:rPr>
          <w:rFonts w:hint="eastAsia"/>
          <w:color w:val="auto"/>
          <w:highlight w:val="none"/>
          <w:u w:val="single"/>
          <w:lang w:val="en-US" w:eastAsia="zh-CN"/>
        </w:rPr>
        <w:t xml:space="preserve">                    </w:t>
      </w:r>
      <w:r>
        <w:rPr>
          <w:rFonts w:hint="eastAsia" w:hAnsi="宋体"/>
          <w:color w:val="auto"/>
          <w:highlight w:val="none"/>
          <w:lang w:val="en-US" w:eastAsia="zh-CN"/>
        </w:rPr>
        <w:t xml:space="preserve">                   </w:t>
      </w:r>
      <w:r>
        <w:rPr>
          <w:rFonts w:hint="eastAsia" w:hAnsi="宋体"/>
          <w:color w:val="auto"/>
          <w:highlight w:val="none"/>
        </w:rPr>
        <w:t>传真：</w:t>
      </w:r>
      <w:r>
        <w:rPr>
          <w:rFonts w:hint="eastAsia"/>
          <w:color w:val="auto"/>
          <w:highlight w:val="none"/>
          <w:u w:val="single"/>
          <w:lang w:val="en-US" w:eastAsia="zh-CN"/>
        </w:rPr>
        <w:t xml:space="preserve">                    </w:t>
      </w:r>
    </w:p>
    <w:p w14:paraId="29632404">
      <w:pPr>
        <w:spacing w:line="360" w:lineRule="auto"/>
        <w:rPr>
          <w:color w:val="auto"/>
          <w:highlight w:val="none"/>
        </w:rPr>
      </w:pPr>
      <w:r>
        <w:rPr>
          <w:rFonts w:hint="eastAsia" w:hAnsi="宋体"/>
          <w:color w:val="auto"/>
          <w:highlight w:val="none"/>
        </w:rPr>
        <w:t>电子信箱：</w:t>
      </w:r>
      <w:r>
        <w:rPr>
          <w:rFonts w:hint="eastAsia"/>
          <w:color w:val="auto"/>
          <w:highlight w:val="none"/>
          <w:u w:val="single"/>
          <w:lang w:val="en-US" w:eastAsia="zh-CN"/>
        </w:rPr>
        <w:t xml:space="preserve">                    </w:t>
      </w:r>
      <w:r>
        <w:rPr>
          <w:rFonts w:hint="eastAsia" w:hAnsi="宋体"/>
          <w:color w:val="auto"/>
          <w:highlight w:val="none"/>
          <w:lang w:val="en-US" w:eastAsia="zh-CN"/>
        </w:rPr>
        <w:t xml:space="preserve">               </w:t>
      </w:r>
      <w:r>
        <w:rPr>
          <w:rFonts w:hint="eastAsia" w:hAnsi="宋体"/>
          <w:color w:val="auto"/>
          <w:highlight w:val="none"/>
        </w:rPr>
        <w:t>电子信箱：</w:t>
      </w:r>
      <w:r>
        <w:rPr>
          <w:rFonts w:hint="eastAsia"/>
          <w:color w:val="auto"/>
          <w:highlight w:val="none"/>
          <w:u w:val="single"/>
          <w:lang w:val="en-US" w:eastAsia="zh-CN"/>
        </w:rPr>
        <w:t xml:space="preserve">                    </w:t>
      </w:r>
    </w:p>
    <w:p w14:paraId="65818B0A">
      <w:pPr>
        <w:spacing w:line="360" w:lineRule="auto"/>
        <w:rPr>
          <w:color w:val="auto"/>
          <w:highlight w:val="none"/>
        </w:rPr>
      </w:pPr>
      <w:r>
        <w:rPr>
          <w:rFonts w:hint="eastAsia" w:hAnsi="宋体"/>
          <w:color w:val="auto"/>
          <w:highlight w:val="none"/>
        </w:rPr>
        <w:t>开户银行：</w:t>
      </w:r>
      <w:r>
        <w:rPr>
          <w:rFonts w:hint="eastAsia"/>
          <w:color w:val="auto"/>
          <w:highlight w:val="none"/>
          <w:u w:val="single"/>
          <w:lang w:val="en-US" w:eastAsia="zh-CN"/>
        </w:rPr>
        <w:t xml:space="preserve">                    </w:t>
      </w:r>
      <w:r>
        <w:rPr>
          <w:rFonts w:hint="eastAsia" w:hAnsi="宋体"/>
          <w:color w:val="auto"/>
          <w:highlight w:val="none"/>
          <w:lang w:val="en-US" w:eastAsia="zh-CN"/>
        </w:rPr>
        <w:t xml:space="preserve">                </w:t>
      </w:r>
      <w:r>
        <w:rPr>
          <w:rFonts w:hint="eastAsia" w:hAnsi="宋体"/>
          <w:color w:val="auto"/>
          <w:highlight w:val="none"/>
        </w:rPr>
        <w:t>开户银行：</w:t>
      </w:r>
      <w:r>
        <w:rPr>
          <w:rFonts w:hint="eastAsia"/>
          <w:color w:val="auto"/>
          <w:highlight w:val="none"/>
          <w:u w:val="single"/>
          <w:lang w:val="en-US" w:eastAsia="zh-CN"/>
        </w:rPr>
        <w:t xml:space="preserve">                    </w:t>
      </w:r>
    </w:p>
    <w:p w14:paraId="7176D22F">
      <w:pPr>
        <w:rPr>
          <w:color w:val="auto"/>
          <w:szCs w:val="22"/>
          <w:highlight w:val="none"/>
        </w:rPr>
      </w:pPr>
      <w:r>
        <w:rPr>
          <w:rFonts w:hint="eastAsia" w:hAnsi="宋体"/>
          <w:color w:val="auto"/>
          <w:highlight w:val="none"/>
        </w:rPr>
        <w:t>账号：</w:t>
      </w:r>
      <w:r>
        <w:rPr>
          <w:rFonts w:hint="eastAsia"/>
          <w:color w:val="auto"/>
          <w:highlight w:val="none"/>
          <w:u w:val="single"/>
          <w:lang w:val="en-US" w:eastAsia="zh-CN"/>
        </w:rPr>
        <w:t xml:space="preserve">                    </w:t>
      </w:r>
      <w:r>
        <w:rPr>
          <w:rFonts w:hint="eastAsia" w:hAnsi="宋体"/>
          <w:color w:val="auto"/>
          <w:highlight w:val="none"/>
          <w:lang w:val="en-US" w:eastAsia="zh-CN"/>
        </w:rPr>
        <w:t xml:space="preserve">                    </w:t>
      </w:r>
      <w:r>
        <w:rPr>
          <w:rFonts w:hint="eastAsia" w:hAnsi="宋体"/>
          <w:color w:val="auto"/>
          <w:highlight w:val="none"/>
        </w:rPr>
        <w:t>账号：</w:t>
      </w:r>
      <w:r>
        <w:rPr>
          <w:rFonts w:hint="eastAsia"/>
          <w:color w:val="auto"/>
          <w:highlight w:val="none"/>
          <w:u w:val="single"/>
          <w:lang w:val="en-US" w:eastAsia="zh-CN"/>
        </w:rPr>
        <w:t xml:space="preserve">                    </w:t>
      </w:r>
    </w:p>
    <w:p w14:paraId="374A0B0B">
      <w:pPr>
        <w:pStyle w:val="25"/>
        <w:spacing w:line="360" w:lineRule="auto"/>
        <w:rPr>
          <w:rFonts w:ascii="宋体" w:hAnsi="宋体" w:cs="宋体"/>
          <w:color w:val="auto"/>
          <w:kern w:val="2"/>
          <w:sz w:val="21"/>
          <w:szCs w:val="21"/>
          <w:highlight w:val="none"/>
        </w:rPr>
      </w:pPr>
    </w:p>
    <w:p w14:paraId="5182A405">
      <w:pPr>
        <w:pStyle w:val="25"/>
        <w:spacing w:line="360" w:lineRule="auto"/>
        <w:rPr>
          <w:rFonts w:ascii="宋体" w:hAnsi="宋体" w:cs="宋体"/>
          <w:color w:val="auto"/>
          <w:kern w:val="2"/>
          <w:sz w:val="21"/>
          <w:szCs w:val="21"/>
          <w:highlight w:val="none"/>
        </w:rPr>
      </w:pPr>
    </w:p>
    <w:p w14:paraId="1E59129A">
      <w:pPr>
        <w:keepNext/>
        <w:keepLines/>
        <w:spacing w:before="260" w:after="260" w:line="415" w:lineRule="auto"/>
        <w:jc w:val="center"/>
        <w:outlineLvl w:val="1"/>
        <w:rPr>
          <w:rFonts w:eastAsia="黑体"/>
          <w:b/>
          <w:bCs/>
          <w:color w:val="auto"/>
          <w:sz w:val="32"/>
          <w:szCs w:val="32"/>
          <w:highlight w:val="none"/>
        </w:rPr>
      </w:pPr>
      <w:r>
        <w:rPr>
          <w:rFonts w:hint="eastAsia" w:ascii="Arial" w:hAnsi="Arial" w:eastAsia="黑体"/>
          <w:b/>
          <w:bCs/>
          <w:color w:val="auto"/>
          <w:sz w:val="32"/>
          <w:szCs w:val="32"/>
          <w:highlight w:val="none"/>
        </w:rPr>
        <w:br w:type="page"/>
      </w:r>
      <w:r>
        <w:rPr>
          <w:rFonts w:hint="eastAsia" w:ascii="Arial" w:hAnsi="Arial" w:eastAsia="黑体"/>
          <w:b/>
          <w:bCs/>
          <w:color w:val="auto"/>
          <w:sz w:val="32"/>
          <w:szCs w:val="32"/>
          <w:highlight w:val="none"/>
        </w:rPr>
        <w:t>第二部分通用合同条款</w:t>
      </w:r>
      <w:bookmarkEnd w:id="125"/>
      <w:bookmarkEnd w:id="126"/>
      <w:bookmarkEnd w:id="127"/>
      <w:bookmarkEnd w:id="128"/>
      <w:bookmarkEnd w:id="129"/>
      <w:bookmarkEnd w:id="130"/>
      <w:bookmarkEnd w:id="131"/>
      <w:bookmarkEnd w:id="132"/>
    </w:p>
    <w:p w14:paraId="3A2CEEDD">
      <w:pPr>
        <w:jc w:val="center"/>
        <w:rPr>
          <w:rFonts w:ascii="宋体" w:hAnsi="Courier New"/>
          <w:b/>
          <w:color w:val="auto"/>
          <w:sz w:val="32"/>
          <w:szCs w:val="32"/>
          <w:highlight w:val="none"/>
        </w:rPr>
      </w:pPr>
      <w:r>
        <w:rPr>
          <w:rFonts w:hint="eastAsia" w:ascii="宋体" w:hAnsi="Courier New"/>
          <w:b/>
          <w:color w:val="auto"/>
          <w:sz w:val="32"/>
          <w:szCs w:val="32"/>
          <w:highlight w:val="none"/>
        </w:rPr>
        <w:t>采用《建设工程施工合同（示范文本）（</w:t>
      </w:r>
      <w:r>
        <w:rPr>
          <w:rFonts w:ascii="宋体" w:hAnsi="Courier New"/>
          <w:b/>
          <w:color w:val="auto"/>
          <w:sz w:val="32"/>
          <w:szCs w:val="32"/>
          <w:highlight w:val="none"/>
        </w:rPr>
        <w:t>GF-201</w:t>
      </w:r>
      <w:r>
        <w:rPr>
          <w:rFonts w:hint="eastAsia" w:ascii="宋体" w:hAnsi="Courier New"/>
          <w:b/>
          <w:color w:val="auto"/>
          <w:sz w:val="32"/>
          <w:szCs w:val="32"/>
          <w:highlight w:val="none"/>
        </w:rPr>
        <w:t>7</w:t>
      </w:r>
      <w:r>
        <w:rPr>
          <w:rFonts w:ascii="宋体" w:hAnsi="Courier New"/>
          <w:b/>
          <w:color w:val="auto"/>
          <w:sz w:val="32"/>
          <w:szCs w:val="32"/>
          <w:highlight w:val="none"/>
        </w:rPr>
        <w:t>-0201</w:t>
      </w:r>
      <w:r>
        <w:rPr>
          <w:rFonts w:hint="eastAsia" w:ascii="宋体" w:hAnsi="Courier New"/>
          <w:b/>
          <w:color w:val="auto"/>
          <w:sz w:val="32"/>
          <w:szCs w:val="32"/>
          <w:highlight w:val="none"/>
        </w:rPr>
        <w:t>）》通用合同条款</w:t>
      </w:r>
    </w:p>
    <w:p w14:paraId="5610C23A">
      <w:pPr>
        <w:keepNext/>
        <w:keepLines/>
        <w:spacing w:before="260" w:after="260" w:line="415" w:lineRule="auto"/>
        <w:ind w:firstLine="251"/>
        <w:jc w:val="center"/>
        <w:outlineLvl w:val="1"/>
        <w:rPr>
          <w:rFonts w:ascii="Arial" w:hAnsi="Arial" w:eastAsia="黑体"/>
          <w:b/>
          <w:bCs/>
          <w:color w:val="auto"/>
          <w:sz w:val="32"/>
          <w:szCs w:val="32"/>
          <w:highlight w:val="none"/>
        </w:rPr>
      </w:pPr>
      <w:bookmarkStart w:id="133" w:name="_Toc383182219"/>
      <w:bookmarkStart w:id="134" w:name="_Toc81837451"/>
      <w:bookmarkStart w:id="135" w:name="_Toc31670"/>
      <w:bookmarkStart w:id="136" w:name="_Toc15111"/>
      <w:bookmarkStart w:id="137" w:name="_Toc18897"/>
      <w:r>
        <w:rPr>
          <w:rFonts w:hint="eastAsia" w:ascii="Arial" w:hAnsi="Arial" w:eastAsia="黑体"/>
          <w:b/>
          <w:bCs/>
          <w:color w:val="auto"/>
          <w:sz w:val="32"/>
          <w:szCs w:val="32"/>
          <w:highlight w:val="none"/>
        </w:rPr>
        <w:t>第三部分专用合同条款</w:t>
      </w:r>
      <w:bookmarkEnd w:id="133"/>
      <w:bookmarkEnd w:id="134"/>
      <w:bookmarkEnd w:id="135"/>
      <w:bookmarkEnd w:id="136"/>
      <w:bookmarkEnd w:id="137"/>
    </w:p>
    <w:p w14:paraId="39B6E06B">
      <w:pPr>
        <w:spacing w:line="360" w:lineRule="auto"/>
        <w:jc w:val="center"/>
        <w:rPr>
          <w:rFonts w:hAnsi="宋体"/>
          <w:b/>
          <w:bCs/>
          <w:color w:val="auto"/>
          <w:kern w:val="0"/>
          <w:highlight w:val="none"/>
        </w:rPr>
      </w:pPr>
      <w:r>
        <w:rPr>
          <w:rFonts w:hint="eastAsia" w:hAnsi="宋体" w:cs="宋体"/>
          <w:b/>
          <w:bCs/>
          <w:color w:val="auto"/>
          <w:kern w:val="0"/>
          <w:highlight w:val="none"/>
        </w:rPr>
        <w:t>（注：专用合同条款每一条均应填写完整！）</w:t>
      </w:r>
    </w:p>
    <w:p w14:paraId="0D5C8699">
      <w:pPr>
        <w:keepNext/>
        <w:keepLines/>
        <w:spacing w:before="260" w:after="260" w:line="413" w:lineRule="auto"/>
        <w:outlineLvl w:val="1"/>
        <w:rPr>
          <w:rFonts w:ascii="Arial" w:hAnsi="Arial" w:eastAsia="黑体"/>
          <w:b/>
          <w:bCs/>
          <w:color w:val="auto"/>
          <w:sz w:val="32"/>
          <w:szCs w:val="32"/>
          <w:highlight w:val="none"/>
        </w:rPr>
      </w:pPr>
      <w:bookmarkStart w:id="138" w:name="_Toc373227692"/>
      <w:bookmarkStart w:id="139" w:name="_Toc1516097295"/>
      <w:bookmarkStart w:id="140" w:name="_Toc389065258"/>
      <w:bookmarkStart w:id="141" w:name="_Toc1013968286"/>
      <w:bookmarkStart w:id="142" w:name="_Toc407135194"/>
      <w:bookmarkStart w:id="143" w:name="_Toc373478339"/>
      <w:bookmarkStart w:id="144" w:name="_Toc78449780"/>
      <w:bookmarkStart w:id="145" w:name="_Toc351203633"/>
      <w:r>
        <w:rPr>
          <w:rFonts w:ascii="Arial" w:hAnsi="Arial" w:eastAsia="黑体"/>
          <w:b/>
          <w:bCs/>
          <w:color w:val="auto"/>
          <w:sz w:val="32"/>
          <w:szCs w:val="32"/>
          <w:highlight w:val="none"/>
        </w:rPr>
        <w:t>1</w:t>
      </w:r>
      <w:bookmarkStart w:id="146" w:name="_Toc292559361"/>
      <w:bookmarkStart w:id="147" w:name="_Toc296503156"/>
      <w:bookmarkStart w:id="148" w:name="_Toc296346657"/>
      <w:bookmarkStart w:id="149" w:name="_Toc296890984"/>
      <w:bookmarkStart w:id="150" w:name="_Toc296891196"/>
      <w:bookmarkStart w:id="151" w:name="_Toc297120456"/>
      <w:bookmarkStart w:id="152" w:name="_Toc292559866"/>
      <w:bookmarkStart w:id="153" w:name="_Toc297048342"/>
      <w:bookmarkStart w:id="154" w:name="_Toc296347155"/>
      <w:bookmarkStart w:id="155" w:name="_Toc296944495"/>
      <w:r>
        <w:rPr>
          <w:rFonts w:ascii="Arial" w:hAnsi="Arial" w:eastAsia="黑体"/>
          <w:b/>
          <w:bCs/>
          <w:color w:val="auto"/>
          <w:sz w:val="32"/>
          <w:szCs w:val="32"/>
          <w:highlight w:val="none"/>
        </w:rPr>
        <w:t xml:space="preserve">. </w:t>
      </w:r>
      <w:r>
        <w:rPr>
          <w:rFonts w:hint="eastAsia" w:ascii="Arial" w:hAnsi="宋体" w:eastAsia="黑体" w:cs="黑体"/>
          <w:b/>
          <w:bCs/>
          <w:color w:val="auto"/>
          <w:sz w:val="32"/>
          <w:szCs w:val="32"/>
          <w:highlight w:val="none"/>
        </w:rPr>
        <w:t>一般约定</w:t>
      </w:r>
      <w:bookmarkEnd w:id="138"/>
      <w:bookmarkEnd w:id="139"/>
      <w:bookmarkEnd w:id="140"/>
      <w:bookmarkEnd w:id="141"/>
      <w:bookmarkEnd w:id="142"/>
      <w:bookmarkEnd w:id="143"/>
      <w:bookmarkEnd w:id="144"/>
      <w:bookmarkEnd w:id="145"/>
    </w:p>
    <w:bookmarkEnd w:id="146"/>
    <w:bookmarkEnd w:id="147"/>
    <w:bookmarkEnd w:id="148"/>
    <w:bookmarkEnd w:id="149"/>
    <w:bookmarkEnd w:id="150"/>
    <w:bookmarkEnd w:id="151"/>
    <w:bookmarkEnd w:id="152"/>
    <w:bookmarkEnd w:id="153"/>
    <w:bookmarkEnd w:id="154"/>
    <w:bookmarkEnd w:id="155"/>
    <w:p w14:paraId="00B4A111">
      <w:pPr>
        <w:keepNext/>
        <w:keepLines/>
        <w:spacing w:line="600" w:lineRule="exact"/>
        <w:ind w:firstLine="643" w:firstLineChars="200"/>
        <w:outlineLvl w:val="2"/>
        <w:rPr>
          <w:b/>
          <w:bCs/>
          <w:color w:val="auto"/>
          <w:sz w:val="32"/>
          <w:szCs w:val="32"/>
          <w:highlight w:val="none"/>
        </w:rPr>
      </w:pPr>
      <w:bookmarkStart w:id="156" w:name="_Toc78449781"/>
      <w:bookmarkStart w:id="157" w:name="_Toc407135195"/>
      <w:bookmarkStart w:id="158" w:name="_Toc373227693"/>
      <w:bookmarkStart w:id="159" w:name="_Toc155697041"/>
      <w:bookmarkStart w:id="160" w:name="_Toc373478340"/>
      <w:bookmarkStart w:id="161" w:name="_Toc1618220701"/>
      <w:bookmarkStart w:id="162" w:name="_Toc389065259"/>
      <w:r>
        <w:rPr>
          <w:b/>
          <w:bCs/>
          <w:color w:val="auto"/>
          <w:sz w:val="32"/>
          <w:szCs w:val="32"/>
          <w:highlight w:val="none"/>
        </w:rPr>
        <w:t xml:space="preserve">1.1 </w:t>
      </w:r>
      <w:r>
        <w:rPr>
          <w:rFonts w:hint="eastAsia" w:hAnsi="宋体" w:cs="黑体"/>
          <w:b/>
          <w:bCs/>
          <w:color w:val="auto"/>
          <w:sz w:val="32"/>
          <w:szCs w:val="32"/>
          <w:highlight w:val="none"/>
        </w:rPr>
        <w:t>词语定义</w:t>
      </w:r>
      <w:bookmarkEnd w:id="156"/>
      <w:bookmarkEnd w:id="157"/>
      <w:bookmarkEnd w:id="158"/>
      <w:bookmarkEnd w:id="159"/>
      <w:bookmarkEnd w:id="160"/>
      <w:bookmarkEnd w:id="161"/>
      <w:bookmarkEnd w:id="162"/>
    </w:p>
    <w:p w14:paraId="4114556A">
      <w:pPr>
        <w:spacing w:line="360" w:lineRule="auto"/>
        <w:ind w:firstLine="420" w:firstLineChars="200"/>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14:paraId="427F4147">
      <w:pPr>
        <w:spacing w:line="360" w:lineRule="auto"/>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rFonts w:hint="eastAsia" w:ascii="Calibri" w:hAnsi="Calibri"/>
          <w:color w:val="auto"/>
          <w:highlight w:val="none"/>
          <w:u w:val="single"/>
        </w:rPr>
        <w:t>施工组织设计、成交通知书、投标文件（含投标文件补充文件）、招标文件（含招标文件补充文件）、经合同双方当事人确认构成合同文件的其他文件，包括合同履行中，发包人承包人有关工程的洽谈、设计变更、通知确认书、图纸会审、合同补充协议；工程会议纪要、例会纪要等书面协议或文件</w:t>
      </w:r>
      <w:r>
        <w:rPr>
          <w:rFonts w:hint="eastAsia" w:hAnsi="宋体" w:cs="宋体"/>
          <w:color w:val="auto"/>
          <w:highlight w:val="none"/>
        </w:rPr>
        <w:t>。</w:t>
      </w:r>
    </w:p>
    <w:p w14:paraId="35C9217C">
      <w:pPr>
        <w:spacing w:line="360" w:lineRule="auto"/>
        <w:ind w:firstLine="420" w:firstLineChars="200"/>
        <w:rPr>
          <w:color w:val="auto"/>
          <w:highlight w:val="none"/>
        </w:rPr>
      </w:pPr>
      <w:r>
        <w:rPr>
          <w:color w:val="auto"/>
          <w:highlight w:val="none"/>
        </w:rPr>
        <w:t xml:space="preserve">1.1.2 </w:t>
      </w:r>
      <w:r>
        <w:rPr>
          <w:rFonts w:hint="eastAsia" w:hAnsi="宋体" w:cs="宋体"/>
          <w:color w:val="auto"/>
          <w:highlight w:val="none"/>
        </w:rPr>
        <w:t>合同当事人及其他相关方</w:t>
      </w:r>
    </w:p>
    <w:p w14:paraId="55751EE0">
      <w:pPr>
        <w:spacing w:line="360" w:lineRule="auto"/>
        <w:ind w:firstLine="420" w:firstLineChars="200"/>
        <w:outlineLvl w:val="0"/>
        <w:rPr>
          <w:color w:val="auto"/>
          <w:highlight w:val="none"/>
        </w:rPr>
      </w:pPr>
      <w:r>
        <w:rPr>
          <w:color w:val="auto"/>
          <w:highlight w:val="none"/>
        </w:rPr>
        <w:t xml:space="preserve">1.1.2.4 </w:t>
      </w:r>
      <w:r>
        <w:rPr>
          <w:rFonts w:hint="eastAsia" w:hAnsi="宋体" w:cs="宋体"/>
          <w:color w:val="auto"/>
          <w:highlight w:val="none"/>
        </w:rPr>
        <w:t>监理人：</w:t>
      </w:r>
    </w:p>
    <w:p w14:paraId="5C140ABE">
      <w:pPr>
        <w:spacing w:line="360" w:lineRule="auto"/>
        <w:ind w:firstLine="420" w:firstLineChars="200"/>
        <w:rPr>
          <w:color w:val="auto"/>
          <w:highlight w:val="none"/>
        </w:rPr>
      </w:pPr>
      <w:r>
        <w:rPr>
          <w:rFonts w:hint="eastAsia" w:hAnsi="宋体" w:cs="宋体"/>
          <w:color w:val="auto"/>
          <w:highlight w:val="none"/>
        </w:rPr>
        <w:t>名称： ；</w:t>
      </w:r>
    </w:p>
    <w:p w14:paraId="50471D15">
      <w:pPr>
        <w:spacing w:line="360" w:lineRule="auto"/>
        <w:ind w:firstLine="420" w:firstLineChars="200"/>
        <w:rPr>
          <w:color w:val="auto"/>
          <w:highlight w:val="none"/>
        </w:rPr>
      </w:pPr>
      <w:r>
        <w:rPr>
          <w:rFonts w:hint="eastAsia" w:hAnsi="宋体" w:cs="宋体"/>
          <w:color w:val="auto"/>
          <w:highlight w:val="none"/>
        </w:rPr>
        <w:t>资质类别和等级：；</w:t>
      </w:r>
    </w:p>
    <w:p w14:paraId="256EA0A1">
      <w:pPr>
        <w:spacing w:line="360" w:lineRule="auto"/>
        <w:ind w:firstLine="420" w:firstLineChars="200"/>
        <w:rPr>
          <w:color w:val="auto"/>
          <w:highlight w:val="none"/>
        </w:rPr>
      </w:pPr>
      <w:r>
        <w:rPr>
          <w:rFonts w:hint="eastAsia" w:hAnsi="宋体" w:cs="宋体"/>
          <w:color w:val="auto"/>
          <w:highlight w:val="none"/>
        </w:rPr>
        <w:t>联系电话：；</w:t>
      </w:r>
    </w:p>
    <w:p w14:paraId="1C1BC5B3">
      <w:pPr>
        <w:spacing w:line="360" w:lineRule="auto"/>
        <w:ind w:firstLine="420" w:firstLineChars="200"/>
        <w:rPr>
          <w:color w:val="auto"/>
          <w:highlight w:val="none"/>
        </w:rPr>
      </w:pPr>
      <w:r>
        <w:rPr>
          <w:rFonts w:hint="eastAsia" w:hAnsi="宋体" w:cs="宋体"/>
          <w:color w:val="auto"/>
          <w:highlight w:val="none"/>
        </w:rPr>
        <w:t>电子信箱：；</w:t>
      </w:r>
    </w:p>
    <w:p w14:paraId="566CAED3">
      <w:pPr>
        <w:spacing w:line="360" w:lineRule="auto"/>
        <w:ind w:firstLine="420" w:firstLineChars="200"/>
        <w:rPr>
          <w:color w:val="auto"/>
          <w:highlight w:val="none"/>
        </w:rPr>
      </w:pPr>
      <w:r>
        <w:rPr>
          <w:rFonts w:hint="eastAsia" w:hAnsi="宋体" w:cs="宋体"/>
          <w:color w:val="auto"/>
          <w:highlight w:val="none"/>
        </w:rPr>
        <w:t>通信地址：。</w:t>
      </w:r>
    </w:p>
    <w:p w14:paraId="033E6E63">
      <w:pPr>
        <w:spacing w:line="360" w:lineRule="auto"/>
        <w:ind w:firstLine="420" w:firstLineChars="200"/>
        <w:outlineLvl w:val="0"/>
        <w:rPr>
          <w:color w:val="auto"/>
          <w:highlight w:val="none"/>
        </w:rPr>
      </w:pPr>
      <w:r>
        <w:rPr>
          <w:color w:val="auto"/>
          <w:highlight w:val="none"/>
        </w:rPr>
        <w:t xml:space="preserve">1.1.2.5 </w:t>
      </w:r>
      <w:r>
        <w:rPr>
          <w:rFonts w:hint="eastAsia" w:hAnsi="宋体" w:cs="宋体"/>
          <w:color w:val="auto"/>
          <w:highlight w:val="none"/>
        </w:rPr>
        <w:t>设计人：</w:t>
      </w:r>
    </w:p>
    <w:p w14:paraId="33851001">
      <w:pPr>
        <w:spacing w:line="360" w:lineRule="auto"/>
        <w:ind w:firstLine="420" w:firstLineChars="200"/>
        <w:rPr>
          <w:color w:val="auto"/>
          <w:highlight w:val="none"/>
        </w:rPr>
      </w:pPr>
      <w:r>
        <w:rPr>
          <w:rFonts w:hint="eastAsia" w:hAnsi="宋体" w:cs="宋体"/>
          <w:color w:val="auto"/>
          <w:highlight w:val="none"/>
        </w:rPr>
        <w:t>名称：；</w:t>
      </w:r>
    </w:p>
    <w:p w14:paraId="39CDFD4D">
      <w:pPr>
        <w:spacing w:line="360" w:lineRule="auto"/>
        <w:ind w:firstLine="420" w:firstLineChars="200"/>
        <w:rPr>
          <w:color w:val="auto"/>
          <w:highlight w:val="none"/>
        </w:rPr>
      </w:pPr>
      <w:r>
        <w:rPr>
          <w:rFonts w:hint="eastAsia" w:hAnsi="宋体" w:cs="宋体"/>
          <w:color w:val="auto"/>
          <w:highlight w:val="none"/>
        </w:rPr>
        <w:t>资质类别和等级：；</w:t>
      </w:r>
    </w:p>
    <w:p w14:paraId="5E2AF45E">
      <w:pPr>
        <w:spacing w:line="360" w:lineRule="auto"/>
        <w:ind w:firstLine="420" w:firstLineChars="200"/>
        <w:rPr>
          <w:color w:val="auto"/>
          <w:highlight w:val="none"/>
        </w:rPr>
      </w:pPr>
      <w:r>
        <w:rPr>
          <w:rFonts w:hint="eastAsia" w:hAnsi="宋体" w:cs="宋体"/>
          <w:color w:val="auto"/>
          <w:highlight w:val="none"/>
        </w:rPr>
        <w:t>联系电话：；</w:t>
      </w:r>
    </w:p>
    <w:p w14:paraId="2FF0F47F">
      <w:pPr>
        <w:spacing w:line="360" w:lineRule="auto"/>
        <w:ind w:firstLine="420" w:firstLineChars="200"/>
        <w:rPr>
          <w:color w:val="auto"/>
          <w:highlight w:val="none"/>
        </w:rPr>
      </w:pPr>
      <w:r>
        <w:rPr>
          <w:rFonts w:hint="eastAsia" w:hAnsi="宋体" w:cs="宋体"/>
          <w:color w:val="auto"/>
          <w:highlight w:val="none"/>
        </w:rPr>
        <w:t>电子信箱：；</w:t>
      </w:r>
    </w:p>
    <w:p w14:paraId="04948ECD">
      <w:pPr>
        <w:spacing w:line="360" w:lineRule="auto"/>
        <w:ind w:firstLine="420" w:firstLineChars="200"/>
        <w:rPr>
          <w:color w:val="auto"/>
          <w:highlight w:val="none"/>
        </w:rPr>
      </w:pPr>
      <w:r>
        <w:rPr>
          <w:rFonts w:hint="eastAsia" w:hAnsi="宋体" w:cs="宋体"/>
          <w:color w:val="auto"/>
          <w:highlight w:val="none"/>
        </w:rPr>
        <w:t>通信地址：。</w:t>
      </w:r>
    </w:p>
    <w:p w14:paraId="65B4D3F6">
      <w:pPr>
        <w:spacing w:line="360" w:lineRule="auto"/>
        <w:ind w:firstLine="420" w:firstLineChars="200"/>
        <w:rPr>
          <w:color w:val="auto"/>
          <w:highlight w:val="none"/>
        </w:rPr>
      </w:pPr>
      <w:r>
        <w:rPr>
          <w:color w:val="auto"/>
          <w:highlight w:val="none"/>
        </w:rPr>
        <w:t xml:space="preserve">1.1.3 </w:t>
      </w:r>
      <w:r>
        <w:rPr>
          <w:rFonts w:hint="eastAsia" w:hAnsi="宋体" w:cs="宋体"/>
          <w:color w:val="auto"/>
          <w:highlight w:val="none"/>
        </w:rPr>
        <w:t>工程和设备</w:t>
      </w:r>
    </w:p>
    <w:p w14:paraId="289B4558">
      <w:pPr>
        <w:spacing w:line="360" w:lineRule="auto"/>
        <w:ind w:firstLine="420" w:firstLineChars="200"/>
        <w:outlineLvl w:val="0"/>
        <w:rPr>
          <w:rFonts w:hAnsi="宋体"/>
          <w:color w:val="auto"/>
          <w:highlight w:val="none"/>
        </w:rPr>
      </w:pPr>
      <w:r>
        <w:rPr>
          <w:color w:val="auto"/>
          <w:highlight w:val="none"/>
        </w:rPr>
        <w:t xml:space="preserve">1.1.3.7 </w:t>
      </w:r>
      <w:r>
        <w:rPr>
          <w:rFonts w:hint="eastAsia" w:hAnsi="宋体" w:cs="宋体"/>
          <w:color w:val="auto"/>
          <w:highlight w:val="none"/>
        </w:rPr>
        <w:t>作为施工现场组成部分的其他场所包括：</w:t>
      </w:r>
    </w:p>
    <w:p w14:paraId="5F9DB36E">
      <w:pPr>
        <w:spacing w:line="360" w:lineRule="auto"/>
        <w:ind w:firstLine="420" w:firstLineChars="200"/>
        <w:rPr>
          <w:color w:val="auto"/>
          <w:highlight w:val="none"/>
        </w:rPr>
      </w:pPr>
      <w:r>
        <w:rPr>
          <w:rFonts w:hint="eastAsia" w:ascii="Calibri" w:hAnsi="Calibri"/>
          <w:color w:val="auto"/>
          <w:highlight w:val="none"/>
          <w:u w:val="single"/>
        </w:rPr>
        <w:t>永久占地和临时占地（用于工程施工的场所，包括永久占用地和临时占用地）</w:t>
      </w:r>
      <w:r>
        <w:rPr>
          <w:rFonts w:hint="eastAsia" w:hAnsi="宋体" w:cs="宋体"/>
          <w:color w:val="auto"/>
          <w:highlight w:val="none"/>
        </w:rPr>
        <w:t>。</w:t>
      </w:r>
    </w:p>
    <w:p w14:paraId="0F5F3F0F">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rFonts w:hint="eastAsia" w:ascii="Calibri" w:hAnsi="Calibri"/>
          <w:color w:val="auto"/>
          <w:highlight w:val="none"/>
          <w:u w:val="single"/>
        </w:rPr>
        <w:t>按照设计图纸确定</w:t>
      </w:r>
      <w:r>
        <w:rPr>
          <w:rFonts w:hint="eastAsia" w:hAnsi="宋体" w:cs="宋体"/>
          <w:color w:val="auto"/>
          <w:kern w:val="0"/>
          <w:highlight w:val="none"/>
        </w:rPr>
        <w:t>。</w:t>
      </w:r>
    </w:p>
    <w:p w14:paraId="0B946844">
      <w:pPr>
        <w:spacing w:line="360" w:lineRule="auto"/>
        <w:ind w:firstLine="420" w:firstLineChars="200"/>
        <w:jc w:val="left"/>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rFonts w:hint="eastAsia" w:ascii="宋体" w:hAnsi="宋体"/>
          <w:color w:val="auto"/>
          <w:highlight w:val="none"/>
          <w:u w:val="single"/>
        </w:rPr>
        <w:t>临时设施（脚手架、模板及支架、围栏、便道等工程）所需场地（为实施工程需要临时占用地土地）</w:t>
      </w:r>
      <w:r>
        <w:rPr>
          <w:rFonts w:hint="eastAsia" w:hAnsi="宋体" w:cs="宋体"/>
          <w:color w:val="auto"/>
          <w:kern w:val="0"/>
          <w:highlight w:val="none"/>
        </w:rPr>
        <w:t>。</w:t>
      </w:r>
    </w:p>
    <w:p w14:paraId="33AC6833">
      <w:pPr>
        <w:keepNext/>
        <w:keepLines/>
        <w:spacing w:line="600" w:lineRule="exact"/>
        <w:ind w:firstLine="643" w:firstLineChars="200"/>
        <w:outlineLvl w:val="2"/>
        <w:rPr>
          <w:b/>
          <w:bCs/>
          <w:color w:val="auto"/>
          <w:sz w:val="32"/>
          <w:szCs w:val="32"/>
          <w:highlight w:val="none"/>
        </w:rPr>
      </w:pPr>
      <w:bookmarkStart w:id="163" w:name="_Toc1162259329"/>
      <w:bookmarkStart w:id="164" w:name="_Toc373227694"/>
      <w:bookmarkStart w:id="165" w:name="_Toc1182598796"/>
      <w:bookmarkStart w:id="166" w:name="_Toc78449782"/>
      <w:bookmarkStart w:id="167" w:name="_Toc373478341"/>
      <w:bookmarkStart w:id="168" w:name="_Toc407135196"/>
      <w:bookmarkStart w:id="169" w:name="_Toc389065260"/>
      <w:r>
        <w:rPr>
          <w:b/>
          <w:bCs/>
          <w:color w:val="auto"/>
          <w:sz w:val="32"/>
          <w:szCs w:val="32"/>
          <w:highlight w:val="none"/>
        </w:rPr>
        <w:t xml:space="preserve">1.3 </w:t>
      </w:r>
      <w:r>
        <w:rPr>
          <w:rFonts w:hint="eastAsia" w:hAnsi="宋体" w:cs="黑体"/>
          <w:b/>
          <w:bCs/>
          <w:color w:val="auto"/>
          <w:sz w:val="32"/>
          <w:szCs w:val="32"/>
          <w:highlight w:val="none"/>
        </w:rPr>
        <w:t>法律</w:t>
      </w:r>
      <w:bookmarkEnd w:id="163"/>
      <w:bookmarkEnd w:id="164"/>
      <w:bookmarkEnd w:id="165"/>
      <w:bookmarkEnd w:id="166"/>
      <w:bookmarkEnd w:id="167"/>
      <w:bookmarkEnd w:id="168"/>
      <w:bookmarkEnd w:id="169"/>
    </w:p>
    <w:p w14:paraId="52E30317">
      <w:pPr>
        <w:autoSpaceDE w:val="0"/>
        <w:autoSpaceDN w:val="0"/>
        <w:adjustRightInd w:val="0"/>
        <w:spacing w:line="360" w:lineRule="auto"/>
        <w:jc w:val="left"/>
        <w:rPr>
          <w:color w:val="auto"/>
          <w:highlight w:val="none"/>
        </w:rPr>
      </w:pPr>
      <w:r>
        <w:rPr>
          <w:rFonts w:hint="eastAsia" w:hAnsi="宋体" w:cs="宋体"/>
          <w:color w:val="auto"/>
          <w:highlight w:val="none"/>
        </w:rPr>
        <w:t>适用于合同的其他规范性文件：</w:t>
      </w:r>
      <w:r>
        <w:rPr>
          <w:rFonts w:hint="eastAsia" w:ascii="Calibri" w:hAnsi="宋体"/>
          <w:color w:val="auto"/>
          <w:highlight w:val="none"/>
          <w:u w:val="single"/>
        </w:rPr>
        <w:t>《中华人民共和国民法典》、《中华人民共和国建筑法》、《中华人民共和国招标投标法》、《中华人民共和国安全生产法》《建筑工程质量管理条例》，以及其他有关法律、法规</w:t>
      </w:r>
      <w:r>
        <w:rPr>
          <w:rFonts w:hint="eastAsia" w:hAnsi="宋体" w:cs="宋体"/>
          <w:color w:val="auto"/>
          <w:highlight w:val="none"/>
        </w:rPr>
        <w:t>。</w:t>
      </w:r>
    </w:p>
    <w:p w14:paraId="1F0B12BD">
      <w:pPr>
        <w:keepNext/>
        <w:keepLines/>
        <w:spacing w:line="600" w:lineRule="exact"/>
        <w:ind w:firstLine="643" w:firstLineChars="200"/>
        <w:outlineLvl w:val="2"/>
        <w:rPr>
          <w:b/>
          <w:bCs/>
          <w:color w:val="auto"/>
          <w:sz w:val="32"/>
          <w:szCs w:val="32"/>
          <w:highlight w:val="none"/>
        </w:rPr>
      </w:pPr>
      <w:bookmarkStart w:id="170" w:name="_Toc1694357896"/>
      <w:bookmarkStart w:id="171" w:name="_Toc407135197"/>
      <w:bookmarkStart w:id="172" w:name="_Toc373478342"/>
      <w:bookmarkStart w:id="173" w:name="_Toc1569433547"/>
      <w:bookmarkStart w:id="174" w:name="_Toc373227695"/>
      <w:bookmarkStart w:id="175" w:name="_Toc389065261"/>
      <w:bookmarkStart w:id="176" w:name="_Toc78449783"/>
      <w:r>
        <w:rPr>
          <w:b/>
          <w:bCs/>
          <w:color w:val="auto"/>
          <w:sz w:val="32"/>
          <w:szCs w:val="32"/>
          <w:highlight w:val="none"/>
        </w:rPr>
        <w:t xml:space="preserve">1.4 </w:t>
      </w:r>
      <w:r>
        <w:rPr>
          <w:rFonts w:hint="eastAsia" w:hAnsi="宋体" w:cs="黑体"/>
          <w:b/>
          <w:bCs/>
          <w:color w:val="auto"/>
          <w:sz w:val="32"/>
          <w:szCs w:val="32"/>
          <w:highlight w:val="none"/>
        </w:rPr>
        <w:t>标准和规范</w:t>
      </w:r>
      <w:bookmarkEnd w:id="170"/>
      <w:bookmarkEnd w:id="171"/>
      <w:bookmarkEnd w:id="172"/>
      <w:bookmarkEnd w:id="173"/>
      <w:bookmarkEnd w:id="174"/>
      <w:bookmarkEnd w:id="175"/>
      <w:bookmarkEnd w:id="176"/>
    </w:p>
    <w:p w14:paraId="47F28756">
      <w:pPr>
        <w:spacing w:line="360" w:lineRule="auto"/>
        <w:ind w:firstLine="420" w:firstLineChars="200"/>
        <w:rPr>
          <w:rFonts w:hAnsi="宋体" w:cs="宋体"/>
          <w:color w:val="auto"/>
          <w:highlight w:val="none"/>
        </w:rPr>
      </w:pPr>
      <w:r>
        <w:rPr>
          <w:color w:val="auto"/>
          <w:highlight w:val="none"/>
        </w:rPr>
        <w:t xml:space="preserve">1.4.1 </w:t>
      </w:r>
      <w:r>
        <w:rPr>
          <w:rFonts w:hint="eastAsia" w:hAnsi="宋体" w:cs="宋体"/>
          <w:color w:val="auto"/>
          <w:highlight w:val="none"/>
        </w:rPr>
        <w:t>适用于工程的标准规范包括：</w:t>
      </w:r>
    </w:p>
    <w:p w14:paraId="323DEA62">
      <w:pPr>
        <w:spacing w:line="360" w:lineRule="auto"/>
        <w:ind w:firstLine="420" w:firstLineChars="200"/>
        <w:rPr>
          <w:rFonts w:ascii="Calibri" w:hAnsi="宋体"/>
          <w:color w:val="auto"/>
          <w:highlight w:val="none"/>
        </w:rPr>
      </w:pPr>
      <w:r>
        <w:rPr>
          <w:rFonts w:hint="eastAsia" w:ascii="Calibri" w:hAnsi="宋体"/>
          <w:color w:val="auto"/>
          <w:highlight w:val="none"/>
        </w:rPr>
        <w:t>1.4.1.1本工程设计文件指定的标准、规范；</w:t>
      </w:r>
    </w:p>
    <w:p w14:paraId="7BBE6107">
      <w:pPr>
        <w:spacing w:line="360" w:lineRule="auto"/>
        <w:ind w:firstLine="420" w:firstLineChars="200"/>
        <w:rPr>
          <w:rFonts w:ascii="Calibri" w:hAnsi="宋体"/>
          <w:color w:val="auto"/>
          <w:highlight w:val="none"/>
        </w:rPr>
      </w:pPr>
      <w:r>
        <w:rPr>
          <w:rFonts w:hint="eastAsia" w:ascii="Calibri" w:hAnsi="宋体"/>
          <w:color w:val="auto"/>
          <w:highlight w:val="none"/>
        </w:rPr>
        <w:t>1.4.1.2与国家标准、规范无冲突的工程相应的行业标准、规范；</w:t>
      </w:r>
    </w:p>
    <w:p w14:paraId="362BF9C2">
      <w:pPr>
        <w:spacing w:line="360" w:lineRule="auto"/>
        <w:ind w:firstLine="420" w:firstLineChars="200"/>
        <w:rPr>
          <w:rFonts w:ascii="Calibri" w:hAnsi="宋体"/>
          <w:color w:val="auto"/>
          <w:highlight w:val="none"/>
        </w:rPr>
      </w:pPr>
      <w:r>
        <w:rPr>
          <w:rFonts w:hint="eastAsia" w:ascii="Calibri" w:hAnsi="宋体"/>
          <w:color w:val="auto"/>
          <w:highlight w:val="none"/>
        </w:rPr>
        <w:t>1.4.1.3 工程所在地建设工程地方标准、规范；</w:t>
      </w:r>
    </w:p>
    <w:p w14:paraId="68A14687">
      <w:pPr>
        <w:spacing w:line="360" w:lineRule="auto"/>
        <w:ind w:firstLine="420" w:firstLineChars="200"/>
        <w:rPr>
          <w:rFonts w:ascii="Calibri" w:hAnsi="宋体"/>
          <w:color w:val="auto"/>
          <w:highlight w:val="none"/>
        </w:rPr>
      </w:pPr>
      <w:r>
        <w:rPr>
          <w:rFonts w:hint="eastAsia" w:ascii="Calibri" w:hAnsi="宋体"/>
          <w:color w:val="auto"/>
          <w:highlight w:val="none"/>
        </w:rPr>
        <w:t>1.4.1.4经发包人认可的承包人提供的施工操作标准、规范；</w:t>
      </w:r>
    </w:p>
    <w:p w14:paraId="5B572D79">
      <w:pPr>
        <w:spacing w:line="360" w:lineRule="auto"/>
        <w:ind w:firstLine="420" w:firstLineChars="200"/>
        <w:rPr>
          <w:rFonts w:ascii="Calibri" w:hAnsi="宋体"/>
          <w:color w:val="auto"/>
          <w:highlight w:val="none"/>
        </w:rPr>
      </w:pPr>
      <w:r>
        <w:rPr>
          <w:rFonts w:hint="eastAsia" w:ascii="Calibri" w:hAnsi="宋体"/>
          <w:color w:val="auto"/>
          <w:highlight w:val="none"/>
        </w:rPr>
        <w:t>1.4.1.5发包人提供的施工技术工艺要求；</w:t>
      </w:r>
    </w:p>
    <w:p w14:paraId="1362FB3A">
      <w:pPr>
        <w:spacing w:line="360" w:lineRule="auto"/>
        <w:rPr>
          <w:color w:val="auto"/>
          <w:highlight w:val="none"/>
        </w:rPr>
      </w:pPr>
      <w:r>
        <w:rPr>
          <w:rFonts w:hint="eastAsia" w:ascii="Calibri" w:hAnsi="宋体"/>
          <w:color w:val="auto"/>
          <w:highlight w:val="none"/>
        </w:rPr>
        <w:t xml:space="preserve">    1.4.1.6在施工期间，国家现行的《建筑工程施工质量验收统一标准》及该标准系列的专业质量验收规范</w:t>
      </w:r>
      <w:r>
        <w:rPr>
          <w:rFonts w:hint="eastAsia" w:hAnsi="宋体" w:cs="宋体"/>
          <w:color w:val="auto"/>
          <w:highlight w:val="none"/>
        </w:rPr>
        <w:t>。</w:t>
      </w:r>
    </w:p>
    <w:p w14:paraId="3DD6C092">
      <w:pPr>
        <w:spacing w:line="360" w:lineRule="auto"/>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hint="eastAsia" w:ascii="Calibri" w:hAnsi="宋体"/>
          <w:color w:val="auto"/>
          <w:kern w:val="0"/>
          <w:highlight w:val="none"/>
          <w:u w:val="single"/>
        </w:rPr>
        <w:t>无</w:t>
      </w:r>
      <w:r>
        <w:rPr>
          <w:rFonts w:hint="eastAsia" w:hAnsi="宋体" w:cs="宋体"/>
          <w:color w:val="auto"/>
          <w:highlight w:val="none"/>
        </w:rPr>
        <w:t>；</w:t>
      </w:r>
    </w:p>
    <w:p w14:paraId="4FA78C9D">
      <w:pPr>
        <w:spacing w:line="360" w:lineRule="auto"/>
        <w:ind w:firstLine="420" w:firstLineChars="200"/>
        <w:rPr>
          <w:color w:val="auto"/>
          <w:kern w:val="0"/>
          <w:highlight w:val="none"/>
        </w:rPr>
      </w:pPr>
      <w:r>
        <w:rPr>
          <w:rFonts w:hint="eastAsia" w:hAnsi="宋体" w:cs="宋体"/>
          <w:color w:val="auto"/>
          <w:kern w:val="0"/>
          <w:highlight w:val="none"/>
        </w:rPr>
        <w:t>发包人提供国外标准、规范的份数：</w:t>
      </w:r>
      <w:r>
        <w:rPr>
          <w:rFonts w:hint="eastAsia" w:ascii="Calibri" w:hAnsi="宋体"/>
          <w:color w:val="auto"/>
          <w:kern w:val="0"/>
          <w:highlight w:val="none"/>
          <w:u w:val="single"/>
        </w:rPr>
        <w:t>无</w:t>
      </w:r>
      <w:r>
        <w:rPr>
          <w:rFonts w:hint="eastAsia" w:hAnsi="宋体" w:cs="宋体"/>
          <w:color w:val="auto"/>
          <w:kern w:val="0"/>
          <w:highlight w:val="none"/>
        </w:rPr>
        <w:t>；</w:t>
      </w:r>
    </w:p>
    <w:p w14:paraId="1CBF5A2C">
      <w:pPr>
        <w:spacing w:line="360" w:lineRule="auto"/>
        <w:ind w:firstLine="420" w:firstLineChars="200"/>
        <w:rPr>
          <w:color w:val="auto"/>
          <w:highlight w:val="none"/>
        </w:rPr>
      </w:pPr>
      <w:r>
        <w:rPr>
          <w:rFonts w:hint="eastAsia" w:hAnsi="宋体" w:cs="宋体"/>
          <w:color w:val="auto"/>
          <w:kern w:val="0"/>
          <w:highlight w:val="none"/>
        </w:rPr>
        <w:t>发包人提供国外标准、规范的名称：</w:t>
      </w:r>
      <w:r>
        <w:rPr>
          <w:rFonts w:hint="eastAsia" w:ascii="Calibri" w:hAnsi="宋体"/>
          <w:color w:val="auto"/>
          <w:kern w:val="0"/>
          <w:highlight w:val="none"/>
          <w:u w:val="single"/>
        </w:rPr>
        <w:t>无</w:t>
      </w:r>
      <w:r>
        <w:rPr>
          <w:rFonts w:hint="eastAsia" w:hAnsi="宋体" w:cs="宋体"/>
          <w:color w:val="auto"/>
          <w:kern w:val="0"/>
          <w:highlight w:val="none"/>
        </w:rPr>
        <w:t>。</w:t>
      </w:r>
    </w:p>
    <w:p w14:paraId="19F85072">
      <w:pPr>
        <w:spacing w:line="360" w:lineRule="auto"/>
        <w:ind w:firstLine="420" w:firstLineChars="200"/>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r>
        <w:rPr>
          <w:rFonts w:hint="eastAsia" w:ascii="Calibri" w:hAnsi="宋体"/>
          <w:color w:val="auto"/>
          <w:highlight w:val="none"/>
          <w:u w:val="single"/>
        </w:rPr>
        <w:t>按中华人民共和国现行的标准、行业标准或地方标准执行</w:t>
      </w:r>
      <w:r>
        <w:rPr>
          <w:rFonts w:hint="eastAsia" w:hAnsi="宋体" w:cs="宋体"/>
          <w:color w:val="auto"/>
          <w:highlight w:val="none"/>
        </w:rPr>
        <w:t>。</w:t>
      </w:r>
    </w:p>
    <w:p w14:paraId="6974FD01">
      <w:pPr>
        <w:keepNext/>
        <w:keepLines/>
        <w:spacing w:line="600" w:lineRule="exact"/>
        <w:ind w:firstLine="643" w:firstLineChars="200"/>
        <w:outlineLvl w:val="2"/>
        <w:rPr>
          <w:b/>
          <w:bCs/>
          <w:color w:val="auto"/>
          <w:sz w:val="32"/>
          <w:szCs w:val="32"/>
          <w:highlight w:val="none"/>
        </w:rPr>
      </w:pPr>
      <w:bookmarkStart w:id="177" w:name="_Toc188277238"/>
      <w:bookmarkStart w:id="178" w:name="_Toc373227696"/>
      <w:bookmarkStart w:id="179" w:name="_Toc24431861"/>
      <w:bookmarkStart w:id="180" w:name="_Toc373478343"/>
      <w:bookmarkStart w:id="181" w:name="_Toc78449784"/>
      <w:bookmarkStart w:id="182" w:name="_Toc407135198"/>
      <w:bookmarkStart w:id="183" w:name="_Toc389065262"/>
      <w:r>
        <w:rPr>
          <w:b/>
          <w:bCs/>
          <w:color w:val="auto"/>
          <w:sz w:val="32"/>
          <w:szCs w:val="32"/>
          <w:highlight w:val="none"/>
        </w:rPr>
        <w:t xml:space="preserve">1.5 </w:t>
      </w:r>
      <w:r>
        <w:rPr>
          <w:rFonts w:hint="eastAsia" w:cs="黑体"/>
          <w:b/>
          <w:bCs/>
          <w:color w:val="auto"/>
          <w:sz w:val="32"/>
          <w:szCs w:val="32"/>
          <w:highlight w:val="none"/>
        </w:rPr>
        <w:t>合同文件的优先顺序</w:t>
      </w:r>
      <w:bookmarkEnd w:id="177"/>
      <w:bookmarkEnd w:id="178"/>
      <w:bookmarkEnd w:id="179"/>
      <w:bookmarkEnd w:id="180"/>
      <w:bookmarkEnd w:id="181"/>
      <w:bookmarkEnd w:id="182"/>
      <w:bookmarkEnd w:id="183"/>
    </w:p>
    <w:p w14:paraId="072331F8">
      <w:pPr>
        <w:spacing w:line="360" w:lineRule="auto"/>
        <w:ind w:firstLine="420" w:firstLineChars="200"/>
        <w:rPr>
          <w:rFonts w:hAnsi="宋体" w:cs="宋体"/>
          <w:color w:val="auto"/>
          <w:kern w:val="0"/>
          <w:highlight w:val="none"/>
        </w:rPr>
      </w:pPr>
      <w:r>
        <w:rPr>
          <w:rFonts w:hint="eastAsia" w:hAnsi="宋体" w:cs="宋体"/>
          <w:color w:val="auto"/>
          <w:highlight w:val="none"/>
        </w:rPr>
        <w:t>合同文件组成及优先顺序为：</w:t>
      </w:r>
    </w:p>
    <w:p w14:paraId="35C83169">
      <w:pPr>
        <w:spacing w:line="360" w:lineRule="auto"/>
        <w:ind w:firstLine="420" w:firstLineChars="200"/>
        <w:rPr>
          <w:rFonts w:hAnsi="宋体" w:cs="宋体"/>
          <w:color w:val="auto"/>
          <w:kern w:val="0"/>
          <w:highlight w:val="none"/>
        </w:rPr>
      </w:pPr>
      <w:r>
        <w:rPr>
          <w:rFonts w:hint="eastAsia" w:hAnsi="宋体" w:cs="宋体"/>
          <w:color w:val="auto"/>
          <w:kern w:val="0"/>
          <w:highlight w:val="none"/>
        </w:rPr>
        <w:t>（1）合同协议书；</w:t>
      </w:r>
    </w:p>
    <w:p w14:paraId="377FCE0A">
      <w:pPr>
        <w:spacing w:line="360" w:lineRule="auto"/>
        <w:ind w:firstLine="420" w:firstLineChars="200"/>
        <w:rPr>
          <w:rFonts w:hAnsi="宋体" w:cs="宋体"/>
          <w:color w:val="auto"/>
          <w:kern w:val="0"/>
          <w:highlight w:val="none"/>
        </w:rPr>
      </w:pPr>
      <w:bookmarkStart w:id="184" w:name="bookmark916"/>
      <w:bookmarkEnd w:id="184"/>
      <w:r>
        <w:rPr>
          <w:rFonts w:hint="eastAsia" w:hAnsi="宋体" w:cs="宋体"/>
          <w:color w:val="auto"/>
          <w:kern w:val="0"/>
          <w:highlight w:val="none"/>
        </w:rPr>
        <w:t>（2）成交通知书；</w:t>
      </w:r>
    </w:p>
    <w:p w14:paraId="5E18D4CE">
      <w:pPr>
        <w:spacing w:line="360" w:lineRule="auto"/>
        <w:ind w:firstLine="420" w:firstLineChars="200"/>
        <w:rPr>
          <w:rFonts w:hAnsi="宋体" w:cs="宋体"/>
          <w:color w:val="auto"/>
          <w:kern w:val="0"/>
          <w:highlight w:val="none"/>
        </w:rPr>
      </w:pPr>
      <w:bookmarkStart w:id="185" w:name="bookmark917"/>
      <w:bookmarkEnd w:id="185"/>
      <w:r>
        <w:rPr>
          <w:rFonts w:hint="eastAsia" w:hAnsi="宋体" w:cs="宋体"/>
          <w:color w:val="auto"/>
          <w:kern w:val="0"/>
          <w:highlight w:val="none"/>
        </w:rPr>
        <w:t>（3）响应函；</w:t>
      </w:r>
    </w:p>
    <w:p w14:paraId="490D017B">
      <w:pPr>
        <w:spacing w:line="360" w:lineRule="auto"/>
        <w:ind w:firstLine="420" w:firstLineChars="200"/>
        <w:rPr>
          <w:rFonts w:hAnsi="宋体" w:cs="宋体"/>
          <w:color w:val="auto"/>
          <w:kern w:val="0"/>
          <w:highlight w:val="none"/>
        </w:rPr>
      </w:pPr>
      <w:bookmarkStart w:id="186" w:name="bookmark918"/>
      <w:bookmarkEnd w:id="186"/>
      <w:r>
        <w:rPr>
          <w:rFonts w:hint="eastAsia" w:hAnsi="宋体" w:cs="宋体"/>
          <w:color w:val="auto"/>
          <w:kern w:val="0"/>
          <w:highlight w:val="none"/>
        </w:rPr>
        <w:t>（4）专用合同条款；</w:t>
      </w:r>
    </w:p>
    <w:p w14:paraId="46438264">
      <w:pPr>
        <w:spacing w:line="360" w:lineRule="auto"/>
        <w:ind w:firstLine="420" w:firstLineChars="200"/>
        <w:rPr>
          <w:rFonts w:hAnsi="宋体" w:cs="宋体"/>
          <w:color w:val="auto"/>
          <w:kern w:val="0"/>
          <w:highlight w:val="none"/>
        </w:rPr>
      </w:pPr>
      <w:bookmarkStart w:id="187" w:name="bookmark919"/>
      <w:bookmarkEnd w:id="187"/>
      <w:r>
        <w:rPr>
          <w:rFonts w:hint="eastAsia" w:hAnsi="宋体" w:cs="宋体"/>
          <w:color w:val="auto"/>
          <w:kern w:val="0"/>
          <w:highlight w:val="none"/>
        </w:rPr>
        <w:t>（5）通用合同条款；</w:t>
      </w:r>
    </w:p>
    <w:p w14:paraId="16EF5247">
      <w:pPr>
        <w:spacing w:line="360" w:lineRule="auto"/>
        <w:ind w:firstLine="420" w:firstLineChars="200"/>
        <w:rPr>
          <w:rFonts w:hAnsi="宋体" w:cs="宋体"/>
          <w:color w:val="auto"/>
          <w:kern w:val="0"/>
          <w:highlight w:val="none"/>
        </w:rPr>
      </w:pPr>
      <w:bookmarkStart w:id="188" w:name="bookmark920"/>
      <w:bookmarkEnd w:id="188"/>
      <w:r>
        <w:rPr>
          <w:rFonts w:hint="eastAsia" w:hAnsi="宋体" w:cs="宋体"/>
          <w:color w:val="auto"/>
          <w:kern w:val="0"/>
          <w:highlight w:val="none"/>
        </w:rPr>
        <w:t>（6）技术标准和要求</w:t>
      </w:r>
      <w:r>
        <w:rPr>
          <w:rFonts w:hint="eastAsia" w:ascii="Calibri" w:hAnsi="宋体"/>
          <w:color w:val="auto"/>
          <w:kern w:val="0"/>
          <w:highlight w:val="none"/>
          <w:u w:val="single"/>
        </w:rPr>
        <w:t>及经批准的施工组织设计、施工方案</w:t>
      </w:r>
      <w:r>
        <w:rPr>
          <w:rFonts w:hint="eastAsia" w:hAnsi="宋体" w:cs="宋体"/>
          <w:color w:val="auto"/>
          <w:kern w:val="0"/>
          <w:highlight w:val="none"/>
        </w:rPr>
        <w:t>；</w:t>
      </w:r>
    </w:p>
    <w:p w14:paraId="294B7AD2">
      <w:pPr>
        <w:spacing w:line="360" w:lineRule="auto"/>
        <w:ind w:firstLine="420" w:firstLineChars="200"/>
        <w:rPr>
          <w:rFonts w:hAnsi="宋体" w:cs="宋体"/>
          <w:color w:val="auto"/>
          <w:kern w:val="0"/>
          <w:highlight w:val="none"/>
        </w:rPr>
      </w:pPr>
      <w:bookmarkStart w:id="189" w:name="bookmark921"/>
      <w:bookmarkEnd w:id="189"/>
      <w:r>
        <w:rPr>
          <w:rFonts w:hint="eastAsia" w:hAnsi="宋体" w:cs="宋体"/>
          <w:color w:val="auto"/>
          <w:kern w:val="0"/>
          <w:highlight w:val="none"/>
        </w:rPr>
        <w:t>（7）已标价工程量清单；</w:t>
      </w:r>
    </w:p>
    <w:p w14:paraId="0B840DA9">
      <w:pPr>
        <w:spacing w:line="360" w:lineRule="auto"/>
        <w:ind w:firstLine="420" w:firstLineChars="200"/>
        <w:rPr>
          <w:rFonts w:hAnsi="宋体" w:cs="宋体"/>
          <w:color w:val="auto"/>
          <w:kern w:val="0"/>
          <w:highlight w:val="none"/>
        </w:rPr>
      </w:pPr>
      <w:bookmarkStart w:id="190" w:name="bookmark922"/>
      <w:bookmarkEnd w:id="190"/>
      <w:r>
        <w:rPr>
          <w:rFonts w:hint="eastAsia" w:hAnsi="宋体" w:cs="宋体"/>
          <w:color w:val="auto"/>
          <w:kern w:val="0"/>
          <w:highlight w:val="none"/>
        </w:rPr>
        <w:t>（8）图纸</w:t>
      </w:r>
      <w:r>
        <w:rPr>
          <w:rFonts w:hint="eastAsia" w:ascii="Calibri" w:hAnsi="宋体"/>
          <w:color w:val="auto"/>
          <w:kern w:val="0"/>
          <w:highlight w:val="none"/>
          <w:u w:val="single"/>
        </w:rPr>
        <w:t>（含设计变更等资料）</w:t>
      </w:r>
      <w:r>
        <w:rPr>
          <w:rFonts w:hint="eastAsia" w:hAnsi="宋体" w:cs="宋体"/>
          <w:color w:val="auto"/>
          <w:kern w:val="0"/>
          <w:highlight w:val="none"/>
        </w:rPr>
        <w:t>；</w:t>
      </w:r>
    </w:p>
    <w:p w14:paraId="0FF2406D">
      <w:pPr>
        <w:spacing w:line="360" w:lineRule="auto"/>
        <w:ind w:firstLine="420" w:firstLineChars="200"/>
        <w:rPr>
          <w:color w:val="auto"/>
          <w:highlight w:val="none"/>
        </w:rPr>
      </w:pPr>
      <w:r>
        <w:rPr>
          <w:rFonts w:hAnsi="宋体"/>
          <w:color w:val="auto"/>
          <w:kern w:val="0"/>
          <w:szCs w:val="21"/>
          <w:highlight w:val="none"/>
        </w:rPr>
        <w:t>（</w:t>
      </w:r>
      <w:r>
        <w:rPr>
          <w:rFonts w:hint="eastAsia" w:hAnsi="宋体"/>
          <w:color w:val="auto"/>
          <w:kern w:val="0"/>
          <w:szCs w:val="21"/>
          <w:highlight w:val="none"/>
        </w:rPr>
        <w:t>9</w:t>
      </w:r>
      <w:r>
        <w:rPr>
          <w:rFonts w:hAnsi="宋体"/>
          <w:color w:val="auto"/>
          <w:kern w:val="0"/>
          <w:szCs w:val="21"/>
          <w:highlight w:val="none"/>
        </w:rPr>
        <w:t>）</w:t>
      </w:r>
      <w:r>
        <w:rPr>
          <w:rFonts w:hint="eastAsia" w:hAnsi="宋体"/>
          <w:color w:val="auto"/>
          <w:kern w:val="0"/>
          <w:szCs w:val="21"/>
          <w:highlight w:val="none"/>
        </w:rPr>
        <w:t>《</w:t>
      </w:r>
      <w:r>
        <w:rPr>
          <w:rFonts w:hAnsi="宋体"/>
          <w:color w:val="auto"/>
          <w:kern w:val="0"/>
          <w:szCs w:val="21"/>
          <w:highlight w:val="none"/>
        </w:rPr>
        <w:t>建设工程工程量清单计价规范（GB5050</w:t>
      </w:r>
      <w:r>
        <w:rPr>
          <w:rFonts w:hint="eastAsia" w:hAnsi="宋体"/>
          <w:color w:val="auto"/>
          <w:kern w:val="0"/>
          <w:szCs w:val="21"/>
          <w:highlight w:val="none"/>
        </w:rPr>
        <w:t>0</w:t>
      </w:r>
      <w:r>
        <w:rPr>
          <w:rFonts w:hAnsi="宋体"/>
          <w:color w:val="auto"/>
          <w:kern w:val="0"/>
          <w:szCs w:val="21"/>
          <w:highlight w:val="none"/>
        </w:rPr>
        <w:t>-2013）</w:t>
      </w:r>
      <w:r>
        <w:rPr>
          <w:rFonts w:hint="eastAsia" w:hAnsi="宋体"/>
          <w:color w:val="auto"/>
          <w:kern w:val="0"/>
          <w:szCs w:val="21"/>
          <w:highlight w:val="none"/>
        </w:rPr>
        <w:t>》及其</w:t>
      </w:r>
      <w:r>
        <w:rPr>
          <w:rFonts w:hAnsi="宋体"/>
          <w:color w:val="auto"/>
          <w:kern w:val="0"/>
          <w:szCs w:val="21"/>
          <w:highlight w:val="none"/>
        </w:rPr>
        <w:t>广西实施细则</w:t>
      </w:r>
      <w:r>
        <w:rPr>
          <w:rFonts w:hint="eastAsia" w:hAnsi="宋体"/>
          <w:color w:val="auto"/>
          <w:kern w:val="0"/>
          <w:szCs w:val="21"/>
          <w:highlight w:val="none"/>
        </w:rPr>
        <w:t>及《关于建筑业实施营业税改征增值税后广西壮族自治区建设工程计价依据调整的通知》（桂建标〔2016〕17号）、《</w:t>
      </w:r>
      <w:r>
        <w:rPr>
          <w:rFonts w:hAnsi="宋体"/>
          <w:color w:val="auto"/>
          <w:kern w:val="0"/>
          <w:szCs w:val="21"/>
          <w:highlight w:val="none"/>
        </w:rPr>
        <w:t>建设工程工程量清单计</w:t>
      </w:r>
      <w:r>
        <w:rPr>
          <w:rFonts w:hint="eastAsia" w:hAnsi="宋体"/>
          <w:color w:val="auto"/>
          <w:kern w:val="0"/>
          <w:szCs w:val="21"/>
          <w:highlight w:val="none"/>
        </w:rPr>
        <w:t>算</w:t>
      </w:r>
      <w:r>
        <w:rPr>
          <w:rFonts w:hAnsi="宋体"/>
          <w:color w:val="auto"/>
          <w:kern w:val="0"/>
          <w:szCs w:val="21"/>
          <w:highlight w:val="none"/>
        </w:rPr>
        <w:t>规范（GB5</w:t>
      </w:r>
      <w:r>
        <w:rPr>
          <w:rFonts w:hint="eastAsia" w:hAnsi="宋体"/>
          <w:color w:val="auto"/>
          <w:kern w:val="0"/>
          <w:szCs w:val="21"/>
          <w:highlight w:val="none"/>
        </w:rPr>
        <w:t>0854~50862</w:t>
      </w:r>
      <w:r>
        <w:rPr>
          <w:rFonts w:hAnsi="宋体"/>
          <w:color w:val="auto"/>
          <w:kern w:val="0"/>
          <w:szCs w:val="21"/>
          <w:highlight w:val="none"/>
        </w:rPr>
        <w:t>-2013）</w:t>
      </w:r>
      <w:r>
        <w:rPr>
          <w:rFonts w:hint="eastAsia" w:hAnsi="宋体"/>
          <w:color w:val="auto"/>
          <w:kern w:val="0"/>
          <w:szCs w:val="21"/>
          <w:highlight w:val="none"/>
        </w:rPr>
        <w:t>》及其</w:t>
      </w:r>
      <w:r>
        <w:rPr>
          <w:rFonts w:hAnsi="宋体"/>
          <w:color w:val="auto"/>
          <w:kern w:val="0"/>
          <w:szCs w:val="21"/>
          <w:highlight w:val="none"/>
        </w:rPr>
        <w:t>广西实施细则</w:t>
      </w:r>
      <w:r>
        <w:rPr>
          <w:rFonts w:hint="eastAsia" w:hAnsi="宋体"/>
          <w:color w:val="auto"/>
          <w:kern w:val="0"/>
          <w:szCs w:val="21"/>
          <w:highlight w:val="none"/>
        </w:rPr>
        <w:t>（修订本） (适用于实行工程量清单计价的项目) ；</w:t>
      </w:r>
    </w:p>
    <w:p w14:paraId="7A792750">
      <w:pPr>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（10）其他合同文件：</w:t>
      </w:r>
      <w:r>
        <w:rPr>
          <w:rFonts w:hint="eastAsia" w:ascii="Calibri" w:hAnsi="宋体" w:cs="宋体"/>
          <w:color w:val="auto"/>
          <w:szCs w:val="22"/>
          <w:highlight w:val="none"/>
          <w:u w:val="single"/>
        </w:rPr>
        <w:t>采购文件及相关函件（含所有补充通知、答疑及相关函件）、发包人、承包人双方签署的补充合同、补充协议等。</w:t>
      </w:r>
    </w:p>
    <w:p w14:paraId="3D4CFC91">
      <w:pPr>
        <w:spacing w:line="360" w:lineRule="auto"/>
        <w:ind w:firstLine="420" w:firstLineChars="200"/>
        <w:rPr>
          <w:rFonts w:hAnsi="宋体" w:cs="宋体"/>
          <w:color w:val="auto"/>
          <w:kern w:val="0"/>
          <w:highlight w:val="none"/>
        </w:rPr>
      </w:pPr>
      <w:r>
        <w:rPr>
          <w:rFonts w:hint="eastAsia" w:hAnsi="宋体" w:cs="宋体"/>
          <w:color w:val="auto"/>
          <w:kern w:val="0"/>
          <w:highlight w:val="none"/>
        </w:rPr>
        <w:t>上述各项合同文件包括合同当事人就该项合同文件所作出的补充和修改，属于同一类内容的文件，应以最新签署的为准（违反招标文件</w:t>
      </w:r>
      <w:r>
        <w:rPr>
          <w:rFonts w:hAnsi="宋体" w:cs="宋体"/>
          <w:color w:val="auto"/>
          <w:kern w:val="0"/>
          <w:highlight w:val="none"/>
        </w:rPr>
        <w:t>实质性内容的约定除外</w:t>
      </w:r>
      <w:r>
        <w:rPr>
          <w:rFonts w:hint="eastAsia" w:hAnsi="宋体" w:cs="宋体"/>
          <w:color w:val="auto"/>
          <w:kern w:val="0"/>
          <w:highlight w:val="none"/>
        </w:rPr>
        <w:t>）。专用合同条款及其附件须经合同当事人签字或盖章。</w:t>
      </w:r>
    </w:p>
    <w:p w14:paraId="037FE43F">
      <w:pPr>
        <w:keepNext/>
        <w:keepLines/>
        <w:spacing w:line="600" w:lineRule="exact"/>
        <w:ind w:firstLine="643" w:firstLineChars="200"/>
        <w:outlineLvl w:val="2"/>
        <w:rPr>
          <w:b/>
          <w:bCs/>
          <w:color w:val="auto"/>
          <w:sz w:val="32"/>
          <w:szCs w:val="32"/>
          <w:highlight w:val="none"/>
        </w:rPr>
      </w:pPr>
      <w:bookmarkStart w:id="191" w:name="_Toc407135199"/>
      <w:bookmarkStart w:id="192" w:name="_Toc1531480704"/>
      <w:bookmarkStart w:id="193" w:name="_Toc1537247101"/>
      <w:bookmarkStart w:id="194" w:name="_Toc373227697"/>
      <w:bookmarkStart w:id="195" w:name="_Toc373478344"/>
      <w:bookmarkStart w:id="196" w:name="_Toc78449785"/>
      <w:bookmarkStart w:id="197" w:name="_Toc389065263"/>
      <w:r>
        <w:rPr>
          <w:b/>
          <w:bCs/>
          <w:color w:val="auto"/>
          <w:sz w:val="32"/>
          <w:szCs w:val="32"/>
          <w:highlight w:val="none"/>
        </w:rPr>
        <w:t xml:space="preserve">1.6 </w:t>
      </w:r>
      <w:r>
        <w:rPr>
          <w:rFonts w:hint="eastAsia" w:cs="黑体"/>
          <w:b/>
          <w:bCs/>
          <w:color w:val="auto"/>
          <w:sz w:val="32"/>
          <w:szCs w:val="32"/>
          <w:highlight w:val="none"/>
        </w:rPr>
        <w:t>图纸和承包人文件</w:t>
      </w:r>
      <w:bookmarkEnd w:id="191"/>
      <w:bookmarkEnd w:id="192"/>
      <w:bookmarkEnd w:id="193"/>
      <w:bookmarkEnd w:id="194"/>
      <w:bookmarkEnd w:id="195"/>
      <w:bookmarkEnd w:id="196"/>
      <w:bookmarkEnd w:id="197"/>
      <w:r>
        <w:rPr>
          <w:b/>
          <w:bCs/>
          <w:color w:val="auto"/>
          <w:sz w:val="32"/>
          <w:szCs w:val="32"/>
          <w:highlight w:val="none"/>
        </w:rPr>
        <w:tab/>
      </w:r>
    </w:p>
    <w:p w14:paraId="5062944C">
      <w:pPr>
        <w:spacing w:line="360" w:lineRule="auto"/>
        <w:ind w:firstLine="420" w:firstLineChars="200"/>
        <w:rPr>
          <w:color w:val="auto"/>
          <w:highlight w:val="none"/>
        </w:rPr>
      </w:pPr>
      <w:r>
        <w:rPr>
          <w:color w:val="auto"/>
          <w:highlight w:val="none"/>
        </w:rPr>
        <w:t xml:space="preserve">1.6.1 </w:t>
      </w:r>
      <w:r>
        <w:rPr>
          <w:rFonts w:hint="eastAsia" w:hAnsi="宋体" w:cs="宋体"/>
          <w:color w:val="auto"/>
          <w:highlight w:val="none"/>
        </w:rPr>
        <w:t>图纸的提供</w:t>
      </w:r>
    </w:p>
    <w:p w14:paraId="7B2F7C76">
      <w:pPr>
        <w:spacing w:line="360" w:lineRule="auto"/>
        <w:ind w:firstLine="420" w:firstLineChars="200"/>
        <w:rPr>
          <w:color w:val="auto"/>
          <w:highlight w:val="none"/>
        </w:rPr>
      </w:pPr>
      <w:r>
        <w:rPr>
          <w:rFonts w:hint="eastAsia" w:hAnsi="宋体" w:cs="宋体"/>
          <w:color w:val="auto"/>
          <w:highlight w:val="none"/>
        </w:rPr>
        <w:t>发包人向承包人提供图纸的期限：</w:t>
      </w:r>
      <w:r>
        <w:rPr>
          <w:rFonts w:hint="eastAsia" w:ascii="Calibri" w:hAnsi="宋体"/>
          <w:color w:val="auto"/>
          <w:highlight w:val="none"/>
          <w:u w:val="single"/>
        </w:rPr>
        <w:t>合同生效后七天内提供工程所需的施工图纸，施工图纸中利用的通用标准图集、规范、标准及国家和行业管理部门颁发的有关资料由承包人自行提供并承担相应费用</w:t>
      </w:r>
      <w:r>
        <w:rPr>
          <w:rFonts w:hint="eastAsia" w:hAnsi="宋体" w:cs="宋体"/>
          <w:color w:val="auto"/>
          <w:highlight w:val="none"/>
        </w:rPr>
        <w:t>；</w:t>
      </w:r>
    </w:p>
    <w:p w14:paraId="12CAC380">
      <w:pPr>
        <w:spacing w:line="360" w:lineRule="auto"/>
        <w:ind w:firstLine="420" w:firstLineChars="200"/>
        <w:rPr>
          <w:color w:val="auto"/>
          <w:highlight w:val="none"/>
        </w:rPr>
      </w:pPr>
      <w:r>
        <w:rPr>
          <w:rFonts w:hint="eastAsia" w:hAnsi="宋体" w:cs="宋体"/>
          <w:color w:val="auto"/>
          <w:highlight w:val="none"/>
        </w:rPr>
        <w:t>发包人向承包人提供图纸的数量：</w:t>
      </w:r>
      <w:r>
        <w:rPr>
          <w:rFonts w:hint="eastAsia" w:ascii="MingLiU_HKSCS" w:cs="MingLiU_HKSCS"/>
          <w:color w:val="auto"/>
          <w:highlight w:val="none"/>
          <w:u w:val="single"/>
        </w:rPr>
        <w:t>壹</w:t>
      </w:r>
      <w:r>
        <w:rPr>
          <w:rFonts w:hint="eastAsia" w:hAnsi="宋体" w:cs="宋体"/>
          <w:color w:val="auto"/>
          <w:highlight w:val="none"/>
        </w:rPr>
        <w:t>套（承包人需要增加图纸套数的，发包人应代为复制，复制费用由承包人承担）；</w:t>
      </w:r>
    </w:p>
    <w:p w14:paraId="00E048D0">
      <w:pPr>
        <w:spacing w:line="360" w:lineRule="auto"/>
        <w:ind w:firstLine="420" w:firstLineChars="200"/>
        <w:rPr>
          <w:color w:val="auto"/>
          <w:highlight w:val="none"/>
        </w:rPr>
      </w:pPr>
      <w:r>
        <w:rPr>
          <w:rFonts w:hint="eastAsia" w:hAnsi="宋体" w:cs="宋体"/>
          <w:color w:val="auto"/>
          <w:highlight w:val="none"/>
        </w:rPr>
        <w:t>发包人向承包人提供图纸的内容：</w:t>
      </w:r>
      <w:r>
        <w:rPr>
          <w:rFonts w:hint="eastAsia" w:hAnsi="宋体"/>
          <w:color w:val="auto"/>
          <w:szCs w:val="21"/>
          <w:highlight w:val="none"/>
          <w:u w:val="single"/>
        </w:rPr>
        <w:t>本工程所包含的所有图纸及设计变更通知</w:t>
      </w:r>
      <w:r>
        <w:rPr>
          <w:rFonts w:hint="eastAsia" w:hAnsi="宋体" w:cs="宋体"/>
          <w:color w:val="auto"/>
          <w:highlight w:val="none"/>
        </w:rPr>
        <w:t>。</w:t>
      </w:r>
    </w:p>
    <w:p w14:paraId="70B12BCD">
      <w:pPr>
        <w:spacing w:line="360" w:lineRule="auto"/>
        <w:ind w:firstLine="420" w:firstLineChars="200"/>
        <w:rPr>
          <w:color w:val="auto"/>
          <w:highlight w:val="none"/>
        </w:rPr>
      </w:pPr>
      <w:r>
        <w:rPr>
          <w:color w:val="auto"/>
          <w:highlight w:val="none"/>
        </w:rPr>
        <w:t xml:space="preserve">1.6.4 </w:t>
      </w:r>
      <w:r>
        <w:rPr>
          <w:rFonts w:hint="eastAsia" w:hAnsi="宋体" w:cs="宋体"/>
          <w:color w:val="auto"/>
          <w:highlight w:val="none"/>
        </w:rPr>
        <w:t>承包人文件</w:t>
      </w:r>
    </w:p>
    <w:p w14:paraId="499495B2">
      <w:pPr>
        <w:spacing w:line="360" w:lineRule="auto"/>
        <w:ind w:firstLine="420" w:firstLineChars="200"/>
        <w:jc w:val="left"/>
        <w:rPr>
          <w:color w:val="auto"/>
          <w:highlight w:val="none"/>
          <w:u w:val="single"/>
        </w:rPr>
      </w:pPr>
      <w:r>
        <w:rPr>
          <w:rFonts w:hint="eastAsia" w:hAnsi="宋体" w:cs="宋体"/>
          <w:color w:val="auto"/>
          <w:highlight w:val="none"/>
        </w:rPr>
        <w:t>需要由承包人提供的文件，包括：</w:t>
      </w:r>
      <w:r>
        <w:rPr>
          <w:rFonts w:hint="eastAsia" w:hAnsi="宋体" w:cs="宋体"/>
          <w:color w:val="auto"/>
          <w:highlight w:val="none"/>
          <w:u w:val="single"/>
        </w:rPr>
        <w:t>施工组织设计、施工进度计划、月进度计量资料、工程 竣工结算资料、竣工图等文件；</w:t>
      </w:r>
    </w:p>
    <w:p w14:paraId="3D974A0D">
      <w:pPr>
        <w:spacing w:line="360" w:lineRule="auto"/>
        <w:ind w:firstLine="420" w:firstLineChars="200"/>
        <w:rPr>
          <w:rFonts w:hint="eastAsia" w:ascii="Calibri" w:hAnsi="Calibri"/>
          <w:color w:val="auto"/>
          <w:szCs w:val="22"/>
          <w:highlight w:val="none"/>
          <w:u w:val="single"/>
        </w:rPr>
      </w:pPr>
      <w:r>
        <w:rPr>
          <w:rFonts w:hint="eastAsia" w:hAnsi="宋体" w:cs="宋体"/>
          <w:color w:val="auto"/>
          <w:highlight w:val="none"/>
        </w:rPr>
        <w:t>承包人提供的文件的期限为：</w:t>
      </w:r>
      <w:r>
        <w:rPr>
          <w:rFonts w:hint="eastAsia" w:ascii="Calibri" w:hAnsi="Calibri"/>
          <w:color w:val="auto"/>
          <w:szCs w:val="22"/>
          <w:highlight w:val="none"/>
          <w:u w:val="single"/>
        </w:rPr>
        <w:t xml:space="preserve"> 施工组织设计和施工进度计划应在开工前3天提交；月进度</w:t>
      </w:r>
    </w:p>
    <w:p w14:paraId="1BC853D1">
      <w:pPr>
        <w:spacing w:line="360" w:lineRule="auto"/>
        <w:ind w:firstLine="420" w:firstLineChars="200"/>
        <w:rPr>
          <w:color w:val="auto"/>
          <w:highlight w:val="none"/>
        </w:rPr>
      </w:pPr>
      <w:r>
        <w:rPr>
          <w:rFonts w:hint="eastAsia" w:ascii="Calibri" w:hAnsi="Calibri"/>
          <w:color w:val="auto"/>
          <w:szCs w:val="22"/>
          <w:highlight w:val="none"/>
          <w:u w:val="single"/>
        </w:rPr>
        <w:t xml:space="preserve">计量资料为每月25日前；工程竣工结算资料的提交应在项目竣工验收通过后3个月内 </w:t>
      </w:r>
      <w:r>
        <w:rPr>
          <w:rFonts w:hint="eastAsia" w:hAnsi="宋体" w:cs="宋体"/>
          <w:color w:val="auto"/>
          <w:highlight w:val="none"/>
        </w:rPr>
        <w:t>；</w:t>
      </w:r>
    </w:p>
    <w:p w14:paraId="661B2AFB">
      <w:pPr>
        <w:spacing w:line="360" w:lineRule="auto"/>
        <w:ind w:firstLine="420" w:firstLineChars="200"/>
        <w:rPr>
          <w:color w:val="auto"/>
          <w:highlight w:val="none"/>
        </w:rPr>
      </w:pPr>
      <w:r>
        <w:rPr>
          <w:rFonts w:hint="eastAsia" w:hAnsi="宋体" w:cs="宋体"/>
          <w:color w:val="auto"/>
          <w:highlight w:val="none"/>
        </w:rPr>
        <w:t>承包人提供的文件的数量为：</w:t>
      </w:r>
      <w:r>
        <w:rPr>
          <w:rFonts w:hint="eastAsia" w:ascii="Calibri" w:hAnsi="Calibri"/>
          <w:color w:val="auto"/>
          <w:szCs w:val="22"/>
          <w:highlight w:val="none"/>
          <w:u w:val="single"/>
        </w:rPr>
        <w:t>施工组织设计、施工进度计划、月进度计量资料为一式四份； 工程竣工结算资料为一式六份</w:t>
      </w:r>
      <w:r>
        <w:rPr>
          <w:rFonts w:hint="eastAsia" w:hAnsi="宋体" w:cs="宋体"/>
          <w:color w:val="auto"/>
          <w:highlight w:val="none"/>
        </w:rPr>
        <w:t>；</w:t>
      </w:r>
    </w:p>
    <w:p w14:paraId="53ADCECE">
      <w:pPr>
        <w:spacing w:line="360" w:lineRule="auto"/>
        <w:ind w:firstLine="420" w:firstLineChars="200"/>
        <w:rPr>
          <w:color w:val="auto"/>
          <w:highlight w:val="none"/>
        </w:rPr>
      </w:pPr>
      <w:r>
        <w:rPr>
          <w:rFonts w:hint="eastAsia" w:hAnsi="宋体" w:cs="宋体"/>
          <w:color w:val="auto"/>
          <w:highlight w:val="none"/>
        </w:rPr>
        <w:t>承包人提供的文件的形式为：</w:t>
      </w:r>
      <w:r>
        <w:rPr>
          <w:rFonts w:ascii="Calibri" w:hAnsi="Calibri"/>
          <w:color w:val="auto"/>
          <w:szCs w:val="22"/>
          <w:highlight w:val="none"/>
          <w:u w:val="single"/>
        </w:rPr>
        <w:t>书面材料及电子</w:t>
      </w:r>
      <w:r>
        <w:rPr>
          <w:rFonts w:hint="eastAsia" w:ascii="Calibri" w:hAnsi="Calibri"/>
          <w:color w:val="auto"/>
          <w:szCs w:val="22"/>
          <w:highlight w:val="none"/>
          <w:u w:val="single"/>
        </w:rPr>
        <w:t>版</w:t>
      </w:r>
      <w:r>
        <w:rPr>
          <w:rFonts w:hint="eastAsia" w:hAnsi="宋体" w:cs="宋体"/>
          <w:color w:val="auto"/>
          <w:highlight w:val="none"/>
        </w:rPr>
        <w:t>；</w:t>
      </w:r>
    </w:p>
    <w:p w14:paraId="2D8FAF6C">
      <w:pPr>
        <w:spacing w:line="360" w:lineRule="auto"/>
        <w:ind w:firstLine="420" w:firstLineChars="200"/>
        <w:rPr>
          <w:color w:val="auto"/>
          <w:highlight w:val="none"/>
        </w:rPr>
      </w:pPr>
      <w:r>
        <w:rPr>
          <w:rFonts w:hint="eastAsia" w:hAnsi="宋体" w:cs="宋体"/>
          <w:color w:val="auto"/>
          <w:highlight w:val="none"/>
        </w:rPr>
        <w:t>发包人审批承包人文件的期限：</w:t>
      </w:r>
      <w:r>
        <w:rPr>
          <w:rFonts w:hint="eastAsia" w:hAnsi="宋体" w:cs="宋体"/>
          <w:color w:val="auto"/>
          <w:highlight w:val="none"/>
          <w:u w:val="single"/>
        </w:rPr>
        <w:t xml:space="preserve">月进度计量资料为监理人提出意见并报送发包人后5个工作日内，工程结算资料为收到监理人已核对无误并报送发包人后30个工作日内将材料报送审计部门 </w:t>
      </w:r>
      <w:r>
        <w:rPr>
          <w:rFonts w:hint="eastAsia" w:hAnsi="宋体" w:cs="宋体"/>
          <w:color w:val="auto"/>
          <w:highlight w:val="none"/>
        </w:rPr>
        <w:t>。</w:t>
      </w:r>
    </w:p>
    <w:p w14:paraId="6C197D3F">
      <w:pPr>
        <w:spacing w:line="360" w:lineRule="auto"/>
        <w:ind w:firstLine="420" w:firstLineChars="200"/>
        <w:rPr>
          <w:color w:val="auto"/>
          <w:highlight w:val="none"/>
        </w:rPr>
      </w:pPr>
      <w:r>
        <w:rPr>
          <w:color w:val="auto"/>
          <w:highlight w:val="none"/>
        </w:rPr>
        <w:t xml:space="preserve">1.6.5 </w:t>
      </w:r>
      <w:r>
        <w:rPr>
          <w:rFonts w:hint="eastAsia" w:hAnsi="宋体" w:cs="宋体"/>
          <w:color w:val="auto"/>
          <w:highlight w:val="none"/>
        </w:rPr>
        <w:t>现场图纸准备</w:t>
      </w:r>
    </w:p>
    <w:p w14:paraId="0223EAA1">
      <w:pPr>
        <w:spacing w:line="360" w:lineRule="auto"/>
        <w:ind w:firstLine="420" w:firstLineChars="200"/>
        <w:rPr>
          <w:color w:val="auto"/>
          <w:highlight w:val="none"/>
        </w:rPr>
      </w:pPr>
      <w:r>
        <w:rPr>
          <w:rFonts w:hint="eastAsia" w:hAnsi="宋体" w:cs="宋体"/>
          <w:color w:val="auto"/>
          <w:highlight w:val="none"/>
        </w:rPr>
        <w:t>关于现场图纸准备的约定：</w:t>
      </w:r>
      <w:r>
        <w:rPr>
          <w:rFonts w:hint="eastAsia" w:ascii="Calibri" w:hAnsi="宋体"/>
          <w:color w:val="auto"/>
          <w:highlight w:val="none"/>
          <w:u w:val="single"/>
        </w:rPr>
        <w:t>承包人应在施工现场保留一套完整的施工图纸，供工程师及有关人员进行工程检查时使用，未经发包人书面同意不许将图纸泄露和转让给第三方</w:t>
      </w:r>
      <w:r>
        <w:rPr>
          <w:rFonts w:hint="eastAsia" w:hAnsi="宋体" w:cs="宋体"/>
          <w:color w:val="auto"/>
          <w:highlight w:val="none"/>
        </w:rPr>
        <w:t>。</w:t>
      </w:r>
    </w:p>
    <w:p w14:paraId="0BECA4EB">
      <w:pPr>
        <w:keepNext/>
        <w:keepLines/>
        <w:spacing w:line="600" w:lineRule="exact"/>
        <w:ind w:firstLine="643" w:firstLineChars="200"/>
        <w:outlineLvl w:val="2"/>
        <w:rPr>
          <w:b/>
          <w:bCs/>
          <w:color w:val="auto"/>
          <w:sz w:val="32"/>
          <w:szCs w:val="32"/>
          <w:highlight w:val="none"/>
        </w:rPr>
      </w:pPr>
      <w:bookmarkStart w:id="198" w:name="_Toc110523719"/>
      <w:bookmarkStart w:id="199" w:name="_Toc78449786"/>
      <w:bookmarkStart w:id="200" w:name="_Toc373478345"/>
      <w:bookmarkStart w:id="201" w:name="_Toc407135200"/>
      <w:bookmarkStart w:id="202" w:name="_Toc389065264"/>
      <w:bookmarkStart w:id="203" w:name="_Toc373227698"/>
      <w:bookmarkStart w:id="204" w:name="_Toc1944260835"/>
      <w:r>
        <w:rPr>
          <w:b/>
          <w:bCs/>
          <w:color w:val="auto"/>
          <w:sz w:val="32"/>
          <w:szCs w:val="32"/>
          <w:highlight w:val="none"/>
        </w:rPr>
        <w:t xml:space="preserve">1.7 </w:t>
      </w:r>
      <w:r>
        <w:rPr>
          <w:rFonts w:hint="eastAsia" w:hAnsi="宋体" w:cs="黑体"/>
          <w:b/>
          <w:bCs/>
          <w:color w:val="auto"/>
          <w:sz w:val="32"/>
          <w:szCs w:val="32"/>
          <w:highlight w:val="none"/>
        </w:rPr>
        <w:t>联络</w:t>
      </w:r>
      <w:bookmarkEnd w:id="198"/>
      <w:bookmarkEnd w:id="199"/>
      <w:bookmarkEnd w:id="200"/>
      <w:bookmarkEnd w:id="201"/>
      <w:bookmarkEnd w:id="202"/>
      <w:bookmarkEnd w:id="203"/>
      <w:bookmarkEnd w:id="204"/>
    </w:p>
    <w:p w14:paraId="25A4F613">
      <w:pPr>
        <w:spacing w:line="360" w:lineRule="auto"/>
        <w:ind w:firstLine="420" w:firstLineChars="200"/>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rFonts w:hint="eastAsia"/>
          <w:color w:val="auto"/>
          <w:highlight w:val="none"/>
          <w:u w:val="single"/>
        </w:rPr>
        <w:t>3</w:t>
      </w:r>
      <w:r>
        <w:rPr>
          <w:rFonts w:hint="eastAsia" w:hAnsi="宋体" w:cs="宋体"/>
          <w:color w:val="auto"/>
          <w:kern w:val="0"/>
          <w:highlight w:val="none"/>
        </w:rPr>
        <w:t>天内将与合同有关的通知、批准、证明、证书、指示、指令、要求、请求、同意、意见、确定和决定等书面函件送达对方当事人。</w:t>
      </w:r>
    </w:p>
    <w:p w14:paraId="57BC7756">
      <w:pPr>
        <w:spacing w:line="360" w:lineRule="auto"/>
        <w:ind w:firstLine="420" w:firstLineChars="200"/>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rFonts w:hint="eastAsia" w:ascii="Calibri" w:hAnsi="宋体"/>
          <w:color w:val="auto"/>
          <w:highlight w:val="none"/>
          <w:u w:val="single"/>
        </w:rPr>
        <w:t>发包人办公室</w:t>
      </w:r>
      <w:r>
        <w:rPr>
          <w:rFonts w:hint="eastAsia" w:hAnsi="宋体" w:cs="宋体"/>
          <w:color w:val="auto"/>
          <w:kern w:val="0"/>
          <w:highlight w:val="none"/>
        </w:rPr>
        <w:t>；</w:t>
      </w:r>
    </w:p>
    <w:p w14:paraId="14EF67FA">
      <w:pPr>
        <w:spacing w:line="360" w:lineRule="auto"/>
        <w:ind w:firstLine="420" w:firstLineChars="200"/>
        <w:rPr>
          <w:color w:val="auto"/>
          <w:kern w:val="0"/>
          <w:highlight w:val="none"/>
        </w:rPr>
      </w:pPr>
      <w:r>
        <w:rPr>
          <w:rFonts w:hint="eastAsia" w:hAnsi="宋体" w:cs="宋体"/>
          <w:color w:val="auto"/>
          <w:kern w:val="0"/>
          <w:highlight w:val="none"/>
        </w:rPr>
        <w:t>发包人指定的接收人为：</w:t>
      </w:r>
      <w:r>
        <w:rPr>
          <w:rFonts w:hint="eastAsia" w:ascii="Calibri" w:hAnsi="宋体"/>
          <w:color w:val="auto"/>
          <w:highlight w:val="none"/>
          <w:u w:val="single"/>
        </w:rPr>
        <w:t>本工程项目负责人</w:t>
      </w:r>
      <w:r>
        <w:rPr>
          <w:rFonts w:hint="eastAsia" w:hAnsi="宋体" w:cs="宋体"/>
          <w:color w:val="auto"/>
          <w:kern w:val="0"/>
          <w:highlight w:val="none"/>
        </w:rPr>
        <w:t>。</w:t>
      </w:r>
    </w:p>
    <w:p w14:paraId="2097810B">
      <w:pPr>
        <w:spacing w:line="360" w:lineRule="auto"/>
        <w:ind w:firstLine="420" w:firstLineChars="200"/>
        <w:rPr>
          <w:color w:val="auto"/>
          <w:kern w:val="0"/>
          <w:highlight w:val="none"/>
        </w:rPr>
      </w:pPr>
      <w:r>
        <w:rPr>
          <w:rFonts w:hint="eastAsia" w:hAnsi="宋体" w:cs="宋体"/>
          <w:color w:val="auto"/>
          <w:kern w:val="0"/>
          <w:highlight w:val="none"/>
        </w:rPr>
        <w:t>承包人接收文件的地点：</w:t>
      </w:r>
      <w:r>
        <w:rPr>
          <w:rFonts w:hint="eastAsia" w:ascii="Calibri" w:hAnsi="宋体"/>
          <w:color w:val="auto"/>
          <w:highlight w:val="none"/>
          <w:u w:val="single"/>
        </w:rPr>
        <w:t>承包人施工场地管理机构的办公地点</w:t>
      </w:r>
      <w:r>
        <w:rPr>
          <w:rFonts w:hint="eastAsia" w:hAnsi="宋体" w:cs="宋体"/>
          <w:color w:val="auto"/>
          <w:kern w:val="0"/>
          <w:highlight w:val="none"/>
        </w:rPr>
        <w:t>；</w:t>
      </w:r>
    </w:p>
    <w:p w14:paraId="47EE07A6">
      <w:pPr>
        <w:spacing w:line="360" w:lineRule="auto"/>
        <w:ind w:firstLine="420" w:firstLineChars="200"/>
        <w:rPr>
          <w:color w:val="auto"/>
          <w:kern w:val="0"/>
          <w:highlight w:val="none"/>
        </w:rPr>
      </w:pPr>
      <w:r>
        <w:rPr>
          <w:rFonts w:hint="eastAsia" w:hAnsi="宋体" w:cs="宋体"/>
          <w:color w:val="auto"/>
          <w:kern w:val="0"/>
          <w:highlight w:val="none"/>
        </w:rPr>
        <w:t>承包人指定的接收人为：</w:t>
      </w:r>
      <w:r>
        <w:rPr>
          <w:rFonts w:hint="eastAsia" w:ascii="Calibri" w:hAnsi="宋体"/>
          <w:color w:val="auto"/>
          <w:highlight w:val="none"/>
          <w:u w:val="single"/>
        </w:rPr>
        <w:t>承包人指定的接收人为合同协议书中载明的承包人项目经理本人或者指定的承包人其他工作人员</w:t>
      </w:r>
      <w:r>
        <w:rPr>
          <w:rFonts w:hint="eastAsia" w:hAnsi="宋体" w:cs="宋体"/>
          <w:color w:val="auto"/>
          <w:kern w:val="0"/>
          <w:highlight w:val="none"/>
        </w:rPr>
        <w:t>。</w:t>
      </w:r>
    </w:p>
    <w:p w14:paraId="1777416C">
      <w:pPr>
        <w:spacing w:line="360" w:lineRule="auto"/>
        <w:ind w:firstLine="420" w:firstLineChars="200"/>
        <w:rPr>
          <w:color w:val="auto"/>
          <w:kern w:val="0"/>
          <w:highlight w:val="none"/>
        </w:rPr>
      </w:pPr>
      <w:r>
        <w:rPr>
          <w:rFonts w:hint="eastAsia" w:hAnsi="宋体" w:cs="宋体"/>
          <w:color w:val="auto"/>
          <w:kern w:val="0"/>
          <w:highlight w:val="none"/>
        </w:rPr>
        <w:t>监理人接收文件的地点：</w:t>
      </w:r>
      <w:r>
        <w:rPr>
          <w:rFonts w:hint="eastAsia" w:ascii="Calibri" w:hAnsi="宋体"/>
          <w:color w:val="auto"/>
          <w:highlight w:val="none"/>
          <w:u w:val="single"/>
        </w:rPr>
        <w:t>施工现场监理人办公地点</w:t>
      </w:r>
      <w:r>
        <w:rPr>
          <w:rFonts w:hint="eastAsia" w:hAnsi="宋体" w:cs="宋体"/>
          <w:color w:val="auto"/>
          <w:kern w:val="0"/>
          <w:highlight w:val="none"/>
        </w:rPr>
        <w:t>；</w:t>
      </w:r>
    </w:p>
    <w:p w14:paraId="0B5A40C1">
      <w:pPr>
        <w:spacing w:line="360" w:lineRule="auto"/>
        <w:ind w:firstLine="420" w:firstLineChars="200"/>
        <w:rPr>
          <w:color w:val="auto"/>
          <w:kern w:val="0"/>
          <w:highlight w:val="none"/>
        </w:rPr>
      </w:pPr>
      <w:r>
        <w:rPr>
          <w:rFonts w:hint="eastAsia" w:hAnsi="宋体" w:cs="宋体"/>
          <w:color w:val="auto"/>
          <w:kern w:val="0"/>
          <w:highlight w:val="none"/>
        </w:rPr>
        <w:t>监理人指定的接收人为：</w:t>
      </w:r>
      <w:r>
        <w:rPr>
          <w:rFonts w:hint="eastAsia" w:ascii="Calibri" w:hAnsi="宋体"/>
          <w:color w:val="auto"/>
          <w:highlight w:val="none"/>
          <w:u w:val="single"/>
        </w:rPr>
        <w:t>监理工程师或其指定的授权代表</w:t>
      </w:r>
      <w:r>
        <w:rPr>
          <w:rFonts w:hint="eastAsia" w:hAnsi="宋体" w:cs="宋体"/>
          <w:color w:val="auto"/>
          <w:kern w:val="0"/>
          <w:highlight w:val="none"/>
        </w:rPr>
        <w:t>。</w:t>
      </w:r>
    </w:p>
    <w:p w14:paraId="7B4B29A4">
      <w:pPr>
        <w:keepNext/>
        <w:keepLines/>
        <w:spacing w:line="600" w:lineRule="exact"/>
        <w:ind w:firstLine="643" w:firstLineChars="200"/>
        <w:outlineLvl w:val="2"/>
        <w:rPr>
          <w:b/>
          <w:bCs/>
          <w:color w:val="auto"/>
          <w:sz w:val="32"/>
          <w:szCs w:val="32"/>
          <w:highlight w:val="none"/>
        </w:rPr>
      </w:pPr>
      <w:bookmarkStart w:id="205" w:name="_Toc373227699"/>
      <w:bookmarkStart w:id="206" w:name="_Toc1387231545"/>
      <w:bookmarkStart w:id="207" w:name="_Toc389065265"/>
      <w:bookmarkStart w:id="208" w:name="_Toc373478346"/>
      <w:bookmarkStart w:id="209" w:name="_Toc78449787"/>
      <w:bookmarkStart w:id="210" w:name="_Toc224348539"/>
      <w:bookmarkStart w:id="211" w:name="_Toc407135201"/>
      <w:r>
        <w:rPr>
          <w:b/>
          <w:bCs/>
          <w:color w:val="auto"/>
          <w:sz w:val="32"/>
          <w:szCs w:val="32"/>
          <w:highlight w:val="none"/>
        </w:rPr>
        <w:t xml:space="preserve">1.10 </w:t>
      </w:r>
      <w:r>
        <w:rPr>
          <w:rFonts w:hint="eastAsia" w:hAnsi="宋体" w:cs="黑体"/>
          <w:b/>
          <w:bCs/>
          <w:color w:val="auto"/>
          <w:sz w:val="32"/>
          <w:szCs w:val="32"/>
          <w:highlight w:val="none"/>
        </w:rPr>
        <w:t>交通运输</w:t>
      </w:r>
      <w:bookmarkEnd w:id="205"/>
      <w:bookmarkEnd w:id="206"/>
      <w:bookmarkEnd w:id="207"/>
      <w:bookmarkEnd w:id="208"/>
      <w:bookmarkEnd w:id="209"/>
      <w:bookmarkEnd w:id="210"/>
      <w:bookmarkEnd w:id="211"/>
    </w:p>
    <w:p w14:paraId="7436B8CA">
      <w:pPr>
        <w:spacing w:line="360" w:lineRule="auto"/>
        <w:ind w:firstLine="420" w:firstLineChars="200"/>
        <w:rPr>
          <w:color w:val="auto"/>
          <w:highlight w:val="none"/>
        </w:rPr>
      </w:pPr>
      <w:r>
        <w:rPr>
          <w:color w:val="auto"/>
          <w:highlight w:val="none"/>
        </w:rPr>
        <w:t>1</w:t>
      </w:r>
      <w:bookmarkStart w:id="212" w:name="_Toc312677986"/>
      <w:bookmarkStart w:id="213" w:name="_Toc300934943"/>
      <w:bookmarkStart w:id="214" w:name="_Toc304295521"/>
      <w:bookmarkStart w:id="215" w:name="_Toc303539100"/>
      <w:bookmarkStart w:id="216" w:name="_Toc318581155"/>
      <w:r>
        <w:rPr>
          <w:color w:val="auto"/>
          <w:highlight w:val="none"/>
        </w:rPr>
        <w:t xml:space="preserve">.10.1 </w:t>
      </w:r>
      <w:r>
        <w:rPr>
          <w:rFonts w:hint="eastAsia" w:hAnsi="宋体" w:cs="宋体"/>
          <w:color w:val="auto"/>
          <w:highlight w:val="none"/>
        </w:rPr>
        <w:t>出入现场的权利</w:t>
      </w:r>
    </w:p>
    <w:p w14:paraId="06715444">
      <w:pPr>
        <w:spacing w:line="360" w:lineRule="auto"/>
        <w:ind w:firstLine="420" w:firstLineChars="200"/>
        <w:rPr>
          <w:color w:val="auto"/>
          <w:highlight w:val="none"/>
          <w:u w:val="single"/>
        </w:rPr>
      </w:pPr>
      <w:r>
        <w:rPr>
          <w:rFonts w:hint="eastAsia" w:hAnsi="宋体" w:cs="宋体"/>
          <w:color w:val="auto"/>
          <w:highlight w:val="none"/>
        </w:rPr>
        <w:t>关于出入现场的权利的约定：</w:t>
      </w:r>
      <w:r>
        <w:rPr>
          <w:rFonts w:hint="eastAsia" w:ascii="Calibri" w:hAnsi="宋体"/>
          <w:color w:val="auto"/>
          <w:highlight w:val="none"/>
          <w:u w:val="single"/>
        </w:rPr>
        <w:t>非现场施工及管理人员、非参与项目建设和管理的相关人员、  材料设备供应商等人员不可进入现场</w:t>
      </w:r>
      <w:r>
        <w:rPr>
          <w:rFonts w:hint="eastAsia" w:hAnsi="宋体" w:cs="宋体"/>
          <w:color w:val="auto"/>
          <w:highlight w:val="none"/>
        </w:rPr>
        <w:t>。</w:t>
      </w:r>
    </w:p>
    <w:bookmarkEnd w:id="212"/>
    <w:bookmarkEnd w:id="213"/>
    <w:bookmarkEnd w:id="214"/>
    <w:bookmarkEnd w:id="215"/>
    <w:bookmarkEnd w:id="216"/>
    <w:p w14:paraId="1AFA7E08">
      <w:pPr>
        <w:spacing w:line="360" w:lineRule="auto"/>
        <w:ind w:firstLine="420" w:firstLineChars="200"/>
        <w:jc w:val="left"/>
        <w:rPr>
          <w:color w:val="auto"/>
          <w:highlight w:val="none"/>
        </w:rPr>
      </w:pPr>
      <w:r>
        <w:rPr>
          <w:color w:val="auto"/>
          <w:highlight w:val="none"/>
        </w:rPr>
        <w:t>1</w:t>
      </w:r>
      <w:bookmarkStart w:id="217" w:name="_Toc304295522"/>
      <w:bookmarkStart w:id="218" w:name="_Toc303539101"/>
      <w:bookmarkStart w:id="219" w:name="_Toc300934944"/>
      <w:bookmarkStart w:id="220" w:name="_Toc312677987"/>
      <w:bookmarkStart w:id="221" w:name="_Toc318581156"/>
      <w:r>
        <w:rPr>
          <w:color w:val="auto"/>
          <w:highlight w:val="none"/>
        </w:rPr>
        <w:t xml:space="preserve">.10.3 </w:t>
      </w:r>
      <w:r>
        <w:rPr>
          <w:rFonts w:hint="eastAsia" w:hAnsi="宋体" w:cs="宋体"/>
          <w:color w:val="auto"/>
          <w:highlight w:val="none"/>
        </w:rPr>
        <w:t>场内交通</w:t>
      </w:r>
    </w:p>
    <w:p w14:paraId="3F2D9341">
      <w:pPr>
        <w:spacing w:line="360" w:lineRule="auto"/>
        <w:ind w:firstLine="420" w:firstLineChars="200"/>
        <w:jc w:val="left"/>
        <w:rPr>
          <w:color w:val="auto"/>
          <w:kern w:val="0"/>
          <w:highlight w:val="none"/>
        </w:rPr>
      </w:pPr>
      <w:r>
        <w:rPr>
          <w:rFonts w:hint="eastAsia" w:hAnsi="宋体" w:cs="宋体"/>
          <w:color w:val="auto"/>
          <w:kern w:val="0"/>
          <w:highlight w:val="none"/>
        </w:rPr>
        <w:t>关于场外交通和场内交通的边界的约定：</w:t>
      </w:r>
      <w:r>
        <w:rPr>
          <w:rFonts w:hint="eastAsia" w:ascii="Calibri" w:hAnsi="宋体"/>
          <w:color w:val="auto"/>
          <w:highlight w:val="none"/>
          <w:u w:val="single"/>
        </w:rPr>
        <w:t>原则上以规划批复总平用地红线界定</w:t>
      </w:r>
      <w:r>
        <w:rPr>
          <w:rFonts w:hint="eastAsia" w:hAnsi="宋体" w:cs="宋体"/>
          <w:color w:val="auto"/>
          <w:highlight w:val="none"/>
        </w:rPr>
        <w:t>。</w:t>
      </w:r>
    </w:p>
    <w:p w14:paraId="7D73BE74">
      <w:pPr>
        <w:spacing w:line="360" w:lineRule="auto"/>
        <w:ind w:firstLine="420" w:firstLineChars="200"/>
        <w:jc w:val="left"/>
        <w:rPr>
          <w:color w:val="auto"/>
          <w:highlight w:val="none"/>
        </w:rPr>
      </w:pPr>
      <w:r>
        <w:rPr>
          <w:rFonts w:hAnsi="宋体"/>
          <w:color w:val="auto"/>
          <w:highlight w:val="none"/>
        </w:rPr>
        <w:t>关于发包人向承包人免费提供满足工程施工需要的场内道路和交通设施的约定：</w:t>
      </w:r>
      <w:r>
        <w:rPr>
          <w:rFonts w:hint="eastAsia" w:ascii="Calibri" w:hAnsi="宋体"/>
          <w:color w:val="auto"/>
          <w:highlight w:val="none"/>
          <w:u w:val="single"/>
        </w:rPr>
        <w:t>由承包人根据现场实际自行考虑，费用自理</w:t>
      </w:r>
      <w:r>
        <w:rPr>
          <w:rFonts w:hAnsi="宋体"/>
          <w:color w:val="auto"/>
          <w:highlight w:val="none"/>
        </w:rPr>
        <w:t>。</w:t>
      </w:r>
      <w:bookmarkEnd w:id="217"/>
      <w:bookmarkEnd w:id="218"/>
      <w:bookmarkEnd w:id="219"/>
      <w:bookmarkEnd w:id="220"/>
      <w:bookmarkEnd w:id="221"/>
      <w:bookmarkStart w:id="222" w:name="_Toc318581157"/>
    </w:p>
    <w:p w14:paraId="607442EA">
      <w:pPr>
        <w:spacing w:line="360" w:lineRule="auto"/>
        <w:ind w:firstLine="420" w:firstLineChars="200"/>
        <w:jc w:val="left"/>
        <w:rPr>
          <w:color w:val="auto"/>
          <w:highlight w:val="none"/>
        </w:rPr>
      </w:pPr>
      <w:r>
        <w:rPr>
          <w:color w:val="auto"/>
          <w:highlight w:val="none"/>
        </w:rPr>
        <w:t xml:space="preserve">1.10.4 </w:t>
      </w:r>
      <w:r>
        <w:rPr>
          <w:rFonts w:hint="eastAsia" w:hAnsi="宋体" w:cs="宋体"/>
          <w:color w:val="auto"/>
          <w:highlight w:val="none"/>
        </w:rPr>
        <w:t>超大件和超重件的运输</w:t>
      </w:r>
    </w:p>
    <w:p w14:paraId="6017037C">
      <w:pPr>
        <w:spacing w:line="360" w:lineRule="auto"/>
        <w:ind w:firstLine="420" w:firstLineChars="200"/>
        <w:jc w:val="left"/>
        <w:rPr>
          <w:color w:val="auto"/>
          <w:highlight w:val="none"/>
          <w:u w:val="single"/>
        </w:rPr>
      </w:pPr>
      <w:r>
        <w:rPr>
          <w:rFonts w:hint="eastAsia" w:hAnsi="宋体" w:cs="宋体"/>
          <w:color w:val="auto"/>
          <w:highlight w:val="none"/>
        </w:rPr>
        <w:t>运输超大件或超重件所需的道路和桥梁临时加固改造费用和其他有关费用由</w:t>
      </w:r>
      <w:r>
        <w:rPr>
          <w:rFonts w:hint="eastAsia" w:ascii="Calibri" w:hAnsi="宋体"/>
          <w:color w:val="auto"/>
          <w:highlight w:val="none"/>
          <w:u w:val="single"/>
        </w:rPr>
        <w:t>承包人</w:t>
      </w:r>
      <w:r>
        <w:rPr>
          <w:rFonts w:hint="eastAsia" w:hAnsi="宋体" w:cs="宋体"/>
          <w:color w:val="auto"/>
          <w:highlight w:val="none"/>
        </w:rPr>
        <w:t>承担。</w:t>
      </w:r>
    </w:p>
    <w:bookmarkEnd w:id="222"/>
    <w:p w14:paraId="35C31BAB">
      <w:pPr>
        <w:keepNext/>
        <w:keepLines/>
        <w:spacing w:line="600" w:lineRule="exact"/>
        <w:ind w:firstLine="643" w:firstLineChars="200"/>
        <w:outlineLvl w:val="2"/>
        <w:rPr>
          <w:b/>
          <w:bCs/>
          <w:color w:val="auto"/>
          <w:sz w:val="32"/>
          <w:szCs w:val="32"/>
          <w:highlight w:val="none"/>
        </w:rPr>
      </w:pPr>
      <w:bookmarkStart w:id="223" w:name="_Toc407135202"/>
      <w:bookmarkStart w:id="224" w:name="_Toc78449788"/>
      <w:bookmarkStart w:id="225" w:name="_Toc1495098807"/>
      <w:bookmarkStart w:id="226" w:name="_Toc389065266"/>
      <w:bookmarkStart w:id="227" w:name="_Toc373227700"/>
      <w:bookmarkStart w:id="228" w:name="_Toc373478347"/>
      <w:bookmarkStart w:id="229" w:name="_Toc512841653"/>
      <w:r>
        <w:rPr>
          <w:b/>
          <w:bCs/>
          <w:color w:val="auto"/>
          <w:sz w:val="32"/>
          <w:szCs w:val="32"/>
          <w:highlight w:val="none"/>
        </w:rPr>
        <w:t xml:space="preserve">1.11 </w:t>
      </w:r>
      <w:r>
        <w:rPr>
          <w:rFonts w:hint="eastAsia" w:hAnsi="宋体" w:cs="黑体"/>
          <w:b/>
          <w:bCs/>
          <w:color w:val="auto"/>
          <w:sz w:val="32"/>
          <w:szCs w:val="32"/>
          <w:highlight w:val="none"/>
        </w:rPr>
        <w:t>知识产权</w:t>
      </w:r>
      <w:bookmarkEnd w:id="223"/>
      <w:bookmarkEnd w:id="224"/>
      <w:bookmarkEnd w:id="225"/>
      <w:bookmarkEnd w:id="226"/>
      <w:bookmarkEnd w:id="227"/>
      <w:bookmarkEnd w:id="228"/>
      <w:bookmarkEnd w:id="229"/>
    </w:p>
    <w:p w14:paraId="15D3AA18">
      <w:pPr>
        <w:spacing w:line="360" w:lineRule="auto"/>
        <w:ind w:firstLine="420" w:firstLineChars="200"/>
        <w:rPr>
          <w:color w:val="auto"/>
          <w:highlight w:val="non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rFonts w:hint="eastAsia" w:ascii="Calibri" w:hAnsi="宋体"/>
          <w:color w:val="auto"/>
          <w:highlight w:val="none"/>
          <w:u w:val="single"/>
        </w:rPr>
        <w:t>属于发包人</w:t>
      </w:r>
      <w:r>
        <w:rPr>
          <w:rFonts w:hint="eastAsia" w:hAnsi="宋体" w:cs="宋体"/>
          <w:color w:val="auto"/>
          <w:highlight w:val="none"/>
        </w:rPr>
        <w:t>。</w:t>
      </w:r>
    </w:p>
    <w:p w14:paraId="02B1D16A">
      <w:pPr>
        <w:spacing w:line="360" w:lineRule="auto"/>
        <w:ind w:firstLine="420" w:firstLineChars="200"/>
        <w:rPr>
          <w:color w:val="auto"/>
          <w:highlight w:val="none"/>
        </w:rPr>
      </w:pPr>
      <w:r>
        <w:rPr>
          <w:rFonts w:hint="eastAsia" w:hAnsi="宋体" w:cs="宋体"/>
          <w:color w:val="auto"/>
          <w:highlight w:val="none"/>
        </w:rPr>
        <w:t>关于发包人提供的上述文件的使用限制的要求：</w:t>
      </w:r>
      <w:r>
        <w:rPr>
          <w:rFonts w:hint="eastAsia" w:ascii="Calibri" w:hAnsi="Calibri"/>
          <w:color w:val="auto"/>
          <w:highlight w:val="none"/>
          <w:u w:val="single"/>
        </w:rPr>
        <w:t>承包人应对发包人提供的图纸予以保密，不得擅自向外泄漏图纸，不得将图纸借给他人用于实施本项目以外之目的</w:t>
      </w:r>
      <w:r>
        <w:rPr>
          <w:rFonts w:hint="eastAsia" w:hAnsi="宋体" w:cs="宋体"/>
          <w:color w:val="auto"/>
          <w:highlight w:val="none"/>
        </w:rPr>
        <w:t>。</w:t>
      </w:r>
    </w:p>
    <w:p w14:paraId="09ECE94F">
      <w:pPr>
        <w:spacing w:line="360" w:lineRule="auto"/>
        <w:ind w:firstLine="420" w:firstLineChars="200"/>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rFonts w:hint="eastAsia" w:hAnsi="宋体" w:cs="宋体"/>
          <w:color w:val="auto"/>
          <w:highlight w:val="none"/>
          <w:u w:val="single"/>
        </w:rPr>
        <w:t>承包人</w:t>
      </w:r>
      <w:r>
        <w:rPr>
          <w:rFonts w:hint="eastAsia" w:hAnsi="宋体" w:cs="宋体"/>
          <w:color w:val="auto"/>
          <w:highlight w:val="none"/>
        </w:rPr>
        <w:t>。</w:t>
      </w:r>
    </w:p>
    <w:p w14:paraId="561370F0">
      <w:pPr>
        <w:spacing w:line="360" w:lineRule="auto"/>
        <w:ind w:firstLine="420" w:firstLineChars="200"/>
        <w:rPr>
          <w:color w:val="auto"/>
          <w:highlight w:val="none"/>
          <w:u w:val="single"/>
        </w:rPr>
      </w:pPr>
      <w:r>
        <w:rPr>
          <w:rFonts w:hint="eastAsia" w:hAnsi="宋体" w:cs="宋体"/>
          <w:color w:val="auto"/>
          <w:highlight w:val="none"/>
        </w:rPr>
        <w:t>关于承包人提供的上述文件的使用限制的要求：</w:t>
      </w:r>
      <w:r>
        <w:rPr>
          <w:rFonts w:hint="eastAsia" w:ascii="Calibri" w:hAnsi="宋体"/>
          <w:color w:val="auto"/>
          <w:highlight w:val="none"/>
          <w:u w:val="single"/>
        </w:rPr>
        <w:t>只能用于本工地施工、保修，未经承包人 同意不得向第三方提供</w:t>
      </w:r>
      <w:r>
        <w:rPr>
          <w:rFonts w:hint="eastAsia" w:hAnsi="宋体" w:cs="宋体"/>
          <w:color w:val="auto"/>
          <w:highlight w:val="none"/>
        </w:rPr>
        <w:t>。</w:t>
      </w:r>
    </w:p>
    <w:p w14:paraId="4DC8A732">
      <w:pPr>
        <w:spacing w:line="360" w:lineRule="auto"/>
        <w:ind w:firstLine="420" w:firstLineChars="200"/>
        <w:rPr>
          <w:color w:val="auto"/>
          <w:kern w:val="0"/>
          <w:highlight w:val="non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r>
        <w:rPr>
          <w:rFonts w:hint="eastAsia" w:ascii="Calibri" w:hAnsi="宋体"/>
          <w:color w:val="auto"/>
          <w:highlight w:val="none"/>
          <w:u w:val="single"/>
        </w:rPr>
        <w:t>承包人自行承担，已包含在签约合同价中，发包人不再另行支付</w:t>
      </w:r>
      <w:r>
        <w:rPr>
          <w:rFonts w:hint="eastAsia" w:hAnsi="宋体" w:cs="宋体"/>
          <w:color w:val="auto"/>
          <w:kern w:val="0"/>
          <w:highlight w:val="none"/>
        </w:rPr>
        <w:t>。</w:t>
      </w:r>
    </w:p>
    <w:p w14:paraId="72C4669C">
      <w:pPr>
        <w:keepNext/>
        <w:keepLines/>
        <w:spacing w:line="600" w:lineRule="exact"/>
        <w:ind w:firstLine="643" w:firstLineChars="200"/>
        <w:outlineLvl w:val="2"/>
        <w:rPr>
          <w:b/>
          <w:bCs/>
          <w:color w:val="auto"/>
          <w:sz w:val="32"/>
          <w:szCs w:val="32"/>
          <w:highlight w:val="none"/>
        </w:rPr>
      </w:pPr>
      <w:bookmarkStart w:id="230" w:name="_Toc407135203"/>
      <w:bookmarkStart w:id="231" w:name="_Toc267680563"/>
      <w:bookmarkStart w:id="232" w:name="_Toc1194977599"/>
      <w:bookmarkStart w:id="233" w:name="_Toc373227701"/>
      <w:bookmarkStart w:id="234" w:name="_Toc373478348"/>
      <w:bookmarkStart w:id="235" w:name="_Toc389065267"/>
      <w:bookmarkStart w:id="236" w:name="_Toc78449789"/>
      <w:r>
        <w:rPr>
          <w:b/>
          <w:bCs/>
          <w:color w:val="auto"/>
          <w:sz w:val="32"/>
          <w:szCs w:val="32"/>
          <w:highlight w:val="none"/>
        </w:rPr>
        <w:t>1.13</w:t>
      </w:r>
      <w:r>
        <w:rPr>
          <w:rFonts w:hint="eastAsia" w:cs="黑体"/>
          <w:b/>
          <w:bCs/>
          <w:color w:val="auto"/>
          <w:sz w:val="32"/>
          <w:szCs w:val="32"/>
          <w:highlight w:val="none"/>
        </w:rPr>
        <w:t>工程量清单错误的修正</w:t>
      </w:r>
      <w:bookmarkEnd w:id="230"/>
      <w:bookmarkEnd w:id="231"/>
      <w:bookmarkEnd w:id="232"/>
      <w:bookmarkEnd w:id="233"/>
      <w:bookmarkEnd w:id="234"/>
      <w:bookmarkEnd w:id="235"/>
      <w:bookmarkEnd w:id="236"/>
    </w:p>
    <w:p w14:paraId="0115B0A0">
      <w:pPr>
        <w:spacing w:line="360" w:lineRule="auto"/>
        <w:ind w:firstLine="420" w:firstLineChars="200"/>
        <w:rPr>
          <w:color w:val="auto"/>
          <w:highlight w:val="none"/>
        </w:rPr>
      </w:pPr>
      <w:r>
        <w:rPr>
          <w:rFonts w:hint="eastAsia" w:hAnsi="宋体" w:cs="宋体"/>
          <w:color w:val="auto"/>
          <w:highlight w:val="none"/>
        </w:rPr>
        <w:t>出现工程量清单工程量偏差时，是否调整合同价格：</w:t>
      </w:r>
      <w:r>
        <w:rPr>
          <w:rFonts w:hint="eastAsia" w:ascii="宋体" w:hAnsi="宋体" w:cs="宋体"/>
          <w:color w:val="auto"/>
          <w:highlight w:val="none"/>
          <w:u w:val="single"/>
        </w:rPr>
        <w:sym w:font="Wingdings 2" w:char="0052"/>
      </w:r>
      <w:r>
        <w:rPr>
          <w:rFonts w:hint="eastAsia" w:hAnsi="宋体" w:cs="宋体"/>
          <w:color w:val="auto"/>
          <w:highlight w:val="none"/>
          <w:u w:val="single"/>
        </w:rPr>
        <w:t>是</w:t>
      </w:r>
      <w:r>
        <w:rPr>
          <w:rFonts w:hint="eastAsia" w:ascii="宋体" w:hAnsi="宋体" w:cs="宋体"/>
          <w:color w:val="auto"/>
          <w:highlight w:val="none"/>
          <w:u w:val="single"/>
        </w:rPr>
        <w:t>□</w:t>
      </w:r>
      <w:r>
        <w:rPr>
          <w:rFonts w:hint="eastAsia" w:hAnsi="宋体" w:cs="宋体"/>
          <w:color w:val="auto"/>
          <w:highlight w:val="none"/>
          <w:u w:val="single"/>
        </w:rPr>
        <w:t>否</w:t>
      </w:r>
      <w:r>
        <w:rPr>
          <w:rFonts w:hint="eastAsia" w:hAnsi="宋体" w:cs="宋体"/>
          <w:color w:val="auto"/>
          <w:kern w:val="0"/>
          <w:highlight w:val="none"/>
        </w:rPr>
        <w:t>。</w:t>
      </w:r>
    </w:p>
    <w:p w14:paraId="7971758C">
      <w:pPr>
        <w:spacing w:line="360" w:lineRule="auto"/>
        <w:ind w:firstLine="420" w:firstLineChars="200"/>
        <w:rPr>
          <w:rFonts w:hAnsi="宋体" w:cs="宋体"/>
          <w:color w:val="auto"/>
          <w:highlight w:val="none"/>
        </w:rPr>
      </w:pPr>
      <w:r>
        <w:rPr>
          <w:rFonts w:hint="eastAsia" w:hAnsi="宋体" w:cs="宋体"/>
          <w:color w:val="auto"/>
          <w:highlight w:val="none"/>
        </w:rPr>
        <w:t>允许调整合同价格的工程量偏差范围及其调整办法：</w:t>
      </w:r>
    </w:p>
    <w:p w14:paraId="109356A8">
      <w:pPr>
        <w:spacing w:line="360" w:lineRule="auto"/>
        <w:ind w:firstLine="420" w:firstLineChars="200"/>
        <w:rPr>
          <w:color w:val="auto"/>
          <w:kern w:val="0"/>
          <w:highlight w:val="none"/>
        </w:rPr>
      </w:pPr>
      <w:r>
        <w:rPr>
          <w:rFonts w:hint="eastAsia" w:ascii="宋体" w:hAnsi="宋体" w:cs="宋体"/>
          <w:color w:val="auto"/>
          <w:highlight w:val="none"/>
        </w:rPr>
        <w:t>□</w:t>
      </w:r>
      <w:r>
        <w:rPr>
          <w:rFonts w:hint="eastAsia"/>
          <w:color w:val="auto"/>
          <w:highlight w:val="none"/>
          <w:u w:val="single"/>
        </w:rPr>
        <w:t>除严重不平衡报价外，无论分部分项工程量清单项目中的工程量变化多少均不调整</w:t>
      </w:r>
      <w:r>
        <w:rPr>
          <w:rFonts w:hint="eastAsia" w:hAnsi="宋体" w:cs="宋体"/>
          <w:color w:val="auto"/>
          <w:kern w:val="0"/>
          <w:highlight w:val="none"/>
        </w:rPr>
        <w:t>。</w:t>
      </w:r>
    </w:p>
    <w:p w14:paraId="1C459271">
      <w:pPr>
        <w:spacing w:line="400" w:lineRule="exact"/>
        <w:ind w:firstLine="420" w:firstLineChars="200"/>
        <w:rPr>
          <w:rFonts w:ascii="宋体" w:hAnsi="宋体" w:cs="宋体"/>
          <w:b/>
          <w:bCs/>
          <w:color w:val="auto"/>
          <w:highlight w:val="none"/>
          <w:u w:val="single"/>
        </w:rPr>
      </w:pPr>
      <w:r>
        <w:rPr>
          <w:rFonts w:ascii="Segoe UI Symbol" w:hAnsi="Segoe UI Symbol" w:cs="Segoe UI Symbol"/>
          <w:color w:val="auto"/>
          <w:highlight w:val="none"/>
        </w:rPr>
        <w:t>☑</w:t>
      </w:r>
      <w:r>
        <w:rPr>
          <w:rFonts w:ascii="宋体" w:hAnsi="宋体" w:cs="宋体"/>
          <w:b/>
          <w:bCs/>
          <w:color w:val="auto"/>
          <w:highlight w:val="none"/>
          <w:u w:val="single"/>
        </w:rPr>
        <w:t>因设计变更及工程量增减造成的</w:t>
      </w:r>
      <w:r>
        <w:rPr>
          <w:rFonts w:hint="eastAsia" w:ascii="宋体" w:hAnsi="宋体" w:cs="宋体"/>
          <w:b/>
          <w:bCs/>
          <w:color w:val="auto"/>
          <w:highlight w:val="none"/>
          <w:u w:val="single"/>
        </w:rPr>
        <w:t>：当应予计算的实际工程量与招标工程量清单出现偏差，清单工程量偏差15 %且该单项清单造价超过合同总价1%以内的，超过后增加部分工程量或减少后剩余部分工程量的综合单价按以下方法调整：出现工程量清单偏差时：（1）合同中已有相同子目的，按合同该子目价格进行计算；（2）合同中只有类似子目的，参照该类似子目价格进行计算；（3）合同中没有适用或类似子目的价格计算方法：有定额的套定额（土石方按市场报价），并乘以下浮系数（</w:t>
      </w:r>
      <w:r>
        <w:rPr>
          <w:rFonts w:hint="eastAsia" w:ascii="宋体" w:hAnsi="宋体" w:cs="宋体"/>
          <w:b/>
          <w:bCs/>
          <w:color w:val="auto"/>
          <w:highlight w:val="none"/>
          <w:u w:val="single"/>
          <w:lang w:val="en-US" w:eastAsia="zh-CN"/>
        </w:rPr>
        <w:t>成交</w:t>
      </w:r>
      <w:r>
        <w:rPr>
          <w:rFonts w:hint="eastAsia" w:ascii="宋体" w:hAnsi="宋体" w:cs="宋体"/>
          <w:b/>
          <w:bCs/>
          <w:color w:val="auto"/>
          <w:highlight w:val="none"/>
          <w:u w:val="single"/>
        </w:rPr>
        <w:t>价/经采购人公布的工程招标控制价）计算，其中材料价格按施工期间的《</w:t>
      </w:r>
      <w:r>
        <w:rPr>
          <w:rFonts w:hint="eastAsia" w:ascii="宋体" w:hAnsi="宋体" w:cs="宋体"/>
          <w:b/>
          <w:bCs/>
          <w:color w:val="auto"/>
          <w:highlight w:val="none"/>
          <w:u w:val="single"/>
          <w:lang w:eastAsia="zh-CN"/>
        </w:rPr>
        <w:t>百色</w:t>
      </w:r>
      <w:r>
        <w:rPr>
          <w:rFonts w:hint="eastAsia" w:ascii="宋体" w:hAnsi="宋体" w:cs="宋体"/>
          <w:b/>
          <w:bCs/>
          <w:color w:val="auto"/>
          <w:highlight w:val="none"/>
          <w:u w:val="single"/>
        </w:rPr>
        <w:t>建设工程造价信息》相应价格信息进行计算；《</w:t>
      </w:r>
      <w:r>
        <w:rPr>
          <w:rFonts w:hint="eastAsia" w:ascii="宋体" w:hAnsi="宋体" w:cs="宋体"/>
          <w:b/>
          <w:bCs/>
          <w:color w:val="auto"/>
          <w:highlight w:val="none"/>
          <w:u w:val="single"/>
          <w:lang w:eastAsia="zh-CN"/>
        </w:rPr>
        <w:t>百色</w:t>
      </w:r>
      <w:r>
        <w:rPr>
          <w:rFonts w:hint="eastAsia" w:ascii="宋体" w:hAnsi="宋体" w:cs="宋体"/>
          <w:b/>
          <w:bCs/>
          <w:color w:val="auto"/>
          <w:highlight w:val="none"/>
          <w:u w:val="single"/>
        </w:rPr>
        <w:t>建设工程造价信息》没有相应价格信息的按市场价计算；无定额可套的，根据市场价格协商确定综合价格；新增项目无定额可套的，</w:t>
      </w:r>
      <w:r>
        <w:rPr>
          <w:rFonts w:hint="eastAsia" w:ascii="宋体" w:hAnsi="宋体" w:cs="宋体"/>
          <w:b/>
          <w:bCs/>
          <w:color w:val="auto"/>
          <w:szCs w:val="21"/>
          <w:highlight w:val="none"/>
          <w:u w:val="single"/>
        </w:rPr>
        <w:t>由发包人、承包人根据市场价格协商确定；新增项目的单价必须经发包人、监理单位及发包人委托的第三方造价咨询机构审定</w:t>
      </w:r>
      <w:r>
        <w:rPr>
          <w:rFonts w:hint="eastAsia" w:ascii="宋体" w:hAnsi="宋体" w:cs="宋体"/>
          <w:b/>
          <w:bCs/>
          <w:color w:val="auto"/>
          <w:highlight w:val="none"/>
          <w:u w:val="single"/>
        </w:rPr>
        <w:t>。</w:t>
      </w:r>
    </w:p>
    <w:p w14:paraId="59429C76">
      <w:pPr>
        <w:spacing w:line="400" w:lineRule="exact"/>
        <w:ind w:firstLine="422" w:firstLineChars="200"/>
        <w:rPr>
          <w:rFonts w:ascii="宋体" w:hAnsi="宋体" w:cs="宋体"/>
          <w:b/>
          <w:bCs/>
          <w:color w:val="auto"/>
          <w:highlight w:val="none"/>
          <w:u w:val="single"/>
        </w:rPr>
      </w:pPr>
      <w:r>
        <w:rPr>
          <w:rFonts w:hint="eastAsia" w:ascii="宋体" w:hAnsi="宋体" w:cs="宋体"/>
          <w:b/>
          <w:bCs/>
          <w:color w:val="auto"/>
          <w:kern w:val="44"/>
          <w:highlight w:val="none"/>
          <w:u w:val="single"/>
        </w:rPr>
        <w:t>与招标工程量清单工程量偏差15%且该单项清单造价超过合同总价1%以上部分按以下方法调整：（1）工程量增加15%以上部分有定额的套定额（土石方按市场报价），并乘以下浮系数（</w:t>
      </w:r>
      <w:r>
        <w:rPr>
          <w:rFonts w:hint="eastAsia" w:ascii="宋体" w:hAnsi="宋体" w:cs="宋体"/>
          <w:b/>
          <w:bCs/>
          <w:color w:val="auto"/>
          <w:highlight w:val="none"/>
          <w:u w:val="single"/>
          <w:lang w:val="en-US" w:eastAsia="zh-CN"/>
        </w:rPr>
        <w:t>成交</w:t>
      </w:r>
      <w:r>
        <w:rPr>
          <w:rFonts w:hint="eastAsia" w:ascii="宋体" w:hAnsi="宋体" w:cs="宋体"/>
          <w:b/>
          <w:bCs/>
          <w:color w:val="auto"/>
          <w:kern w:val="44"/>
          <w:highlight w:val="none"/>
          <w:u w:val="single"/>
        </w:rPr>
        <w:t>价/经招标人公布的工程招标控制价）计算；（2）工程量减少15%后剩余工程量按</w:t>
      </w:r>
      <w:r>
        <w:rPr>
          <w:rFonts w:hint="eastAsia" w:ascii="宋体" w:hAnsi="宋体" w:cs="宋体"/>
          <w:b/>
          <w:bCs/>
          <w:color w:val="auto"/>
          <w:kern w:val="44"/>
          <w:highlight w:val="none"/>
          <w:u w:val="single"/>
          <w:lang w:val="en-US" w:eastAsia="zh-CN"/>
        </w:rPr>
        <w:t>成交</w:t>
      </w:r>
      <w:r>
        <w:rPr>
          <w:rFonts w:hint="eastAsia" w:ascii="宋体" w:hAnsi="宋体" w:cs="宋体"/>
          <w:b/>
          <w:bCs/>
          <w:color w:val="auto"/>
          <w:kern w:val="44"/>
          <w:highlight w:val="none"/>
          <w:u w:val="single"/>
        </w:rPr>
        <w:t>价计算；其中材料价格按施工期间的《</w:t>
      </w:r>
      <w:r>
        <w:rPr>
          <w:rFonts w:hint="eastAsia" w:ascii="宋体" w:hAnsi="宋体" w:cs="宋体"/>
          <w:b/>
          <w:bCs/>
          <w:color w:val="auto"/>
          <w:kern w:val="44"/>
          <w:highlight w:val="none"/>
          <w:u w:val="single"/>
          <w:lang w:eastAsia="zh-CN"/>
        </w:rPr>
        <w:t>百色</w:t>
      </w:r>
      <w:r>
        <w:rPr>
          <w:rFonts w:hint="eastAsia" w:ascii="宋体" w:hAnsi="宋体" w:cs="宋体"/>
          <w:b/>
          <w:bCs/>
          <w:color w:val="auto"/>
          <w:kern w:val="44"/>
          <w:highlight w:val="none"/>
          <w:u w:val="single"/>
        </w:rPr>
        <w:t>建设工程造价信息》相应价格信息进行计算；无定额可套的，根据市场价格双方协商确定综合价格，新增项目无定额可套的，由发包人、承包人、审计等部门根据市场价格协商确定；</w:t>
      </w:r>
      <w:r>
        <w:rPr>
          <w:rFonts w:hint="eastAsia" w:ascii="宋体" w:hAnsi="宋体" w:cs="宋体"/>
          <w:b/>
          <w:bCs/>
          <w:color w:val="auto"/>
          <w:szCs w:val="21"/>
          <w:highlight w:val="none"/>
          <w:u w:val="single"/>
        </w:rPr>
        <w:t>新增项目的单价必须经发包人、监理单位及发包人委托的第三方造价咨询机构审定</w:t>
      </w:r>
      <w:r>
        <w:rPr>
          <w:rFonts w:hint="eastAsia" w:ascii="宋体" w:hAnsi="宋体" w:cs="宋体"/>
          <w:b/>
          <w:bCs/>
          <w:color w:val="auto"/>
          <w:highlight w:val="none"/>
          <w:u w:val="single"/>
        </w:rPr>
        <w:t>。</w:t>
      </w:r>
    </w:p>
    <w:p w14:paraId="136306CA">
      <w:pPr>
        <w:spacing w:line="400" w:lineRule="exact"/>
        <w:ind w:firstLine="420"/>
        <w:rPr>
          <w:rFonts w:ascii="宋体" w:hAnsi="宋体" w:cs="宋体"/>
          <w:b/>
          <w:bCs/>
          <w:color w:val="auto"/>
          <w:highlight w:val="none"/>
          <w:u w:val="single"/>
        </w:rPr>
      </w:pPr>
      <w:r>
        <w:rPr>
          <w:rFonts w:hint="eastAsia" w:ascii="宋体" w:hAnsi="宋体" w:cs="宋体"/>
          <w:b/>
          <w:bCs/>
          <w:color w:val="auto"/>
          <w:highlight w:val="none"/>
          <w:u w:val="single"/>
        </w:rPr>
        <w:t>允许调整合同价格的工程量偏差范围：</w:t>
      </w:r>
      <w:r>
        <w:rPr>
          <w:rFonts w:hint="eastAsia" w:ascii="宋体" w:hAnsi="宋体"/>
          <w:b/>
          <w:bCs/>
          <w:color w:val="auto"/>
          <w:szCs w:val="22"/>
          <w:highlight w:val="none"/>
          <w:u w:val="single"/>
        </w:rPr>
        <w:t>按现行建设工程工程量计算规范计算的实际工程量进行调整 。</w:t>
      </w:r>
      <w:r>
        <w:rPr>
          <w:rFonts w:ascii="宋体" w:hAnsi="宋体"/>
          <w:b/>
          <w:bCs/>
          <w:color w:val="auto"/>
          <w:szCs w:val="22"/>
          <w:highlight w:val="none"/>
          <w:u w:val="single"/>
        </w:rPr>
        <w:t>因</w:t>
      </w:r>
      <w:r>
        <w:rPr>
          <w:rFonts w:hint="eastAsia" w:ascii="宋体" w:hAnsi="宋体" w:cs="宋体"/>
          <w:b/>
          <w:bCs/>
          <w:color w:val="auto"/>
          <w:kern w:val="0"/>
          <w:highlight w:val="none"/>
          <w:u w:val="single"/>
          <w:shd w:val="clear" w:color="auto" w:fill="FFFFFF"/>
        </w:rPr>
        <w:t>增减工程量和设计变更</w:t>
      </w:r>
      <w:r>
        <w:rPr>
          <w:rFonts w:ascii="宋体" w:hAnsi="宋体" w:cs="宋体"/>
          <w:b/>
          <w:bCs/>
          <w:color w:val="auto"/>
          <w:kern w:val="0"/>
          <w:highlight w:val="none"/>
          <w:u w:val="single"/>
          <w:shd w:val="clear" w:color="auto" w:fill="FFFFFF"/>
        </w:rPr>
        <w:t>，</w:t>
      </w:r>
      <w:r>
        <w:rPr>
          <w:rFonts w:hint="eastAsia" w:ascii="宋体" w:hAnsi="宋体"/>
          <w:color w:val="auto"/>
          <w:szCs w:val="22"/>
          <w:highlight w:val="none"/>
          <w:u w:val="single"/>
        </w:rPr>
        <w:t>出现以下情形之一时，发包人应予以修正，并相应调整合同价格</w:t>
      </w:r>
      <w:r>
        <w:rPr>
          <w:rFonts w:hint="eastAsia" w:ascii="宋体" w:hAnsi="宋体" w:cs="宋体"/>
          <w:color w:val="auto"/>
          <w:highlight w:val="none"/>
          <w:u w:val="single"/>
        </w:rPr>
        <w:t>：</w:t>
      </w:r>
    </w:p>
    <w:p w14:paraId="245BA713">
      <w:pPr>
        <w:numPr>
          <w:ilvl w:val="0"/>
          <w:numId w:val="0"/>
        </w:numPr>
        <w:tabs>
          <w:tab w:val="left" w:pos="0"/>
        </w:tabs>
        <w:spacing w:line="400" w:lineRule="exact"/>
        <w:ind w:left="0" w:leftChars="0" w:firstLine="420" w:firstLineChars="0"/>
        <w:jc w:val="left"/>
        <w:rPr>
          <w:rFonts w:ascii="宋体" w:hAnsi="宋体" w:cs="宋体"/>
          <w:b/>
          <w:bCs/>
          <w:color w:val="auto"/>
          <w:highlight w:val="none"/>
          <w:u w:val="single"/>
        </w:rPr>
      </w:pPr>
      <w:r>
        <w:rPr>
          <w:rFonts w:ascii="宋体" w:hAnsi="宋体" w:eastAsia="宋体" w:cs="宋体"/>
          <w:b/>
          <w:bCs/>
          <w:color w:val="auto"/>
          <w:w w:val="100"/>
          <w:kern w:val="2"/>
          <w:sz w:val="21"/>
          <w:szCs w:val="21"/>
          <w:highlight w:val="none"/>
          <w:u w:val="none"/>
          <w:lang w:val="en-US" w:eastAsia="zh-CN" w:bidi="ar-SA"/>
        </w:rPr>
        <w:t>（1）</w:t>
      </w:r>
      <w:r>
        <w:rPr>
          <w:rFonts w:hint="eastAsia" w:ascii="宋体" w:hAnsi="宋体" w:cs="宋体"/>
          <w:b/>
          <w:bCs/>
          <w:color w:val="auto"/>
          <w:highlight w:val="none"/>
          <w:u w:val="single"/>
        </w:rPr>
        <w:t>工程量清单存在缺项、错项、漏项的；</w:t>
      </w:r>
    </w:p>
    <w:p w14:paraId="1D053CB3">
      <w:pPr>
        <w:numPr>
          <w:ilvl w:val="0"/>
          <w:numId w:val="0"/>
        </w:numPr>
        <w:spacing w:line="400" w:lineRule="exact"/>
        <w:ind w:left="0" w:leftChars="0" w:firstLine="420" w:firstLineChars="0"/>
        <w:jc w:val="left"/>
        <w:rPr>
          <w:rFonts w:ascii="宋体" w:hAnsi="宋体" w:cs="宋体"/>
          <w:b/>
          <w:bCs/>
          <w:color w:val="auto"/>
          <w:highlight w:val="none"/>
          <w:u w:val="single"/>
        </w:rPr>
      </w:pPr>
      <w:r>
        <w:rPr>
          <w:rFonts w:ascii="宋体" w:hAnsi="宋体" w:eastAsia="宋体" w:cs="宋体"/>
          <w:b/>
          <w:bCs/>
          <w:color w:val="auto"/>
          <w:w w:val="100"/>
          <w:kern w:val="2"/>
          <w:sz w:val="21"/>
          <w:szCs w:val="21"/>
          <w:highlight w:val="none"/>
          <w:u w:val="none"/>
          <w:lang w:val="en-US" w:eastAsia="zh-CN" w:bidi="ar-SA"/>
        </w:rPr>
        <w:t>（2）</w:t>
      </w:r>
      <w:r>
        <w:rPr>
          <w:rFonts w:hint="eastAsia" w:ascii="宋体" w:hAnsi="宋体" w:cs="宋体"/>
          <w:b/>
          <w:bCs/>
          <w:color w:val="auto"/>
          <w:highlight w:val="none"/>
          <w:u w:val="single"/>
        </w:rPr>
        <w:t>工程量清单偏差超出专用合同条款约定的工程量偏差范围的；</w:t>
      </w:r>
    </w:p>
    <w:p w14:paraId="65C9D04C">
      <w:pPr>
        <w:numPr>
          <w:ilvl w:val="0"/>
          <w:numId w:val="0"/>
        </w:numPr>
        <w:tabs>
          <w:tab w:val="left" w:pos="0"/>
        </w:tabs>
        <w:spacing w:line="400" w:lineRule="exact"/>
        <w:ind w:left="0" w:leftChars="0" w:firstLine="420" w:firstLineChars="0"/>
        <w:jc w:val="left"/>
        <w:rPr>
          <w:rFonts w:ascii="宋体" w:hAnsi="宋体" w:cs="宋体"/>
          <w:b/>
          <w:bCs/>
          <w:color w:val="auto"/>
          <w:highlight w:val="none"/>
          <w:u w:val="single"/>
        </w:rPr>
      </w:pPr>
      <w:r>
        <w:rPr>
          <w:rFonts w:ascii="宋体" w:hAnsi="宋体" w:eastAsia="宋体" w:cs="宋体"/>
          <w:b/>
          <w:bCs/>
          <w:color w:val="auto"/>
          <w:w w:val="100"/>
          <w:kern w:val="2"/>
          <w:sz w:val="21"/>
          <w:szCs w:val="21"/>
          <w:highlight w:val="none"/>
          <w:u w:val="none"/>
          <w:lang w:val="en-US" w:eastAsia="zh-CN" w:bidi="ar-SA"/>
        </w:rPr>
        <w:t>（3）</w:t>
      </w:r>
      <w:r>
        <w:rPr>
          <w:rFonts w:hint="eastAsia" w:ascii="宋体" w:hAnsi="宋体" w:cs="宋体"/>
          <w:b/>
          <w:bCs/>
          <w:color w:val="auto"/>
          <w:highlight w:val="none"/>
          <w:u w:val="single"/>
        </w:rPr>
        <w:t>合同价格调整须获发包人批复后方有效；</w:t>
      </w:r>
    </w:p>
    <w:p w14:paraId="19352D73">
      <w:pPr>
        <w:spacing w:line="360" w:lineRule="auto"/>
        <w:ind w:firstLine="422" w:firstLineChars="200"/>
        <w:rPr>
          <w:rFonts w:hAnsi="宋体" w:cs="宋体"/>
          <w:color w:val="auto"/>
          <w:highlight w:val="none"/>
          <w:u w:val="single"/>
        </w:rPr>
      </w:pPr>
      <w:r>
        <w:rPr>
          <w:rFonts w:hint="eastAsia" w:ascii="宋体" w:hAnsi="宋体" w:cs="宋体"/>
          <w:b/>
          <w:bCs/>
          <w:color w:val="auto"/>
          <w:highlight w:val="none"/>
          <w:u w:val="single"/>
        </w:rPr>
        <w:t>上述工程三种情况均要按</w:t>
      </w:r>
      <w:r>
        <w:rPr>
          <w:rFonts w:hint="eastAsia" w:ascii="宋体" w:hAnsi="宋体" w:cs="宋体"/>
          <w:b/>
          <w:bCs/>
          <w:color w:val="auto"/>
          <w:highlight w:val="none"/>
          <w:u w:val="single"/>
          <w:lang w:val="en-US" w:eastAsia="zh-CN"/>
        </w:rPr>
        <w:t>靖西市财政部门</w:t>
      </w:r>
      <w:r>
        <w:rPr>
          <w:rFonts w:hint="eastAsia" w:ascii="宋体" w:hAnsi="宋体" w:cs="宋体"/>
          <w:b/>
          <w:bCs/>
          <w:color w:val="auto"/>
          <w:highlight w:val="none"/>
          <w:u w:val="single"/>
        </w:rPr>
        <w:t>有关项目管理办法执行,方可做为结算依据</w:t>
      </w:r>
      <w:r>
        <w:rPr>
          <w:rFonts w:hint="eastAsia" w:ascii="Calibri" w:hAnsi="宋体" w:cs="宋体"/>
          <w:color w:val="auto"/>
          <w:highlight w:val="none"/>
          <w:u w:val="single"/>
        </w:rPr>
        <w:t>。</w:t>
      </w:r>
    </w:p>
    <w:p w14:paraId="36E46B1E">
      <w:pPr>
        <w:keepNext/>
        <w:keepLines/>
        <w:spacing w:before="260" w:after="260" w:line="413" w:lineRule="auto"/>
        <w:outlineLvl w:val="1"/>
        <w:rPr>
          <w:rFonts w:ascii="Arial" w:hAnsi="Arial" w:eastAsia="黑体"/>
          <w:b/>
          <w:bCs/>
          <w:color w:val="auto"/>
          <w:sz w:val="32"/>
          <w:szCs w:val="32"/>
          <w:highlight w:val="none"/>
        </w:rPr>
      </w:pPr>
      <w:bookmarkStart w:id="237" w:name="_Toc143780453"/>
      <w:bookmarkStart w:id="238" w:name="_Toc1415467590"/>
      <w:bookmarkStart w:id="239" w:name="_Toc78449790"/>
      <w:bookmarkStart w:id="240" w:name="_Toc407135204"/>
      <w:bookmarkStart w:id="241" w:name="_Toc389065268"/>
      <w:bookmarkStart w:id="242" w:name="_Toc373227702"/>
      <w:bookmarkStart w:id="243" w:name="_Toc351203634"/>
      <w:bookmarkStart w:id="244" w:name="_Toc373478349"/>
      <w:r>
        <w:rPr>
          <w:rFonts w:ascii="Arial" w:hAnsi="Arial" w:eastAsia="黑体"/>
          <w:b/>
          <w:bCs/>
          <w:color w:val="auto"/>
          <w:sz w:val="32"/>
          <w:szCs w:val="32"/>
          <w:highlight w:val="none"/>
        </w:rPr>
        <w:t>2</w:t>
      </w:r>
      <w:bookmarkStart w:id="245" w:name="_Toc296346658"/>
      <w:bookmarkStart w:id="246" w:name="_Toc297120457"/>
      <w:bookmarkStart w:id="247" w:name="_Toc292559362"/>
      <w:bookmarkStart w:id="248" w:name="_Toc296891197"/>
      <w:bookmarkStart w:id="249" w:name="_Toc296347156"/>
      <w:bookmarkStart w:id="250" w:name="_Toc296503157"/>
      <w:bookmarkStart w:id="251" w:name="_Toc297048343"/>
      <w:bookmarkStart w:id="252" w:name="_Toc296944496"/>
      <w:bookmarkStart w:id="253" w:name="_Toc296890985"/>
      <w:bookmarkStart w:id="254" w:name="_Toc292559867"/>
      <w:r>
        <w:rPr>
          <w:rFonts w:ascii="Arial" w:hAnsi="Arial" w:eastAsia="黑体"/>
          <w:b/>
          <w:bCs/>
          <w:color w:val="auto"/>
          <w:sz w:val="32"/>
          <w:szCs w:val="32"/>
          <w:highlight w:val="none"/>
        </w:rPr>
        <w:t xml:space="preserve">. </w:t>
      </w:r>
      <w:r>
        <w:rPr>
          <w:rFonts w:hint="eastAsia" w:ascii="Arial" w:hAnsi="宋体" w:eastAsia="黑体" w:cs="黑体"/>
          <w:b/>
          <w:bCs/>
          <w:color w:val="auto"/>
          <w:sz w:val="32"/>
          <w:szCs w:val="32"/>
          <w:highlight w:val="none"/>
        </w:rPr>
        <w:t>发包人</w:t>
      </w:r>
      <w:bookmarkEnd w:id="237"/>
      <w:bookmarkEnd w:id="238"/>
      <w:bookmarkEnd w:id="239"/>
      <w:bookmarkEnd w:id="240"/>
      <w:bookmarkEnd w:id="241"/>
      <w:bookmarkEnd w:id="242"/>
      <w:bookmarkEnd w:id="243"/>
      <w:bookmarkEnd w:id="244"/>
    </w:p>
    <w:bookmarkEnd w:id="245"/>
    <w:bookmarkEnd w:id="246"/>
    <w:bookmarkEnd w:id="247"/>
    <w:bookmarkEnd w:id="248"/>
    <w:bookmarkEnd w:id="249"/>
    <w:bookmarkEnd w:id="250"/>
    <w:bookmarkEnd w:id="251"/>
    <w:bookmarkEnd w:id="252"/>
    <w:bookmarkEnd w:id="253"/>
    <w:bookmarkEnd w:id="254"/>
    <w:p w14:paraId="5885B5CB">
      <w:pPr>
        <w:keepNext/>
        <w:keepLines/>
        <w:spacing w:line="600" w:lineRule="exact"/>
        <w:ind w:firstLine="643" w:firstLineChars="200"/>
        <w:outlineLvl w:val="2"/>
        <w:rPr>
          <w:b/>
          <w:bCs/>
          <w:color w:val="auto"/>
          <w:sz w:val="32"/>
          <w:szCs w:val="32"/>
          <w:highlight w:val="none"/>
        </w:rPr>
      </w:pPr>
      <w:bookmarkStart w:id="255" w:name="_Toc971240048"/>
      <w:bookmarkStart w:id="256" w:name="_Toc78449791"/>
      <w:bookmarkStart w:id="257" w:name="_Toc389065269"/>
      <w:bookmarkStart w:id="258" w:name="_Toc547644210"/>
      <w:bookmarkStart w:id="259" w:name="_Toc373478350"/>
      <w:bookmarkStart w:id="260" w:name="_Toc373227703"/>
      <w:bookmarkStart w:id="261" w:name="_Toc407135205"/>
      <w:r>
        <w:rPr>
          <w:b/>
          <w:bCs/>
          <w:color w:val="auto"/>
          <w:sz w:val="32"/>
          <w:szCs w:val="32"/>
          <w:highlight w:val="none"/>
        </w:rPr>
        <w:t xml:space="preserve">2.2 </w:t>
      </w:r>
      <w:r>
        <w:rPr>
          <w:rFonts w:hint="eastAsia" w:hAnsi="宋体" w:cs="黑体"/>
          <w:b/>
          <w:bCs/>
          <w:color w:val="auto"/>
          <w:sz w:val="32"/>
          <w:szCs w:val="32"/>
          <w:highlight w:val="none"/>
        </w:rPr>
        <w:t>发包人代表</w:t>
      </w:r>
      <w:bookmarkEnd w:id="255"/>
      <w:bookmarkEnd w:id="256"/>
      <w:bookmarkEnd w:id="257"/>
      <w:bookmarkEnd w:id="258"/>
      <w:bookmarkEnd w:id="259"/>
      <w:bookmarkEnd w:id="260"/>
      <w:bookmarkEnd w:id="261"/>
    </w:p>
    <w:p w14:paraId="01D6280A">
      <w:pPr>
        <w:spacing w:line="360" w:lineRule="auto"/>
        <w:ind w:firstLine="420" w:firstLineChars="200"/>
        <w:rPr>
          <w:color w:val="auto"/>
          <w:highlight w:val="none"/>
        </w:rPr>
      </w:pPr>
      <w:r>
        <w:rPr>
          <w:rFonts w:hint="eastAsia" w:hAnsi="宋体" w:cs="宋体"/>
          <w:color w:val="auto"/>
          <w:highlight w:val="none"/>
        </w:rPr>
        <w:t>发包人代表：</w:t>
      </w:r>
    </w:p>
    <w:p w14:paraId="674E714C">
      <w:pPr>
        <w:spacing w:line="360" w:lineRule="auto"/>
        <w:ind w:firstLine="420" w:firstLineChars="200"/>
        <w:rPr>
          <w:color w:val="auto"/>
          <w:highlight w:val="none"/>
        </w:rPr>
      </w:pPr>
      <w:r>
        <w:rPr>
          <w:rFonts w:hAnsi="宋体"/>
          <w:color w:val="auto"/>
          <w:highlight w:val="none"/>
        </w:rPr>
        <w:t>姓名：；</w:t>
      </w:r>
    </w:p>
    <w:p w14:paraId="41A24834">
      <w:pPr>
        <w:spacing w:line="360" w:lineRule="auto"/>
        <w:ind w:firstLine="420" w:firstLineChars="200"/>
        <w:rPr>
          <w:color w:val="auto"/>
          <w:highlight w:val="none"/>
        </w:rPr>
      </w:pPr>
      <w:r>
        <w:rPr>
          <w:rFonts w:hAnsi="宋体"/>
          <w:color w:val="auto"/>
          <w:highlight w:val="none"/>
        </w:rPr>
        <w:t>身份证号：；</w:t>
      </w:r>
    </w:p>
    <w:p w14:paraId="0FABC403">
      <w:pPr>
        <w:spacing w:line="360" w:lineRule="auto"/>
        <w:ind w:firstLine="420" w:firstLineChars="200"/>
        <w:rPr>
          <w:color w:val="auto"/>
          <w:highlight w:val="none"/>
        </w:rPr>
      </w:pPr>
      <w:r>
        <w:rPr>
          <w:rFonts w:hAnsi="宋体"/>
          <w:color w:val="auto"/>
          <w:highlight w:val="none"/>
        </w:rPr>
        <w:t>职务：；</w:t>
      </w:r>
    </w:p>
    <w:p w14:paraId="3EC3A4E8">
      <w:pPr>
        <w:spacing w:line="360" w:lineRule="auto"/>
        <w:ind w:firstLine="420" w:firstLineChars="200"/>
        <w:rPr>
          <w:color w:val="auto"/>
          <w:highlight w:val="none"/>
        </w:rPr>
      </w:pPr>
      <w:r>
        <w:rPr>
          <w:rFonts w:hAnsi="宋体"/>
          <w:color w:val="auto"/>
          <w:highlight w:val="none"/>
        </w:rPr>
        <w:t>联系电话：；</w:t>
      </w:r>
    </w:p>
    <w:p w14:paraId="1C5251DD">
      <w:pPr>
        <w:spacing w:line="360" w:lineRule="auto"/>
        <w:ind w:firstLine="420" w:firstLineChars="200"/>
        <w:rPr>
          <w:color w:val="auto"/>
          <w:highlight w:val="none"/>
        </w:rPr>
      </w:pPr>
      <w:r>
        <w:rPr>
          <w:rFonts w:hAnsi="宋体"/>
          <w:color w:val="auto"/>
          <w:highlight w:val="none"/>
        </w:rPr>
        <w:t>电子信箱：；</w:t>
      </w:r>
    </w:p>
    <w:p w14:paraId="78E67A75">
      <w:pPr>
        <w:spacing w:line="360" w:lineRule="auto"/>
        <w:ind w:firstLine="420" w:firstLineChars="200"/>
        <w:rPr>
          <w:color w:val="auto"/>
          <w:highlight w:val="none"/>
        </w:rPr>
      </w:pPr>
      <w:r>
        <w:rPr>
          <w:rFonts w:hAnsi="宋体"/>
          <w:color w:val="auto"/>
          <w:highlight w:val="none"/>
        </w:rPr>
        <w:t>通信地址：。</w:t>
      </w:r>
    </w:p>
    <w:p w14:paraId="60B6044D">
      <w:pPr>
        <w:spacing w:line="360" w:lineRule="auto"/>
        <w:ind w:firstLine="420" w:firstLineChars="200"/>
        <w:rPr>
          <w:rFonts w:hAnsi="宋体" w:cs="宋体"/>
          <w:color w:val="auto"/>
          <w:highlight w:val="none"/>
        </w:rPr>
      </w:pPr>
      <w:r>
        <w:rPr>
          <w:rFonts w:hint="eastAsia" w:hAnsi="宋体" w:cs="宋体"/>
          <w:color w:val="auto"/>
          <w:highlight w:val="none"/>
        </w:rPr>
        <w:t>发包人对发包人代表的授权范围如下：</w:t>
      </w:r>
      <w:r>
        <w:rPr>
          <w:rFonts w:hint="eastAsia" w:ascii="Calibri" w:hAnsi="宋体"/>
          <w:color w:val="auto"/>
          <w:highlight w:val="none"/>
          <w:u w:val="single"/>
        </w:rPr>
        <w:t>负责接收现场各单位递交的资料，督促指导监理工程师行使职权，协调施工现场各方面的关系，协调工程质量，进度和安全文明施工中存在的问题，解决有关设计和技术签证，审核工程进度报表</w:t>
      </w:r>
      <w:r>
        <w:rPr>
          <w:rFonts w:hint="eastAsia" w:hAnsi="宋体" w:cs="宋体"/>
          <w:color w:val="auto"/>
          <w:highlight w:val="none"/>
        </w:rPr>
        <w:t>。</w:t>
      </w:r>
    </w:p>
    <w:p w14:paraId="570F51E1">
      <w:pPr>
        <w:spacing w:line="360" w:lineRule="auto"/>
        <w:ind w:firstLine="420" w:firstLineChars="200"/>
        <w:rPr>
          <w:color w:val="auto"/>
          <w:highlight w:val="none"/>
        </w:rPr>
      </w:pPr>
      <w:r>
        <w:rPr>
          <w:rFonts w:hint="eastAsia" w:ascii="Calibri" w:hAnsi="宋体"/>
          <w:color w:val="auto"/>
          <w:highlight w:val="none"/>
        </w:rPr>
        <w:t>发包人现场代表在承包人提交的任何文件上签名时，仅表示发包人收到前述文件，并非是对文件中任何内容的确认，不可作为结算依据。</w:t>
      </w:r>
    </w:p>
    <w:p w14:paraId="1E12A34D">
      <w:pPr>
        <w:keepNext/>
        <w:keepLines/>
        <w:spacing w:line="600" w:lineRule="exact"/>
        <w:ind w:firstLine="643" w:firstLineChars="200"/>
        <w:outlineLvl w:val="2"/>
        <w:rPr>
          <w:b/>
          <w:bCs/>
          <w:color w:val="auto"/>
          <w:sz w:val="32"/>
          <w:szCs w:val="32"/>
          <w:highlight w:val="none"/>
        </w:rPr>
      </w:pPr>
      <w:bookmarkStart w:id="262" w:name="_Toc389065270"/>
      <w:bookmarkStart w:id="263" w:name="_Toc2077499244"/>
      <w:bookmarkStart w:id="264" w:name="_Toc373227704"/>
      <w:bookmarkStart w:id="265" w:name="_Toc78449792"/>
      <w:bookmarkStart w:id="266" w:name="_Toc407135206"/>
      <w:bookmarkStart w:id="267" w:name="_Toc373478351"/>
      <w:bookmarkStart w:id="268" w:name="_Toc2066513957"/>
      <w:r>
        <w:rPr>
          <w:b/>
          <w:bCs/>
          <w:color w:val="auto"/>
          <w:sz w:val="32"/>
          <w:szCs w:val="32"/>
          <w:highlight w:val="none"/>
        </w:rPr>
        <w:t xml:space="preserve">2.4 </w:t>
      </w:r>
      <w:r>
        <w:rPr>
          <w:rFonts w:hint="eastAsia" w:cs="黑体"/>
          <w:b/>
          <w:bCs/>
          <w:color w:val="auto"/>
          <w:sz w:val="32"/>
          <w:szCs w:val="32"/>
          <w:highlight w:val="none"/>
        </w:rPr>
        <w:t>施工现场、施工条件和基础资料的提供</w:t>
      </w:r>
      <w:bookmarkEnd w:id="262"/>
      <w:bookmarkEnd w:id="263"/>
      <w:bookmarkEnd w:id="264"/>
      <w:bookmarkEnd w:id="265"/>
      <w:bookmarkEnd w:id="266"/>
      <w:bookmarkEnd w:id="267"/>
      <w:bookmarkEnd w:id="268"/>
    </w:p>
    <w:p w14:paraId="2D7F7FD1">
      <w:pPr>
        <w:spacing w:line="360" w:lineRule="auto"/>
        <w:ind w:firstLine="420" w:firstLineChars="200"/>
        <w:rPr>
          <w:color w:val="auto"/>
          <w:highlight w:val="none"/>
        </w:rPr>
      </w:pPr>
      <w:r>
        <w:rPr>
          <w:color w:val="auto"/>
          <w:highlight w:val="none"/>
        </w:rPr>
        <w:t xml:space="preserve">2.4.1 </w:t>
      </w:r>
      <w:r>
        <w:rPr>
          <w:rFonts w:hint="eastAsia" w:hAnsi="宋体" w:cs="宋体"/>
          <w:color w:val="auto"/>
          <w:highlight w:val="none"/>
        </w:rPr>
        <w:t>提供施工现场</w:t>
      </w:r>
    </w:p>
    <w:p w14:paraId="11042D14">
      <w:pPr>
        <w:spacing w:line="360" w:lineRule="auto"/>
        <w:ind w:firstLine="420" w:firstLineChars="200"/>
        <w:jc w:val="left"/>
        <w:rPr>
          <w:color w:val="auto"/>
          <w:highlight w:val="none"/>
        </w:rPr>
      </w:pPr>
      <w:r>
        <w:rPr>
          <w:rFonts w:hint="eastAsia" w:hAnsi="宋体" w:cs="宋体"/>
          <w:color w:val="auto"/>
          <w:highlight w:val="none"/>
        </w:rPr>
        <w:t>关于发包人移交施工现场的期限要求：</w:t>
      </w:r>
      <w:r>
        <w:rPr>
          <w:rFonts w:hint="eastAsia"/>
          <w:color w:val="auto"/>
          <w:highlight w:val="none"/>
          <w:u w:val="single"/>
        </w:rPr>
        <w:t xml:space="preserve"> 施工场地应当在监理人发出的开工通知中载明的开 工日期前7天具备施工条件并移交给承包人</w:t>
      </w:r>
      <w:r>
        <w:rPr>
          <w:rFonts w:hint="eastAsia" w:hAnsi="宋体" w:cs="宋体"/>
          <w:color w:val="auto"/>
          <w:highlight w:val="none"/>
        </w:rPr>
        <w:t>。</w:t>
      </w:r>
    </w:p>
    <w:p w14:paraId="4FF665B6">
      <w:pPr>
        <w:spacing w:line="360" w:lineRule="auto"/>
        <w:ind w:firstLine="420" w:firstLineChars="200"/>
        <w:rPr>
          <w:color w:val="auto"/>
          <w:highlight w:val="none"/>
        </w:rPr>
      </w:pPr>
      <w:r>
        <w:rPr>
          <w:color w:val="auto"/>
          <w:highlight w:val="none"/>
        </w:rPr>
        <w:t xml:space="preserve">2.4.2 </w:t>
      </w:r>
      <w:r>
        <w:rPr>
          <w:rFonts w:hint="eastAsia" w:hAnsi="宋体" w:cs="宋体"/>
          <w:color w:val="auto"/>
          <w:highlight w:val="none"/>
        </w:rPr>
        <w:t>提供施工条件</w:t>
      </w:r>
    </w:p>
    <w:p w14:paraId="36BF83F1">
      <w:pPr>
        <w:spacing w:line="360" w:lineRule="auto"/>
        <w:ind w:firstLine="420" w:firstLineChars="200"/>
        <w:rPr>
          <w:color w:val="auto"/>
          <w:highlight w:val="none"/>
          <w:u w:val="single"/>
        </w:rPr>
      </w:pPr>
      <w:r>
        <w:rPr>
          <w:rFonts w:hint="eastAsia" w:hAnsi="宋体" w:cs="宋体"/>
          <w:color w:val="auto"/>
          <w:highlight w:val="none"/>
        </w:rPr>
        <w:t>关于发包人应负责提供施工所需要的条件，包括：</w:t>
      </w:r>
    </w:p>
    <w:p w14:paraId="5E06C5BF">
      <w:pPr>
        <w:snapToGrid w:val="0"/>
        <w:spacing w:line="400" w:lineRule="exact"/>
        <w:ind w:firstLine="420"/>
        <w:rPr>
          <w:rFonts w:ascii="宋体" w:hAnsi="宋体" w:cs="宋体"/>
          <w:color w:val="auto"/>
          <w:highlight w:val="none"/>
          <w:u w:val="single"/>
        </w:rPr>
      </w:pPr>
      <w:r>
        <w:rPr>
          <w:rFonts w:hint="eastAsia" w:ascii="宋体" w:hAnsi="宋体" w:cs="宋体"/>
          <w:b/>
          <w:color w:val="auto"/>
          <w:highlight w:val="none"/>
        </w:rPr>
        <w:t>①将施工所需的水、电、电讯线路接至施工场地的时间、地点和供应要求：</w:t>
      </w:r>
      <w:r>
        <w:rPr>
          <w:rFonts w:hint="eastAsia" w:ascii="宋体" w:hAnsi="宋体" w:cs="宋体"/>
          <w:color w:val="auto"/>
          <w:highlight w:val="none"/>
          <w:u w:val="single"/>
        </w:rPr>
        <w:t>发包人可提供施工用水、用电接入口，安装及使用费用由承包人承担。</w:t>
      </w:r>
      <w:r>
        <w:rPr>
          <w:rFonts w:hint="eastAsia" w:ascii="宋体" w:hAnsi="宋体" w:cs="宋体"/>
          <w:color w:val="auto"/>
          <w:szCs w:val="21"/>
          <w:highlight w:val="none"/>
          <w:u w:val="single"/>
        </w:rPr>
        <w:t>自行接用施工用电前承包人必须做好相关的用电安全技术交底，且接用人员需具备国家规定的资格，因自行接电而产生人员、财产损失及相应的的安全管理责任均为承包人自行承担。</w:t>
      </w:r>
    </w:p>
    <w:p w14:paraId="598E456E">
      <w:pPr>
        <w:snapToGrid w:val="0"/>
        <w:spacing w:line="400" w:lineRule="exact"/>
        <w:ind w:left="420"/>
        <w:jc w:val="left"/>
        <w:rPr>
          <w:rFonts w:ascii="宋体" w:hAnsi="宋体" w:cs="宋体"/>
          <w:b/>
          <w:bCs/>
          <w:color w:val="auto"/>
          <w:highlight w:val="none"/>
          <w:u w:val="single"/>
        </w:rPr>
      </w:pPr>
      <w:r>
        <w:rPr>
          <w:rFonts w:hint="eastAsia" w:ascii="宋体" w:hAnsi="宋体" w:cs="宋体"/>
          <w:b/>
          <w:bCs/>
          <w:color w:val="auto"/>
          <w:highlight w:val="none"/>
        </w:rPr>
        <w:t>②工程地质和地下管线资料的提供时间：</w:t>
      </w:r>
      <w:r>
        <w:rPr>
          <w:rFonts w:hint="eastAsia" w:ascii="宋体" w:hAnsi="宋体" w:cs="宋体"/>
          <w:color w:val="auto"/>
          <w:highlight w:val="none"/>
          <w:u w:val="single"/>
        </w:rPr>
        <w:t>开工前5天，随施工图一起配套提供给承包人，并对所提供的工程地质和地下管线资料的真实准确性负责。</w:t>
      </w:r>
    </w:p>
    <w:p w14:paraId="605693AC">
      <w:pPr>
        <w:snapToGrid w:val="0"/>
        <w:spacing w:line="400" w:lineRule="exact"/>
        <w:ind w:firstLine="422"/>
        <w:jc w:val="left"/>
        <w:rPr>
          <w:rFonts w:ascii="宋体" w:hAnsi="宋体" w:cs="宋体"/>
          <w:color w:val="auto"/>
          <w:highlight w:val="none"/>
          <w:u w:val="single"/>
        </w:rPr>
      </w:pPr>
      <w:r>
        <w:rPr>
          <w:rFonts w:hint="eastAsia" w:ascii="宋体" w:hAnsi="宋体" w:cs="宋体"/>
          <w:b/>
          <w:bCs/>
          <w:color w:val="auto"/>
          <w:highlight w:val="none"/>
        </w:rPr>
        <w:t>③水准点与座标控制点交验要求：</w:t>
      </w:r>
      <w:r>
        <w:rPr>
          <w:rFonts w:hint="eastAsia" w:ascii="宋体" w:hAnsi="宋体" w:cs="宋体"/>
          <w:color w:val="auto"/>
          <w:highlight w:val="none"/>
          <w:u w:val="single"/>
        </w:rPr>
        <w:t>于开工前5日内现场交验，承包人复核确定，双方做好签认工作。</w:t>
      </w:r>
    </w:p>
    <w:p w14:paraId="73B977E2">
      <w:pPr>
        <w:keepNext w:val="0"/>
        <w:keepLines w:val="0"/>
        <w:pageBreakBefore w:val="0"/>
        <w:widowControl w:val="0"/>
        <w:kinsoku/>
        <w:wordWrap/>
        <w:overflowPunct/>
        <w:topLinePunct w:val="0"/>
        <w:autoSpaceDE/>
        <w:autoSpaceDN/>
        <w:bidi w:val="0"/>
        <w:adjustRightInd/>
        <w:snapToGrid w:val="0"/>
        <w:spacing w:line="400" w:lineRule="exact"/>
        <w:ind w:left="0" w:leftChars="0" w:firstLine="422" w:firstLineChars="200"/>
        <w:textAlignment w:val="auto"/>
        <w:rPr>
          <w:rFonts w:ascii="宋体" w:hAnsi="宋体" w:cs="宋体"/>
          <w:b/>
          <w:bCs/>
          <w:color w:val="auto"/>
          <w:highlight w:val="none"/>
          <w:u w:val="single"/>
        </w:rPr>
      </w:pPr>
      <w:r>
        <w:rPr>
          <w:rFonts w:hint="eastAsia" w:ascii="宋体" w:hAnsi="宋体" w:cs="宋体"/>
          <w:b/>
          <w:bCs/>
          <w:color w:val="auto"/>
          <w:highlight w:val="none"/>
        </w:rPr>
        <w:t>④由发包人办理的施工所需证件、批件的名称和完成时间</w:t>
      </w:r>
      <w:r>
        <w:rPr>
          <w:rFonts w:hint="eastAsia" w:ascii="宋体" w:hAnsi="宋体" w:cs="宋体"/>
          <w:b/>
          <w:bCs/>
          <w:color w:val="auto"/>
          <w:highlight w:val="none"/>
          <w:u w:val="single"/>
        </w:rPr>
        <w:t>：</w:t>
      </w:r>
      <w:r>
        <w:rPr>
          <w:rFonts w:hint="eastAsia" w:ascii="宋体" w:hAnsi="宋体" w:cs="宋体"/>
          <w:color w:val="auto"/>
          <w:highlight w:val="none"/>
          <w:u w:val="single"/>
        </w:rPr>
        <w:t xml:space="preserve">开工所需的报建手续, 于开工前7天内完成  </w:t>
      </w:r>
      <w:r>
        <w:rPr>
          <w:rFonts w:hint="eastAsia" w:ascii="宋体" w:hAnsi="宋体" w:cs="宋体"/>
          <w:b/>
          <w:bCs/>
          <w:color w:val="auto"/>
          <w:highlight w:val="none"/>
        </w:rPr>
        <w:t>。</w:t>
      </w:r>
    </w:p>
    <w:p w14:paraId="5C113F70">
      <w:pPr>
        <w:snapToGrid w:val="0"/>
        <w:spacing w:line="400" w:lineRule="exact"/>
        <w:ind w:firstLine="422"/>
        <w:rPr>
          <w:rFonts w:ascii="宋体" w:hAnsi="宋体" w:cs="宋体"/>
          <w:color w:val="auto"/>
          <w:highlight w:val="none"/>
          <w:u w:val="single"/>
        </w:rPr>
      </w:pPr>
      <w:r>
        <w:rPr>
          <w:rFonts w:hint="eastAsia" w:ascii="宋体" w:hAnsi="宋体" w:cs="宋体"/>
          <w:b/>
          <w:bCs/>
          <w:color w:val="auto"/>
          <w:highlight w:val="none"/>
        </w:rPr>
        <w:t>⑤土方作业时冲洗平台和密闭车辆的标准：</w:t>
      </w:r>
      <w:r>
        <w:rPr>
          <w:rFonts w:hint="eastAsia" w:ascii="宋体" w:hAnsi="宋体" w:cs="宋体"/>
          <w:bCs/>
          <w:color w:val="auto"/>
          <w:highlight w:val="none"/>
          <w:u w:val="single"/>
        </w:rPr>
        <w:t>要求密封，承包人负责完善</w:t>
      </w:r>
      <w:r>
        <w:rPr>
          <w:rFonts w:hint="eastAsia" w:ascii="宋体" w:hAnsi="宋体" w:cs="宋体"/>
          <w:color w:val="auto"/>
          <w:highlight w:val="none"/>
          <w:u w:val="single"/>
        </w:rPr>
        <w:t>，费用已含在单价中（施工现场必须设有“三池一设备”；要求车辆冲洗设施设置在工地出入口主便道上，按《关于规范施工现场渣土运输管理办法》执行）；未按要求执行的，发包人有权暂不予以支付安全文明施工费。</w:t>
      </w:r>
    </w:p>
    <w:p w14:paraId="39AE5616">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⑥消纳场的具体位置及其合理运距：</w:t>
      </w:r>
      <w:r>
        <w:rPr>
          <w:rFonts w:ascii="宋体" w:hAnsi="宋体" w:cs="宋体"/>
          <w:color w:val="auto"/>
          <w:highlight w:val="none"/>
          <w:u w:val="single"/>
        </w:rPr>
        <w:t>按就近消纳、成本最小化的基本原则，发包人可优先指定具体在建项目进行消纳，合理调配土方平衡，控制投资成本，运输路线由各参建单位核准，消纳费以实际发生为准，且不得超出政府规定单价；如发包人未指定的，承包人</w:t>
      </w:r>
      <w:r>
        <w:rPr>
          <w:rFonts w:hint="eastAsia" w:ascii="宋体" w:hAnsi="宋体" w:cs="宋体"/>
          <w:color w:val="auto"/>
          <w:highlight w:val="none"/>
          <w:u w:val="single"/>
        </w:rPr>
        <w:t>需办理</w:t>
      </w:r>
      <w:r>
        <w:rPr>
          <w:rFonts w:hint="eastAsia" w:ascii="宋体" w:hAnsi="宋体" w:cs="宋体"/>
          <w:color w:val="auto"/>
          <w:highlight w:val="none"/>
          <w:u w:val="single"/>
          <w:lang w:eastAsia="zh-CN"/>
        </w:rPr>
        <w:t>百色</w:t>
      </w:r>
      <w:r>
        <w:rPr>
          <w:rFonts w:hint="eastAsia" w:ascii="宋体" w:hAnsi="宋体" w:cs="宋体"/>
          <w:color w:val="auto"/>
          <w:highlight w:val="none"/>
          <w:u w:val="single"/>
        </w:rPr>
        <w:t>市城市建筑垃圾处置许可</w:t>
      </w:r>
      <w:r>
        <w:rPr>
          <w:rFonts w:ascii="宋体" w:hAnsi="宋体" w:cs="宋体"/>
          <w:color w:val="auto"/>
          <w:highlight w:val="none"/>
          <w:u w:val="single"/>
        </w:rPr>
        <w:t>证，按许可证批复的消纳场进行消纳，运输路线由各参建单位核准，消纳费按政府规定单价执行；施工过程中出现新开设的消纳场，且运距更短，则立即进行调整，按开设日期进行调整计价。</w:t>
      </w:r>
      <w:r>
        <w:rPr>
          <w:rFonts w:hint="eastAsia" w:ascii="宋体" w:hAnsi="宋体" w:cs="宋体"/>
          <w:color w:val="auto"/>
          <w:highlight w:val="none"/>
          <w:u w:val="single"/>
        </w:rPr>
        <w:t>涉及运距调整的，承包人需提供调整原因，调整的消纳场位置、参建各方现场实测记录及线路图等相关资料，及运距调整增减的预算费用，报建设单位等相关单位审批。承</w:t>
      </w:r>
      <w:r>
        <w:rPr>
          <w:rFonts w:ascii="宋体" w:hAnsi="宋体" w:cs="宋体"/>
          <w:color w:val="auto"/>
          <w:highlight w:val="none"/>
          <w:u w:val="single"/>
        </w:rPr>
        <w:t>包人非法弃土的，则不予计量支付。</w:t>
      </w:r>
      <w:r>
        <w:rPr>
          <w:rFonts w:hint="eastAsia" w:ascii="宋体" w:hAnsi="宋体" w:cs="宋体"/>
          <w:color w:val="auto"/>
          <w:highlight w:val="none"/>
          <w:u w:val="single"/>
        </w:rPr>
        <w:t>非法弃土所产生的一切后果由承包人自行负责和承担。</w:t>
      </w:r>
    </w:p>
    <w:p w14:paraId="6CA51CC0">
      <w:pPr>
        <w:spacing w:line="360" w:lineRule="auto"/>
        <w:ind w:firstLine="420" w:firstLineChars="200"/>
        <w:rPr>
          <w:color w:val="auto"/>
          <w:highlight w:val="none"/>
        </w:rPr>
      </w:pPr>
      <w:r>
        <w:rPr>
          <w:rFonts w:hint="eastAsia" w:ascii="宋体" w:hAnsi="宋体" w:cs="宋体"/>
          <w:color w:val="auto"/>
          <w:highlight w:val="none"/>
          <w:u w:val="single"/>
        </w:rPr>
        <w:t>⑦由于工地现场条件有限，由承包人自行考虑安排符合规范要求的办公场所及人员住宿场所。</w:t>
      </w:r>
      <w:r>
        <w:rPr>
          <w:rFonts w:hint="eastAsia" w:ascii="宋体" w:hAnsi="宋体" w:cs="宋体"/>
          <w:color w:val="auto"/>
          <w:highlight w:val="none"/>
        </w:rPr>
        <w:t>相关费用自行负责。</w:t>
      </w:r>
    </w:p>
    <w:p w14:paraId="7D41D4B3">
      <w:pPr>
        <w:keepNext/>
        <w:keepLines/>
        <w:spacing w:line="600" w:lineRule="exact"/>
        <w:ind w:firstLine="643" w:firstLineChars="200"/>
        <w:outlineLvl w:val="2"/>
        <w:rPr>
          <w:b/>
          <w:bCs/>
          <w:color w:val="auto"/>
          <w:sz w:val="32"/>
          <w:szCs w:val="32"/>
          <w:highlight w:val="none"/>
        </w:rPr>
      </w:pPr>
      <w:bookmarkStart w:id="269" w:name="_Toc672429943"/>
      <w:bookmarkStart w:id="270" w:name="_Toc78449793"/>
      <w:bookmarkStart w:id="271" w:name="_Toc407135207"/>
      <w:bookmarkStart w:id="272" w:name="_Toc373478352"/>
      <w:bookmarkStart w:id="273" w:name="_Toc389065271"/>
      <w:bookmarkStart w:id="274" w:name="_Toc373227705"/>
      <w:bookmarkStart w:id="275" w:name="_Toc1238195908"/>
      <w:r>
        <w:rPr>
          <w:b/>
          <w:bCs/>
          <w:color w:val="auto"/>
          <w:sz w:val="32"/>
          <w:szCs w:val="32"/>
          <w:highlight w:val="none"/>
        </w:rPr>
        <w:t xml:space="preserve">2.5 </w:t>
      </w:r>
      <w:r>
        <w:rPr>
          <w:rFonts w:hint="eastAsia" w:cs="黑体"/>
          <w:b/>
          <w:bCs/>
          <w:color w:val="auto"/>
          <w:sz w:val="32"/>
          <w:szCs w:val="32"/>
          <w:highlight w:val="none"/>
        </w:rPr>
        <w:t>资金来源证明及支付担保</w:t>
      </w:r>
      <w:bookmarkEnd w:id="269"/>
      <w:bookmarkEnd w:id="270"/>
      <w:bookmarkEnd w:id="271"/>
      <w:bookmarkEnd w:id="272"/>
      <w:bookmarkEnd w:id="273"/>
      <w:bookmarkEnd w:id="274"/>
      <w:bookmarkEnd w:id="275"/>
    </w:p>
    <w:p w14:paraId="31E24B45">
      <w:pPr>
        <w:spacing w:line="360" w:lineRule="auto"/>
        <w:ind w:firstLine="420" w:firstLineChars="200"/>
        <w:rPr>
          <w:color w:val="auto"/>
          <w:highlight w:val="none"/>
        </w:rPr>
      </w:pPr>
      <w:r>
        <w:rPr>
          <w:rFonts w:hint="eastAsia" w:hAnsi="宋体" w:cs="宋体"/>
          <w:color w:val="auto"/>
          <w:highlight w:val="none"/>
        </w:rPr>
        <w:t>发包人提供资金来源证明的期限要求：</w:t>
      </w:r>
      <w:r>
        <w:rPr>
          <w:rFonts w:hint="eastAsia" w:ascii="Calibri" w:hAnsi="宋体"/>
          <w:color w:val="auto"/>
          <w:highlight w:val="none"/>
          <w:u w:val="single"/>
        </w:rPr>
        <w:t>无</w:t>
      </w:r>
      <w:r>
        <w:rPr>
          <w:rFonts w:hint="eastAsia" w:hAnsi="宋体" w:cs="宋体"/>
          <w:color w:val="auto"/>
          <w:highlight w:val="none"/>
        </w:rPr>
        <w:t>。</w:t>
      </w:r>
    </w:p>
    <w:p w14:paraId="4FD99895">
      <w:pPr>
        <w:spacing w:line="360" w:lineRule="auto"/>
        <w:ind w:firstLine="420" w:firstLineChars="200"/>
        <w:rPr>
          <w:rFonts w:hAnsi="宋体" w:cs="宋体"/>
          <w:color w:val="auto"/>
          <w:highlight w:val="none"/>
        </w:rPr>
      </w:pPr>
      <w:r>
        <w:rPr>
          <w:rFonts w:hint="eastAsia" w:hAnsi="宋体" w:cs="宋体"/>
          <w:color w:val="auto"/>
          <w:highlight w:val="none"/>
        </w:rPr>
        <w:t>发包人是否提供支付担保：</w:t>
      </w:r>
      <w:r>
        <w:rPr>
          <w:rFonts w:hint="eastAsia"/>
          <w:color w:val="auto"/>
          <w:highlight w:val="none"/>
          <w:u w:val="single"/>
        </w:rPr>
        <w:t>否</w:t>
      </w:r>
      <w:r>
        <w:rPr>
          <w:rFonts w:hint="eastAsia" w:hAnsi="宋体" w:cs="宋体"/>
          <w:color w:val="auto"/>
          <w:highlight w:val="none"/>
        </w:rPr>
        <w:t>。</w:t>
      </w:r>
    </w:p>
    <w:p w14:paraId="30265F2C">
      <w:pPr>
        <w:spacing w:line="360" w:lineRule="auto"/>
        <w:ind w:firstLine="420" w:firstLineChars="200"/>
        <w:rPr>
          <w:rFonts w:hAnsi="宋体"/>
          <w:color w:val="auto"/>
          <w:szCs w:val="21"/>
          <w:highlight w:val="none"/>
        </w:rPr>
      </w:pPr>
      <w:r>
        <w:rPr>
          <w:rFonts w:hint="eastAsia" w:hAnsi="宋体" w:cs="宋体"/>
          <w:color w:val="auto"/>
          <w:highlight w:val="none"/>
        </w:rPr>
        <w:t>发包人提供支付担保的形式：</w:t>
      </w:r>
      <w:r>
        <w:rPr>
          <w:rFonts w:hint="eastAsia" w:hAnsi="宋体"/>
          <w:color w:val="auto"/>
          <w:szCs w:val="21"/>
          <w:highlight w:val="none"/>
          <w:u w:val="single"/>
        </w:rPr>
        <w:t>/</w:t>
      </w:r>
      <w:r>
        <w:rPr>
          <w:rFonts w:hAnsi="宋体"/>
          <w:color w:val="auto"/>
          <w:szCs w:val="21"/>
          <w:highlight w:val="none"/>
        </w:rPr>
        <w:t>。</w:t>
      </w:r>
    </w:p>
    <w:p w14:paraId="7AA23E6B">
      <w:pPr>
        <w:spacing w:line="360" w:lineRule="auto"/>
        <w:ind w:firstLine="420" w:firstLineChars="200"/>
        <w:rPr>
          <w:rFonts w:hAnsi="宋体" w:cs="宋体"/>
          <w:color w:val="auto"/>
          <w:highlight w:val="none"/>
        </w:rPr>
      </w:pPr>
      <w:r>
        <w:rPr>
          <w:rFonts w:hint="eastAsia"/>
          <w:color w:val="auto"/>
          <w:highlight w:val="none"/>
        </w:rPr>
        <w:t>可以是</w:t>
      </w:r>
      <w:r>
        <w:rPr>
          <w:rFonts w:hint="eastAsia" w:hAnsi="宋体" w:cs="宋体"/>
          <w:color w:val="auto"/>
          <w:highlight w:val="none"/>
        </w:rPr>
        <w:t>银行转账、电汇或网上支付、保函（银行保函、电子</w:t>
      </w:r>
      <w:r>
        <w:rPr>
          <w:rFonts w:hAnsi="宋体" w:cs="宋体"/>
          <w:color w:val="auto"/>
          <w:highlight w:val="none"/>
        </w:rPr>
        <w:t>保函</w:t>
      </w:r>
      <w:r>
        <w:rPr>
          <w:rFonts w:hint="eastAsia" w:hAnsi="宋体" w:cs="宋体"/>
          <w:color w:val="auto"/>
          <w:highlight w:val="none"/>
        </w:rPr>
        <w:t>、保证保险保函、工程担保保函）</w:t>
      </w:r>
      <w:r>
        <w:rPr>
          <w:rFonts w:hint="eastAsia" w:hAnsi="宋体"/>
          <w:color w:val="auto"/>
          <w:highlight w:val="none"/>
        </w:rPr>
        <w:t>等</w:t>
      </w:r>
      <w:r>
        <w:rPr>
          <w:rFonts w:hint="eastAsia" w:hAnsi="宋体" w:cs="宋体"/>
          <w:color w:val="auto"/>
          <w:highlight w:val="none"/>
        </w:rPr>
        <w:t>形</w:t>
      </w:r>
      <w:r>
        <w:rPr>
          <w:rFonts w:hint="eastAsia" w:hAnsi="宋体"/>
          <w:color w:val="auto"/>
          <w:highlight w:val="none"/>
        </w:rPr>
        <w:t>式</w:t>
      </w:r>
      <w:r>
        <w:rPr>
          <w:rFonts w:hint="eastAsia" w:hAnsi="宋体" w:cs="宋体"/>
          <w:color w:val="auto"/>
          <w:highlight w:val="none"/>
        </w:rPr>
        <w:t>。</w:t>
      </w:r>
    </w:p>
    <w:p w14:paraId="03C4AD2F">
      <w:pPr>
        <w:keepNext/>
        <w:keepLines/>
        <w:spacing w:line="360" w:lineRule="auto"/>
        <w:ind w:firstLine="643" w:firstLineChars="200"/>
        <w:outlineLvl w:val="2"/>
        <w:rPr>
          <w:rFonts w:ascii="Calibri" w:hAnsi="Calibri" w:eastAsia="黑体"/>
          <w:b/>
          <w:bCs/>
          <w:color w:val="auto"/>
          <w:sz w:val="32"/>
          <w:szCs w:val="32"/>
          <w:highlight w:val="none"/>
          <w:lang w:val="zh-CN"/>
        </w:rPr>
      </w:pPr>
      <w:r>
        <w:rPr>
          <w:rFonts w:hint="eastAsia" w:ascii="Calibri" w:hAnsi="Calibri" w:eastAsia="黑体"/>
          <w:b/>
          <w:bCs/>
          <w:color w:val="auto"/>
          <w:sz w:val="32"/>
          <w:szCs w:val="32"/>
          <w:highlight w:val="none"/>
          <w:lang w:val="zh-CN"/>
        </w:rPr>
        <w:t>2.6 支付合同价款</w:t>
      </w:r>
    </w:p>
    <w:p w14:paraId="7B3419AE">
      <w:pPr>
        <w:spacing w:line="360" w:lineRule="auto"/>
        <w:ind w:firstLine="420" w:firstLineChars="200"/>
        <w:rPr>
          <w:rFonts w:ascii="Calibri" w:hAnsi="宋体"/>
          <w:color w:val="auto"/>
          <w:highlight w:val="none"/>
        </w:rPr>
      </w:pPr>
      <w:r>
        <w:rPr>
          <w:rFonts w:hint="eastAsia" w:ascii="Calibri" w:hAnsi="宋体"/>
          <w:color w:val="auto"/>
          <w:highlight w:val="none"/>
        </w:rPr>
        <w:t>发包人应按合同约定向承包人及时支付合同价款，发包人在每次支付进度款时，通过银行转账方式，按进度款的20%（百分比按广西壮族自治区建设工程费用定额规定）拨付到承包人农民工工资支付专用账户，专门用于支付农民工工资。</w:t>
      </w:r>
    </w:p>
    <w:p w14:paraId="4DE3BD92">
      <w:pPr>
        <w:keepNext/>
        <w:keepLines/>
        <w:spacing w:line="360" w:lineRule="auto"/>
        <w:outlineLvl w:val="2"/>
        <w:rPr>
          <w:rFonts w:ascii="Calibri" w:hAnsi="Calibri" w:eastAsia="黑体"/>
          <w:b/>
          <w:bCs/>
          <w:color w:val="auto"/>
          <w:sz w:val="32"/>
          <w:szCs w:val="32"/>
          <w:highlight w:val="none"/>
          <w:lang w:val="zh-CN"/>
        </w:rPr>
      </w:pPr>
      <w:r>
        <w:rPr>
          <w:rFonts w:hint="eastAsia" w:ascii="Calibri" w:hAnsi="Calibri" w:eastAsia="黑体"/>
          <w:b/>
          <w:bCs/>
          <w:color w:val="auto"/>
          <w:sz w:val="32"/>
          <w:szCs w:val="32"/>
          <w:highlight w:val="none"/>
          <w:lang w:val="zh-CN"/>
        </w:rPr>
        <w:t>2.7发包人的其他的权利和义务</w:t>
      </w:r>
    </w:p>
    <w:p w14:paraId="22ED0E55">
      <w:pPr>
        <w:spacing w:line="360" w:lineRule="auto"/>
        <w:ind w:firstLine="420" w:firstLineChars="200"/>
        <w:rPr>
          <w:rFonts w:hAnsi="宋体"/>
          <w:color w:val="auto"/>
          <w:szCs w:val="21"/>
          <w:highlight w:val="none"/>
        </w:rPr>
      </w:pPr>
      <w:r>
        <w:rPr>
          <w:rFonts w:hint="eastAsia" w:ascii="Calibri" w:hAnsi="宋体"/>
          <w:color w:val="auto"/>
          <w:highlight w:val="none"/>
        </w:rPr>
        <w:t>2.7.1</w:t>
      </w:r>
      <w:r>
        <w:rPr>
          <w:rFonts w:hint="eastAsia" w:hAnsi="宋体"/>
          <w:color w:val="auto"/>
          <w:szCs w:val="21"/>
          <w:highlight w:val="none"/>
        </w:rPr>
        <w:t>在施工过程中，承包人的工程进度应满足合同工程进度计划要求，否则发包人将对承包人进行整顿，并有权要求承包人限期增加相应的机械设备、人员、材料，并不得就此向发包人提出任何费用补偿或索赔及其他相关要求。</w:t>
      </w:r>
    </w:p>
    <w:p w14:paraId="07C54910">
      <w:pPr>
        <w:spacing w:line="360" w:lineRule="auto"/>
        <w:ind w:firstLine="420" w:firstLineChars="200"/>
        <w:rPr>
          <w:rFonts w:ascii="Calibri" w:hAnsi="宋体"/>
          <w:color w:val="auto"/>
          <w:highlight w:val="none"/>
        </w:rPr>
      </w:pPr>
      <w:r>
        <w:rPr>
          <w:rFonts w:hint="eastAsia" w:ascii="Calibri" w:hAnsi="宋体"/>
          <w:color w:val="auto"/>
          <w:highlight w:val="none"/>
        </w:rPr>
        <w:t>2.7.2在合同期内，发包人有权不定期组织对承包人的合同履约检查，检查不仅限于人员、机械、安全、质量、进度、等合同约定内容，发现不满足要求的，有权提出整改要求，并按相应违约处理/处罚。</w:t>
      </w:r>
    </w:p>
    <w:p w14:paraId="0256D258">
      <w:pPr>
        <w:spacing w:line="360" w:lineRule="auto"/>
        <w:ind w:firstLine="420" w:firstLineChars="200"/>
        <w:rPr>
          <w:rFonts w:ascii="Calibri" w:hAnsi="宋体"/>
          <w:color w:val="auto"/>
          <w:highlight w:val="none"/>
        </w:rPr>
      </w:pPr>
      <w:r>
        <w:rPr>
          <w:rFonts w:hint="eastAsia" w:ascii="Calibri" w:hAnsi="宋体"/>
          <w:color w:val="auto"/>
          <w:highlight w:val="none"/>
        </w:rPr>
        <w:t>2.7.3发包人有权不定期组织对承包人进行履约情况考核，对工程质量、进度、安全、农民工工资发放、环境保护和现场文明施工等方面具有否决权，并根据工程实际情况采取相应的处理措施。</w:t>
      </w:r>
    </w:p>
    <w:p w14:paraId="27E82602">
      <w:pPr>
        <w:spacing w:line="360" w:lineRule="auto"/>
        <w:ind w:firstLine="420" w:firstLineChars="200"/>
        <w:rPr>
          <w:rFonts w:ascii="Calibri" w:hAnsi="宋体"/>
          <w:color w:val="auto"/>
          <w:highlight w:val="none"/>
        </w:rPr>
      </w:pPr>
      <w:r>
        <w:rPr>
          <w:rFonts w:hint="eastAsia" w:ascii="Calibri" w:hAnsi="宋体"/>
          <w:color w:val="auto"/>
          <w:highlight w:val="none"/>
        </w:rPr>
        <w:t>2.7.4发包人有权对承包人完成但经相关部门检查、检验不合格的工程随时发出指令，承包人必须按照指令的要求自费将不合格的任何工程予以拆除，并彻底重新施工。质量未达到技术规范及合同要求的在建或已完工程，发包人有权责令其停工、返工或不予结算支付，由此造成的一切损失由承包人自负。</w:t>
      </w:r>
    </w:p>
    <w:p w14:paraId="3B849A62">
      <w:pPr>
        <w:spacing w:line="360" w:lineRule="auto"/>
        <w:ind w:firstLine="420" w:firstLineChars="200"/>
        <w:rPr>
          <w:rFonts w:ascii="Calibri" w:hAnsi="宋体"/>
          <w:color w:val="auto"/>
          <w:highlight w:val="none"/>
        </w:rPr>
      </w:pPr>
      <w:r>
        <w:rPr>
          <w:rFonts w:hint="eastAsia" w:ascii="Calibri" w:hAnsi="宋体"/>
          <w:color w:val="auto"/>
          <w:highlight w:val="none"/>
        </w:rPr>
        <w:t>2.7.5发包人对承包人的任何设备或装备在现场或在现场附近或在运往现场途中的任何损坏或损失或支付补偿不负责任。</w:t>
      </w:r>
    </w:p>
    <w:p w14:paraId="29E98464">
      <w:pPr>
        <w:keepNext/>
        <w:keepLines/>
        <w:spacing w:before="260" w:after="260" w:line="413" w:lineRule="auto"/>
        <w:outlineLvl w:val="1"/>
        <w:rPr>
          <w:rFonts w:ascii="Arial" w:hAnsi="Arial" w:eastAsia="黑体"/>
          <w:b/>
          <w:bCs/>
          <w:color w:val="auto"/>
          <w:sz w:val="32"/>
          <w:szCs w:val="32"/>
          <w:highlight w:val="none"/>
        </w:rPr>
      </w:pPr>
      <w:bookmarkStart w:id="276" w:name="_Toc389065272"/>
      <w:bookmarkStart w:id="277" w:name="_Toc78449794"/>
      <w:bookmarkStart w:id="278" w:name="_Toc351203635"/>
      <w:bookmarkStart w:id="279" w:name="_Toc729657770"/>
      <w:bookmarkStart w:id="280" w:name="_Toc373227706"/>
      <w:bookmarkStart w:id="281" w:name="_Toc373478353"/>
      <w:bookmarkStart w:id="282" w:name="_Toc407135208"/>
      <w:bookmarkStart w:id="283" w:name="_Toc1181400362"/>
      <w:r>
        <w:rPr>
          <w:rFonts w:ascii="Arial" w:hAnsi="Arial" w:eastAsia="黑体"/>
          <w:b/>
          <w:bCs/>
          <w:color w:val="auto"/>
          <w:sz w:val="32"/>
          <w:szCs w:val="32"/>
          <w:highlight w:val="none"/>
        </w:rPr>
        <w:t>3</w:t>
      </w:r>
      <w:bookmarkStart w:id="284" w:name="_Toc296346659"/>
      <w:bookmarkStart w:id="285" w:name="_Toc297048344"/>
      <w:bookmarkStart w:id="286" w:name="_Toc292559868"/>
      <w:bookmarkStart w:id="287" w:name="_Toc296944497"/>
      <w:bookmarkStart w:id="288" w:name="_Toc297120458"/>
      <w:bookmarkStart w:id="289" w:name="_Toc296503158"/>
      <w:bookmarkStart w:id="290" w:name="_Toc292559363"/>
      <w:bookmarkStart w:id="291" w:name="_Toc296890986"/>
      <w:bookmarkStart w:id="292" w:name="_Toc296347157"/>
      <w:bookmarkStart w:id="293" w:name="_Toc296891198"/>
      <w:r>
        <w:rPr>
          <w:rFonts w:ascii="Arial" w:hAnsi="Arial" w:eastAsia="黑体"/>
          <w:b/>
          <w:bCs/>
          <w:color w:val="auto"/>
          <w:sz w:val="32"/>
          <w:szCs w:val="32"/>
          <w:highlight w:val="none"/>
        </w:rPr>
        <w:t xml:space="preserve">. </w:t>
      </w:r>
      <w:r>
        <w:rPr>
          <w:rFonts w:hint="eastAsia" w:ascii="Arial" w:hAnsi="宋体" w:eastAsia="黑体" w:cs="黑体"/>
          <w:b/>
          <w:bCs/>
          <w:color w:val="auto"/>
          <w:sz w:val="32"/>
          <w:szCs w:val="32"/>
          <w:highlight w:val="none"/>
        </w:rPr>
        <w:t>承包人</w:t>
      </w:r>
      <w:bookmarkEnd w:id="276"/>
      <w:bookmarkEnd w:id="277"/>
      <w:bookmarkEnd w:id="278"/>
      <w:bookmarkEnd w:id="279"/>
      <w:bookmarkEnd w:id="280"/>
      <w:bookmarkEnd w:id="281"/>
      <w:bookmarkEnd w:id="282"/>
      <w:bookmarkEnd w:id="283"/>
    </w:p>
    <w:bookmarkEnd w:id="284"/>
    <w:bookmarkEnd w:id="285"/>
    <w:bookmarkEnd w:id="286"/>
    <w:bookmarkEnd w:id="287"/>
    <w:bookmarkEnd w:id="288"/>
    <w:bookmarkEnd w:id="289"/>
    <w:bookmarkEnd w:id="290"/>
    <w:bookmarkEnd w:id="291"/>
    <w:bookmarkEnd w:id="292"/>
    <w:bookmarkEnd w:id="293"/>
    <w:p w14:paraId="0DEC79EE">
      <w:pPr>
        <w:keepNext/>
        <w:keepLines/>
        <w:spacing w:line="600" w:lineRule="exact"/>
        <w:ind w:firstLine="643" w:firstLineChars="200"/>
        <w:outlineLvl w:val="2"/>
        <w:rPr>
          <w:b/>
          <w:bCs/>
          <w:color w:val="auto"/>
          <w:sz w:val="32"/>
          <w:szCs w:val="32"/>
          <w:highlight w:val="none"/>
        </w:rPr>
      </w:pPr>
      <w:bookmarkStart w:id="294" w:name="_Toc78449795"/>
      <w:bookmarkStart w:id="295" w:name="_Toc1642190822"/>
      <w:bookmarkStart w:id="296" w:name="_Toc407135209"/>
      <w:bookmarkStart w:id="297" w:name="_Toc373227707"/>
      <w:bookmarkStart w:id="298" w:name="_Toc389065273"/>
      <w:bookmarkStart w:id="299" w:name="_Toc962678435"/>
      <w:bookmarkStart w:id="300" w:name="_Toc373478354"/>
      <w:r>
        <w:rPr>
          <w:b/>
          <w:bCs/>
          <w:color w:val="auto"/>
          <w:sz w:val="32"/>
          <w:szCs w:val="32"/>
          <w:highlight w:val="none"/>
        </w:rPr>
        <w:t xml:space="preserve">3.1 </w:t>
      </w:r>
      <w:r>
        <w:rPr>
          <w:rFonts w:hint="eastAsia" w:cs="黑体"/>
          <w:b/>
          <w:bCs/>
          <w:color w:val="auto"/>
          <w:sz w:val="32"/>
          <w:szCs w:val="32"/>
          <w:highlight w:val="none"/>
        </w:rPr>
        <w:t>承包人的一般义务</w:t>
      </w:r>
      <w:bookmarkEnd w:id="294"/>
      <w:bookmarkEnd w:id="295"/>
      <w:bookmarkEnd w:id="296"/>
      <w:bookmarkEnd w:id="297"/>
      <w:bookmarkEnd w:id="298"/>
      <w:bookmarkEnd w:id="299"/>
      <w:bookmarkEnd w:id="300"/>
    </w:p>
    <w:p w14:paraId="21211ECD">
      <w:pPr>
        <w:spacing w:line="360" w:lineRule="auto"/>
        <w:ind w:firstLine="420" w:firstLineChars="200"/>
        <w:jc w:val="left"/>
        <w:rPr>
          <w:color w:val="auto"/>
          <w:highlight w:val="none"/>
          <w:u w:val="singl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r>
        <w:rPr>
          <w:rFonts w:hint="eastAsia" w:ascii="Calibri" w:hAnsi="Calibri"/>
          <w:color w:val="auto"/>
          <w:highlight w:val="none"/>
          <w:u w:val="single"/>
        </w:rPr>
        <w:t>按照法律规定和合同约定编制的竣工资料，符合工程所在地建设行政主管部门和（或）城市建设档案管理机构有关施工资料的要求，并立卷及归档</w:t>
      </w:r>
      <w:r>
        <w:rPr>
          <w:rFonts w:hint="eastAsia" w:hAnsi="宋体" w:cs="宋体"/>
          <w:color w:val="auto"/>
          <w:highlight w:val="none"/>
        </w:rPr>
        <w:t>。</w:t>
      </w:r>
    </w:p>
    <w:p w14:paraId="4F6288F5">
      <w:pPr>
        <w:spacing w:line="360" w:lineRule="auto"/>
        <w:ind w:firstLine="420" w:firstLineChars="200"/>
        <w:jc w:val="left"/>
        <w:rPr>
          <w:color w:val="auto"/>
          <w:highlight w:val="none"/>
        </w:rPr>
      </w:pPr>
      <w:r>
        <w:rPr>
          <w:rFonts w:hint="eastAsia" w:hAnsi="宋体" w:cs="宋体"/>
          <w:color w:val="auto"/>
          <w:highlight w:val="none"/>
        </w:rPr>
        <w:t>承包人需要提交的竣工资料套数：</w:t>
      </w:r>
      <w:r>
        <w:rPr>
          <w:rFonts w:hint="eastAsia" w:ascii="Calibri" w:hAnsi="Calibri"/>
          <w:color w:val="auto"/>
          <w:highlight w:val="none"/>
          <w:u w:val="single"/>
        </w:rPr>
        <w:t>壹式</w:t>
      </w:r>
      <w:r>
        <w:rPr>
          <w:rFonts w:hint="eastAsia" w:ascii="Calibri" w:hAnsi="Calibri"/>
          <w:color w:val="auto"/>
          <w:highlight w:val="none"/>
          <w:u w:val="single"/>
          <w:lang w:val="en-US" w:eastAsia="zh-CN"/>
        </w:rPr>
        <w:t>肆</w:t>
      </w:r>
      <w:r>
        <w:rPr>
          <w:rFonts w:hint="eastAsia" w:ascii="Calibri" w:hAnsi="Calibri"/>
          <w:color w:val="auto"/>
          <w:highlight w:val="none"/>
          <w:u w:val="single"/>
        </w:rPr>
        <w:t>套</w:t>
      </w:r>
      <w:r>
        <w:rPr>
          <w:rFonts w:hint="eastAsia" w:hAnsi="宋体" w:cs="宋体"/>
          <w:color w:val="auto"/>
          <w:highlight w:val="none"/>
        </w:rPr>
        <w:t>。</w:t>
      </w:r>
    </w:p>
    <w:p w14:paraId="086BDF16">
      <w:pPr>
        <w:spacing w:line="360" w:lineRule="auto"/>
        <w:ind w:left="424" w:leftChars="202"/>
        <w:jc w:val="left"/>
        <w:rPr>
          <w:color w:val="auto"/>
          <w:highlight w:val="none"/>
        </w:rPr>
      </w:pPr>
      <w:r>
        <w:rPr>
          <w:rFonts w:hint="eastAsia" w:hAnsi="宋体" w:cs="宋体"/>
          <w:color w:val="auto"/>
          <w:highlight w:val="none"/>
        </w:rPr>
        <w:t>承包人提交的竣工资料的费用承担：</w:t>
      </w:r>
      <w:r>
        <w:rPr>
          <w:rFonts w:hint="eastAsia" w:ascii="Calibri" w:hAnsi="Calibri"/>
          <w:color w:val="auto"/>
          <w:highlight w:val="none"/>
          <w:u w:val="single"/>
        </w:rPr>
        <w:t>由承包人承担</w:t>
      </w:r>
      <w:r>
        <w:rPr>
          <w:rFonts w:hint="eastAsia" w:hAnsi="宋体" w:cs="宋体"/>
          <w:color w:val="auto"/>
          <w:highlight w:val="none"/>
        </w:rPr>
        <w:t>。</w:t>
      </w:r>
    </w:p>
    <w:p w14:paraId="00D7B2BC">
      <w:pPr>
        <w:spacing w:line="360" w:lineRule="auto"/>
        <w:ind w:left="424" w:leftChars="202"/>
        <w:jc w:val="left"/>
        <w:rPr>
          <w:color w:val="auto"/>
          <w:highlight w:val="none"/>
        </w:rPr>
      </w:pPr>
      <w:r>
        <w:rPr>
          <w:rFonts w:hint="eastAsia" w:hAnsi="宋体" w:cs="宋体"/>
          <w:color w:val="auto"/>
          <w:highlight w:val="none"/>
        </w:rPr>
        <w:t>承包人提交的竣工资料移交时间：</w:t>
      </w:r>
      <w:r>
        <w:rPr>
          <w:rFonts w:hint="eastAsia"/>
          <w:color w:val="auto"/>
          <w:szCs w:val="21"/>
          <w:highlight w:val="none"/>
          <w:u w:val="single"/>
        </w:rPr>
        <w:t>竣工验收合格之日起</w:t>
      </w:r>
      <w:r>
        <w:rPr>
          <w:rFonts w:hint="eastAsia"/>
          <w:color w:val="auto"/>
          <w:szCs w:val="21"/>
          <w:highlight w:val="none"/>
          <w:u w:val="single"/>
          <w:lang w:val="en-US" w:eastAsia="zh-CN"/>
        </w:rPr>
        <w:t>三</w:t>
      </w:r>
      <w:r>
        <w:rPr>
          <w:rFonts w:hint="eastAsia"/>
          <w:color w:val="auto"/>
          <w:szCs w:val="21"/>
          <w:highlight w:val="none"/>
          <w:u w:val="single"/>
        </w:rPr>
        <w:t>十天内</w:t>
      </w:r>
      <w:r>
        <w:rPr>
          <w:rFonts w:hint="eastAsia" w:hAnsi="宋体" w:cs="宋体"/>
          <w:color w:val="auto"/>
          <w:highlight w:val="none"/>
        </w:rPr>
        <w:t>。</w:t>
      </w:r>
    </w:p>
    <w:p w14:paraId="260C7895">
      <w:pPr>
        <w:spacing w:line="360" w:lineRule="auto"/>
        <w:ind w:firstLine="420" w:firstLineChars="200"/>
        <w:jc w:val="left"/>
        <w:rPr>
          <w:color w:val="auto"/>
          <w:highlight w:val="none"/>
        </w:rPr>
      </w:pPr>
      <w:r>
        <w:rPr>
          <w:rFonts w:hint="eastAsia" w:hAnsi="宋体" w:cs="宋体"/>
          <w:color w:val="auto"/>
          <w:highlight w:val="none"/>
        </w:rPr>
        <w:t>承包人提交的竣工资料形式要求：</w:t>
      </w:r>
      <w:r>
        <w:rPr>
          <w:rFonts w:hint="eastAsia" w:ascii="Calibri" w:hAnsi="Calibri"/>
          <w:color w:val="auto"/>
          <w:highlight w:val="none"/>
          <w:u w:val="single"/>
        </w:rPr>
        <w:t>书面及电子文档，现场交验给发包人代表人，代表人书面签收</w:t>
      </w:r>
      <w:r>
        <w:rPr>
          <w:rFonts w:hint="eastAsia" w:hAnsi="宋体" w:cs="宋体"/>
          <w:color w:val="auto"/>
          <w:highlight w:val="none"/>
        </w:rPr>
        <w:t>。</w:t>
      </w:r>
    </w:p>
    <w:p w14:paraId="0B277C4F">
      <w:pPr>
        <w:spacing w:line="360" w:lineRule="auto"/>
        <w:ind w:firstLine="420" w:firstLineChars="200"/>
        <w:rPr>
          <w:color w:val="auto"/>
          <w:kern w:val="0"/>
          <w:highlight w:val="none"/>
          <w:u w:val="single"/>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p>
    <w:p w14:paraId="726EAD42">
      <w:pPr>
        <w:spacing w:line="360" w:lineRule="auto"/>
        <w:ind w:firstLine="420" w:firstLineChars="200"/>
        <w:jc w:val="left"/>
        <w:rPr>
          <w:rFonts w:ascii="Calibri" w:hAnsi="宋体"/>
          <w:color w:val="auto"/>
          <w:kern w:val="0"/>
          <w:highlight w:val="none"/>
        </w:rPr>
      </w:pPr>
      <w:r>
        <w:rPr>
          <w:rFonts w:hint="eastAsia" w:ascii="Calibri" w:hAnsi="宋体"/>
          <w:color w:val="auto"/>
          <w:kern w:val="0"/>
          <w:highlight w:val="none"/>
        </w:rPr>
        <w:t>按照《中华人民共和国工会法》、《国务院关于进一步做好为农民工服务工作的意见》（国发〔2014〕40号）、《中华全国总工会关于深入贯彻落实&lt;国务院关于进一步做好为农民工服务工作的意见&gt;的实施意见》（总工发〔2015〕14号）有关要求，深入开展“农民工入会集中行动”。</w:t>
      </w:r>
    </w:p>
    <w:p w14:paraId="1933759C">
      <w:pPr>
        <w:spacing w:line="360" w:lineRule="auto"/>
        <w:ind w:firstLine="420" w:firstLineChars="200"/>
        <w:jc w:val="left"/>
        <w:rPr>
          <w:rFonts w:ascii="Calibri" w:hAnsi="宋体"/>
          <w:color w:val="auto"/>
          <w:kern w:val="0"/>
          <w:highlight w:val="none"/>
        </w:rPr>
      </w:pPr>
      <w:r>
        <w:rPr>
          <w:rFonts w:hint="eastAsia" w:ascii="Calibri" w:hAnsi="宋体"/>
          <w:color w:val="auto"/>
          <w:kern w:val="0"/>
          <w:highlight w:val="none"/>
        </w:rPr>
        <w:t>1）根据发包人委托，由承包人负责完成的设计文件属于合同条款第 1.6.4 项约定的承包人提供的文件，承包人应按照专用合同条款第 1.6.4 项约定的期限和数量提交，由此发生的费用被认为已经包括在承包人的签约合同价(投标总报价)中。由承包人承担的施工图设计或与工程配套的设计工作内容：无。</w:t>
      </w:r>
    </w:p>
    <w:p w14:paraId="18E92DF3">
      <w:pPr>
        <w:numPr>
          <w:ilvl w:val="0"/>
          <w:numId w:val="0"/>
        </w:numPr>
        <w:spacing w:line="360" w:lineRule="auto"/>
        <w:ind w:left="0" w:leftChars="0" w:firstLine="420" w:firstLineChars="200"/>
        <w:jc w:val="left"/>
        <w:rPr>
          <w:rFonts w:ascii="Calibri" w:hAnsi="宋体"/>
          <w:color w:val="auto"/>
          <w:kern w:val="0"/>
          <w:highlight w:val="none"/>
        </w:rPr>
      </w:pPr>
      <w:r>
        <w:rPr>
          <w:rFonts w:ascii="Calibri" w:hAnsi="宋体" w:eastAsia="宋体" w:cs="Times New Roman"/>
          <w:color w:val="auto"/>
          <w:kern w:val="0"/>
          <w:sz w:val="21"/>
          <w:szCs w:val="24"/>
          <w:highlight w:val="none"/>
          <w:lang w:val="en-US" w:eastAsia="zh-CN" w:bidi="ar-SA"/>
        </w:rPr>
        <w:t>2)</w:t>
      </w:r>
      <w:r>
        <w:rPr>
          <w:rFonts w:hint="eastAsia" w:ascii="Calibri" w:hAnsi="宋体"/>
          <w:color w:val="auto"/>
          <w:kern w:val="0"/>
          <w:highlight w:val="none"/>
        </w:rPr>
        <w:t>应提供计划、报表的名称及完成时间：每月 25 日向监理、发包人提供当月工程进度报表以及下月进度计划各一式两份。</w:t>
      </w:r>
    </w:p>
    <w:p w14:paraId="05D1F53E">
      <w:pPr>
        <w:numPr>
          <w:ilvl w:val="0"/>
          <w:numId w:val="0"/>
        </w:numPr>
        <w:spacing w:line="360" w:lineRule="auto"/>
        <w:ind w:left="0" w:leftChars="0" w:firstLine="420" w:firstLineChars="200"/>
        <w:jc w:val="left"/>
        <w:rPr>
          <w:rFonts w:ascii="Calibri" w:hAnsi="宋体"/>
          <w:color w:val="auto"/>
          <w:kern w:val="0"/>
          <w:highlight w:val="none"/>
        </w:rPr>
      </w:pPr>
      <w:r>
        <w:rPr>
          <w:rFonts w:ascii="Calibri" w:hAnsi="宋体" w:eastAsia="宋体" w:cs="Times New Roman"/>
          <w:color w:val="auto"/>
          <w:kern w:val="0"/>
          <w:sz w:val="21"/>
          <w:szCs w:val="24"/>
          <w:highlight w:val="none"/>
          <w:lang w:val="en-US" w:eastAsia="zh-CN" w:bidi="ar-SA"/>
        </w:rPr>
        <w:t>3)</w:t>
      </w:r>
      <w:r>
        <w:rPr>
          <w:rFonts w:hint="eastAsia" w:ascii="Calibri" w:hAnsi="宋体"/>
          <w:color w:val="auto"/>
          <w:kern w:val="0"/>
          <w:highlight w:val="none"/>
        </w:rPr>
        <w:t>承担施工安全保卫工作及非夜间施工照明的责任和要求：</w:t>
      </w:r>
      <w:r>
        <w:rPr>
          <w:rFonts w:hint="eastAsia" w:ascii="Calibri" w:hAnsi="宋体"/>
          <w:color w:val="auto"/>
          <w:kern w:val="0"/>
          <w:highlight w:val="none"/>
          <w:u w:val="single"/>
        </w:rPr>
        <w:t>承包人应采取一切合理的预防措施，防止人员伤亡、财产损失事故，费用由承包人承担</w:t>
      </w:r>
      <w:r>
        <w:rPr>
          <w:rFonts w:hint="eastAsia" w:ascii="Calibri" w:hAnsi="宋体"/>
          <w:color w:val="auto"/>
          <w:kern w:val="0"/>
          <w:highlight w:val="none"/>
        </w:rPr>
        <w:t>。</w:t>
      </w:r>
    </w:p>
    <w:p w14:paraId="4D5E3524">
      <w:pPr>
        <w:numPr>
          <w:ilvl w:val="0"/>
          <w:numId w:val="0"/>
        </w:numPr>
        <w:spacing w:line="360" w:lineRule="auto"/>
        <w:ind w:left="0" w:leftChars="0" w:firstLine="420" w:firstLineChars="200"/>
        <w:jc w:val="left"/>
        <w:rPr>
          <w:rFonts w:ascii="Calibri" w:hAnsi="宋体"/>
          <w:color w:val="auto"/>
          <w:kern w:val="0"/>
          <w:highlight w:val="none"/>
        </w:rPr>
      </w:pPr>
      <w:r>
        <w:rPr>
          <w:rFonts w:ascii="Calibri" w:hAnsi="宋体" w:eastAsia="宋体" w:cs="Times New Roman"/>
          <w:color w:val="auto"/>
          <w:kern w:val="0"/>
          <w:sz w:val="21"/>
          <w:szCs w:val="24"/>
          <w:highlight w:val="none"/>
          <w:lang w:val="en-US" w:eastAsia="zh-CN" w:bidi="ar-SA"/>
        </w:rPr>
        <w:t>4)</w:t>
      </w:r>
      <w:r>
        <w:rPr>
          <w:rFonts w:hint="eastAsia" w:ascii="Calibri" w:hAnsi="宋体"/>
          <w:color w:val="auto"/>
          <w:kern w:val="0"/>
          <w:highlight w:val="none"/>
        </w:rPr>
        <w:t>向发包人提供的办公和生活房屋及设施的要求：</w:t>
      </w:r>
      <w:r>
        <w:rPr>
          <w:rFonts w:hint="eastAsia" w:ascii="Calibri" w:hAnsi="宋体"/>
          <w:color w:val="auto"/>
          <w:kern w:val="0"/>
          <w:highlight w:val="none"/>
          <w:u w:val="single"/>
        </w:rPr>
        <w:t>按实际需要，由承包人负责承担</w:t>
      </w:r>
      <w:r>
        <w:rPr>
          <w:rFonts w:hint="eastAsia" w:ascii="Calibri" w:hAnsi="宋体"/>
          <w:color w:val="auto"/>
          <w:kern w:val="0"/>
          <w:highlight w:val="none"/>
        </w:rPr>
        <w:t>。</w:t>
      </w:r>
    </w:p>
    <w:p w14:paraId="5C1B4C7A">
      <w:pPr>
        <w:numPr>
          <w:ilvl w:val="0"/>
          <w:numId w:val="0"/>
        </w:numPr>
        <w:spacing w:line="360" w:lineRule="auto"/>
        <w:ind w:left="0" w:leftChars="0" w:firstLine="420" w:firstLineChars="200"/>
        <w:jc w:val="left"/>
        <w:rPr>
          <w:rFonts w:ascii="Calibri" w:hAnsi="宋体"/>
          <w:color w:val="auto"/>
          <w:kern w:val="0"/>
          <w:highlight w:val="none"/>
        </w:rPr>
      </w:pPr>
      <w:r>
        <w:rPr>
          <w:rFonts w:ascii="Calibri" w:hAnsi="宋体" w:eastAsia="宋体" w:cs="Times New Roman"/>
          <w:color w:val="auto"/>
          <w:kern w:val="0"/>
          <w:sz w:val="21"/>
          <w:szCs w:val="24"/>
          <w:highlight w:val="none"/>
          <w:lang w:val="en-US" w:eastAsia="zh-CN" w:bidi="ar-SA"/>
        </w:rPr>
        <w:t>5)</w:t>
      </w:r>
      <w:r>
        <w:rPr>
          <w:rFonts w:hint="eastAsia" w:ascii="Calibri" w:hAnsi="宋体"/>
          <w:color w:val="auto"/>
          <w:kern w:val="0"/>
          <w:highlight w:val="none"/>
        </w:rPr>
        <w:t>需承包人办理的有关施工场地交通、环卫和施工噪音管理等手续：</w:t>
      </w:r>
      <w:r>
        <w:rPr>
          <w:rFonts w:hint="eastAsia" w:ascii="Calibri" w:hAnsi="宋体"/>
          <w:color w:val="auto"/>
          <w:kern w:val="0"/>
          <w:highlight w:val="none"/>
          <w:u w:val="single"/>
        </w:rPr>
        <w:t>因施工需要，经发包人批准，由承包人办理和负责费用。</w:t>
      </w:r>
    </w:p>
    <w:p w14:paraId="578E4E93">
      <w:pPr>
        <w:numPr>
          <w:ilvl w:val="0"/>
          <w:numId w:val="0"/>
        </w:numPr>
        <w:spacing w:line="360" w:lineRule="auto"/>
        <w:ind w:left="0" w:leftChars="0" w:firstLine="420" w:firstLineChars="200"/>
        <w:jc w:val="left"/>
        <w:rPr>
          <w:rFonts w:ascii="Calibri" w:hAnsi="宋体"/>
          <w:color w:val="auto"/>
          <w:kern w:val="0"/>
          <w:highlight w:val="none"/>
        </w:rPr>
      </w:pPr>
      <w:r>
        <w:rPr>
          <w:rFonts w:ascii="Calibri" w:hAnsi="宋体" w:eastAsia="宋体" w:cs="Times New Roman"/>
          <w:color w:val="auto"/>
          <w:kern w:val="0"/>
          <w:sz w:val="21"/>
          <w:szCs w:val="24"/>
          <w:highlight w:val="none"/>
          <w:lang w:val="en-US" w:eastAsia="zh-CN" w:bidi="ar-SA"/>
        </w:rPr>
        <w:t>6)</w:t>
      </w:r>
      <w:r>
        <w:rPr>
          <w:rFonts w:hint="eastAsia" w:hAnsi="宋体"/>
          <w:color w:val="auto"/>
          <w:kern w:val="0"/>
          <w:szCs w:val="21"/>
          <w:highlight w:val="none"/>
        </w:rPr>
        <w:t>已完工程成品保护的特殊要求及费用承担：</w:t>
      </w:r>
      <w:r>
        <w:rPr>
          <w:rFonts w:hint="eastAsia" w:hAnsi="宋体"/>
          <w:color w:val="auto"/>
          <w:kern w:val="0"/>
          <w:szCs w:val="21"/>
          <w:highlight w:val="none"/>
          <w:u w:val="single"/>
        </w:rPr>
        <w:t>已竣工工程未交付发包人之前，承包人负责已完工程的保护工作，保护期间发生损坏，承包人自费予以修复。</w:t>
      </w:r>
    </w:p>
    <w:p w14:paraId="00A6B32D">
      <w:pPr>
        <w:numPr>
          <w:ilvl w:val="0"/>
          <w:numId w:val="0"/>
        </w:numPr>
        <w:spacing w:line="360" w:lineRule="auto"/>
        <w:ind w:left="0" w:leftChars="0" w:firstLine="420" w:firstLineChars="200"/>
        <w:jc w:val="left"/>
        <w:rPr>
          <w:rFonts w:ascii="Calibri" w:hAnsi="宋体"/>
          <w:color w:val="auto"/>
          <w:kern w:val="0"/>
          <w:highlight w:val="none"/>
        </w:rPr>
      </w:pPr>
      <w:r>
        <w:rPr>
          <w:rFonts w:ascii="Calibri" w:hAnsi="宋体" w:eastAsia="宋体" w:cs="Times New Roman"/>
          <w:color w:val="auto"/>
          <w:kern w:val="0"/>
          <w:sz w:val="21"/>
          <w:szCs w:val="24"/>
          <w:highlight w:val="none"/>
          <w:lang w:val="en-US" w:eastAsia="zh-CN" w:bidi="ar-SA"/>
        </w:rPr>
        <w:t>7)</w:t>
      </w:r>
      <w:r>
        <w:rPr>
          <w:rFonts w:hint="eastAsia" w:ascii="Calibri" w:hAnsi="宋体"/>
          <w:color w:val="auto"/>
          <w:kern w:val="0"/>
          <w:highlight w:val="none"/>
        </w:rPr>
        <w:t>施工场地周围地下管线和邻近建筑物、构筑物(含文物保护建筑)、古树名木的保护要求及费用承担：</w:t>
      </w:r>
      <w:r>
        <w:rPr>
          <w:rFonts w:hint="eastAsia" w:ascii="Calibri" w:hAnsi="宋体"/>
          <w:color w:val="auto"/>
          <w:kern w:val="0"/>
          <w:highlight w:val="none"/>
          <w:u w:val="single"/>
        </w:rPr>
        <w:t>承包人施工时应探明并负责保护且承担费用，施工时如因承包人原因损坏地下管线、邻近建筑物、构筑物，所发生费用由承包人承担。如承包人未承担探明及保护义务，发包人有权对承包人做相应处罚。</w:t>
      </w:r>
    </w:p>
    <w:p w14:paraId="457EA819">
      <w:pPr>
        <w:numPr>
          <w:ilvl w:val="0"/>
          <w:numId w:val="0"/>
        </w:numPr>
        <w:spacing w:line="360" w:lineRule="auto"/>
        <w:ind w:left="0" w:leftChars="0" w:firstLine="420" w:firstLineChars="200"/>
        <w:jc w:val="left"/>
        <w:rPr>
          <w:color w:val="auto"/>
          <w:highlight w:val="none"/>
        </w:rPr>
      </w:pPr>
      <w:r>
        <w:rPr>
          <w:rFonts w:ascii="Times New Roman" w:hAnsi="Times New Roman" w:eastAsia="宋体" w:cs="Times New Roman"/>
          <w:color w:val="auto"/>
          <w:kern w:val="2"/>
          <w:sz w:val="21"/>
          <w:szCs w:val="24"/>
          <w:highlight w:val="none"/>
          <w:lang w:val="en-US" w:eastAsia="zh-CN" w:bidi="ar-SA"/>
        </w:rPr>
        <w:t>8)</w:t>
      </w:r>
      <w:r>
        <w:rPr>
          <w:rFonts w:hint="eastAsia" w:ascii="Calibri" w:hAnsi="宋体"/>
          <w:color w:val="auto"/>
          <w:kern w:val="0"/>
          <w:highlight w:val="none"/>
        </w:rPr>
        <w:t>施工场地清洁卫生的要求：</w:t>
      </w:r>
      <w:r>
        <w:rPr>
          <w:rFonts w:hint="eastAsia" w:ascii="Calibri" w:hAnsi="宋体"/>
          <w:color w:val="auto"/>
          <w:kern w:val="0"/>
          <w:highlight w:val="none"/>
          <w:u w:val="single"/>
        </w:rPr>
        <w:t>由于施工造成的环境污染，其责任和费用均由承包人承担。</w:t>
      </w:r>
    </w:p>
    <w:p w14:paraId="32B89C48">
      <w:pPr>
        <w:spacing w:line="360" w:lineRule="auto"/>
        <w:ind w:left="420" w:leftChars="200"/>
        <w:jc w:val="left"/>
        <w:rPr>
          <w:rFonts w:ascii="Calibri" w:hAnsi="宋体"/>
          <w:color w:val="auto"/>
          <w:kern w:val="0"/>
          <w:highlight w:val="none"/>
        </w:rPr>
      </w:pPr>
      <w:r>
        <w:rPr>
          <w:rFonts w:hint="eastAsia" w:ascii="Calibri" w:hAnsi="宋体"/>
          <w:color w:val="auto"/>
          <w:kern w:val="0"/>
          <w:highlight w:val="none"/>
        </w:rPr>
        <w:t>9）双方约定承包人应做的其他工作：</w:t>
      </w:r>
    </w:p>
    <w:p w14:paraId="5C4606CA">
      <w:pPr>
        <w:spacing w:line="360" w:lineRule="auto"/>
        <w:ind w:firstLine="420" w:firstLineChars="200"/>
        <w:jc w:val="left"/>
        <w:rPr>
          <w:rFonts w:ascii="Calibri" w:hAnsi="宋体"/>
          <w:color w:val="auto"/>
          <w:kern w:val="0"/>
          <w:highlight w:val="none"/>
        </w:rPr>
      </w:pPr>
      <w:r>
        <w:rPr>
          <w:rFonts w:hint="eastAsia" w:ascii="Calibri" w:hAnsi="宋体"/>
          <w:color w:val="auto"/>
          <w:kern w:val="0"/>
          <w:highlight w:val="none"/>
        </w:rPr>
        <w:t>①承包人应负责提供完成合同工作所需的劳务、材料、施工设备、工程设备和其他物品，并按合同约定负责临时设施的设计、建造、运行、维护、管理和拆除。</w:t>
      </w:r>
    </w:p>
    <w:p w14:paraId="34AA3204">
      <w:pPr>
        <w:spacing w:line="360" w:lineRule="auto"/>
        <w:ind w:firstLine="420" w:firstLineChars="200"/>
        <w:jc w:val="left"/>
        <w:rPr>
          <w:rFonts w:ascii="Calibri" w:hAnsi="宋体"/>
          <w:color w:val="auto"/>
          <w:kern w:val="0"/>
          <w:highlight w:val="none"/>
        </w:rPr>
      </w:pPr>
      <w:r>
        <w:rPr>
          <w:rFonts w:hint="eastAsia" w:ascii="Calibri" w:hAnsi="宋体"/>
          <w:color w:val="auto"/>
          <w:kern w:val="0"/>
          <w:highlight w:val="none"/>
        </w:rPr>
        <w:t>②施工场地及周围地下管线和邻近建筑物、构筑物（含文物保护建筑）、古树名木的保护要求及费用承担：承包人施工时应探明并负责保护，施工时如非因发包人提供的现场资料不准确或不完整造成地下管线、邻近建筑物、构筑物损坏，所发生费用由承包人承担。</w:t>
      </w:r>
    </w:p>
    <w:p w14:paraId="5DD739EB">
      <w:pPr>
        <w:spacing w:line="360" w:lineRule="auto"/>
        <w:ind w:firstLine="420" w:firstLineChars="200"/>
        <w:jc w:val="left"/>
        <w:rPr>
          <w:rFonts w:ascii="Calibri" w:hAnsi="宋体"/>
          <w:color w:val="auto"/>
          <w:kern w:val="0"/>
          <w:highlight w:val="none"/>
        </w:rPr>
      </w:pPr>
      <w:r>
        <w:rPr>
          <w:rFonts w:hint="eastAsia" w:ascii="Calibri" w:hAnsi="宋体"/>
          <w:color w:val="auto"/>
          <w:kern w:val="0"/>
          <w:highlight w:val="none"/>
        </w:rPr>
        <w:t>③承包人应当主动配合发包人协调与施工现场周边单位及居民的关系，确保项目施工顺利进行。</w:t>
      </w:r>
    </w:p>
    <w:p w14:paraId="7A6F5B59">
      <w:pPr>
        <w:spacing w:line="360" w:lineRule="auto"/>
        <w:ind w:firstLine="420" w:firstLineChars="200"/>
        <w:jc w:val="left"/>
        <w:rPr>
          <w:rFonts w:ascii="Calibri" w:hAnsi="宋体"/>
          <w:color w:val="auto"/>
          <w:kern w:val="0"/>
          <w:highlight w:val="none"/>
        </w:rPr>
      </w:pPr>
      <w:r>
        <w:rPr>
          <w:rFonts w:hint="eastAsia" w:ascii="Calibri" w:hAnsi="宋体"/>
          <w:color w:val="auto"/>
          <w:kern w:val="0"/>
          <w:highlight w:val="none"/>
        </w:rPr>
        <w:t>④承包人应与农民工签订劳动合同</w:t>
      </w:r>
      <w:r>
        <w:rPr>
          <w:rFonts w:ascii="Calibri" w:hAnsi="宋体"/>
          <w:color w:val="auto"/>
          <w:kern w:val="0"/>
          <w:highlight w:val="none"/>
        </w:rPr>
        <w:t>或书面用工协议</w:t>
      </w:r>
      <w:r>
        <w:rPr>
          <w:rFonts w:hint="eastAsia" w:ascii="Calibri" w:hAnsi="宋体"/>
          <w:color w:val="auto"/>
          <w:kern w:val="0"/>
          <w:highlight w:val="none"/>
        </w:rPr>
        <w:t>并给发包人备案，承包人应按时支付农民工工资，发包人支付到合同价款的 80％时，承包人应全部支付完农民工工资，之后如有农民工到发包人单位及上级部门反映索要工资现象视为违约，每发生一次扣最终结算价的 1％作为违约金，且发包人可直接从承包方应支付的款项中扣除。承包人在办理施工许可手续前，向银行开设农民工工资支付专用账户，通过银行转账方式，确保按月足额发放农民工工资。</w:t>
      </w:r>
    </w:p>
    <w:p w14:paraId="199A3C7E">
      <w:pPr>
        <w:spacing w:line="360" w:lineRule="auto"/>
        <w:ind w:firstLine="420" w:firstLineChars="200"/>
        <w:jc w:val="left"/>
        <w:rPr>
          <w:rFonts w:ascii="Calibri" w:hAnsi="宋体"/>
          <w:color w:val="auto"/>
          <w:kern w:val="0"/>
          <w:highlight w:val="none"/>
        </w:rPr>
      </w:pPr>
      <w:r>
        <w:rPr>
          <w:rFonts w:hint="eastAsia" w:ascii="Calibri" w:hAnsi="宋体"/>
          <w:color w:val="auto"/>
          <w:kern w:val="0"/>
          <w:highlight w:val="none"/>
        </w:rPr>
        <w:t>⑤本工程必须是承包人独立完成，不得转包。如一经发现转包即视为承包人严重违约，则发包人有权单方终止合同，依法另行选择承包人，原承包人无条件退出现场；发包人另行发包的招标范围以外的工程，承包人必须无条件配合；承包人在承包工程施工期间所发生的一切责任事故，全部由承包人承担经济责任和法律责任。</w:t>
      </w:r>
    </w:p>
    <w:p w14:paraId="7C1C60B9">
      <w:pPr>
        <w:spacing w:line="360" w:lineRule="auto"/>
        <w:ind w:firstLine="420" w:firstLineChars="200"/>
        <w:jc w:val="left"/>
        <w:rPr>
          <w:rFonts w:ascii="Calibri" w:hAnsi="宋体"/>
          <w:color w:val="auto"/>
          <w:kern w:val="0"/>
          <w:highlight w:val="none"/>
        </w:rPr>
      </w:pPr>
      <w:r>
        <w:rPr>
          <w:rFonts w:hint="eastAsia" w:ascii="Calibri" w:hAnsi="宋体"/>
          <w:color w:val="auto"/>
          <w:kern w:val="0"/>
          <w:highlight w:val="none"/>
        </w:rPr>
        <w:t>⑥按照广西壮族自治区总工会、广西壮族自治区住房和城乡建设厅《关于进一步加强全区住房城乡建设系统组建工会和职工维权工作的意见》(桂工发[2013]29号)</w:t>
      </w:r>
      <w:r>
        <w:rPr>
          <w:rFonts w:hint="eastAsia" w:ascii="Calibri" w:hAnsi="宋体"/>
          <w:color w:val="auto"/>
          <w:kern w:val="0"/>
          <w:highlight w:val="none"/>
          <w:lang w:val="en-US" w:eastAsia="zh-CN"/>
        </w:rPr>
        <w:t>及百色市</w:t>
      </w:r>
      <w:r>
        <w:rPr>
          <w:rFonts w:hint="eastAsia" w:ascii="Calibri" w:hAnsi="宋体"/>
          <w:color w:val="auto"/>
          <w:kern w:val="0"/>
          <w:highlight w:val="none"/>
        </w:rPr>
        <w:t>相关规定，承包人应在收到成交通知书之日起10个工作日内，成立项目工会并拨缴工会经费（建会筹备金）。</w:t>
      </w:r>
    </w:p>
    <w:p w14:paraId="7B3AF5BB">
      <w:pPr>
        <w:spacing w:line="360" w:lineRule="auto"/>
        <w:ind w:firstLine="420" w:firstLineChars="200"/>
        <w:jc w:val="left"/>
        <w:rPr>
          <w:rFonts w:ascii="Calibri" w:hAnsi="宋体"/>
          <w:color w:val="auto"/>
          <w:kern w:val="0"/>
          <w:highlight w:val="none"/>
        </w:rPr>
      </w:pPr>
      <w:r>
        <w:rPr>
          <w:rFonts w:hint="eastAsia" w:ascii="Calibri" w:hAnsi="宋体"/>
          <w:color w:val="auto"/>
          <w:kern w:val="0"/>
          <w:highlight w:val="none"/>
        </w:rPr>
        <w:t>⑦配合发包人做好安全文明宣传、领导检查宣传等工作，相关费用由承包人承担。</w:t>
      </w:r>
    </w:p>
    <w:p w14:paraId="23722F3D">
      <w:pPr>
        <w:spacing w:line="360" w:lineRule="auto"/>
        <w:ind w:firstLine="420" w:firstLineChars="200"/>
        <w:jc w:val="left"/>
        <w:rPr>
          <w:rFonts w:ascii="Calibri" w:hAnsi="宋体"/>
          <w:color w:val="auto"/>
          <w:kern w:val="0"/>
          <w:highlight w:val="none"/>
        </w:rPr>
      </w:pPr>
      <w:r>
        <w:rPr>
          <w:rFonts w:hint="eastAsia" w:ascii="Calibri" w:hAnsi="宋体"/>
          <w:color w:val="auto"/>
          <w:kern w:val="0"/>
          <w:highlight w:val="none"/>
        </w:rPr>
        <w:fldChar w:fldCharType="begin"/>
      </w:r>
      <w:r>
        <w:rPr>
          <w:rFonts w:hint="eastAsia" w:ascii="Calibri" w:hAnsi="宋体"/>
          <w:color w:val="auto"/>
          <w:kern w:val="0"/>
          <w:highlight w:val="none"/>
        </w:rPr>
        <w:instrText xml:space="preserve"> = 8 \* GB3 \* MERGEFORMAT </w:instrText>
      </w:r>
      <w:r>
        <w:rPr>
          <w:rFonts w:hint="eastAsia" w:ascii="Calibri" w:hAnsi="宋体"/>
          <w:color w:val="auto"/>
          <w:kern w:val="0"/>
          <w:highlight w:val="none"/>
        </w:rPr>
        <w:fldChar w:fldCharType="separate"/>
      </w:r>
      <w:r>
        <w:rPr>
          <w:rFonts w:hint="eastAsia" w:ascii="宋体" w:hAnsi="宋体" w:cs="宋体"/>
          <w:color w:val="auto"/>
          <w:highlight w:val="none"/>
        </w:rPr>
        <w:t>⑧</w:t>
      </w:r>
      <w:r>
        <w:rPr>
          <w:rFonts w:hint="eastAsia" w:ascii="Calibri" w:hAnsi="宋体"/>
          <w:color w:val="auto"/>
          <w:kern w:val="0"/>
          <w:highlight w:val="none"/>
        </w:rPr>
        <w:fldChar w:fldCharType="end"/>
      </w:r>
      <w:r>
        <w:rPr>
          <w:rFonts w:hint="eastAsia" w:ascii="Calibri" w:hAnsi="宋体"/>
          <w:color w:val="auto"/>
          <w:kern w:val="0"/>
          <w:highlight w:val="none"/>
        </w:rPr>
        <w:t>承包人生活设施及施工场地，应自费配备消防设备，防止火灾等应急事件发生。</w:t>
      </w:r>
    </w:p>
    <w:p w14:paraId="733C0018">
      <w:pPr>
        <w:spacing w:line="360" w:lineRule="auto"/>
        <w:ind w:firstLine="420" w:firstLineChars="200"/>
        <w:jc w:val="left"/>
        <w:rPr>
          <w:rFonts w:ascii="Calibri" w:hAnsi="宋体"/>
          <w:color w:val="auto"/>
          <w:kern w:val="0"/>
          <w:highlight w:val="none"/>
        </w:rPr>
      </w:pPr>
      <w:r>
        <w:rPr>
          <w:rFonts w:hint="eastAsia" w:ascii="Calibri" w:hAnsi="宋体"/>
          <w:color w:val="auto"/>
          <w:kern w:val="0"/>
          <w:highlight w:val="none"/>
        </w:rPr>
        <w:fldChar w:fldCharType="begin"/>
      </w:r>
      <w:r>
        <w:rPr>
          <w:rFonts w:hint="eastAsia" w:ascii="Calibri" w:hAnsi="宋体"/>
          <w:color w:val="auto"/>
          <w:kern w:val="0"/>
          <w:highlight w:val="none"/>
        </w:rPr>
        <w:instrText xml:space="preserve"> = 9 \* GB3 \* MERGEFORMAT </w:instrText>
      </w:r>
      <w:r>
        <w:rPr>
          <w:rFonts w:hint="eastAsia" w:ascii="Calibri" w:hAnsi="宋体"/>
          <w:color w:val="auto"/>
          <w:kern w:val="0"/>
          <w:highlight w:val="none"/>
        </w:rPr>
        <w:fldChar w:fldCharType="separate"/>
      </w:r>
      <w:r>
        <w:rPr>
          <w:rFonts w:hint="eastAsia" w:ascii="宋体" w:hAnsi="宋体" w:cs="宋体"/>
          <w:color w:val="auto"/>
          <w:highlight w:val="none"/>
        </w:rPr>
        <w:t>⑨</w:t>
      </w:r>
      <w:r>
        <w:rPr>
          <w:rFonts w:hint="eastAsia" w:ascii="Calibri" w:hAnsi="宋体"/>
          <w:color w:val="auto"/>
          <w:kern w:val="0"/>
          <w:highlight w:val="none"/>
        </w:rPr>
        <w:fldChar w:fldCharType="end"/>
      </w:r>
      <w:r>
        <w:rPr>
          <w:rFonts w:hint="eastAsia" w:ascii="Calibri" w:hAnsi="宋体"/>
          <w:color w:val="auto"/>
          <w:kern w:val="0"/>
          <w:highlight w:val="none"/>
        </w:rPr>
        <w:t>经过城市道路的施工车辆，必须按交警、城管、运输等部门相关规定执行。由于施工车辆造成的道路、环境等污染，其责任和费用均由承包人承担。</w:t>
      </w:r>
    </w:p>
    <w:p w14:paraId="2AA30BAD">
      <w:pPr>
        <w:spacing w:line="360" w:lineRule="auto"/>
        <w:ind w:firstLine="420" w:firstLineChars="200"/>
        <w:jc w:val="left"/>
        <w:rPr>
          <w:rFonts w:ascii="Calibri" w:hAnsi="宋体"/>
          <w:color w:val="auto"/>
          <w:kern w:val="0"/>
          <w:highlight w:val="none"/>
        </w:rPr>
      </w:pPr>
      <w:r>
        <w:rPr>
          <w:rFonts w:hint="eastAsia" w:ascii="Calibri" w:hAnsi="宋体"/>
          <w:color w:val="auto"/>
          <w:kern w:val="0"/>
          <w:highlight w:val="none"/>
        </w:rPr>
        <w:fldChar w:fldCharType="begin"/>
      </w:r>
      <w:r>
        <w:rPr>
          <w:rFonts w:hint="eastAsia" w:ascii="Calibri" w:hAnsi="宋体"/>
          <w:color w:val="auto"/>
          <w:kern w:val="0"/>
          <w:highlight w:val="none"/>
        </w:rPr>
        <w:instrText xml:space="preserve"> = 10 \* GB3 \* MERGEFORMAT </w:instrText>
      </w:r>
      <w:r>
        <w:rPr>
          <w:rFonts w:hint="eastAsia" w:ascii="Calibri" w:hAnsi="宋体"/>
          <w:color w:val="auto"/>
          <w:kern w:val="0"/>
          <w:highlight w:val="none"/>
        </w:rPr>
        <w:fldChar w:fldCharType="separate"/>
      </w:r>
      <w:r>
        <w:rPr>
          <w:rFonts w:hint="eastAsia" w:ascii="宋体" w:hAnsi="宋体" w:cs="宋体"/>
          <w:color w:val="auto"/>
          <w:highlight w:val="none"/>
        </w:rPr>
        <w:t>⑩</w:t>
      </w:r>
      <w:r>
        <w:rPr>
          <w:rFonts w:hint="eastAsia" w:ascii="Calibri" w:hAnsi="宋体"/>
          <w:color w:val="auto"/>
          <w:kern w:val="0"/>
          <w:highlight w:val="none"/>
        </w:rPr>
        <w:fldChar w:fldCharType="end"/>
      </w:r>
      <w:r>
        <w:rPr>
          <w:rFonts w:ascii="Calibri" w:hAnsi="Calibri"/>
          <w:color w:val="auto"/>
          <w:szCs w:val="22"/>
          <w:highlight w:val="none"/>
        </w:rPr>
        <w:t>周边建筑物及设施取证工作由承包人负责</w:t>
      </w:r>
      <w:r>
        <w:rPr>
          <w:rFonts w:hint="eastAsia" w:ascii="Calibri" w:hAnsi="Calibri"/>
          <w:color w:val="auto"/>
          <w:szCs w:val="22"/>
          <w:highlight w:val="none"/>
        </w:rPr>
        <w:t>，</w:t>
      </w:r>
      <w:r>
        <w:rPr>
          <w:rFonts w:hint="eastAsia" w:ascii="Calibri" w:hAnsi="宋体"/>
          <w:color w:val="auto"/>
          <w:kern w:val="0"/>
          <w:highlight w:val="none"/>
        </w:rPr>
        <w:t>承包人应采用切实可行的必要措施及施工工艺确保工程周边房屋及其他设施的安全、稳固，相关费用在措施费中自行考虑。</w:t>
      </w:r>
    </w:p>
    <w:p w14:paraId="24E1BD7A">
      <w:pPr>
        <w:spacing w:line="360" w:lineRule="auto"/>
        <w:ind w:firstLine="420" w:firstLineChars="200"/>
        <w:jc w:val="left"/>
        <w:rPr>
          <w:rFonts w:ascii="Calibri" w:hAnsi="宋体"/>
          <w:color w:val="auto"/>
          <w:kern w:val="0"/>
          <w:highlight w:val="none"/>
        </w:rPr>
      </w:pPr>
      <w:r>
        <w:rPr>
          <w:rFonts w:ascii="Cambria Math" w:hAnsi="Cambria Math" w:cs="Cambria Math"/>
          <w:color w:val="auto"/>
          <w:szCs w:val="22"/>
          <w:highlight w:val="none"/>
        </w:rPr>
        <w:t>⑪</w:t>
      </w:r>
      <w:r>
        <w:rPr>
          <w:rFonts w:hint="eastAsia" w:ascii="宋体" w:hAnsi="宋体" w:cs="宋体"/>
          <w:color w:val="auto"/>
          <w:kern w:val="0"/>
          <w:highlight w:val="none"/>
        </w:rPr>
        <w:t>承包人应接受发包人及相关部门的管理、监督、检查和指导，积极主动配合发包人的工作；接受发包人及相</w:t>
      </w:r>
      <w:r>
        <w:rPr>
          <w:rFonts w:hint="eastAsia" w:ascii="Calibri" w:hAnsi="宋体"/>
          <w:color w:val="auto"/>
          <w:kern w:val="0"/>
          <w:highlight w:val="none"/>
        </w:rPr>
        <w:t>关部门的随时检查，检查内容包括其设备、材料保管、使用情况，及其操作人员的有效证件、持证上岗情况等。</w:t>
      </w:r>
    </w:p>
    <w:p w14:paraId="3E8AE212">
      <w:pPr>
        <w:spacing w:line="360" w:lineRule="auto"/>
        <w:ind w:firstLine="420" w:firstLineChars="200"/>
        <w:jc w:val="left"/>
        <w:rPr>
          <w:rFonts w:ascii="Calibri" w:hAnsi="宋体"/>
          <w:color w:val="auto"/>
          <w:kern w:val="0"/>
          <w:highlight w:val="none"/>
        </w:rPr>
      </w:pPr>
      <w:r>
        <w:rPr>
          <w:rFonts w:ascii="Cambria Math" w:hAnsi="Cambria Math" w:cs="Cambria Math"/>
          <w:color w:val="auto"/>
          <w:kern w:val="0"/>
          <w:highlight w:val="none"/>
        </w:rPr>
        <w:t>⑫</w:t>
      </w:r>
      <w:r>
        <w:rPr>
          <w:rFonts w:hint="eastAsia" w:ascii="宋体" w:hAnsi="宋体" w:cs="宋体"/>
          <w:color w:val="auto"/>
          <w:kern w:val="0"/>
          <w:highlight w:val="none"/>
        </w:rPr>
        <w:t>承包人应按照规范、合同的要求做好现场安全文明施工，保持施工现场的路容整洁、美观，并做好弃方、排水、排污处理等环保工作。由于承包人施工方法不当，或者承包人处理措施不当或不及时或力度不够或承包人的故意行为，所造成的地面作物、沟渠、房舍、道路的损害或者污染等，由此而引起的一切赔偿、诉讼、诉讼费、指控费及其他开支，全部由承包人负责。</w:t>
      </w:r>
    </w:p>
    <w:p w14:paraId="08DBD36E">
      <w:pPr>
        <w:spacing w:line="360" w:lineRule="auto"/>
        <w:ind w:firstLine="420" w:firstLineChars="200"/>
        <w:jc w:val="left"/>
        <w:rPr>
          <w:rFonts w:ascii="Calibri" w:hAnsi="宋体"/>
          <w:color w:val="auto"/>
          <w:kern w:val="0"/>
          <w:highlight w:val="none"/>
        </w:rPr>
      </w:pPr>
      <w:r>
        <w:rPr>
          <w:rFonts w:ascii="Cambria Math" w:hAnsi="Cambria Math" w:cs="Cambria Math"/>
          <w:color w:val="auto"/>
          <w:kern w:val="0"/>
          <w:highlight w:val="none"/>
        </w:rPr>
        <w:t>⑬</w:t>
      </w:r>
      <w:r>
        <w:rPr>
          <w:rFonts w:hint="eastAsia" w:ascii="宋体" w:hAnsi="宋体" w:cs="宋体"/>
          <w:color w:val="auto"/>
          <w:kern w:val="0"/>
          <w:highlight w:val="none"/>
        </w:rPr>
        <w:t>施工期间因承包人责任造成承包人雇用的任何人或第三方人员人身死亡或致伤、或财产损失</w:t>
      </w:r>
      <w:r>
        <w:rPr>
          <w:rFonts w:hint="eastAsia" w:ascii="Calibri" w:hAnsi="宋体"/>
          <w:color w:val="auto"/>
          <w:kern w:val="0"/>
          <w:highlight w:val="none"/>
        </w:rPr>
        <w:t>；以及上述伤亡或财产的损失是在实施和完成工程及修复工程中任何缺陷的过程中发生或引起的，与此有关的索赔、诉讼、损害赔偿、诉讼费、指控费及其他开支，造成的全部损失由承包人负责。承包人必须按要求购买工程一切险和第三者责任险，如果涉及到人身保险索赔事宜，承包人协助发包人向有关部门理赔。</w:t>
      </w:r>
    </w:p>
    <w:p w14:paraId="0A12A499">
      <w:pPr>
        <w:spacing w:line="360" w:lineRule="auto"/>
        <w:ind w:firstLine="420" w:firstLineChars="200"/>
        <w:jc w:val="left"/>
        <w:rPr>
          <w:rFonts w:ascii="Calibri" w:hAnsi="宋体"/>
          <w:color w:val="auto"/>
          <w:kern w:val="0"/>
          <w:highlight w:val="none"/>
        </w:rPr>
      </w:pPr>
      <w:r>
        <w:rPr>
          <w:rFonts w:ascii="Cambria Math" w:hAnsi="Cambria Math" w:cs="Cambria Math"/>
          <w:color w:val="auto"/>
          <w:kern w:val="0"/>
          <w:highlight w:val="none"/>
        </w:rPr>
        <w:t>⑭</w:t>
      </w:r>
      <w:r>
        <w:rPr>
          <w:rFonts w:hint="eastAsia" w:ascii="宋体" w:hAnsi="宋体" w:cs="宋体"/>
          <w:color w:val="auto"/>
          <w:kern w:val="0"/>
          <w:highlight w:val="none"/>
        </w:rPr>
        <w:t>根据标准建设工程级驻地建设标准化的要求，路段可视范围内，承包人须修建必要的便道、便桥以及排水排污、清洁等临时工程，负责工程施工相关的临时用地征用、拆迁、清理场地、复耕处理等事宜，保证工程施工范围内以及进出场地的道路畅通及正常施工，</w:t>
      </w:r>
      <w:r>
        <w:rPr>
          <w:rFonts w:hint="eastAsia" w:ascii="Calibri" w:hAnsi="宋体"/>
          <w:color w:val="auto"/>
          <w:kern w:val="0"/>
          <w:highlight w:val="none"/>
        </w:rPr>
        <w:t>并承担相应的费用，相关费用已含在投标报价中不再另行计价。</w:t>
      </w:r>
    </w:p>
    <w:p w14:paraId="6A2D4E55">
      <w:pPr>
        <w:spacing w:line="360" w:lineRule="auto"/>
        <w:ind w:firstLine="420" w:firstLineChars="200"/>
        <w:rPr>
          <w:color w:val="auto"/>
          <w:kern w:val="0"/>
          <w:highlight w:val="none"/>
        </w:rPr>
      </w:pPr>
      <w:r>
        <w:rPr>
          <w:rFonts w:ascii="Cambria Math" w:hAnsi="Cambria Math" w:cs="Cambria Math"/>
          <w:color w:val="auto"/>
          <w:kern w:val="0"/>
          <w:highlight w:val="none"/>
        </w:rPr>
        <w:t>⑮</w:t>
      </w:r>
      <w:r>
        <w:rPr>
          <w:rFonts w:hint="eastAsia" w:ascii="宋体" w:hAnsi="宋体" w:cs="宋体"/>
          <w:color w:val="auto"/>
          <w:kern w:val="0"/>
          <w:highlight w:val="none"/>
        </w:rPr>
        <w:t>涉及运距调整的，承包人需提供调整原因，调整的消纳场位置、参建各方现场实测记录及线路图等相关资料，及运距调整增减的预算费用，报建设单位等相关单位审批。</w:t>
      </w:r>
    </w:p>
    <w:p w14:paraId="4D8B2CF1">
      <w:pPr>
        <w:keepNext/>
        <w:keepLines/>
        <w:spacing w:line="600" w:lineRule="exact"/>
        <w:ind w:firstLine="643" w:firstLineChars="200"/>
        <w:outlineLvl w:val="2"/>
        <w:rPr>
          <w:b/>
          <w:bCs/>
          <w:color w:val="auto"/>
          <w:sz w:val="32"/>
          <w:szCs w:val="32"/>
          <w:highlight w:val="none"/>
        </w:rPr>
      </w:pPr>
      <w:bookmarkStart w:id="301" w:name="_Toc373227708"/>
      <w:bookmarkStart w:id="302" w:name="_Toc407135210"/>
      <w:bookmarkStart w:id="303" w:name="_Toc389065274"/>
      <w:bookmarkStart w:id="304" w:name="_Toc1659520837"/>
      <w:bookmarkStart w:id="305" w:name="_Toc501741485"/>
      <w:bookmarkStart w:id="306" w:name="_Toc78449796"/>
      <w:bookmarkStart w:id="307" w:name="_Toc373478355"/>
      <w:r>
        <w:rPr>
          <w:b/>
          <w:bCs/>
          <w:color w:val="auto"/>
          <w:sz w:val="32"/>
          <w:szCs w:val="32"/>
          <w:highlight w:val="none"/>
        </w:rPr>
        <w:t xml:space="preserve">3.2 </w:t>
      </w:r>
      <w:r>
        <w:rPr>
          <w:rFonts w:hint="eastAsia" w:hAnsi="宋体" w:cs="黑体"/>
          <w:b/>
          <w:bCs/>
          <w:color w:val="auto"/>
          <w:sz w:val="32"/>
          <w:szCs w:val="32"/>
          <w:highlight w:val="none"/>
        </w:rPr>
        <w:t>项目经理</w:t>
      </w:r>
      <w:bookmarkEnd w:id="301"/>
      <w:bookmarkEnd w:id="302"/>
      <w:bookmarkEnd w:id="303"/>
      <w:bookmarkEnd w:id="304"/>
      <w:bookmarkEnd w:id="305"/>
      <w:bookmarkEnd w:id="306"/>
      <w:bookmarkEnd w:id="307"/>
    </w:p>
    <w:p w14:paraId="55C986D1">
      <w:pPr>
        <w:spacing w:line="360" w:lineRule="auto"/>
        <w:ind w:firstLine="420" w:firstLineChars="200"/>
        <w:rPr>
          <w:color w:val="auto"/>
          <w:highlight w:val="none"/>
        </w:rPr>
      </w:pPr>
      <w:r>
        <w:rPr>
          <w:color w:val="auto"/>
          <w:kern w:val="0"/>
          <w:highlight w:val="none"/>
        </w:rPr>
        <w:t xml:space="preserve">3.2.1 </w:t>
      </w:r>
      <w:r>
        <w:rPr>
          <w:rFonts w:hint="eastAsia" w:hAnsi="宋体" w:cs="宋体"/>
          <w:color w:val="auto"/>
          <w:highlight w:val="none"/>
        </w:rPr>
        <w:t>项目经理：</w:t>
      </w:r>
    </w:p>
    <w:p w14:paraId="6DED72EF">
      <w:pPr>
        <w:spacing w:line="360" w:lineRule="auto"/>
        <w:ind w:firstLine="420" w:firstLineChars="200"/>
        <w:rPr>
          <w:color w:val="auto"/>
          <w:highlight w:val="none"/>
        </w:rPr>
      </w:pPr>
      <w:r>
        <w:rPr>
          <w:rFonts w:hAnsi="宋体"/>
          <w:color w:val="auto"/>
          <w:highlight w:val="none"/>
        </w:rPr>
        <w:t>姓名：；</w:t>
      </w:r>
    </w:p>
    <w:p w14:paraId="4321D0AA">
      <w:pPr>
        <w:spacing w:line="360" w:lineRule="auto"/>
        <w:ind w:firstLine="420" w:firstLineChars="200"/>
        <w:rPr>
          <w:color w:val="auto"/>
          <w:highlight w:val="none"/>
        </w:rPr>
      </w:pPr>
      <w:r>
        <w:rPr>
          <w:rFonts w:hAnsi="宋体"/>
          <w:color w:val="auto"/>
          <w:highlight w:val="none"/>
        </w:rPr>
        <w:t>身份证号：；</w:t>
      </w:r>
    </w:p>
    <w:p w14:paraId="4E143F25">
      <w:pPr>
        <w:spacing w:line="360" w:lineRule="auto"/>
        <w:ind w:firstLine="420" w:firstLineChars="200"/>
        <w:rPr>
          <w:color w:val="auto"/>
          <w:highlight w:val="none"/>
        </w:rPr>
      </w:pPr>
      <w:r>
        <w:rPr>
          <w:rFonts w:hAnsi="宋体"/>
          <w:color w:val="auto"/>
          <w:highlight w:val="none"/>
        </w:rPr>
        <w:t>建造师执业资格等级：；</w:t>
      </w:r>
    </w:p>
    <w:p w14:paraId="4C703BF7">
      <w:pPr>
        <w:spacing w:line="360" w:lineRule="auto"/>
        <w:ind w:firstLine="420" w:firstLineChars="200"/>
        <w:rPr>
          <w:color w:val="auto"/>
          <w:highlight w:val="none"/>
        </w:rPr>
      </w:pPr>
      <w:r>
        <w:rPr>
          <w:rFonts w:hAnsi="宋体"/>
          <w:color w:val="auto"/>
          <w:highlight w:val="none"/>
        </w:rPr>
        <w:t>建造师注册证书号：；</w:t>
      </w:r>
    </w:p>
    <w:p w14:paraId="4EC4D29E">
      <w:pPr>
        <w:spacing w:line="360" w:lineRule="auto"/>
        <w:ind w:firstLine="420" w:firstLineChars="200"/>
        <w:rPr>
          <w:rFonts w:hAnsi="宋体"/>
          <w:color w:val="auto"/>
          <w:highlight w:val="none"/>
        </w:rPr>
      </w:pPr>
      <w:r>
        <w:rPr>
          <w:rFonts w:hAnsi="宋体"/>
          <w:color w:val="auto"/>
          <w:highlight w:val="none"/>
        </w:rPr>
        <w:t>安全生产考核合格证书号：；</w:t>
      </w:r>
    </w:p>
    <w:p w14:paraId="6451188D">
      <w:pPr>
        <w:spacing w:line="360" w:lineRule="auto"/>
        <w:ind w:firstLine="420" w:firstLineChars="200"/>
        <w:rPr>
          <w:color w:val="auto"/>
          <w:highlight w:val="none"/>
        </w:rPr>
      </w:pPr>
      <w:r>
        <w:rPr>
          <w:rFonts w:hAnsi="宋体"/>
          <w:color w:val="auto"/>
          <w:highlight w:val="none"/>
        </w:rPr>
        <w:t>联系电话：；</w:t>
      </w:r>
    </w:p>
    <w:p w14:paraId="3A14FE32">
      <w:pPr>
        <w:spacing w:line="360" w:lineRule="auto"/>
        <w:ind w:firstLine="420" w:firstLineChars="200"/>
        <w:rPr>
          <w:color w:val="auto"/>
          <w:highlight w:val="none"/>
        </w:rPr>
      </w:pPr>
      <w:r>
        <w:rPr>
          <w:rFonts w:hAnsi="宋体"/>
          <w:color w:val="auto"/>
          <w:highlight w:val="none"/>
        </w:rPr>
        <w:t>电子信箱：；</w:t>
      </w:r>
    </w:p>
    <w:p w14:paraId="07CB3B45">
      <w:pPr>
        <w:spacing w:line="360" w:lineRule="auto"/>
        <w:ind w:firstLine="420" w:firstLineChars="200"/>
        <w:rPr>
          <w:rFonts w:hAnsi="宋体"/>
          <w:color w:val="auto"/>
          <w:highlight w:val="none"/>
        </w:rPr>
      </w:pPr>
      <w:r>
        <w:rPr>
          <w:rFonts w:hAnsi="宋体"/>
          <w:color w:val="auto"/>
          <w:highlight w:val="none"/>
        </w:rPr>
        <w:t>通信地址：；</w:t>
      </w:r>
    </w:p>
    <w:p w14:paraId="5488A77D">
      <w:pPr>
        <w:spacing w:line="360" w:lineRule="auto"/>
        <w:ind w:firstLine="422" w:firstLineChars="200"/>
        <w:rPr>
          <w:color w:val="auto"/>
          <w:highlight w:val="none"/>
        </w:rPr>
      </w:pPr>
      <w:r>
        <w:rPr>
          <w:rFonts w:hint="eastAsia" w:hAnsi="宋体" w:cs="宋体"/>
          <w:b/>
          <w:bCs/>
          <w:color w:val="auto"/>
          <w:highlight w:val="none"/>
        </w:rPr>
        <w:t>承包人对项目经理的授权范围如下：</w:t>
      </w:r>
      <w:r>
        <w:rPr>
          <w:rFonts w:hint="eastAsia" w:ascii="Calibri" w:hAnsi="Calibri"/>
          <w:color w:val="auto"/>
          <w:highlight w:val="none"/>
          <w:u w:val="single"/>
        </w:rPr>
        <w:t>作为承包人在项目的授权代表，全面履行工程项目的建筑安装总承包管理职责，为工程参与各方做好协调和服务，在资金、质量、安全、环境保护、文明施工等。项目经理仅限于工程的现场施工管理，但未经承包人盖章同意，不得以承包人名义向外采购材料设备、租用建筑周转材料、雇用劳动力、签订分包合同等从事一切为承包人设立义务或责任的行为；承包人应内部管理好项目经理、其他雇员以及分包单位人员等与工程施工有关人员，否则由此导致的责任均由承包人承担</w:t>
      </w:r>
      <w:r>
        <w:rPr>
          <w:rFonts w:hint="eastAsia" w:hAnsi="宋体" w:cs="宋体"/>
          <w:color w:val="auto"/>
          <w:highlight w:val="none"/>
        </w:rPr>
        <w:t>。</w:t>
      </w:r>
    </w:p>
    <w:p w14:paraId="28C2DD51">
      <w:pPr>
        <w:spacing w:line="360" w:lineRule="auto"/>
        <w:ind w:firstLine="422" w:firstLineChars="200"/>
        <w:jc w:val="left"/>
        <w:rPr>
          <w:color w:val="auto"/>
          <w:kern w:val="0"/>
          <w:highlight w:val="none"/>
        </w:rPr>
      </w:pPr>
      <w:r>
        <w:rPr>
          <w:rFonts w:hint="eastAsia" w:hAnsi="宋体" w:cs="宋体"/>
          <w:b/>
          <w:bCs/>
          <w:color w:val="auto"/>
          <w:kern w:val="0"/>
          <w:highlight w:val="none"/>
        </w:rPr>
        <w:t>关于项目经理每月在施工现场的时间要求：</w:t>
      </w:r>
      <w:r>
        <w:rPr>
          <w:rFonts w:hint="eastAsia" w:hAnsi="宋体" w:cs="宋体"/>
          <w:b w:val="0"/>
          <w:bCs w:val="0"/>
          <w:color w:val="auto"/>
          <w:kern w:val="0"/>
          <w:highlight w:val="none"/>
          <w:u w:val="single"/>
        </w:rPr>
        <w:t>项目经理每月在岗带班时间不得少于当月施工时间的80%</w:t>
      </w:r>
      <w:r>
        <w:rPr>
          <w:rFonts w:hint="eastAsia" w:hAnsi="宋体" w:cs="宋体"/>
          <w:color w:val="auto"/>
          <w:highlight w:val="none"/>
        </w:rPr>
        <w:t>。</w:t>
      </w:r>
    </w:p>
    <w:p w14:paraId="3BBF2C2A">
      <w:pPr>
        <w:spacing w:line="360" w:lineRule="auto"/>
        <w:ind w:firstLine="422" w:firstLineChars="200"/>
        <w:rPr>
          <w:color w:val="auto"/>
          <w:kern w:val="0"/>
          <w:highlight w:val="none"/>
        </w:rPr>
      </w:pPr>
      <w:r>
        <w:rPr>
          <w:rFonts w:hint="eastAsia" w:hAnsi="宋体" w:cs="宋体"/>
          <w:b/>
          <w:bCs/>
          <w:color w:val="auto"/>
          <w:kern w:val="0"/>
          <w:highlight w:val="none"/>
        </w:rPr>
        <w:t>承包人未提交劳动合同，以及没有为项目经理缴纳社会保险证明的违约责任：</w:t>
      </w:r>
      <w:r>
        <w:rPr>
          <w:rFonts w:hint="eastAsia" w:ascii="Calibri" w:hAnsi="宋体"/>
          <w:color w:val="auto"/>
          <w:highlight w:val="none"/>
          <w:u w:val="single"/>
        </w:rPr>
        <w:t>承包人应向发包人支付8000元的违约金，发包人有权责令承包人限期提交劳动合同并补缴社会保险，如逾期不提交劳动合同或不补缴社会保险的，视为承包人违约，承包人应从发包人责令其提交合同或补缴社会保险（以先出现的时间为准）之日起，按2000元/天的标准向发包人支付违约金</w:t>
      </w:r>
      <w:r>
        <w:rPr>
          <w:rFonts w:hint="eastAsia" w:hAnsi="宋体" w:cs="宋体"/>
          <w:color w:val="auto"/>
          <w:highlight w:val="none"/>
        </w:rPr>
        <w:t>。</w:t>
      </w:r>
    </w:p>
    <w:p w14:paraId="02C5A8D0">
      <w:pPr>
        <w:spacing w:line="360" w:lineRule="auto"/>
        <w:ind w:firstLine="422" w:firstLineChars="200"/>
        <w:rPr>
          <w:color w:val="auto"/>
          <w:highlight w:val="none"/>
          <w:u w:val="single"/>
        </w:rPr>
      </w:pPr>
      <w:r>
        <w:rPr>
          <w:rFonts w:hint="eastAsia" w:hAnsi="宋体" w:cs="宋体"/>
          <w:b/>
          <w:bCs/>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rFonts w:hint="eastAsia" w:ascii="Calibri" w:hAnsi="Calibri"/>
          <w:color w:val="auto"/>
          <w:highlight w:val="none"/>
          <w:u w:val="single"/>
        </w:rPr>
        <w:t>2000</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10765E1A">
      <w:pPr>
        <w:adjustRightInd w:val="0"/>
        <w:snapToGrid w:val="0"/>
        <w:spacing w:line="460" w:lineRule="exact"/>
        <w:ind w:firstLine="422" w:firstLineChars="200"/>
        <w:jc w:val="left"/>
        <w:rPr>
          <w:color w:val="auto"/>
          <w:highlight w:val="none"/>
        </w:rPr>
      </w:pPr>
      <w:r>
        <w:rPr>
          <w:b/>
          <w:bCs/>
          <w:color w:val="auto"/>
          <w:highlight w:val="none"/>
        </w:rPr>
        <w:t xml:space="preserve">3.2.3 </w:t>
      </w:r>
      <w:r>
        <w:rPr>
          <w:rFonts w:hint="eastAsia" w:hAnsi="宋体" w:cs="宋体"/>
          <w:b/>
          <w:bCs/>
          <w:color w:val="auto"/>
          <w:highlight w:val="none"/>
        </w:rPr>
        <w:t>承包人擅自更换项目经理的违约责任：</w:t>
      </w:r>
      <w:r>
        <w:rPr>
          <w:rFonts w:hint="eastAsia" w:ascii="Calibri" w:hAnsi="宋体"/>
          <w:color w:val="auto"/>
          <w:highlight w:val="none"/>
          <w:u w:val="single"/>
        </w:rPr>
        <w:t>承包人方在投标时确定的项目负责人、项目经理及项目技术负责人、专职安全员等主要管理人员，承包人方不得随意更改。如未经发包人同意擅自更换项目经理，则予以20000元的处罚。承包人项目经理必须与承包人投标时所承诺的人员一致，并在（开工日期）前到任。在监理人向承包人颁发（竣工证明材料名称）前，项目经理不得同时兼任其他任何项目的项目经理。原项目经理如能够继续履行职责的，监理人应责令承包人撤销其更换决定，发包人有权要求审核确认承包人认更换的项目经理，由此增加的费用和（或）延误的工期由承包人承担</w:t>
      </w:r>
      <w:r>
        <w:rPr>
          <w:color w:val="auto"/>
          <w:highlight w:val="none"/>
        </w:rPr>
        <w:t>。</w:t>
      </w:r>
    </w:p>
    <w:p w14:paraId="72A13982">
      <w:pPr>
        <w:spacing w:line="360" w:lineRule="auto"/>
        <w:ind w:firstLine="420" w:firstLineChars="200"/>
        <w:rPr>
          <w:rFonts w:hAnsi="宋体" w:cs="宋体"/>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u w:val="single"/>
        </w:rPr>
        <w:t>因承包人项目经理不称职，发包人要求调换而未及时调换的，视为承包人违约，必须向发包人交纳处罚金</w:t>
      </w:r>
      <w:r>
        <w:rPr>
          <w:rFonts w:hint="eastAsia"/>
          <w:color w:val="auto"/>
          <w:highlight w:val="none"/>
          <w:u w:val="single"/>
        </w:rPr>
        <w:t>1000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15119B12">
      <w:pPr>
        <w:keepNext/>
        <w:keepLines/>
        <w:spacing w:line="600" w:lineRule="exact"/>
        <w:ind w:firstLine="643" w:firstLineChars="200"/>
        <w:outlineLvl w:val="2"/>
        <w:rPr>
          <w:b/>
          <w:bCs/>
          <w:color w:val="auto"/>
          <w:sz w:val="32"/>
          <w:szCs w:val="32"/>
          <w:highlight w:val="none"/>
        </w:rPr>
      </w:pPr>
      <w:bookmarkStart w:id="308" w:name="_Toc389065275"/>
      <w:bookmarkStart w:id="309" w:name="_Toc373227709"/>
      <w:bookmarkStart w:id="310" w:name="_Toc78449797"/>
      <w:bookmarkStart w:id="311" w:name="_Toc373478356"/>
      <w:bookmarkStart w:id="312" w:name="_Toc747710271"/>
      <w:bookmarkStart w:id="313" w:name="_Toc407135211"/>
      <w:bookmarkStart w:id="314" w:name="_Toc1443830486"/>
      <w:r>
        <w:rPr>
          <w:b/>
          <w:bCs/>
          <w:color w:val="auto"/>
          <w:sz w:val="32"/>
          <w:szCs w:val="32"/>
          <w:highlight w:val="none"/>
        </w:rPr>
        <w:t xml:space="preserve">3.3 </w:t>
      </w:r>
      <w:r>
        <w:rPr>
          <w:rFonts w:hint="eastAsia" w:hAnsi="宋体" w:cs="黑体"/>
          <w:b/>
          <w:bCs/>
          <w:color w:val="auto"/>
          <w:sz w:val="32"/>
          <w:szCs w:val="32"/>
          <w:highlight w:val="none"/>
        </w:rPr>
        <w:t>承包人人员</w:t>
      </w:r>
      <w:bookmarkEnd w:id="308"/>
      <w:bookmarkEnd w:id="309"/>
      <w:bookmarkEnd w:id="310"/>
      <w:bookmarkEnd w:id="311"/>
      <w:bookmarkEnd w:id="312"/>
      <w:bookmarkEnd w:id="313"/>
      <w:bookmarkEnd w:id="314"/>
    </w:p>
    <w:p w14:paraId="69E28C31">
      <w:pPr>
        <w:spacing w:line="360" w:lineRule="auto"/>
        <w:ind w:firstLine="420" w:firstLineChars="200"/>
        <w:rPr>
          <w:rFonts w:hAnsi="宋体"/>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承包人提交项目管理机构及施工现场管理人员安排报告（格式见合同附件</w:t>
      </w:r>
      <w:r>
        <w:rPr>
          <w:rFonts w:hAnsi="宋体"/>
          <w:color w:val="auto"/>
          <w:highlight w:val="none"/>
        </w:rPr>
        <w:t>6</w:t>
      </w:r>
      <w:r>
        <w:rPr>
          <w:rFonts w:hint="eastAsia" w:hAnsi="宋体" w:cs="宋体"/>
          <w:color w:val="auto"/>
          <w:highlight w:val="none"/>
        </w:rPr>
        <w:t>）的期限：</w:t>
      </w:r>
    </w:p>
    <w:p w14:paraId="073310D9">
      <w:pPr>
        <w:spacing w:line="360" w:lineRule="auto"/>
        <w:rPr>
          <w:color w:val="auto"/>
          <w:highlight w:val="none"/>
        </w:rPr>
      </w:pPr>
      <w:r>
        <w:rPr>
          <w:rFonts w:hint="eastAsia" w:ascii="Calibri" w:hAnsi="Calibri"/>
          <w:color w:val="auto"/>
          <w:highlight w:val="none"/>
          <w:u w:val="single"/>
        </w:rPr>
        <w:t>开工前 10 天</w:t>
      </w:r>
      <w:r>
        <w:rPr>
          <w:rFonts w:hint="eastAsia" w:hAnsi="宋体" w:cs="宋体"/>
          <w:color w:val="auto"/>
          <w:highlight w:val="none"/>
        </w:rPr>
        <w:t>。</w:t>
      </w:r>
    </w:p>
    <w:p w14:paraId="413B8304">
      <w:pPr>
        <w:spacing w:line="360" w:lineRule="auto"/>
        <w:ind w:firstLine="420" w:firstLineChars="200"/>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ascii="Calibri" w:hAnsi="宋体"/>
          <w:color w:val="auto"/>
          <w:highlight w:val="none"/>
          <w:u w:val="single"/>
        </w:rPr>
        <w:t>因承包人主要施工管理人员不称职，发包人要求调换而无正当理由拒绝撤换或未及时调换的，视为承包人违约，必须向发包人交纳处罚金，处罚标准：技术负责人3000元/人•次(人民币)；专业工程师 2000元/人•次(人民币)</w:t>
      </w:r>
      <w:r>
        <w:rPr>
          <w:rFonts w:hint="eastAsia" w:hAnsi="宋体" w:cs="宋体"/>
          <w:color w:val="auto"/>
          <w:highlight w:val="none"/>
        </w:rPr>
        <w:t>。</w:t>
      </w:r>
    </w:p>
    <w:p w14:paraId="3F40C6FB">
      <w:pPr>
        <w:spacing w:line="360" w:lineRule="auto"/>
        <w:ind w:firstLine="420" w:firstLineChars="200"/>
        <w:rPr>
          <w:color w:val="auto"/>
          <w:highlight w:val="none"/>
          <w:u w:val="single"/>
        </w:rPr>
      </w:pPr>
      <w:r>
        <w:rPr>
          <w:color w:val="auto"/>
          <w:highlight w:val="none"/>
        </w:rPr>
        <w:t xml:space="preserve">3.3.4 </w:t>
      </w:r>
      <w:r>
        <w:rPr>
          <w:rFonts w:hint="eastAsia" w:hAnsi="宋体" w:cs="宋体"/>
          <w:color w:val="auto"/>
          <w:highlight w:val="none"/>
        </w:rPr>
        <w:t>承包人主要施工管理人员离开施工现场的批准要求：</w:t>
      </w:r>
      <w:r>
        <w:rPr>
          <w:rFonts w:hint="eastAsia" w:ascii="Calibri" w:hAnsi="Calibri"/>
          <w:color w:val="auto"/>
          <w:highlight w:val="none"/>
          <w:u w:val="single"/>
        </w:rPr>
        <w:t>须经发包人书面同意</w:t>
      </w:r>
      <w:r>
        <w:rPr>
          <w:rFonts w:hint="eastAsia" w:hAnsi="宋体" w:cs="宋体"/>
          <w:color w:val="auto"/>
          <w:highlight w:val="none"/>
        </w:rPr>
        <w:t>。</w:t>
      </w:r>
    </w:p>
    <w:p w14:paraId="298859BA">
      <w:pPr>
        <w:spacing w:line="360" w:lineRule="auto"/>
        <w:ind w:firstLine="420" w:firstLineChars="200"/>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ascii="Calibri" w:hAnsi="宋体"/>
          <w:color w:val="auto"/>
          <w:highlight w:val="none"/>
          <w:u w:val="single"/>
        </w:rPr>
        <w:t>项目技术负责人、专职安全员及其承诺的其它在场管理人员未经发包人书面同意不准擅自更换，擅自更换项目技术负责人处2000元/人•次（人民币）违约金；擅自更换专职安全员处2000元/人•次（人民币）违约金；擅自更换其它在场管理人员处1000元/人•次（人民币）违约金</w:t>
      </w:r>
      <w:r>
        <w:rPr>
          <w:rFonts w:hint="eastAsia" w:hAnsi="宋体" w:cs="宋体"/>
          <w:color w:val="auto"/>
          <w:highlight w:val="none"/>
        </w:rPr>
        <w:t>。</w:t>
      </w:r>
    </w:p>
    <w:p w14:paraId="429F03BB">
      <w:pPr>
        <w:spacing w:line="360" w:lineRule="auto"/>
        <w:ind w:firstLine="420" w:firstLineChars="200"/>
        <w:rPr>
          <w:color w:val="auto"/>
          <w:highlight w:val="none"/>
        </w:rPr>
      </w:pPr>
      <w:r>
        <w:rPr>
          <w:rFonts w:hint="eastAsia" w:hAnsi="宋体" w:cs="宋体"/>
          <w:color w:val="auto"/>
          <w:highlight w:val="none"/>
        </w:rPr>
        <w:t>承包人主要施工管理人员擅自离开施工现场的违约责任：</w:t>
      </w:r>
      <w:r>
        <w:rPr>
          <w:rFonts w:hint="eastAsia" w:ascii="Calibri" w:hAnsi="宋体"/>
          <w:color w:val="auto"/>
          <w:highlight w:val="none"/>
          <w:u w:val="single"/>
        </w:rPr>
        <w:t>施工期间，未经发包人同意，技术负责人擅自离岗的，视为承包人违约，按照每天离岗次数（可按天累计）计算违约金，发包人有权处违约金3000元/人•次(人民币)；未经发包人同意，专业工程师擅自离岗的，视为承包人违约，发包人有权处违约金2000元/人•次(人民币)，其它在场管理人员擅自离岗的，视为承包人违约，发包人有权处违约金1000元/人•次（人民币）</w:t>
      </w:r>
      <w:r>
        <w:rPr>
          <w:rFonts w:hint="eastAsia" w:hAnsi="宋体" w:cs="宋体"/>
          <w:color w:val="auto"/>
          <w:highlight w:val="none"/>
        </w:rPr>
        <w:t>。</w:t>
      </w:r>
    </w:p>
    <w:p w14:paraId="46DDADC9">
      <w:pPr>
        <w:keepNext/>
        <w:keepLines/>
        <w:spacing w:line="600" w:lineRule="exact"/>
        <w:ind w:firstLine="643" w:firstLineChars="200"/>
        <w:outlineLvl w:val="2"/>
        <w:rPr>
          <w:b/>
          <w:bCs/>
          <w:color w:val="auto"/>
          <w:sz w:val="32"/>
          <w:szCs w:val="32"/>
          <w:highlight w:val="none"/>
        </w:rPr>
      </w:pPr>
      <w:bookmarkStart w:id="315" w:name="_Toc2025600126"/>
      <w:bookmarkStart w:id="316" w:name="_Toc373227710"/>
      <w:bookmarkStart w:id="317" w:name="_Toc389065276"/>
      <w:bookmarkStart w:id="318" w:name="_Toc373478357"/>
      <w:bookmarkStart w:id="319" w:name="_Toc2066279184"/>
      <w:bookmarkStart w:id="320" w:name="_Toc407135212"/>
      <w:bookmarkStart w:id="321" w:name="_Toc78449798"/>
      <w:r>
        <w:rPr>
          <w:b/>
          <w:bCs/>
          <w:color w:val="auto"/>
          <w:sz w:val="32"/>
          <w:szCs w:val="32"/>
          <w:highlight w:val="none"/>
        </w:rPr>
        <w:t>3</w:t>
      </w:r>
      <w:bookmarkStart w:id="322" w:name="_Toc297048345"/>
      <w:bookmarkStart w:id="323" w:name="_Toc296503159"/>
      <w:bookmarkStart w:id="324" w:name="_Toc296944498"/>
      <w:bookmarkStart w:id="325" w:name="_Toc297123492"/>
      <w:bookmarkStart w:id="326" w:name="_Toc297120459"/>
      <w:bookmarkStart w:id="327" w:name="_Toc304295523"/>
      <w:bookmarkStart w:id="328" w:name="_Toc303539102"/>
      <w:bookmarkStart w:id="329" w:name="_Toc300934945"/>
      <w:bookmarkStart w:id="330" w:name="_Toc296890987"/>
      <w:bookmarkStart w:id="331" w:name="_Toc296346660"/>
      <w:bookmarkStart w:id="332" w:name="_Toc296347158"/>
      <w:bookmarkStart w:id="333" w:name="_Toc312677988"/>
      <w:bookmarkStart w:id="334" w:name="_Toc296891199"/>
      <w:bookmarkStart w:id="335" w:name="_Toc292559869"/>
      <w:bookmarkStart w:id="336" w:name="_Toc292559364"/>
      <w:bookmarkStart w:id="337" w:name="_Toc297216151"/>
      <w:r>
        <w:rPr>
          <w:b/>
          <w:bCs/>
          <w:color w:val="auto"/>
          <w:sz w:val="32"/>
          <w:szCs w:val="32"/>
          <w:highlight w:val="none"/>
        </w:rPr>
        <w:t xml:space="preserve">.5 </w:t>
      </w:r>
      <w:r>
        <w:rPr>
          <w:rFonts w:hint="eastAsia" w:hAnsi="宋体" w:cs="黑体"/>
          <w:b/>
          <w:bCs/>
          <w:color w:val="auto"/>
          <w:sz w:val="32"/>
          <w:szCs w:val="32"/>
          <w:highlight w:val="none"/>
        </w:rPr>
        <w:t>分包</w:t>
      </w:r>
      <w:bookmarkEnd w:id="315"/>
      <w:bookmarkEnd w:id="316"/>
      <w:bookmarkEnd w:id="317"/>
      <w:bookmarkEnd w:id="318"/>
      <w:bookmarkEnd w:id="319"/>
      <w:bookmarkEnd w:id="320"/>
      <w:bookmarkEnd w:id="321"/>
    </w:p>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14:paraId="5C5FB563">
      <w:pPr>
        <w:spacing w:line="360" w:lineRule="auto"/>
        <w:ind w:firstLine="420" w:firstLineChars="200"/>
        <w:rPr>
          <w:color w:val="auto"/>
          <w:highlight w:val="none"/>
        </w:rPr>
      </w:pPr>
      <w:r>
        <w:rPr>
          <w:color w:val="auto"/>
          <w:highlight w:val="none"/>
        </w:rPr>
        <w:t>3</w:t>
      </w:r>
      <w:bookmarkStart w:id="338" w:name="_Toc297120460"/>
      <w:bookmarkStart w:id="339" w:name="_Toc296944499"/>
      <w:bookmarkStart w:id="340" w:name="_Toc296891200"/>
      <w:bookmarkStart w:id="341" w:name="_Toc296890988"/>
      <w:bookmarkStart w:id="342" w:name="_Toc292559365"/>
      <w:bookmarkStart w:id="343" w:name="_Toc300934946"/>
      <w:bookmarkStart w:id="344" w:name="_Toc297216152"/>
      <w:bookmarkStart w:id="345" w:name="_Toc303539103"/>
      <w:bookmarkStart w:id="346" w:name="_Toc318581158"/>
      <w:bookmarkStart w:id="347" w:name="_Toc297048346"/>
      <w:bookmarkStart w:id="348" w:name="_Toc312677989"/>
      <w:bookmarkStart w:id="349" w:name="_Toc304295524"/>
      <w:bookmarkStart w:id="350" w:name="_Toc297123493"/>
      <w:bookmarkStart w:id="351" w:name="_Toc292559870"/>
      <w:bookmarkStart w:id="352" w:name="_Toc296347159"/>
      <w:bookmarkStart w:id="353" w:name="_Toc296503160"/>
      <w:bookmarkStart w:id="354" w:name="_Toc296346661"/>
      <w:r>
        <w:rPr>
          <w:color w:val="auto"/>
          <w:highlight w:val="none"/>
        </w:rPr>
        <w:t xml:space="preserve">.5.1 </w:t>
      </w:r>
      <w:r>
        <w:rPr>
          <w:rFonts w:hint="eastAsia" w:hAnsi="宋体" w:cs="宋体"/>
          <w:color w:val="auto"/>
          <w:highlight w:val="none"/>
        </w:rPr>
        <w:t>分包的一般约定</w:t>
      </w:r>
    </w:p>
    <w:p w14:paraId="64AC4972">
      <w:pPr>
        <w:spacing w:line="360" w:lineRule="auto"/>
        <w:ind w:firstLine="420" w:firstLineChars="200"/>
        <w:jc w:val="left"/>
        <w:rPr>
          <w:color w:val="auto"/>
          <w:highlight w:val="none"/>
        </w:rPr>
      </w:pPr>
      <w:r>
        <w:rPr>
          <w:rFonts w:hint="eastAsia" w:hAnsi="宋体" w:cs="宋体"/>
          <w:color w:val="auto"/>
          <w:highlight w:val="none"/>
        </w:rPr>
        <w:t>禁止分包的工程包括：</w:t>
      </w:r>
      <w:r>
        <w:rPr>
          <w:rFonts w:hint="eastAsia" w:ascii="Calibri" w:hAnsi="宋体"/>
          <w:color w:val="auto"/>
          <w:highlight w:val="none"/>
          <w:u w:val="single"/>
        </w:rPr>
        <w:t>本工程不允许分包</w:t>
      </w:r>
      <w:r>
        <w:rPr>
          <w:rFonts w:hint="eastAsia" w:hAnsi="宋体" w:cs="宋体"/>
          <w:color w:val="auto"/>
          <w:highlight w:val="none"/>
        </w:rPr>
        <w:t>。</w:t>
      </w:r>
    </w:p>
    <w:p w14:paraId="7BAB0692">
      <w:pPr>
        <w:spacing w:line="360" w:lineRule="auto"/>
        <w:ind w:firstLine="420" w:firstLineChars="200"/>
        <w:jc w:val="left"/>
        <w:rPr>
          <w:rFonts w:hAnsi="宋体"/>
          <w:color w:val="auto"/>
          <w:highlight w:val="none"/>
        </w:rPr>
      </w:pPr>
      <w:r>
        <w:rPr>
          <w:rFonts w:hint="eastAsia" w:hAnsi="宋体" w:cs="宋体"/>
          <w:color w:val="auto"/>
          <w:highlight w:val="none"/>
        </w:rPr>
        <w:t>主体结构、关键性工作的范围：</w:t>
      </w:r>
      <w:r>
        <w:rPr>
          <w:rFonts w:hint="eastAsia" w:ascii="Calibri" w:hAnsi="宋体"/>
          <w:color w:val="auto"/>
          <w:highlight w:val="none"/>
          <w:u w:val="single"/>
        </w:rPr>
        <w:t>/</w:t>
      </w:r>
      <w:r>
        <w:rPr>
          <w:rFonts w:hint="eastAsia" w:hAnsi="宋体" w:cs="宋体"/>
          <w:color w:val="auto"/>
          <w:highlight w:val="none"/>
        </w:rPr>
        <w:t>。</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5426B2BA">
      <w:pPr>
        <w:spacing w:line="360" w:lineRule="auto"/>
        <w:ind w:firstLine="420" w:firstLineChars="200"/>
        <w:jc w:val="left"/>
        <w:rPr>
          <w:color w:val="auto"/>
          <w:highlight w:val="none"/>
        </w:rPr>
      </w:pPr>
      <w:r>
        <w:rPr>
          <w:color w:val="auto"/>
          <w:highlight w:val="none"/>
        </w:rPr>
        <w:t>3</w:t>
      </w:r>
      <w:bookmarkStart w:id="355" w:name="_Toc312677990"/>
      <w:bookmarkStart w:id="356" w:name="_Toc318581159"/>
      <w:r>
        <w:rPr>
          <w:color w:val="auto"/>
          <w:highlight w:val="none"/>
        </w:rPr>
        <w:t xml:space="preserve">.5.2 </w:t>
      </w:r>
      <w:r>
        <w:rPr>
          <w:rFonts w:hint="eastAsia" w:hAnsi="宋体" w:cs="宋体"/>
          <w:color w:val="auto"/>
          <w:highlight w:val="none"/>
        </w:rPr>
        <w:t>分包的确定</w:t>
      </w:r>
    </w:p>
    <w:p w14:paraId="6DB40BD4">
      <w:pPr>
        <w:spacing w:line="360" w:lineRule="auto"/>
        <w:ind w:firstLine="420" w:firstLineChars="200"/>
        <w:rPr>
          <w:color w:val="auto"/>
          <w:highlight w:val="none"/>
          <w:u w:val="single"/>
        </w:rPr>
      </w:pPr>
      <w:r>
        <w:rPr>
          <w:rFonts w:hint="eastAsia" w:hAnsi="宋体" w:cs="宋体"/>
          <w:color w:val="auto"/>
          <w:highlight w:val="none"/>
        </w:rPr>
        <w:t>允许分包的专业工程包括：</w:t>
      </w:r>
      <w:r>
        <w:rPr>
          <w:rFonts w:hint="eastAsia" w:ascii="Calibri" w:hAnsi="宋体"/>
          <w:color w:val="auto"/>
          <w:highlight w:val="none"/>
          <w:u w:val="single"/>
        </w:rPr>
        <w:t>所需分包的工程需经过经发包人书面同意</w:t>
      </w:r>
      <w:r>
        <w:rPr>
          <w:rFonts w:hint="eastAsia" w:hAnsi="宋体" w:cs="宋体"/>
          <w:color w:val="auto"/>
          <w:highlight w:val="none"/>
        </w:rPr>
        <w:t>。</w:t>
      </w:r>
    </w:p>
    <w:p w14:paraId="54B811E6">
      <w:pPr>
        <w:spacing w:line="360" w:lineRule="auto"/>
        <w:ind w:firstLine="420" w:firstLineChars="200"/>
        <w:rPr>
          <w:color w:val="auto"/>
          <w:highlight w:val="none"/>
        </w:rPr>
      </w:pPr>
      <w:r>
        <w:rPr>
          <w:rFonts w:hint="eastAsia" w:hAnsi="宋体" w:cs="宋体"/>
          <w:color w:val="auto"/>
          <w:highlight w:val="none"/>
        </w:rPr>
        <w:t>其他关于分包的约定：</w:t>
      </w:r>
    </w:p>
    <w:p w14:paraId="4D193807">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highlight w:val="none"/>
        </w:rPr>
        <w:t>6</w:t>
      </w:r>
      <w:r>
        <w:rPr>
          <w:rFonts w:hint="eastAsia" w:hAnsi="宋体" w:cs="宋体"/>
          <w:color w:val="auto"/>
          <w:highlight w:val="none"/>
        </w:rPr>
        <w:t>。</w:t>
      </w:r>
    </w:p>
    <w:p w14:paraId="13F79A4E">
      <w:pPr>
        <w:spacing w:line="360" w:lineRule="auto"/>
        <w:ind w:firstLine="420" w:firstLineChars="200"/>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14:paraId="648AFD14">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color w:val="auto"/>
          <w:highlight w:val="none"/>
        </w:rPr>
        <w:t>(</w:t>
      </w:r>
      <w:r>
        <w:rPr>
          <w:rFonts w:hint="eastAsia" w:hAnsi="宋体" w:cs="宋体"/>
          <w:color w:val="auto"/>
          <w:highlight w:val="none"/>
        </w:rPr>
        <w:t>或</w:t>
      </w:r>
      <w:r>
        <w:rPr>
          <w:color w:val="auto"/>
          <w:highlight w:val="none"/>
        </w:rPr>
        <w:t>)</w:t>
      </w:r>
      <w:r>
        <w:rPr>
          <w:rFonts w:hint="eastAsia" w:hAnsi="宋体" w:cs="宋体"/>
          <w:color w:val="auto"/>
          <w:highlight w:val="none"/>
        </w:rPr>
        <w:t>延误的工期由发包人承担。</w:t>
      </w:r>
    </w:p>
    <w:p w14:paraId="46F43321">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w:t>
      </w:r>
      <w:r>
        <w:rPr>
          <w:rFonts w:hint="eastAsia" w:hAnsi="宋体"/>
          <w:color w:val="auto"/>
          <w:szCs w:val="21"/>
          <w:highlight w:val="none"/>
        </w:rPr>
        <w:t>承包人有以下情况之一者，发包人有权解除合同：</w:t>
      </w:r>
    </w:p>
    <w:p w14:paraId="3FC648AA">
      <w:pPr>
        <w:spacing w:line="360" w:lineRule="auto"/>
        <w:ind w:firstLine="441" w:firstLineChars="210"/>
        <w:rPr>
          <w:color w:val="auto"/>
          <w:szCs w:val="21"/>
          <w:highlight w:val="none"/>
        </w:rPr>
      </w:pPr>
      <w:r>
        <w:rPr>
          <w:rFonts w:hint="eastAsia" w:hAnsi="宋体"/>
          <w:color w:val="auto"/>
          <w:szCs w:val="21"/>
          <w:highlight w:val="none"/>
        </w:rPr>
        <w:t>①个人承包工程，包括本人单位及外单位人员承包，发包人不承认其个人拥有任何资质等级及营业许可资格。</w:t>
      </w:r>
    </w:p>
    <w:p w14:paraId="776D3BF1">
      <w:pPr>
        <w:spacing w:line="360" w:lineRule="auto"/>
        <w:ind w:firstLine="441" w:firstLineChars="210"/>
        <w:rPr>
          <w:color w:val="auto"/>
          <w:szCs w:val="21"/>
          <w:highlight w:val="none"/>
        </w:rPr>
      </w:pPr>
      <w:r>
        <w:rPr>
          <w:rFonts w:hint="eastAsia" w:hAnsi="宋体"/>
          <w:color w:val="auto"/>
          <w:szCs w:val="21"/>
          <w:highlight w:val="none"/>
        </w:rPr>
        <w:t>②几个人联合承包工程，就地组织暗分包队伍，不具备完成本工程的技术、机械能力，被发包人判定为没有能力履行的承包人。</w:t>
      </w:r>
    </w:p>
    <w:p w14:paraId="633C79C2">
      <w:pPr>
        <w:spacing w:line="360" w:lineRule="auto"/>
        <w:ind w:firstLine="441" w:firstLineChars="210"/>
        <w:rPr>
          <w:color w:val="auto"/>
          <w:szCs w:val="21"/>
          <w:highlight w:val="none"/>
        </w:rPr>
      </w:pPr>
      <w:r>
        <w:rPr>
          <w:rFonts w:hint="eastAsia" w:hAnsi="宋体"/>
          <w:color w:val="auto"/>
          <w:szCs w:val="21"/>
          <w:highlight w:val="none"/>
        </w:rPr>
        <w:t>③就地转包全部的工程，以谋取高额转让费、管理费的承包人。</w:t>
      </w:r>
    </w:p>
    <w:p w14:paraId="52B897B9">
      <w:pPr>
        <w:spacing w:line="360" w:lineRule="auto"/>
        <w:ind w:firstLine="420" w:firstLineChars="200"/>
        <w:rPr>
          <w:color w:val="auto"/>
          <w:highlight w:val="none"/>
          <w:u w:val="single"/>
        </w:rPr>
      </w:pPr>
      <w:r>
        <w:rPr>
          <w:rFonts w:hint="eastAsia"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w:t>
      </w:r>
    </w:p>
    <w:p w14:paraId="247818AB">
      <w:pPr>
        <w:spacing w:line="360" w:lineRule="auto"/>
        <w:ind w:firstLine="420" w:firstLineChars="200"/>
        <w:rPr>
          <w:color w:val="auto"/>
          <w:highlight w:val="none"/>
        </w:rPr>
      </w:pPr>
      <w:r>
        <w:rPr>
          <w:color w:val="auto"/>
          <w:highlight w:val="none"/>
        </w:rPr>
        <w:t xml:space="preserve">3.5.4 </w:t>
      </w:r>
      <w:r>
        <w:rPr>
          <w:rFonts w:hint="eastAsia" w:hAnsi="宋体" w:cs="宋体"/>
          <w:color w:val="auto"/>
          <w:highlight w:val="none"/>
        </w:rPr>
        <w:t>分包合同价款</w:t>
      </w:r>
    </w:p>
    <w:bookmarkEnd w:id="355"/>
    <w:bookmarkEnd w:id="356"/>
    <w:p w14:paraId="314E46AE">
      <w:pPr>
        <w:spacing w:line="360" w:lineRule="auto"/>
        <w:ind w:firstLine="420" w:firstLineChars="200"/>
        <w:rPr>
          <w:color w:val="auto"/>
          <w:highlight w:val="none"/>
        </w:rPr>
      </w:pPr>
      <w:bookmarkStart w:id="357" w:name="_Toc373478358"/>
      <w:bookmarkStart w:id="358" w:name="_Toc389065277"/>
      <w:bookmarkStart w:id="359" w:name="_Toc373227711"/>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14:paraId="4F74E4ED">
      <w:pPr>
        <w:keepNext/>
        <w:keepLines/>
        <w:spacing w:line="600" w:lineRule="exact"/>
        <w:ind w:firstLine="643" w:firstLineChars="200"/>
        <w:outlineLvl w:val="2"/>
        <w:rPr>
          <w:b/>
          <w:bCs/>
          <w:color w:val="auto"/>
          <w:sz w:val="32"/>
          <w:szCs w:val="32"/>
          <w:highlight w:val="none"/>
        </w:rPr>
      </w:pPr>
      <w:bookmarkStart w:id="360" w:name="_Toc78449799"/>
      <w:bookmarkStart w:id="361" w:name="_Toc101808609"/>
      <w:bookmarkStart w:id="362" w:name="_Toc57329529"/>
      <w:bookmarkStart w:id="363" w:name="_Toc407135213"/>
      <w:r>
        <w:rPr>
          <w:b/>
          <w:bCs/>
          <w:color w:val="auto"/>
          <w:sz w:val="32"/>
          <w:szCs w:val="32"/>
          <w:highlight w:val="none"/>
        </w:rPr>
        <w:t xml:space="preserve">3.6 </w:t>
      </w:r>
      <w:r>
        <w:rPr>
          <w:rFonts w:hint="eastAsia" w:cs="黑体"/>
          <w:b/>
          <w:bCs/>
          <w:color w:val="auto"/>
          <w:sz w:val="32"/>
          <w:szCs w:val="32"/>
          <w:highlight w:val="none"/>
        </w:rPr>
        <w:t>工程照管与成品、半成品保护</w:t>
      </w:r>
      <w:bookmarkEnd w:id="357"/>
      <w:bookmarkEnd w:id="358"/>
      <w:bookmarkEnd w:id="359"/>
      <w:bookmarkEnd w:id="360"/>
      <w:bookmarkEnd w:id="361"/>
      <w:bookmarkEnd w:id="362"/>
      <w:bookmarkEnd w:id="363"/>
    </w:p>
    <w:p w14:paraId="45FD9B1F">
      <w:pPr>
        <w:spacing w:line="360" w:lineRule="auto"/>
        <w:ind w:firstLine="420" w:firstLineChars="200"/>
        <w:rPr>
          <w:color w:val="auto"/>
          <w:kern w:val="0"/>
          <w:highlight w:val="none"/>
          <w:u w:val="single"/>
        </w:rPr>
      </w:pPr>
      <w:r>
        <w:rPr>
          <w:rFonts w:hint="eastAsia" w:hAnsi="宋体" w:cs="宋体"/>
          <w:color w:val="auto"/>
          <w:kern w:val="0"/>
          <w:highlight w:val="none"/>
        </w:rPr>
        <w:t>承包人负责照管工程及工程相关的材料、工程设备的起始时间：</w:t>
      </w:r>
      <w:r>
        <w:rPr>
          <w:rFonts w:hint="eastAsia" w:ascii="Calibri" w:hAnsi="Calibri"/>
          <w:color w:val="auto"/>
          <w:kern w:val="0"/>
          <w:highlight w:val="none"/>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hAnsi="宋体" w:cs="宋体"/>
          <w:color w:val="auto"/>
          <w:kern w:val="0"/>
          <w:highlight w:val="none"/>
        </w:rPr>
        <w:t>。</w:t>
      </w:r>
    </w:p>
    <w:p w14:paraId="43A68DAC">
      <w:pPr>
        <w:keepNext/>
        <w:keepLines/>
        <w:spacing w:line="600" w:lineRule="exact"/>
        <w:ind w:firstLine="643" w:firstLineChars="200"/>
        <w:outlineLvl w:val="2"/>
        <w:rPr>
          <w:b/>
          <w:bCs/>
          <w:color w:val="auto"/>
          <w:sz w:val="32"/>
          <w:szCs w:val="32"/>
          <w:highlight w:val="none"/>
        </w:rPr>
      </w:pPr>
      <w:bookmarkStart w:id="364" w:name="_Toc373227712"/>
      <w:bookmarkStart w:id="365" w:name="_Toc373478359"/>
      <w:bookmarkStart w:id="366" w:name="_Toc389065278"/>
      <w:bookmarkStart w:id="367" w:name="_Toc1649716734"/>
      <w:bookmarkStart w:id="368" w:name="_Toc78449800"/>
      <w:bookmarkStart w:id="369" w:name="_Toc1042049436"/>
      <w:bookmarkStart w:id="370" w:name="_Toc407135214"/>
      <w:r>
        <w:rPr>
          <w:b/>
          <w:bCs/>
          <w:color w:val="auto"/>
          <w:sz w:val="32"/>
          <w:szCs w:val="32"/>
          <w:highlight w:val="none"/>
        </w:rPr>
        <w:t xml:space="preserve">3.7 </w:t>
      </w:r>
      <w:r>
        <w:rPr>
          <w:rFonts w:hint="eastAsia" w:hAnsi="宋体" w:cs="黑体"/>
          <w:b/>
          <w:bCs/>
          <w:color w:val="auto"/>
          <w:sz w:val="32"/>
          <w:szCs w:val="32"/>
          <w:highlight w:val="none"/>
        </w:rPr>
        <w:t>履约</w:t>
      </w:r>
      <w:bookmarkEnd w:id="364"/>
      <w:bookmarkEnd w:id="365"/>
      <w:bookmarkEnd w:id="366"/>
      <w:r>
        <w:rPr>
          <w:rFonts w:hint="eastAsia" w:hAnsi="宋体" w:cs="黑体"/>
          <w:b/>
          <w:bCs/>
          <w:color w:val="auto"/>
          <w:sz w:val="32"/>
          <w:szCs w:val="32"/>
          <w:highlight w:val="none"/>
        </w:rPr>
        <w:t>保证金</w:t>
      </w:r>
      <w:bookmarkEnd w:id="367"/>
      <w:bookmarkEnd w:id="368"/>
      <w:bookmarkEnd w:id="369"/>
      <w:bookmarkEnd w:id="370"/>
    </w:p>
    <w:p w14:paraId="55D056D8">
      <w:pPr>
        <w:rPr>
          <w:color w:val="auto"/>
          <w:highlight w:val="none"/>
        </w:rPr>
      </w:pPr>
      <w:bookmarkStart w:id="371" w:name="_Toc373478360"/>
      <w:bookmarkStart w:id="372" w:name="_Toc389065279"/>
      <w:bookmarkStart w:id="373" w:name="_Toc351203636"/>
      <w:bookmarkStart w:id="374" w:name="_Toc373227713"/>
      <w:r>
        <w:rPr>
          <w:rFonts w:hint="eastAsia"/>
          <w:color w:val="auto"/>
          <w:highlight w:val="none"/>
        </w:rPr>
        <w:t>本项目不收取履约保证金</w:t>
      </w:r>
    </w:p>
    <w:p w14:paraId="3E877D4C">
      <w:pPr>
        <w:keepNext/>
        <w:keepLines/>
        <w:spacing w:before="260" w:after="260" w:line="413" w:lineRule="auto"/>
        <w:outlineLvl w:val="1"/>
        <w:rPr>
          <w:rFonts w:ascii="Arial" w:hAnsi="Arial" w:eastAsia="黑体"/>
          <w:b/>
          <w:bCs/>
          <w:color w:val="auto"/>
          <w:sz w:val="32"/>
          <w:szCs w:val="32"/>
          <w:highlight w:val="none"/>
        </w:rPr>
      </w:pPr>
      <w:bookmarkStart w:id="375" w:name="_Toc931514330"/>
      <w:bookmarkStart w:id="376" w:name="_Toc407135215"/>
      <w:bookmarkStart w:id="377" w:name="_Toc78449801"/>
      <w:bookmarkStart w:id="378" w:name="_Toc907912356"/>
      <w:r>
        <w:rPr>
          <w:rFonts w:ascii="Arial" w:hAnsi="Arial" w:eastAsia="黑体"/>
          <w:b/>
          <w:bCs/>
          <w:color w:val="auto"/>
          <w:sz w:val="32"/>
          <w:szCs w:val="32"/>
          <w:highlight w:val="none"/>
        </w:rPr>
        <w:t>4</w:t>
      </w:r>
      <w:bookmarkStart w:id="379" w:name="_Toc292559871"/>
      <w:bookmarkStart w:id="380" w:name="_Toc296890990"/>
      <w:bookmarkStart w:id="381" w:name="_Toc296347161"/>
      <w:bookmarkStart w:id="382" w:name="_Toc296891202"/>
      <w:bookmarkStart w:id="383" w:name="_Toc267251413"/>
      <w:bookmarkStart w:id="384" w:name="_Toc296503162"/>
      <w:bookmarkStart w:id="385" w:name="_Toc296944501"/>
      <w:bookmarkStart w:id="386" w:name="_Toc297120462"/>
      <w:bookmarkStart w:id="387" w:name="_Toc297048348"/>
      <w:bookmarkStart w:id="388" w:name="_Toc292559366"/>
      <w:bookmarkStart w:id="389" w:name="_Toc296346663"/>
      <w:r>
        <w:rPr>
          <w:rFonts w:ascii="Arial" w:hAnsi="Arial" w:eastAsia="黑体"/>
          <w:b/>
          <w:bCs/>
          <w:color w:val="auto"/>
          <w:sz w:val="32"/>
          <w:szCs w:val="32"/>
          <w:highlight w:val="none"/>
        </w:rPr>
        <w:t xml:space="preserve">. </w:t>
      </w:r>
      <w:r>
        <w:rPr>
          <w:rFonts w:hint="eastAsia" w:ascii="Arial" w:hAnsi="宋体" w:eastAsia="黑体" w:cs="黑体"/>
          <w:b/>
          <w:bCs/>
          <w:color w:val="auto"/>
          <w:sz w:val="32"/>
          <w:szCs w:val="32"/>
          <w:highlight w:val="none"/>
        </w:rPr>
        <w:t>监</w:t>
      </w:r>
      <w:bookmarkEnd w:id="379"/>
      <w:bookmarkEnd w:id="380"/>
      <w:bookmarkEnd w:id="381"/>
      <w:bookmarkEnd w:id="382"/>
      <w:bookmarkEnd w:id="383"/>
      <w:bookmarkEnd w:id="384"/>
      <w:bookmarkEnd w:id="385"/>
      <w:bookmarkEnd w:id="386"/>
      <w:bookmarkEnd w:id="387"/>
      <w:bookmarkEnd w:id="388"/>
      <w:bookmarkEnd w:id="389"/>
      <w:r>
        <w:rPr>
          <w:rFonts w:hint="eastAsia" w:ascii="Arial" w:hAnsi="宋体" w:eastAsia="黑体" w:cs="黑体"/>
          <w:b/>
          <w:bCs/>
          <w:color w:val="auto"/>
          <w:sz w:val="32"/>
          <w:szCs w:val="32"/>
          <w:highlight w:val="none"/>
        </w:rPr>
        <w:t>理人</w:t>
      </w:r>
      <w:bookmarkEnd w:id="371"/>
      <w:bookmarkEnd w:id="372"/>
      <w:bookmarkEnd w:id="373"/>
      <w:bookmarkEnd w:id="374"/>
      <w:bookmarkEnd w:id="375"/>
      <w:bookmarkEnd w:id="376"/>
      <w:bookmarkEnd w:id="377"/>
      <w:bookmarkEnd w:id="378"/>
    </w:p>
    <w:p w14:paraId="1513BBBF">
      <w:pPr>
        <w:keepNext/>
        <w:keepLines/>
        <w:spacing w:line="600" w:lineRule="exact"/>
        <w:ind w:firstLine="643" w:firstLineChars="200"/>
        <w:outlineLvl w:val="2"/>
        <w:rPr>
          <w:b/>
          <w:bCs/>
          <w:color w:val="auto"/>
          <w:sz w:val="32"/>
          <w:szCs w:val="32"/>
          <w:highlight w:val="none"/>
        </w:rPr>
      </w:pPr>
      <w:bookmarkStart w:id="390" w:name="_Toc389065280"/>
      <w:bookmarkStart w:id="391" w:name="_Toc373227714"/>
      <w:bookmarkStart w:id="392" w:name="_Toc1008304989"/>
      <w:bookmarkStart w:id="393" w:name="_Toc373478361"/>
      <w:bookmarkStart w:id="394" w:name="_Toc407135216"/>
      <w:bookmarkStart w:id="395" w:name="_Toc1595043148"/>
      <w:bookmarkStart w:id="396" w:name="_Toc78449802"/>
      <w:r>
        <w:rPr>
          <w:b/>
          <w:bCs/>
          <w:color w:val="auto"/>
          <w:sz w:val="32"/>
          <w:szCs w:val="32"/>
          <w:highlight w:val="none"/>
        </w:rPr>
        <w:t xml:space="preserve">4.1 </w:t>
      </w:r>
      <w:r>
        <w:rPr>
          <w:rFonts w:hint="eastAsia" w:cs="黑体"/>
          <w:b/>
          <w:bCs/>
          <w:color w:val="auto"/>
          <w:sz w:val="32"/>
          <w:szCs w:val="32"/>
          <w:highlight w:val="none"/>
        </w:rPr>
        <w:t>监理人的一般规定</w:t>
      </w:r>
      <w:bookmarkEnd w:id="390"/>
      <w:bookmarkEnd w:id="391"/>
      <w:bookmarkEnd w:id="392"/>
      <w:bookmarkEnd w:id="393"/>
      <w:bookmarkEnd w:id="394"/>
      <w:bookmarkEnd w:id="395"/>
      <w:bookmarkEnd w:id="396"/>
    </w:p>
    <w:p w14:paraId="2817D988">
      <w:pPr>
        <w:spacing w:line="360" w:lineRule="auto"/>
        <w:ind w:firstLine="420" w:firstLineChars="200"/>
        <w:jc w:val="left"/>
        <w:rPr>
          <w:color w:val="auto"/>
          <w:highlight w:val="none"/>
        </w:rPr>
      </w:pPr>
      <w:r>
        <w:rPr>
          <w:rFonts w:hint="eastAsia" w:hAnsi="宋体" w:cs="宋体"/>
          <w:color w:val="auto"/>
          <w:highlight w:val="none"/>
        </w:rPr>
        <w:t>关于监理人的监理内容：</w:t>
      </w:r>
      <w:r>
        <w:rPr>
          <w:rFonts w:hint="eastAsia" w:ascii="Calibri" w:hAnsi="Calibri"/>
          <w:color w:val="auto"/>
          <w:highlight w:val="none"/>
          <w:u w:val="single"/>
        </w:rPr>
        <w:t>详见监理合同</w:t>
      </w:r>
      <w:r>
        <w:rPr>
          <w:rFonts w:hint="eastAsia" w:hAnsi="宋体" w:cs="宋体"/>
          <w:color w:val="auto"/>
          <w:highlight w:val="none"/>
        </w:rPr>
        <w:t>。</w:t>
      </w:r>
    </w:p>
    <w:p w14:paraId="02454919">
      <w:pPr>
        <w:spacing w:line="360" w:lineRule="auto"/>
        <w:ind w:firstLine="420" w:firstLineChars="200"/>
        <w:jc w:val="left"/>
        <w:rPr>
          <w:color w:val="auto"/>
          <w:highlight w:val="none"/>
        </w:rPr>
      </w:pPr>
      <w:r>
        <w:rPr>
          <w:rFonts w:hint="eastAsia" w:hAnsi="宋体" w:cs="宋体"/>
          <w:color w:val="auto"/>
          <w:highlight w:val="none"/>
        </w:rPr>
        <w:t>关于监理人的监理权限：</w:t>
      </w:r>
      <w:r>
        <w:rPr>
          <w:rFonts w:hint="eastAsia" w:ascii="Calibri" w:hAnsi="Calibri"/>
          <w:color w:val="auto"/>
          <w:highlight w:val="none"/>
          <w:u w:val="single"/>
        </w:rPr>
        <w:t>详见监理合同</w:t>
      </w:r>
      <w:r>
        <w:rPr>
          <w:rFonts w:hint="eastAsia" w:hAnsi="宋体" w:cs="宋体"/>
          <w:color w:val="auto"/>
          <w:highlight w:val="none"/>
        </w:rPr>
        <w:t>。</w:t>
      </w:r>
    </w:p>
    <w:p w14:paraId="6EB3B835">
      <w:pPr>
        <w:spacing w:line="360" w:lineRule="auto"/>
        <w:rPr>
          <w:color w:val="auto"/>
          <w:highlight w:val="none"/>
        </w:rPr>
      </w:pPr>
      <w:r>
        <w:rPr>
          <w:rFonts w:hint="eastAsia" w:hAnsi="宋体" w:cs="宋体"/>
          <w:color w:val="auto"/>
          <w:highlight w:val="none"/>
        </w:rPr>
        <w:t>关于监理人在施工现场的办公场所、生活场所的提供和费用承担的约定：</w:t>
      </w:r>
      <w:r>
        <w:rPr>
          <w:rFonts w:hint="eastAsia" w:ascii="Calibri" w:hAnsi="Calibri"/>
          <w:color w:val="auto"/>
          <w:highlight w:val="none"/>
          <w:u w:val="single"/>
        </w:rPr>
        <w:t>详见监理合同</w:t>
      </w:r>
      <w:r>
        <w:rPr>
          <w:rFonts w:hint="eastAsia" w:hAnsi="宋体" w:cs="宋体"/>
          <w:color w:val="auto"/>
          <w:highlight w:val="none"/>
        </w:rPr>
        <w:t>。</w:t>
      </w:r>
    </w:p>
    <w:p w14:paraId="415B6453">
      <w:pPr>
        <w:keepNext/>
        <w:keepLines/>
        <w:spacing w:line="600" w:lineRule="exact"/>
        <w:ind w:firstLine="643" w:firstLineChars="200"/>
        <w:outlineLvl w:val="2"/>
        <w:rPr>
          <w:b/>
          <w:bCs/>
          <w:color w:val="auto"/>
          <w:sz w:val="32"/>
          <w:szCs w:val="32"/>
          <w:highlight w:val="none"/>
        </w:rPr>
      </w:pPr>
      <w:bookmarkStart w:id="397" w:name="_Toc373478362"/>
      <w:bookmarkStart w:id="398" w:name="_Toc1350458461"/>
      <w:bookmarkStart w:id="399" w:name="_Toc389065281"/>
      <w:bookmarkStart w:id="400" w:name="_Toc386397261"/>
      <w:bookmarkStart w:id="401" w:name="_Toc407135217"/>
      <w:bookmarkStart w:id="402" w:name="_Toc373227715"/>
      <w:bookmarkStart w:id="403" w:name="_Toc78449803"/>
      <w:r>
        <w:rPr>
          <w:b/>
          <w:bCs/>
          <w:color w:val="auto"/>
          <w:sz w:val="32"/>
          <w:szCs w:val="32"/>
          <w:highlight w:val="none"/>
        </w:rPr>
        <w:t xml:space="preserve">4.2 </w:t>
      </w:r>
      <w:r>
        <w:rPr>
          <w:rFonts w:hint="eastAsia" w:hAnsi="宋体" w:cs="黑体"/>
          <w:b/>
          <w:bCs/>
          <w:color w:val="auto"/>
          <w:sz w:val="32"/>
          <w:szCs w:val="32"/>
          <w:highlight w:val="none"/>
        </w:rPr>
        <w:t>监理人员</w:t>
      </w:r>
      <w:bookmarkEnd w:id="397"/>
      <w:bookmarkEnd w:id="398"/>
      <w:bookmarkEnd w:id="399"/>
      <w:bookmarkEnd w:id="400"/>
      <w:bookmarkEnd w:id="401"/>
      <w:bookmarkEnd w:id="402"/>
      <w:bookmarkEnd w:id="403"/>
    </w:p>
    <w:p w14:paraId="1C8F0452">
      <w:pPr>
        <w:spacing w:line="360" w:lineRule="auto"/>
        <w:ind w:firstLine="420" w:firstLineChars="200"/>
        <w:rPr>
          <w:color w:val="auto"/>
          <w:highlight w:val="none"/>
        </w:rPr>
      </w:pPr>
      <w:r>
        <w:rPr>
          <w:rFonts w:hint="eastAsia" w:hAnsi="宋体" w:cs="宋体"/>
          <w:color w:val="auto"/>
          <w:highlight w:val="none"/>
        </w:rPr>
        <w:t>总监理工程师：</w:t>
      </w:r>
    </w:p>
    <w:p w14:paraId="663D3EC3">
      <w:pPr>
        <w:spacing w:line="360" w:lineRule="auto"/>
        <w:ind w:firstLine="420" w:firstLineChars="200"/>
        <w:rPr>
          <w:color w:val="auto"/>
          <w:highlight w:val="none"/>
        </w:rPr>
      </w:pPr>
      <w:r>
        <w:rPr>
          <w:rFonts w:hAnsi="宋体"/>
          <w:color w:val="auto"/>
          <w:highlight w:val="none"/>
        </w:rPr>
        <w:t>姓名：；</w:t>
      </w:r>
    </w:p>
    <w:p w14:paraId="7DFAE513">
      <w:pPr>
        <w:spacing w:line="360" w:lineRule="auto"/>
        <w:ind w:firstLine="420" w:firstLineChars="200"/>
        <w:rPr>
          <w:color w:val="auto"/>
          <w:highlight w:val="none"/>
        </w:rPr>
      </w:pPr>
      <w:r>
        <w:rPr>
          <w:rFonts w:hAnsi="宋体"/>
          <w:color w:val="auto"/>
          <w:highlight w:val="none"/>
        </w:rPr>
        <w:t>职务：；</w:t>
      </w:r>
    </w:p>
    <w:p w14:paraId="2353369F">
      <w:pPr>
        <w:spacing w:line="360" w:lineRule="auto"/>
        <w:ind w:firstLine="420" w:firstLineChars="200"/>
        <w:rPr>
          <w:rFonts w:hAnsi="宋体"/>
          <w:color w:val="auto"/>
          <w:highlight w:val="none"/>
        </w:rPr>
      </w:pPr>
      <w:r>
        <w:rPr>
          <w:rFonts w:hAnsi="宋体"/>
          <w:color w:val="auto"/>
          <w:highlight w:val="none"/>
        </w:rPr>
        <w:t>监理工程师注册证书号：；</w:t>
      </w:r>
    </w:p>
    <w:p w14:paraId="239F4E96">
      <w:pPr>
        <w:spacing w:line="360" w:lineRule="auto"/>
        <w:ind w:firstLine="420" w:firstLineChars="200"/>
        <w:rPr>
          <w:color w:val="auto"/>
          <w:highlight w:val="none"/>
        </w:rPr>
      </w:pPr>
      <w:r>
        <w:rPr>
          <w:rFonts w:hAnsi="宋体"/>
          <w:color w:val="auto"/>
          <w:highlight w:val="none"/>
        </w:rPr>
        <w:t>联系电话：；</w:t>
      </w:r>
    </w:p>
    <w:p w14:paraId="517281AF">
      <w:pPr>
        <w:spacing w:line="360" w:lineRule="auto"/>
        <w:ind w:firstLine="420" w:firstLineChars="200"/>
        <w:rPr>
          <w:color w:val="auto"/>
          <w:highlight w:val="none"/>
        </w:rPr>
      </w:pPr>
      <w:r>
        <w:rPr>
          <w:rFonts w:hAnsi="宋体"/>
          <w:color w:val="auto"/>
          <w:highlight w:val="none"/>
        </w:rPr>
        <w:t>电子信箱：；</w:t>
      </w:r>
    </w:p>
    <w:p w14:paraId="40FD28F2">
      <w:pPr>
        <w:spacing w:line="360" w:lineRule="auto"/>
        <w:ind w:firstLine="420" w:firstLineChars="200"/>
        <w:rPr>
          <w:color w:val="auto"/>
          <w:highlight w:val="none"/>
        </w:rPr>
      </w:pPr>
      <w:r>
        <w:rPr>
          <w:rFonts w:hAnsi="宋体"/>
          <w:color w:val="auto"/>
          <w:highlight w:val="none"/>
        </w:rPr>
        <w:t>通信地址：；</w:t>
      </w:r>
    </w:p>
    <w:p w14:paraId="49C910AE">
      <w:pPr>
        <w:spacing w:line="360" w:lineRule="auto"/>
        <w:ind w:firstLine="420" w:firstLineChars="200"/>
        <w:rPr>
          <w:color w:val="auto"/>
          <w:highlight w:val="none"/>
        </w:rPr>
      </w:pPr>
      <w:r>
        <w:rPr>
          <w:rFonts w:hAnsi="宋体"/>
          <w:color w:val="auto"/>
          <w:highlight w:val="none"/>
        </w:rPr>
        <w:t>关于监理人的其他约定：</w:t>
      </w:r>
      <w:r>
        <w:rPr>
          <w:rFonts w:hint="eastAsia" w:ascii="Calibri" w:hAnsi="Calibri"/>
          <w:color w:val="auto"/>
          <w:highlight w:val="none"/>
          <w:u w:val="single"/>
        </w:rPr>
        <w:t>详见监理合同</w:t>
      </w:r>
      <w:r>
        <w:rPr>
          <w:rFonts w:hAnsi="宋体"/>
          <w:color w:val="auto"/>
          <w:highlight w:val="none"/>
        </w:rPr>
        <w:t>。</w:t>
      </w:r>
    </w:p>
    <w:p w14:paraId="1A3CF5F4">
      <w:pPr>
        <w:keepNext/>
        <w:keepLines/>
        <w:spacing w:line="600" w:lineRule="exact"/>
        <w:ind w:firstLine="643" w:firstLineChars="200"/>
        <w:outlineLvl w:val="2"/>
        <w:rPr>
          <w:b/>
          <w:bCs/>
          <w:color w:val="auto"/>
          <w:sz w:val="32"/>
          <w:szCs w:val="32"/>
          <w:highlight w:val="none"/>
        </w:rPr>
      </w:pPr>
      <w:bookmarkStart w:id="404" w:name="_Toc941562442"/>
      <w:bookmarkStart w:id="405" w:name="_Toc78449804"/>
      <w:bookmarkStart w:id="406" w:name="_Toc407135218"/>
      <w:bookmarkStart w:id="407" w:name="_Toc373478363"/>
      <w:bookmarkStart w:id="408" w:name="_Toc539923186"/>
      <w:bookmarkStart w:id="409" w:name="_Toc373227716"/>
      <w:bookmarkStart w:id="410" w:name="_Toc389065282"/>
      <w:r>
        <w:rPr>
          <w:b/>
          <w:bCs/>
          <w:color w:val="auto"/>
          <w:sz w:val="32"/>
          <w:szCs w:val="32"/>
          <w:highlight w:val="none"/>
        </w:rPr>
        <w:t xml:space="preserve">4.4 </w:t>
      </w:r>
      <w:r>
        <w:rPr>
          <w:rFonts w:hint="eastAsia" w:hAnsi="宋体" w:cs="黑体"/>
          <w:b/>
          <w:bCs/>
          <w:color w:val="auto"/>
          <w:sz w:val="32"/>
          <w:szCs w:val="32"/>
          <w:highlight w:val="none"/>
        </w:rPr>
        <w:t>商定或确定</w:t>
      </w:r>
      <w:bookmarkEnd w:id="404"/>
      <w:bookmarkEnd w:id="405"/>
      <w:bookmarkEnd w:id="406"/>
      <w:bookmarkEnd w:id="407"/>
      <w:bookmarkEnd w:id="408"/>
      <w:bookmarkEnd w:id="409"/>
      <w:bookmarkEnd w:id="410"/>
    </w:p>
    <w:p w14:paraId="4F20F6BE">
      <w:pPr>
        <w:spacing w:line="360" w:lineRule="auto"/>
        <w:ind w:firstLine="420" w:firstLineChars="200"/>
        <w:rPr>
          <w:color w:val="auto"/>
          <w:highlight w:val="none"/>
        </w:rPr>
      </w:pPr>
      <w:bookmarkStart w:id="411" w:name="_Toc267251418"/>
      <w:r>
        <w:rPr>
          <w:rFonts w:hint="eastAsia" w:hAnsi="宋体" w:cs="宋体"/>
          <w:color w:val="auto"/>
          <w:highlight w:val="none"/>
        </w:rPr>
        <w:t>在发包人和承包人不能通过协商达成一致意见时，发包人授权监理人对以下事项进行确定：</w:t>
      </w:r>
    </w:p>
    <w:p w14:paraId="6D17A35A">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rFonts w:hint="eastAsia" w:ascii="Calibri" w:hAnsi="Calibri"/>
          <w:color w:val="auto"/>
          <w:highlight w:val="none"/>
          <w:u w:val="single"/>
        </w:rPr>
        <w:t>按通用合同条款4.4执行</w:t>
      </w:r>
      <w:r>
        <w:rPr>
          <w:rFonts w:hint="eastAsia" w:hAnsi="宋体" w:cs="宋体"/>
          <w:color w:val="auto"/>
          <w:highlight w:val="none"/>
        </w:rPr>
        <w:t>；</w:t>
      </w:r>
    </w:p>
    <w:p w14:paraId="72A6C548">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ascii="Calibri" w:hAnsi="Calibri"/>
          <w:color w:val="auto"/>
          <w:highlight w:val="none"/>
          <w:u w:val="single"/>
        </w:rPr>
        <w:t>无</w:t>
      </w:r>
      <w:r>
        <w:rPr>
          <w:rFonts w:hint="eastAsia" w:hAnsi="宋体" w:cs="宋体"/>
          <w:color w:val="auto"/>
          <w:highlight w:val="none"/>
        </w:rPr>
        <w:t>；</w:t>
      </w:r>
    </w:p>
    <w:p w14:paraId="26159440">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w:t>
      </w:r>
      <w:r>
        <w:rPr>
          <w:rFonts w:hint="eastAsia" w:ascii="Calibri" w:hAnsi="Calibri"/>
          <w:color w:val="auto"/>
          <w:highlight w:val="none"/>
          <w:u w:val="single"/>
        </w:rPr>
        <w:t>无</w:t>
      </w:r>
      <w:r>
        <w:rPr>
          <w:rFonts w:hint="eastAsia" w:hAnsi="宋体" w:cs="宋体"/>
          <w:color w:val="auto"/>
          <w:highlight w:val="none"/>
        </w:rPr>
        <w:t>。</w:t>
      </w:r>
    </w:p>
    <w:p w14:paraId="10A7346C">
      <w:pPr>
        <w:keepNext/>
        <w:keepLines/>
        <w:spacing w:before="260" w:after="260" w:line="413" w:lineRule="auto"/>
        <w:outlineLvl w:val="1"/>
        <w:rPr>
          <w:rFonts w:ascii="Arial" w:hAnsi="Arial" w:eastAsia="黑体"/>
          <w:b/>
          <w:bCs/>
          <w:color w:val="auto"/>
          <w:sz w:val="32"/>
          <w:szCs w:val="32"/>
          <w:highlight w:val="none"/>
        </w:rPr>
      </w:pPr>
      <w:bookmarkStart w:id="412" w:name="_Toc351203637"/>
      <w:bookmarkStart w:id="413" w:name="_Toc407135219"/>
      <w:bookmarkStart w:id="414" w:name="_Toc1603077308"/>
      <w:bookmarkStart w:id="415" w:name="_Toc373227717"/>
      <w:bookmarkStart w:id="416" w:name="_Toc373478364"/>
      <w:bookmarkStart w:id="417" w:name="_Toc1687297496"/>
      <w:bookmarkStart w:id="418" w:name="_Toc389065283"/>
      <w:bookmarkStart w:id="419" w:name="_Toc78449805"/>
      <w:r>
        <w:rPr>
          <w:rFonts w:ascii="Arial" w:hAnsi="Arial" w:eastAsia="黑体"/>
          <w:b/>
          <w:bCs/>
          <w:color w:val="auto"/>
          <w:sz w:val="32"/>
          <w:szCs w:val="32"/>
          <w:highlight w:val="none"/>
        </w:rPr>
        <w:t>5</w:t>
      </w:r>
      <w:bookmarkEnd w:id="411"/>
      <w:bookmarkStart w:id="420" w:name="_Toc292559367"/>
      <w:bookmarkStart w:id="421" w:name="_Toc296347162"/>
      <w:bookmarkStart w:id="422" w:name="_Toc292559872"/>
      <w:bookmarkStart w:id="423" w:name="_Toc296890991"/>
      <w:bookmarkStart w:id="424" w:name="_Toc296346664"/>
      <w:bookmarkStart w:id="425" w:name="_Toc297120463"/>
      <w:bookmarkStart w:id="426" w:name="_Toc297048349"/>
      <w:bookmarkStart w:id="427" w:name="_Toc296944502"/>
      <w:bookmarkStart w:id="428" w:name="_Toc296503163"/>
      <w:bookmarkStart w:id="429" w:name="_Toc296891203"/>
      <w:r>
        <w:rPr>
          <w:rFonts w:ascii="Arial" w:hAnsi="Arial" w:eastAsia="黑体"/>
          <w:b/>
          <w:bCs/>
          <w:color w:val="auto"/>
          <w:sz w:val="32"/>
          <w:szCs w:val="32"/>
          <w:highlight w:val="none"/>
        </w:rPr>
        <w:t xml:space="preserve">. </w:t>
      </w:r>
      <w:r>
        <w:rPr>
          <w:rFonts w:hint="eastAsia" w:ascii="Arial" w:hAnsi="宋体" w:eastAsia="黑体" w:cs="黑体"/>
          <w:b/>
          <w:bCs/>
          <w:color w:val="auto"/>
          <w:sz w:val="32"/>
          <w:szCs w:val="32"/>
          <w:highlight w:val="none"/>
        </w:rPr>
        <w:t>工程质量</w:t>
      </w:r>
      <w:bookmarkEnd w:id="412"/>
      <w:bookmarkEnd w:id="413"/>
      <w:bookmarkEnd w:id="414"/>
      <w:bookmarkEnd w:id="415"/>
      <w:bookmarkEnd w:id="416"/>
      <w:bookmarkEnd w:id="417"/>
      <w:bookmarkEnd w:id="418"/>
      <w:bookmarkEnd w:id="419"/>
    </w:p>
    <w:p w14:paraId="03A0B825">
      <w:pPr>
        <w:keepNext/>
        <w:keepLines/>
        <w:spacing w:line="600" w:lineRule="exact"/>
        <w:ind w:firstLine="643" w:firstLineChars="200"/>
        <w:outlineLvl w:val="2"/>
        <w:rPr>
          <w:b/>
          <w:bCs/>
          <w:color w:val="auto"/>
          <w:sz w:val="32"/>
          <w:szCs w:val="32"/>
          <w:highlight w:val="none"/>
        </w:rPr>
      </w:pPr>
      <w:bookmarkStart w:id="430" w:name="_Toc373227718"/>
      <w:bookmarkStart w:id="431" w:name="_Toc1835421345"/>
      <w:bookmarkStart w:id="432" w:name="_Toc373478365"/>
      <w:bookmarkStart w:id="433" w:name="_Toc78449806"/>
      <w:bookmarkStart w:id="434" w:name="_Toc407135220"/>
      <w:bookmarkStart w:id="435" w:name="_Toc1952042622"/>
      <w:bookmarkStart w:id="436" w:name="_Toc389065284"/>
      <w:r>
        <w:rPr>
          <w:b/>
          <w:bCs/>
          <w:color w:val="auto"/>
          <w:sz w:val="32"/>
          <w:szCs w:val="32"/>
          <w:highlight w:val="none"/>
        </w:rPr>
        <w:t xml:space="preserve">5.1 </w:t>
      </w:r>
      <w:r>
        <w:rPr>
          <w:rFonts w:hint="eastAsia" w:hAnsi="宋体" w:cs="黑体"/>
          <w:b/>
          <w:bCs/>
          <w:color w:val="auto"/>
          <w:sz w:val="32"/>
          <w:szCs w:val="32"/>
          <w:highlight w:val="none"/>
        </w:rPr>
        <w:t>质量要求</w:t>
      </w:r>
      <w:bookmarkEnd w:id="430"/>
      <w:bookmarkEnd w:id="431"/>
      <w:bookmarkEnd w:id="432"/>
      <w:bookmarkEnd w:id="433"/>
      <w:bookmarkEnd w:id="434"/>
      <w:bookmarkEnd w:id="435"/>
      <w:bookmarkEnd w:id="436"/>
    </w:p>
    <w:p w14:paraId="204D2861">
      <w:pPr>
        <w:spacing w:line="360" w:lineRule="auto"/>
        <w:ind w:firstLine="420" w:firstLineChars="200"/>
        <w:jc w:val="left"/>
        <w:rPr>
          <w:rFonts w:hAnsi="宋体" w:cs="宋体"/>
          <w:color w:val="auto"/>
          <w:highlight w:val="none"/>
        </w:rPr>
      </w:pPr>
      <w:r>
        <w:rPr>
          <w:color w:val="auto"/>
          <w:highlight w:val="none"/>
        </w:rPr>
        <w:t>5</w:t>
      </w:r>
      <w:bookmarkStart w:id="437" w:name="_Toc304295527"/>
      <w:bookmarkStart w:id="438" w:name="_Toc297216155"/>
      <w:bookmarkStart w:id="439" w:name="_Toc312677997"/>
      <w:bookmarkStart w:id="440" w:name="_Toc303539106"/>
      <w:bookmarkStart w:id="441" w:name="_Toc300934949"/>
      <w:bookmarkStart w:id="442" w:name="_Toc297123496"/>
      <w:bookmarkStart w:id="443" w:name="_Toc318581164"/>
      <w:r>
        <w:rPr>
          <w:color w:val="auto"/>
          <w:highlight w:val="none"/>
        </w:rPr>
        <w:t xml:space="preserve">.1.1 </w:t>
      </w:r>
      <w:r>
        <w:rPr>
          <w:rFonts w:hint="eastAsia" w:hAnsi="宋体" w:cs="宋体"/>
          <w:color w:val="auto"/>
          <w:highlight w:val="none"/>
        </w:rPr>
        <w:t>特殊质量标准和要求：</w:t>
      </w:r>
      <w:r>
        <w:rPr>
          <w:rFonts w:hint="eastAsia" w:ascii="Calibri" w:hAnsi="Calibri"/>
          <w:color w:val="auto"/>
          <w:highlight w:val="none"/>
          <w:u w:val="single"/>
        </w:rPr>
        <w:t>严格执行广西壮族自治区住房和城乡建设厅《关于严格实行房屋建筑和市政基础设施工程质量终身责任承诺、永久性质量责任标牌、终身责任信息档案等制度的通知》</w:t>
      </w:r>
      <w:r>
        <w:rPr>
          <w:rFonts w:hint="eastAsia" w:ascii="Calibri" w:hAnsi="Calibri"/>
          <w:color w:val="auto"/>
          <w:highlight w:val="none"/>
          <w:u w:val="single"/>
          <w:lang w:eastAsia="zh-CN"/>
        </w:rPr>
        <w:t>（</w:t>
      </w:r>
      <w:r>
        <w:rPr>
          <w:rFonts w:hint="eastAsia" w:ascii="Calibri" w:hAnsi="Calibri"/>
          <w:color w:val="auto"/>
          <w:highlight w:val="none"/>
          <w:u w:val="single"/>
        </w:rPr>
        <w:t>桂建管[2014]96号</w:t>
      </w:r>
      <w:r>
        <w:rPr>
          <w:rFonts w:hint="eastAsia" w:ascii="Calibri" w:hAnsi="Calibri"/>
          <w:color w:val="auto"/>
          <w:highlight w:val="none"/>
          <w:u w:val="single"/>
          <w:lang w:eastAsia="zh-CN"/>
        </w:rPr>
        <w:t>）</w:t>
      </w:r>
      <w:r>
        <w:rPr>
          <w:rFonts w:hint="eastAsia" w:ascii="Calibri" w:hAnsi="Calibri"/>
          <w:color w:val="auto"/>
          <w:highlight w:val="none"/>
          <w:u w:val="single"/>
        </w:rPr>
        <w:t>和</w:t>
      </w:r>
      <w:r>
        <w:rPr>
          <w:rFonts w:hint="eastAsia" w:ascii="Calibri" w:hAnsi="Calibri"/>
          <w:color w:val="auto"/>
          <w:highlight w:val="none"/>
          <w:u w:val="single"/>
          <w:lang w:eastAsia="zh-CN"/>
        </w:rPr>
        <w:t>百色</w:t>
      </w:r>
      <w:r>
        <w:rPr>
          <w:rFonts w:hint="eastAsia" w:ascii="Calibri" w:hAnsi="Calibri"/>
          <w:color w:val="auto"/>
          <w:highlight w:val="none"/>
          <w:u w:val="single"/>
        </w:rPr>
        <w:t>市</w:t>
      </w:r>
      <w:r>
        <w:rPr>
          <w:rFonts w:hint="eastAsia" w:ascii="Calibri" w:hAnsi="Calibri"/>
          <w:color w:val="auto"/>
          <w:highlight w:val="none"/>
          <w:u w:val="single"/>
          <w:lang w:val="en-US" w:eastAsia="zh-CN"/>
        </w:rPr>
        <w:t>相关规定</w:t>
      </w:r>
      <w:r>
        <w:rPr>
          <w:rFonts w:hint="eastAsia" w:ascii="Calibri" w:hAnsi="Calibri"/>
          <w:color w:val="auto"/>
          <w:highlight w:val="none"/>
          <w:u w:val="single"/>
        </w:rPr>
        <w:t>要求，落实建设工程质量终身责任</w:t>
      </w:r>
      <w:r>
        <w:rPr>
          <w:rFonts w:hint="eastAsia" w:hAnsi="宋体" w:cs="宋体"/>
          <w:color w:val="auto"/>
          <w:highlight w:val="none"/>
        </w:rPr>
        <w:t>。</w:t>
      </w:r>
    </w:p>
    <w:p w14:paraId="583FF6B0">
      <w:pPr>
        <w:spacing w:line="360" w:lineRule="auto"/>
        <w:ind w:firstLine="420" w:firstLineChars="200"/>
        <w:jc w:val="left"/>
        <w:rPr>
          <w:rFonts w:ascii="Calibri" w:hAnsi="宋体"/>
          <w:color w:val="auto"/>
          <w:highlight w:val="none"/>
        </w:rPr>
      </w:pPr>
      <w:r>
        <w:rPr>
          <w:rFonts w:hint="eastAsia" w:hAnsi="宋体" w:cs="宋体"/>
          <w:color w:val="auto"/>
          <w:highlight w:val="none"/>
        </w:rPr>
        <w:t>关于工程奖项的约定：无，</w:t>
      </w:r>
      <w:r>
        <w:rPr>
          <w:rFonts w:hint="eastAsia"/>
          <w:color w:val="auto"/>
          <w:highlight w:val="none"/>
        </w:rPr>
        <w:t>如果</w:t>
      </w:r>
      <w:r>
        <w:rPr>
          <w:color w:val="auto"/>
          <w:highlight w:val="none"/>
        </w:rPr>
        <w:t>工程获得</w:t>
      </w:r>
      <w:r>
        <w:rPr>
          <w:rFonts w:hint="eastAsia"/>
          <w:color w:val="auto"/>
          <w:highlight w:val="none"/>
          <w:u w:val="single"/>
        </w:rPr>
        <w:t>无（奖项名称）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无</w:t>
      </w:r>
      <w:r>
        <w:rPr>
          <w:color w:val="auto"/>
          <w:highlight w:val="none"/>
        </w:rPr>
        <w:t>%的</w:t>
      </w:r>
      <w:r>
        <w:rPr>
          <w:rFonts w:hint="eastAsia" w:ascii="Calibri" w:hAnsi="宋体"/>
          <w:color w:val="auto"/>
          <w:highlight w:val="none"/>
        </w:rPr>
        <w:t>奖励。（建设单位创建优质工程的，鼓励在招标控制价和预算中按我区工程建设定额规定计列工程优质费，并在招标文件中明确工程优质费不可竞争。）</w:t>
      </w:r>
    </w:p>
    <w:p w14:paraId="04EB7EB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5.2质量保证措施</w:t>
      </w:r>
    </w:p>
    <w:p w14:paraId="6051D126">
      <w:pPr>
        <w:tabs>
          <w:tab w:val="left" w:pos="4036"/>
        </w:tabs>
        <w:autoSpaceDE w:val="0"/>
        <w:autoSpaceDN w:val="0"/>
        <w:spacing w:line="360" w:lineRule="auto"/>
        <w:ind w:firstLine="420" w:firstLineChars="200"/>
        <w:jc w:val="left"/>
        <w:rPr>
          <w:rFonts w:hint="eastAsia" w:ascii="宋体" w:hAnsi="宋体" w:eastAsia="宋体" w:cs="宋体"/>
          <w:color w:val="auto"/>
          <w:highlight w:val="none"/>
        </w:rPr>
      </w:pPr>
      <w:r>
        <w:rPr>
          <w:rFonts w:hint="eastAsia" w:ascii="Calibri" w:hAnsi="宋体" w:eastAsia="宋体" w:cs="Times New Roman"/>
          <w:color w:val="auto"/>
          <w:highlight w:val="none"/>
        </w:rPr>
        <w:t>5.2.1</w:t>
      </w:r>
      <w:r>
        <w:rPr>
          <w:rFonts w:hint="eastAsia" w:ascii="宋体" w:hAnsi="宋体" w:eastAsia="宋体" w:cs="宋体"/>
          <w:color w:val="auto"/>
          <w:highlight w:val="none"/>
        </w:rPr>
        <w:t>发包人对施工当中因承包人管理不善造成的严重质量问题可进行处罚，处罚如下：</w:t>
      </w:r>
    </w:p>
    <w:p w14:paraId="5940F26C">
      <w:pPr>
        <w:tabs>
          <w:tab w:val="left" w:pos="4036"/>
        </w:tabs>
        <w:autoSpaceDE w:val="0"/>
        <w:autoSpaceDN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①工程质量发生一般事故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经济损失5</w:t>
      </w:r>
      <w:r>
        <w:rPr>
          <w:rFonts w:hint="eastAsia" w:ascii="宋体" w:hAnsi="宋体" w:eastAsia="宋体" w:cs="宋体"/>
          <w:color w:val="auto"/>
          <w:highlight w:val="none"/>
          <w:lang w:val="en-US" w:eastAsia="zh-CN"/>
        </w:rPr>
        <w:t>万</w:t>
      </w:r>
      <w:r>
        <w:rPr>
          <w:rFonts w:hint="eastAsia" w:ascii="宋体" w:hAnsi="宋体" w:eastAsia="宋体" w:cs="宋体"/>
          <w:color w:val="auto"/>
          <w:highlight w:val="none"/>
        </w:rPr>
        <w:t>元以下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对承包人处以2000-5000元罚款。</w:t>
      </w:r>
    </w:p>
    <w:p w14:paraId="3D6876C5">
      <w:pPr>
        <w:tabs>
          <w:tab w:val="left" w:pos="4036"/>
        </w:tabs>
        <w:autoSpaceDE w:val="0"/>
        <w:autoSpaceDN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②工程质量发生严重事故的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经济损失5-10万元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对承包人处以10000-50000元的罚款。</w:t>
      </w:r>
    </w:p>
    <w:p w14:paraId="02D403AC">
      <w:pPr>
        <w:tabs>
          <w:tab w:val="left" w:pos="4036"/>
        </w:tabs>
        <w:autoSpaceDE w:val="0"/>
        <w:autoSpaceDN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③工程如发生重大质量事故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经济损失10万元以上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对承包人处以5-10万元的罚款，并追究相关责任人的法律责任。</w:t>
      </w:r>
    </w:p>
    <w:p w14:paraId="5A40C061">
      <w:pPr>
        <w:tabs>
          <w:tab w:val="left" w:pos="4036"/>
        </w:tabs>
        <w:autoSpaceDE w:val="0"/>
        <w:autoSpaceDN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④对质量事故隐瞒不报或拖延不报者，一经查处，对直接责任人处以5000元罚款。</w:t>
      </w:r>
    </w:p>
    <w:p w14:paraId="5F87A4A8">
      <w:pPr>
        <w:tabs>
          <w:tab w:val="left" w:pos="4036"/>
        </w:tabs>
        <w:autoSpaceDE w:val="0"/>
        <w:autoSpaceDN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处罚累计超过三起，发包人有权要求更换承包人的项目质量负责人，累计超过五起，发包人有权要求承包人更换项目经理。</w:t>
      </w:r>
    </w:p>
    <w:p w14:paraId="70DE8A07">
      <w:pPr>
        <w:spacing w:line="360" w:lineRule="auto"/>
        <w:ind w:firstLine="420" w:firstLineChars="200"/>
        <w:jc w:val="left"/>
        <w:rPr>
          <w:rFonts w:ascii="Calibri" w:hAnsi="宋体"/>
          <w:color w:val="auto"/>
          <w:highlight w:val="none"/>
        </w:rPr>
      </w:pPr>
      <w:r>
        <w:rPr>
          <w:rFonts w:hint="eastAsia" w:ascii="Calibri" w:hAnsi="宋体"/>
          <w:color w:val="auto"/>
          <w:highlight w:val="none"/>
        </w:rPr>
        <w:t>5.2.2承包人须在发包人开出罚款通知书即日起七个工作日内，到发包人的财务部门缴纳相应的罚款，若逾期未缴纳罚款，发包人有权停止拨付当月或下月的工程进度款，所造成的责任由承包人承担。</w:t>
      </w:r>
    </w:p>
    <w:p w14:paraId="00CED91D">
      <w:pPr>
        <w:spacing w:line="360" w:lineRule="auto"/>
        <w:ind w:firstLine="420" w:firstLineChars="200"/>
        <w:jc w:val="left"/>
        <w:rPr>
          <w:rFonts w:ascii="Calibri" w:hAnsi="宋体"/>
          <w:color w:val="auto"/>
          <w:highlight w:val="none"/>
        </w:rPr>
      </w:pPr>
      <w:r>
        <w:rPr>
          <w:rFonts w:hint="eastAsia" w:ascii="Calibri" w:hAnsi="宋体"/>
          <w:color w:val="auto"/>
          <w:highlight w:val="none"/>
        </w:rPr>
        <w:t>5.2.3在施工过程中，如本道工序存在质量、安全隐患，承包人未按发包人、监理人要求整改就擅自进入下道工序施工的，发包人有权视情况扣罚施工单位每处</w:t>
      </w:r>
      <w:r>
        <w:rPr>
          <w:rFonts w:hint="eastAsia"/>
          <w:color w:val="auto"/>
          <w:highlight w:val="none"/>
        </w:rPr>
        <w:t>2000-10000</w:t>
      </w:r>
      <w:r>
        <w:rPr>
          <w:rFonts w:hint="eastAsia" w:ascii="Calibri" w:hAnsi="宋体"/>
          <w:color w:val="auto"/>
          <w:highlight w:val="none"/>
        </w:rPr>
        <w:t>元。同时责令返工。</w:t>
      </w:r>
    </w:p>
    <w:p w14:paraId="57F1DCF8">
      <w:pPr>
        <w:spacing w:line="360" w:lineRule="auto"/>
        <w:ind w:firstLine="420" w:firstLineChars="200"/>
        <w:jc w:val="left"/>
        <w:rPr>
          <w:rFonts w:ascii="Calibri" w:hAnsi="宋体"/>
          <w:color w:val="auto"/>
          <w:highlight w:val="none"/>
        </w:rPr>
      </w:pPr>
      <w:r>
        <w:rPr>
          <w:rFonts w:hint="eastAsia" w:ascii="Calibri" w:hAnsi="宋体"/>
          <w:color w:val="auto"/>
          <w:highlight w:val="none"/>
        </w:rPr>
        <w:t>5.2.4分部工程质量验收时,若工程质量不合格，发包人可视其情节轻重，每处每次处以承包人不少于</w:t>
      </w:r>
      <w:r>
        <w:rPr>
          <w:rFonts w:hint="eastAsia" w:hAnsi="宋体"/>
          <w:color w:val="auto"/>
          <w:szCs w:val="21"/>
          <w:highlight w:val="none"/>
          <w:u w:val="single"/>
        </w:rPr>
        <w:t>10000</w:t>
      </w:r>
      <w:r>
        <w:rPr>
          <w:rFonts w:hint="eastAsia" w:ascii="Calibri" w:hAnsi="宋体"/>
          <w:color w:val="auto"/>
          <w:highlight w:val="none"/>
        </w:rPr>
        <w:t>元的违约处理金，且工程质量必须无条件返工达到合格要求。对违反相关安全生产规范要求、相关建筑质量规范要求的情况，发包人及监理单位除有权要求承包人整改返工外还可以视情节严重程度，每次处</w:t>
      </w:r>
      <w:r>
        <w:rPr>
          <w:rFonts w:hint="eastAsia"/>
          <w:color w:val="auto"/>
          <w:highlight w:val="none"/>
        </w:rPr>
        <w:t>5000-10000</w:t>
      </w:r>
      <w:r>
        <w:rPr>
          <w:rFonts w:hint="eastAsia" w:ascii="Calibri" w:hAnsi="宋体"/>
          <w:color w:val="auto"/>
          <w:highlight w:val="none"/>
        </w:rPr>
        <w:t>元的经济处罚。</w:t>
      </w:r>
    </w:p>
    <w:p w14:paraId="0B2D1B5F">
      <w:pPr>
        <w:spacing w:line="360" w:lineRule="auto"/>
        <w:ind w:firstLine="420" w:firstLineChars="200"/>
        <w:jc w:val="left"/>
        <w:rPr>
          <w:rFonts w:ascii="Calibri" w:hAnsi="宋体"/>
          <w:color w:val="auto"/>
          <w:highlight w:val="none"/>
        </w:rPr>
      </w:pPr>
      <w:r>
        <w:rPr>
          <w:rFonts w:hint="eastAsia" w:ascii="Calibri" w:hAnsi="宋体"/>
          <w:color w:val="auto"/>
          <w:highlight w:val="none"/>
        </w:rPr>
        <w:t>5.2.5承包人施工的工程内容全部竣工后，工程质量正式验收时,工程整体质量若达不到合格标准，发包人视其情节轻重处以承包人不低于</w:t>
      </w:r>
      <w:r>
        <w:rPr>
          <w:rFonts w:hint="eastAsia" w:hAnsi="宋体"/>
          <w:color w:val="auto"/>
          <w:szCs w:val="21"/>
          <w:highlight w:val="none"/>
          <w:u w:val="single"/>
        </w:rPr>
        <w:t>10000</w:t>
      </w:r>
      <w:r>
        <w:rPr>
          <w:rFonts w:hint="eastAsia" w:ascii="Calibri" w:hAnsi="宋体"/>
          <w:color w:val="auto"/>
          <w:highlight w:val="none"/>
        </w:rPr>
        <w:t>元的工程质量违约处理金，同时承包人必须无条件全部返工达到合格要求。</w:t>
      </w:r>
    </w:p>
    <w:p w14:paraId="5AFA2EE5">
      <w:pPr>
        <w:spacing w:line="360" w:lineRule="auto"/>
        <w:ind w:firstLine="420" w:firstLineChars="200"/>
        <w:jc w:val="left"/>
        <w:rPr>
          <w:rFonts w:ascii="Calibri" w:hAnsi="宋体"/>
          <w:color w:val="auto"/>
          <w:highlight w:val="none"/>
        </w:rPr>
      </w:pPr>
      <w:r>
        <w:rPr>
          <w:rFonts w:hint="eastAsia" w:ascii="Calibri" w:hAnsi="宋体"/>
          <w:color w:val="auto"/>
          <w:highlight w:val="none"/>
        </w:rPr>
        <w:t>5.2.6发包人和监理单位在工程实施过程中，可以随时对承包人已使用和未使用的工程材料进行抽检，若发现有不合符设计和规范及合同要求的不合格产品，承包人必须对不合格部分工程进行返工至合格为止，并将不合格的材料清出施工现场，否则，发包人按已使用的不合格材料价值的</w:t>
      </w:r>
      <w:r>
        <w:rPr>
          <w:rFonts w:hint="eastAsia" w:ascii="Calibri" w:hAnsi="宋体"/>
          <w:color w:val="auto"/>
          <w:highlight w:val="none"/>
          <w:u w:val="single"/>
        </w:rPr>
        <w:t xml:space="preserve"> 5%</w:t>
      </w:r>
      <w:r>
        <w:rPr>
          <w:rFonts w:hint="eastAsia" w:ascii="Calibri" w:hAnsi="宋体"/>
          <w:color w:val="auto"/>
          <w:highlight w:val="none"/>
        </w:rPr>
        <w:t>处以承包人违约处理金，承包人承担由此引起的一切经济损失（包括全部返工在内）。</w:t>
      </w:r>
    </w:p>
    <w:p w14:paraId="2C68266B">
      <w:pPr>
        <w:spacing w:line="360" w:lineRule="auto"/>
        <w:ind w:firstLine="420" w:firstLineChars="200"/>
        <w:jc w:val="left"/>
        <w:rPr>
          <w:rFonts w:ascii="Calibri" w:hAnsi="宋体"/>
          <w:color w:val="auto"/>
          <w:highlight w:val="none"/>
        </w:rPr>
      </w:pPr>
      <w:r>
        <w:rPr>
          <w:rFonts w:hint="eastAsia" w:ascii="Calibri" w:hAnsi="宋体"/>
          <w:color w:val="auto"/>
          <w:highlight w:val="none"/>
        </w:rPr>
        <w:t>5.2.7发包人在施工过程中的日常工程质量检查，检查发现的工程质量存在不合格时，在发包人或监理发出2次整改通知书后，承包人仍未在规定的时间内整改达到合格要求，则发包人可视其情节轻重，每次处以承包人不少于</w:t>
      </w:r>
      <w:r>
        <w:rPr>
          <w:rFonts w:hint="eastAsia" w:ascii="Calibri" w:hAnsi="宋体"/>
          <w:color w:val="auto"/>
          <w:highlight w:val="none"/>
          <w:u w:val="single"/>
        </w:rPr>
        <w:t>8000</w:t>
      </w:r>
      <w:r>
        <w:rPr>
          <w:rFonts w:hint="eastAsia" w:ascii="Calibri" w:hAnsi="宋体"/>
          <w:color w:val="auto"/>
          <w:highlight w:val="none"/>
        </w:rPr>
        <w:t>元的违约处理金，且工程质量必须无条件返工达到合格要求。</w:t>
      </w:r>
    </w:p>
    <w:p w14:paraId="588A3868">
      <w:pPr>
        <w:spacing w:line="360" w:lineRule="auto"/>
        <w:ind w:firstLine="420" w:firstLineChars="200"/>
        <w:jc w:val="left"/>
        <w:rPr>
          <w:rFonts w:ascii="Calibri" w:hAnsi="宋体"/>
          <w:color w:val="auto"/>
          <w:highlight w:val="none"/>
        </w:rPr>
      </w:pPr>
      <w:r>
        <w:rPr>
          <w:rFonts w:hint="eastAsia" w:ascii="Calibri" w:hAnsi="宋体"/>
          <w:color w:val="auto"/>
          <w:highlight w:val="none"/>
        </w:rPr>
        <w:t>5.2.8承包人若在施工过程中未严格按国家施工规范和操作规程要求进行施工，或者承包人擅自实施未经监理单位及发包人同意的施工方案, 发包人或监理单位在发出</w:t>
      </w:r>
      <w:r>
        <w:rPr>
          <w:rFonts w:ascii="Calibri" w:hAnsi="宋体"/>
          <w:color w:val="auto"/>
          <w:highlight w:val="none"/>
        </w:rPr>
        <w:t>1</w:t>
      </w:r>
      <w:r>
        <w:rPr>
          <w:rFonts w:hint="eastAsia" w:ascii="Calibri" w:hAnsi="宋体"/>
          <w:color w:val="auto"/>
          <w:highlight w:val="none"/>
        </w:rPr>
        <w:t>次整改通知书后，承包人仍未整改，发包人将视其情节轻重，处以承包人每次或每处不少于</w:t>
      </w:r>
      <w:r>
        <w:rPr>
          <w:rFonts w:hint="eastAsia"/>
          <w:color w:val="auto"/>
          <w:highlight w:val="none"/>
        </w:rPr>
        <w:t>10000</w:t>
      </w:r>
      <w:r>
        <w:rPr>
          <w:rFonts w:hint="eastAsia" w:ascii="Calibri" w:hAnsi="宋体"/>
          <w:color w:val="auto"/>
          <w:highlight w:val="none"/>
        </w:rPr>
        <w:t>元的违约处理金。</w:t>
      </w:r>
    </w:p>
    <w:p w14:paraId="2C7889CF">
      <w:pPr>
        <w:spacing w:line="360" w:lineRule="auto"/>
        <w:ind w:firstLine="420" w:firstLineChars="200"/>
        <w:jc w:val="left"/>
        <w:rPr>
          <w:rFonts w:ascii="Calibri" w:hAnsi="宋体"/>
          <w:color w:val="auto"/>
          <w:highlight w:val="none"/>
        </w:rPr>
      </w:pPr>
      <w:r>
        <w:rPr>
          <w:rFonts w:hint="eastAsia" w:ascii="Calibri" w:hAnsi="宋体"/>
          <w:color w:val="auto"/>
          <w:highlight w:val="none"/>
        </w:rPr>
        <w:t>5.2.9经行业主管部门及项目业主予以通报或处罚的，处以</w:t>
      </w:r>
      <w:r>
        <w:rPr>
          <w:rFonts w:hint="eastAsia"/>
          <w:color w:val="auto"/>
          <w:highlight w:val="none"/>
        </w:rPr>
        <w:t>50000元</w:t>
      </w:r>
      <w:r>
        <w:rPr>
          <w:rFonts w:hint="eastAsia" w:ascii="Calibri" w:hAnsi="宋体"/>
          <w:color w:val="auto"/>
          <w:highlight w:val="none"/>
        </w:rPr>
        <w:t>/次罚款。承包人因施工进度慢、质量管理差受到行政监管部门约谈的，发包人可处</w:t>
      </w:r>
      <w:r>
        <w:rPr>
          <w:rFonts w:hint="eastAsia"/>
          <w:color w:val="auto"/>
          <w:highlight w:val="none"/>
        </w:rPr>
        <w:t>50000</w:t>
      </w:r>
      <w:r>
        <w:rPr>
          <w:rFonts w:hint="eastAsia" w:ascii="Calibri" w:hAnsi="宋体"/>
          <w:color w:val="auto"/>
          <w:highlight w:val="none"/>
        </w:rPr>
        <w:t>元/次经济处罚。</w:t>
      </w:r>
    </w:p>
    <w:p w14:paraId="739FA166">
      <w:pPr>
        <w:spacing w:line="360" w:lineRule="auto"/>
        <w:ind w:firstLine="420" w:firstLineChars="200"/>
        <w:jc w:val="left"/>
        <w:rPr>
          <w:color w:val="auto"/>
          <w:highlight w:val="none"/>
        </w:rPr>
      </w:pPr>
      <w:r>
        <w:rPr>
          <w:rFonts w:hint="eastAsia" w:ascii="Calibri" w:hAnsi="宋体"/>
          <w:color w:val="auto"/>
          <w:highlight w:val="none"/>
        </w:rPr>
        <w:t>5.2.10经社会媒体曝光及市民投诉的予以证实后处以</w:t>
      </w:r>
      <w:r>
        <w:rPr>
          <w:rFonts w:hint="eastAsia"/>
          <w:color w:val="auto"/>
          <w:highlight w:val="none"/>
        </w:rPr>
        <w:t>10000</w:t>
      </w:r>
      <w:r>
        <w:rPr>
          <w:rFonts w:hint="eastAsia" w:ascii="Calibri" w:hAnsi="宋体"/>
          <w:color w:val="auto"/>
          <w:highlight w:val="none"/>
        </w:rPr>
        <w:t>元/次罚款。相应罚款在当期进度款中予以扣除</w:t>
      </w:r>
    </w:p>
    <w:p w14:paraId="2C4E1482">
      <w:pPr>
        <w:spacing w:line="360" w:lineRule="auto"/>
        <w:ind w:firstLine="420" w:firstLineChars="200"/>
        <w:jc w:val="left"/>
        <w:rPr>
          <w:color w:val="auto"/>
          <w:highlight w:val="none"/>
        </w:rPr>
      </w:pPr>
      <w:r>
        <w:rPr>
          <w:color w:val="auto"/>
          <w:highlight w:val="none"/>
        </w:rPr>
        <w:t xml:space="preserve">5.3 </w:t>
      </w:r>
      <w:r>
        <w:rPr>
          <w:rFonts w:hint="eastAsia" w:hAnsi="宋体" w:cs="宋体"/>
          <w:color w:val="auto"/>
          <w:highlight w:val="none"/>
        </w:rPr>
        <w:t>隐蔽工程检查</w:t>
      </w:r>
    </w:p>
    <w:p w14:paraId="1C015624">
      <w:pPr>
        <w:spacing w:line="360" w:lineRule="auto"/>
        <w:ind w:firstLine="420" w:firstLineChars="200"/>
        <w:jc w:val="left"/>
        <w:rPr>
          <w:rFonts w:ascii="Calibri" w:hAnsi="宋体"/>
          <w:color w:val="auto"/>
          <w:highlight w:val="none"/>
        </w:rPr>
      </w:pPr>
      <w:r>
        <w:rPr>
          <w:rFonts w:hint="eastAsia" w:ascii="Calibri" w:hAnsi="宋体"/>
          <w:color w:val="auto"/>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C4064F9">
      <w:pPr>
        <w:spacing w:line="360" w:lineRule="auto"/>
        <w:ind w:firstLine="420" w:firstLineChars="200"/>
        <w:jc w:val="left"/>
        <w:rPr>
          <w:rFonts w:ascii="Calibri" w:hAnsi="宋体"/>
          <w:color w:val="auto"/>
          <w:highlight w:val="none"/>
        </w:rPr>
      </w:pPr>
      <w:r>
        <w:rPr>
          <w:rFonts w:hint="eastAsia" w:ascii="Calibri" w:hAnsi="宋体"/>
          <w:color w:val="auto"/>
          <w:highlight w:val="none"/>
        </w:rPr>
        <w:t>5.3.3工程师应在承包人约定时间到达现场进行隐蔽中间验收工作（不得以任何理由改期），如果在约定时间超过两小时内工程师未到现场（有发包方现场代表证明），承包人可自行隐蔽继续施工，后果由工程师承担。但在约定时间承包人未到现场及超过约定时间两小时，工程师可另订时间验收，承包人不得有异议且承担由此引发的责任。</w:t>
      </w:r>
    </w:p>
    <w:p w14:paraId="6363E9E8">
      <w:pPr>
        <w:spacing w:line="360" w:lineRule="auto"/>
        <w:ind w:firstLine="420" w:firstLineChars="200"/>
        <w:jc w:val="left"/>
        <w:rPr>
          <w:rFonts w:ascii="Calibri" w:hAnsi="宋体"/>
          <w:color w:val="auto"/>
          <w:highlight w:val="none"/>
        </w:rPr>
      </w:pPr>
      <w:r>
        <w:rPr>
          <w:rFonts w:hint="eastAsia" w:ascii="Calibri" w:hAnsi="宋体"/>
          <w:color w:val="auto"/>
          <w:highlight w:val="none"/>
        </w:rPr>
        <w:t>5.3.4承包人必须存有完整的隐蔽工程验收资料，其中不限包含工程照片、签好字的签证或现场收方单等资料，并及时更新提交发包人一份存档。如该隐蔽工程资料不齐全或者发现资料造假的，不给予计量。如经抽查发现隐蔽工程质量不合格，每处处以</w:t>
      </w:r>
      <w:r>
        <w:rPr>
          <w:rFonts w:hint="eastAsia"/>
          <w:color w:val="auto"/>
          <w:highlight w:val="none"/>
        </w:rPr>
        <w:t>5000</w:t>
      </w:r>
      <w:r>
        <w:rPr>
          <w:rFonts w:hint="eastAsia" w:ascii="Calibri" w:hAnsi="宋体"/>
          <w:color w:val="auto"/>
          <w:highlight w:val="none"/>
        </w:rPr>
        <w:t>元违约金，并限期由承包人自费返工直至合格。</w:t>
      </w:r>
    </w:p>
    <w:p w14:paraId="12D9355B">
      <w:pPr>
        <w:spacing w:line="360" w:lineRule="auto"/>
        <w:ind w:firstLine="420" w:firstLineChars="200"/>
        <w:jc w:val="left"/>
        <w:rPr>
          <w:rFonts w:ascii="Calibri" w:hAnsi="宋体"/>
          <w:color w:val="auto"/>
          <w:highlight w:val="none"/>
        </w:rPr>
      </w:pPr>
      <w:r>
        <w:rPr>
          <w:rFonts w:hint="eastAsia" w:ascii="Calibri" w:hAnsi="宋体"/>
          <w:color w:val="auto"/>
          <w:highlight w:val="none"/>
        </w:rPr>
        <w:t>5.3.5在工程建设过程中，发包人或监理人将不定期组织对承包人的质量管理进行检查，对未按合同要求执行和现场存在质量隐患问题等情况下达整改通知单，承包人未在指定期限内完成整改的，视为承包违约，发包人有权视情况按</w:t>
      </w:r>
      <w:r>
        <w:rPr>
          <w:rFonts w:hint="eastAsia"/>
          <w:color w:val="auto"/>
          <w:highlight w:val="none"/>
        </w:rPr>
        <w:t>5000-20000</w:t>
      </w:r>
      <w:r>
        <w:rPr>
          <w:rFonts w:hint="eastAsia" w:ascii="Calibri" w:hAnsi="宋体"/>
          <w:color w:val="auto"/>
          <w:highlight w:val="none"/>
        </w:rPr>
        <w:t>元/次处罚，且暂不支付进度款。</w:t>
      </w:r>
    </w:p>
    <w:p w14:paraId="2FD0F932">
      <w:pPr>
        <w:spacing w:line="360" w:lineRule="auto"/>
        <w:ind w:firstLine="420" w:firstLineChars="200"/>
        <w:jc w:val="left"/>
        <w:rPr>
          <w:color w:val="auto"/>
          <w:highlight w:val="none"/>
        </w:rPr>
      </w:pPr>
      <w:r>
        <w:rPr>
          <w:rFonts w:hint="eastAsia" w:hAnsi="宋体" w:cs="宋体"/>
          <w:color w:val="auto"/>
          <w:highlight w:val="none"/>
        </w:rPr>
        <w:t>监理人不能按时进行检查时，应提前</w:t>
      </w:r>
      <w:r>
        <w:rPr>
          <w:rFonts w:hint="eastAsia"/>
          <w:color w:val="auto"/>
          <w:highlight w:val="none"/>
          <w:u w:val="single"/>
        </w:rPr>
        <w:t>24</w:t>
      </w:r>
      <w:r>
        <w:rPr>
          <w:rFonts w:hint="eastAsia" w:hAnsi="宋体" w:cs="宋体"/>
          <w:color w:val="auto"/>
          <w:highlight w:val="none"/>
        </w:rPr>
        <w:t>小时提交书面延期要求。</w:t>
      </w:r>
    </w:p>
    <w:p w14:paraId="0CC4B00A">
      <w:pPr>
        <w:spacing w:line="360" w:lineRule="auto"/>
        <w:ind w:firstLine="420" w:firstLineChars="200"/>
        <w:jc w:val="left"/>
        <w:rPr>
          <w:color w:val="auto"/>
          <w:highlight w:val="none"/>
        </w:rPr>
      </w:pPr>
      <w:r>
        <w:rPr>
          <w:rFonts w:hint="eastAsia" w:hAnsi="宋体" w:cs="宋体"/>
          <w:color w:val="auto"/>
          <w:highlight w:val="none"/>
        </w:rPr>
        <w:t>关于延期最长不得超过：</w:t>
      </w:r>
      <w:r>
        <w:rPr>
          <w:rFonts w:hint="eastAsia"/>
          <w:color w:val="auto"/>
          <w:highlight w:val="none"/>
          <w:u w:val="single"/>
        </w:rPr>
        <w:t>48</w:t>
      </w:r>
      <w:r>
        <w:rPr>
          <w:rFonts w:hint="eastAsia" w:hAnsi="宋体" w:cs="宋体"/>
          <w:color w:val="auto"/>
          <w:highlight w:val="none"/>
        </w:rPr>
        <w:t>小时。</w:t>
      </w:r>
    </w:p>
    <w:p w14:paraId="17A3C851">
      <w:pPr>
        <w:keepNext/>
        <w:keepLines/>
        <w:spacing w:before="260" w:after="260" w:line="413" w:lineRule="auto"/>
        <w:outlineLvl w:val="1"/>
        <w:rPr>
          <w:rFonts w:ascii="Arial" w:hAnsi="Arial" w:eastAsia="黑体"/>
          <w:b/>
          <w:bCs/>
          <w:color w:val="auto"/>
          <w:sz w:val="32"/>
          <w:szCs w:val="32"/>
          <w:highlight w:val="none"/>
        </w:rPr>
      </w:pPr>
      <w:bookmarkStart w:id="444" w:name="_Toc703841976"/>
      <w:bookmarkStart w:id="445" w:name="_Toc373227719"/>
      <w:bookmarkStart w:id="446" w:name="_Toc78449807"/>
      <w:bookmarkStart w:id="447" w:name="_Toc1259019817"/>
      <w:bookmarkStart w:id="448" w:name="_Toc389065285"/>
      <w:bookmarkStart w:id="449" w:name="_Toc407135221"/>
      <w:bookmarkStart w:id="450" w:name="_Toc373478366"/>
      <w:bookmarkStart w:id="451" w:name="_Toc351203638"/>
      <w:r>
        <w:rPr>
          <w:rFonts w:ascii="Arial" w:hAnsi="Arial" w:eastAsia="黑体"/>
          <w:b/>
          <w:bCs/>
          <w:color w:val="auto"/>
          <w:sz w:val="32"/>
          <w:szCs w:val="32"/>
          <w:highlight w:val="none"/>
        </w:rPr>
        <w:t xml:space="preserve">6. </w:t>
      </w:r>
      <w:r>
        <w:rPr>
          <w:rFonts w:hint="eastAsia" w:ascii="Arial" w:hAnsi="Arial" w:eastAsia="黑体" w:cs="黑体"/>
          <w:b/>
          <w:bCs/>
          <w:color w:val="auto"/>
          <w:sz w:val="32"/>
          <w:szCs w:val="32"/>
          <w:highlight w:val="none"/>
        </w:rPr>
        <w:t>安全文明施工与环境保护</w:t>
      </w:r>
      <w:bookmarkEnd w:id="444"/>
      <w:bookmarkEnd w:id="445"/>
      <w:bookmarkEnd w:id="446"/>
      <w:bookmarkEnd w:id="447"/>
      <w:bookmarkEnd w:id="448"/>
      <w:bookmarkEnd w:id="449"/>
      <w:bookmarkEnd w:id="450"/>
      <w:bookmarkEnd w:id="451"/>
    </w:p>
    <w:p w14:paraId="00744CD3">
      <w:pPr>
        <w:keepNext/>
        <w:keepLines/>
        <w:spacing w:line="600" w:lineRule="exact"/>
        <w:ind w:firstLine="643" w:firstLineChars="200"/>
        <w:outlineLvl w:val="2"/>
        <w:rPr>
          <w:b/>
          <w:bCs/>
          <w:color w:val="auto"/>
          <w:sz w:val="32"/>
          <w:szCs w:val="32"/>
          <w:highlight w:val="none"/>
        </w:rPr>
      </w:pPr>
      <w:bookmarkStart w:id="452" w:name="_Toc1296292062"/>
      <w:bookmarkStart w:id="453" w:name="_Toc180514231"/>
      <w:bookmarkStart w:id="454" w:name="_Toc407135222"/>
      <w:bookmarkStart w:id="455" w:name="_Toc373227720"/>
      <w:bookmarkStart w:id="456" w:name="_Toc78449808"/>
      <w:bookmarkStart w:id="457" w:name="_Toc389065286"/>
      <w:bookmarkStart w:id="458" w:name="_Toc373478367"/>
      <w:r>
        <w:rPr>
          <w:b/>
          <w:bCs/>
          <w:color w:val="auto"/>
          <w:sz w:val="32"/>
          <w:szCs w:val="32"/>
          <w:highlight w:val="none"/>
        </w:rPr>
        <w:t xml:space="preserve">6.1 </w:t>
      </w:r>
      <w:r>
        <w:rPr>
          <w:rFonts w:hint="eastAsia" w:cs="黑体"/>
          <w:b/>
          <w:bCs/>
          <w:color w:val="auto"/>
          <w:sz w:val="32"/>
          <w:szCs w:val="32"/>
          <w:highlight w:val="none"/>
        </w:rPr>
        <w:t>安全文明施工</w:t>
      </w:r>
      <w:bookmarkEnd w:id="452"/>
      <w:bookmarkEnd w:id="453"/>
      <w:bookmarkEnd w:id="454"/>
      <w:bookmarkEnd w:id="455"/>
      <w:bookmarkEnd w:id="456"/>
      <w:bookmarkEnd w:id="457"/>
      <w:bookmarkEnd w:id="458"/>
    </w:p>
    <w:p w14:paraId="3C24E250">
      <w:pPr>
        <w:spacing w:line="360" w:lineRule="auto"/>
        <w:ind w:firstLine="420" w:firstLineChars="200"/>
        <w:jc w:val="left"/>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rFonts w:hint="eastAsia" w:ascii="Calibri" w:hAnsi="宋体"/>
          <w:color w:val="auto"/>
          <w:highlight w:val="none"/>
          <w:u w:val="single"/>
        </w:rPr>
        <w:t>承包人必须按照国家法律法规规定配置安全员，工程安全责任事故发生率为0；要求达到《建筑施工安全检查标准》（JGJ59-2011）的标准和符合桂建质【2015】16号文《广西壮族自治区建筑工程安全防护、文明施工措施费及管理细则》的要求。承包人应遵守现行工程建设安全文明施工有关管理规定，严格按专用条款约定的安全文明标准及《工程管理制度》组织施工，创建规范的施工现场，并随时接受行业安全检查人员依法实施的监督检查，采取必要的安全防护措施，消除事故隐患。由于承包人安全文明施工措施不力造成事故的责任和因此发生的费用，由承包人承担（即使在对外法律关系上人民法院判决发包人承担责任，但在承包人与发包人间，由承包人全部承担）</w:t>
      </w:r>
      <w:r>
        <w:rPr>
          <w:rFonts w:hint="eastAsia" w:hAnsi="宋体" w:cs="宋体"/>
          <w:color w:val="auto"/>
          <w:highlight w:val="none"/>
        </w:rPr>
        <w:t>。</w:t>
      </w:r>
    </w:p>
    <w:p w14:paraId="29D8EF4B">
      <w:pPr>
        <w:spacing w:line="360" w:lineRule="auto"/>
        <w:ind w:firstLine="420" w:firstLineChars="200"/>
        <w:jc w:val="left"/>
        <w:rPr>
          <w:color w:val="auto"/>
          <w:highlight w:val="none"/>
        </w:rPr>
      </w:pPr>
      <w:r>
        <w:rPr>
          <w:rFonts w:hint="eastAsia" w:hAnsi="宋体" w:cs="宋体"/>
          <w:color w:val="auto"/>
          <w:highlight w:val="none"/>
        </w:rPr>
        <w:t>关于安全文明施工奖项的约定：</w:t>
      </w:r>
      <w:r>
        <w:rPr>
          <w:rFonts w:hint="eastAsia"/>
          <w:color w:val="auto"/>
          <w:szCs w:val="21"/>
          <w:highlight w:val="none"/>
          <w:u w:val="single"/>
        </w:rPr>
        <w:t>无</w:t>
      </w:r>
      <w:r>
        <w:rPr>
          <w:rFonts w:hint="eastAsia" w:hAnsi="宋体" w:cs="宋体"/>
          <w:color w:val="auto"/>
          <w:highlight w:val="none"/>
        </w:rPr>
        <w:t>。</w:t>
      </w:r>
    </w:p>
    <w:p w14:paraId="769B1BBF">
      <w:pPr>
        <w:spacing w:line="360" w:lineRule="auto"/>
        <w:ind w:firstLine="420" w:firstLineChars="200"/>
        <w:jc w:val="left"/>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35889278">
      <w:pPr>
        <w:spacing w:line="360" w:lineRule="auto"/>
        <w:ind w:firstLine="420" w:firstLineChars="200"/>
        <w:jc w:val="left"/>
        <w:rPr>
          <w:color w:val="auto"/>
          <w:highlight w:val="none"/>
        </w:rPr>
      </w:pPr>
      <w:r>
        <w:rPr>
          <w:rFonts w:hint="eastAsia" w:hAnsi="宋体" w:cs="宋体"/>
          <w:color w:val="auto"/>
          <w:highlight w:val="none"/>
        </w:rPr>
        <w:t>关于编制施工场地治安管理计划的约定：</w:t>
      </w:r>
      <w:r>
        <w:rPr>
          <w:rFonts w:hint="eastAsia" w:ascii="宋体" w:hAnsi="宋体" w:cs="宋体"/>
          <w:color w:val="auto"/>
          <w:highlight w:val="none"/>
          <w:u w:val="single"/>
        </w:rPr>
        <w:t>作为安全文明施工专项方案内容之一，合同签订后7天内 由承包人负责编制完成后由发包人(或监理人)审核同意后实施</w:t>
      </w:r>
      <w:r>
        <w:rPr>
          <w:rFonts w:hint="eastAsia" w:hAnsi="宋体" w:cs="宋体"/>
          <w:color w:val="auto"/>
          <w:highlight w:val="none"/>
        </w:rPr>
        <w:t>。</w:t>
      </w:r>
    </w:p>
    <w:p w14:paraId="58B99539">
      <w:pPr>
        <w:spacing w:line="360" w:lineRule="auto"/>
        <w:ind w:firstLine="420" w:firstLineChars="200"/>
        <w:jc w:val="left"/>
        <w:rPr>
          <w:color w:val="auto"/>
          <w:highlight w:val="none"/>
        </w:rPr>
      </w:pPr>
      <w:r>
        <w:rPr>
          <w:color w:val="auto"/>
          <w:highlight w:val="none"/>
        </w:rPr>
        <w:t xml:space="preserve">6.1.5 </w:t>
      </w:r>
      <w:r>
        <w:rPr>
          <w:rFonts w:hint="eastAsia" w:hAnsi="宋体" w:cs="宋体"/>
          <w:color w:val="auto"/>
          <w:highlight w:val="none"/>
        </w:rPr>
        <w:t>文明施工</w:t>
      </w:r>
    </w:p>
    <w:p w14:paraId="3A0418FC">
      <w:pPr>
        <w:spacing w:line="360" w:lineRule="auto"/>
        <w:ind w:firstLine="420" w:firstLineChars="200"/>
        <w:jc w:val="left"/>
        <w:rPr>
          <w:color w:val="auto"/>
          <w:highlight w:val="none"/>
        </w:rPr>
      </w:pPr>
      <w:r>
        <w:rPr>
          <w:rFonts w:hint="eastAsia" w:hAnsi="宋体" w:cs="宋体"/>
          <w:color w:val="auto"/>
          <w:highlight w:val="none"/>
        </w:rPr>
        <w:t>合同当事人对文明施工的要求：</w:t>
      </w:r>
      <w:r>
        <w:rPr>
          <w:rFonts w:hint="eastAsia" w:hAnsi="宋体" w:cs="宋体"/>
          <w:color w:val="auto"/>
          <w:highlight w:val="none"/>
          <w:u w:val="single"/>
        </w:rPr>
        <w:t>按通用合同条款6.1.5执行</w:t>
      </w:r>
      <w:r>
        <w:rPr>
          <w:rFonts w:hint="eastAsia"/>
          <w:color w:val="auto"/>
          <w:highlight w:val="none"/>
          <w:u w:val="single"/>
        </w:rPr>
        <w:t>。</w:t>
      </w:r>
    </w:p>
    <w:p w14:paraId="7BA3D168">
      <w:pPr>
        <w:spacing w:line="440" w:lineRule="exact"/>
        <w:ind w:firstLine="420" w:firstLineChars="200"/>
        <w:jc w:val="left"/>
        <w:rPr>
          <w:rFonts w:hAnsi="宋体"/>
          <w:color w:val="auto"/>
          <w:highlight w:val="none"/>
        </w:rPr>
      </w:pPr>
      <w:r>
        <w:rPr>
          <w:color w:val="auto"/>
          <w:highlight w:val="none"/>
        </w:rPr>
        <w:t>6.1.6</w:t>
      </w:r>
      <w:r>
        <w:rPr>
          <w:rFonts w:hAnsi="宋体" w:cs="宋体"/>
          <w:color w:val="auto"/>
          <w:kern w:val="0"/>
          <w:highlight w:val="none"/>
        </w:rPr>
        <w:t>关于安全</w:t>
      </w:r>
      <w:r>
        <w:rPr>
          <w:rFonts w:hint="eastAsia" w:hAnsi="宋体" w:cs="宋体"/>
          <w:color w:val="auto"/>
          <w:kern w:val="0"/>
          <w:highlight w:val="none"/>
        </w:rPr>
        <w:t>生产</w:t>
      </w:r>
      <w:r>
        <w:rPr>
          <w:rFonts w:hAnsi="宋体" w:cs="宋体"/>
          <w:color w:val="auto"/>
          <w:kern w:val="0"/>
          <w:highlight w:val="none"/>
        </w:rPr>
        <w:t>费</w:t>
      </w:r>
      <w:r>
        <w:rPr>
          <w:rFonts w:hint="eastAsia" w:hAnsi="宋体" w:cs="宋体"/>
          <w:color w:val="auto"/>
          <w:kern w:val="0"/>
          <w:highlight w:val="none"/>
        </w:rPr>
        <w:t>总额、</w:t>
      </w:r>
      <w:r>
        <w:rPr>
          <w:rFonts w:hAnsi="宋体" w:cs="宋体"/>
          <w:color w:val="auto"/>
          <w:kern w:val="0"/>
          <w:highlight w:val="none"/>
        </w:rPr>
        <w:t>支付比例</w:t>
      </w:r>
      <w:r>
        <w:rPr>
          <w:rFonts w:hint="eastAsia" w:hAnsi="宋体" w:cs="宋体"/>
          <w:color w:val="auto"/>
          <w:kern w:val="0"/>
          <w:highlight w:val="none"/>
        </w:rPr>
        <w:t>、</w:t>
      </w:r>
      <w:r>
        <w:rPr>
          <w:rFonts w:hAnsi="宋体" w:cs="宋体"/>
          <w:color w:val="auto"/>
          <w:kern w:val="0"/>
          <w:highlight w:val="none"/>
        </w:rPr>
        <w:t>支付期限</w:t>
      </w:r>
      <w:r>
        <w:rPr>
          <w:rFonts w:hint="eastAsia" w:hAnsi="宋体" w:cs="宋体"/>
          <w:color w:val="auto"/>
          <w:kern w:val="0"/>
          <w:highlight w:val="none"/>
        </w:rPr>
        <w:t>、转入和结余收回</w:t>
      </w:r>
      <w:r>
        <w:rPr>
          <w:rFonts w:hAnsi="宋体" w:cs="宋体"/>
          <w:color w:val="auto"/>
          <w:kern w:val="0"/>
          <w:highlight w:val="none"/>
        </w:rPr>
        <w:t>的约定：</w:t>
      </w:r>
    </w:p>
    <w:p w14:paraId="24ACC31D">
      <w:pPr>
        <w:autoSpaceDE w:val="0"/>
        <w:autoSpaceDN w:val="0"/>
        <w:adjustRightInd w:val="0"/>
        <w:spacing w:line="440" w:lineRule="exact"/>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）本合同价款已包含安全文明施工费元。</w:t>
      </w:r>
    </w:p>
    <w:p w14:paraId="466FBC94">
      <w:pPr>
        <w:autoSpaceDE w:val="0"/>
        <w:autoSpaceDN w:val="0"/>
        <w:adjustRightInd w:val="0"/>
        <w:spacing w:line="440" w:lineRule="exact"/>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）使用要求：专款专用。具体按</w:t>
      </w:r>
      <w:r>
        <w:rPr>
          <w:rFonts w:hint="eastAsia" w:hAnsi="宋体" w:cs="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s="宋体"/>
          <w:color w:val="auto"/>
          <w:kern w:val="0"/>
          <w:highlight w:val="none"/>
          <w:u w:val="single"/>
        </w:rPr>
        <w:t>〕</w:t>
      </w:r>
      <w:r>
        <w:rPr>
          <w:rFonts w:hAnsi="宋体"/>
          <w:color w:val="auto"/>
          <w:kern w:val="0"/>
          <w:highlight w:val="none"/>
          <w:u w:val="single"/>
        </w:rPr>
        <w:t>16</w:t>
      </w:r>
      <w:r>
        <w:rPr>
          <w:rFonts w:hint="eastAsia" w:hAnsi="宋体" w:cs="宋体"/>
          <w:color w:val="auto"/>
          <w:kern w:val="0"/>
          <w:highlight w:val="none"/>
          <w:u w:val="single"/>
        </w:rPr>
        <w:t>号）</w:t>
      </w:r>
      <w:r>
        <w:rPr>
          <w:rFonts w:hint="eastAsia" w:hAnsi="宋体" w:cs="宋体"/>
          <w:color w:val="auto"/>
          <w:kern w:val="0"/>
          <w:highlight w:val="none"/>
        </w:rPr>
        <w:t>和</w:t>
      </w:r>
      <w:r>
        <w:rPr>
          <w:rFonts w:hint="eastAsia" w:hAnsi="宋体"/>
          <w:color w:val="auto"/>
          <w:kern w:val="0"/>
          <w:highlight w:val="none"/>
          <w:u w:val="single"/>
          <w:lang w:eastAsia="zh-CN"/>
        </w:rPr>
        <w:t>百色</w:t>
      </w:r>
      <w:r>
        <w:rPr>
          <w:rFonts w:hint="eastAsia" w:hAnsi="宋体" w:cs="宋体"/>
          <w:color w:val="auto"/>
          <w:kern w:val="0"/>
          <w:highlight w:val="none"/>
        </w:rPr>
        <w:t>市相关规定执行。</w:t>
      </w:r>
    </w:p>
    <w:p w14:paraId="6EF6BE3A">
      <w:pPr>
        <w:autoSpaceDE w:val="0"/>
        <w:autoSpaceDN w:val="0"/>
        <w:adjustRightInd w:val="0"/>
        <w:spacing w:line="440" w:lineRule="exact"/>
        <w:ind w:firstLine="420" w:firstLineChars="200"/>
        <w:jc w:val="left"/>
        <w:rPr>
          <w:rFonts w:hAnsi="宋体" w:cs="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）支付约定：</w:t>
      </w:r>
      <w:r>
        <w:rPr>
          <w:rFonts w:hint="eastAsia" w:cs="宋体"/>
          <w:color w:val="auto"/>
          <w:kern w:val="0"/>
          <w:highlight w:val="none"/>
        </w:rPr>
        <w:t>在本合同签订后</w:t>
      </w:r>
      <w:r>
        <w:rPr>
          <w:rFonts w:hint="eastAsia"/>
          <w:color w:val="auto"/>
          <w:kern w:val="0"/>
          <w:highlight w:val="none"/>
        </w:rPr>
        <w:t>10</w:t>
      </w:r>
      <w:r>
        <w:rPr>
          <w:rFonts w:hint="eastAsia" w:cs="宋体"/>
          <w:color w:val="auto"/>
          <w:kern w:val="0"/>
          <w:highlight w:val="none"/>
        </w:rPr>
        <w:t>个工作日内，</w:t>
      </w:r>
      <w:r>
        <w:rPr>
          <w:rFonts w:hint="eastAsia" w:ascii="宋体" w:hAnsi="宋体" w:cs="宋体"/>
          <w:b/>
          <w:bCs/>
          <w:color w:val="auto"/>
          <w:kern w:val="0"/>
          <w:szCs w:val="21"/>
          <w:highlight w:val="none"/>
          <w:u w:val="single"/>
        </w:rPr>
        <w:t>施工单位完成临建施工，并经发包人、监理及政府相关职能部门验收合格后支付安全文明措施费的30%</w:t>
      </w:r>
      <w:r>
        <w:rPr>
          <w:rFonts w:hint="eastAsia" w:cs="宋体"/>
          <w:color w:val="auto"/>
          <w:kern w:val="0"/>
          <w:highlight w:val="none"/>
        </w:rPr>
        <w:t>，其余部分与进度款同期支付，安全文明施工费预付款在工程进度款累计金额超过合同价的50%时</w:t>
      </w:r>
      <w:r>
        <w:rPr>
          <w:rFonts w:hint="eastAsia" w:cs="宋体"/>
          <w:color w:val="auto"/>
          <w:kern w:val="0"/>
          <w:highlight w:val="none"/>
          <w:lang w:val="en-US" w:eastAsia="zh-CN"/>
        </w:rPr>
        <w:t>一次性扣回</w:t>
      </w:r>
      <w:r>
        <w:rPr>
          <w:rFonts w:hint="eastAsia" w:hAnsi="宋体" w:cs="宋体"/>
          <w:color w:val="auto"/>
          <w:kern w:val="0"/>
          <w:highlight w:val="none"/>
        </w:rPr>
        <w:t>。</w:t>
      </w:r>
    </w:p>
    <w:p w14:paraId="2169A93B">
      <w:pPr>
        <w:autoSpaceDE w:val="0"/>
        <w:autoSpaceDN w:val="0"/>
        <w:adjustRightInd w:val="0"/>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14:paraId="12013BC8">
      <w:pPr>
        <w:autoSpaceDE w:val="0"/>
        <w:autoSpaceDN w:val="0"/>
        <w:adjustRightInd w:val="0"/>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14:paraId="4C67751F">
      <w:pPr>
        <w:autoSpaceDE w:val="0"/>
        <w:autoSpaceDN w:val="0"/>
        <w:adjustRightInd w:val="0"/>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14:paraId="5764BC4D">
      <w:pPr>
        <w:autoSpaceDE w:val="0"/>
        <w:autoSpaceDN w:val="0"/>
        <w:adjustRightInd w:val="0"/>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（7）安全生产费用专户：××××公司安全生产费用专户。账号：。</w:t>
      </w:r>
    </w:p>
    <w:p w14:paraId="343FEE61">
      <w:pPr>
        <w:autoSpaceDE w:val="0"/>
        <w:autoSpaceDN w:val="0"/>
        <w:adjustRightInd w:val="0"/>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6.1.7在工程建设过程中，发包人或监理人将不定期组织对承包人的安全管理进行检查，对未按合同要求执行和现场存在安全隐患问题等情况下达整改通知单，承包人未在指定期限内完成整改的，视为承包违约，发包人有权视情况按</w:t>
      </w:r>
      <w:r>
        <w:rPr>
          <w:rFonts w:hAnsi="宋体" w:cs="宋体"/>
          <w:color w:val="auto"/>
          <w:kern w:val="0"/>
          <w:highlight w:val="none"/>
        </w:rPr>
        <w:t>5</w:t>
      </w:r>
      <w:r>
        <w:rPr>
          <w:rFonts w:hint="eastAsia" w:hAnsi="宋体" w:cs="宋体"/>
          <w:color w:val="auto"/>
          <w:kern w:val="0"/>
          <w:highlight w:val="none"/>
        </w:rPr>
        <w:t>000~20000元/次处罚，且暂不支付进度款。</w:t>
      </w:r>
    </w:p>
    <w:p w14:paraId="1644FF42">
      <w:pPr>
        <w:keepNext/>
        <w:keepLines/>
        <w:spacing w:line="600" w:lineRule="exact"/>
        <w:ind w:firstLine="643" w:firstLineChars="200"/>
        <w:outlineLvl w:val="2"/>
        <w:rPr>
          <w:b/>
          <w:bCs/>
          <w:color w:val="auto"/>
          <w:sz w:val="32"/>
          <w:szCs w:val="32"/>
          <w:highlight w:val="none"/>
        </w:rPr>
      </w:pPr>
      <w:bookmarkStart w:id="459" w:name="_Toc389065287"/>
      <w:bookmarkStart w:id="460" w:name="_Toc373227721"/>
      <w:bookmarkStart w:id="461" w:name="_Toc1519050792"/>
      <w:bookmarkStart w:id="462" w:name="_Toc1922268668"/>
      <w:bookmarkStart w:id="463" w:name="_Toc78449809"/>
      <w:bookmarkStart w:id="464" w:name="_Toc373478368"/>
      <w:bookmarkStart w:id="465" w:name="_Toc407135223"/>
      <w:r>
        <w:rPr>
          <w:b/>
          <w:bCs/>
          <w:color w:val="auto"/>
          <w:sz w:val="32"/>
          <w:szCs w:val="32"/>
          <w:highlight w:val="none"/>
        </w:rPr>
        <w:t xml:space="preserve">6.3 </w:t>
      </w:r>
      <w:r>
        <w:rPr>
          <w:rFonts w:hint="eastAsia" w:hAnsi="宋体" w:cs="黑体"/>
          <w:b/>
          <w:bCs/>
          <w:color w:val="auto"/>
          <w:sz w:val="32"/>
          <w:szCs w:val="32"/>
          <w:highlight w:val="none"/>
        </w:rPr>
        <w:t>环境保护</w:t>
      </w:r>
      <w:bookmarkEnd w:id="459"/>
      <w:bookmarkEnd w:id="460"/>
      <w:bookmarkEnd w:id="461"/>
      <w:bookmarkEnd w:id="462"/>
      <w:bookmarkEnd w:id="463"/>
      <w:bookmarkEnd w:id="464"/>
      <w:bookmarkEnd w:id="465"/>
    </w:p>
    <w:p w14:paraId="4F6713C2">
      <w:pPr>
        <w:spacing w:line="360" w:lineRule="auto"/>
        <w:ind w:firstLine="420" w:firstLineChars="200"/>
        <w:jc w:val="left"/>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14:paraId="5F917C35">
      <w:pPr>
        <w:spacing w:line="360" w:lineRule="auto"/>
        <w:ind w:firstLine="420" w:firstLineChars="200"/>
        <w:jc w:val="left"/>
        <w:rPr>
          <w:color w:val="auto"/>
          <w:highlight w:val="non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437"/>
    <w:bookmarkEnd w:id="438"/>
    <w:bookmarkEnd w:id="439"/>
    <w:bookmarkEnd w:id="440"/>
    <w:bookmarkEnd w:id="441"/>
    <w:bookmarkEnd w:id="442"/>
    <w:bookmarkEnd w:id="443"/>
    <w:p w14:paraId="727B5E24">
      <w:pPr>
        <w:keepNext/>
        <w:keepLines/>
        <w:spacing w:before="260" w:after="260" w:line="413" w:lineRule="auto"/>
        <w:outlineLvl w:val="1"/>
        <w:rPr>
          <w:rFonts w:ascii="Arial" w:hAnsi="Arial" w:eastAsia="黑体"/>
          <w:b/>
          <w:bCs/>
          <w:color w:val="auto"/>
          <w:sz w:val="32"/>
          <w:szCs w:val="32"/>
          <w:highlight w:val="none"/>
        </w:rPr>
      </w:pPr>
      <w:bookmarkStart w:id="466" w:name="_Toc351203639"/>
      <w:bookmarkStart w:id="467" w:name="_Toc315674767"/>
      <w:bookmarkStart w:id="468" w:name="_Toc407135224"/>
      <w:bookmarkStart w:id="469" w:name="_Toc373227722"/>
      <w:bookmarkStart w:id="470" w:name="_Toc373478369"/>
      <w:bookmarkStart w:id="471" w:name="_Toc389065288"/>
      <w:bookmarkStart w:id="472" w:name="_Toc78449810"/>
      <w:bookmarkStart w:id="473" w:name="_Toc1408286886"/>
      <w:r>
        <w:rPr>
          <w:rFonts w:ascii="Arial" w:hAnsi="Arial" w:eastAsia="黑体"/>
          <w:b/>
          <w:bCs/>
          <w:color w:val="auto"/>
          <w:sz w:val="32"/>
          <w:szCs w:val="32"/>
          <w:highlight w:val="none"/>
        </w:rPr>
        <w:t xml:space="preserve">7. </w:t>
      </w:r>
      <w:r>
        <w:rPr>
          <w:rFonts w:hint="eastAsia" w:ascii="Arial" w:hAnsi="Arial" w:eastAsia="黑体" w:cs="黑体"/>
          <w:b/>
          <w:bCs/>
          <w:color w:val="auto"/>
          <w:sz w:val="32"/>
          <w:szCs w:val="32"/>
          <w:highlight w:val="none"/>
        </w:rPr>
        <w:t>工期和进度</w:t>
      </w:r>
      <w:bookmarkEnd w:id="466"/>
      <w:bookmarkEnd w:id="467"/>
      <w:bookmarkEnd w:id="468"/>
      <w:bookmarkEnd w:id="469"/>
      <w:bookmarkEnd w:id="470"/>
      <w:bookmarkEnd w:id="471"/>
      <w:bookmarkEnd w:id="472"/>
      <w:bookmarkEnd w:id="473"/>
    </w:p>
    <w:p w14:paraId="3C67BF40">
      <w:pPr>
        <w:keepNext/>
        <w:keepLines/>
        <w:spacing w:line="600" w:lineRule="exact"/>
        <w:ind w:firstLine="643" w:firstLineChars="200"/>
        <w:outlineLvl w:val="2"/>
        <w:rPr>
          <w:b/>
          <w:bCs/>
          <w:color w:val="auto"/>
          <w:sz w:val="32"/>
          <w:szCs w:val="32"/>
          <w:highlight w:val="none"/>
        </w:rPr>
      </w:pPr>
      <w:bookmarkStart w:id="474" w:name="_Toc373227723"/>
      <w:bookmarkStart w:id="475" w:name="_Toc389065289"/>
      <w:bookmarkStart w:id="476" w:name="_Toc373478370"/>
      <w:bookmarkStart w:id="477" w:name="_Toc407135225"/>
      <w:bookmarkStart w:id="478" w:name="_Toc664905709"/>
      <w:bookmarkStart w:id="479" w:name="_Toc1194482517"/>
      <w:bookmarkStart w:id="480" w:name="_Toc78449811"/>
      <w:r>
        <w:rPr>
          <w:b/>
          <w:bCs/>
          <w:color w:val="auto"/>
          <w:sz w:val="32"/>
          <w:szCs w:val="32"/>
          <w:highlight w:val="none"/>
        </w:rPr>
        <w:t xml:space="preserve">7.1 </w:t>
      </w:r>
      <w:r>
        <w:rPr>
          <w:rFonts w:hint="eastAsia" w:cs="黑体"/>
          <w:b/>
          <w:bCs/>
          <w:color w:val="auto"/>
          <w:sz w:val="32"/>
          <w:szCs w:val="32"/>
          <w:highlight w:val="none"/>
        </w:rPr>
        <w:t>施工组织设计</w:t>
      </w:r>
      <w:bookmarkEnd w:id="474"/>
      <w:bookmarkEnd w:id="475"/>
      <w:bookmarkEnd w:id="476"/>
      <w:bookmarkEnd w:id="477"/>
      <w:bookmarkEnd w:id="478"/>
      <w:bookmarkEnd w:id="479"/>
      <w:bookmarkEnd w:id="480"/>
    </w:p>
    <w:p w14:paraId="707085AB">
      <w:pPr>
        <w:autoSpaceDE w:val="0"/>
        <w:autoSpaceDN w:val="0"/>
        <w:adjustRightInd w:val="0"/>
        <w:spacing w:line="360" w:lineRule="auto"/>
        <w:ind w:firstLine="420" w:firstLineChars="200"/>
        <w:jc w:val="left"/>
        <w:rPr>
          <w:rFonts w:hint="eastAsia" w:ascii="宋体" w:hAnsi="宋体" w:cs="宋体"/>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rFonts w:hint="eastAsia" w:ascii="宋体" w:hAnsi="宋体" w:cs="宋体"/>
          <w:color w:val="auto"/>
          <w:highlight w:val="none"/>
          <w:u w:val="single"/>
        </w:rPr>
        <w:t xml:space="preserve"> ( 1 ) 施 工 方 案 ； ( 2 ) 施 工</w:t>
      </w:r>
    </w:p>
    <w:p w14:paraId="40368BB6">
      <w:pPr>
        <w:autoSpaceDE w:val="0"/>
        <w:autoSpaceDN w:val="0"/>
        <w:adjustRightInd w:val="0"/>
        <w:spacing w:line="360" w:lineRule="auto"/>
        <w:ind w:firstLine="420" w:firstLineChars="200"/>
        <w:jc w:val="left"/>
        <w:rPr>
          <w:color w:val="auto"/>
          <w:highlight w:val="none"/>
          <w:u w:val="single"/>
        </w:rPr>
      </w:pPr>
      <w:r>
        <w:rPr>
          <w:rFonts w:hint="eastAsia" w:ascii="宋体" w:hAnsi="宋体" w:cs="宋体"/>
          <w:color w:val="auto"/>
          <w:highlight w:val="none"/>
          <w:u w:val="single"/>
        </w:rPr>
        <w:t>现场平面布置图；(3)施工进度计划和保证措施；(4)劳动力及材料供应计划；(5)施 工机械设备的选用；(6)质量保证体系及措施；(7)安全生产、文明施工措施；(8)环境保 护、成本控制措施；(9)合同当事人约定的其他内容</w:t>
      </w:r>
      <w:r>
        <w:rPr>
          <w:rFonts w:hint="eastAsia" w:hAnsi="宋体" w:cs="宋体"/>
          <w:color w:val="auto"/>
          <w:highlight w:val="none"/>
        </w:rPr>
        <w:t>。</w:t>
      </w:r>
    </w:p>
    <w:p w14:paraId="1D3C878F">
      <w:pPr>
        <w:autoSpaceDE w:val="0"/>
        <w:autoSpaceDN w:val="0"/>
        <w:adjustRightInd w:val="0"/>
        <w:spacing w:line="360" w:lineRule="auto"/>
        <w:ind w:firstLine="420" w:firstLineChars="200"/>
        <w:jc w:val="left"/>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14:paraId="3D85D709">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承包人提交详细施工组织设计的期限的约定：</w:t>
      </w:r>
      <w:r>
        <w:rPr>
          <w:rFonts w:hint="eastAsia"/>
          <w:color w:val="auto"/>
          <w:highlight w:val="none"/>
          <w:u w:val="single"/>
        </w:rPr>
        <w:t>承包人在图纸会审和设计交底之日起七天内提供施工组织设计（施工方案）和工程进度计划。发包人对合同签定后的施工组织设计的确认是对施工组织设计可行性的确认，并不是对所涉及费用的确认，施工组织设计属承包人自身的施工措施。承包人应对全部现场作业和施工方法的完备性、稳定性和安全性承担全部法律责任及经济责任。发包人的批准仅为本工程管理程序中的确认，不承担技术及其它责任</w:t>
      </w:r>
      <w:r>
        <w:rPr>
          <w:rFonts w:hint="eastAsia" w:hAnsi="宋体" w:cs="宋体"/>
          <w:color w:val="auto"/>
          <w:highlight w:val="none"/>
        </w:rPr>
        <w:t>。</w:t>
      </w:r>
    </w:p>
    <w:p w14:paraId="6C7E5D47">
      <w:pPr>
        <w:spacing w:line="360" w:lineRule="auto"/>
        <w:ind w:firstLine="420" w:firstLineChars="200"/>
        <w:jc w:val="left"/>
        <w:rPr>
          <w:color w:val="auto"/>
          <w:highlight w:val="none"/>
        </w:rPr>
      </w:pPr>
      <w:r>
        <w:rPr>
          <w:rFonts w:hint="eastAsia" w:hAnsi="宋体" w:cs="宋体"/>
          <w:color w:val="auto"/>
          <w:highlight w:val="none"/>
        </w:rPr>
        <w:t>发包人和监理人在收到详细的施工组织设计后确认或提出修改意见的期限：</w:t>
      </w:r>
      <w:r>
        <w:rPr>
          <w:rFonts w:hint="eastAsia" w:ascii="宋体" w:hAnsi="宋体" w:cs="宋体"/>
          <w:color w:val="auto"/>
          <w:highlight w:val="none"/>
          <w:u w:val="single"/>
        </w:rPr>
        <w:t>发包人和监理 人应在监理人收到施工组织设计后7个有效工作日内确认或提出修改意见</w:t>
      </w:r>
      <w:r>
        <w:rPr>
          <w:rFonts w:hint="eastAsia" w:hAnsi="宋体" w:cs="宋体"/>
          <w:color w:val="auto"/>
          <w:highlight w:val="none"/>
        </w:rPr>
        <w:t>。</w:t>
      </w:r>
    </w:p>
    <w:p w14:paraId="0A00FD24">
      <w:pPr>
        <w:keepNext/>
        <w:keepLines/>
        <w:spacing w:line="600" w:lineRule="exact"/>
        <w:ind w:firstLine="643" w:firstLineChars="200"/>
        <w:outlineLvl w:val="2"/>
        <w:rPr>
          <w:b/>
          <w:bCs/>
          <w:color w:val="auto"/>
          <w:sz w:val="32"/>
          <w:szCs w:val="32"/>
          <w:highlight w:val="none"/>
        </w:rPr>
      </w:pPr>
      <w:bookmarkStart w:id="481" w:name="_Toc78449812"/>
      <w:bookmarkStart w:id="482" w:name="_Toc373478371"/>
      <w:bookmarkStart w:id="483" w:name="_Toc373227724"/>
      <w:bookmarkStart w:id="484" w:name="_Toc1674747833"/>
      <w:bookmarkStart w:id="485" w:name="_Toc407135226"/>
      <w:bookmarkStart w:id="486" w:name="_Toc389065290"/>
      <w:bookmarkStart w:id="487" w:name="_Toc1393005721"/>
      <w:r>
        <w:rPr>
          <w:b/>
          <w:bCs/>
          <w:color w:val="auto"/>
          <w:sz w:val="32"/>
          <w:szCs w:val="32"/>
          <w:highlight w:val="none"/>
        </w:rPr>
        <w:t>7</w:t>
      </w:r>
      <w:bookmarkStart w:id="488" w:name="_Toc297123514"/>
      <w:bookmarkStart w:id="489" w:name="_Toc300934966"/>
      <w:bookmarkStart w:id="490" w:name="_Toc304295541"/>
      <w:bookmarkStart w:id="491" w:name="_Toc312677479"/>
      <w:bookmarkStart w:id="492" w:name="_Toc303539123"/>
      <w:bookmarkStart w:id="493" w:name="_Toc297216173"/>
      <w:bookmarkStart w:id="494" w:name="_Toc312678005"/>
      <w:r>
        <w:rPr>
          <w:b/>
          <w:bCs/>
          <w:color w:val="auto"/>
          <w:sz w:val="32"/>
          <w:szCs w:val="32"/>
          <w:highlight w:val="none"/>
        </w:rPr>
        <w:t xml:space="preserve">.2 </w:t>
      </w:r>
      <w:r>
        <w:rPr>
          <w:rFonts w:hint="eastAsia" w:cs="黑体"/>
          <w:b/>
          <w:bCs/>
          <w:color w:val="auto"/>
          <w:sz w:val="32"/>
          <w:szCs w:val="32"/>
          <w:highlight w:val="none"/>
        </w:rPr>
        <w:t>施工进度计划</w:t>
      </w:r>
      <w:bookmarkEnd w:id="481"/>
      <w:bookmarkEnd w:id="482"/>
      <w:bookmarkEnd w:id="483"/>
      <w:bookmarkEnd w:id="484"/>
      <w:bookmarkEnd w:id="485"/>
      <w:bookmarkEnd w:id="486"/>
      <w:bookmarkEnd w:id="487"/>
    </w:p>
    <w:p w14:paraId="6C605EFE">
      <w:pPr>
        <w:spacing w:line="360" w:lineRule="auto"/>
        <w:ind w:firstLine="420" w:firstLineChars="200"/>
        <w:jc w:val="left"/>
        <w:rPr>
          <w:color w:val="auto"/>
          <w:highlight w:val="none"/>
        </w:rPr>
      </w:pPr>
      <w:r>
        <w:rPr>
          <w:color w:val="auto"/>
          <w:highlight w:val="none"/>
        </w:rPr>
        <w:t xml:space="preserve">7.2.2 </w:t>
      </w:r>
      <w:r>
        <w:rPr>
          <w:rFonts w:hint="eastAsia" w:hAnsi="宋体" w:cs="宋体"/>
          <w:color w:val="auto"/>
          <w:highlight w:val="none"/>
        </w:rPr>
        <w:t>施工进度计划的修订</w:t>
      </w:r>
    </w:p>
    <w:p w14:paraId="2E64BBD7">
      <w:pPr>
        <w:spacing w:line="360" w:lineRule="auto"/>
        <w:ind w:firstLine="420" w:firstLineChars="200"/>
        <w:jc w:val="left"/>
        <w:rPr>
          <w:rFonts w:hAnsi="宋体" w:cs="宋体"/>
          <w:color w:val="auto"/>
          <w:highlight w:val="none"/>
        </w:rPr>
      </w:pPr>
      <w:r>
        <w:rPr>
          <w:rFonts w:hint="eastAsia" w:hAnsi="宋体" w:cs="宋体"/>
          <w:color w:val="auto"/>
          <w:highlight w:val="none"/>
        </w:rPr>
        <w:t>发包人和监理人在收到修订的施工进度计划后确认或提出修改意见的期限：</w:t>
      </w:r>
      <w:r>
        <w:rPr>
          <w:rFonts w:hint="eastAsia" w:ascii="宋体" w:hAnsi="宋体" w:cs="宋体"/>
          <w:color w:val="auto"/>
          <w:highlight w:val="none"/>
          <w:u w:val="single"/>
        </w:rPr>
        <w:t>收到之后</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rPr>
        <w:t>日内</w:t>
      </w:r>
      <w:r>
        <w:rPr>
          <w:rFonts w:hint="eastAsia" w:hAnsi="宋体" w:cs="宋体"/>
          <w:color w:val="auto"/>
          <w:highlight w:val="none"/>
        </w:rPr>
        <w:t>。</w:t>
      </w:r>
    </w:p>
    <w:p w14:paraId="1965D9A3">
      <w:pPr>
        <w:keepNext/>
        <w:keepLines/>
        <w:spacing w:line="600" w:lineRule="exact"/>
        <w:ind w:firstLine="643" w:firstLineChars="200"/>
        <w:outlineLvl w:val="2"/>
        <w:rPr>
          <w:b/>
          <w:bCs/>
          <w:color w:val="auto"/>
          <w:sz w:val="32"/>
          <w:szCs w:val="32"/>
          <w:highlight w:val="none"/>
        </w:rPr>
      </w:pPr>
      <w:bookmarkStart w:id="495" w:name="_Toc1498273563"/>
      <w:bookmarkStart w:id="496" w:name="_Toc407135227"/>
      <w:bookmarkStart w:id="497" w:name="_Toc389065291"/>
      <w:bookmarkStart w:id="498" w:name="_Toc423062567"/>
      <w:bookmarkStart w:id="499" w:name="_Toc78449813"/>
      <w:bookmarkStart w:id="500" w:name="_Toc373478372"/>
      <w:bookmarkStart w:id="501" w:name="_Toc373227725"/>
      <w:r>
        <w:rPr>
          <w:b/>
          <w:bCs/>
          <w:color w:val="auto"/>
          <w:sz w:val="32"/>
          <w:szCs w:val="32"/>
          <w:highlight w:val="none"/>
        </w:rPr>
        <w:t xml:space="preserve">7.3 </w:t>
      </w:r>
      <w:r>
        <w:rPr>
          <w:rFonts w:hint="eastAsia" w:cs="黑体"/>
          <w:b/>
          <w:bCs/>
          <w:color w:val="auto"/>
          <w:sz w:val="32"/>
          <w:szCs w:val="32"/>
          <w:highlight w:val="none"/>
        </w:rPr>
        <w:t>开工</w:t>
      </w:r>
      <w:bookmarkEnd w:id="495"/>
      <w:bookmarkEnd w:id="496"/>
      <w:bookmarkEnd w:id="497"/>
      <w:bookmarkEnd w:id="498"/>
      <w:bookmarkEnd w:id="499"/>
      <w:bookmarkEnd w:id="500"/>
      <w:bookmarkEnd w:id="501"/>
    </w:p>
    <w:p w14:paraId="70365241">
      <w:pPr>
        <w:spacing w:line="360" w:lineRule="auto"/>
        <w:ind w:firstLine="420" w:firstLineChars="200"/>
        <w:jc w:val="left"/>
        <w:rPr>
          <w:color w:val="auto"/>
          <w:highlight w:val="none"/>
        </w:rPr>
      </w:pPr>
      <w:r>
        <w:rPr>
          <w:color w:val="auto"/>
          <w:highlight w:val="none"/>
        </w:rPr>
        <w:t xml:space="preserve">7.3.1 </w:t>
      </w:r>
      <w:r>
        <w:rPr>
          <w:rFonts w:hint="eastAsia" w:hAnsi="宋体" w:cs="宋体"/>
          <w:color w:val="auto"/>
          <w:highlight w:val="none"/>
        </w:rPr>
        <w:t>开工准备</w:t>
      </w:r>
    </w:p>
    <w:p w14:paraId="316EF12F">
      <w:pPr>
        <w:spacing w:line="360" w:lineRule="auto"/>
        <w:ind w:firstLine="426"/>
        <w:jc w:val="left"/>
        <w:rPr>
          <w:color w:val="auto"/>
          <w:highlight w:val="none"/>
          <w:u w:val="single"/>
        </w:rPr>
      </w:pPr>
      <w:r>
        <w:rPr>
          <w:rFonts w:hint="eastAsia" w:hAnsi="宋体" w:cs="宋体"/>
          <w:color w:val="auto"/>
          <w:highlight w:val="none"/>
        </w:rPr>
        <w:t>关于承包人提交</w:t>
      </w:r>
      <w:r>
        <w:rPr>
          <w:rFonts w:hint="eastAsia" w:hAnsi="宋体" w:cs="宋体"/>
          <w:color w:val="auto"/>
          <w:kern w:val="0"/>
          <w:highlight w:val="none"/>
        </w:rPr>
        <w:t>工程开工报审表的期限：</w:t>
      </w:r>
      <w:r>
        <w:rPr>
          <w:rFonts w:hint="eastAsia" w:ascii="宋体" w:hAnsi="宋体" w:cs="宋体"/>
          <w:color w:val="auto"/>
          <w:highlight w:val="none"/>
          <w:u w:val="single"/>
        </w:rPr>
        <w:t>承包人在图纸会审和设计交底之日起7天内报送</w:t>
      </w:r>
      <w:r>
        <w:rPr>
          <w:rFonts w:hint="eastAsia" w:hAnsi="宋体" w:cs="宋体"/>
          <w:color w:val="auto"/>
          <w:highlight w:val="none"/>
        </w:rPr>
        <w:t>。</w:t>
      </w:r>
    </w:p>
    <w:p w14:paraId="06FB01A3">
      <w:pPr>
        <w:spacing w:line="360" w:lineRule="auto"/>
        <w:ind w:firstLine="426"/>
        <w:jc w:val="left"/>
        <w:rPr>
          <w:color w:val="auto"/>
          <w:highlight w:val="none"/>
          <w:u w:val="single"/>
        </w:rPr>
      </w:pPr>
      <w:r>
        <w:rPr>
          <w:rFonts w:hint="eastAsia" w:hAnsi="宋体" w:cs="宋体"/>
          <w:color w:val="auto"/>
          <w:highlight w:val="none"/>
        </w:rPr>
        <w:t>关于发包人应完成的其他开工准备工作及期限：</w:t>
      </w:r>
      <w:r>
        <w:rPr>
          <w:rFonts w:hint="eastAsia" w:ascii="宋体" w:hAnsi="宋体" w:cs="宋体"/>
          <w:color w:val="auto"/>
          <w:highlight w:val="none"/>
          <w:u w:val="single"/>
        </w:rPr>
        <w:t>按本合同《通用条款》相关规定执行</w:t>
      </w:r>
      <w:r>
        <w:rPr>
          <w:rFonts w:hint="eastAsia" w:hAnsi="宋体" w:cs="宋体"/>
          <w:color w:val="auto"/>
          <w:highlight w:val="none"/>
        </w:rPr>
        <w:t>。</w:t>
      </w:r>
    </w:p>
    <w:p w14:paraId="728D5EC0">
      <w:pPr>
        <w:spacing w:line="360" w:lineRule="auto"/>
        <w:ind w:firstLine="420" w:firstLineChars="200"/>
        <w:jc w:val="left"/>
        <w:rPr>
          <w:color w:val="auto"/>
          <w:highlight w:val="none"/>
          <w:u w:val="single"/>
        </w:rPr>
      </w:pPr>
      <w:r>
        <w:rPr>
          <w:rFonts w:hint="eastAsia" w:hAnsi="宋体" w:cs="宋体"/>
          <w:color w:val="auto"/>
          <w:highlight w:val="none"/>
        </w:rPr>
        <w:t>关于承包人应完成的其他开工准备工作及期限：</w:t>
      </w:r>
      <w:r>
        <w:rPr>
          <w:rFonts w:hint="eastAsia" w:ascii="宋体" w:hAnsi="宋体" w:cs="宋体"/>
          <w:color w:val="auto"/>
          <w:highlight w:val="none"/>
          <w:u w:val="single"/>
        </w:rPr>
        <w:t>按本合同《通用条款》相关规定执行</w:t>
      </w:r>
      <w:r>
        <w:rPr>
          <w:rFonts w:hint="eastAsia" w:hAnsi="宋体" w:cs="宋体"/>
          <w:color w:val="auto"/>
          <w:highlight w:val="none"/>
        </w:rPr>
        <w:t>。</w:t>
      </w:r>
    </w:p>
    <w:p w14:paraId="2B1AF8E4">
      <w:pPr>
        <w:spacing w:line="360" w:lineRule="auto"/>
        <w:ind w:firstLine="420" w:firstLineChars="200"/>
        <w:jc w:val="left"/>
        <w:rPr>
          <w:color w:val="auto"/>
          <w:highlight w:val="none"/>
        </w:rPr>
      </w:pPr>
      <w:r>
        <w:rPr>
          <w:color w:val="auto"/>
          <w:highlight w:val="none"/>
        </w:rPr>
        <w:t xml:space="preserve">7.3.2 </w:t>
      </w:r>
      <w:r>
        <w:rPr>
          <w:rFonts w:hint="eastAsia" w:hAnsi="宋体" w:cs="宋体"/>
          <w:color w:val="auto"/>
          <w:highlight w:val="none"/>
        </w:rPr>
        <w:t>开工通知</w:t>
      </w:r>
    </w:p>
    <w:p w14:paraId="2D824A36">
      <w:pPr>
        <w:spacing w:line="360" w:lineRule="auto"/>
        <w:ind w:firstLine="420" w:firstLineChars="200"/>
        <w:jc w:val="left"/>
        <w:rPr>
          <w:color w:val="auto"/>
          <w:highlight w:val="none"/>
        </w:rPr>
      </w:pPr>
      <w:r>
        <w:rPr>
          <w:rFonts w:hint="eastAsia" w:hAnsi="宋体" w:cs="宋体"/>
          <w:color w:val="auto"/>
          <w:highlight w:val="none"/>
        </w:rPr>
        <w:t>因发包人原因造成监理人未能在计划开工日期之日起</w:t>
      </w:r>
      <w:r>
        <w:rPr>
          <w:rFonts w:hint="eastAsia"/>
          <w:color w:val="auto"/>
          <w:highlight w:val="none"/>
          <w:u w:val="single"/>
        </w:rPr>
        <w:t>90</w:t>
      </w:r>
      <w:r>
        <w:rPr>
          <w:rFonts w:hint="eastAsia" w:hAnsi="宋体" w:cs="宋体"/>
          <w:color w:val="auto"/>
          <w:highlight w:val="none"/>
        </w:rPr>
        <w:t>天内发出开工通知的，承包人有权提出价格调整要求，或者解除合同。</w:t>
      </w:r>
    </w:p>
    <w:bookmarkEnd w:id="488"/>
    <w:bookmarkEnd w:id="489"/>
    <w:bookmarkEnd w:id="490"/>
    <w:bookmarkEnd w:id="491"/>
    <w:bookmarkEnd w:id="492"/>
    <w:bookmarkEnd w:id="493"/>
    <w:bookmarkEnd w:id="494"/>
    <w:p w14:paraId="0FE723C2">
      <w:pPr>
        <w:keepNext/>
        <w:keepLines/>
        <w:spacing w:line="600" w:lineRule="exact"/>
        <w:ind w:firstLine="643" w:firstLineChars="200"/>
        <w:outlineLvl w:val="2"/>
        <w:rPr>
          <w:b/>
          <w:bCs/>
          <w:color w:val="auto"/>
          <w:sz w:val="32"/>
          <w:szCs w:val="32"/>
          <w:highlight w:val="none"/>
        </w:rPr>
      </w:pPr>
      <w:bookmarkStart w:id="502" w:name="_Toc741356765"/>
      <w:bookmarkStart w:id="503" w:name="_Toc407135228"/>
      <w:bookmarkStart w:id="504" w:name="_Toc373227726"/>
      <w:bookmarkStart w:id="505" w:name="_Toc86855608"/>
      <w:bookmarkStart w:id="506" w:name="_Toc78449814"/>
      <w:bookmarkStart w:id="507" w:name="_Toc373478373"/>
      <w:bookmarkStart w:id="508" w:name="_Toc389065292"/>
      <w:r>
        <w:rPr>
          <w:b/>
          <w:bCs/>
          <w:color w:val="auto"/>
          <w:sz w:val="32"/>
          <w:szCs w:val="32"/>
          <w:highlight w:val="none"/>
        </w:rPr>
        <w:t xml:space="preserve">7.4 </w:t>
      </w:r>
      <w:r>
        <w:rPr>
          <w:rFonts w:hint="eastAsia" w:hAnsi="宋体" w:cs="黑体"/>
          <w:b/>
          <w:bCs/>
          <w:color w:val="auto"/>
          <w:sz w:val="32"/>
          <w:szCs w:val="32"/>
          <w:highlight w:val="none"/>
        </w:rPr>
        <w:t>测量放线</w:t>
      </w:r>
      <w:bookmarkEnd w:id="502"/>
      <w:bookmarkEnd w:id="503"/>
      <w:bookmarkEnd w:id="504"/>
      <w:bookmarkEnd w:id="505"/>
      <w:bookmarkEnd w:id="506"/>
      <w:bookmarkEnd w:id="507"/>
      <w:bookmarkEnd w:id="508"/>
    </w:p>
    <w:p w14:paraId="6FB713ED">
      <w:pPr>
        <w:spacing w:line="360" w:lineRule="auto"/>
        <w:ind w:firstLine="420" w:firstLineChars="200"/>
        <w:jc w:val="left"/>
        <w:rPr>
          <w:rFonts w:hAnsi="宋体"/>
          <w:color w:val="auto"/>
          <w:highlight w:val="non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p>
    <w:p w14:paraId="3B8DB88D">
      <w:pPr>
        <w:spacing w:line="360" w:lineRule="auto"/>
        <w:jc w:val="left"/>
        <w:rPr>
          <w:color w:val="auto"/>
          <w:highlight w:val="none"/>
          <w:u w:val="single"/>
        </w:rPr>
      </w:pPr>
      <w:r>
        <w:rPr>
          <w:rFonts w:hint="eastAsia" w:ascii="宋体" w:hAnsi="宋体" w:cs="宋体"/>
          <w:color w:val="auto"/>
          <w:highlight w:val="none"/>
          <w:u w:val="single"/>
        </w:rPr>
        <w:t>开工前 7 天，以书面形式交给承包人，双方现场进行交验</w:t>
      </w:r>
      <w:r>
        <w:rPr>
          <w:rFonts w:hint="eastAsia" w:hAnsi="宋体" w:cs="宋体"/>
          <w:color w:val="auto"/>
          <w:highlight w:val="none"/>
        </w:rPr>
        <w:t>。</w:t>
      </w:r>
    </w:p>
    <w:p w14:paraId="2A9049C8">
      <w:pPr>
        <w:keepNext/>
        <w:keepLines/>
        <w:spacing w:line="600" w:lineRule="exact"/>
        <w:ind w:firstLine="643" w:firstLineChars="200"/>
        <w:outlineLvl w:val="2"/>
        <w:rPr>
          <w:b/>
          <w:bCs/>
          <w:color w:val="auto"/>
          <w:sz w:val="32"/>
          <w:szCs w:val="32"/>
          <w:highlight w:val="none"/>
        </w:rPr>
      </w:pPr>
      <w:bookmarkStart w:id="509" w:name="_Toc78449815"/>
      <w:bookmarkStart w:id="510" w:name="_Toc373478374"/>
      <w:bookmarkStart w:id="511" w:name="_Toc407135229"/>
      <w:bookmarkStart w:id="512" w:name="_Toc1417437583"/>
      <w:bookmarkStart w:id="513" w:name="_Toc389065293"/>
      <w:bookmarkStart w:id="514" w:name="_Toc1863025072"/>
      <w:bookmarkStart w:id="515" w:name="_Toc373227727"/>
      <w:r>
        <w:rPr>
          <w:b/>
          <w:bCs/>
          <w:color w:val="auto"/>
          <w:sz w:val="32"/>
          <w:szCs w:val="32"/>
          <w:highlight w:val="none"/>
        </w:rPr>
        <w:t>7</w:t>
      </w:r>
      <w:bookmarkStart w:id="516" w:name="_Toc297216175"/>
      <w:bookmarkStart w:id="517" w:name="_Toc312677484"/>
      <w:bookmarkStart w:id="518" w:name="_Toc312678010"/>
      <w:bookmarkStart w:id="519" w:name="_Toc300934968"/>
      <w:bookmarkStart w:id="520" w:name="_Toc297123516"/>
      <w:bookmarkStart w:id="521" w:name="_Toc303539125"/>
      <w:bookmarkStart w:id="522" w:name="_Toc304295546"/>
      <w:r>
        <w:rPr>
          <w:b/>
          <w:bCs/>
          <w:color w:val="auto"/>
          <w:sz w:val="32"/>
          <w:szCs w:val="32"/>
          <w:highlight w:val="none"/>
        </w:rPr>
        <w:t xml:space="preserve">.5 </w:t>
      </w:r>
      <w:r>
        <w:rPr>
          <w:rFonts w:hint="eastAsia" w:hAnsi="宋体" w:cs="黑体"/>
          <w:b/>
          <w:bCs/>
          <w:color w:val="auto"/>
          <w:sz w:val="32"/>
          <w:szCs w:val="32"/>
          <w:highlight w:val="none"/>
        </w:rPr>
        <w:t>工期延误</w:t>
      </w:r>
      <w:bookmarkEnd w:id="509"/>
      <w:bookmarkEnd w:id="510"/>
      <w:bookmarkEnd w:id="511"/>
      <w:bookmarkEnd w:id="512"/>
      <w:bookmarkEnd w:id="513"/>
      <w:bookmarkEnd w:id="514"/>
      <w:bookmarkEnd w:id="515"/>
    </w:p>
    <w:bookmarkEnd w:id="516"/>
    <w:bookmarkEnd w:id="517"/>
    <w:bookmarkEnd w:id="518"/>
    <w:bookmarkEnd w:id="519"/>
    <w:bookmarkEnd w:id="520"/>
    <w:bookmarkEnd w:id="521"/>
    <w:bookmarkEnd w:id="522"/>
    <w:p w14:paraId="5BFDFB7B">
      <w:pPr>
        <w:spacing w:line="360" w:lineRule="auto"/>
        <w:ind w:firstLine="420" w:firstLineChars="200"/>
        <w:jc w:val="left"/>
        <w:rPr>
          <w:color w:val="auto"/>
          <w:highlight w:val="none"/>
        </w:rPr>
      </w:pPr>
      <w:r>
        <w:rPr>
          <w:color w:val="auto"/>
          <w:highlight w:val="none"/>
        </w:rPr>
        <w:t xml:space="preserve">7.5.1 </w:t>
      </w:r>
      <w:r>
        <w:rPr>
          <w:rFonts w:hint="eastAsia" w:hAnsi="宋体" w:cs="宋体"/>
          <w:color w:val="auto"/>
          <w:highlight w:val="none"/>
        </w:rPr>
        <w:t>因发包人原因导致工期延误</w:t>
      </w:r>
    </w:p>
    <w:p w14:paraId="5ABD6D17">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cs="宋体"/>
          <w:color w:val="auto"/>
          <w:szCs w:val="21"/>
          <w:highlight w:val="none"/>
          <w:u w:val="single"/>
        </w:rPr>
        <w:t>①重大图纸变更（涉及使用功能、建筑平面布置、结构形式、建设规模等变更）影响关健线路工序施工；②施工期间如因停电、停水连续8小时以上影响正常施工的；③政府指令该项目停工；④在施工过程中遇到地下水、地下障碍物、淤泥、流砂、溶洞、岩石、文物或地下管线或地基处理等影响关健线路工序施工的；⑤因发包人未能及时确认变更价格或甲供材料提供延误的；⑥不可抗力造成的工期延误情形；⑦因发包人原因造成的延误开工、施工障碍、停建、缓建等情况；⑧发包人未能按专用条款的约定提供图纸及开工条件；⑨政府重大活动发布要求停工命令（中高考期间除外）</w:t>
      </w:r>
      <w:r>
        <w:rPr>
          <w:rFonts w:hint="eastAsia" w:hAnsi="宋体" w:cs="宋体"/>
          <w:color w:val="auto"/>
          <w:highlight w:val="none"/>
        </w:rPr>
        <w:t>。</w:t>
      </w:r>
    </w:p>
    <w:p w14:paraId="2271BC2C">
      <w:pPr>
        <w:spacing w:line="360" w:lineRule="auto"/>
        <w:ind w:firstLine="420" w:firstLineChars="200"/>
        <w:jc w:val="left"/>
        <w:rPr>
          <w:color w:val="auto"/>
          <w:highlight w:val="none"/>
        </w:rPr>
      </w:pPr>
      <w:r>
        <w:rPr>
          <w:color w:val="auto"/>
          <w:highlight w:val="none"/>
        </w:rPr>
        <w:t>7</w:t>
      </w:r>
      <w:bookmarkStart w:id="523" w:name="_Toc318581169"/>
      <w:bookmarkStart w:id="524" w:name="_Toc312677486"/>
      <w:bookmarkStart w:id="525" w:name="_Toc312678012"/>
      <w:bookmarkStart w:id="526" w:name="_Toc304295548"/>
      <w:bookmarkStart w:id="527" w:name="_Toc297216177"/>
      <w:bookmarkStart w:id="528" w:name="_Toc297123518"/>
      <w:bookmarkStart w:id="529" w:name="_Toc303539127"/>
      <w:bookmarkStart w:id="530" w:name="_Toc300934970"/>
      <w:r>
        <w:rPr>
          <w:color w:val="auto"/>
          <w:highlight w:val="none"/>
        </w:rPr>
        <w:t xml:space="preserve">.5.2 </w:t>
      </w:r>
      <w:r>
        <w:rPr>
          <w:rFonts w:hint="eastAsia" w:hAnsi="宋体" w:cs="宋体"/>
          <w:color w:val="auto"/>
          <w:highlight w:val="none"/>
        </w:rPr>
        <w:t>因承包人原因导致工期延误</w:t>
      </w:r>
    </w:p>
    <w:bookmarkEnd w:id="523"/>
    <w:bookmarkEnd w:id="524"/>
    <w:bookmarkEnd w:id="525"/>
    <w:p w14:paraId="72DEC739">
      <w:pPr>
        <w:spacing w:line="360" w:lineRule="auto"/>
        <w:ind w:firstLine="420" w:firstLineChars="200"/>
        <w:jc w:val="left"/>
        <w:rPr>
          <w:color w:val="auto"/>
          <w:highlight w:val="none"/>
        </w:rPr>
      </w:pPr>
      <w:r>
        <w:rPr>
          <w:rFonts w:hint="eastAsia" w:hAnsi="宋体" w:cs="宋体"/>
          <w:color w:val="auto"/>
          <w:highlight w:val="none"/>
        </w:rPr>
        <w:t>双方约定经监理工程师确认，工期相应顺延的情况：</w:t>
      </w:r>
      <w:r>
        <w:rPr>
          <w:rFonts w:hint="eastAsia" w:ascii="宋体" w:hAnsi="宋体" w:cs="宋体"/>
          <w:color w:val="auto"/>
          <w:highlight w:val="none"/>
          <w:u w:val="single"/>
        </w:rPr>
        <w:t>不可抗拒力的原因或其他非承包人原因（如施工期间再次出现疫情严重，导致再次停工（以政府相关部门通知为准），导致合同工期延误的，按本合同相关条款执行，合同未约定或约定不明的参照《自治区住房城乡建设厅关于新冠肺炎疫情防控期间建设工程计价的指导意见》的第一款执行）</w:t>
      </w:r>
      <w:r>
        <w:rPr>
          <w:rFonts w:hint="eastAsia" w:hAnsi="宋体" w:cs="宋体"/>
          <w:color w:val="auto"/>
          <w:highlight w:val="none"/>
        </w:rPr>
        <w:t>。</w:t>
      </w:r>
    </w:p>
    <w:p w14:paraId="5A2EEF43">
      <w:pPr>
        <w:spacing w:line="360" w:lineRule="auto"/>
        <w:ind w:firstLine="420" w:firstLineChars="200"/>
        <w:jc w:val="left"/>
        <w:rPr>
          <w:rFonts w:ascii="宋体" w:hAnsi="宋体" w:cs="宋体"/>
          <w:bCs/>
          <w:color w:val="auto"/>
          <w:highlight w:val="none"/>
          <w:u w:val="single"/>
        </w:rPr>
      </w:pPr>
      <w:r>
        <w:rPr>
          <w:rFonts w:hint="eastAsia" w:hAnsi="宋体" w:cs="宋体"/>
          <w:color w:val="auto"/>
          <w:highlight w:val="none"/>
        </w:rPr>
        <w:t>因</w:t>
      </w:r>
      <w:bookmarkStart w:id="531" w:name="_Toc312677487"/>
      <w:bookmarkStart w:id="532" w:name="_Toc312678013"/>
      <w:bookmarkStart w:id="533" w:name="_Toc318581170"/>
      <w:r>
        <w:rPr>
          <w:rFonts w:hint="eastAsia" w:hAnsi="宋体" w:cs="宋体"/>
          <w:color w:val="auto"/>
          <w:highlight w:val="none"/>
        </w:rPr>
        <w:t>承包人原因造成工期延误，逾期竣工违约金的计算方法为：</w:t>
      </w:r>
      <w:bookmarkEnd w:id="526"/>
      <w:bookmarkEnd w:id="527"/>
      <w:bookmarkEnd w:id="528"/>
      <w:bookmarkEnd w:id="529"/>
      <w:bookmarkEnd w:id="530"/>
      <w:bookmarkEnd w:id="531"/>
      <w:bookmarkEnd w:id="532"/>
      <w:bookmarkEnd w:id="533"/>
      <w:bookmarkStart w:id="534" w:name="_Toc312678014"/>
      <w:bookmarkStart w:id="535" w:name="_Toc318581171"/>
      <w:r>
        <w:rPr>
          <w:rFonts w:hint="eastAsia" w:hAnsi="宋体" w:cs="宋体"/>
          <w:color w:val="auto"/>
          <w:highlight w:val="none"/>
          <w:u w:val="single"/>
        </w:rPr>
        <w:t>按逾期竣工的单项工程罚款，  每延误一天，按单项工程应支付给承包人的结算造价的万分之一处罚，罚款直接从结算款中扣除。 误期时间从规定竣工日期起直到实际竣工日期的天数(扣除发包人批准顺延的工期)</w:t>
      </w:r>
      <w:r>
        <w:rPr>
          <w:rFonts w:hint="eastAsia" w:hAnsi="宋体" w:cs="宋体"/>
          <w:color w:val="auto"/>
          <w:highlight w:val="none"/>
        </w:rPr>
        <w:t>。</w:t>
      </w:r>
    </w:p>
    <w:p w14:paraId="6B8EDE81">
      <w:pPr>
        <w:spacing w:line="360" w:lineRule="auto"/>
        <w:ind w:firstLine="420" w:firstLineChars="200"/>
        <w:jc w:val="left"/>
        <w:rPr>
          <w:color w:val="auto"/>
          <w:highlight w:val="none"/>
        </w:rPr>
      </w:pPr>
      <w:r>
        <w:rPr>
          <w:rFonts w:hint="eastAsia" w:ascii="宋体" w:hAnsi="宋体" w:cs="宋体"/>
          <w:bCs/>
          <w:color w:val="auto"/>
          <w:highlight w:val="none"/>
          <w:u w:val="single"/>
        </w:rPr>
        <w:t>因承包人原因造成工期延误，逾期竣工违约金的上限：本合同工程结算造价的2%。</w:t>
      </w:r>
    </w:p>
    <w:bookmarkEnd w:id="534"/>
    <w:bookmarkEnd w:id="535"/>
    <w:p w14:paraId="1D197E34">
      <w:pPr>
        <w:keepNext/>
        <w:keepLines/>
        <w:spacing w:line="600" w:lineRule="exact"/>
        <w:ind w:firstLine="643" w:firstLineChars="200"/>
        <w:outlineLvl w:val="2"/>
        <w:rPr>
          <w:b/>
          <w:bCs/>
          <w:color w:val="auto"/>
          <w:sz w:val="32"/>
          <w:szCs w:val="32"/>
          <w:highlight w:val="none"/>
        </w:rPr>
      </w:pPr>
      <w:bookmarkStart w:id="536" w:name="_Toc888037017"/>
      <w:bookmarkStart w:id="537" w:name="_Toc407135230"/>
      <w:bookmarkStart w:id="538" w:name="_Toc373227728"/>
      <w:bookmarkStart w:id="539" w:name="_Toc389065294"/>
      <w:bookmarkStart w:id="540" w:name="_Toc1954543271"/>
      <w:bookmarkStart w:id="541" w:name="_Toc373478375"/>
      <w:bookmarkStart w:id="542" w:name="_Toc78449816"/>
      <w:r>
        <w:rPr>
          <w:b/>
          <w:bCs/>
          <w:color w:val="auto"/>
          <w:sz w:val="32"/>
          <w:szCs w:val="32"/>
          <w:highlight w:val="none"/>
        </w:rPr>
        <w:t>7</w:t>
      </w:r>
      <w:bookmarkStart w:id="543" w:name="_Toc303539128"/>
      <w:bookmarkStart w:id="544" w:name="_Toc304295549"/>
      <w:bookmarkStart w:id="545" w:name="_Toc300934971"/>
      <w:bookmarkStart w:id="546" w:name="_Toc297216178"/>
      <w:bookmarkStart w:id="547" w:name="_Toc297123519"/>
      <w:bookmarkStart w:id="548" w:name="_Toc312678015"/>
      <w:r>
        <w:rPr>
          <w:b/>
          <w:bCs/>
          <w:color w:val="auto"/>
          <w:sz w:val="32"/>
          <w:szCs w:val="32"/>
          <w:highlight w:val="none"/>
        </w:rPr>
        <w:t xml:space="preserve">.6 </w:t>
      </w:r>
      <w:r>
        <w:rPr>
          <w:rFonts w:hint="eastAsia" w:cs="黑体"/>
          <w:b/>
          <w:bCs/>
          <w:color w:val="auto"/>
          <w:sz w:val="32"/>
          <w:szCs w:val="32"/>
          <w:highlight w:val="none"/>
        </w:rPr>
        <w:t>不</w:t>
      </w:r>
      <w:bookmarkEnd w:id="543"/>
      <w:bookmarkEnd w:id="544"/>
      <w:bookmarkEnd w:id="545"/>
      <w:bookmarkEnd w:id="546"/>
      <w:bookmarkEnd w:id="547"/>
      <w:bookmarkEnd w:id="548"/>
      <w:r>
        <w:rPr>
          <w:rFonts w:hint="eastAsia" w:cs="黑体"/>
          <w:b/>
          <w:bCs/>
          <w:color w:val="auto"/>
          <w:sz w:val="32"/>
          <w:szCs w:val="32"/>
          <w:highlight w:val="none"/>
        </w:rPr>
        <w:t>利物质条件</w:t>
      </w:r>
      <w:bookmarkEnd w:id="536"/>
      <w:bookmarkEnd w:id="537"/>
      <w:bookmarkEnd w:id="538"/>
      <w:bookmarkEnd w:id="539"/>
      <w:bookmarkEnd w:id="540"/>
      <w:bookmarkEnd w:id="541"/>
      <w:bookmarkEnd w:id="542"/>
    </w:p>
    <w:p w14:paraId="175C4B30">
      <w:pPr>
        <w:spacing w:line="360" w:lineRule="auto"/>
        <w:ind w:firstLine="420" w:firstLineChars="200"/>
        <w:jc w:val="left"/>
        <w:rPr>
          <w:color w:val="auto"/>
          <w:highlight w:val="none"/>
          <w:u w:val="single"/>
        </w:rPr>
      </w:pPr>
      <w:bookmarkStart w:id="549" w:name="_Toc300934972"/>
      <w:bookmarkStart w:id="550" w:name="_Toc312678016"/>
      <w:bookmarkStart w:id="551" w:name="_Toc297216179"/>
      <w:bookmarkStart w:id="552" w:name="_Toc297123520"/>
      <w:bookmarkStart w:id="553" w:name="_Toc304295550"/>
      <w:bookmarkStart w:id="554" w:name="_Toc318581172"/>
      <w:bookmarkStart w:id="555" w:name="_Toc303539129"/>
      <w:r>
        <w:rPr>
          <w:rFonts w:hint="eastAsia" w:hAnsi="宋体" w:cs="宋体"/>
          <w:color w:val="auto"/>
          <w:highlight w:val="none"/>
        </w:rPr>
        <w:t>不利物质条件的其他情形和有关约定：</w:t>
      </w:r>
      <w:r>
        <w:rPr>
          <w:rFonts w:hint="eastAsia" w:ascii="宋体" w:hAnsi="宋体" w:cs="宋体"/>
          <w:color w:val="auto"/>
          <w:highlight w:val="none"/>
          <w:u w:val="single"/>
        </w:rPr>
        <w:t>按本合同《通用条款》第 7.6 条规定</w:t>
      </w:r>
      <w:r>
        <w:rPr>
          <w:rFonts w:hint="eastAsia" w:hAnsi="宋体" w:cs="宋体"/>
          <w:color w:val="auto"/>
          <w:highlight w:val="none"/>
        </w:rPr>
        <w:t>。</w:t>
      </w:r>
    </w:p>
    <w:bookmarkEnd w:id="549"/>
    <w:bookmarkEnd w:id="550"/>
    <w:bookmarkEnd w:id="551"/>
    <w:bookmarkEnd w:id="552"/>
    <w:bookmarkEnd w:id="553"/>
    <w:bookmarkEnd w:id="554"/>
    <w:bookmarkEnd w:id="555"/>
    <w:p w14:paraId="0CC41CF8">
      <w:pPr>
        <w:keepNext/>
        <w:keepLines/>
        <w:spacing w:line="600" w:lineRule="exact"/>
        <w:ind w:firstLine="643" w:firstLineChars="200"/>
        <w:outlineLvl w:val="2"/>
        <w:rPr>
          <w:b/>
          <w:bCs/>
          <w:color w:val="auto"/>
          <w:sz w:val="32"/>
          <w:szCs w:val="32"/>
          <w:highlight w:val="none"/>
        </w:rPr>
      </w:pPr>
      <w:bookmarkStart w:id="556" w:name="_Toc407135231"/>
      <w:bookmarkStart w:id="557" w:name="_Toc851880484"/>
      <w:bookmarkStart w:id="558" w:name="_Toc373478376"/>
      <w:bookmarkStart w:id="559" w:name="_Toc389065295"/>
      <w:bookmarkStart w:id="560" w:name="_Toc373227729"/>
      <w:bookmarkStart w:id="561" w:name="_Toc2031116443"/>
      <w:bookmarkStart w:id="562" w:name="_Toc78449817"/>
      <w:r>
        <w:rPr>
          <w:b/>
          <w:bCs/>
          <w:color w:val="auto"/>
          <w:sz w:val="32"/>
          <w:szCs w:val="32"/>
          <w:highlight w:val="none"/>
        </w:rPr>
        <w:t>7</w:t>
      </w:r>
      <w:bookmarkStart w:id="563" w:name="_Toc300934973"/>
      <w:bookmarkStart w:id="564" w:name="_Toc304295551"/>
      <w:bookmarkStart w:id="565" w:name="_Toc303539130"/>
      <w:bookmarkStart w:id="566" w:name="_Toc297216180"/>
      <w:bookmarkStart w:id="567" w:name="_Toc312678017"/>
      <w:bookmarkStart w:id="568" w:name="_Toc297123521"/>
      <w:r>
        <w:rPr>
          <w:b/>
          <w:bCs/>
          <w:color w:val="auto"/>
          <w:sz w:val="32"/>
          <w:szCs w:val="32"/>
          <w:highlight w:val="none"/>
        </w:rPr>
        <w:t xml:space="preserve">.7 </w:t>
      </w:r>
      <w:r>
        <w:rPr>
          <w:rFonts w:hint="eastAsia" w:cs="黑体"/>
          <w:b/>
          <w:bCs/>
          <w:color w:val="auto"/>
          <w:sz w:val="32"/>
          <w:szCs w:val="32"/>
          <w:highlight w:val="none"/>
        </w:rPr>
        <w:t>异常恶劣的气候条件</w:t>
      </w:r>
      <w:bookmarkEnd w:id="556"/>
      <w:bookmarkEnd w:id="557"/>
      <w:bookmarkEnd w:id="558"/>
      <w:bookmarkEnd w:id="559"/>
      <w:bookmarkEnd w:id="560"/>
      <w:bookmarkEnd w:id="561"/>
      <w:bookmarkEnd w:id="562"/>
    </w:p>
    <w:bookmarkEnd w:id="563"/>
    <w:bookmarkEnd w:id="564"/>
    <w:bookmarkEnd w:id="565"/>
    <w:bookmarkEnd w:id="566"/>
    <w:bookmarkEnd w:id="567"/>
    <w:bookmarkEnd w:id="568"/>
    <w:p w14:paraId="7E719FF7">
      <w:pPr>
        <w:spacing w:line="360" w:lineRule="auto"/>
        <w:ind w:firstLine="420" w:firstLineChars="200"/>
        <w:jc w:val="left"/>
        <w:rPr>
          <w:color w:val="auto"/>
          <w:highlight w:val="none"/>
        </w:rPr>
      </w:pPr>
      <w:r>
        <w:rPr>
          <w:rFonts w:hint="eastAsia" w:hAnsi="宋体" w:cs="宋体"/>
          <w:color w:val="auto"/>
          <w:highlight w:val="none"/>
        </w:rPr>
        <w:t>发包人和承包人同意以下情形视为异常恶劣的气候条件：</w:t>
      </w:r>
    </w:p>
    <w:p w14:paraId="6C33A3DF">
      <w:pPr>
        <w:spacing w:line="400" w:lineRule="exact"/>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6级以上地震和8 级以上大风   ；</w:t>
      </w:r>
    </w:p>
    <w:p w14:paraId="41002785">
      <w:pPr>
        <w:spacing w:line="400" w:lineRule="exact"/>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u w:val="single"/>
        </w:rPr>
        <w:t xml:space="preserve"> 持续1天的降雨达200mm的暴雨（以气象部门公布的为准）  </w:t>
      </w:r>
      <w:r>
        <w:rPr>
          <w:rFonts w:hint="eastAsia" w:ascii="宋体" w:hAnsi="宋体" w:cs="宋体"/>
          <w:color w:val="auto"/>
          <w:highlight w:val="none"/>
        </w:rPr>
        <w:t>；</w:t>
      </w:r>
    </w:p>
    <w:p w14:paraId="7518C4D1">
      <w:pPr>
        <w:spacing w:line="400" w:lineRule="exact"/>
        <w:rPr>
          <w:rFonts w:ascii="宋体" w:hAnsi="宋体" w:cs="宋体"/>
          <w:color w:val="auto"/>
          <w:highlight w:val="none"/>
          <w:u w:val="single"/>
        </w:rPr>
      </w:pPr>
      <w:r>
        <w:rPr>
          <w:rFonts w:hint="eastAsia" w:ascii="宋体" w:hAnsi="宋体" w:cs="宋体"/>
          <w:color w:val="auto"/>
          <w:highlight w:val="none"/>
        </w:rPr>
        <w:t>（3）</w:t>
      </w:r>
      <w:r>
        <w:rPr>
          <w:rFonts w:hint="eastAsia" w:ascii="宋体" w:hAnsi="宋体" w:cs="宋体"/>
          <w:color w:val="auto"/>
          <w:highlight w:val="none"/>
          <w:u w:val="single"/>
        </w:rPr>
        <w:t xml:space="preserve">日气温超过40摄氏度的高温大于3天； </w:t>
      </w:r>
    </w:p>
    <w:p w14:paraId="4E862133">
      <w:pPr>
        <w:spacing w:line="400" w:lineRule="exact"/>
        <w:rPr>
          <w:rFonts w:ascii="宋体" w:hAnsi="宋体" w:cs="宋体"/>
          <w:color w:val="auto"/>
          <w:highlight w:val="none"/>
          <w:u w:val="single"/>
        </w:rPr>
      </w:pPr>
      <w:r>
        <w:rPr>
          <w:rFonts w:hint="eastAsia" w:ascii="宋体" w:hAnsi="宋体" w:cs="宋体"/>
          <w:color w:val="auto"/>
          <w:highlight w:val="none"/>
        </w:rPr>
        <w:t>（4）</w:t>
      </w:r>
      <w:r>
        <w:rPr>
          <w:rFonts w:hint="eastAsia" w:ascii="宋体" w:hAnsi="宋体" w:cs="宋体"/>
          <w:color w:val="auto"/>
          <w:highlight w:val="none"/>
          <w:u w:val="single"/>
        </w:rPr>
        <w:t>日气温低于零摄氏度的严寒大于3天；</w:t>
      </w:r>
    </w:p>
    <w:p w14:paraId="5DBD9407">
      <w:pPr>
        <w:spacing w:line="400" w:lineRule="exact"/>
        <w:rPr>
          <w:rFonts w:ascii="宋体" w:hAnsi="宋体" w:cs="宋体"/>
          <w:color w:val="auto"/>
          <w:highlight w:val="none"/>
          <w:u w:val="single"/>
        </w:rPr>
      </w:pPr>
      <w:r>
        <w:rPr>
          <w:rFonts w:hint="eastAsia" w:ascii="宋体" w:hAnsi="宋体" w:cs="宋体"/>
          <w:color w:val="auto"/>
          <w:highlight w:val="none"/>
        </w:rPr>
        <w:t>（5）</w:t>
      </w:r>
      <w:r>
        <w:rPr>
          <w:rFonts w:hint="eastAsia" w:ascii="宋体" w:hAnsi="宋体" w:cs="宋体"/>
          <w:color w:val="auto"/>
          <w:highlight w:val="none"/>
          <w:u w:val="single"/>
        </w:rPr>
        <w:t>特大的洪水灾害；</w:t>
      </w:r>
    </w:p>
    <w:p w14:paraId="095500EF">
      <w:pPr>
        <w:spacing w:line="400" w:lineRule="exact"/>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u w:val="single"/>
        </w:rPr>
        <w:t>造成工程损坏的冰雹和大雪灾害及其他异常恶劣气候灾害</w:t>
      </w:r>
      <w:r>
        <w:rPr>
          <w:rFonts w:hint="eastAsia" w:ascii="宋体" w:hAnsi="宋体" w:cs="宋体"/>
          <w:color w:val="auto"/>
          <w:highlight w:val="none"/>
        </w:rPr>
        <w:t>。</w:t>
      </w:r>
    </w:p>
    <w:p w14:paraId="02EC7EC3">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异常恶劣的气候条件的认定标准，以政府有关部门发布的文件规定为。</w:t>
      </w:r>
    </w:p>
    <w:p w14:paraId="22997764">
      <w:pPr>
        <w:keepNext/>
        <w:keepLines/>
        <w:spacing w:line="600" w:lineRule="exact"/>
        <w:ind w:firstLine="643" w:firstLineChars="200"/>
        <w:outlineLvl w:val="2"/>
        <w:rPr>
          <w:b/>
          <w:bCs/>
          <w:color w:val="auto"/>
          <w:sz w:val="32"/>
          <w:szCs w:val="32"/>
          <w:highlight w:val="none"/>
        </w:rPr>
      </w:pPr>
      <w:bookmarkStart w:id="569" w:name="_Toc657185480"/>
      <w:bookmarkStart w:id="570" w:name="_Toc78449818"/>
      <w:bookmarkStart w:id="571" w:name="_Toc389065296"/>
      <w:bookmarkStart w:id="572" w:name="_Toc2087373611"/>
      <w:bookmarkStart w:id="573" w:name="_Toc373227730"/>
      <w:bookmarkStart w:id="574" w:name="_Toc407135232"/>
      <w:bookmarkStart w:id="575" w:name="_Toc373478377"/>
      <w:r>
        <w:rPr>
          <w:b/>
          <w:bCs/>
          <w:color w:val="auto"/>
          <w:sz w:val="32"/>
          <w:szCs w:val="32"/>
          <w:highlight w:val="none"/>
        </w:rPr>
        <w:t xml:space="preserve">7.9 </w:t>
      </w:r>
      <w:r>
        <w:rPr>
          <w:rFonts w:hint="eastAsia" w:hAnsi="宋体" w:cs="黑体"/>
          <w:b/>
          <w:bCs/>
          <w:color w:val="auto"/>
          <w:sz w:val="32"/>
          <w:szCs w:val="32"/>
          <w:highlight w:val="none"/>
        </w:rPr>
        <w:t>提前竣工</w:t>
      </w:r>
      <w:bookmarkEnd w:id="569"/>
      <w:bookmarkEnd w:id="570"/>
      <w:bookmarkEnd w:id="571"/>
      <w:bookmarkEnd w:id="572"/>
      <w:bookmarkEnd w:id="573"/>
      <w:bookmarkEnd w:id="574"/>
      <w:bookmarkEnd w:id="575"/>
    </w:p>
    <w:p w14:paraId="7C2DEEC7">
      <w:pPr>
        <w:spacing w:line="360" w:lineRule="auto"/>
        <w:ind w:firstLine="420" w:firstLineChars="200"/>
        <w:jc w:val="left"/>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rFonts w:hint="eastAsia" w:ascii="宋体" w:hAnsi="宋体" w:cs="宋体"/>
          <w:color w:val="auto"/>
          <w:highlight w:val="none"/>
          <w:u w:val="single"/>
        </w:rPr>
        <w:t xml:space="preserve">无  </w:t>
      </w:r>
      <w:r>
        <w:rPr>
          <w:rFonts w:hint="eastAsia" w:hAnsi="宋体" w:cs="宋体"/>
          <w:color w:val="auto"/>
          <w:highlight w:val="none"/>
        </w:rPr>
        <w:t>。</w:t>
      </w:r>
    </w:p>
    <w:p w14:paraId="6F9F4420">
      <w:pPr>
        <w:keepNext/>
        <w:keepLines/>
        <w:spacing w:before="260" w:after="260" w:line="413" w:lineRule="auto"/>
        <w:outlineLvl w:val="1"/>
        <w:rPr>
          <w:rFonts w:ascii="Arial" w:hAnsi="Arial" w:eastAsia="黑体"/>
          <w:b/>
          <w:bCs/>
          <w:color w:val="auto"/>
          <w:sz w:val="32"/>
          <w:szCs w:val="32"/>
          <w:highlight w:val="none"/>
        </w:rPr>
      </w:pPr>
      <w:bookmarkStart w:id="576" w:name="_Toc389065297"/>
      <w:bookmarkStart w:id="577" w:name="_Toc351203640"/>
      <w:bookmarkStart w:id="578" w:name="_Toc373227731"/>
      <w:bookmarkStart w:id="579" w:name="_Toc373478378"/>
      <w:bookmarkStart w:id="580" w:name="_Toc1400878670"/>
      <w:bookmarkStart w:id="581" w:name="_Toc78449819"/>
      <w:bookmarkStart w:id="582" w:name="_Toc1302158431"/>
      <w:bookmarkStart w:id="583" w:name="_Toc407135233"/>
      <w:r>
        <w:rPr>
          <w:rFonts w:ascii="Arial" w:hAnsi="Arial" w:eastAsia="黑体"/>
          <w:b/>
          <w:bCs/>
          <w:color w:val="auto"/>
          <w:sz w:val="32"/>
          <w:szCs w:val="32"/>
          <w:highlight w:val="none"/>
        </w:rPr>
        <w:t xml:space="preserve">8. </w:t>
      </w:r>
      <w:r>
        <w:rPr>
          <w:rFonts w:hint="eastAsia" w:ascii="Arial" w:hAnsi="Arial" w:eastAsia="黑体" w:cs="黑体"/>
          <w:b/>
          <w:bCs/>
          <w:color w:val="auto"/>
          <w:sz w:val="32"/>
          <w:szCs w:val="32"/>
          <w:highlight w:val="none"/>
        </w:rPr>
        <w:t>材料与设备</w:t>
      </w:r>
      <w:bookmarkEnd w:id="576"/>
      <w:bookmarkEnd w:id="577"/>
      <w:bookmarkEnd w:id="578"/>
      <w:bookmarkEnd w:id="579"/>
      <w:bookmarkEnd w:id="580"/>
      <w:bookmarkEnd w:id="581"/>
      <w:bookmarkEnd w:id="582"/>
      <w:bookmarkEnd w:id="583"/>
    </w:p>
    <w:bookmarkEnd w:id="420"/>
    <w:bookmarkEnd w:id="421"/>
    <w:bookmarkEnd w:id="422"/>
    <w:bookmarkEnd w:id="423"/>
    <w:bookmarkEnd w:id="424"/>
    <w:bookmarkEnd w:id="425"/>
    <w:bookmarkEnd w:id="426"/>
    <w:bookmarkEnd w:id="427"/>
    <w:bookmarkEnd w:id="428"/>
    <w:bookmarkEnd w:id="429"/>
    <w:p w14:paraId="21C0C433">
      <w:pPr>
        <w:keepNext/>
        <w:keepLines/>
        <w:spacing w:line="600" w:lineRule="exact"/>
        <w:ind w:firstLine="643" w:firstLineChars="200"/>
        <w:outlineLvl w:val="2"/>
        <w:rPr>
          <w:b/>
          <w:bCs/>
          <w:color w:val="auto"/>
          <w:sz w:val="32"/>
          <w:szCs w:val="32"/>
          <w:highlight w:val="none"/>
        </w:rPr>
      </w:pPr>
      <w:bookmarkStart w:id="584" w:name="_Toc407135234"/>
      <w:bookmarkStart w:id="585" w:name="_Toc373478379"/>
      <w:bookmarkStart w:id="586" w:name="_Toc1078610395"/>
      <w:bookmarkStart w:id="587" w:name="_Toc1119561048"/>
      <w:bookmarkStart w:id="588" w:name="_Toc389065298"/>
      <w:bookmarkStart w:id="589" w:name="_Toc373227732"/>
      <w:bookmarkStart w:id="590" w:name="_Toc78449820"/>
      <w:r>
        <w:rPr>
          <w:b/>
          <w:bCs/>
          <w:color w:val="auto"/>
          <w:sz w:val="32"/>
          <w:szCs w:val="32"/>
          <w:highlight w:val="none"/>
        </w:rPr>
        <w:t xml:space="preserve">8.2 </w:t>
      </w:r>
      <w:r>
        <w:rPr>
          <w:rFonts w:hint="eastAsia" w:cs="黑体"/>
          <w:b/>
          <w:bCs/>
          <w:color w:val="auto"/>
          <w:sz w:val="32"/>
          <w:szCs w:val="32"/>
          <w:highlight w:val="none"/>
        </w:rPr>
        <w:t>承包人采购材料与工程设备</w:t>
      </w:r>
      <w:bookmarkEnd w:id="584"/>
      <w:bookmarkEnd w:id="585"/>
      <w:bookmarkEnd w:id="586"/>
      <w:bookmarkEnd w:id="587"/>
      <w:bookmarkEnd w:id="588"/>
      <w:bookmarkEnd w:id="589"/>
      <w:bookmarkEnd w:id="590"/>
    </w:p>
    <w:p w14:paraId="69D1569E">
      <w:pPr>
        <w:autoSpaceDE w:val="0"/>
        <w:autoSpaceDN w:val="0"/>
        <w:adjustRightInd w:val="0"/>
        <w:spacing w:line="360" w:lineRule="auto"/>
        <w:ind w:firstLine="420" w:firstLineChars="200"/>
        <w:jc w:val="left"/>
        <w:rPr>
          <w:rFonts w:cs="宋体"/>
          <w:color w:val="auto"/>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w:t>
      </w:r>
      <w:r>
        <w:rPr>
          <w:rFonts w:hint="eastAsia" w:cs="宋体"/>
          <w:color w:val="auto"/>
          <w:highlight w:val="none"/>
        </w:rPr>
        <w:t>，由承包人负责材料和工程设备的采购、运输和保管。</w:t>
      </w:r>
      <w:bookmarkStart w:id="591" w:name="_Toc373227733"/>
      <w:bookmarkStart w:id="592" w:name="_Toc373478380"/>
      <w:bookmarkStart w:id="593" w:name="_Toc389065299"/>
    </w:p>
    <w:p w14:paraId="2E35E90D">
      <w:pPr>
        <w:autoSpaceDE w:val="0"/>
        <w:autoSpaceDN w:val="0"/>
        <w:adjustRightInd w:val="0"/>
        <w:spacing w:line="360" w:lineRule="auto"/>
        <w:ind w:firstLine="420" w:firstLineChars="200"/>
        <w:jc w:val="left"/>
        <w:rPr>
          <w:rFonts w:ascii="宋体" w:hAnsi="宋体" w:cs="宋体"/>
          <w:color w:val="auto"/>
          <w:highlight w:val="none"/>
        </w:rPr>
      </w:pPr>
      <w:r>
        <w:rPr>
          <w:rFonts w:hint="eastAsia" w:cs="宋体"/>
          <w:color w:val="auto"/>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1CDB9CD5">
      <w:pPr>
        <w:autoSpaceDE w:val="0"/>
        <w:autoSpaceDN w:val="0"/>
        <w:adjustRightInd w:val="0"/>
        <w:spacing w:line="360" w:lineRule="auto"/>
        <w:ind w:firstLine="420" w:firstLineChars="200"/>
        <w:jc w:val="left"/>
        <w:rPr>
          <w:color w:val="auto"/>
          <w:highlight w:val="none"/>
        </w:rPr>
      </w:pPr>
      <w:r>
        <w:rPr>
          <w:rFonts w:hint="eastAsia" w:cs="宋体"/>
          <w:color w:val="auto"/>
          <w:highlight w:val="none"/>
        </w:rPr>
        <w:t>禁止使用松木、松木包装材料设备、种子、苗木、花卉及繁殖材料。</w:t>
      </w:r>
    </w:p>
    <w:p w14:paraId="42709AA4">
      <w:pPr>
        <w:keepNext/>
        <w:keepLines/>
        <w:spacing w:line="600" w:lineRule="exact"/>
        <w:ind w:firstLine="643" w:firstLineChars="200"/>
        <w:outlineLvl w:val="2"/>
        <w:rPr>
          <w:b/>
          <w:bCs/>
          <w:color w:val="auto"/>
          <w:sz w:val="32"/>
          <w:szCs w:val="32"/>
          <w:highlight w:val="none"/>
        </w:rPr>
      </w:pPr>
      <w:bookmarkStart w:id="594" w:name="_Toc407135235"/>
      <w:bookmarkStart w:id="595" w:name="_Toc1355357553"/>
      <w:bookmarkStart w:id="596" w:name="_Toc78449821"/>
      <w:bookmarkStart w:id="597" w:name="_Toc800965933"/>
      <w:r>
        <w:rPr>
          <w:b/>
          <w:bCs/>
          <w:color w:val="auto"/>
          <w:sz w:val="32"/>
          <w:szCs w:val="32"/>
          <w:highlight w:val="none"/>
        </w:rPr>
        <w:t>8</w:t>
      </w:r>
      <w:bookmarkStart w:id="598" w:name="_Toc304295556"/>
      <w:bookmarkStart w:id="599" w:name="_Toc300934979"/>
      <w:bookmarkStart w:id="600" w:name="_Toc296347166"/>
      <w:bookmarkStart w:id="601" w:name="_Toc297216186"/>
      <w:bookmarkStart w:id="602" w:name="_Toc296891207"/>
      <w:bookmarkStart w:id="603" w:name="_Toc312678019"/>
      <w:bookmarkStart w:id="604" w:name="_Toc296890995"/>
      <w:bookmarkStart w:id="605" w:name="_Toc297123527"/>
      <w:bookmarkStart w:id="606" w:name="_Toc303539136"/>
      <w:bookmarkStart w:id="607" w:name="_Toc296503167"/>
      <w:bookmarkStart w:id="608" w:name="_Toc296944506"/>
      <w:bookmarkStart w:id="609" w:name="_Toc297120467"/>
      <w:bookmarkStart w:id="610" w:name="_Toc297048353"/>
      <w:bookmarkStart w:id="611" w:name="_Toc292559877"/>
      <w:bookmarkStart w:id="612" w:name="_Toc280868654"/>
      <w:bookmarkStart w:id="613" w:name="_Toc292559372"/>
      <w:bookmarkStart w:id="614" w:name="_Toc312677493"/>
      <w:bookmarkStart w:id="615" w:name="_Toc296346668"/>
      <w:bookmarkStart w:id="616" w:name="_Toc280868656"/>
      <w:bookmarkStart w:id="617" w:name="_Toc267251424"/>
      <w:bookmarkStart w:id="618" w:name="_Toc280868655"/>
      <w:r>
        <w:rPr>
          <w:b/>
          <w:bCs/>
          <w:color w:val="auto"/>
          <w:sz w:val="32"/>
          <w:szCs w:val="32"/>
          <w:highlight w:val="none"/>
        </w:rPr>
        <w:t xml:space="preserve">.4 </w:t>
      </w:r>
      <w:r>
        <w:rPr>
          <w:rFonts w:hint="eastAsia" w:cs="黑体"/>
          <w:b/>
          <w:bCs/>
          <w:color w:val="auto"/>
          <w:sz w:val="32"/>
          <w:szCs w:val="32"/>
          <w:highlight w:val="none"/>
        </w:rPr>
        <w:t>材料与工程设备的保管与使用</w:t>
      </w:r>
      <w:bookmarkEnd w:id="591"/>
      <w:bookmarkEnd w:id="592"/>
      <w:bookmarkEnd w:id="593"/>
      <w:bookmarkEnd w:id="594"/>
      <w:bookmarkEnd w:id="595"/>
      <w:bookmarkEnd w:id="596"/>
      <w:bookmarkEnd w:id="597"/>
    </w:p>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14:paraId="1525BDD3">
      <w:pPr>
        <w:spacing w:line="360" w:lineRule="auto"/>
        <w:ind w:firstLine="420" w:firstLineChars="200"/>
        <w:jc w:val="left"/>
        <w:rPr>
          <w:color w:val="auto"/>
          <w:highlight w:val="none"/>
          <w:u w:val="single"/>
        </w:rPr>
      </w:pPr>
      <w:r>
        <w:rPr>
          <w:color w:val="auto"/>
          <w:highlight w:val="none"/>
        </w:rPr>
        <w:t>8</w:t>
      </w:r>
      <w:bookmarkStart w:id="619" w:name="_Toc292559373"/>
      <w:bookmarkStart w:id="620" w:name="_Toc292559878"/>
      <w:bookmarkStart w:id="621" w:name="_Toc296890996"/>
      <w:bookmarkStart w:id="622" w:name="_Toc296346669"/>
      <w:bookmarkStart w:id="623" w:name="_Toc312677494"/>
      <w:bookmarkStart w:id="624" w:name="_Toc296503168"/>
      <w:bookmarkStart w:id="625" w:name="_Toc312678020"/>
      <w:bookmarkStart w:id="626" w:name="_Toc296891208"/>
      <w:bookmarkStart w:id="627" w:name="_Toc296347167"/>
      <w:bookmarkStart w:id="628" w:name="_Toc300934980"/>
      <w:bookmarkStart w:id="629" w:name="_Toc297216187"/>
      <w:bookmarkStart w:id="630" w:name="_Toc297120468"/>
      <w:bookmarkStart w:id="631" w:name="_Toc296944507"/>
      <w:bookmarkStart w:id="632" w:name="_Toc303539137"/>
      <w:bookmarkStart w:id="633" w:name="_Toc297123528"/>
      <w:bookmarkStart w:id="634" w:name="_Toc318581173"/>
      <w:bookmarkStart w:id="635" w:name="_Toc297048354"/>
      <w:bookmarkStart w:id="636" w:name="_Toc304295557"/>
      <w:r>
        <w:rPr>
          <w:color w:val="auto"/>
          <w:highlight w:val="none"/>
        </w:rPr>
        <w:t>.4.1</w:t>
      </w:r>
      <w:r>
        <w:rPr>
          <w:rFonts w:hint="eastAsia" w:hAnsi="宋体" w:cs="宋体"/>
          <w:color w:val="auto"/>
          <w:highlight w:val="none"/>
        </w:rPr>
        <w:t>发包人供应的材料设备的保管费用的承担：</w:t>
      </w:r>
      <w:r>
        <w:rPr>
          <w:rFonts w:hint="eastAsia" w:ascii="宋体" w:hAnsi="宋体" w:cs="宋体"/>
          <w:color w:val="auto"/>
          <w:highlight w:val="none"/>
          <w:u w:val="single"/>
        </w:rPr>
        <w:t>材料设备堆放至发包人指定的存放地点后，所发生的一切保管、运输费用均由承包人承担，因保管不力所造成的损失由承包人负责。移交承包人之前由发包人承担</w:t>
      </w:r>
      <w:r>
        <w:rPr>
          <w:rFonts w:hint="eastAsia" w:hAnsi="宋体" w:cs="宋体"/>
          <w:color w:val="auto"/>
          <w:highlight w:val="none"/>
        </w:rPr>
        <w:t>。</w:t>
      </w:r>
    </w:p>
    <w:bookmarkEnd w:id="619"/>
    <w:bookmarkEnd w:id="620"/>
    <w:p w14:paraId="3BA35EB2">
      <w:pPr>
        <w:keepNext/>
        <w:keepLines/>
        <w:spacing w:line="600" w:lineRule="exact"/>
        <w:ind w:firstLine="643" w:firstLineChars="200"/>
        <w:outlineLvl w:val="2"/>
        <w:rPr>
          <w:b/>
          <w:bCs/>
          <w:color w:val="auto"/>
          <w:sz w:val="32"/>
          <w:szCs w:val="32"/>
          <w:highlight w:val="none"/>
        </w:rPr>
      </w:pPr>
      <w:bookmarkStart w:id="637" w:name="_Toc373227734"/>
      <w:bookmarkStart w:id="638" w:name="_Toc407135236"/>
      <w:bookmarkStart w:id="639" w:name="_Toc373478381"/>
      <w:bookmarkStart w:id="640" w:name="_Toc389065300"/>
      <w:bookmarkStart w:id="641" w:name="_Toc1948522881"/>
      <w:bookmarkStart w:id="642" w:name="_Toc78449822"/>
      <w:bookmarkStart w:id="643" w:name="_Toc125914831"/>
      <w:r>
        <w:rPr>
          <w:b/>
          <w:bCs/>
          <w:color w:val="auto"/>
          <w:sz w:val="32"/>
          <w:szCs w:val="32"/>
          <w:highlight w:val="none"/>
        </w:rPr>
        <w:t xml:space="preserve">8.6 </w:t>
      </w:r>
      <w:r>
        <w:rPr>
          <w:rFonts w:hint="eastAsia" w:hAnsi="宋体" w:cs="黑体"/>
          <w:b/>
          <w:bCs/>
          <w:color w:val="auto"/>
          <w:sz w:val="32"/>
          <w:szCs w:val="32"/>
          <w:highlight w:val="none"/>
        </w:rPr>
        <w:t>样品</w:t>
      </w:r>
      <w:bookmarkEnd w:id="637"/>
      <w:bookmarkEnd w:id="638"/>
      <w:bookmarkEnd w:id="639"/>
      <w:bookmarkEnd w:id="640"/>
      <w:bookmarkEnd w:id="641"/>
      <w:bookmarkEnd w:id="642"/>
      <w:bookmarkEnd w:id="643"/>
    </w:p>
    <w:p w14:paraId="5C34A506">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14:paraId="47F0EF48">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14:paraId="229A07DC">
      <w:pPr>
        <w:keepNext/>
        <w:keepLines/>
        <w:spacing w:line="600" w:lineRule="exact"/>
        <w:ind w:firstLine="643" w:firstLineChars="200"/>
        <w:outlineLvl w:val="2"/>
        <w:rPr>
          <w:b/>
          <w:bCs/>
          <w:color w:val="auto"/>
          <w:sz w:val="32"/>
          <w:szCs w:val="32"/>
          <w:highlight w:val="none"/>
        </w:rPr>
      </w:pPr>
      <w:bookmarkStart w:id="644" w:name="_Toc78449823"/>
      <w:bookmarkStart w:id="645" w:name="_Toc1049576644"/>
      <w:bookmarkStart w:id="646" w:name="_Toc373478382"/>
      <w:bookmarkStart w:id="647" w:name="_Toc373227735"/>
      <w:bookmarkStart w:id="648" w:name="_Toc389065301"/>
      <w:bookmarkStart w:id="649" w:name="_Toc407135237"/>
      <w:bookmarkStart w:id="650" w:name="_Toc997640704"/>
      <w:r>
        <w:rPr>
          <w:b/>
          <w:bCs/>
          <w:color w:val="auto"/>
          <w:sz w:val="32"/>
          <w:szCs w:val="32"/>
          <w:highlight w:val="none"/>
        </w:rPr>
        <w:t xml:space="preserve">8.8 </w:t>
      </w:r>
      <w:r>
        <w:rPr>
          <w:rFonts w:hint="eastAsia" w:cs="黑体"/>
          <w:b/>
          <w:bCs/>
          <w:color w:val="auto"/>
          <w:sz w:val="32"/>
          <w:szCs w:val="32"/>
          <w:highlight w:val="none"/>
        </w:rPr>
        <w:t>施工设备和临时设施</w:t>
      </w:r>
      <w:bookmarkEnd w:id="644"/>
      <w:bookmarkEnd w:id="645"/>
      <w:bookmarkEnd w:id="646"/>
      <w:bookmarkEnd w:id="647"/>
      <w:bookmarkEnd w:id="648"/>
      <w:bookmarkEnd w:id="649"/>
      <w:bookmarkEnd w:id="650"/>
    </w:p>
    <w:p w14:paraId="67DA9D31">
      <w:pPr>
        <w:autoSpaceDE w:val="0"/>
        <w:autoSpaceDN w:val="0"/>
        <w:adjustRightInd w:val="0"/>
        <w:spacing w:line="360" w:lineRule="auto"/>
        <w:ind w:firstLine="420" w:firstLineChars="200"/>
        <w:jc w:val="left"/>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14:paraId="786A5F89">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highlight w:val="none"/>
        </w:rPr>
        <w:t>承包人用于本工程的主要机械设备清单见合同附件</w:t>
      </w:r>
      <w:r>
        <w:rPr>
          <w:rFonts w:ascii="宋体" w:hAnsi="宋体" w:cs="宋体"/>
          <w:color w:val="auto"/>
          <w:highlight w:val="none"/>
        </w:rPr>
        <w:t>5</w:t>
      </w:r>
      <w:r>
        <w:rPr>
          <w:rFonts w:hint="eastAsia" w:ascii="宋体" w:hAnsi="宋体" w:cs="宋体"/>
          <w:color w:val="auto"/>
          <w:highlight w:val="none"/>
        </w:rPr>
        <w:t>。</w:t>
      </w:r>
    </w:p>
    <w:p w14:paraId="2BF342DD">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关于修建临时设施费用承担的约定：</w:t>
      </w:r>
    </w:p>
    <w:p w14:paraId="57C571F2">
      <w:pPr>
        <w:autoSpaceDE w:val="0"/>
        <w:autoSpaceDN w:val="0"/>
        <w:adjustRightInd w:val="0"/>
        <w:spacing w:line="360" w:lineRule="auto"/>
        <w:ind w:firstLine="420" w:firstLineChars="200"/>
        <w:jc w:val="left"/>
        <w:rPr>
          <w:rFonts w:hint="eastAsia"/>
          <w:color w:val="auto"/>
          <w:highlight w:val="none"/>
        </w:rPr>
      </w:pPr>
      <w:r>
        <w:rPr>
          <w:rFonts w:hint="eastAsia"/>
          <w:color w:val="auto"/>
          <w:highlight w:val="none"/>
        </w:rPr>
        <w:t>①承包人的临时用地(含项目部驻地等)租用费(含拆迁补偿)、临时用地的环保、恢复、  临时用地的青苗补偿及地面附着物拆除等费用均由承包人负责，以上费用在投标报价中综合考</w:t>
      </w:r>
    </w:p>
    <w:p w14:paraId="6376F5BA">
      <w:pPr>
        <w:autoSpaceDE w:val="0"/>
        <w:autoSpaceDN w:val="0"/>
        <w:adjustRightInd w:val="0"/>
        <w:spacing w:line="360" w:lineRule="auto"/>
        <w:ind w:firstLine="420" w:firstLineChars="200"/>
        <w:jc w:val="left"/>
        <w:rPr>
          <w:rFonts w:hint="eastAsia"/>
          <w:color w:val="auto"/>
          <w:highlight w:val="none"/>
        </w:rPr>
      </w:pPr>
      <w:r>
        <w:rPr>
          <w:rFonts w:hint="eastAsia"/>
          <w:color w:val="auto"/>
          <w:highlight w:val="none"/>
        </w:rPr>
        <w:t>虑 。</w:t>
      </w:r>
    </w:p>
    <w:p w14:paraId="5FB4BCFE">
      <w:pPr>
        <w:autoSpaceDE w:val="0"/>
        <w:autoSpaceDN w:val="0"/>
        <w:adjustRightInd w:val="0"/>
        <w:spacing w:line="360" w:lineRule="auto"/>
        <w:ind w:firstLine="420" w:firstLineChars="200"/>
        <w:jc w:val="left"/>
        <w:rPr>
          <w:rFonts w:hint="eastAsia"/>
          <w:color w:val="auto"/>
          <w:highlight w:val="none"/>
        </w:rPr>
      </w:pPr>
      <w:r>
        <w:rPr>
          <w:rFonts w:hint="eastAsia"/>
          <w:color w:val="auto"/>
          <w:highlight w:val="none"/>
        </w:rPr>
        <w:t>②承包人负责合同实施期间其合同段内临时交通道路(含场内外连接公共交通道路)和交通 设施的修建、维修、养护和交通管理工作，并承担一切费用。</w:t>
      </w:r>
    </w:p>
    <w:p w14:paraId="4F7455BC">
      <w:pPr>
        <w:autoSpaceDE w:val="0"/>
        <w:autoSpaceDN w:val="0"/>
        <w:adjustRightInd w:val="0"/>
        <w:spacing w:line="360" w:lineRule="auto"/>
        <w:ind w:firstLine="420" w:firstLineChars="200"/>
        <w:jc w:val="left"/>
        <w:rPr>
          <w:rFonts w:hint="eastAsia"/>
          <w:color w:val="auto"/>
          <w:highlight w:val="none"/>
        </w:rPr>
      </w:pPr>
      <w:r>
        <w:rPr>
          <w:rFonts w:hint="eastAsia"/>
          <w:color w:val="auto"/>
          <w:highlight w:val="none"/>
        </w:rPr>
        <w:t xml:space="preserve">③承包人修建的临时道路和交通设施，应免费提供给发包人、监理工程师和其他合同段的承 包人使用，如共同使用的路基损坏严重，发包人或监理工程师将负责通知有关承包人共同出资修 复，若使用频率相差悬殊，则按比例分摊。 </w:t>
      </w:r>
    </w:p>
    <w:p w14:paraId="2C3CA6CC">
      <w:pPr>
        <w:autoSpaceDE w:val="0"/>
        <w:autoSpaceDN w:val="0"/>
        <w:adjustRightInd w:val="0"/>
        <w:spacing w:line="360" w:lineRule="auto"/>
        <w:ind w:firstLine="420" w:firstLineChars="200"/>
        <w:jc w:val="left"/>
        <w:rPr>
          <w:rFonts w:hint="eastAsia"/>
          <w:color w:val="auto"/>
          <w:highlight w:val="none"/>
        </w:rPr>
      </w:pPr>
    </w:p>
    <w:p w14:paraId="3102C58E">
      <w:pPr>
        <w:autoSpaceDE w:val="0"/>
        <w:autoSpaceDN w:val="0"/>
        <w:adjustRightInd w:val="0"/>
        <w:spacing w:line="360" w:lineRule="auto"/>
        <w:ind w:firstLine="420" w:firstLineChars="200"/>
        <w:jc w:val="left"/>
        <w:rPr>
          <w:rFonts w:hint="eastAsia"/>
          <w:color w:val="auto"/>
          <w:highlight w:val="none"/>
        </w:rPr>
      </w:pPr>
      <w:r>
        <w:rPr>
          <w:rFonts w:hint="eastAsia"/>
          <w:color w:val="auto"/>
          <w:highlight w:val="none"/>
        </w:rPr>
        <w:t>④发包人将施工用水总水表、施工用电总电表在开工前7日接至施工场地内，总水表及之前 的给水管等设施、总电表及之前的电缆、变压器等设施的费用由发包人承担。</w:t>
      </w:r>
    </w:p>
    <w:p w14:paraId="59D0B2CC">
      <w:pPr>
        <w:autoSpaceDE w:val="0"/>
        <w:autoSpaceDN w:val="0"/>
        <w:adjustRightInd w:val="0"/>
        <w:spacing w:line="360" w:lineRule="auto"/>
        <w:ind w:firstLine="420" w:firstLineChars="200"/>
        <w:jc w:val="left"/>
        <w:rPr>
          <w:color w:val="auto"/>
          <w:highlight w:val="none"/>
        </w:rPr>
      </w:pPr>
      <w:r>
        <w:rPr>
          <w:color w:val="auto"/>
          <w:highlight w:val="none"/>
        </w:rPr>
        <w:t xml:space="preserve">8.8.2 </w:t>
      </w:r>
      <w:r>
        <w:rPr>
          <w:rFonts w:hint="eastAsia" w:hAnsi="宋体" w:cs="宋体"/>
          <w:color w:val="auto"/>
          <w:highlight w:val="none"/>
        </w:rPr>
        <w:t>发包人提供的施工设备和临时设施</w:t>
      </w:r>
    </w:p>
    <w:p w14:paraId="19CDD821">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w:t>
      </w:r>
      <w:r>
        <w:rPr>
          <w:rFonts w:hint="eastAsia" w:ascii="宋体" w:hAnsi="宋体" w:cs="宋体"/>
          <w:color w:val="auto"/>
          <w:highlight w:val="none"/>
          <w:u w:val="single"/>
        </w:rPr>
        <w:t>无</w:t>
      </w:r>
      <w:r>
        <w:rPr>
          <w:rFonts w:hint="eastAsia" w:hAnsi="宋体" w:cs="宋体"/>
          <w:color w:val="auto"/>
          <w:highlight w:val="none"/>
        </w:rPr>
        <w:t>。</w:t>
      </w:r>
    </w:p>
    <w:p w14:paraId="759D3610">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发包人提供的施工设备和临时设施的运行、维护、拆除、清运费用的承担人：</w:t>
      </w:r>
      <w:r>
        <w:rPr>
          <w:rFonts w:hint="eastAsia" w:ascii="宋体" w:hAnsi="宋体" w:cs="宋体"/>
          <w:color w:val="auto"/>
          <w:highlight w:val="none"/>
          <w:u w:val="single"/>
        </w:rPr>
        <w:t>承包人</w:t>
      </w:r>
      <w:r>
        <w:rPr>
          <w:rFonts w:hint="eastAsia" w:hAnsi="宋体" w:cs="宋体"/>
          <w:color w:val="auto"/>
          <w:highlight w:val="none"/>
        </w:rPr>
        <w:t>。</w:t>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60BD8B5B">
      <w:pPr>
        <w:keepNext/>
        <w:keepLines/>
        <w:spacing w:before="260" w:after="260" w:line="413" w:lineRule="auto"/>
        <w:outlineLvl w:val="1"/>
        <w:rPr>
          <w:rFonts w:ascii="Arial" w:hAnsi="Arial" w:eastAsia="黑体"/>
          <w:b/>
          <w:bCs/>
          <w:color w:val="auto"/>
          <w:sz w:val="32"/>
          <w:szCs w:val="32"/>
          <w:highlight w:val="none"/>
        </w:rPr>
      </w:pPr>
      <w:bookmarkStart w:id="651" w:name="_Toc407135238"/>
      <w:bookmarkStart w:id="652" w:name="_Toc2027787496"/>
      <w:bookmarkStart w:id="653" w:name="_Toc2039161841"/>
      <w:bookmarkStart w:id="654" w:name="_Toc351203641"/>
      <w:bookmarkStart w:id="655" w:name="_Toc373227736"/>
      <w:bookmarkStart w:id="656" w:name="_Toc78449824"/>
      <w:bookmarkStart w:id="657" w:name="_Toc373478383"/>
      <w:bookmarkStart w:id="658" w:name="_Toc389065302"/>
      <w:r>
        <w:rPr>
          <w:rFonts w:ascii="Arial" w:hAnsi="Arial" w:eastAsia="黑体"/>
          <w:b/>
          <w:bCs/>
          <w:color w:val="auto"/>
          <w:sz w:val="32"/>
          <w:szCs w:val="32"/>
          <w:highlight w:val="none"/>
        </w:rPr>
        <w:t>9</w:t>
      </w:r>
      <w:bookmarkEnd w:id="616"/>
      <w:bookmarkEnd w:id="617"/>
      <w:bookmarkEnd w:id="618"/>
      <w:bookmarkStart w:id="659" w:name="_Toc304295559"/>
      <w:bookmarkStart w:id="660" w:name="_Toc303539139"/>
      <w:bookmarkStart w:id="661" w:name="_Toc300934982"/>
      <w:bookmarkStart w:id="662" w:name="_Toc297216192"/>
      <w:bookmarkStart w:id="663" w:name="_Toc297123533"/>
      <w:bookmarkStart w:id="664" w:name="_Toc312678021"/>
      <w:bookmarkStart w:id="665" w:name="_Toc312677495"/>
      <w:bookmarkStart w:id="666" w:name="_Toc267251428"/>
      <w:bookmarkStart w:id="667" w:name="_Toc296891001"/>
      <w:bookmarkStart w:id="668" w:name="_Toc296944512"/>
      <w:bookmarkStart w:id="669" w:name="_Toc296891213"/>
      <w:bookmarkStart w:id="670" w:name="_Toc296503173"/>
      <w:bookmarkStart w:id="671" w:name="_Toc267251427"/>
      <w:bookmarkStart w:id="672" w:name="_Toc292559378"/>
      <w:bookmarkStart w:id="673" w:name="_Toc292559883"/>
      <w:bookmarkStart w:id="674" w:name="_Toc296346674"/>
      <w:bookmarkStart w:id="675" w:name="_Toc296347172"/>
      <w:bookmarkStart w:id="676" w:name="_Toc297048359"/>
      <w:bookmarkStart w:id="677" w:name="_Toc297120473"/>
      <w:r>
        <w:rPr>
          <w:rFonts w:ascii="Arial" w:hAnsi="Arial" w:eastAsia="黑体"/>
          <w:b/>
          <w:bCs/>
          <w:color w:val="auto"/>
          <w:sz w:val="32"/>
          <w:szCs w:val="32"/>
          <w:highlight w:val="none"/>
        </w:rPr>
        <w:t xml:space="preserve">. </w:t>
      </w:r>
      <w:r>
        <w:rPr>
          <w:rFonts w:hint="eastAsia" w:ascii="Arial" w:hAnsi="Arial" w:eastAsia="黑体" w:cs="黑体"/>
          <w:b/>
          <w:bCs/>
          <w:color w:val="auto"/>
          <w:sz w:val="32"/>
          <w:szCs w:val="32"/>
          <w:highlight w:val="none"/>
        </w:rPr>
        <w:t>试验与检验</w:t>
      </w:r>
      <w:bookmarkEnd w:id="651"/>
      <w:bookmarkEnd w:id="652"/>
      <w:bookmarkEnd w:id="653"/>
      <w:bookmarkEnd w:id="654"/>
      <w:bookmarkEnd w:id="655"/>
      <w:bookmarkEnd w:id="656"/>
      <w:bookmarkEnd w:id="657"/>
      <w:bookmarkEnd w:id="658"/>
    </w:p>
    <w:bookmarkEnd w:id="659"/>
    <w:bookmarkEnd w:id="660"/>
    <w:bookmarkEnd w:id="661"/>
    <w:bookmarkEnd w:id="662"/>
    <w:bookmarkEnd w:id="663"/>
    <w:bookmarkEnd w:id="664"/>
    <w:bookmarkEnd w:id="665"/>
    <w:p w14:paraId="20312DFD">
      <w:pPr>
        <w:keepNext/>
        <w:keepLines/>
        <w:spacing w:line="600" w:lineRule="exact"/>
        <w:ind w:firstLine="643" w:firstLineChars="200"/>
        <w:outlineLvl w:val="2"/>
        <w:rPr>
          <w:b/>
          <w:bCs/>
          <w:color w:val="auto"/>
          <w:sz w:val="32"/>
          <w:szCs w:val="32"/>
          <w:highlight w:val="none"/>
        </w:rPr>
      </w:pPr>
      <w:bookmarkStart w:id="678" w:name="_Toc373478384"/>
      <w:bookmarkStart w:id="679" w:name="_Toc407135239"/>
      <w:bookmarkStart w:id="680" w:name="_Toc373227737"/>
      <w:bookmarkStart w:id="681" w:name="_Toc1307315193"/>
      <w:bookmarkStart w:id="682" w:name="_Toc530697003"/>
      <w:bookmarkStart w:id="683" w:name="_Toc78449825"/>
      <w:bookmarkStart w:id="684" w:name="_Toc389065303"/>
      <w:r>
        <w:rPr>
          <w:b/>
          <w:bCs/>
          <w:color w:val="auto"/>
          <w:sz w:val="32"/>
          <w:szCs w:val="32"/>
          <w:highlight w:val="none"/>
        </w:rPr>
        <w:t>9</w:t>
      </w:r>
      <w:bookmarkStart w:id="685" w:name="_Toc312677496"/>
      <w:bookmarkStart w:id="686" w:name="_Toc304295560"/>
      <w:bookmarkStart w:id="687" w:name="_Toc297123534"/>
      <w:bookmarkStart w:id="688" w:name="_Toc297216193"/>
      <w:bookmarkStart w:id="689" w:name="_Toc303539140"/>
      <w:bookmarkStart w:id="690" w:name="_Toc312678022"/>
      <w:bookmarkStart w:id="691" w:name="_Toc300934983"/>
      <w:r>
        <w:rPr>
          <w:b/>
          <w:bCs/>
          <w:color w:val="auto"/>
          <w:sz w:val="32"/>
          <w:szCs w:val="32"/>
          <w:highlight w:val="none"/>
        </w:rPr>
        <w:t xml:space="preserve">.1 </w:t>
      </w:r>
      <w:r>
        <w:rPr>
          <w:rFonts w:hint="eastAsia" w:cs="黑体"/>
          <w:b/>
          <w:bCs/>
          <w:color w:val="auto"/>
          <w:sz w:val="32"/>
          <w:szCs w:val="32"/>
          <w:highlight w:val="none"/>
        </w:rPr>
        <w:t>试验设备与试验人员</w:t>
      </w:r>
      <w:bookmarkEnd w:id="678"/>
      <w:bookmarkEnd w:id="679"/>
      <w:bookmarkEnd w:id="680"/>
      <w:bookmarkEnd w:id="681"/>
      <w:bookmarkEnd w:id="682"/>
      <w:bookmarkEnd w:id="683"/>
      <w:bookmarkEnd w:id="684"/>
    </w:p>
    <w:bookmarkEnd w:id="685"/>
    <w:bookmarkEnd w:id="686"/>
    <w:bookmarkEnd w:id="687"/>
    <w:bookmarkEnd w:id="688"/>
    <w:bookmarkEnd w:id="689"/>
    <w:bookmarkEnd w:id="690"/>
    <w:bookmarkEnd w:id="691"/>
    <w:p w14:paraId="0E333BF7">
      <w:pPr>
        <w:spacing w:line="360" w:lineRule="auto"/>
        <w:ind w:firstLine="420" w:firstLineChars="200"/>
        <w:jc w:val="left"/>
        <w:rPr>
          <w:color w:val="auto"/>
          <w:highlight w:val="none"/>
        </w:rPr>
      </w:pPr>
      <w:r>
        <w:rPr>
          <w:color w:val="auto"/>
          <w:highlight w:val="none"/>
        </w:rPr>
        <w:t>9</w:t>
      </w:r>
      <w:bookmarkStart w:id="692" w:name="_Toc297216194"/>
      <w:bookmarkStart w:id="693" w:name="_Toc303539141"/>
      <w:bookmarkStart w:id="694" w:name="_Toc300934984"/>
      <w:bookmarkStart w:id="695" w:name="_Toc312677497"/>
      <w:bookmarkStart w:id="696" w:name="_Toc304295561"/>
      <w:bookmarkStart w:id="697" w:name="_Toc297123535"/>
      <w:bookmarkStart w:id="698" w:name="_Toc312678023"/>
      <w:bookmarkStart w:id="699" w:name="_Toc318581174"/>
      <w:r>
        <w:rPr>
          <w:color w:val="auto"/>
          <w:highlight w:val="none"/>
        </w:rPr>
        <w:t xml:space="preserve">.1.2 </w:t>
      </w:r>
      <w:r>
        <w:rPr>
          <w:rFonts w:hint="eastAsia" w:hAnsi="宋体" w:cs="宋体"/>
          <w:color w:val="auto"/>
          <w:highlight w:val="none"/>
        </w:rPr>
        <w:t>试验设备</w:t>
      </w:r>
    </w:p>
    <w:p w14:paraId="6F35436D">
      <w:pPr>
        <w:spacing w:line="360" w:lineRule="auto"/>
        <w:ind w:firstLine="420" w:firstLineChars="200"/>
        <w:jc w:val="left"/>
        <w:rPr>
          <w:color w:val="auto"/>
          <w:highlight w:val="none"/>
          <w:u w:val="single"/>
        </w:rPr>
      </w:pPr>
      <w:r>
        <w:rPr>
          <w:rFonts w:hint="eastAsia" w:hAnsi="宋体" w:cs="宋体"/>
          <w:color w:val="auto"/>
          <w:highlight w:val="none"/>
        </w:rPr>
        <w:t>施工现场需要配置的试验场所：</w:t>
      </w:r>
      <w:bookmarkEnd w:id="692"/>
      <w:bookmarkEnd w:id="693"/>
      <w:bookmarkEnd w:id="694"/>
      <w:bookmarkEnd w:id="695"/>
      <w:bookmarkEnd w:id="696"/>
      <w:bookmarkEnd w:id="697"/>
      <w:bookmarkEnd w:id="698"/>
      <w:bookmarkStart w:id="700" w:name="_Toc297123536"/>
      <w:bookmarkStart w:id="701" w:name="_Toc297216195"/>
      <w:bookmarkStart w:id="702" w:name="_Toc300934985"/>
      <w:bookmarkStart w:id="703" w:name="_Toc304295562"/>
      <w:bookmarkStart w:id="704" w:name="_Toc312677498"/>
      <w:bookmarkStart w:id="705" w:name="_Toc303539142"/>
      <w:bookmarkStart w:id="706" w:name="_Toc312678024"/>
      <w:r>
        <w:rPr>
          <w:rFonts w:hint="eastAsia" w:ascii="宋体" w:hAnsi="宋体" w:cs="宋体"/>
          <w:color w:val="auto"/>
          <w:highlight w:val="none"/>
          <w:u w:val="single"/>
        </w:rPr>
        <w:t xml:space="preserve">承包人根据现场实际需要另行配置 </w:t>
      </w:r>
      <w:r>
        <w:rPr>
          <w:rFonts w:hint="eastAsia" w:hAnsi="宋体" w:cs="宋体"/>
          <w:color w:val="auto"/>
          <w:highlight w:val="none"/>
        </w:rPr>
        <w:t>。</w:t>
      </w:r>
    </w:p>
    <w:p w14:paraId="0394B5CB">
      <w:pPr>
        <w:spacing w:line="360" w:lineRule="auto"/>
        <w:ind w:firstLine="420" w:firstLineChars="200"/>
        <w:jc w:val="left"/>
        <w:rPr>
          <w:color w:val="auto"/>
          <w:highlight w:val="none"/>
          <w:u w:val="single"/>
        </w:rPr>
      </w:pPr>
      <w:r>
        <w:rPr>
          <w:rFonts w:hint="eastAsia" w:hAnsi="宋体" w:cs="宋体"/>
          <w:color w:val="auto"/>
          <w:highlight w:val="none"/>
        </w:rPr>
        <w:t>施工现场需要配备的试验设备：</w:t>
      </w:r>
      <w:r>
        <w:rPr>
          <w:rFonts w:hint="eastAsia" w:ascii="宋体" w:hAnsi="宋体" w:cs="宋体"/>
          <w:color w:val="auto"/>
          <w:highlight w:val="none"/>
          <w:u w:val="single"/>
        </w:rPr>
        <w:t xml:space="preserve">承包人根据现场实际需要另行配置 </w:t>
      </w:r>
      <w:r>
        <w:rPr>
          <w:rFonts w:hint="eastAsia" w:hAnsi="宋体" w:cs="宋体"/>
          <w:color w:val="auto"/>
          <w:highlight w:val="none"/>
        </w:rPr>
        <w:t>。</w:t>
      </w:r>
    </w:p>
    <w:p w14:paraId="649E5E4D">
      <w:pPr>
        <w:spacing w:line="360" w:lineRule="auto"/>
        <w:ind w:firstLine="420" w:firstLineChars="200"/>
        <w:jc w:val="left"/>
        <w:rPr>
          <w:color w:val="auto"/>
          <w:highlight w:val="none"/>
          <w:u w:val="single"/>
        </w:rPr>
      </w:pPr>
      <w:r>
        <w:rPr>
          <w:rFonts w:hint="eastAsia" w:hAnsi="宋体" w:cs="宋体"/>
          <w:color w:val="auto"/>
          <w:highlight w:val="none"/>
        </w:rPr>
        <w:t>施工现场需要具备的其他试验条件：</w:t>
      </w:r>
      <w:r>
        <w:rPr>
          <w:rFonts w:hint="eastAsia" w:ascii="宋体" w:hAnsi="宋体" w:cs="宋体"/>
          <w:color w:val="auto"/>
          <w:highlight w:val="none"/>
          <w:u w:val="single"/>
        </w:rPr>
        <w:t>由承包人自行解决</w:t>
      </w:r>
      <w:r>
        <w:rPr>
          <w:rFonts w:hint="eastAsia" w:hAnsi="宋体" w:cs="宋体"/>
          <w:color w:val="auto"/>
          <w:highlight w:val="none"/>
        </w:rPr>
        <w:t>。</w:t>
      </w:r>
    </w:p>
    <w:p w14:paraId="48F0724A">
      <w:pPr>
        <w:keepNext/>
        <w:keepLines/>
        <w:spacing w:line="600" w:lineRule="exact"/>
        <w:ind w:firstLine="643" w:firstLineChars="200"/>
        <w:outlineLvl w:val="2"/>
        <w:rPr>
          <w:b/>
          <w:bCs/>
          <w:color w:val="auto"/>
          <w:sz w:val="32"/>
          <w:szCs w:val="32"/>
          <w:highlight w:val="none"/>
        </w:rPr>
      </w:pPr>
      <w:bookmarkStart w:id="707" w:name="_Toc492347879"/>
      <w:bookmarkStart w:id="708" w:name="_Toc78449826"/>
      <w:bookmarkStart w:id="709" w:name="_Toc373478385"/>
      <w:bookmarkStart w:id="710" w:name="_Toc407135240"/>
      <w:bookmarkStart w:id="711" w:name="_Toc389065304"/>
      <w:bookmarkStart w:id="712" w:name="_Toc373227738"/>
      <w:bookmarkStart w:id="713" w:name="_Toc2012255079"/>
      <w:r>
        <w:rPr>
          <w:b/>
          <w:bCs/>
          <w:color w:val="auto"/>
          <w:sz w:val="32"/>
          <w:szCs w:val="32"/>
          <w:highlight w:val="none"/>
        </w:rPr>
        <w:t xml:space="preserve">9.4 </w:t>
      </w:r>
      <w:r>
        <w:rPr>
          <w:rFonts w:hint="eastAsia" w:hAnsi="宋体" w:cs="黑体"/>
          <w:b/>
          <w:bCs/>
          <w:color w:val="auto"/>
          <w:sz w:val="32"/>
          <w:szCs w:val="32"/>
          <w:highlight w:val="none"/>
        </w:rPr>
        <w:t>现场工艺试验</w:t>
      </w:r>
      <w:bookmarkEnd w:id="707"/>
      <w:bookmarkEnd w:id="708"/>
      <w:bookmarkEnd w:id="709"/>
      <w:bookmarkEnd w:id="710"/>
      <w:bookmarkEnd w:id="711"/>
      <w:bookmarkEnd w:id="712"/>
      <w:bookmarkEnd w:id="713"/>
    </w:p>
    <w:p w14:paraId="0B71B1B6">
      <w:pPr>
        <w:spacing w:line="360" w:lineRule="auto"/>
        <w:ind w:firstLine="420" w:firstLineChars="200"/>
        <w:jc w:val="left"/>
        <w:rPr>
          <w:color w:val="auto"/>
          <w:highlight w:val="none"/>
        </w:rPr>
      </w:pPr>
      <w:r>
        <w:rPr>
          <w:rFonts w:hint="eastAsia" w:hAnsi="宋体" w:cs="宋体"/>
          <w:color w:val="auto"/>
          <w:highlight w:val="none"/>
        </w:rPr>
        <w:t>现场工艺试验的有关约定：</w:t>
      </w:r>
      <w:r>
        <w:rPr>
          <w:rFonts w:hint="eastAsia" w:ascii="宋体" w:hAnsi="宋体" w:cs="宋体"/>
          <w:color w:val="auto"/>
          <w:highlight w:val="none"/>
          <w:u w:val="single"/>
        </w:rPr>
        <w:t>按通用合同条款第9.4款执行</w:t>
      </w:r>
      <w:r>
        <w:rPr>
          <w:rFonts w:hint="eastAsia" w:hAnsi="宋体" w:cs="宋体"/>
          <w:color w:val="auto"/>
          <w:highlight w:val="none"/>
        </w:rPr>
        <w:t>。</w:t>
      </w:r>
    </w:p>
    <w:p w14:paraId="65BA75D6">
      <w:pPr>
        <w:keepNext/>
        <w:keepLines/>
        <w:spacing w:line="600" w:lineRule="exact"/>
        <w:ind w:firstLine="643" w:firstLineChars="200"/>
        <w:outlineLvl w:val="2"/>
        <w:rPr>
          <w:b/>
          <w:bCs/>
          <w:color w:val="auto"/>
          <w:sz w:val="32"/>
          <w:szCs w:val="32"/>
          <w:highlight w:val="none"/>
        </w:rPr>
      </w:pPr>
      <w:bookmarkStart w:id="714" w:name="_Toc1539824686"/>
      <w:bookmarkStart w:id="715" w:name="_Toc407135241"/>
      <w:bookmarkStart w:id="716" w:name="_Toc78449827"/>
      <w:bookmarkStart w:id="717" w:name="_Toc393419678"/>
      <w:bookmarkStart w:id="718" w:name="OLE_LINK1"/>
      <w:r>
        <w:rPr>
          <w:b/>
          <w:bCs/>
          <w:color w:val="auto"/>
          <w:sz w:val="32"/>
          <w:szCs w:val="32"/>
          <w:highlight w:val="none"/>
        </w:rPr>
        <w:t xml:space="preserve">9.5 </w:t>
      </w:r>
      <w:r>
        <w:rPr>
          <w:rFonts w:hint="eastAsia" w:hAnsi="宋体" w:cs="黑体"/>
          <w:b/>
          <w:bCs/>
          <w:color w:val="auto"/>
          <w:sz w:val="32"/>
          <w:szCs w:val="32"/>
          <w:highlight w:val="none"/>
        </w:rPr>
        <w:t>检验费用</w:t>
      </w:r>
      <w:bookmarkEnd w:id="714"/>
      <w:bookmarkEnd w:id="715"/>
      <w:bookmarkEnd w:id="716"/>
      <w:bookmarkEnd w:id="717"/>
    </w:p>
    <w:p w14:paraId="53B7D714">
      <w:pPr>
        <w:spacing w:line="360" w:lineRule="auto"/>
        <w:ind w:firstLine="411" w:firstLineChars="196"/>
        <w:rPr>
          <w:rFonts w:hAnsi="宋体" w:cs="宋体"/>
          <w:color w:val="auto"/>
          <w:highlight w:val="none"/>
        </w:rPr>
      </w:pPr>
      <w:r>
        <w:rPr>
          <w:rFonts w:hint="eastAsia" w:hAnsi="宋体" w:cs="宋体"/>
          <w:color w:val="auto"/>
          <w:highlight w:val="none"/>
        </w:rPr>
        <w:t>根据《建设工程质量检测管理办法》（建设部令第</w:t>
      </w:r>
      <w:r>
        <w:rPr>
          <w:color w:val="auto"/>
          <w:highlight w:val="none"/>
        </w:rPr>
        <w:t>141</w:t>
      </w:r>
      <w:r>
        <w:rPr>
          <w:rFonts w:hint="eastAsia" w:hAnsi="宋体" w:cs="宋体"/>
          <w:color w:val="auto"/>
          <w:highlight w:val="none"/>
        </w:rPr>
        <w:t>号）以及《广西壮族自治区建设工程质量检测管理规定》</w:t>
      </w:r>
      <w:r>
        <w:rPr>
          <w:rFonts w:hint="eastAsia" w:cs="宋体"/>
          <w:color w:val="auto"/>
          <w:highlight w:val="none"/>
        </w:rPr>
        <w:t>（</w:t>
      </w:r>
      <w:r>
        <w:rPr>
          <w:rFonts w:hint="eastAsia" w:hAnsi="宋体" w:cs="宋体"/>
          <w:color w:val="auto"/>
          <w:highlight w:val="none"/>
        </w:rPr>
        <w:t>桂建管</w:t>
      </w:r>
      <w:r>
        <w:rPr>
          <w:rFonts w:hint="eastAsia" w:cs="宋体"/>
          <w:color w:val="auto"/>
          <w:highlight w:val="none"/>
        </w:rPr>
        <w:t>〔</w:t>
      </w:r>
      <w:r>
        <w:rPr>
          <w:color w:val="auto"/>
          <w:highlight w:val="none"/>
        </w:rPr>
        <w:t>2013</w:t>
      </w:r>
      <w:r>
        <w:rPr>
          <w:rFonts w:hint="eastAsia" w:cs="宋体"/>
          <w:color w:val="auto"/>
          <w:highlight w:val="none"/>
        </w:rPr>
        <w:t>〕</w:t>
      </w:r>
      <w:r>
        <w:rPr>
          <w:color w:val="auto"/>
          <w:highlight w:val="none"/>
        </w:rPr>
        <w:t>11</w:t>
      </w:r>
      <w:r>
        <w:rPr>
          <w:rFonts w:hint="eastAsia" w:hAnsi="宋体" w:cs="宋体"/>
          <w:color w:val="auto"/>
          <w:highlight w:val="none"/>
        </w:rPr>
        <w:t>号</w:t>
      </w:r>
      <w:r>
        <w:rPr>
          <w:rFonts w:hint="eastAsia" w:cs="宋体"/>
          <w:color w:val="auto"/>
          <w:highlight w:val="none"/>
        </w:rPr>
        <w:t>）</w:t>
      </w:r>
      <w:r>
        <w:rPr>
          <w:rFonts w:hint="eastAsia" w:hAnsi="宋体" w:cs="宋体"/>
          <w:color w:val="auto"/>
          <w:highlight w:val="none"/>
        </w:rPr>
        <w:t>规定，工程质量检测业务由发包人委托有相应资质的检测机构检测。费用从发包人的项目建设经费中支出并直接支付给检测机构，不计入合同价款内。</w:t>
      </w:r>
    </w:p>
    <w:p w14:paraId="35C5BD58">
      <w:pPr>
        <w:spacing w:line="400" w:lineRule="exact"/>
        <w:ind w:firstLine="411" w:firstLineChars="196"/>
        <w:rPr>
          <w:rFonts w:ascii="宋体" w:hAnsi="宋体" w:cs="宋体"/>
          <w:b/>
          <w:color w:val="auto"/>
          <w:highlight w:val="none"/>
        </w:rPr>
      </w:pPr>
      <w:r>
        <w:rPr>
          <w:rFonts w:hint="eastAsia" w:ascii="宋体" w:hAnsi="宋体" w:cs="宋体"/>
          <w:bCs/>
          <w:color w:val="auto"/>
          <w:highlight w:val="none"/>
        </w:rPr>
        <w:t>承包人需自行配备简单的试验设备和仪器，以完成自检需要；需自行配备见证取样人员和配合现场试验工作、配合试验资料的完善和提交，相关费用已含在投保报价综合单价中。</w:t>
      </w:r>
    </w:p>
    <w:p w14:paraId="34C32A50">
      <w:pPr>
        <w:rPr>
          <w:color w:val="auto"/>
          <w:highlight w:val="none"/>
        </w:rPr>
      </w:pPr>
    </w:p>
    <w:bookmarkEnd w:id="699"/>
    <w:bookmarkEnd w:id="700"/>
    <w:bookmarkEnd w:id="701"/>
    <w:bookmarkEnd w:id="702"/>
    <w:bookmarkEnd w:id="703"/>
    <w:bookmarkEnd w:id="704"/>
    <w:bookmarkEnd w:id="705"/>
    <w:bookmarkEnd w:id="706"/>
    <w:bookmarkEnd w:id="718"/>
    <w:p w14:paraId="66E2BC86">
      <w:pPr>
        <w:keepNext/>
        <w:keepLines/>
        <w:spacing w:before="260" w:after="260" w:line="413" w:lineRule="auto"/>
        <w:outlineLvl w:val="1"/>
        <w:rPr>
          <w:rFonts w:ascii="Arial" w:hAnsi="Arial" w:eastAsia="黑体"/>
          <w:b/>
          <w:bCs/>
          <w:color w:val="auto"/>
          <w:sz w:val="32"/>
          <w:szCs w:val="32"/>
          <w:highlight w:val="none"/>
        </w:rPr>
      </w:pPr>
      <w:bookmarkStart w:id="719" w:name="_Toc351203642"/>
      <w:bookmarkStart w:id="720" w:name="_Toc373227739"/>
      <w:bookmarkStart w:id="721" w:name="_Toc373478386"/>
      <w:bookmarkStart w:id="722" w:name="_Toc603662032"/>
      <w:bookmarkStart w:id="723" w:name="_Toc389065305"/>
      <w:bookmarkStart w:id="724" w:name="_Toc1278407274"/>
      <w:bookmarkStart w:id="725" w:name="_Toc407135242"/>
      <w:bookmarkStart w:id="726" w:name="_Toc78449828"/>
      <w:r>
        <w:rPr>
          <w:rFonts w:ascii="Arial" w:hAnsi="Arial" w:eastAsia="黑体"/>
          <w:b/>
          <w:bCs/>
          <w:color w:val="auto"/>
          <w:sz w:val="32"/>
          <w:szCs w:val="32"/>
          <w:highlight w:val="none"/>
        </w:rPr>
        <w:t>1</w:t>
      </w:r>
      <w:bookmarkEnd w:id="666"/>
      <w:bookmarkEnd w:id="667"/>
      <w:bookmarkEnd w:id="668"/>
      <w:bookmarkEnd w:id="669"/>
      <w:bookmarkEnd w:id="670"/>
      <w:bookmarkEnd w:id="671"/>
      <w:bookmarkEnd w:id="672"/>
      <w:bookmarkEnd w:id="673"/>
      <w:bookmarkEnd w:id="674"/>
      <w:bookmarkEnd w:id="675"/>
      <w:bookmarkEnd w:id="676"/>
      <w:bookmarkEnd w:id="677"/>
      <w:bookmarkStart w:id="727" w:name="_Toc304295566"/>
      <w:bookmarkStart w:id="728" w:name="_Toc296944532"/>
      <w:bookmarkStart w:id="729" w:name="_Toc296891233"/>
      <w:bookmarkStart w:id="730" w:name="_Toc297123540"/>
      <w:bookmarkStart w:id="731" w:name="_Toc300934989"/>
      <w:bookmarkStart w:id="732" w:name="_Toc292559398"/>
      <w:bookmarkStart w:id="733" w:name="_Toc292559903"/>
      <w:bookmarkStart w:id="734" w:name="_Toc296346694"/>
      <w:bookmarkStart w:id="735" w:name="_Toc296891021"/>
      <w:bookmarkStart w:id="736" w:name="_Toc297048379"/>
      <w:bookmarkStart w:id="737" w:name="_Toc303539146"/>
      <w:bookmarkStart w:id="738" w:name="_Toc297216199"/>
      <w:bookmarkStart w:id="739" w:name="_Toc296347192"/>
      <w:bookmarkStart w:id="740" w:name="_Toc297120493"/>
      <w:bookmarkStart w:id="741" w:name="_Toc296503193"/>
      <w:bookmarkStart w:id="742" w:name="_Toc312677499"/>
      <w:bookmarkStart w:id="743" w:name="_Toc312678025"/>
      <w:bookmarkStart w:id="744" w:name="_Toc267251433"/>
      <w:bookmarkStart w:id="745" w:name="_Toc267251441"/>
      <w:bookmarkStart w:id="746" w:name="_Toc267251440"/>
      <w:bookmarkStart w:id="747" w:name="_Toc267251439"/>
      <w:bookmarkStart w:id="748" w:name="_Toc267251435"/>
      <w:bookmarkStart w:id="749" w:name="_Toc267251437"/>
      <w:bookmarkStart w:id="750" w:name="_Toc267251442"/>
      <w:r>
        <w:rPr>
          <w:rFonts w:ascii="Arial" w:hAnsi="Arial" w:eastAsia="黑体"/>
          <w:b/>
          <w:bCs/>
          <w:color w:val="auto"/>
          <w:sz w:val="32"/>
          <w:szCs w:val="32"/>
          <w:highlight w:val="none"/>
        </w:rPr>
        <w:t xml:space="preserve">0. </w:t>
      </w:r>
      <w:r>
        <w:rPr>
          <w:rFonts w:hint="eastAsia" w:ascii="Arial" w:hAnsi="宋体" w:eastAsia="黑体" w:cs="黑体"/>
          <w:b/>
          <w:bCs/>
          <w:color w:val="auto"/>
          <w:sz w:val="32"/>
          <w:szCs w:val="32"/>
          <w:highlight w:val="none"/>
        </w:rPr>
        <w:t>变更</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bookmarkEnd w:id="742"/>
    <w:bookmarkEnd w:id="743"/>
    <w:p w14:paraId="61AB1C1C">
      <w:pPr>
        <w:keepNext/>
        <w:keepLines/>
        <w:spacing w:line="600" w:lineRule="exact"/>
        <w:ind w:firstLine="643" w:firstLineChars="200"/>
        <w:outlineLvl w:val="2"/>
        <w:rPr>
          <w:b/>
          <w:bCs/>
          <w:color w:val="auto"/>
          <w:sz w:val="32"/>
          <w:szCs w:val="32"/>
          <w:highlight w:val="none"/>
        </w:rPr>
      </w:pPr>
      <w:bookmarkStart w:id="751" w:name="_Toc78449829"/>
      <w:bookmarkStart w:id="752" w:name="_Toc373478387"/>
      <w:bookmarkStart w:id="753" w:name="_Toc373227740"/>
      <w:bookmarkStart w:id="754" w:name="_Toc407135243"/>
      <w:bookmarkStart w:id="755" w:name="_Toc1890371558"/>
      <w:bookmarkStart w:id="756" w:name="_Toc411143415"/>
      <w:bookmarkStart w:id="757" w:name="_Toc389065306"/>
      <w:r>
        <w:rPr>
          <w:b/>
          <w:bCs/>
          <w:color w:val="auto"/>
          <w:sz w:val="32"/>
          <w:szCs w:val="32"/>
          <w:highlight w:val="none"/>
        </w:rPr>
        <w:t>1</w:t>
      </w:r>
      <w:bookmarkStart w:id="758" w:name="_Toc296891234"/>
      <w:bookmarkStart w:id="759" w:name="_Toc296346695"/>
      <w:bookmarkStart w:id="760" w:name="_Toc296347193"/>
      <w:bookmarkStart w:id="761" w:name="_Toc297048380"/>
      <w:bookmarkStart w:id="762" w:name="_Toc296503194"/>
      <w:bookmarkStart w:id="763" w:name="_Toc304295567"/>
      <w:bookmarkStart w:id="764" w:name="_Toc312678026"/>
      <w:bookmarkStart w:id="765" w:name="_Toc297120494"/>
      <w:bookmarkStart w:id="766" w:name="_Toc312677500"/>
      <w:bookmarkStart w:id="767" w:name="_Toc292559399"/>
      <w:bookmarkStart w:id="768" w:name="_Toc297216200"/>
      <w:bookmarkStart w:id="769" w:name="_Toc297123541"/>
      <w:bookmarkStart w:id="770" w:name="_Toc292559904"/>
      <w:bookmarkStart w:id="771" w:name="_Toc296891022"/>
      <w:bookmarkStart w:id="772" w:name="_Toc296944533"/>
      <w:bookmarkStart w:id="773" w:name="_Toc303539147"/>
      <w:bookmarkStart w:id="774" w:name="_Toc300934990"/>
      <w:r>
        <w:rPr>
          <w:b/>
          <w:bCs/>
          <w:color w:val="auto"/>
          <w:sz w:val="32"/>
          <w:szCs w:val="32"/>
          <w:highlight w:val="none"/>
        </w:rPr>
        <w:t xml:space="preserve">0.1 </w:t>
      </w:r>
      <w:r>
        <w:rPr>
          <w:rFonts w:hint="eastAsia" w:hAnsi="宋体" w:cs="黑体"/>
          <w:b/>
          <w:bCs/>
          <w:color w:val="auto"/>
          <w:sz w:val="32"/>
          <w:szCs w:val="32"/>
          <w:highlight w:val="none"/>
        </w:rPr>
        <w:t>变更的范围</w:t>
      </w:r>
      <w:bookmarkEnd w:id="751"/>
      <w:bookmarkEnd w:id="752"/>
      <w:bookmarkEnd w:id="753"/>
      <w:bookmarkEnd w:id="754"/>
      <w:bookmarkEnd w:id="755"/>
      <w:bookmarkEnd w:id="756"/>
      <w:bookmarkEnd w:id="757"/>
    </w:p>
    <w:p w14:paraId="4CBCE8D0">
      <w:pPr>
        <w:spacing w:line="360" w:lineRule="auto"/>
        <w:ind w:firstLine="426"/>
        <w:jc w:val="left"/>
        <w:rPr>
          <w:rFonts w:hAnsi="宋体" w:cs="宋体"/>
          <w:color w:val="auto"/>
          <w:highlight w:val="none"/>
        </w:rPr>
      </w:pPr>
      <w:r>
        <w:rPr>
          <w:rFonts w:hint="eastAsia" w:hAnsi="宋体" w:cs="宋体"/>
          <w:color w:val="auto"/>
          <w:highlight w:val="none"/>
        </w:rPr>
        <w:t>关于变更的范围的约定：</w:t>
      </w:r>
    </w:p>
    <w:p w14:paraId="7D733418">
      <w:pPr>
        <w:pStyle w:val="49"/>
        <w:spacing w:line="360" w:lineRule="exact"/>
        <w:ind w:firstLine="440"/>
        <w:rPr>
          <w:color w:val="auto"/>
          <w:sz w:val="21"/>
          <w:szCs w:val="21"/>
          <w:highlight w:val="none"/>
        </w:rPr>
      </w:pPr>
      <w:r>
        <w:rPr>
          <w:rFonts w:hint="eastAsia"/>
          <w:color w:val="auto"/>
          <w:sz w:val="21"/>
          <w:szCs w:val="21"/>
          <w:highlight w:val="none"/>
        </w:rPr>
        <w:t>在履行合同中发生以下情形之一，应按照本条规定进行变更。</w:t>
      </w:r>
    </w:p>
    <w:p w14:paraId="45712067">
      <w:pPr>
        <w:pStyle w:val="49"/>
        <w:tabs>
          <w:tab w:val="left" w:pos="923"/>
        </w:tabs>
        <w:spacing w:line="360" w:lineRule="exact"/>
        <w:ind w:firstLine="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取消合同中任何一项工作，但被取消的工作不能转由发包人或其它人实施；</w:t>
      </w:r>
    </w:p>
    <w:p w14:paraId="16B6DC4D">
      <w:pPr>
        <w:pStyle w:val="49"/>
        <w:tabs>
          <w:tab w:val="left" w:pos="923"/>
        </w:tabs>
        <w:spacing w:line="360" w:lineRule="exact"/>
        <w:ind w:firstLine="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eastAsia"/>
          <w:color w:val="auto"/>
          <w:sz w:val="21"/>
          <w:szCs w:val="21"/>
          <w:highlight w:val="none"/>
        </w:rPr>
        <w:t>设计缺陷、差错或遗漏，</w:t>
      </w:r>
      <w:r>
        <w:rPr>
          <w:rFonts w:hint="eastAsia"/>
          <w:color w:val="auto"/>
          <w:sz w:val="21"/>
          <w:szCs w:val="21"/>
          <w:highlight w:val="none"/>
          <w:lang w:eastAsia="zh-CN"/>
        </w:rPr>
        <w:t>增加、</w:t>
      </w:r>
      <w:r>
        <w:rPr>
          <w:rFonts w:hint="eastAsia"/>
          <w:color w:val="auto"/>
          <w:sz w:val="21"/>
          <w:szCs w:val="21"/>
          <w:highlight w:val="none"/>
        </w:rPr>
        <w:t>改变合同或图纸中合同中任何一项工作的质量或其它特性；</w:t>
      </w:r>
    </w:p>
    <w:p w14:paraId="74786F67">
      <w:pPr>
        <w:pStyle w:val="49"/>
        <w:tabs>
          <w:tab w:val="left" w:pos="923"/>
        </w:tabs>
        <w:spacing w:line="360" w:lineRule="exact"/>
        <w:ind w:firstLine="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rFonts w:hint="eastAsia"/>
          <w:color w:val="auto"/>
          <w:sz w:val="21"/>
          <w:szCs w:val="21"/>
          <w:highlight w:val="none"/>
        </w:rPr>
        <w:t>改变合同工程的基线、标高、位置或尺寸；</w:t>
      </w:r>
    </w:p>
    <w:p w14:paraId="4CA0C305">
      <w:pPr>
        <w:pStyle w:val="49"/>
        <w:tabs>
          <w:tab w:val="left" w:pos="923"/>
        </w:tabs>
        <w:spacing w:line="365" w:lineRule="exact"/>
        <w:ind w:firstLine="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w:t>
      </w:r>
      <w:r>
        <w:rPr>
          <w:rFonts w:hint="eastAsia"/>
          <w:color w:val="auto"/>
          <w:sz w:val="21"/>
          <w:szCs w:val="21"/>
          <w:highlight w:val="none"/>
        </w:rPr>
        <w:t>改变合同中任何一项工作的施工时间或改变已批准的施工工艺或顺序；</w:t>
      </w:r>
    </w:p>
    <w:p w14:paraId="6E162C5C">
      <w:pPr>
        <w:pStyle w:val="49"/>
        <w:tabs>
          <w:tab w:val="left" w:pos="923"/>
        </w:tabs>
        <w:spacing w:line="365" w:lineRule="exact"/>
        <w:ind w:firstLine="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w:t>
      </w:r>
      <w:r>
        <w:rPr>
          <w:rFonts w:hint="eastAsia"/>
          <w:color w:val="auto"/>
          <w:sz w:val="21"/>
          <w:szCs w:val="21"/>
          <w:highlight w:val="none"/>
        </w:rPr>
        <w:t>为完成工程需要追加的额外工作；</w:t>
      </w:r>
    </w:p>
    <w:p w14:paraId="1C3F7199">
      <w:pPr>
        <w:pStyle w:val="49"/>
        <w:tabs>
          <w:tab w:val="left" w:pos="920"/>
        </w:tabs>
        <w:spacing w:line="365" w:lineRule="exact"/>
        <w:ind w:firstLine="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w:t>
      </w:r>
      <w:r>
        <w:rPr>
          <w:rFonts w:hint="eastAsia"/>
          <w:color w:val="auto"/>
          <w:sz w:val="21"/>
          <w:szCs w:val="21"/>
          <w:highlight w:val="none"/>
        </w:rPr>
        <w:t>增加或减少专用合同条款中约定的关键项目工程量超过其工程总量的一定数量的百分比。</w:t>
      </w:r>
    </w:p>
    <w:p w14:paraId="0DAE91F9">
      <w:pPr>
        <w:spacing w:line="360" w:lineRule="auto"/>
        <w:ind w:firstLine="426"/>
        <w:jc w:val="left"/>
        <w:rPr>
          <w:color w:val="auto"/>
          <w:highlight w:val="none"/>
        </w:rPr>
      </w:pPr>
      <w:r>
        <w:rPr>
          <w:rFonts w:hint="eastAsia" w:ascii="宋体" w:hAnsi="宋体" w:cs="宋体"/>
          <w:b/>
          <w:bCs/>
          <w:color w:val="auto"/>
          <w:szCs w:val="22"/>
          <w:highlight w:val="none"/>
          <w:u w:val="single"/>
        </w:rPr>
        <w:t>通用合同条款约定的范围外，发包人有权根据本工程的实际提出其他的变更事项。凡涉及合同价款增减变化的变更事项，设计变更必须经设计单位、总监理工程师和发包人代表共同签字，现场签证必须经总监理工程师和发包人代表共同签字，并经发包人盖章确认后的书面文件为准，否则不作为结算调整依据；审计单位审核确认执行本合同通用条款；承包人根据发包人书面确认的变更文件予以变更。变更文件中须明确原做法、变更后做法及工艺、材料名称、规格、品牌、尺寸等，标注要清晰</w:t>
      </w:r>
      <w:r>
        <w:rPr>
          <w:rFonts w:hint="eastAsia" w:hAnsi="宋体" w:cs="宋体"/>
          <w:color w:val="auto"/>
          <w:highlight w:val="none"/>
        </w:rPr>
        <w:t>。</w:t>
      </w:r>
    </w:p>
    <w:p w14:paraId="56061CA6">
      <w:pPr>
        <w:keepNext/>
        <w:keepLines/>
        <w:spacing w:line="600" w:lineRule="exact"/>
        <w:ind w:firstLine="643" w:firstLineChars="200"/>
        <w:outlineLvl w:val="2"/>
        <w:rPr>
          <w:b/>
          <w:bCs/>
          <w:color w:val="auto"/>
          <w:sz w:val="32"/>
          <w:szCs w:val="32"/>
          <w:highlight w:val="none"/>
        </w:rPr>
      </w:pPr>
      <w:bookmarkStart w:id="775" w:name="_Toc78449830"/>
      <w:bookmarkStart w:id="776" w:name="_Toc407135244"/>
      <w:bookmarkStart w:id="777" w:name="_Toc389065307"/>
      <w:bookmarkStart w:id="778" w:name="_Toc373478388"/>
      <w:bookmarkStart w:id="779" w:name="_Toc450749207"/>
      <w:bookmarkStart w:id="780" w:name="_Toc373227741"/>
      <w:bookmarkStart w:id="781" w:name="_Toc1641633295"/>
      <w:r>
        <w:rPr>
          <w:b/>
          <w:bCs/>
          <w:color w:val="auto"/>
          <w:sz w:val="32"/>
          <w:szCs w:val="32"/>
          <w:highlight w:val="none"/>
        </w:rPr>
        <w:t xml:space="preserve">10.3 </w:t>
      </w:r>
      <w:r>
        <w:rPr>
          <w:rFonts w:hint="eastAsia" w:hAnsi="宋体" w:cs="黑体"/>
          <w:b/>
          <w:bCs/>
          <w:color w:val="auto"/>
          <w:sz w:val="32"/>
          <w:szCs w:val="32"/>
          <w:highlight w:val="none"/>
        </w:rPr>
        <w:t>变更程序</w:t>
      </w:r>
      <w:bookmarkEnd w:id="775"/>
      <w:bookmarkEnd w:id="776"/>
      <w:bookmarkEnd w:id="777"/>
      <w:bookmarkEnd w:id="778"/>
      <w:bookmarkEnd w:id="779"/>
      <w:bookmarkEnd w:id="780"/>
      <w:bookmarkEnd w:id="781"/>
    </w:p>
    <w:p w14:paraId="07E86FFC">
      <w:pPr>
        <w:pStyle w:val="16"/>
        <w:spacing w:line="360" w:lineRule="auto"/>
        <w:ind w:firstLine="441" w:firstLineChars="210"/>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2A56AC65">
      <w:pPr>
        <w:pStyle w:val="16"/>
        <w:spacing w:line="360" w:lineRule="auto"/>
        <w:ind w:firstLine="858" w:firstLineChars="409"/>
        <w:rPr>
          <w:rFonts w:hint="eastAsia" w:ascii="Times New Roman" w:hAnsi="宋体"/>
          <w:bCs/>
          <w:color w:val="auto"/>
          <w:sz w:val="21"/>
          <w:szCs w:val="21"/>
          <w:highlight w:val="none"/>
        </w:rPr>
      </w:pPr>
      <w:r>
        <w:rPr>
          <w:rFonts w:hint="eastAsia" w:ascii="Times New Roman" w:hAnsi="宋体"/>
          <w:bCs/>
          <w:color w:val="auto"/>
          <w:sz w:val="21"/>
          <w:szCs w:val="21"/>
          <w:highlight w:val="none"/>
        </w:rPr>
        <w:t>(1)设计变更和工程签证，按各市政府或相关部门的规定办理。属不可抗力(自然灾害、突 发事件等)造成变更的，按特事特办原则予以办理。</w:t>
      </w:r>
    </w:p>
    <w:p w14:paraId="3D088535">
      <w:pPr>
        <w:pStyle w:val="16"/>
        <w:spacing w:line="360" w:lineRule="auto"/>
        <w:ind w:firstLine="858" w:firstLineChars="409"/>
        <w:rPr>
          <w:rFonts w:hint="eastAsia" w:ascii="Times New Roman" w:hAnsi="宋体"/>
          <w:bCs/>
          <w:color w:val="auto"/>
          <w:sz w:val="21"/>
          <w:szCs w:val="21"/>
          <w:highlight w:val="none"/>
        </w:rPr>
      </w:pPr>
      <w:r>
        <w:rPr>
          <w:rFonts w:hint="eastAsia" w:ascii="Times New Roman" w:hAnsi="宋体"/>
          <w:bCs/>
          <w:color w:val="auto"/>
          <w:sz w:val="21"/>
          <w:szCs w:val="21"/>
          <w:highlight w:val="none"/>
        </w:rPr>
        <w:t>(2)建设单位在实施项目过程中，若发生单价变动，由发包人、承包人、监理或造价咨询等 单位共同商定并签字确认。</w:t>
      </w:r>
    </w:p>
    <w:p w14:paraId="0B1B9BB4">
      <w:pPr>
        <w:pStyle w:val="16"/>
        <w:spacing w:line="360" w:lineRule="auto"/>
        <w:ind w:firstLine="858" w:firstLineChars="409"/>
        <w:rPr>
          <w:rFonts w:ascii="Times New Roman" w:hAnsi="宋体"/>
          <w:bCs/>
          <w:color w:val="auto"/>
          <w:sz w:val="21"/>
          <w:szCs w:val="21"/>
          <w:highlight w:val="none"/>
        </w:rPr>
      </w:pPr>
      <w:r>
        <w:rPr>
          <w:rFonts w:hint="eastAsia" w:ascii="Times New Roman" w:hAnsi="宋体"/>
          <w:bCs/>
          <w:color w:val="auto"/>
          <w:sz w:val="21"/>
          <w:szCs w:val="21"/>
          <w:highlight w:val="none"/>
        </w:rPr>
        <w:t>(3)当合同规定的合同价款调整情况发生后，承包人未在规定时间内通知发包人，或者未在 规定时间内提出调整报告，发包人可以根据有关资料，决定是否调整和调整的金额，并书面通知 承包人。</w:t>
      </w:r>
    </w:p>
    <w:p w14:paraId="4D7D9DE0">
      <w:pPr>
        <w:spacing w:line="360" w:lineRule="auto"/>
        <w:ind w:firstLine="441" w:firstLineChars="210"/>
        <w:rPr>
          <w:rFonts w:hint="eastAsia" w:hAnsi="宋体" w:eastAsia="宋体"/>
          <w:bCs/>
          <w:color w:val="auto"/>
          <w:szCs w:val="21"/>
          <w:highlight w:val="none"/>
          <w:lang w:val="en-US" w:eastAsia="zh-CN"/>
        </w:rPr>
      </w:pPr>
      <w:r>
        <w:rPr>
          <w:color w:val="auto"/>
          <w:highlight w:val="none"/>
        </w:rPr>
        <w:t xml:space="preserve">10.3.2 </w:t>
      </w:r>
      <w:r>
        <w:rPr>
          <w:rFonts w:hint="eastAsia" w:cs="宋体"/>
          <w:color w:val="auto"/>
          <w:highlight w:val="none"/>
        </w:rPr>
        <w:t>非国有投资项目：</w:t>
      </w:r>
      <w:r>
        <w:rPr>
          <w:rFonts w:hint="eastAsia" w:cs="宋体"/>
          <w:color w:val="auto"/>
          <w:highlight w:val="none"/>
          <w:lang w:val="en-US" w:eastAsia="zh-CN"/>
        </w:rPr>
        <w:t>/。</w:t>
      </w:r>
    </w:p>
    <w:p w14:paraId="6BD5735D">
      <w:pPr>
        <w:keepNext/>
        <w:keepLines/>
        <w:spacing w:line="600" w:lineRule="exact"/>
        <w:ind w:firstLine="643" w:firstLineChars="200"/>
        <w:outlineLvl w:val="2"/>
        <w:rPr>
          <w:b/>
          <w:bCs/>
          <w:color w:val="auto"/>
          <w:sz w:val="32"/>
          <w:szCs w:val="32"/>
          <w:highlight w:val="none"/>
        </w:rPr>
      </w:pPr>
      <w:bookmarkStart w:id="782" w:name="_Toc407135245"/>
      <w:bookmarkStart w:id="783" w:name="_Toc373227742"/>
      <w:bookmarkStart w:id="784" w:name="_Toc780640360"/>
      <w:bookmarkStart w:id="785" w:name="_Toc78449831"/>
      <w:bookmarkStart w:id="786" w:name="_Toc389065308"/>
      <w:bookmarkStart w:id="787" w:name="_Toc1645711468"/>
      <w:bookmarkStart w:id="788" w:name="_Toc373478389"/>
      <w:r>
        <w:rPr>
          <w:b/>
          <w:bCs/>
          <w:color w:val="auto"/>
          <w:sz w:val="32"/>
          <w:szCs w:val="32"/>
          <w:highlight w:val="none"/>
        </w:rPr>
        <w:t xml:space="preserve">10.4 </w:t>
      </w:r>
      <w:r>
        <w:rPr>
          <w:rFonts w:hint="eastAsia" w:hAnsi="宋体" w:cs="黑体"/>
          <w:b/>
          <w:bCs/>
          <w:color w:val="auto"/>
          <w:sz w:val="32"/>
          <w:szCs w:val="32"/>
          <w:highlight w:val="none"/>
        </w:rPr>
        <w:t>变更估价</w:t>
      </w:r>
      <w:bookmarkEnd w:id="782"/>
      <w:bookmarkEnd w:id="783"/>
      <w:bookmarkEnd w:id="784"/>
      <w:bookmarkEnd w:id="785"/>
      <w:bookmarkEnd w:id="786"/>
      <w:bookmarkEnd w:id="787"/>
      <w:bookmarkEnd w:id="788"/>
    </w:p>
    <w:p w14:paraId="10FBB9C0">
      <w:pPr>
        <w:spacing w:line="360" w:lineRule="auto"/>
        <w:ind w:firstLine="420" w:firstLineChars="200"/>
        <w:jc w:val="left"/>
        <w:rPr>
          <w:color w:val="auto"/>
          <w:highlight w:val="none"/>
        </w:rPr>
      </w:pPr>
      <w:r>
        <w:rPr>
          <w:color w:val="auto"/>
          <w:highlight w:val="none"/>
        </w:rPr>
        <w:t xml:space="preserve">10.4.1 </w:t>
      </w:r>
      <w:r>
        <w:rPr>
          <w:rFonts w:hint="eastAsia" w:hAnsi="宋体" w:cs="宋体"/>
          <w:color w:val="auto"/>
          <w:highlight w:val="none"/>
        </w:rPr>
        <w:t>变更估价原则</w:t>
      </w:r>
    </w:p>
    <w:p w14:paraId="573811CD">
      <w:pPr>
        <w:spacing w:line="360" w:lineRule="auto"/>
        <w:ind w:firstLine="420" w:firstLineChars="200"/>
        <w:jc w:val="left"/>
        <w:rPr>
          <w:rFonts w:cs="宋体"/>
          <w:color w:val="auto"/>
          <w:highlight w:val="none"/>
          <w:u w:val="single"/>
        </w:rPr>
      </w:pPr>
      <w:r>
        <w:rPr>
          <w:rFonts w:hint="eastAsia" w:hAnsi="宋体" w:cs="宋体"/>
          <w:color w:val="auto"/>
          <w:highlight w:val="none"/>
        </w:rPr>
        <w:t>关于变更估价的约定</w:t>
      </w:r>
      <w:r>
        <w:rPr>
          <w:color w:val="auto"/>
          <w:highlight w:val="none"/>
        </w:rPr>
        <w:t xml:space="preserve">: </w:t>
      </w:r>
      <w:bookmarkStart w:id="789" w:name="_Toc251051742"/>
      <w:r>
        <w:rPr>
          <w:rFonts w:hint="eastAsia" w:hAnsi="宋体" w:cs="宋体"/>
          <w:color w:val="auto"/>
          <w:highlight w:val="none"/>
          <w:u w:val="single"/>
        </w:rPr>
        <w:t>工程变更合同价款按下列方法进行：</w:t>
      </w:r>
      <w:r>
        <w:rPr>
          <w:rFonts w:hint="eastAsia" w:ascii="Calibri" w:hAnsi="宋体" w:cs="宋体"/>
          <w:color w:val="auto"/>
          <w:szCs w:val="22"/>
          <w:highlight w:val="none"/>
          <w:u w:val="single"/>
        </w:rPr>
        <w:t>（</w:t>
      </w:r>
      <w:r>
        <w:rPr>
          <w:rFonts w:ascii="Calibri" w:hAnsi="Calibri"/>
          <w:color w:val="auto"/>
          <w:szCs w:val="22"/>
          <w:highlight w:val="none"/>
          <w:u w:val="single"/>
        </w:rPr>
        <w:t>1</w:t>
      </w:r>
      <w:r>
        <w:rPr>
          <w:rFonts w:hint="eastAsia" w:ascii="Calibri" w:hAnsi="宋体" w:cs="宋体"/>
          <w:color w:val="auto"/>
          <w:szCs w:val="22"/>
          <w:highlight w:val="none"/>
          <w:u w:val="single"/>
        </w:rPr>
        <w:t>）合同中已有相同清单项目的，按合同该清单项目价格进行计算；（</w:t>
      </w:r>
      <w:r>
        <w:rPr>
          <w:rFonts w:ascii="Calibri" w:hAnsi="Calibri"/>
          <w:color w:val="auto"/>
          <w:szCs w:val="22"/>
          <w:highlight w:val="none"/>
          <w:u w:val="single"/>
        </w:rPr>
        <w:t>2</w:t>
      </w:r>
      <w:r>
        <w:rPr>
          <w:rFonts w:hint="eastAsia" w:ascii="Calibri" w:hAnsi="宋体" w:cs="宋体"/>
          <w:color w:val="auto"/>
          <w:szCs w:val="22"/>
          <w:highlight w:val="none"/>
          <w:u w:val="single"/>
        </w:rPr>
        <w:t>）合同中只有类似清单项目的，参照该类似清单项目价格进行计算；（</w:t>
      </w:r>
      <w:r>
        <w:rPr>
          <w:rFonts w:ascii="Calibri" w:hAnsi="Calibri"/>
          <w:color w:val="auto"/>
          <w:szCs w:val="22"/>
          <w:highlight w:val="none"/>
          <w:u w:val="single"/>
        </w:rPr>
        <w:t>3</w:t>
      </w:r>
      <w:r>
        <w:rPr>
          <w:rFonts w:hint="eastAsia" w:ascii="Calibri" w:hAnsi="宋体" w:cs="宋体"/>
          <w:color w:val="auto"/>
          <w:szCs w:val="22"/>
          <w:highlight w:val="none"/>
          <w:u w:val="single"/>
        </w:rPr>
        <w:t>）合同中没有适用或类似清单项目的价格计算方法：有定额的套定额，并</w:t>
      </w:r>
      <w:r>
        <w:rPr>
          <w:rFonts w:ascii="Calibri" w:hAnsi="宋体" w:cs="宋体"/>
          <w:color w:val="auto"/>
          <w:szCs w:val="22"/>
          <w:highlight w:val="none"/>
          <w:u w:val="single"/>
        </w:rPr>
        <w:t>乘以下浮系数（</w:t>
      </w:r>
      <w:r>
        <w:rPr>
          <w:rFonts w:hint="eastAsia" w:ascii="Calibri" w:hAnsi="宋体" w:cs="宋体"/>
          <w:color w:val="auto"/>
          <w:szCs w:val="22"/>
          <w:highlight w:val="none"/>
          <w:u w:val="single"/>
          <w:lang w:val="en-US" w:eastAsia="zh-CN"/>
        </w:rPr>
        <w:t>成交</w:t>
      </w:r>
      <w:r>
        <w:rPr>
          <w:rFonts w:ascii="Calibri" w:hAnsi="宋体" w:cs="宋体"/>
          <w:color w:val="auto"/>
          <w:szCs w:val="22"/>
          <w:highlight w:val="none"/>
          <w:u w:val="single"/>
        </w:rPr>
        <w:t>价/经招标人公布的工程招标控制价）计算</w:t>
      </w:r>
      <w:r>
        <w:rPr>
          <w:rFonts w:hint="eastAsia" w:ascii="Calibri" w:hAnsi="宋体" w:cs="宋体"/>
          <w:color w:val="auto"/>
          <w:szCs w:val="22"/>
          <w:highlight w:val="none"/>
          <w:u w:val="single"/>
        </w:rPr>
        <w:t>，其中：材料设备价格按施工期间的《</w:t>
      </w:r>
      <w:r>
        <w:rPr>
          <w:rFonts w:hint="eastAsia" w:ascii="Calibri" w:hAnsi="Calibri"/>
          <w:color w:val="auto"/>
          <w:szCs w:val="22"/>
          <w:highlight w:val="none"/>
          <w:u w:val="single"/>
          <w:lang w:eastAsia="zh-CN"/>
        </w:rPr>
        <w:t>百色</w:t>
      </w:r>
      <w:r>
        <w:rPr>
          <w:rFonts w:hint="eastAsia" w:ascii="Calibri" w:hAnsi="宋体" w:cs="宋体"/>
          <w:color w:val="auto"/>
          <w:szCs w:val="22"/>
          <w:highlight w:val="none"/>
          <w:u w:val="single"/>
        </w:rPr>
        <w:t>市建设工程造价信息》相应信息价的加权平均值计算，《</w:t>
      </w:r>
      <w:r>
        <w:rPr>
          <w:rFonts w:hint="eastAsia" w:ascii="Calibri" w:hAnsi="Calibri"/>
          <w:color w:val="auto"/>
          <w:szCs w:val="22"/>
          <w:highlight w:val="none"/>
          <w:u w:val="single"/>
          <w:lang w:eastAsia="zh-CN"/>
        </w:rPr>
        <w:t>百色</w:t>
      </w:r>
      <w:r>
        <w:rPr>
          <w:rFonts w:hint="eastAsia" w:ascii="Calibri" w:hAnsi="宋体" w:cs="宋体"/>
          <w:color w:val="auto"/>
          <w:szCs w:val="22"/>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Calibri" w:hAnsi="宋体" w:cs="宋体"/>
          <w:color w:val="auto"/>
          <w:szCs w:val="22"/>
          <w:highlight w:val="none"/>
        </w:rPr>
        <w:t>。以上约定同时适用于招标工程量清单缺项以及工程量清单项目特征与图纸不符时的价款确定。</w:t>
      </w:r>
      <w:r>
        <w:rPr>
          <w:rFonts w:ascii="Calibri" w:hAnsi="宋体"/>
          <w:bCs/>
          <w:color w:val="auto"/>
          <w:highlight w:val="none"/>
          <w:u w:val="single"/>
        </w:rPr>
        <w:t>对于</w:t>
      </w:r>
      <w:r>
        <w:rPr>
          <w:rFonts w:hint="eastAsia" w:ascii="Calibri" w:hAnsi="宋体"/>
          <w:bCs/>
          <w:color w:val="auto"/>
          <w:highlight w:val="none"/>
          <w:u w:val="single"/>
        </w:rPr>
        <w:t>政府及</w:t>
      </w:r>
      <w:r>
        <w:rPr>
          <w:rFonts w:ascii="Calibri" w:hAnsi="宋体"/>
          <w:bCs/>
          <w:color w:val="auto"/>
          <w:highlight w:val="none"/>
          <w:u w:val="single"/>
        </w:rPr>
        <w:t>国有资</w:t>
      </w:r>
      <w:r>
        <w:rPr>
          <w:rFonts w:hint="eastAsia" w:ascii="Calibri" w:hAnsi="宋体"/>
          <w:bCs/>
          <w:color w:val="auto"/>
          <w:highlight w:val="none"/>
          <w:u w:val="single"/>
        </w:rPr>
        <w:t>金</w:t>
      </w:r>
      <w:r>
        <w:rPr>
          <w:rFonts w:ascii="Calibri" w:hAnsi="宋体"/>
          <w:bCs/>
          <w:color w:val="auto"/>
          <w:highlight w:val="none"/>
          <w:u w:val="single"/>
        </w:rPr>
        <w:t>投资的项目，新增项目的单价必须经</w:t>
      </w:r>
      <w:r>
        <w:rPr>
          <w:rFonts w:hint="eastAsia" w:ascii="Calibri" w:hAnsi="宋体"/>
          <w:bCs/>
          <w:color w:val="auto"/>
          <w:highlight w:val="none"/>
          <w:u w:val="single"/>
        </w:rPr>
        <w:t>发包人、监理单位及</w:t>
      </w:r>
      <w:r>
        <w:rPr>
          <w:rFonts w:hint="eastAsia" w:ascii="Calibri" w:hAnsi="宋体"/>
          <w:bCs/>
          <w:color w:val="auto"/>
          <w:highlight w:val="none"/>
          <w:u w:val="single"/>
          <w:lang w:eastAsia="zh-CN"/>
        </w:rPr>
        <w:t>财政部门</w:t>
      </w:r>
      <w:r>
        <w:rPr>
          <w:rFonts w:ascii="Calibri" w:hAnsi="宋体"/>
          <w:bCs/>
          <w:color w:val="auto"/>
          <w:highlight w:val="none"/>
          <w:u w:val="single"/>
        </w:rPr>
        <w:t>审定</w:t>
      </w:r>
      <w:bookmarkEnd w:id="789"/>
      <w:r>
        <w:rPr>
          <w:rFonts w:hint="eastAsia" w:hAnsi="宋体" w:cs="宋体"/>
          <w:color w:val="auto"/>
          <w:highlight w:val="none"/>
        </w:rPr>
        <w:t>。</w:t>
      </w:r>
    </w:p>
    <w:p w14:paraId="5E588381">
      <w:pPr>
        <w:spacing w:line="360" w:lineRule="auto"/>
        <w:ind w:firstLine="420" w:firstLineChars="200"/>
        <w:jc w:val="left"/>
        <w:rPr>
          <w:rFonts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s="宋体"/>
          <w:color w:val="auto"/>
          <w:highlight w:val="none"/>
          <w:u w:val="single"/>
        </w:rPr>
        <w:t>工程量清单错误的修正”执行。</w:t>
      </w:r>
    </w:p>
    <w:p w14:paraId="71442EAF">
      <w:pPr>
        <w:keepNext/>
        <w:keepLines/>
        <w:spacing w:line="600" w:lineRule="exact"/>
        <w:ind w:firstLine="643" w:firstLineChars="200"/>
        <w:outlineLvl w:val="2"/>
        <w:rPr>
          <w:b/>
          <w:bCs/>
          <w:color w:val="auto"/>
          <w:sz w:val="32"/>
          <w:szCs w:val="32"/>
          <w:highlight w:val="none"/>
        </w:rPr>
      </w:pPr>
      <w:bookmarkStart w:id="790" w:name="_Toc373227743"/>
      <w:bookmarkStart w:id="791" w:name="_Toc373478390"/>
      <w:bookmarkStart w:id="792" w:name="_Toc78449832"/>
      <w:bookmarkStart w:id="793" w:name="_Toc650800266"/>
      <w:bookmarkStart w:id="794" w:name="_Toc407135246"/>
      <w:bookmarkStart w:id="795" w:name="_Toc1342657745"/>
      <w:bookmarkStart w:id="796" w:name="_Toc389065309"/>
      <w:r>
        <w:rPr>
          <w:b/>
          <w:bCs/>
          <w:color w:val="auto"/>
          <w:sz w:val="32"/>
          <w:szCs w:val="32"/>
          <w:highlight w:val="none"/>
        </w:rPr>
        <w:t>1</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Start w:id="797" w:name="_Toc303539150"/>
      <w:bookmarkStart w:id="798" w:name="_Toc296503197"/>
      <w:bookmarkStart w:id="799" w:name="_Toc297216203"/>
      <w:bookmarkStart w:id="800" w:name="_Toc297048383"/>
      <w:bookmarkStart w:id="801" w:name="_Toc292559907"/>
      <w:bookmarkStart w:id="802" w:name="_Toc296891025"/>
      <w:bookmarkStart w:id="803" w:name="_Toc297123544"/>
      <w:bookmarkStart w:id="804" w:name="_Toc296891237"/>
      <w:bookmarkStart w:id="805" w:name="_Toc292559402"/>
      <w:bookmarkStart w:id="806" w:name="_Toc297120497"/>
      <w:bookmarkStart w:id="807" w:name="_Toc296944536"/>
      <w:bookmarkStart w:id="808" w:name="_Toc296347196"/>
      <w:bookmarkStart w:id="809" w:name="_Toc296346698"/>
      <w:bookmarkStart w:id="810" w:name="_Toc300934993"/>
      <w:bookmarkStart w:id="811" w:name="_Toc312677503"/>
      <w:bookmarkStart w:id="812" w:name="_Toc304295570"/>
      <w:bookmarkStart w:id="813" w:name="_Toc312678029"/>
      <w:r>
        <w:rPr>
          <w:b/>
          <w:bCs/>
          <w:color w:val="auto"/>
          <w:sz w:val="32"/>
          <w:szCs w:val="32"/>
          <w:highlight w:val="none"/>
        </w:rPr>
        <w:t xml:space="preserve">0.5 </w:t>
      </w:r>
      <w:r>
        <w:rPr>
          <w:rFonts w:hint="eastAsia" w:cs="黑体"/>
          <w:b/>
          <w:bCs/>
          <w:color w:val="auto"/>
          <w:sz w:val="32"/>
          <w:szCs w:val="32"/>
          <w:highlight w:val="none"/>
        </w:rPr>
        <w:t>承</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Start w:id="814" w:name="_Toc297216204"/>
      <w:bookmarkStart w:id="815" w:name="_Toc296891031"/>
      <w:bookmarkStart w:id="816" w:name="_Toc296346704"/>
      <w:bookmarkStart w:id="817" w:name="_Toc303539151"/>
      <w:bookmarkStart w:id="818" w:name="_Toc296891243"/>
      <w:bookmarkStart w:id="819" w:name="_Toc292559913"/>
      <w:bookmarkStart w:id="820" w:name="_Toc296503203"/>
      <w:bookmarkStart w:id="821" w:name="_Toc300934994"/>
      <w:bookmarkStart w:id="822" w:name="_Toc297123545"/>
      <w:bookmarkStart w:id="823" w:name="_Toc292559408"/>
      <w:bookmarkStart w:id="824" w:name="_Toc297048389"/>
      <w:bookmarkStart w:id="825" w:name="_Toc296944542"/>
      <w:bookmarkStart w:id="826" w:name="_Toc297120503"/>
      <w:bookmarkStart w:id="827" w:name="_Toc296347202"/>
      <w:r>
        <w:rPr>
          <w:rFonts w:hint="eastAsia" w:cs="黑体"/>
          <w:b/>
          <w:bCs/>
          <w:color w:val="auto"/>
          <w:sz w:val="32"/>
          <w:szCs w:val="32"/>
          <w:highlight w:val="none"/>
        </w:rPr>
        <w:t>包人的合理化建议</w:t>
      </w:r>
      <w:bookmarkEnd w:id="790"/>
      <w:bookmarkEnd w:id="791"/>
      <w:bookmarkEnd w:id="792"/>
      <w:bookmarkEnd w:id="793"/>
      <w:bookmarkEnd w:id="794"/>
      <w:bookmarkEnd w:id="795"/>
      <w:bookmarkEnd w:id="796"/>
    </w:p>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14:paraId="52E8291E">
      <w:pPr>
        <w:spacing w:line="360" w:lineRule="auto"/>
        <w:ind w:firstLine="420" w:firstLineChars="200"/>
        <w:jc w:val="left"/>
        <w:rPr>
          <w:color w:val="auto"/>
          <w:highlight w:val="none"/>
          <w:u w:val="single"/>
        </w:rPr>
      </w:pPr>
      <w:r>
        <w:rPr>
          <w:rFonts w:hint="eastAsia" w:hAnsi="宋体" w:cs="宋体"/>
          <w:color w:val="auto"/>
          <w:highlight w:val="none"/>
        </w:rPr>
        <w:t>承</w:t>
      </w:r>
      <w:bookmarkStart w:id="828" w:name="_Toc312677504"/>
      <w:bookmarkStart w:id="829" w:name="_Toc300934995"/>
      <w:bookmarkStart w:id="830" w:name="_Toc304295571"/>
      <w:bookmarkStart w:id="831" w:name="_Toc296944543"/>
      <w:bookmarkStart w:id="832" w:name="_Toc312678030"/>
      <w:bookmarkStart w:id="833" w:name="_Toc296346705"/>
      <w:bookmarkStart w:id="834" w:name="_Toc296891032"/>
      <w:bookmarkStart w:id="835" w:name="_Toc296891244"/>
      <w:bookmarkStart w:id="836" w:name="_Toc297123546"/>
      <w:bookmarkStart w:id="837" w:name="_Toc303539152"/>
      <w:bookmarkStart w:id="838" w:name="_Toc297120504"/>
      <w:bookmarkStart w:id="839" w:name="_Toc296503204"/>
      <w:bookmarkStart w:id="840" w:name="_Toc297216205"/>
      <w:bookmarkStart w:id="841" w:name="_Toc297048390"/>
      <w:bookmarkStart w:id="842" w:name="_Toc292559914"/>
      <w:bookmarkStart w:id="843" w:name="_Toc296347203"/>
      <w:bookmarkStart w:id="844" w:name="_Toc292559409"/>
      <w:bookmarkStart w:id="845" w:name="_Toc318581175"/>
      <w:r>
        <w:rPr>
          <w:rFonts w:hint="eastAsia" w:hAnsi="宋体" w:cs="宋体"/>
          <w:color w:val="auto"/>
          <w:highlight w:val="none"/>
        </w:rPr>
        <w:t>包人提出的合理化建议降低了合同价格或者提高了工程经济效益的奖励的方法和金额为：</w:t>
      </w:r>
      <w:r>
        <w:rPr>
          <w:rFonts w:hint="eastAsia" w:ascii="宋体" w:hAnsi="宋体" w:cs="宋体"/>
          <w:color w:val="auto"/>
          <w:highlight w:val="none"/>
          <w:u w:val="single"/>
        </w:rPr>
        <w:t xml:space="preserve"> 双方协商</w:t>
      </w:r>
      <w:r>
        <w:rPr>
          <w:rFonts w:hint="eastAsia" w:hAnsi="宋体" w:cs="宋体"/>
          <w:color w:val="auto"/>
          <w:highlight w:val="none"/>
        </w:rPr>
        <w:t>。</w:t>
      </w:r>
    </w:p>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14:paraId="5A4B8A20">
      <w:pPr>
        <w:keepNext/>
        <w:keepLines/>
        <w:spacing w:line="600" w:lineRule="exact"/>
        <w:ind w:firstLine="643" w:firstLineChars="200"/>
        <w:outlineLvl w:val="2"/>
        <w:rPr>
          <w:b/>
          <w:bCs/>
          <w:color w:val="auto"/>
          <w:sz w:val="32"/>
          <w:szCs w:val="32"/>
          <w:highlight w:val="none"/>
        </w:rPr>
      </w:pPr>
      <w:bookmarkStart w:id="846" w:name="_Toc373478391"/>
      <w:bookmarkStart w:id="847" w:name="_Toc2045792355"/>
      <w:bookmarkStart w:id="848" w:name="_Toc502454636"/>
      <w:bookmarkStart w:id="849" w:name="_Toc407135247"/>
      <w:bookmarkStart w:id="850" w:name="_Toc78449833"/>
      <w:bookmarkStart w:id="851" w:name="_Toc373227744"/>
      <w:bookmarkStart w:id="852" w:name="_Toc389065310"/>
      <w:r>
        <w:rPr>
          <w:b/>
          <w:bCs/>
          <w:color w:val="auto"/>
          <w:sz w:val="32"/>
          <w:szCs w:val="32"/>
          <w:highlight w:val="none"/>
        </w:rPr>
        <w:t>1</w:t>
      </w:r>
      <w:bookmarkStart w:id="853" w:name="_Toc296346700"/>
      <w:bookmarkStart w:id="854" w:name="_Toc300934997"/>
      <w:bookmarkStart w:id="855" w:name="_Toc296891027"/>
      <w:bookmarkStart w:id="856" w:name="_Toc297048385"/>
      <w:bookmarkStart w:id="857" w:name="_Toc297216207"/>
      <w:bookmarkStart w:id="858" w:name="_Toc312678033"/>
      <w:bookmarkStart w:id="859" w:name="_Toc303539154"/>
      <w:bookmarkStart w:id="860" w:name="_Toc296891239"/>
      <w:bookmarkStart w:id="861" w:name="_Toc297120499"/>
      <w:bookmarkStart w:id="862" w:name="_Toc292559404"/>
      <w:bookmarkStart w:id="863" w:name="_Toc296503199"/>
      <w:bookmarkStart w:id="864" w:name="_Toc304295574"/>
      <w:bookmarkStart w:id="865" w:name="_Toc292559909"/>
      <w:bookmarkStart w:id="866" w:name="_Toc296944538"/>
      <w:bookmarkStart w:id="867" w:name="_Toc312677507"/>
      <w:bookmarkStart w:id="868" w:name="_Toc297123548"/>
      <w:bookmarkStart w:id="869" w:name="_Toc296347198"/>
      <w:r>
        <w:rPr>
          <w:b/>
          <w:bCs/>
          <w:color w:val="auto"/>
          <w:sz w:val="32"/>
          <w:szCs w:val="32"/>
          <w:highlight w:val="none"/>
        </w:rPr>
        <w:t xml:space="preserve">0.7 </w:t>
      </w:r>
      <w:r>
        <w:rPr>
          <w:rFonts w:hint="eastAsia" w:hAnsi="宋体" w:cs="黑体"/>
          <w:b/>
          <w:bCs/>
          <w:color w:val="auto"/>
          <w:sz w:val="32"/>
          <w:szCs w:val="32"/>
          <w:highlight w:val="none"/>
        </w:rPr>
        <w:t>暂估价</w:t>
      </w:r>
      <w:bookmarkEnd w:id="846"/>
      <w:bookmarkEnd w:id="847"/>
      <w:bookmarkEnd w:id="848"/>
      <w:bookmarkEnd w:id="849"/>
      <w:bookmarkEnd w:id="850"/>
      <w:bookmarkEnd w:id="851"/>
      <w:bookmarkEnd w:id="852"/>
    </w:p>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14:paraId="12BA1101">
      <w:pPr>
        <w:spacing w:line="360" w:lineRule="auto"/>
        <w:ind w:firstLine="420" w:firstLineChars="200"/>
        <w:jc w:val="left"/>
        <w:rPr>
          <w:color w:val="auto"/>
          <w:highlight w:val="none"/>
        </w:rPr>
      </w:pPr>
      <w:r>
        <w:rPr>
          <w:rFonts w:hint="eastAsia" w:hAnsi="宋体" w:cs="宋体"/>
          <w:color w:val="auto"/>
          <w:kern w:val="0"/>
          <w:highlight w:val="none"/>
        </w:rPr>
        <w:t>暂</w:t>
      </w:r>
      <w:bookmarkStart w:id="870" w:name="_Toc318581176"/>
      <w:bookmarkStart w:id="871" w:name="_Toc312677508"/>
      <w:bookmarkStart w:id="872" w:name="_Toc312678034"/>
      <w:r>
        <w:rPr>
          <w:rFonts w:hint="eastAsia" w:hAnsi="宋体" w:cs="宋体"/>
          <w:color w:val="auto"/>
          <w:kern w:val="0"/>
          <w:highlight w:val="none"/>
        </w:rPr>
        <w:t>估价材料和工程设备的明细详见已标价工程量清单《</w:t>
      </w:r>
      <w:r>
        <w:rPr>
          <w:rFonts w:hint="eastAsia" w:cs="宋体"/>
          <w:color w:val="auto"/>
          <w:highlight w:val="none"/>
        </w:rPr>
        <w:t>材料（工程设备）暂估价格及调整表》</w:t>
      </w:r>
      <w:r>
        <w:rPr>
          <w:rFonts w:hint="eastAsia" w:hAnsi="宋体" w:cs="宋体"/>
          <w:color w:val="auto"/>
          <w:kern w:val="0"/>
          <w:highlight w:val="none"/>
        </w:rPr>
        <w:t>（表</w:t>
      </w:r>
      <w:r>
        <w:rPr>
          <w:rFonts w:hAnsi="宋体"/>
          <w:color w:val="auto"/>
          <w:kern w:val="0"/>
          <w:highlight w:val="none"/>
        </w:rPr>
        <w:t>12-2</w:t>
      </w:r>
      <w:r>
        <w:rPr>
          <w:rFonts w:hint="eastAsia" w:hAnsi="宋体" w:cs="宋体"/>
          <w:color w:val="auto"/>
          <w:kern w:val="0"/>
          <w:highlight w:val="none"/>
        </w:rPr>
        <w:t>）和《</w:t>
      </w:r>
      <w:r>
        <w:rPr>
          <w:rFonts w:hint="eastAsia" w:cs="宋体"/>
          <w:color w:val="auto"/>
          <w:highlight w:val="none"/>
        </w:rPr>
        <w:t>专业工程暂估价表》（</w:t>
      </w:r>
      <w:r>
        <w:rPr>
          <w:rFonts w:hint="eastAsia" w:hAnsi="宋体" w:cs="宋体"/>
          <w:color w:val="auto"/>
          <w:kern w:val="0"/>
          <w:highlight w:val="none"/>
        </w:rPr>
        <w:t>表</w:t>
      </w:r>
      <w:r>
        <w:rPr>
          <w:rFonts w:hAnsi="宋体"/>
          <w:color w:val="auto"/>
          <w:kern w:val="0"/>
          <w:highlight w:val="none"/>
        </w:rPr>
        <w:t>12-3</w:t>
      </w:r>
      <w:r>
        <w:rPr>
          <w:rFonts w:hint="eastAsia" w:hAnsi="宋体" w:cs="宋体"/>
          <w:color w:val="auto"/>
          <w:kern w:val="0"/>
          <w:highlight w:val="none"/>
        </w:rPr>
        <w:t>）。</w:t>
      </w:r>
    </w:p>
    <w:bookmarkEnd w:id="870"/>
    <w:bookmarkEnd w:id="871"/>
    <w:bookmarkEnd w:id="872"/>
    <w:p w14:paraId="64A86B96">
      <w:pPr>
        <w:spacing w:line="360" w:lineRule="auto"/>
        <w:ind w:firstLine="420" w:firstLineChars="200"/>
        <w:jc w:val="left"/>
        <w:rPr>
          <w:color w:val="auto"/>
          <w:highlight w:val="none"/>
        </w:rPr>
      </w:pPr>
      <w:r>
        <w:rPr>
          <w:color w:val="auto"/>
          <w:highlight w:val="none"/>
        </w:rPr>
        <w:t>1</w:t>
      </w:r>
      <w:bookmarkStart w:id="873" w:name="_Toc318581177"/>
      <w:bookmarkStart w:id="874" w:name="_Toc312677509"/>
      <w:bookmarkStart w:id="875" w:name="_Toc312678035"/>
      <w:r>
        <w:rPr>
          <w:color w:val="auto"/>
          <w:highlight w:val="none"/>
        </w:rPr>
        <w:t xml:space="preserve">0.7.1 </w:t>
      </w:r>
      <w:r>
        <w:rPr>
          <w:rFonts w:hint="eastAsia" w:hAnsi="宋体" w:cs="宋体"/>
          <w:color w:val="auto"/>
          <w:highlight w:val="none"/>
        </w:rPr>
        <w:t>依法必须招标的暂估价项目</w:t>
      </w:r>
    </w:p>
    <w:bookmarkEnd w:id="873"/>
    <w:bookmarkEnd w:id="874"/>
    <w:bookmarkEnd w:id="875"/>
    <w:p w14:paraId="1D704C34">
      <w:pPr>
        <w:spacing w:line="360" w:lineRule="auto"/>
        <w:ind w:firstLine="420" w:firstLineChars="200"/>
        <w:jc w:val="left"/>
        <w:rPr>
          <w:color w:val="auto"/>
          <w:highlight w:val="none"/>
        </w:rPr>
      </w:pPr>
      <w:r>
        <w:rPr>
          <w:rFonts w:hint="eastAsia" w:hAnsi="宋体" w:cs="宋体"/>
          <w:color w:val="auto"/>
          <w:highlight w:val="none"/>
        </w:rPr>
        <w:t>对于依法必须招标的暂估价项目的确认和批准采取第</w:t>
      </w:r>
      <w:r>
        <w:rPr>
          <w:rFonts w:hint="eastAsia"/>
          <w:color w:val="auto"/>
          <w:highlight w:val="none"/>
          <w:u w:val="single"/>
        </w:rPr>
        <w:t>/</w:t>
      </w:r>
      <w:r>
        <w:rPr>
          <w:rFonts w:hint="eastAsia" w:hAnsi="宋体" w:cs="宋体"/>
          <w:color w:val="auto"/>
          <w:highlight w:val="none"/>
        </w:rPr>
        <w:t>种方式确定。</w:t>
      </w:r>
    </w:p>
    <w:p w14:paraId="6F28CA78">
      <w:pPr>
        <w:spacing w:line="360" w:lineRule="auto"/>
        <w:ind w:firstLine="420" w:firstLineChars="200"/>
        <w:jc w:val="left"/>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14:paraId="501E1381">
      <w:pPr>
        <w:spacing w:line="360" w:lineRule="auto"/>
        <w:ind w:firstLine="420" w:firstLineChars="200"/>
        <w:jc w:val="left"/>
        <w:rPr>
          <w:color w:val="auto"/>
          <w:highlight w:val="none"/>
        </w:rPr>
      </w:pPr>
      <w:r>
        <w:rPr>
          <w:rFonts w:hint="eastAsia" w:hAnsi="宋体" w:cs="宋体"/>
          <w:color w:val="auto"/>
          <w:highlight w:val="none"/>
        </w:rPr>
        <w:t>对于不属于依法必须招标的暂估价项目的确认和批准采取第</w:t>
      </w:r>
      <w:r>
        <w:rPr>
          <w:rFonts w:hint="eastAsia"/>
          <w:color w:val="auto"/>
          <w:highlight w:val="none"/>
          <w:u w:val="single"/>
        </w:rPr>
        <w:t>/</w:t>
      </w:r>
      <w:r>
        <w:rPr>
          <w:rFonts w:hint="eastAsia" w:hAnsi="宋体" w:cs="宋体"/>
          <w:color w:val="auto"/>
          <w:highlight w:val="none"/>
        </w:rPr>
        <w:t>种方式确定。</w:t>
      </w:r>
    </w:p>
    <w:p w14:paraId="6EA6FE02">
      <w:pPr>
        <w:spacing w:line="360" w:lineRule="auto"/>
        <w:ind w:firstLine="420" w:firstLineChars="200"/>
        <w:jc w:val="left"/>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14:paraId="447CCE8D">
      <w:pPr>
        <w:spacing w:line="360" w:lineRule="auto"/>
        <w:ind w:firstLine="420" w:firstLineChars="200"/>
        <w:jc w:val="left"/>
        <w:rPr>
          <w:color w:val="auto"/>
          <w:highlight w:val="none"/>
        </w:rPr>
      </w:pPr>
      <w:r>
        <w:rPr>
          <w:rFonts w:hint="eastAsia" w:hAnsi="宋体" w:cs="宋体"/>
          <w:color w:val="auto"/>
          <w:highlight w:val="none"/>
        </w:rPr>
        <w:t>承包人直接实施的暂估价项目的约定：</w:t>
      </w:r>
      <w:r>
        <w:rPr>
          <w:rFonts w:hint="eastAsia" w:ascii="宋体" w:hAnsi="宋体" w:cs="宋体"/>
          <w:color w:val="auto"/>
          <w:highlight w:val="none"/>
          <w:u w:val="single"/>
        </w:rPr>
        <w:t>双方另行协商</w:t>
      </w:r>
      <w:r>
        <w:rPr>
          <w:rFonts w:hint="eastAsia" w:hAnsi="宋体" w:cs="宋体"/>
          <w:color w:val="auto"/>
          <w:highlight w:val="none"/>
        </w:rPr>
        <w:t>。</w:t>
      </w:r>
    </w:p>
    <w:p w14:paraId="6910093D">
      <w:pPr>
        <w:keepNext/>
        <w:keepLines/>
        <w:spacing w:line="600" w:lineRule="exact"/>
        <w:ind w:firstLine="643" w:firstLineChars="200"/>
        <w:outlineLvl w:val="2"/>
        <w:rPr>
          <w:b/>
          <w:bCs/>
          <w:color w:val="auto"/>
          <w:sz w:val="32"/>
          <w:szCs w:val="32"/>
          <w:highlight w:val="none"/>
        </w:rPr>
      </w:pPr>
      <w:bookmarkStart w:id="876" w:name="_Toc373478392"/>
      <w:bookmarkStart w:id="877" w:name="_Toc389065311"/>
      <w:bookmarkStart w:id="878" w:name="_Toc407135248"/>
      <w:bookmarkStart w:id="879" w:name="_Toc78449834"/>
      <w:bookmarkStart w:id="880" w:name="_Toc373227745"/>
      <w:bookmarkStart w:id="881" w:name="_Toc2131098822"/>
      <w:bookmarkStart w:id="882" w:name="_Toc2032108729"/>
      <w:r>
        <w:rPr>
          <w:b/>
          <w:bCs/>
          <w:color w:val="auto"/>
          <w:sz w:val="32"/>
          <w:szCs w:val="32"/>
          <w:highlight w:val="none"/>
        </w:rPr>
        <w:t xml:space="preserve">10.8 </w:t>
      </w:r>
      <w:r>
        <w:rPr>
          <w:rFonts w:hint="eastAsia" w:hAnsi="宋体" w:cs="黑体"/>
          <w:b/>
          <w:bCs/>
          <w:color w:val="auto"/>
          <w:sz w:val="32"/>
          <w:szCs w:val="32"/>
          <w:highlight w:val="none"/>
        </w:rPr>
        <w:t>暂列金额</w:t>
      </w:r>
      <w:bookmarkEnd w:id="876"/>
      <w:bookmarkEnd w:id="877"/>
      <w:bookmarkEnd w:id="878"/>
      <w:bookmarkEnd w:id="879"/>
      <w:bookmarkEnd w:id="880"/>
      <w:bookmarkEnd w:id="881"/>
      <w:bookmarkEnd w:id="882"/>
    </w:p>
    <w:p w14:paraId="63DD24AC">
      <w:pPr>
        <w:autoSpaceDE w:val="0"/>
        <w:autoSpaceDN w:val="0"/>
        <w:adjustRightInd w:val="0"/>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合同当事人关于暂列金额使用的约定：</w:t>
      </w:r>
      <w:bookmarkStart w:id="883" w:name="EB8a36283e5891477db4fc3eea09665f06"/>
      <w:r>
        <w:rPr>
          <w:rFonts w:hint="eastAsia" w:ascii="宋体" w:hAnsi="宋体" w:cs="宋体"/>
          <w:color w:val="auto"/>
          <w:highlight w:val="none"/>
          <w:u w:val="single"/>
        </w:rPr>
        <w:t>以发包人要求为准，内容详见工程量清单</w:t>
      </w:r>
      <w:bookmarkEnd w:id="883"/>
      <w:r>
        <w:rPr>
          <w:rFonts w:hint="eastAsia" w:hAnsi="宋体" w:cs="宋体"/>
          <w:color w:val="auto"/>
          <w:kern w:val="0"/>
          <w:highlight w:val="none"/>
        </w:rPr>
        <w:t>。</w:t>
      </w:r>
    </w:p>
    <w:p w14:paraId="28530FC0">
      <w:pPr>
        <w:keepNext/>
        <w:keepLines/>
        <w:spacing w:line="400" w:lineRule="exact"/>
        <w:ind w:firstLine="422" w:firstLineChars="200"/>
        <w:outlineLvl w:val="0"/>
        <w:rPr>
          <w:rFonts w:ascii="宋体" w:hAnsi="宋体" w:cs="宋体"/>
          <w:b/>
          <w:bCs/>
          <w:color w:val="auto"/>
          <w:kern w:val="44"/>
          <w:highlight w:val="none"/>
        </w:rPr>
      </w:pPr>
      <w:bookmarkStart w:id="884" w:name="_Toc416854753"/>
      <w:bookmarkStart w:id="885" w:name="_Toc433389682"/>
      <w:bookmarkStart w:id="886" w:name="_Toc454188784"/>
      <w:bookmarkStart w:id="887" w:name="_Toc476645920"/>
      <w:bookmarkStart w:id="888" w:name="_Toc433131790"/>
      <w:bookmarkStart w:id="889" w:name="_Toc433787426"/>
      <w:r>
        <w:rPr>
          <w:rFonts w:hint="eastAsia" w:ascii="宋体" w:hAnsi="宋体" w:cs="宋体"/>
          <w:b/>
          <w:bCs/>
          <w:color w:val="auto"/>
          <w:kern w:val="44"/>
          <w:highlight w:val="none"/>
        </w:rPr>
        <w:t>10.9计日工</w:t>
      </w:r>
      <w:bookmarkEnd w:id="884"/>
      <w:bookmarkEnd w:id="885"/>
      <w:bookmarkEnd w:id="886"/>
      <w:bookmarkEnd w:id="887"/>
      <w:bookmarkEnd w:id="888"/>
      <w:bookmarkEnd w:id="889"/>
    </w:p>
    <w:p w14:paraId="08211520">
      <w:pPr>
        <w:autoSpaceDE w:val="0"/>
        <w:autoSpaceDN w:val="0"/>
        <w:adjustRightIn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23595FB9">
      <w:pPr>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采用计日工计价的任何一项工作，承包人应在该项工作实施过程中，每天提交以下报表和有关凭证报送监理人审查：</w:t>
      </w:r>
    </w:p>
    <w:p w14:paraId="61662227">
      <w:pPr>
        <w:spacing w:line="400" w:lineRule="exact"/>
        <w:ind w:firstLine="315" w:firstLineChars="150"/>
        <w:jc w:val="left"/>
        <w:outlineLvl w:val="0"/>
        <w:rPr>
          <w:rFonts w:ascii="宋体" w:hAnsi="宋体" w:cs="宋体"/>
          <w:color w:val="auto"/>
          <w:kern w:val="0"/>
          <w:highlight w:val="none"/>
        </w:rPr>
      </w:pPr>
      <w:r>
        <w:rPr>
          <w:rFonts w:hint="eastAsia" w:ascii="宋体" w:hAnsi="宋体" w:cs="宋体"/>
          <w:color w:val="auto"/>
          <w:kern w:val="0"/>
          <w:highlight w:val="none"/>
        </w:rPr>
        <w:t>（1）工作名称、内容和数量；</w:t>
      </w:r>
    </w:p>
    <w:p w14:paraId="34D13DB3">
      <w:pPr>
        <w:spacing w:line="400" w:lineRule="exact"/>
        <w:ind w:firstLine="315" w:firstLineChars="150"/>
        <w:jc w:val="left"/>
        <w:rPr>
          <w:rFonts w:ascii="宋体" w:hAnsi="宋体" w:cs="宋体"/>
          <w:color w:val="auto"/>
          <w:kern w:val="0"/>
          <w:highlight w:val="none"/>
        </w:rPr>
      </w:pPr>
      <w:r>
        <w:rPr>
          <w:rFonts w:hint="eastAsia" w:ascii="宋体" w:hAnsi="宋体" w:cs="宋体"/>
          <w:color w:val="auto"/>
          <w:kern w:val="0"/>
          <w:highlight w:val="none"/>
        </w:rPr>
        <w:t>（2）投入该工作的所有人员的姓名、专业、工种、级别和耗用工时；</w:t>
      </w:r>
    </w:p>
    <w:p w14:paraId="5A28744A">
      <w:pPr>
        <w:spacing w:line="400" w:lineRule="exact"/>
        <w:ind w:firstLine="315" w:firstLineChars="150"/>
        <w:jc w:val="left"/>
        <w:rPr>
          <w:rFonts w:ascii="宋体" w:hAnsi="宋体" w:cs="宋体"/>
          <w:color w:val="auto"/>
          <w:kern w:val="0"/>
          <w:highlight w:val="none"/>
        </w:rPr>
      </w:pPr>
      <w:r>
        <w:rPr>
          <w:rFonts w:hint="eastAsia" w:ascii="宋体" w:hAnsi="宋体" w:cs="宋体"/>
          <w:color w:val="auto"/>
          <w:kern w:val="0"/>
          <w:highlight w:val="none"/>
        </w:rPr>
        <w:t>（3）投入该工作的材料类别和数量；</w:t>
      </w:r>
    </w:p>
    <w:p w14:paraId="08F5CF2B">
      <w:pPr>
        <w:spacing w:line="400" w:lineRule="exact"/>
        <w:ind w:firstLine="315" w:firstLineChars="150"/>
        <w:jc w:val="left"/>
        <w:rPr>
          <w:rFonts w:ascii="宋体" w:hAnsi="宋体" w:cs="宋体"/>
          <w:color w:val="auto"/>
          <w:kern w:val="0"/>
          <w:highlight w:val="none"/>
        </w:rPr>
      </w:pPr>
      <w:r>
        <w:rPr>
          <w:rFonts w:hint="eastAsia" w:ascii="宋体" w:hAnsi="宋体" w:cs="宋体"/>
          <w:color w:val="auto"/>
          <w:kern w:val="0"/>
          <w:highlight w:val="none"/>
        </w:rPr>
        <w:t>（4）投入该工作的施工设备型号、台数和耗用台时；</w:t>
      </w:r>
    </w:p>
    <w:p w14:paraId="39EFF2A9">
      <w:pPr>
        <w:spacing w:line="400" w:lineRule="exact"/>
        <w:ind w:firstLine="315" w:firstLineChars="150"/>
        <w:jc w:val="left"/>
        <w:rPr>
          <w:rFonts w:ascii="宋体" w:hAnsi="宋体" w:cs="宋体"/>
          <w:color w:val="auto"/>
          <w:kern w:val="0"/>
          <w:highlight w:val="none"/>
        </w:rPr>
      </w:pPr>
      <w:r>
        <w:rPr>
          <w:rFonts w:hint="eastAsia" w:ascii="宋体" w:hAnsi="宋体" w:cs="宋体"/>
          <w:color w:val="auto"/>
          <w:kern w:val="0"/>
          <w:highlight w:val="none"/>
        </w:rPr>
        <w:t>（5）其他有关资料和凭证。</w:t>
      </w:r>
    </w:p>
    <w:p w14:paraId="40B94A84">
      <w:pPr>
        <w:rPr>
          <w:color w:val="auto"/>
          <w:highlight w:val="none"/>
        </w:rPr>
      </w:pPr>
      <w:r>
        <w:rPr>
          <w:rFonts w:hint="eastAsia" w:ascii="宋体" w:hAnsi="宋体" w:cs="宋体"/>
          <w:color w:val="auto"/>
          <w:kern w:val="0"/>
          <w:highlight w:val="none"/>
        </w:rPr>
        <w:t xml:space="preserve"> 计日工由承包人汇总后，列入最近一期进度付款申请单，由监理人审查并经发包人批准后列入进度付款。</w:t>
      </w:r>
    </w:p>
    <w:p w14:paraId="7CFA18C1">
      <w:pPr>
        <w:keepNext/>
        <w:keepLines/>
        <w:numPr>
          <w:ilvl w:val="0"/>
          <w:numId w:val="4"/>
        </w:numPr>
        <w:spacing w:before="260" w:after="260" w:line="413" w:lineRule="auto"/>
        <w:outlineLvl w:val="1"/>
        <w:rPr>
          <w:rFonts w:ascii="Arial" w:hAnsi="Arial" w:eastAsia="黑体"/>
          <w:b/>
          <w:bCs/>
          <w:color w:val="auto"/>
          <w:sz w:val="32"/>
          <w:szCs w:val="32"/>
          <w:highlight w:val="none"/>
        </w:rPr>
      </w:pPr>
      <w:bookmarkStart w:id="890" w:name="_Toc136736539"/>
      <w:bookmarkStart w:id="891" w:name="_Toc373227746"/>
      <w:bookmarkStart w:id="892" w:name="_Toc1190723452"/>
      <w:bookmarkStart w:id="893" w:name="_Toc389065312"/>
      <w:bookmarkStart w:id="894" w:name="_Toc407135249"/>
      <w:bookmarkStart w:id="895" w:name="_Toc373478393"/>
      <w:bookmarkStart w:id="896" w:name="_Toc351203643"/>
      <w:bookmarkStart w:id="897" w:name="_Toc78449835"/>
      <w:r>
        <w:rPr>
          <w:rFonts w:hint="eastAsia" w:ascii="Arial" w:hAnsi="宋体" w:eastAsia="黑体" w:cs="黑体"/>
          <w:b/>
          <w:bCs/>
          <w:color w:val="auto"/>
          <w:sz w:val="32"/>
          <w:szCs w:val="32"/>
          <w:highlight w:val="none"/>
        </w:rPr>
        <w:t>价格调整</w:t>
      </w:r>
      <w:bookmarkEnd w:id="890"/>
      <w:bookmarkEnd w:id="891"/>
      <w:bookmarkEnd w:id="892"/>
      <w:bookmarkEnd w:id="893"/>
      <w:bookmarkEnd w:id="894"/>
      <w:bookmarkEnd w:id="895"/>
      <w:bookmarkEnd w:id="896"/>
      <w:bookmarkEnd w:id="897"/>
    </w:p>
    <w:p w14:paraId="1B1CB355">
      <w:pPr>
        <w:keepNext/>
        <w:keepLines/>
        <w:spacing w:line="600" w:lineRule="exact"/>
        <w:ind w:firstLine="643" w:firstLineChars="200"/>
        <w:outlineLvl w:val="2"/>
        <w:rPr>
          <w:b/>
          <w:bCs/>
          <w:color w:val="auto"/>
          <w:sz w:val="32"/>
          <w:szCs w:val="32"/>
          <w:highlight w:val="none"/>
        </w:rPr>
      </w:pPr>
      <w:bookmarkStart w:id="898" w:name="_Toc407135250"/>
      <w:bookmarkStart w:id="899" w:name="_Toc373227747"/>
      <w:bookmarkStart w:id="900" w:name="_Toc1501386015"/>
      <w:bookmarkStart w:id="901" w:name="_Toc42268484"/>
      <w:bookmarkStart w:id="902" w:name="_Toc373478394"/>
      <w:bookmarkStart w:id="903" w:name="_Toc389065313"/>
      <w:bookmarkStart w:id="904" w:name="_Toc78449836"/>
      <w:bookmarkStart w:id="905" w:name="_Toc312678039"/>
      <w:bookmarkStart w:id="906" w:name="_Toc297048387"/>
      <w:bookmarkStart w:id="907" w:name="_Toc296891241"/>
      <w:bookmarkStart w:id="908" w:name="_Toc296944540"/>
      <w:bookmarkStart w:id="909" w:name="_Toc296346702"/>
      <w:bookmarkStart w:id="910" w:name="_Toc297216209"/>
      <w:bookmarkStart w:id="911" w:name="_Toc297120501"/>
      <w:bookmarkStart w:id="912" w:name="_Toc303539157"/>
      <w:bookmarkStart w:id="913" w:name="_Toc296891029"/>
      <w:bookmarkStart w:id="914" w:name="_Toc292559911"/>
      <w:bookmarkStart w:id="915" w:name="_Toc296347200"/>
      <w:bookmarkStart w:id="916" w:name="_Toc296503201"/>
      <w:bookmarkStart w:id="917" w:name="_Toc304295577"/>
      <w:bookmarkStart w:id="918" w:name="_Toc292559406"/>
      <w:bookmarkStart w:id="919" w:name="_Toc300935000"/>
      <w:bookmarkStart w:id="920" w:name="_Toc297123550"/>
      <w:r>
        <w:rPr>
          <w:b/>
          <w:bCs/>
          <w:color w:val="auto"/>
          <w:sz w:val="32"/>
          <w:szCs w:val="32"/>
          <w:highlight w:val="none"/>
        </w:rPr>
        <w:t xml:space="preserve">11.1 </w:t>
      </w:r>
      <w:r>
        <w:rPr>
          <w:rFonts w:hint="eastAsia" w:cs="黑体"/>
          <w:b/>
          <w:bCs/>
          <w:color w:val="auto"/>
          <w:sz w:val="32"/>
          <w:szCs w:val="32"/>
          <w:highlight w:val="none"/>
        </w:rPr>
        <w:t>市场价格波动引起的调整</w:t>
      </w:r>
      <w:bookmarkEnd w:id="898"/>
      <w:bookmarkEnd w:id="899"/>
      <w:bookmarkEnd w:id="900"/>
      <w:bookmarkEnd w:id="901"/>
      <w:bookmarkEnd w:id="902"/>
      <w:bookmarkEnd w:id="903"/>
      <w:bookmarkEnd w:id="904"/>
    </w:p>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14:paraId="7006756D">
      <w:pPr>
        <w:spacing w:line="360" w:lineRule="auto"/>
        <w:ind w:firstLine="420" w:firstLineChars="200"/>
        <w:jc w:val="left"/>
        <w:rPr>
          <w:color w:val="auto"/>
          <w:highlight w:val="none"/>
        </w:rPr>
      </w:pPr>
      <w:r>
        <w:rPr>
          <w:rFonts w:hint="eastAsia" w:hAnsi="宋体" w:cs="宋体"/>
          <w:color w:val="auto"/>
          <w:kern w:val="0"/>
          <w:highlight w:val="none"/>
        </w:rPr>
        <w:t>市场价格波动是否调整合同价格的约定：</w:t>
      </w:r>
      <w:r>
        <w:rPr>
          <w:rFonts w:hint="eastAsia" w:ascii="宋体" w:hAnsi="宋体" w:cs="宋体"/>
          <w:color w:val="auto"/>
          <w:szCs w:val="21"/>
          <w:highlight w:val="none"/>
          <w:u w:val="single"/>
        </w:rPr>
        <w:t>非施工单位原因造成的主要材料价差在5%以内(含 5%)的，由施工单位承担；超过5%部分的价差，由建设单位承担</w:t>
      </w:r>
      <w:r>
        <w:rPr>
          <w:rFonts w:hint="eastAsia" w:hAnsi="宋体" w:cs="宋体"/>
          <w:color w:val="auto"/>
          <w:highlight w:val="none"/>
        </w:rPr>
        <w:t>。</w:t>
      </w:r>
    </w:p>
    <w:p w14:paraId="7CCEF884">
      <w:pPr>
        <w:spacing w:line="360" w:lineRule="auto"/>
        <w:ind w:firstLine="420" w:firstLineChars="200"/>
        <w:jc w:val="left"/>
        <w:rPr>
          <w:color w:val="auto"/>
          <w:highlight w:val="none"/>
        </w:rPr>
      </w:pPr>
      <w:r>
        <w:rPr>
          <w:rFonts w:hint="eastAsia" w:hAnsi="宋体" w:cs="宋体"/>
          <w:color w:val="auto"/>
          <w:highlight w:val="none"/>
        </w:rPr>
        <w:t>因市场价格波动调整合同价格，采用以下第</w:t>
      </w:r>
      <w:r>
        <w:rPr>
          <w:rFonts w:hint="eastAsia"/>
          <w:color w:val="auto"/>
          <w:highlight w:val="none"/>
          <w:u w:val="single"/>
        </w:rPr>
        <w:t>2</w:t>
      </w:r>
      <w:r>
        <w:rPr>
          <w:rFonts w:hint="eastAsia" w:hAnsi="宋体" w:cs="宋体"/>
          <w:color w:val="auto"/>
          <w:highlight w:val="none"/>
        </w:rPr>
        <w:t>种方式对合同价格进行调整：</w:t>
      </w:r>
    </w:p>
    <w:p w14:paraId="681A6C88">
      <w:pPr>
        <w:spacing w:line="360" w:lineRule="auto"/>
        <w:ind w:firstLine="420" w:firstLineChars="200"/>
        <w:jc w:val="left"/>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14:paraId="39494ED4">
      <w:pPr>
        <w:spacing w:line="360" w:lineRule="auto"/>
        <w:ind w:firstLine="420" w:firstLineChars="200"/>
        <w:jc w:val="left"/>
        <w:rPr>
          <w:color w:val="auto"/>
          <w:highlight w:val="none"/>
          <w:u w:val="single"/>
        </w:rPr>
      </w:pPr>
      <w:r>
        <w:rPr>
          <w:rFonts w:hint="eastAsia" w:hAnsi="宋体" w:cs="宋体"/>
          <w:color w:val="auto"/>
          <w:highlight w:val="none"/>
        </w:rPr>
        <w:t>关于各可调因子、定值和变值权重，以及基本价格指数及其来源的约定：</w:t>
      </w:r>
      <w:r>
        <w:rPr>
          <w:rFonts w:hint="eastAsia"/>
          <w:color w:val="auto"/>
          <w:szCs w:val="21"/>
          <w:highlight w:val="none"/>
          <w:u w:val="single"/>
        </w:rPr>
        <w:t>/</w:t>
      </w:r>
      <w:r>
        <w:rPr>
          <w:rFonts w:hint="eastAsia" w:hAnsi="宋体" w:cs="宋体"/>
          <w:color w:val="auto"/>
          <w:highlight w:val="none"/>
        </w:rPr>
        <w:t>；</w:t>
      </w:r>
    </w:p>
    <w:p w14:paraId="3F5AD461">
      <w:pPr>
        <w:spacing w:line="360" w:lineRule="auto"/>
        <w:ind w:firstLine="420" w:firstLineChars="200"/>
        <w:jc w:val="left"/>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14:paraId="6E73B60F">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）允许调整主要材料和</w:t>
      </w:r>
      <w:r>
        <w:rPr>
          <w:rFonts w:hAnsi="宋体" w:cs="宋体"/>
          <w:color w:val="auto"/>
          <w:highlight w:val="none"/>
        </w:rPr>
        <w:t>工程</w:t>
      </w:r>
      <w:r>
        <w:rPr>
          <w:rFonts w:hint="eastAsia" w:hAnsi="宋体" w:cs="宋体"/>
          <w:color w:val="auto"/>
          <w:highlight w:val="none"/>
        </w:rPr>
        <w:t>设备、基期价格、风险系数、投标报</w:t>
      </w:r>
      <w:r>
        <w:rPr>
          <w:rFonts w:hint="eastAsia" w:ascii="Times New Roman" w:hAnsi="宋体" w:eastAsia="宋体" w:cs="宋体"/>
          <w:color w:val="auto"/>
          <w:highlight w:val="none"/>
        </w:rPr>
        <w:t>价</w:t>
      </w:r>
      <w:r>
        <w:rPr>
          <w:rFonts w:hint="eastAsia" w:ascii="Times New Roman" w:hAnsi="宋体" w:eastAsia="宋体" w:cs="宋体"/>
          <w:color w:val="auto"/>
          <w:highlight w:val="none"/>
          <w:lang w:val="en-US" w:eastAsia="zh-CN"/>
        </w:rPr>
        <w:t>详见工程量清单</w:t>
      </w:r>
      <w:r>
        <w:rPr>
          <w:rFonts w:hint="eastAsia" w:hAnsi="宋体" w:cs="宋体"/>
          <w:color w:val="auto"/>
          <w:highlight w:val="none"/>
        </w:rPr>
        <w:t>《</w:t>
      </w:r>
      <w:r>
        <w:rPr>
          <w:rFonts w:hAnsi="宋体" w:cs="宋体"/>
          <w:color w:val="auto"/>
          <w:highlight w:val="none"/>
        </w:rPr>
        <w:t>允许调整</w:t>
      </w:r>
      <w:r>
        <w:rPr>
          <w:rFonts w:hint="eastAsia" w:hAnsi="宋体" w:cs="宋体"/>
          <w:color w:val="auto"/>
          <w:highlight w:val="none"/>
        </w:rPr>
        <w:t>主要材料和</w:t>
      </w:r>
      <w:r>
        <w:rPr>
          <w:rFonts w:hAnsi="宋体" w:cs="宋体"/>
          <w:color w:val="auto"/>
          <w:highlight w:val="none"/>
        </w:rPr>
        <w:t>工程</w:t>
      </w:r>
      <w:r>
        <w:rPr>
          <w:rFonts w:hint="eastAsia" w:hAnsi="宋体" w:cs="宋体"/>
          <w:color w:val="auto"/>
          <w:highlight w:val="none"/>
        </w:rPr>
        <w:t>设备一览表》</w:t>
      </w:r>
      <w:r>
        <w:rPr>
          <w:rFonts w:hint="eastAsia" w:ascii="宋体" w:hAnsi="宋体"/>
          <w:color w:val="auto"/>
          <w:kern w:val="0"/>
          <w:sz w:val="20"/>
          <w:highlight w:val="none"/>
        </w:rPr>
        <w:t>，</w:t>
      </w:r>
      <w:r>
        <w:rPr>
          <w:rFonts w:hint="eastAsia" w:hAnsi="宋体" w:cs="宋体"/>
          <w:b/>
          <w:bCs/>
          <w:color w:val="auto"/>
          <w:highlight w:val="none"/>
        </w:rPr>
        <w:t>调整范围±</w:t>
      </w:r>
      <w:r>
        <w:rPr>
          <w:rFonts w:hAnsi="宋体" w:cs="宋体"/>
          <w:b/>
          <w:bCs/>
          <w:color w:val="auto"/>
          <w:highlight w:val="none"/>
        </w:rPr>
        <w:t>10</w:t>
      </w:r>
      <w:r>
        <w:rPr>
          <w:rFonts w:hint="eastAsia" w:hAnsi="宋体" w:cs="宋体"/>
          <w:b/>
          <w:bCs/>
          <w:color w:val="auto"/>
          <w:highlight w:val="none"/>
        </w:rPr>
        <w:t>%以外部分，</w:t>
      </w:r>
      <w:r>
        <w:rPr>
          <w:rFonts w:hint="eastAsia" w:hAnsi="宋体" w:cs="宋体"/>
          <w:color w:val="auto"/>
          <w:highlight w:val="none"/>
        </w:rPr>
        <w:t>价</w:t>
      </w:r>
      <w:r>
        <w:rPr>
          <w:rFonts w:hAnsi="宋体" w:cs="宋体"/>
          <w:color w:val="auto"/>
          <w:highlight w:val="none"/>
        </w:rPr>
        <w:t>差</w:t>
      </w:r>
      <w:r>
        <w:rPr>
          <w:rFonts w:hint="eastAsia" w:ascii="Calibri" w:hAnsi="宋体" w:cs="宋体"/>
          <w:color w:val="auto"/>
          <w:highlight w:val="none"/>
        </w:rPr>
        <w:t>调整部分仅计算税金，除此表列明的材料、设备外，其余材料设备价差原则上不予调整。如政府颁布新政策，调差比例按最新政策执行。</w:t>
      </w:r>
    </w:p>
    <w:p w14:paraId="55857259">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w:t>
      </w:r>
      <w:r>
        <w:rPr>
          <w:rFonts w:hAnsi="宋体" w:cs="宋体"/>
          <w:color w:val="auto"/>
          <w:highlight w:val="none"/>
        </w:rPr>
        <w:t>工程</w:t>
      </w:r>
      <w:r>
        <w:rPr>
          <w:rFonts w:hint="eastAsia" w:hAnsi="宋体" w:cs="宋体"/>
          <w:color w:val="auto"/>
          <w:highlight w:val="none"/>
        </w:rPr>
        <w:t>设备确认价：</w:t>
      </w:r>
    </w:p>
    <w:p w14:paraId="6AD8C445">
      <w:pPr>
        <w:spacing w:line="360" w:lineRule="auto"/>
        <w:ind w:firstLine="420" w:firstLineChars="200"/>
        <w:jc w:val="left"/>
        <w:rPr>
          <w:color w:val="auto"/>
          <w:highlight w:val="none"/>
        </w:rPr>
      </w:pPr>
      <w:r>
        <w:rPr>
          <w:rFonts w:hint="eastAsia" w:hAnsi="宋体" w:cs="宋体"/>
          <w:color w:val="auto"/>
          <w:highlight w:val="none"/>
        </w:rPr>
        <w:t>按施工期间《</w:t>
      </w:r>
      <w:r>
        <w:rPr>
          <w:rFonts w:hint="eastAsia"/>
          <w:color w:val="auto"/>
          <w:highlight w:val="none"/>
          <w:lang w:eastAsia="zh-CN"/>
        </w:rPr>
        <w:t>百色</w:t>
      </w:r>
      <w:r>
        <w:rPr>
          <w:rFonts w:hint="eastAsia" w:hAnsi="宋体" w:cs="宋体"/>
          <w:color w:val="auto"/>
          <w:highlight w:val="none"/>
        </w:rPr>
        <w:t>市建设工程造价信息》材料信息价的加权平均价计算，信息价没有的按通用条款规定确定。</w:t>
      </w:r>
    </w:p>
    <w:p w14:paraId="1E96C2FC">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14:paraId="3E27AEA1">
      <w:pPr>
        <w:spacing w:line="360" w:lineRule="auto"/>
        <w:ind w:firstLine="420" w:firstLineChars="200"/>
        <w:jc w:val="left"/>
        <w:rPr>
          <w:rFonts w:hAnsi="宋体"/>
          <w:color w:val="auto"/>
          <w:highlight w:val="none"/>
        </w:rPr>
      </w:pPr>
      <w:r>
        <w:rPr>
          <w:rFonts w:hint="eastAsia" w:hAnsi="宋体" w:cs="宋体"/>
          <w:color w:val="auto"/>
          <w:highlight w:val="none"/>
        </w:rPr>
        <w:t>①《</w:t>
      </w:r>
      <w:r>
        <w:rPr>
          <w:rFonts w:hAnsi="宋体" w:cs="宋体"/>
          <w:color w:val="auto"/>
          <w:highlight w:val="none"/>
        </w:rPr>
        <w:t>允许调整</w:t>
      </w:r>
      <w:r>
        <w:rPr>
          <w:rFonts w:hint="eastAsia" w:hAnsi="宋体" w:cs="宋体"/>
          <w:color w:val="auto"/>
          <w:highlight w:val="none"/>
        </w:rPr>
        <w:t>主要材料和工程设备一览表》</w:t>
      </w:r>
      <w:r>
        <w:rPr>
          <w:rFonts w:hint="eastAsia" w:ascii="宋体" w:hAnsi="宋体"/>
          <w:color w:val="auto"/>
          <w:kern w:val="0"/>
          <w:sz w:val="20"/>
          <w:highlight w:val="none"/>
        </w:rPr>
        <w:t>（</w:t>
      </w:r>
      <w:r>
        <w:rPr>
          <w:rFonts w:hint="eastAsia" w:ascii="宋体" w:hAnsi="宋体"/>
          <w:color w:val="auto"/>
          <w:kern w:val="0"/>
          <w:sz w:val="20"/>
          <w:highlight w:val="none"/>
          <w:lang w:val="en-US" w:eastAsia="zh-CN"/>
        </w:rPr>
        <w:t>详见工程量清单</w:t>
      </w:r>
      <w:r>
        <w:rPr>
          <w:rFonts w:hint="eastAsia" w:ascii="宋体" w:hAnsi="宋体"/>
          <w:color w:val="auto"/>
          <w:kern w:val="0"/>
          <w:sz w:val="20"/>
          <w:highlight w:val="none"/>
        </w:rPr>
        <w:t>）</w:t>
      </w:r>
      <w:r>
        <w:rPr>
          <w:rFonts w:hint="eastAsia" w:hAnsi="宋体" w:cs="宋体"/>
          <w:color w:val="auto"/>
          <w:highlight w:val="none"/>
        </w:rPr>
        <w:t>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7146A06">
      <w:pPr>
        <w:spacing w:line="360" w:lineRule="auto"/>
        <w:ind w:firstLine="420" w:firstLineChars="200"/>
        <w:jc w:val="left"/>
        <w:rPr>
          <w:rFonts w:hAnsi="宋体"/>
          <w:color w:val="auto"/>
          <w:highlight w:val="none"/>
        </w:rPr>
      </w:pPr>
      <w:r>
        <w:rPr>
          <w:rFonts w:hint="eastAsia" w:hAnsi="宋体" w:cs="宋体"/>
          <w:color w:val="auto"/>
          <w:highlight w:val="none"/>
        </w:rPr>
        <w:t>②承包人在《</w:t>
      </w:r>
      <w:r>
        <w:rPr>
          <w:rFonts w:hAnsi="宋体" w:cs="宋体"/>
          <w:color w:val="auto"/>
          <w:highlight w:val="none"/>
        </w:rPr>
        <w:t>允许调整</w:t>
      </w:r>
      <w:r>
        <w:rPr>
          <w:rFonts w:hint="eastAsia" w:hAnsi="宋体" w:cs="宋体"/>
          <w:color w:val="auto"/>
          <w:highlight w:val="none"/>
        </w:rPr>
        <w:t>主要材料和工程设备一览表》</w:t>
      </w:r>
      <w:r>
        <w:rPr>
          <w:rFonts w:hint="eastAsia" w:ascii="宋体" w:hAnsi="宋体"/>
          <w:color w:val="auto"/>
          <w:kern w:val="0"/>
          <w:sz w:val="20"/>
          <w:highlight w:val="none"/>
        </w:rPr>
        <w:t>（</w:t>
      </w:r>
      <w:r>
        <w:rPr>
          <w:rFonts w:hint="eastAsia" w:ascii="宋体" w:hAnsi="宋体"/>
          <w:color w:val="auto"/>
          <w:kern w:val="0"/>
          <w:sz w:val="20"/>
          <w:highlight w:val="none"/>
          <w:lang w:val="en-US" w:eastAsia="zh-CN"/>
        </w:rPr>
        <w:t>详见工程量清单</w:t>
      </w:r>
      <w:r>
        <w:rPr>
          <w:rFonts w:hint="eastAsia" w:ascii="宋体" w:hAnsi="宋体"/>
          <w:color w:val="auto"/>
          <w:kern w:val="0"/>
          <w:sz w:val="20"/>
          <w:highlight w:val="none"/>
        </w:rPr>
        <w:t>）</w:t>
      </w:r>
      <w:r>
        <w:rPr>
          <w:rFonts w:hint="eastAsia" w:hAnsi="宋体" w:cs="宋体"/>
          <w:color w:val="auto"/>
          <w:highlight w:val="none"/>
        </w:rPr>
        <w:t>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3619EFF1">
      <w:pPr>
        <w:spacing w:line="360" w:lineRule="auto"/>
        <w:ind w:firstLine="420" w:firstLineChars="200"/>
        <w:jc w:val="left"/>
        <w:rPr>
          <w:color w:val="auto"/>
          <w:highlight w:val="none"/>
        </w:rPr>
      </w:pPr>
      <w:r>
        <w:rPr>
          <w:rFonts w:hint="eastAsia" w:hAnsi="宋体" w:cs="宋体"/>
          <w:color w:val="auto"/>
          <w:highlight w:val="none"/>
        </w:rPr>
        <w:t>③承包人在《</w:t>
      </w:r>
      <w:r>
        <w:rPr>
          <w:rFonts w:hAnsi="宋体" w:cs="宋体"/>
          <w:color w:val="auto"/>
          <w:highlight w:val="none"/>
        </w:rPr>
        <w:t>允许调整</w:t>
      </w:r>
      <w:r>
        <w:rPr>
          <w:rFonts w:hint="eastAsia" w:hAnsi="宋体" w:cs="宋体"/>
          <w:color w:val="auto"/>
          <w:highlight w:val="none"/>
        </w:rPr>
        <w:t>主要材料和工程设备一览表》</w:t>
      </w:r>
      <w:r>
        <w:rPr>
          <w:rFonts w:hint="eastAsia" w:ascii="宋体" w:hAnsi="宋体"/>
          <w:color w:val="auto"/>
          <w:kern w:val="0"/>
          <w:sz w:val="20"/>
          <w:highlight w:val="none"/>
        </w:rPr>
        <w:t>（</w:t>
      </w:r>
      <w:r>
        <w:rPr>
          <w:rFonts w:hint="eastAsia" w:ascii="宋体" w:hAnsi="宋体"/>
          <w:color w:val="auto"/>
          <w:kern w:val="0"/>
          <w:sz w:val="20"/>
          <w:highlight w:val="none"/>
          <w:lang w:val="en-US" w:eastAsia="zh-CN"/>
        </w:rPr>
        <w:t>详见工程量清单</w:t>
      </w:r>
      <w:r>
        <w:rPr>
          <w:rFonts w:hint="eastAsia" w:ascii="宋体" w:hAnsi="宋体"/>
          <w:color w:val="auto"/>
          <w:kern w:val="0"/>
          <w:sz w:val="20"/>
          <w:highlight w:val="none"/>
        </w:rPr>
        <w:t>）</w:t>
      </w:r>
      <w:r>
        <w:rPr>
          <w:rFonts w:hint="eastAsia" w:hAnsi="宋体" w:cs="宋体"/>
          <w:color w:val="auto"/>
          <w:highlight w:val="none"/>
        </w:rPr>
        <w:t>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15B06744">
      <w:pPr>
        <w:spacing w:line="360" w:lineRule="auto"/>
        <w:ind w:firstLine="645"/>
        <w:jc w:val="left"/>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rFonts w:hint="eastAsia" w:ascii="宋体" w:hAnsi="宋体" w:cs="宋体"/>
          <w:color w:val="auto"/>
          <w:highlight w:val="none"/>
          <w:u w:val="single"/>
        </w:rPr>
        <w:t>/</w:t>
      </w:r>
      <w:r>
        <w:rPr>
          <w:rFonts w:hint="eastAsia" w:cs="宋体"/>
          <w:color w:val="auto"/>
          <w:highlight w:val="none"/>
        </w:rPr>
        <w:t>。</w:t>
      </w:r>
    </w:p>
    <w:bookmarkEnd w:id="744"/>
    <w:bookmarkEnd w:id="745"/>
    <w:bookmarkEnd w:id="746"/>
    <w:bookmarkEnd w:id="747"/>
    <w:bookmarkEnd w:id="748"/>
    <w:bookmarkEnd w:id="749"/>
    <w:p w14:paraId="22C00BA3">
      <w:pPr>
        <w:keepNext/>
        <w:keepLines/>
        <w:spacing w:before="260" w:after="260" w:line="413" w:lineRule="auto"/>
        <w:outlineLvl w:val="1"/>
        <w:rPr>
          <w:rFonts w:ascii="Arial" w:hAnsi="Arial" w:eastAsia="黑体"/>
          <w:b/>
          <w:bCs/>
          <w:color w:val="auto"/>
          <w:sz w:val="32"/>
          <w:szCs w:val="32"/>
          <w:highlight w:val="none"/>
        </w:rPr>
      </w:pPr>
      <w:bookmarkStart w:id="921" w:name="_Toc296503205"/>
      <w:bookmarkStart w:id="922" w:name="_Toc292559915"/>
      <w:bookmarkStart w:id="923" w:name="_Toc297120505"/>
      <w:bookmarkStart w:id="924" w:name="_Toc296347204"/>
      <w:bookmarkStart w:id="925" w:name="_Toc296891033"/>
      <w:bookmarkStart w:id="926" w:name="_Toc296944544"/>
      <w:bookmarkStart w:id="927" w:name="_Toc297048391"/>
      <w:bookmarkStart w:id="928" w:name="_Toc292559410"/>
      <w:bookmarkStart w:id="929" w:name="_Toc296346706"/>
      <w:bookmarkStart w:id="930" w:name="_Toc296891245"/>
      <w:bookmarkStart w:id="931" w:name="_Toc351203644"/>
      <w:bookmarkStart w:id="932" w:name="_Toc1935657796"/>
      <w:bookmarkStart w:id="933" w:name="_Toc373227748"/>
      <w:bookmarkStart w:id="934" w:name="_Toc1720046426"/>
      <w:bookmarkStart w:id="935" w:name="_Toc373478395"/>
      <w:bookmarkStart w:id="936" w:name="_Toc407135251"/>
      <w:bookmarkStart w:id="937" w:name="_Toc78449837"/>
      <w:bookmarkStart w:id="938" w:name="_Toc297123552"/>
      <w:bookmarkStart w:id="939" w:name="_Toc303539159"/>
      <w:bookmarkStart w:id="940" w:name="_Toc304295579"/>
      <w:bookmarkStart w:id="941" w:name="_Toc312678040"/>
      <w:bookmarkStart w:id="942" w:name="_Toc297216211"/>
      <w:bookmarkStart w:id="943" w:name="_Toc300935002"/>
      <w:r>
        <w:rPr>
          <w:rFonts w:ascii="Arial" w:hAnsi="Arial" w:eastAsia="黑体"/>
          <w:b/>
          <w:bCs/>
          <w:color w:val="auto"/>
          <w:sz w:val="32"/>
          <w:szCs w:val="32"/>
          <w:highlight w:val="none"/>
        </w:rPr>
        <w:t xml:space="preserve">12. </w:t>
      </w:r>
      <w:bookmarkEnd w:id="921"/>
      <w:bookmarkEnd w:id="922"/>
      <w:bookmarkEnd w:id="923"/>
      <w:bookmarkEnd w:id="924"/>
      <w:bookmarkEnd w:id="925"/>
      <w:bookmarkEnd w:id="926"/>
      <w:bookmarkEnd w:id="927"/>
      <w:bookmarkEnd w:id="928"/>
      <w:bookmarkEnd w:id="929"/>
      <w:bookmarkEnd w:id="930"/>
      <w:r>
        <w:rPr>
          <w:rFonts w:hint="eastAsia" w:ascii="Arial" w:hAnsi="Arial" w:eastAsia="黑体" w:cs="黑体"/>
          <w:b/>
          <w:bCs/>
          <w:color w:val="auto"/>
          <w:sz w:val="32"/>
          <w:szCs w:val="32"/>
          <w:highlight w:val="none"/>
        </w:rPr>
        <w:t>合同价格、计量与支付</w:t>
      </w:r>
      <w:bookmarkEnd w:id="931"/>
      <w:bookmarkEnd w:id="932"/>
      <w:bookmarkEnd w:id="933"/>
      <w:bookmarkEnd w:id="934"/>
      <w:bookmarkEnd w:id="935"/>
      <w:bookmarkEnd w:id="936"/>
      <w:bookmarkEnd w:id="937"/>
    </w:p>
    <w:bookmarkEnd w:id="938"/>
    <w:bookmarkEnd w:id="939"/>
    <w:bookmarkEnd w:id="940"/>
    <w:bookmarkEnd w:id="941"/>
    <w:bookmarkEnd w:id="942"/>
    <w:bookmarkEnd w:id="943"/>
    <w:p w14:paraId="7B204FEA">
      <w:pPr>
        <w:keepNext/>
        <w:keepLines/>
        <w:spacing w:line="600" w:lineRule="exact"/>
        <w:ind w:firstLine="643" w:firstLineChars="200"/>
        <w:outlineLvl w:val="2"/>
        <w:rPr>
          <w:b/>
          <w:bCs/>
          <w:color w:val="auto"/>
          <w:sz w:val="32"/>
          <w:szCs w:val="32"/>
          <w:highlight w:val="none"/>
        </w:rPr>
      </w:pPr>
      <w:bookmarkStart w:id="944" w:name="_Toc267251461"/>
      <w:bookmarkStart w:id="945" w:name="_Toc292559916"/>
      <w:bookmarkStart w:id="946" w:name="_Toc292559411"/>
      <w:bookmarkStart w:id="947" w:name="_Toc297048392"/>
      <w:bookmarkStart w:id="948" w:name="_Toc296503206"/>
      <w:bookmarkStart w:id="949" w:name="_Toc296944545"/>
      <w:bookmarkStart w:id="950" w:name="_Toc296346707"/>
      <w:bookmarkStart w:id="951" w:name="_Toc296891246"/>
      <w:bookmarkStart w:id="952" w:name="_Toc297120506"/>
      <w:bookmarkStart w:id="953" w:name="_Toc296891034"/>
      <w:bookmarkStart w:id="954" w:name="_Toc296347205"/>
      <w:bookmarkStart w:id="955" w:name="_Toc389065314"/>
      <w:bookmarkStart w:id="956" w:name="_Toc407135252"/>
      <w:bookmarkStart w:id="957" w:name="_Toc1395756356"/>
      <w:bookmarkStart w:id="958" w:name="_Toc1894565429"/>
      <w:bookmarkStart w:id="959" w:name="_Toc78449838"/>
      <w:bookmarkStart w:id="960" w:name="_Toc373478396"/>
      <w:bookmarkStart w:id="961" w:name="_Toc373227749"/>
      <w:bookmarkStart w:id="962" w:name="_Toc303539160"/>
      <w:bookmarkStart w:id="963" w:name="_Toc304295580"/>
      <w:bookmarkStart w:id="964" w:name="_Toc300935003"/>
      <w:bookmarkStart w:id="965" w:name="_Toc297123553"/>
      <w:bookmarkStart w:id="966" w:name="_Toc297216212"/>
      <w:bookmarkStart w:id="967" w:name="_Toc312678041"/>
      <w:r>
        <w:rPr>
          <w:b/>
          <w:bCs/>
          <w:color w:val="auto"/>
          <w:sz w:val="32"/>
          <w:szCs w:val="32"/>
          <w:highlight w:val="none"/>
        </w:rPr>
        <w:t xml:space="preserve">12.1 </w:t>
      </w:r>
      <w:r>
        <w:rPr>
          <w:rFonts w:hint="eastAsia" w:hAnsi="宋体" w:cs="黑体"/>
          <w:b/>
          <w:bCs/>
          <w:color w:val="auto"/>
          <w:sz w:val="32"/>
          <w:szCs w:val="32"/>
          <w:highlight w:val="none"/>
        </w:rPr>
        <w:t>合</w:t>
      </w:r>
      <w:bookmarkEnd w:id="944"/>
      <w:bookmarkEnd w:id="945"/>
      <w:bookmarkEnd w:id="946"/>
      <w:r>
        <w:rPr>
          <w:rFonts w:hint="eastAsia" w:hAnsi="宋体" w:cs="黑体"/>
          <w:b/>
          <w:bCs/>
          <w:color w:val="auto"/>
          <w:sz w:val="32"/>
          <w:szCs w:val="32"/>
          <w:highlight w:val="none"/>
        </w:rPr>
        <w:t>同价</w:t>
      </w:r>
      <w:bookmarkEnd w:id="947"/>
      <w:bookmarkEnd w:id="948"/>
      <w:bookmarkEnd w:id="949"/>
      <w:bookmarkEnd w:id="950"/>
      <w:bookmarkEnd w:id="951"/>
      <w:bookmarkEnd w:id="952"/>
      <w:bookmarkEnd w:id="953"/>
      <w:bookmarkEnd w:id="954"/>
      <w:r>
        <w:rPr>
          <w:rFonts w:hint="eastAsia" w:hAnsi="宋体" w:cs="黑体"/>
          <w:b/>
          <w:bCs/>
          <w:color w:val="auto"/>
          <w:sz w:val="32"/>
          <w:szCs w:val="32"/>
          <w:highlight w:val="none"/>
        </w:rPr>
        <w:t>格形式</w:t>
      </w:r>
      <w:bookmarkEnd w:id="955"/>
      <w:bookmarkEnd w:id="956"/>
      <w:bookmarkEnd w:id="957"/>
      <w:bookmarkEnd w:id="958"/>
      <w:bookmarkEnd w:id="959"/>
      <w:bookmarkEnd w:id="960"/>
      <w:bookmarkEnd w:id="961"/>
    </w:p>
    <w:bookmarkEnd w:id="962"/>
    <w:bookmarkEnd w:id="963"/>
    <w:bookmarkEnd w:id="964"/>
    <w:bookmarkEnd w:id="965"/>
    <w:bookmarkEnd w:id="966"/>
    <w:bookmarkEnd w:id="967"/>
    <w:p w14:paraId="769BBB47">
      <w:pPr>
        <w:spacing w:line="360" w:lineRule="auto"/>
        <w:ind w:firstLine="420" w:firstLineChars="200"/>
        <w:jc w:val="left"/>
        <w:rPr>
          <w:rFonts w:hAnsi="宋体"/>
          <w:color w:val="auto"/>
          <w:highlight w:val="none"/>
        </w:rPr>
      </w:pPr>
      <w:bookmarkStart w:id="968" w:name="_Toc373227750"/>
      <w:bookmarkStart w:id="969" w:name="_Toc389065315"/>
      <w:bookmarkStart w:id="970" w:name="_Toc373478397"/>
      <w:bookmarkStart w:id="971" w:name="_Toc297123554"/>
      <w:bookmarkStart w:id="972" w:name="_Toc300935004"/>
      <w:bookmarkStart w:id="973" w:name="_Toc303539161"/>
      <w:bookmarkStart w:id="974" w:name="_Toc304295581"/>
      <w:bookmarkStart w:id="975" w:name="_Toc297216213"/>
      <w:bookmarkStart w:id="976" w:name="_Toc312678042"/>
      <w:bookmarkStart w:id="977" w:name="_Toc292559412"/>
      <w:bookmarkStart w:id="978" w:name="_Toc297120507"/>
      <w:bookmarkStart w:id="979" w:name="_Toc296944546"/>
      <w:bookmarkStart w:id="980" w:name="_Toc296891247"/>
      <w:bookmarkStart w:id="981" w:name="_Toc292559917"/>
      <w:bookmarkStart w:id="982" w:name="_Toc296891035"/>
      <w:bookmarkStart w:id="983" w:name="_Toc296347206"/>
      <w:bookmarkStart w:id="984" w:name="_Toc297048393"/>
      <w:bookmarkStart w:id="985" w:name="_Toc296503207"/>
      <w:bookmarkStart w:id="986" w:name="_Toc296346708"/>
      <w:r>
        <w:rPr>
          <w:rFonts w:hint="eastAsia" w:hAnsi="宋体" w:cs="宋体"/>
          <w:color w:val="auto"/>
          <w:highlight w:val="none"/>
        </w:rPr>
        <w:t>本工程采用</w:t>
      </w:r>
      <w:r>
        <w:rPr>
          <w:rFonts w:hint="eastAsia" w:hAnsi="宋体"/>
          <w:color w:val="auto"/>
          <w:highlight w:val="none"/>
          <w:u w:val="single"/>
        </w:rPr>
        <w:t>固定综合单价</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rPr>
        <w:sym w:font="Wingdings 2" w:char="0052"/>
      </w:r>
      <w:r>
        <w:rPr>
          <w:rFonts w:hint="eastAsia" w:hAnsi="宋体" w:cs="宋体"/>
          <w:color w:val="auto"/>
          <w:highlight w:val="none"/>
        </w:rPr>
        <w:t>一般计税法</w:t>
      </w:r>
      <w:r>
        <w:rPr>
          <w:rFonts w:hint="eastAsia" w:ascii="宋体" w:hAnsi="宋体" w:cs="宋体"/>
          <w:color w:val="auto"/>
          <w:highlight w:val="none"/>
        </w:rPr>
        <w:t>□</w:t>
      </w:r>
      <w:r>
        <w:rPr>
          <w:rFonts w:hint="eastAsia" w:hAnsi="宋体" w:cs="宋体"/>
          <w:color w:val="auto"/>
          <w:highlight w:val="none"/>
        </w:rPr>
        <w:t>简易计税法。</w:t>
      </w:r>
    </w:p>
    <w:p w14:paraId="0287F19B">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14:paraId="733CD047">
      <w:pPr>
        <w:spacing w:line="360" w:lineRule="auto"/>
        <w:ind w:firstLine="420" w:firstLineChars="200"/>
        <w:jc w:val="left"/>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14:paraId="65EF99AB">
      <w:pPr>
        <w:spacing w:line="360" w:lineRule="auto"/>
        <w:ind w:firstLine="420" w:firstLineChars="200"/>
        <w:jc w:val="left"/>
        <w:rPr>
          <w:rFonts w:hAnsi="宋体"/>
          <w:color w:val="auto"/>
          <w:highlight w:val="none"/>
        </w:rPr>
      </w:pPr>
      <w:r>
        <w:rPr>
          <w:rFonts w:hint="eastAsia" w:hAnsi="宋体" w:cs="宋体"/>
          <w:color w:val="auto"/>
          <w:highlight w:val="none"/>
        </w:rPr>
        <w:t>综合单价包含的风险范围：</w:t>
      </w:r>
      <w:r>
        <w:rPr>
          <w:rFonts w:hint="eastAsia" w:ascii="Calibri" w:hAnsi="宋体" w:cs="宋体"/>
          <w:color w:val="auto"/>
          <w:szCs w:val="22"/>
          <w:highlight w:val="none"/>
          <w:u w:val="single"/>
        </w:rPr>
        <w:t>除工程变更、项目特征不符、工程量清单缺项、工程量偏差、政策性调整、本工程《承包人提供主要材料和设备一览表》中约定的材料和设备价格变动风险以外的其他风险因素</w:t>
      </w:r>
      <w:r>
        <w:rPr>
          <w:rFonts w:hint="eastAsia" w:hAnsi="宋体" w:cs="宋体"/>
          <w:color w:val="auto"/>
          <w:highlight w:val="none"/>
          <w:u w:val="single"/>
        </w:rPr>
        <w:t>。</w:t>
      </w:r>
    </w:p>
    <w:p w14:paraId="403B1E56">
      <w:pPr>
        <w:spacing w:line="360" w:lineRule="auto"/>
        <w:ind w:firstLine="420" w:firstLineChars="200"/>
        <w:jc w:val="left"/>
        <w:rPr>
          <w:rFonts w:hAnsi="宋体" w:cs="宋体"/>
          <w:color w:val="auto"/>
          <w:highlight w:val="none"/>
        </w:rPr>
      </w:pPr>
      <w:r>
        <w:rPr>
          <w:rFonts w:hint="eastAsia" w:hAnsi="宋体" w:cs="宋体"/>
          <w:color w:val="auto"/>
          <w:highlight w:val="none"/>
        </w:rPr>
        <w:t>风险范围以外合同价格的调整方法：</w:t>
      </w:r>
    </w:p>
    <w:p w14:paraId="0259966C">
      <w:pPr>
        <w:spacing w:line="360" w:lineRule="auto"/>
        <w:ind w:firstLine="420" w:firstLineChars="200"/>
        <w:jc w:val="left"/>
        <w:rPr>
          <w:rFonts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14:paraId="7D7236C5">
      <w:pPr>
        <w:spacing w:line="360" w:lineRule="auto"/>
        <w:ind w:firstLine="420" w:firstLineChars="200"/>
        <w:jc w:val="left"/>
        <w:rPr>
          <w:rFonts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14:paraId="3632DE45">
      <w:pPr>
        <w:spacing w:line="360" w:lineRule="auto"/>
        <w:ind w:firstLine="420" w:firstLineChars="200"/>
        <w:jc w:val="left"/>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color w:val="auto"/>
          <w:szCs w:val="21"/>
          <w:highlight w:val="none"/>
        </w:rPr>
        <w:t>市级</w:t>
      </w:r>
      <w:r>
        <w:rPr>
          <w:rFonts w:hint="eastAsia" w:ascii="仿宋_GB2312" w:hAnsi="宋体"/>
          <w:color w:val="auto"/>
          <w:highlight w:val="none"/>
        </w:rPr>
        <w:t>住房城乡建设主管部门颁布的文件执行</w:t>
      </w:r>
      <w:r>
        <w:rPr>
          <w:rFonts w:hint="eastAsia" w:hAnsi="宋体" w:cs="宋体"/>
          <w:color w:val="auto"/>
          <w:highlight w:val="none"/>
        </w:rPr>
        <w:t>。</w:t>
      </w:r>
    </w:p>
    <w:p w14:paraId="25779B17">
      <w:pPr>
        <w:spacing w:line="360" w:lineRule="auto"/>
        <w:ind w:firstLine="420" w:firstLineChars="200"/>
        <w:jc w:val="left"/>
        <w:rPr>
          <w:rFonts w:hAnsi="宋体" w:cs="宋体"/>
          <w:color w:val="auto"/>
          <w:highlight w:val="none"/>
        </w:rPr>
      </w:pPr>
      <w:r>
        <w:rPr>
          <w:rFonts w:hint="eastAsia" w:hAnsi="宋体" w:cs="宋体"/>
          <w:color w:val="auto"/>
          <w:highlight w:val="none"/>
        </w:rPr>
        <w:t>④市场波动引起的调整：按</w:t>
      </w:r>
      <w:r>
        <w:rPr>
          <w:rFonts w:hAnsi="宋体" w:cs="宋体"/>
          <w:color w:val="auto"/>
          <w:highlight w:val="none"/>
        </w:rPr>
        <w:t>11.1</w:t>
      </w:r>
      <w:r>
        <w:rPr>
          <w:rFonts w:hint="eastAsia" w:hAnsi="宋体" w:cs="宋体"/>
          <w:color w:val="auto"/>
          <w:highlight w:val="none"/>
        </w:rPr>
        <w:t>的约定调整。</w:t>
      </w:r>
    </w:p>
    <w:p w14:paraId="406BABC1">
      <w:pPr>
        <w:spacing w:line="360" w:lineRule="auto"/>
        <w:ind w:firstLine="420" w:firstLineChars="200"/>
        <w:jc w:val="left"/>
        <w:rPr>
          <w:rFonts w:ascii="Calibri" w:hAnsi="宋体"/>
          <w:color w:val="auto"/>
          <w:szCs w:val="22"/>
          <w:highlight w:val="none"/>
          <w:u w:val="single"/>
        </w:rPr>
      </w:pPr>
      <w:r>
        <w:rPr>
          <w:rFonts w:hint="eastAsia" w:hAnsi="宋体" w:cs="宋体"/>
          <w:color w:val="auto"/>
          <w:highlight w:val="none"/>
        </w:rPr>
        <w:t>⑤其它：</w:t>
      </w:r>
      <w:r>
        <w:rPr>
          <w:rFonts w:hint="eastAsia" w:ascii="Calibri" w:hAnsi="宋体"/>
          <w:color w:val="auto"/>
          <w:szCs w:val="22"/>
          <w:highlight w:val="none"/>
          <w:u w:val="single"/>
        </w:rPr>
        <w:t>a.本合同实施期间因工程变更、项目特征不符、工程量清单缺项、漏项、</w:t>
      </w:r>
      <w:r>
        <w:rPr>
          <w:rFonts w:ascii="Calibri" w:hAnsi="宋体"/>
          <w:color w:val="auto"/>
          <w:szCs w:val="22"/>
          <w:highlight w:val="none"/>
          <w:u w:val="single"/>
        </w:rPr>
        <w:t>设计变更导致的</w:t>
      </w:r>
      <w:r>
        <w:rPr>
          <w:rFonts w:hint="eastAsia" w:ascii="Calibri" w:hAnsi="宋体"/>
          <w:color w:val="auto"/>
          <w:szCs w:val="22"/>
          <w:highlight w:val="none"/>
          <w:u w:val="single"/>
        </w:rPr>
        <w:t>工程量清单偏差超过约定幅度引起工程项目、工程量变化的，其工程量按实际发生并监理工程师及发包人确认，变更合同价款按下列方法进行：工程量清单中有相同细目的按投标人投标时的</w:t>
      </w:r>
      <w:r>
        <w:rPr>
          <w:rFonts w:hint="eastAsia" w:ascii="Calibri" w:hAnsi="宋体"/>
          <w:color w:val="auto"/>
          <w:szCs w:val="22"/>
          <w:highlight w:val="none"/>
          <w:u w:val="single"/>
          <w:lang w:val="en-US" w:eastAsia="zh-CN"/>
        </w:rPr>
        <w:t>成交</w:t>
      </w:r>
      <w:r>
        <w:rPr>
          <w:rFonts w:hint="eastAsia" w:ascii="Calibri" w:hAnsi="宋体"/>
          <w:color w:val="auto"/>
          <w:szCs w:val="22"/>
          <w:highlight w:val="none"/>
          <w:u w:val="single"/>
        </w:rPr>
        <w:t>单价进行结算，工程量清单中有类似细目的参考类似</w:t>
      </w:r>
      <w:r>
        <w:rPr>
          <w:rFonts w:hint="eastAsia" w:ascii="Calibri" w:hAnsi="宋体"/>
          <w:color w:val="auto"/>
          <w:szCs w:val="22"/>
          <w:highlight w:val="none"/>
          <w:u w:val="single"/>
          <w:lang w:val="en-US" w:eastAsia="zh-CN"/>
        </w:rPr>
        <w:t>成交</w:t>
      </w:r>
      <w:r>
        <w:rPr>
          <w:rFonts w:hint="eastAsia" w:ascii="Calibri" w:hAnsi="宋体"/>
          <w:color w:val="auto"/>
          <w:szCs w:val="22"/>
          <w:highlight w:val="none"/>
          <w:u w:val="single"/>
        </w:rPr>
        <w:t>单价结算；工程量清单中没有适用或类似于变更工程的价格，则有定额的套定额计算，执行本招标文件工程计价参考依据，并乘以下浮系数（</w:t>
      </w:r>
      <w:r>
        <w:rPr>
          <w:rFonts w:hint="eastAsia" w:ascii="Calibri" w:hAnsi="宋体"/>
          <w:color w:val="auto"/>
          <w:szCs w:val="22"/>
          <w:highlight w:val="none"/>
          <w:u w:val="single"/>
          <w:lang w:val="en-US" w:eastAsia="zh-CN"/>
        </w:rPr>
        <w:t>成交</w:t>
      </w:r>
      <w:r>
        <w:rPr>
          <w:rFonts w:hint="eastAsia" w:ascii="Calibri" w:hAnsi="宋体"/>
          <w:color w:val="auto"/>
          <w:szCs w:val="22"/>
          <w:highlight w:val="none"/>
          <w:u w:val="single"/>
        </w:rPr>
        <w:t>价/经审定的工程招标控制价）结算，其中材料价格有信息价的按施工期间信息价的平均价计取，无信息价的由发包人、监理单位及承包人根据市场价格协商议定；新增项目无定额可套的，由发包人、监理单位及承包人根据市场协商确定，</w:t>
      </w:r>
      <w:r>
        <w:rPr>
          <w:rFonts w:hint="eastAsia" w:ascii="宋体" w:hAnsi="宋体" w:cs="宋体"/>
          <w:b/>
          <w:bCs/>
          <w:color w:val="auto"/>
          <w:szCs w:val="21"/>
          <w:highlight w:val="none"/>
          <w:u w:val="single"/>
        </w:rPr>
        <w:t>新增项目的单价必须经发包人、监理单位及发包人委托的第三方造价咨询机构审定</w:t>
      </w:r>
      <w:r>
        <w:rPr>
          <w:rFonts w:hint="eastAsia" w:ascii="Calibri" w:hAnsi="宋体"/>
          <w:color w:val="auto"/>
          <w:szCs w:val="22"/>
          <w:highlight w:val="none"/>
          <w:u w:val="single"/>
        </w:rPr>
        <w:t>；新增结算单价=综合单价×（</w:t>
      </w:r>
      <w:r>
        <w:rPr>
          <w:rFonts w:hint="eastAsia" w:ascii="Calibri" w:hAnsi="宋体"/>
          <w:color w:val="auto"/>
          <w:szCs w:val="22"/>
          <w:highlight w:val="none"/>
          <w:u w:val="single"/>
          <w:lang w:val="en-US" w:eastAsia="zh-CN"/>
        </w:rPr>
        <w:t>成交</w:t>
      </w:r>
      <w:r>
        <w:rPr>
          <w:rFonts w:hint="eastAsia" w:ascii="Calibri" w:hAnsi="宋体"/>
          <w:color w:val="auto"/>
          <w:szCs w:val="22"/>
          <w:highlight w:val="none"/>
          <w:u w:val="single"/>
        </w:rPr>
        <w:t>价/经审定的工程招标控制价）。</w:t>
      </w:r>
    </w:p>
    <w:p w14:paraId="56E6E83D">
      <w:pPr>
        <w:spacing w:line="400" w:lineRule="exact"/>
        <w:ind w:firstLine="420" w:firstLineChars="200"/>
        <w:rPr>
          <w:rFonts w:ascii="宋体" w:hAnsi="宋体" w:cs="宋体"/>
          <w:b/>
          <w:bCs/>
          <w:color w:val="auto"/>
          <w:highlight w:val="none"/>
          <w:u w:val="single"/>
        </w:rPr>
      </w:pPr>
      <w:r>
        <w:rPr>
          <w:rFonts w:hint="eastAsia" w:ascii="Calibri" w:hAnsi="宋体"/>
          <w:color w:val="auto"/>
          <w:szCs w:val="22"/>
          <w:highlight w:val="none"/>
          <w:u w:val="single"/>
        </w:rPr>
        <w:t>b.工程量偏差调整方法：</w:t>
      </w:r>
      <w:r>
        <w:rPr>
          <w:rFonts w:hint="eastAsia" w:ascii="宋体" w:hAnsi="宋体" w:cs="宋体"/>
          <w:b/>
          <w:bCs/>
          <w:color w:val="auto"/>
          <w:highlight w:val="none"/>
          <w:u w:val="single"/>
        </w:rPr>
        <w:t>当应予计算的实际工程量与招标工程量清单出现偏差，清单工程量偏差15 %且该单项清单造价超过合同总价1%以内的，超过后增加部分工程量或减少后剩余部分工程量的综合单价按以下方法调整：出现工程量清单偏差时：（1）合同中已有相同子目的，按合同该子目价格进行计算；（2）合同中只有类似子目的，参照该类似子目价格进行计算；（3）合同中没有适用或类似子目的价格计算方法：有定额的套定额（土石方按市场报价），并乘以下浮系数（</w:t>
      </w:r>
      <w:r>
        <w:rPr>
          <w:rFonts w:hint="eastAsia" w:ascii="宋体" w:hAnsi="宋体" w:cs="宋体"/>
          <w:b/>
          <w:bCs/>
          <w:color w:val="auto"/>
          <w:highlight w:val="none"/>
          <w:u w:val="single"/>
          <w:lang w:val="en-US" w:eastAsia="zh-CN"/>
        </w:rPr>
        <w:t>成交</w:t>
      </w:r>
      <w:r>
        <w:rPr>
          <w:rFonts w:hint="eastAsia" w:ascii="宋体" w:hAnsi="宋体" w:cs="宋体"/>
          <w:b/>
          <w:bCs/>
          <w:color w:val="auto"/>
          <w:highlight w:val="none"/>
          <w:u w:val="single"/>
        </w:rPr>
        <w:t>价/经招标人公布的工程招标控制价）计算，其中材料价格按施工期间的《</w:t>
      </w:r>
      <w:r>
        <w:rPr>
          <w:rFonts w:hint="eastAsia" w:ascii="宋体" w:hAnsi="宋体" w:cs="宋体"/>
          <w:b/>
          <w:bCs/>
          <w:color w:val="auto"/>
          <w:highlight w:val="none"/>
          <w:u w:val="single"/>
          <w:lang w:eastAsia="zh-CN"/>
        </w:rPr>
        <w:t>百色</w:t>
      </w:r>
      <w:r>
        <w:rPr>
          <w:rFonts w:hint="eastAsia" w:ascii="宋体" w:hAnsi="宋体" w:cs="宋体"/>
          <w:b/>
          <w:bCs/>
          <w:color w:val="auto"/>
          <w:highlight w:val="none"/>
          <w:u w:val="single"/>
        </w:rPr>
        <w:t>建设工程造价信息》相应价格信息进行计算；《</w:t>
      </w:r>
      <w:r>
        <w:rPr>
          <w:rFonts w:hint="eastAsia" w:ascii="宋体" w:hAnsi="宋体" w:cs="宋体"/>
          <w:b/>
          <w:bCs/>
          <w:color w:val="auto"/>
          <w:highlight w:val="none"/>
          <w:u w:val="single"/>
          <w:lang w:eastAsia="zh-CN"/>
        </w:rPr>
        <w:t>百色</w:t>
      </w:r>
      <w:r>
        <w:rPr>
          <w:rFonts w:hint="eastAsia" w:ascii="宋体" w:hAnsi="宋体" w:cs="宋体"/>
          <w:b/>
          <w:bCs/>
          <w:color w:val="auto"/>
          <w:highlight w:val="none"/>
          <w:u w:val="single"/>
        </w:rPr>
        <w:t>建设工程造价信息》没有相应价格信息的按市场价计算；无定额可套的，根据市场价格协商确定综合价格；新增项目无定额可套的，</w:t>
      </w:r>
      <w:r>
        <w:rPr>
          <w:rFonts w:hint="eastAsia" w:ascii="宋体" w:hAnsi="宋体" w:cs="宋体"/>
          <w:b/>
          <w:bCs/>
          <w:color w:val="auto"/>
          <w:szCs w:val="21"/>
          <w:highlight w:val="none"/>
          <w:u w:val="single"/>
        </w:rPr>
        <w:t xml:space="preserve">由发包人、承包人根据市场价格协商确定；新增项目的单价必须经发包人、监理单位及发包人委托的第三方造价咨询机构审定 </w:t>
      </w:r>
      <w:r>
        <w:rPr>
          <w:rFonts w:hint="eastAsia" w:ascii="宋体" w:hAnsi="宋体" w:cs="宋体"/>
          <w:b/>
          <w:bCs/>
          <w:color w:val="auto"/>
          <w:highlight w:val="none"/>
          <w:u w:val="single"/>
        </w:rPr>
        <w:t>。</w:t>
      </w:r>
    </w:p>
    <w:p w14:paraId="2EED9372">
      <w:pPr>
        <w:spacing w:line="360" w:lineRule="auto"/>
        <w:ind w:firstLine="422" w:firstLineChars="200"/>
        <w:jc w:val="left"/>
        <w:rPr>
          <w:rFonts w:ascii="Calibri" w:hAnsi="宋体"/>
          <w:color w:val="auto"/>
          <w:szCs w:val="22"/>
          <w:highlight w:val="none"/>
          <w:u w:val="single"/>
        </w:rPr>
      </w:pPr>
      <w:r>
        <w:rPr>
          <w:rFonts w:hint="eastAsia" w:ascii="宋体" w:hAnsi="宋体" w:cs="宋体"/>
          <w:b/>
          <w:bCs/>
          <w:color w:val="auto"/>
          <w:highlight w:val="none"/>
          <w:u w:val="single"/>
        </w:rPr>
        <w:t>与招标工程量清单工程量偏差15 %且该单项清单造价超过合同总价1%以上部分按以下方法调整：（1）工程量增加15%以上部分有定额的套定额（土石方按市场报价），并乘以下浮系数（</w:t>
      </w:r>
      <w:r>
        <w:rPr>
          <w:rFonts w:hint="eastAsia" w:ascii="宋体" w:hAnsi="宋体" w:cs="宋体"/>
          <w:b/>
          <w:bCs/>
          <w:color w:val="auto"/>
          <w:highlight w:val="none"/>
          <w:u w:val="single"/>
          <w:lang w:val="en-US" w:eastAsia="zh-CN"/>
        </w:rPr>
        <w:t>成交</w:t>
      </w:r>
      <w:r>
        <w:rPr>
          <w:rFonts w:hint="eastAsia" w:ascii="宋体" w:hAnsi="宋体" w:cs="宋体"/>
          <w:b/>
          <w:bCs/>
          <w:color w:val="auto"/>
          <w:highlight w:val="none"/>
          <w:u w:val="single"/>
        </w:rPr>
        <w:t>价/经招标人公布的工程招标控制价）计算；（2）工程量减少15%后剩余工程量按</w:t>
      </w:r>
      <w:r>
        <w:rPr>
          <w:rFonts w:hint="eastAsia" w:ascii="宋体" w:hAnsi="宋体" w:cs="宋体"/>
          <w:b/>
          <w:bCs/>
          <w:color w:val="auto"/>
          <w:highlight w:val="none"/>
          <w:u w:val="single"/>
          <w:lang w:val="en-US" w:eastAsia="zh-CN"/>
        </w:rPr>
        <w:t>成交</w:t>
      </w:r>
      <w:r>
        <w:rPr>
          <w:rFonts w:hint="eastAsia" w:ascii="宋体" w:hAnsi="宋体" w:cs="宋体"/>
          <w:b/>
          <w:bCs/>
          <w:color w:val="auto"/>
          <w:highlight w:val="none"/>
          <w:u w:val="single"/>
        </w:rPr>
        <w:t>价计算；其中材料价格按施工期间的《</w:t>
      </w:r>
      <w:r>
        <w:rPr>
          <w:rFonts w:hint="eastAsia" w:ascii="宋体" w:hAnsi="宋体" w:cs="宋体"/>
          <w:b/>
          <w:bCs/>
          <w:color w:val="auto"/>
          <w:highlight w:val="none"/>
          <w:u w:val="single"/>
          <w:lang w:eastAsia="zh-CN"/>
        </w:rPr>
        <w:t>百色</w:t>
      </w:r>
      <w:r>
        <w:rPr>
          <w:rFonts w:hint="eastAsia" w:ascii="宋体" w:hAnsi="宋体" w:cs="宋体"/>
          <w:b/>
          <w:bCs/>
          <w:color w:val="auto"/>
          <w:highlight w:val="none"/>
          <w:u w:val="single"/>
        </w:rPr>
        <w:t>建设工程造价信息》相应价格信息进行计算；无定额可套的，根据市场价格双方协商确定综合价格，新增项目无定额可套的，</w:t>
      </w:r>
      <w:r>
        <w:rPr>
          <w:rFonts w:hint="eastAsia" w:ascii="宋体" w:hAnsi="宋体" w:cs="宋体"/>
          <w:b/>
          <w:bCs/>
          <w:color w:val="auto"/>
          <w:szCs w:val="21"/>
          <w:highlight w:val="none"/>
          <w:u w:val="single"/>
        </w:rPr>
        <w:t xml:space="preserve">由发包人、承包人、审计等部门根据市场价格协商确定；新增项目的单价必须经发包人、监理单位及发包人委托的第三方造价咨询机构审定 </w:t>
      </w:r>
      <w:r>
        <w:rPr>
          <w:rFonts w:hint="eastAsia" w:ascii="宋体" w:hAnsi="宋体" w:cs="宋体"/>
          <w:b/>
          <w:bCs/>
          <w:color w:val="auto"/>
          <w:highlight w:val="none"/>
          <w:u w:val="single"/>
        </w:rPr>
        <w:t xml:space="preserve"> 。</w:t>
      </w:r>
    </w:p>
    <w:p w14:paraId="4BE133AF">
      <w:pPr>
        <w:spacing w:line="360" w:lineRule="auto"/>
        <w:ind w:firstLine="420" w:firstLineChars="200"/>
        <w:jc w:val="left"/>
        <w:rPr>
          <w:rFonts w:ascii="Calibri" w:hAnsi="宋体"/>
          <w:color w:val="auto"/>
          <w:szCs w:val="22"/>
          <w:highlight w:val="none"/>
          <w:u w:val="single"/>
        </w:rPr>
      </w:pPr>
      <w:r>
        <w:rPr>
          <w:rFonts w:hint="eastAsia" w:ascii="Calibri" w:hAnsi="宋体"/>
          <w:color w:val="auto"/>
          <w:szCs w:val="22"/>
          <w:highlight w:val="none"/>
          <w:u w:val="single"/>
        </w:rPr>
        <w:t>c.材料和设备价格风险的调整方法：</w:t>
      </w:r>
    </w:p>
    <w:p w14:paraId="14E2A59B">
      <w:pPr>
        <w:spacing w:line="360" w:lineRule="auto"/>
        <w:ind w:firstLine="420" w:firstLineChars="200"/>
        <w:jc w:val="left"/>
        <w:rPr>
          <w:rFonts w:ascii="Calibri" w:hAnsi="宋体"/>
          <w:color w:val="auto"/>
          <w:szCs w:val="22"/>
          <w:highlight w:val="none"/>
          <w:u w:val="single"/>
        </w:rPr>
      </w:pPr>
      <w:r>
        <w:rPr>
          <w:rFonts w:hint="eastAsia" w:ascii="Calibri" w:hAnsi="宋体"/>
          <w:color w:val="auto"/>
          <w:szCs w:val="22"/>
          <w:highlight w:val="none"/>
          <w:u w:val="single"/>
        </w:rPr>
        <w:t>基准价格的约定：基准价格按照招标文件约定的材料设备信息价，无信息价的参考招标控制价的材料设备价格。</w:t>
      </w:r>
    </w:p>
    <w:p w14:paraId="73C9B379">
      <w:pPr>
        <w:spacing w:line="360" w:lineRule="auto"/>
        <w:ind w:firstLine="420" w:firstLineChars="200"/>
        <w:jc w:val="left"/>
        <w:rPr>
          <w:rFonts w:ascii="Calibri" w:hAnsi="宋体"/>
          <w:color w:val="auto"/>
          <w:szCs w:val="22"/>
          <w:highlight w:val="none"/>
          <w:u w:val="single"/>
        </w:rPr>
      </w:pPr>
      <w:r>
        <w:rPr>
          <w:rFonts w:hint="eastAsia" w:ascii="Calibri" w:hAnsi="宋体"/>
          <w:color w:val="auto"/>
          <w:szCs w:val="22"/>
          <w:highlight w:val="none"/>
          <w:u w:val="single"/>
        </w:rPr>
        <w:t>材料及设备风险的约定：允许调整的主要材料、设备及风险系数详见《承包人提供主要材料和设备一览表》），调整方法按11.1第2种方式执行，调整部分仅计差额及相应税金。其余材料、设备不予调整。</w:t>
      </w:r>
    </w:p>
    <w:p w14:paraId="471D0AF3">
      <w:pPr>
        <w:spacing w:line="360" w:lineRule="auto"/>
        <w:ind w:firstLine="420" w:firstLineChars="200"/>
        <w:jc w:val="left"/>
        <w:rPr>
          <w:rFonts w:ascii="Calibri" w:hAnsi="宋体"/>
          <w:color w:val="auto"/>
          <w:szCs w:val="22"/>
          <w:highlight w:val="none"/>
          <w:u w:val="single"/>
        </w:rPr>
      </w:pPr>
      <w:r>
        <w:rPr>
          <w:rFonts w:hint="eastAsia" w:ascii="Calibri" w:hAnsi="宋体"/>
          <w:color w:val="auto"/>
          <w:szCs w:val="22"/>
          <w:highlight w:val="none"/>
          <w:u w:val="single"/>
        </w:rPr>
        <w:t>d.措施项目费调整原则按《</w:t>
      </w:r>
      <w:r>
        <w:rPr>
          <w:rFonts w:hint="eastAsia" w:ascii="Calibri" w:hAnsi="宋体"/>
          <w:color w:val="auto"/>
          <w:szCs w:val="22"/>
          <w:highlight w:val="none"/>
          <w:u w:val="single"/>
          <w:lang w:eastAsia="zh-CN"/>
        </w:rPr>
        <w:t>（</w:t>
      </w:r>
      <w:r>
        <w:rPr>
          <w:rFonts w:hint="eastAsia" w:ascii="Calibri" w:hAnsi="宋体"/>
          <w:color w:val="auto"/>
          <w:szCs w:val="22"/>
          <w:highlight w:val="none"/>
          <w:u w:val="single"/>
        </w:rPr>
        <w:t>GB50500-2013</w:t>
      </w:r>
      <w:r>
        <w:rPr>
          <w:rFonts w:hint="eastAsia" w:ascii="Calibri" w:hAnsi="宋体"/>
          <w:color w:val="auto"/>
          <w:szCs w:val="22"/>
          <w:highlight w:val="none"/>
          <w:u w:val="single"/>
          <w:lang w:eastAsia="zh-CN"/>
        </w:rPr>
        <w:t>）</w:t>
      </w:r>
      <w:r>
        <w:rPr>
          <w:rFonts w:hint="eastAsia" w:ascii="Calibri" w:hAnsi="宋体"/>
          <w:color w:val="auto"/>
          <w:szCs w:val="22"/>
          <w:highlight w:val="none"/>
          <w:u w:val="single"/>
        </w:rPr>
        <w:t>建设工程工程量清单计价规范-广西壮族自治区实施细则》第9.3.2款执行。</w:t>
      </w:r>
    </w:p>
    <w:p w14:paraId="170C045A">
      <w:pPr>
        <w:spacing w:line="360" w:lineRule="auto"/>
        <w:ind w:firstLine="420" w:firstLineChars="200"/>
        <w:jc w:val="left"/>
        <w:rPr>
          <w:rFonts w:ascii="Calibri" w:hAnsi="宋体"/>
          <w:color w:val="auto"/>
          <w:szCs w:val="22"/>
          <w:highlight w:val="none"/>
          <w:u w:val="single"/>
        </w:rPr>
      </w:pPr>
      <w:r>
        <w:rPr>
          <w:rFonts w:hint="eastAsia" w:ascii="Calibri" w:hAnsi="宋体"/>
          <w:color w:val="auto"/>
          <w:szCs w:val="22"/>
          <w:highlight w:val="none"/>
          <w:u w:val="single"/>
        </w:rPr>
        <w:t>e.国家和自治区政策性调整有关费用标准的，按文件规定执行。</w:t>
      </w:r>
    </w:p>
    <w:p w14:paraId="257FFFA6">
      <w:pPr>
        <w:spacing w:line="360" w:lineRule="auto"/>
        <w:ind w:firstLine="420" w:firstLineChars="200"/>
        <w:jc w:val="left"/>
        <w:rPr>
          <w:rFonts w:hAnsi="宋体"/>
          <w:color w:val="auto"/>
          <w:highlight w:val="none"/>
        </w:rPr>
      </w:pPr>
      <w:r>
        <w:rPr>
          <w:rFonts w:hint="eastAsia" w:ascii="Calibri" w:hAnsi="宋体"/>
          <w:color w:val="auto"/>
          <w:szCs w:val="22"/>
          <w:highlight w:val="none"/>
          <w:u w:val="single"/>
        </w:rPr>
        <w:t>f.无约定的参照我区现行《建设工程工程量清单计价规范》相关规定执行</w:t>
      </w:r>
      <w:r>
        <w:rPr>
          <w:rFonts w:hint="eastAsia" w:hAnsi="宋体" w:cs="宋体"/>
          <w:color w:val="auto"/>
          <w:highlight w:val="none"/>
        </w:rPr>
        <w:t>。</w:t>
      </w:r>
    </w:p>
    <w:p w14:paraId="640728C9">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14:paraId="3B42EB85">
      <w:pPr>
        <w:spacing w:line="360" w:lineRule="auto"/>
        <w:ind w:firstLine="420" w:firstLineChars="200"/>
        <w:jc w:val="left"/>
        <w:rPr>
          <w:rFonts w:hAnsi="宋体"/>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市场价格波动。除工程变更外，结算时不再对招标施工图对应的工程量重新计量</w:t>
      </w:r>
      <w:r>
        <w:rPr>
          <w:rFonts w:hint="eastAsia" w:hAnsi="宋体" w:cs="宋体"/>
          <w:color w:val="auto"/>
          <w:highlight w:val="none"/>
        </w:rPr>
        <w:t>。</w:t>
      </w:r>
    </w:p>
    <w:p w14:paraId="4A61CF48">
      <w:pPr>
        <w:spacing w:line="360" w:lineRule="auto"/>
        <w:ind w:firstLine="420" w:firstLineChars="200"/>
        <w:jc w:val="left"/>
        <w:rPr>
          <w:rFonts w:cs="宋体"/>
          <w:color w:val="auto"/>
          <w:highlight w:val="none"/>
        </w:rPr>
      </w:pPr>
      <w:r>
        <w:rPr>
          <w:rFonts w:hint="eastAsia" w:cs="宋体"/>
          <w:color w:val="auto"/>
          <w:highlight w:val="none"/>
        </w:rPr>
        <w:t>风险范围以外合同价格的调整方法：</w:t>
      </w:r>
    </w:p>
    <w:p w14:paraId="0699B9D4">
      <w:pPr>
        <w:spacing w:line="360" w:lineRule="auto"/>
        <w:ind w:firstLine="420" w:firstLineChars="200"/>
        <w:jc w:val="left"/>
        <w:rPr>
          <w:rFonts w:hAnsi="宋体" w:cs="宋体"/>
          <w:color w:val="auto"/>
          <w:highlight w:val="none"/>
        </w:rPr>
      </w:pPr>
      <w:r>
        <w:rPr>
          <w:rFonts w:hint="eastAsia" w:ascii="宋体" w:hAnsi="宋体" w:cs="宋体"/>
          <w:color w:val="auto"/>
          <w:highlight w:val="none"/>
        </w:rPr>
        <w:t>①</w:t>
      </w:r>
      <w:r>
        <w:rPr>
          <w:rFonts w:hint="eastAsia" w:hAnsi="宋体" w:cs="宋体"/>
          <w:color w:val="auto"/>
          <w:highlight w:val="none"/>
        </w:rPr>
        <w:t>工程变更：按</w:t>
      </w:r>
      <w:r>
        <w:rPr>
          <w:rFonts w:hAnsi="宋体" w:cs="宋体"/>
          <w:color w:val="auto"/>
          <w:highlight w:val="none"/>
        </w:rPr>
        <w:t>10.4.1</w:t>
      </w:r>
      <w:r>
        <w:rPr>
          <w:rFonts w:hint="eastAsia" w:hAnsi="宋体" w:cs="宋体"/>
          <w:color w:val="auto"/>
          <w:highlight w:val="none"/>
        </w:rPr>
        <w:t>变更估价原则的约定调整。</w:t>
      </w:r>
    </w:p>
    <w:p w14:paraId="3FC4E503">
      <w:pPr>
        <w:spacing w:line="360" w:lineRule="auto"/>
        <w:ind w:firstLine="420" w:firstLineChars="200"/>
        <w:jc w:val="left"/>
        <w:rPr>
          <w:rFonts w:hAnsi="宋体" w:cs="宋体"/>
          <w:color w:val="auto"/>
          <w:highlight w:val="none"/>
        </w:rPr>
      </w:pPr>
      <w:r>
        <w:rPr>
          <w:rFonts w:hint="eastAsia" w:hAnsi="宋体" w:cs="宋体"/>
          <w:color w:val="auto"/>
          <w:highlight w:val="none"/>
        </w:rPr>
        <w:t>②政策性调整：</w:t>
      </w:r>
      <w:r>
        <w:rPr>
          <w:rFonts w:hint="eastAsia" w:ascii="仿宋_GB2312" w:hAnsi="宋体"/>
          <w:color w:val="auto"/>
          <w:highlight w:val="none"/>
        </w:rPr>
        <w:t>按国</w:t>
      </w:r>
      <w:r>
        <w:rPr>
          <w:rFonts w:ascii="仿宋_GB2312" w:hAnsi="宋体"/>
          <w:color w:val="auto"/>
          <w:highlight w:val="none"/>
        </w:rPr>
        <w:t>家、</w:t>
      </w:r>
      <w:r>
        <w:rPr>
          <w:rFonts w:hint="eastAsia" w:ascii="仿宋_GB2312" w:hAnsi="宋体"/>
          <w:color w:val="auto"/>
          <w:highlight w:val="none"/>
        </w:rPr>
        <w:t>自治区住房城乡建设厅或工程所在地市级住房城乡建设主管部门颁布的文件执行</w:t>
      </w:r>
      <w:r>
        <w:rPr>
          <w:rFonts w:hint="eastAsia" w:hAnsi="宋体" w:cs="宋体"/>
          <w:color w:val="auto"/>
          <w:highlight w:val="none"/>
        </w:rPr>
        <w:t>。</w:t>
      </w:r>
    </w:p>
    <w:p w14:paraId="4E403329">
      <w:pPr>
        <w:spacing w:line="360" w:lineRule="auto"/>
        <w:ind w:firstLine="420" w:firstLineChars="200"/>
        <w:jc w:val="left"/>
        <w:rPr>
          <w:rFonts w:hAnsi="宋体" w:cs="宋体"/>
          <w:color w:val="auto"/>
          <w:highlight w:val="none"/>
        </w:rPr>
      </w:pPr>
      <w:r>
        <w:rPr>
          <w:rFonts w:hint="eastAsia" w:hAnsi="宋体" w:cs="宋体"/>
          <w:color w:val="auto"/>
          <w:highlight w:val="none"/>
        </w:rPr>
        <w:t>③市场波动引起的调整：按</w:t>
      </w:r>
      <w:r>
        <w:rPr>
          <w:rFonts w:hAnsi="宋体" w:cs="宋体"/>
          <w:color w:val="auto"/>
          <w:highlight w:val="none"/>
        </w:rPr>
        <w:t>11.1</w:t>
      </w:r>
      <w:r>
        <w:rPr>
          <w:rFonts w:hint="eastAsia" w:hAnsi="宋体" w:cs="宋体"/>
          <w:color w:val="auto"/>
          <w:highlight w:val="none"/>
        </w:rPr>
        <w:t>的约定调整。</w:t>
      </w:r>
    </w:p>
    <w:p w14:paraId="20782D55">
      <w:pPr>
        <w:spacing w:line="360" w:lineRule="auto"/>
        <w:ind w:firstLine="420" w:firstLineChars="200"/>
        <w:jc w:val="left"/>
        <w:rPr>
          <w:rFonts w:hAnsi="宋体"/>
          <w:color w:val="auto"/>
          <w:highlight w:val="none"/>
        </w:rPr>
      </w:pPr>
      <w:r>
        <w:rPr>
          <w:rFonts w:hAnsi="宋体" w:cs="宋体"/>
          <w:color w:val="auto"/>
          <w:highlight w:val="none"/>
        </w:rPr>
        <w:fldChar w:fldCharType="begin"/>
      </w:r>
      <w:r>
        <w:rPr>
          <w:rFonts w:hint="eastAsia" w:hAnsi="宋体" w:cs="宋体"/>
          <w:color w:val="auto"/>
          <w:highlight w:val="none"/>
        </w:rPr>
        <w:instrText xml:space="preserve">= 4 \* GB3</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其它：</w:t>
      </w:r>
      <w:r>
        <w:rPr>
          <w:rFonts w:hint="eastAsia" w:hAnsi="宋体"/>
          <w:color w:val="auto"/>
          <w:highlight w:val="none"/>
          <w:u w:val="single"/>
        </w:rPr>
        <w:t>无</w:t>
      </w:r>
      <w:r>
        <w:rPr>
          <w:rFonts w:hint="eastAsia" w:hAnsi="宋体" w:cs="宋体"/>
          <w:color w:val="auto"/>
          <w:highlight w:val="none"/>
        </w:rPr>
        <w:t>。</w:t>
      </w:r>
    </w:p>
    <w:p w14:paraId="6C60ABE0">
      <w:pPr>
        <w:spacing w:line="360" w:lineRule="auto"/>
        <w:ind w:firstLine="420" w:firstLineChars="200"/>
        <w:jc w:val="left"/>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rFonts w:hint="eastAsia" w:hAnsi="宋体"/>
          <w:color w:val="auto"/>
          <w:highlight w:val="none"/>
          <w:u w:val="single"/>
        </w:rPr>
        <w:t>/</w:t>
      </w:r>
      <w:r>
        <w:rPr>
          <w:rFonts w:hint="eastAsia" w:cs="宋体"/>
          <w:color w:val="auto"/>
          <w:highlight w:val="none"/>
        </w:rPr>
        <w:t>。</w:t>
      </w:r>
    </w:p>
    <w:p w14:paraId="26566070">
      <w:pPr>
        <w:keepNext/>
        <w:keepLines/>
        <w:spacing w:line="600" w:lineRule="exact"/>
        <w:ind w:firstLine="643" w:firstLineChars="200"/>
        <w:outlineLvl w:val="2"/>
        <w:rPr>
          <w:b/>
          <w:bCs/>
          <w:color w:val="auto"/>
          <w:sz w:val="32"/>
          <w:szCs w:val="32"/>
          <w:highlight w:val="none"/>
        </w:rPr>
      </w:pPr>
      <w:bookmarkStart w:id="987" w:name="_Toc78449839"/>
      <w:bookmarkStart w:id="988" w:name="_Toc1681900246"/>
      <w:bookmarkStart w:id="989" w:name="_Toc407135253"/>
      <w:bookmarkStart w:id="990" w:name="_Toc1338560546"/>
      <w:r>
        <w:rPr>
          <w:b/>
          <w:bCs/>
          <w:color w:val="auto"/>
          <w:sz w:val="32"/>
          <w:szCs w:val="32"/>
          <w:highlight w:val="none"/>
        </w:rPr>
        <w:t xml:space="preserve">12.2 </w:t>
      </w:r>
      <w:r>
        <w:rPr>
          <w:rFonts w:hint="eastAsia" w:hAnsi="宋体" w:cs="黑体"/>
          <w:b/>
          <w:bCs/>
          <w:color w:val="auto"/>
          <w:sz w:val="32"/>
          <w:szCs w:val="32"/>
          <w:highlight w:val="none"/>
        </w:rPr>
        <w:t>预付款</w:t>
      </w:r>
      <w:bookmarkEnd w:id="968"/>
      <w:bookmarkEnd w:id="969"/>
      <w:bookmarkEnd w:id="970"/>
      <w:bookmarkEnd w:id="987"/>
      <w:bookmarkEnd w:id="988"/>
      <w:bookmarkEnd w:id="989"/>
      <w:bookmarkEnd w:id="990"/>
    </w:p>
    <w:bookmarkEnd w:id="971"/>
    <w:bookmarkEnd w:id="972"/>
    <w:bookmarkEnd w:id="973"/>
    <w:bookmarkEnd w:id="974"/>
    <w:bookmarkEnd w:id="975"/>
    <w:bookmarkEnd w:id="976"/>
    <w:p w14:paraId="4A918E04">
      <w:pPr>
        <w:spacing w:line="360" w:lineRule="auto"/>
        <w:ind w:firstLine="420" w:firstLineChars="200"/>
        <w:jc w:val="left"/>
        <w:rPr>
          <w:color w:val="auto"/>
          <w:highlight w:val="none"/>
        </w:rPr>
      </w:pPr>
      <w:r>
        <w:rPr>
          <w:color w:val="auto"/>
          <w:highlight w:val="none"/>
        </w:rPr>
        <w:t xml:space="preserve">12.2.1 </w:t>
      </w:r>
      <w:r>
        <w:rPr>
          <w:rFonts w:hint="eastAsia" w:hAnsi="宋体" w:cs="宋体"/>
          <w:color w:val="auto"/>
          <w:highlight w:val="none"/>
        </w:rPr>
        <w:t>预付款的支付</w:t>
      </w:r>
    </w:p>
    <w:p w14:paraId="0E71B63F">
      <w:pPr>
        <w:spacing w:line="360" w:lineRule="auto"/>
        <w:ind w:firstLine="420" w:firstLineChars="200"/>
        <w:jc w:val="left"/>
        <w:rPr>
          <w:color w:val="auto"/>
          <w:highlight w:val="none"/>
        </w:rPr>
      </w:pPr>
      <w:r>
        <w:rPr>
          <w:rFonts w:hint="eastAsia" w:hAnsi="宋体" w:cs="宋体"/>
          <w:color w:val="auto"/>
          <w:highlight w:val="none"/>
        </w:rPr>
        <w:t>预付款支付比例或金额：</w:t>
      </w:r>
      <w:r>
        <w:rPr>
          <w:rFonts w:hint="eastAsia" w:ascii="宋体" w:hAnsi="宋体"/>
          <w:color w:val="auto"/>
          <w:szCs w:val="21"/>
          <w:highlight w:val="none"/>
          <w:u w:val="single"/>
        </w:rPr>
        <w:t>合同价款（扣除暂列金额）的</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w:t>
      </w:r>
    </w:p>
    <w:p w14:paraId="2A27D4A8">
      <w:pPr>
        <w:spacing w:line="360" w:lineRule="auto"/>
        <w:ind w:firstLine="420" w:firstLineChars="200"/>
        <w:jc w:val="left"/>
        <w:rPr>
          <w:color w:val="auto"/>
          <w:highlight w:val="none"/>
        </w:rPr>
      </w:pPr>
      <w:r>
        <w:rPr>
          <w:rFonts w:hint="eastAsia" w:hAnsi="宋体" w:cs="宋体"/>
          <w:color w:val="auto"/>
          <w:highlight w:val="none"/>
        </w:rPr>
        <w:t>预付款支付期限：</w:t>
      </w:r>
      <w:r>
        <w:rPr>
          <w:rFonts w:hint="eastAsia" w:hAnsi="宋体" w:cs="宋体"/>
          <w:color w:val="auto"/>
          <w:highlight w:val="none"/>
          <w:u w:val="single"/>
        </w:rPr>
        <w:t>视资金到位情况拨付</w:t>
      </w:r>
      <w:r>
        <w:rPr>
          <w:rFonts w:hint="eastAsia"/>
          <w:color w:val="auto"/>
          <w:highlight w:val="none"/>
          <w:u w:val="single"/>
        </w:rPr>
        <w:t>。</w:t>
      </w:r>
    </w:p>
    <w:p w14:paraId="78348122">
      <w:pPr>
        <w:spacing w:line="360" w:lineRule="auto"/>
        <w:ind w:firstLine="420" w:firstLineChars="200"/>
        <w:jc w:val="left"/>
        <w:rPr>
          <w:color w:val="auto"/>
          <w:highlight w:val="none"/>
        </w:rPr>
      </w:pPr>
      <w:r>
        <w:rPr>
          <w:rFonts w:hint="eastAsia" w:hAnsi="宋体" w:cs="宋体"/>
          <w:color w:val="auto"/>
          <w:highlight w:val="none"/>
        </w:rPr>
        <w:t>预付款扣回的方式：</w:t>
      </w:r>
      <w:r>
        <w:rPr>
          <w:rFonts w:hint="eastAsia"/>
          <w:color w:val="auto"/>
          <w:highlight w:val="none"/>
          <w:u w:val="single"/>
        </w:rPr>
        <w:t>在项目工程进度产值达到合同总价30%后的下一期开始扣回，每次扣除预付款的50%，扣完为止直到累计支付签约合同价的 80%前扣清</w:t>
      </w:r>
      <w:r>
        <w:rPr>
          <w:rFonts w:hint="eastAsia" w:hAnsi="宋体" w:cs="宋体"/>
          <w:color w:val="auto"/>
          <w:highlight w:val="none"/>
        </w:rPr>
        <w:t>。</w:t>
      </w:r>
    </w:p>
    <w:p w14:paraId="4DA22B2A">
      <w:pPr>
        <w:spacing w:line="360" w:lineRule="auto"/>
        <w:ind w:firstLine="420" w:firstLineChars="200"/>
        <w:jc w:val="left"/>
        <w:rPr>
          <w:color w:val="auto"/>
          <w:highlight w:val="none"/>
        </w:rPr>
      </w:pPr>
      <w:r>
        <w:rPr>
          <w:color w:val="auto"/>
          <w:highlight w:val="none"/>
        </w:rPr>
        <w:t xml:space="preserve">12.2.2 </w:t>
      </w:r>
      <w:r>
        <w:rPr>
          <w:rFonts w:hint="eastAsia" w:hAnsi="宋体" w:cs="宋体"/>
          <w:color w:val="auto"/>
          <w:highlight w:val="none"/>
        </w:rPr>
        <w:t>预付款担保</w:t>
      </w:r>
    </w:p>
    <w:p w14:paraId="472ACC33">
      <w:pPr>
        <w:spacing w:line="360" w:lineRule="auto"/>
        <w:ind w:firstLine="420" w:firstLineChars="200"/>
        <w:jc w:val="left"/>
        <w:rPr>
          <w:color w:val="auto"/>
          <w:highlight w:val="none"/>
        </w:rPr>
      </w:pPr>
      <w:r>
        <w:rPr>
          <w:rFonts w:hint="eastAsia" w:hAnsi="宋体" w:cs="宋体"/>
          <w:color w:val="auto"/>
          <w:highlight w:val="none"/>
        </w:rPr>
        <w:t>承包人提交预付款担保的期限：</w:t>
      </w:r>
      <w:r>
        <w:rPr>
          <w:rFonts w:hint="eastAsia"/>
          <w:color w:val="auto"/>
          <w:highlight w:val="none"/>
          <w:u w:val="single"/>
        </w:rPr>
        <w:t>/</w:t>
      </w:r>
      <w:r>
        <w:rPr>
          <w:rFonts w:hint="eastAsia" w:hAnsi="宋体" w:cs="宋体"/>
          <w:color w:val="auto"/>
          <w:highlight w:val="none"/>
        </w:rPr>
        <w:t>。</w:t>
      </w:r>
    </w:p>
    <w:p w14:paraId="05AD9D33">
      <w:pPr>
        <w:spacing w:line="360" w:lineRule="auto"/>
        <w:ind w:firstLine="420" w:firstLineChars="200"/>
        <w:jc w:val="left"/>
        <w:rPr>
          <w:rFonts w:hAnsi="宋体" w:cs="宋体"/>
          <w:color w:val="auto"/>
          <w:highlight w:val="none"/>
        </w:rPr>
      </w:pPr>
      <w:r>
        <w:rPr>
          <w:rFonts w:hint="eastAsia" w:hAnsi="宋体" w:cs="宋体"/>
          <w:color w:val="auto"/>
          <w:highlight w:val="none"/>
        </w:rPr>
        <w:t>预付款担保的形式为：</w:t>
      </w:r>
      <w:r>
        <w:rPr>
          <w:rFonts w:hint="eastAsia"/>
          <w:color w:val="auto"/>
          <w:highlight w:val="none"/>
        </w:rPr>
        <w:t>可以是</w:t>
      </w:r>
      <w:r>
        <w:rPr>
          <w:rFonts w:hint="eastAsia" w:hAnsi="宋体" w:cs="宋体"/>
          <w:color w:val="auto"/>
          <w:highlight w:val="none"/>
        </w:rPr>
        <w:t>银行转账、电汇或网上支付、保函（银行保函、电子保函、保证保险保函、工程担保保函）等形式。工程担保保证人应将出具的保函相关信息录入“广西建筑市场监管云”平台（http://gxjzsc.caihcloud.com），以实现保函查询及验真功能。</w:t>
      </w:r>
    </w:p>
    <w:bookmarkEnd w:id="977"/>
    <w:bookmarkEnd w:id="978"/>
    <w:bookmarkEnd w:id="979"/>
    <w:bookmarkEnd w:id="980"/>
    <w:bookmarkEnd w:id="981"/>
    <w:bookmarkEnd w:id="982"/>
    <w:bookmarkEnd w:id="983"/>
    <w:bookmarkEnd w:id="984"/>
    <w:bookmarkEnd w:id="985"/>
    <w:bookmarkEnd w:id="986"/>
    <w:p w14:paraId="31F274C7">
      <w:pPr>
        <w:keepNext/>
        <w:keepLines/>
        <w:spacing w:line="600" w:lineRule="exact"/>
        <w:ind w:firstLine="643" w:firstLineChars="200"/>
        <w:outlineLvl w:val="2"/>
        <w:rPr>
          <w:b/>
          <w:bCs/>
          <w:color w:val="auto"/>
          <w:sz w:val="32"/>
          <w:szCs w:val="32"/>
          <w:highlight w:val="none"/>
        </w:rPr>
      </w:pPr>
      <w:bookmarkStart w:id="991" w:name="_Toc78449840"/>
      <w:bookmarkStart w:id="992" w:name="_Toc1494831447"/>
      <w:bookmarkStart w:id="993" w:name="_Toc373478398"/>
      <w:bookmarkStart w:id="994" w:name="_Toc407135254"/>
      <w:bookmarkStart w:id="995" w:name="_Toc1307224940"/>
      <w:bookmarkStart w:id="996" w:name="_Toc373227751"/>
      <w:bookmarkStart w:id="997" w:name="_Toc389065316"/>
      <w:r>
        <w:rPr>
          <w:b/>
          <w:bCs/>
          <w:color w:val="auto"/>
          <w:sz w:val="32"/>
          <w:szCs w:val="32"/>
          <w:highlight w:val="none"/>
        </w:rPr>
        <w:t xml:space="preserve">12.3 </w:t>
      </w:r>
      <w:r>
        <w:rPr>
          <w:rFonts w:hint="eastAsia" w:hAnsi="宋体" w:cs="黑体"/>
          <w:b/>
          <w:bCs/>
          <w:color w:val="auto"/>
          <w:sz w:val="32"/>
          <w:szCs w:val="32"/>
          <w:highlight w:val="none"/>
        </w:rPr>
        <w:t>计量</w:t>
      </w:r>
      <w:bookmarkEnd w:id="991"/>
      <w:bookmarkEnd w:id="992"/>
      <w:bookmarkEnd w:id="993"/>
      <w:bookmarkEnd w:id="994"/>
      <w:bookmarkEnd w:id="995"/>
      <w:bookmarkEnd w:id="996"/>
      <w:bookmarkEnd w:id="997"/>
    </w:p>
    <w:p w14:paraId="134385E4">
      <w:pPr>
        <w:spacing w:line="360" w:lineRule="auto"/>
        <w:ind w:firstLine="420" w:firstLineChars="200"/>
        <w:jc w:val="left"/>
        <w:rPr>
          <w:color w:val="auto"/>
          <w:highlight w:val="none"/>
        </w:rPr>
      </w:pPr>
      <w:r>
        <w:rPr>
          <w:color w:val="auto"/>
          <w:highlight w:val="none"/>
        </w:rPr>
        <w:t xml:space="preserve">12.3.1 </w:t>
      </w:r>
      <w:r>
        <w:rPr>
          <w:rFonts w:hint="eastAsia" w:hAnsi="宋体" w:cs="宋体"/>
          <w:color w:val="auto"/>
          <w:highlight w:val="none"/>
        </w:rPr>
        <w:t>计量原则</w:t>
      </w:r>
    </w:p>
    <w:p w14:paraId="5B4E15E0">
      <w:pPr>
        <w:spacing w:line="360" w:lineRule="auto"/>
        <w:ind w:firstLine="420" w:firstLineChars="200"/>
        <w:jc w:val="left"/>
        <w:rPr>
          <w:color w:val="auto"/>
          <w:highlight w:val="none"/>
        </w:rPr>
      </w:pPr>
      <w:r>
        <w:rPr>
          <w:rFonts w:hint="eastAsia" w:hAnsi="宋体" w:cs="宋体"/>
          <w:color w:val="auto"/>
          <w:highlight w:val="none"/>
        </w:rPr>
        <w:t>工程量计算规则：</w:t>
      </w:r>
      <w:r>
        <w:rPr>
          <w:rFonts w:hint="eastAsia" w:hAnsi="宋体" w:cs="宋体"/>
          <w:color w:val="auto"/>
          <w:highlight w:val="none"/>
          <w:u w:val="single"/>
        </w:rPr>
        <w:t>工程的计量均以《建设工程工程量清单计价规范》（</w:t>
      </w:r>
      <w:r>
        <w:rPr>
          <w:color w:val="auto"/>
          <w:highlight w:val="none"/>
          <w:u w:val="single"/>
        </w:rPr>
        <w:t>GB50500</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）及广西壮族自治区实施细则、《建设工程工程量清单计算规范》（</w:t>
      </w:r>
      <w:r>
        <w:rPr>
          <w:color w:val="auto"/>
          <w:highlight w:val="none"/>
          <w:u w:val="single"/>
        </w:rPr>
        <w:t>GB50854~50862</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）及广西实施细则、本工程补充项目清单为准。</w:t>
      </w:r>
    </w:p>
    <w:p w14:paraId="299BB6C1">
      <w:pPr>
        <w:spacing w:line="360" w:lineRule="auto"/>
        <w:ind w:firstLine="420" w:firstLineChars="200"/>
        <w:jc w:val="left"/>
        <w:rPr>
          <w:color w:val="auto"/>
          <w:highlight w:val="none"/>
        </w:rPr>
      </w:pPr>
      <w:r>
        <w:rPr>
          <w:color w:val="auto"/>
          <w:highlight w:val="none"/>
        </w:rPr>
        <w:t xml:space="preserve">12.3.2 </w:t>
      </w:r>
      <w:r>
        <w:rPr>
          <w:rFonts w:hint="eastAsia" w:hAnsi="宋体" w:cs="宋体"/>
          <w:color w:val="auto"/>
          <w:highlight w:val="none"/>
        </w:rPr>
        <w:t>计量周期</w:t>
      </w:r>
    </w:p>
    <w:p w14:paraId="7C5183BC">
      <w:pPr>
        <w:spacing w:line="360" w:lineRule="auto"/>
        <w:ind w:firstLine="420" w:firstLineChars="200"/>
        <w:jc w:val="left"/>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每月</w:t>
      </w:r>
      <w:r>
        <w:rPr>
          <w:color w:val="auto"/>
          <w:highlight w:val="none"/>
          <w:u w:val="single"/>
        </w:rPr>
        <w:t>25</w:t>
      </w:r>
      <w:r>
        <w:rPr>
          <w:rFonts w:hint="eastAsia" w:hAnsi="宋体" w:cs="宋体"/>
          <w:color w:val="auto"/>
          <w:highlight w:val="none"/>
          <w:u w:val="single"/>
        </w:rPr>
        <w:t>日前</w:t>
      </w:r>
      <w:r>
        <w:rPr>
          <w:rFonts w:hint="eastAsia" w:hAnsi="宋体" w:cs="宋体"/>
          <w:color w:val="auto"/>
          <w:highlight w:val="none"/>
        </w:rPr>
        <w:t>。</w:t>
      </w:r>
    </w:p>
    <w:p w14:paraId="71A3516A">
      <w:pPr>
        <w:spacing w:line="360" w:lineRule="auto"/>
        <w:ind w:firstLine="420" w:firstLineChars="200"/>
        <w:jc w:val="left"/>
        <w:outlineLvl w:val="0"/>
        <w:rPr>
          <w:color w:val="auto"/>
          <w:highlight w:val="none"/>
        </w:rPr>
      </w:pPr>
      <w:r>
        <w:rPr>
          <w:color w:val="auto"/>
          <w:highlight w:val="none"/>
        </w:rPr>
        <w:t xml:space="preserve">12.3.3 </w:t>
      </w:r>
      <w:r>
        <w:rPr>
          <w:rFonts w:hint="eastAsia" w:hAnsi="宋体" w:cs="宋体"/>
          <w:color w:val="auto"/>
          <w:highlight w:val="none"/>
        </w:rPr>
        <w:t>单价合同的计量</w:t>
      </w:r>
    </w:p>
    <w:p w14:paraId="57B45C02">
      <w:pPr>
        <w:spacing w:line="360" w:lineRule="auto"/>
        <w:ind w:firstLine="420" w:firstLineChars="200"/>
        <w:jc w:val="left"/>
        <w:rPr>
          <w:color w:val="auto"/>
          <w:highlight w:val="none"/>
        </w:rPr>
      </w:pPr>
      <w:r>
        <w:rPr>
          <w:rFonts w:hint="eastAsia" w:hAnsi="宋体" w:cs="宋体"/>
          <w:color w:val="auto"/>
          <w:highlight w:val="none"/>
        </w:rPr>
        <w:t>关于单价合同计量的约定：</w:t>
      </w:r>
    </w:p>
    <w:p w14:paraId="72F39F94">
      <w:pPr>
        <w:spacing w:line="360" w:lineRule="auto"/>
        <w:ind w:firstLine="441" w:firstLineChars="210"/>
        <w:rPr>
          <w:color w:val="auto"/>
          <w:highlight w:val="none"/>
        </w:rPr>
      </w:pPr>
      <w:r>
        <w:rPr>
          <w:color w:val="auto"/>
          <w:highlight w:val="none"/>
        </w:rPr>
        <w:t xml:space="preserve">(1) </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338DED7B">
      <w:pPr>
        <w:spacing w:line="360" w:lineRule="auto"/>
        <w:ind w:firstLine="441" w:firstLineChars="210"/>
        <w:rPr>
          <w:color w:val="auto"/>
          <w:highlight w:val="none"/>
        </w:rPr>
      </w:pPr>
      <w:r>
        <w:rPr>
          <w:color w:val="auto"/>
          <w:highlight w:val="none"/>
        </w:rPr>
        <w:t xml:space="preserve">(2) </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148364B3">
      <w:pPr>
        <w:spacing w:line="360" w:lineRule="auto"/>
        <w:ind w:firstLine="420" w:firstLineChars="200"/>
        <w:jc w:val="left"/>
        <w:rPr>
          <w:color w:val="auto"/>
          <w:highlight w:val="none"/>
        </w:rPr>
      </w:pPr>
      <w:r>
        <w:rPr>
          <w:color w:val="auto"/>
          <w:highlight w:val="none"/>
        </w:rPr>
        <w:t xml:space="preserve">12.3.4 </w:t>
      </w:r>
      <w:r>
        <w:rPr>
          <w:rFonts w:hint="eastAsia" w:hAnsi="宋体" w:cs="宋体"/>
          <w:color w:val="auto"/>
          <w:highlight w:val="none"/>
        </w:rPr>
        <w:t>总价合同的计量</w:t>
      </w:r>
    </w:p>
    <w:p w14:paraId="5AC2EB7A">
      <w:pPr>
        <w:spacing w:line="360" w:lineRule="auto"/>
        <w:ind w:firstLine="420" w:firstLineChars="200"/>
        <w:jc w:val="left"/>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14:paraId="046BA98B">
      <w:pPr>
        <w:spacing w:line="360" w:lineRule="auto"/>
        <w:ind w:firstLine="420" w:firstLineChars="200"/>
        <w:jc w:val="left"/>
        <w:rPr>
          <w:color w:val="auto"/>
          <w:highlight w:val="none"/>
        </w:rPr>
      </w:pPr>
      <w:r>
        <w:rPr>
          <w:color w:val="auto"/>
          <w:highlight w:val="none"/>
        </w:rPr>
        <w:t xml:space="preserve">12.3.6 </w:t>
      </w:r>
      <w:r>
        <w:rPr>
          <w:rFonts w:hint="eastAsia" w:hAnsi="宋体" w:cs="宋体"/>
          <w:color w:val="auto"/>
          <w:highlight w:val="none"/>
        </w:rPr>
        <w:t>其他价格形式合同的计量</w:t>
      </w:r>
    </w:p>
    <w:p w14:paraId="7BA5E20B">
      <w:pPr>
        <w:spacing w:line="360" w:lineRule="auto"/>
        <w:ind w:firstLine="420" w:firstLineChars="200"/>
        <w:jc w:val="left"/>
        <w:rPr>
          <w:color w:val="auto"/>
          <w:highlight w:val="none"/>
          <w:u w:val="single"/>
        </w:rPr>
      </w:pPr>
      <w:r>
        <w:rPr>
          <w:rFonts w:hint="eastAsia" w:hAnsi="宋体" w:cs="宋体"/>
          <w:color w:val="auto"/>
          <w:highlight w:val="none"/>
        </w:rPr>
        <w:t>其他价格形式的计量方式和程序：</w:t>
      </w:r>
      <w:r>
        <w:rPr>
          <w:rFonts w:hint="eastAsia"/>
          <w:color w:val="auto"/>
          <w:highlight w:val="none"/>
          <w:u w:val="single"/>
        </w:rPr>
        <w:t>/</w:t>
      </w:r>
      <w:r>
        <w:rPr>
          <w:rFonts w:hint="eastAsia" w:hAnsi="宋体" w:cs="宋体"/>
          <w:color w:val="auto"/>
          <w:highlight w:val="none"/>
        </w:rPr>
        <w:t>。</w:t>
      </w:r>
    </w:p>
    <w:p w14:paraId="10B8065A">
      <w:pPr>
        <w:keepNext/>
        <w:keepLines/>
        <w:spacing w:line="600" w:lineRule="exact"/>
        <w:ind w:firstLine="643" w:firstLineChars="200"/>
        <w:outlineLvl w:val="2"/>
        <w:rPr>
          <w:b/>
          <w:bCs/>
          <w:color w:val="auto"/>
          <w:sz w:val="32"/>
          <w:szCs w:val="32"/>
          <w:highlight w:val="none"/>
        </w:rPr>
      </w:pPr>
      <w:bookmarkStart w:id="998" w:name="_Toc78449841"/>
      <w:bookmarkStart w:id="999" w:name="_Toc1155368667"/>
      <w:bookmarkStart w:id="1000" w:name="_Toc373478399"/>
      <w:bookmarkStart w:id="1001" w:name="_Toc1711431123"/>
      <w:bookmarkStart w:id="1002" w:name="_Toc407135255"/>
      <w:bookmarkStart w:id="1003" w:name="_Toc373227752"/>
      <w:bookmarkStart w:id="1004" w:name="_Toc389065317"/>
      <w:r>
        <w:rPr>
          <w:b/>
          <w:bCs/>
          <w:color w:val="auto"/>
          <w:sz w:val="32"/>
          <w:szCs w:val="32"/>
          <w:highlight w:val="none"/>
        </w:rPr>
        <w:t xml:space="preserve">12.4 </w:t>
      </w:r>
      <w:r>
        <w:rPr>
          <w:rFonts w:hint="eastAsia" w:cs="黑体"/>
          <w:b/>
          <w:bCs/>
          <w:color w:val="auto"/>
          <w:sz w:val="32"/>
          <w:szCs w:val="32"/>
          <w:highlight w:val="none"/>
        </w:rPr>
        <w:t>工程进度款支付</w:t>
      </w:r>
      <w:bookmarkEnd w:id="998"/>
      <w:bookmarkEnd w:id="999"/>
      <w:bookmarkEnd w:id="1000"/>
      <w:bookmarkEnd w:id="1001"/>
      <w:bookmarkEnd w:id="1002"/>
      <w:bookmarkEnd w:id="1003"/>
      <w:bookmarkEnd w:id="1004"/>
    </w:p>
    <w:p w14:paraId="3EAFA540">
      <w:pPr>
        <w:spacing w:line="360" w:lineRule="auto"/>
        <w:ind w:firstLine="420" w:firstLineChars="200"/>
        <w:jc w:val="left"/>
        <w:rPr>
          <w:color w:val="auto"/>
          <w:highlight w:val="none"/>
        </w:rPr>
      </w:pPr>
      <w:bookmarkStart w:id="1005" w:name="_Toc297123556"/>
      <w:bookmarkStart w:id="1006" w:name="_Toc292559416"/>
      <w:bookmarkStart w:id="1007" w:name="_Toc297216215"/>
      <w:bookmarkStart w:id="1008" w:name="_Toc296891251"/>
      <w:bookmarkStart w:id="1009" w:name="_Toc296346712"/>
      <w:bookmarkStart w:id="1010" w:name="_Toc303539163"/>
      <w:bookmarkStart w:id="1011" w:name="_Toc296891039"/>
      <w:bookmarkStart w:id="1012" w:name="_Toc296347210"/>
      <w:bookmarkStart w:id="1013" w:name="_Toc296503211"/>
      <w:bookmarkStart w:id="1014" w:name="_Toc296944550"/>
      <w:bookmarkStart w:id="1015" w:name="_Toc300935006"/>
      <w:bookmarkStart w:id="1016" w:name="_Toc297048397"/>
      <w:bookmarkStart w:id="1017" w:name="_Toc292559921"/>
      <w:bookmarkStart w:id="1018" w:name="_Toc297120511"/>
      <w:r>
        <w:rPr>
          <w:color w:val="auto"/>
          <w:highlight w:val="none"/>
        </w:rPr>
        <w:t xml:space="preserve">12.4.1 </w:t>
      </w:r>
      <w:r>
        <w:rPr>
          <w:rFonts w:hint="eastAsia" w:hAnsi="宋体" w:cs="宋体"/>
          <w:color w:val="auto"/>
          <w:highlight w:val="none"/>
        </w:rPr>
        <w:t>付款周期</w:t>
      </w:r>
    </w:p>
    <w:p w14:paraId="7157DBD7">
      <w:pPr>
        <w:numPr>
          <w:ilvl w:val="0"/>
          <w:numId w:val="0"/>
        </w:numPr>
        <w:spacing w:line="360" w:lineRule="auto"/>
        <w:ind w:firstLine="420" w:firstLineChars="200"/>
        <w:jc w:val="left"/>
        <w:rPr>
          <w:color w:val="auto"/>
          <w:highlight w:val="none"/>
        </w:rPr>
      </w:pPr>
      <w:r>
        <w:rPr>
          <w:color w:val="auto"/>
          <w:highlight w:val="none"/>
        </w:rPr>
        <w:t>本工程自签订施工合同进场后，施工方可向业主申请合同金额的30% 工程预付款。本工程随工程进度支付进度款，所有工程款支付均视资金到位情况拨付，合同内进度款支付限额为已完成工程量的80%。合同外增加或变更部分由审核结算第三方审定后与结算款一起拨付。工程竣工验收后支付至合同价的80%(含已支付),工程结算经审定后，工程款支付至结算总价的97%(含已支付)。发包人按工程价款结算总额的3好预留工程质量保证金，待工程保修期满后，建设单位确认无质量问题，财政资金下达靖西市教育局15个工作日内，建设单位一次性无息付清。</w:t>
      </w:r>
    </w:p>
    <w:p w14:paraId="32AB01FD">
      <w:pPr>
        <w:numPr>
          <w:ilvl w:val="0"/>
          <w:numId w:val="0"/>
        </w:numPr>
        <w:spacing w:line="360" w:lineRule="auto"/>
        <w:ind w:firstLine="420" w:firstLineChars="200"/>
        <w:jc w:val="left"/>
        <w:rPr>
          <w:color w:val="auto"/>
          <w:highlight w:val="none"/>
        </w:rPr>
      </w:pPr>
      <w:r>
        <w:rPr>
          <w:color w:val="auto"/>
          <w:highlight w:val="none"/>
        </w:rPr>
        <w:t xml:space="preserve">12.4.2 </w:t>
      </w:r>
      <w:r>
        <w:rPr>
          <w:rFonts w:hint="eastAsia" w:hAnsi="宋体" w:cs="宋体"/>
          <w:color w:val="auto"/>
          <w:highlight w:val="none"/>
        </w:rPr>
        <w:t>进度付款申请单的编制</w:t>
      </w:r>
    </w:p>
    <w:p w14:paraId="5FAB97CF">
      <w:pPr>
        <w:spacing w:line="360" w:lineRule="auto"/>
        <w:ind w:firstLine="420" w:firstLineChars="200"/>
        <w:jc w:val="left"/>
        <w:rPr>
          <w:color w:val="auto"/>
          <w:highlight w:val="none"/>
          <w:u w:val="single"/>
        </w:rPr>
      </w:pPr>
      <w:r>
        <w:rPr>
          <w:rFonts w:hint="eastAsia" w:hAnsi="宋体" w:cs="宋体"/>
          <w:color w:val="auto"/>
          <w:highlight w:val="none"/>
        </w:rPr>
        <w:t>关于进度付款申请单编制的约定：</w:t>
      </w:r>
      <w:r>
        <w:rPr>
          <w:rFonts w:hint="eastAsia" w:hAnsi="宋体" w:cs="宋体"/>
          <w:color w:val="auto"/>
          <w:highlight w:val="none"/>
          <w:u w:val="single"/>
        </w:rPr>
        <w:t>进度付款申请单承包人应在每个计量周期到期后的7天内向发包人提交已完工程进度款支付申请一式四份，详细说明此周期自己认为有权得到的款额，包括已完工程的价款。</w:t>
      </w:r>
    </w:p>
    <w:p w14:paraId="5281CA77">
      <w:pPr>
        <w:spacing w:line="360" w:lineRule="auto"/>
        <w:ind w:firstLine="420" w:firstLineChars="200"/>
        <w:jc w:val="left"/>
        <w:rPr>
          <w:color w:val="auto"/>
          <w:highlight w:val="none"/>
        </w:rPr>
      </w:pPr>
      <w:r>
        <w:rPr>
          <w:color w:val="auto"/>
          <w:highlight w:val="none"/>
        </w:rPr>
        <w:t>1</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r>
        <w:rPr>
          <w:color w:val="auto"/>
          <w:highlight w:val="none"/>
        </w:rPr>
        <w:t xml:space="preserve">2.4.3 </w:t>
      </w:r>
      <w:r>
        <w:rPr>
          <w:rFonts w:hint="eastAsia" w:hAnsi="宋体" w:cs="宋体"/>
          <w:color w:val="auto"/>
          <w:highlight w:val="none"/>
        </w:rPr>
        <w:t>进度付款申请单的提交</w:t>
      </w:r>
    </w:p>
    <w:p w14:paraId="5B9E5A03">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）单价合同进度付款申请单提交的约定：</w:t>
      </w:r>
      <w:r>
        <w:rPr>
          <w:rFonts w:hint="eastAsia" w:hAnsi="宋体" w:cs="宋体"/>
          <w:color w:val="auto"/>
          <w:highlight w:val="none"/>
          <w:u w:val="single"/>
        </w:rPr>
        <w:t>承包人应在每个计量周期到期后的7天内向发包人提交已完工程进度款支付申请一式四份，详 细说明此周期自己认为有权得到的款额，包括已完工程的价款，按有关规定编制</w:t>
      </w:r>
      <w:r>
        <w:rPr>
          <w:rFonts w:hint="eastAsia" w:hAnsi="宋体" w:cs="宋体"/>
          <w:color w:val="auto"/>
          <w:highlight w:val="none"/>
        </w:rPr>
        <w:t>。</w:t>
      </w:r>
    </w:p>
    <w:p w14:paraId="489457C6">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）总价合同进度付款申请单提交的约定：</w:t>
      </w:r>
      <w:r>
        <w:rPr>
          <w:rFonts w:hint="eastAsia"/>
          <w:color w:val="auto"/>
          <w:highlight w:val="none"/>
          <w:u w:val="single"/>
        </w:rPr>
        <w:t>/</w:t>
      </w:r>
      <w:r>
        <w:rPr>
          <w:rFonts w:hint="eastAsia" w:hAnsi="宋体" w:cs="宋体"/>
          <w:color w:val="auto"/>
          <w:highlight w:val="none"/>
        </w:rPr>
        <w:t>。</w:t>
      </w:r>
    </w:p>
    <w:p w14:paraId="6BBA5D2F">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3</w:t>
      </w:r>
      <w:r>
        <w:rPr>
          <w:rFonts w:hint="eastAsia" w:hAnsi="宋体" w:cs="宋体"/>
          <w:color w:val="auto"/>
          <w:highlight w:val="none"/>
        </w:rPr>
        <w:t>）其他价格形式合同进度付款申请单提交的约定：</w:t>
      </w:r>
      <w:r>
        <w:rPr>
          <w:rFonts w:hint="eastAsia"/>
          <w:color w:val="auto"/>
          <w:highlight w:val="none"/>
          <w:u w:val="single"/>
        </w:rPr>
        <w:t>/</w:t>
      </w:r>
      <w:r>
        <w:rPr>
          <w:rFonts w:hint="eastAsia" w:hAnsi="宋体" w:cs="宋体"/>
          <w:color w:val="auto"/>
          <w:highlight w:val="none"/>
        </w:rPr>
        <w:t>。</w:t>
      </w:r>
    </w:p>
    <w:p w14:paraId="3A60A409">
      <w:pPr>
        <w:spacing w:line="360" w:lineRule="auto"/>
        <w:ind w:firstLine="420" w:firstLineChars="200"/>
        <w:jc w:val="left"/>
        <w:rPr>
          <w:color w:val="auto"/>
          <w:highlight w:val="none"/>
        </w:rPr>
      </w:pPr>
      <w:r>
        <w:rPr>
          <w:color w:val="auto"/>
          <w:highlight w:val="none"/>
        </w:rPr>
        <w:t xml:space="preserve">12.4.4 </w:t>
      </w:r>
      <w:r>
        <w:rPr>
          <w:rFonts w:hint="eastAsia" w:hAnsi="宋体" w:cs="宋体"/>
          <w:color w:val="auto"/>
          <w:highlight w:val="none"/>
        </w:rPr>
        <w:t>进度款审核和支付</w:t>
      </w:r>
    </w:p>
    <w:p w14:paraId="202B4D8B">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）监理人审查并报送发包人的期限：</w:t>
      </w:r>
      <w:r>
        <w:rPr>
          <w:rFonts w:hint="eastAsia" w:ascii="宋体" w:hAnsi="宋体" w:cs="宋体"/>
          <w:color w:val="auto"/>
          <w:highlight w:val="none"/>
          <w:u w:val="single"/>
        </w:rPr>
        <w:t>按通用条款执行</w:t>
      </w:r>
      <w:r>
        <w:rPr>
          <w:rFonts w:hint="eastAsia" w:hAnsi="宋体" w:cs="宋体"/>
          <w:color w:val="auto"/>
          <w:highlight w:val="none"/>
        </w:rPr>
        <w:t>。</w:t>
      </w:r>
    </w:p>
    <w:p w14:paraId="42C0CAF7">
      <w:pPr>
        <w:spacing w:line="360" w:lineRule="auto"/>
        <w:ind w:firstLine="420" w:firstLineChars="200"/>
        <w:jc w:val="left"/>
        <w:rPr>
          <w:color w:val="auto"/>
          <w:highlight w:val="none"/>
          <w:u w:val="single"/>
        </w:rPr>
      </w:pPr>
      <w:r>
        <w:rPr>
          <w:rFonts w:hint="eastAsia" w:hAnsi="宋体" w:cs="宋体"/>
          <w:color w:val="auto"/>
          <w:highlight w:val="none"/>
        </w:rPr>
        <w:t>发包人完成审批并签发进度款支付证书的期限：</w:t>
      </w:r>
      <w:r>
        <w:rPr>
          <w:rFonts w:hint="eastAsia" w:ascii="宋体" w:hAnsi="宋体" w:cs="宋体"/>
          <w:color w:val="auto"/>
          <w:highlight w:val="none"/>
          <w:u w:val="single"/>
        </w:rPr>
        <w:t>按通用条款执行</w:t>
      </w:r>
      <w:r>
        <w:rPr>
          <w:rFonts w:hint="eastAsia" w:hAnsi="宋体" w:cs="宋体"/>
          <w:color w:val="auto"/>
          <w:highlight w:val="none"/>
        </w:rPr>
        <w:t>。</w:t>
      </w:r>
    </w:p>
    <w:p w14:paraId="6C66A7EB">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）发包人支付进度款的期限：</w:t>
      </w:r>
      <w:r>
        <w:rPr>
          <w:rFonts w:hint="eastAsia" w:ascii="宋体" w:hAnsi="宋体" w:cs="宋体"/>
          <w:color w:val="auto"/>
          <w:highlight w:val="none"/>
          <w:u w:val="single"/>
        </w:rPr>
        <w:t>按通用条款执行</w:t>
      </w:r>
      <w:r>
        <w:rPr>
          <w:rFonts w:hint="eastAsia" w:hAnsi="宋体" w:cs="宋体"/>
          <w:color w:val="auto"/>
          <w:highlight w:val="none"/>
        </w:rPr>
        <w:t>。</w:t>
      </w:r>
    </w:p>
    <w:p w14:paraId="593A438D">
      <w:pPr>
        <w:spacing w:line="360" w:lineRule="auto"/>
        <w:ind w:firstLine="525" w:firstLineChars="250"/>
        <w:jc w:val="left"/>
        <w:rPr>
          <w:color w:val="auto"/>
          <w:highlight w:val="none"/>
        </w:rPr>
      </w:pPr>
      <w:r>
        <w:rPr>
          <w:rFonts w:hint="eastAsia" w:hAnsi="宋体" w:cs="宋体"/>
          <w:color w:val="auto"/>
          <w:highlight w:val="none"/>
        </w:rPr>
        <w:t>发包人逾期支付进度款的违约金的计算方式：</w:t>
      </w:r>
      <w:r>
        <w:rPr>
          <w:rFonts w:hint="eastAsia" w:ascii="宋体" w:hAnsi="宋体" w:cs="宋体"/>
          <w:b/>
          <w:bCs/>
          <w:color w:val="auto"/>
          <w:szCs w:val="21"/>
          <w:highlight w:val="none"/>
          <w:u w:val="single"/>
          <w:lang w:val="en-US" w:eastAsia="zh-CN"/>
        </w:rPr>
        <w:t>/</w:t>
      </w:r>
      <w:r>
        <w:rPr>
          <w:rFonts w:hint="eastAsia" w:hAnsi="宋体" w:cs="宋体"/>
          <w:color w:val="auto"/>
          <w:highlight w:val="none"/>
        </w:rPr>
        <w:t>。</w:t>
      </w:r>
    </w:p>
    <w:p w14:paraId="105D1D7B">
      <w:pPr>
        <w:spacing w:line="360" w:lineRule="auto"/>
        <w:ind w:firstLine="630" w:firstLineChars="300"/>
        <w:rPr>
          <w:color w:val="auto"/>
          <w:highlight w:val="none"/>
        </w:rPr>
      </w:pPr>
      <w:r>
        <w:rPr>
          <w:rFonts w:hint="eastAsia" w:hAnsi="宋体" w:cs="宋体"/>
          <w:color w:val="auto"/>
          <w:highlight w:val="none"/>
        </w:rPr>
        <w:t>进度款支付方式：</w:t>
      </w:r>
      <w:r>
        <w:rPr>
          <w:rFonts w:hint="eastAsia" w:ascii="宋体" w:hAnsi="宋体" w:cs="宋体"/>
          <w:color w:val="auto"/>
          <w:szCs w:val="21"/>
          <w:highlight w:val="none"/>
          <w:u w:val="single"/>
        </w:rPr>
        <w:t>银行转账至本合同指定的承包人开户银行及账号内</w:t>
      </w:r>
      <w:r>
        <w:rPr>
          <w:rFonts w:hint="eastAsia"/>
          <w:color w:val="auto"/>
          <w:highlight w:val="none"/>
        </w:rPr>
        <w:t>。</w:t>
      </w:r>
    </w:p>
    <w:p w14:paraId="282FD097">
      <w:pPr>
        <w:spacing w:line="400" w:lineRule="exact"/>
        <w:ind w:firstLine="420" w:firstLineChars="200"/>
        <w:jc w:val="left"/>
        <w:rPr>
          <w:rFonts w:ascii="宋体" w:hAnsi="宋体" w:cs="宋体"/>
          <w:color w:val="auto"/>
          <w:highlight w:val="none"/>
        </w:rPr>
      </w:pPr>
      <w:r>
        <w:rPr>
          <w:rFonts w:ascii="宋体" w:hAnsi="宋体" w:cs="宋体"/>
          <w:color w:val="auto"/>
          <w:highlight w:val="none"/>
        </w:rPr>
        <w:t>①</w:t>
      </w:r>
      <w:r>
        <w:rPr>
          <w:rFonts w:hint="eastAsia" w:ascii="宋体" w:hAnsi="宋体" w:cs="宋体"/>
          <w:color w:val="auto"/>
          <w:highlight w:val="none"/>
        </w:rPr>
        <w:t>承包人在发包人支付工程款前3日内提供有效的增值税发票给发包人，否则发包人有权拒付该笔工程款，所造成的责任由承包人负责承担。</w:t>
      </w:r>
    </w:p>
    <w:p w14:paraId="144BD9EB">
      <w:pPr>
        <w:spacing w:line="400" w:lineRule="exact"/>
        <w:ind w:firstLine="420" w:firstLineChars="200"/>
        <w:rPr>
          <w:rFonts w:ascii="宋体" w:hAnsi="宋体" w:cs="宋体"/>
          <w:color w:val="auto"/>
          <w:szCs w:val="22"/>
          <w:highlight w:val="none"/>
        </w:rPr>
      </w:pPr>
      <w:r>
        <w:rPr>
          <w:rFonts w:ascii="宋体" w:hAnsi="宋体" w:cs="宋体"/>
          <w:color w:val="auto"/>
          <w:highlight w:val="none"/>
        </w:rPr>
        <w:t>②</w:t>
      </w:r>
      <w:r>
        <w:rPr>
          <w:rFonts w:hint="eastAsia" w:ascii="宋体" w:hAnsi="宋体" w:cs="宋体"/>
          <w:color w:val="auto"/>
          <w:highlight w:val="none"/>
        </w:rPr>
        <w:t>当某章节中间计量（含工程变更）累计达到该章节总金额的90%时，该章节后续工程量暂停计量。</w:t>
      </w:r>
    </w:p>
    <w:p w14:paraId="467A2FDE">
      <w:pPr>
        <w:spacing w:line="400" w:lineRule="exact"/>
        <w:ind w:firstLine="420" w:firstLineChars="200"/>
        <w:rPr>
          <w:rFonts w:ascii="宋体" w:hAnsi="宋体" w:cs="宋体"/>
          <w:color w:val="auto"/>
          <w:szCs w:val="22"/>
          <w:highlight w:val="none"/>
        </w:rPr>
      </w:pPr>
      <w:r>
        <w:rPr>
          <w:rFonts w:ascii="宋体" w:hAnsi="宋体" w:cs="宋体"/>
          <w:color w:val="auto"/>
          <w:highlight w:val="none"/>
        </w:rPr>
        <w:t>③</w:t>
      </w:r>
      <w:r>
        <w:rPr>
          <w:rFonts w:hint="eastAsia" w:ascii="宋体" w:hAnsi="宋体" w:cs="宋体"/>
          <w:color w:val="auto"/>
          <w:highlight w:val="none"/>
        </w:rPr>
        <w:t>合同实施中对承包人处以的违约金/处罚不再退还给承包人。</w:t>
      </w:r>
    </w:p>
    <w:p w14:paraId="189773E1">
      <w:pPr>
        <w:spacing w:line="400" w:lineRule="exact"/>
        <w:ind w:firstLine="420" w:firstLineChars="200"/>
        <w:rPr>
          <w:rFonts w:ascii="宋体" w:hAnsi="宋体" w:cs="宋体"/>
          <w:color w:val="auto"/>
          <w:szCs w:val="22"/>
          <w:highlight w:val="none"/>
        </w:rPr>
      </w:pPr>
      <w:r>
        <w:rPr>
          <w:rFonts w:hint="eastAsia" w:ascii="宋体" w:hAnsi="宋体" w:cs="宋体"/>
          <w:color w:val="auto"/>
          <w:highlight w:val="none"/>
        </w:rPr>
        <w:t>④ 计量支付前提是要满足以下6项原则后方可给予计量：</w:t>
      </w:r>
    </w:p>
    <w:p w14:paraId="72DAE677">
      <w:pPr>
        <w:spacing w:line="400" w:lineRule="exact"/>
        <w:ind w:firstLine="420" w:firstLineChars="200"/>
        <w:rPr>
          <w:rFonts w:ascii="宋体" w:hAnsi="宋体" w:cs="宋体"/>
          <w:color w:val="auto"/>
          <w:szCs w:val="22"/>
          <w:highlight w:val="none"/>
        </w:rPr>
      </w:pPr>
      <w:r>
        <w:rPr>
          <w:rFonts w:hint="eastAsia" w:ascii="宋体" w:hAnsi="宋体" w:cs="宋体"/>
          <w:color w:val="auto"/>
          <w:highlight w:val="none"/>
        </w:rPr>
        <w:t>1）质量合格的工程。</w:t>
      </w:r>
    </w:p>
    <w:p w14:paraId="1853C6A4">
      <w:pPr>
        <w:spacing w:line="400" w:lineRule="exact"/>
        <w:ind w:firstLine="420" w:firstLineChars="200"/>
        <w:rPr>
          <w:rFonts w:ascii="宋体" w:hAnsi="宋体" w:cs="宋体"/>
          <w:color w:val="auto"/>
          <w:szCs w:val="22"/>
          <w:highlight w:val="none"/>
        </w:rPr>
      </w:pPr>
      <w:r>
        <w:rPr>
          <w:rFonts w:hint="eastAsia" w:ascii="宋体" w:hAnsi="宋体" w:cs="宋体"/>
          <w:color w:val="auto"/>
          <w:highlight w:val="none"/>
        </w:rPr>
        <w:t>2）隐蔽工程的计量再覆盖前应得到监理工程师、发包人检测和确认，否则不予计量；凡超过设计图纸所示或监理工程师指示的任何长度、面积或体积，都不予计量。</w:t>
      </w:r>
    </w:p>
    <w:p w14:paraId="11596F02">
      <w:pPr>
        <w:spacing w:line="400" w:lineRule="exact"/>
        <w:ind w:firstLine="420" w:firstLineChars="200"/>
        <w:rPr>
          <w:rFonts w:ascii="宋体" w:hAnsi="宋体" w:cs="宋体"/>
          <w:color w:val="auto"/>
          <w:szCs w:val="22"/>
          <w:highlight w:val="none"/>
        </w:rPr>
      </w:pPr>
      <w:r>
        <w:rPr>
          <w:rFonts w:hint="eastAsia" w:ascii="宋体" w:hAnsi="宋体" w:cs="宋体"/>
          <w:color w:val="auto"/>
          <w:highlight w:val="none"/>
        </w:rPr>
        <w:t>3）分项工程计量资料不全或提供虚假资料的不予计量。</w:t>
      </w:r>
    </w:p>
    <w:p w14:paraId="139128DC">
      <w:pPr>
        <w:spacing w:line="400" w:lineRule="exact"/>
        <w:ind w:firstLine="420" w:firstLineChars="200"/>
        <w:rPr>
          <w:rFonts w:ascii="宋体" w:hAnsi="宋体" w:cs="宋体"/>
          <w:color w:val="auto"/>
          <w:szCs w:val="22"/>
          <w:highlight w:val="none"/>
        </w:rPr>
      </w:pPr>
      <w:r>
        <w:rPr>
          <w:rFonts w:hint="eastAsia" w:ascii="宋体" w:hAnsi="宋体" w:cs="宋体"/>
          <w:color w:val="auto"/>
          <w:highlight w:val="none"/>
        </w:rPr>
        <w:t>4）变更工程计量必须完善工程变更手续方可计量。</w:t>
      </w:r>
    </w:p>
    <w:p w14:paraId="1560A1C9">
      <w:pPr>
        <w:spacing w:line="400" w:lineRule="exact"/>
        <w:ind w:firstLine="420" w:firstLineChars="200"/>
        <w:rPr>
          <w:rFonts w:ascii="宋体" w:hAnsi="宋体" w:cs="宋体"/>
          <w:color w:val="auto"/>
          <w:szCs w:val="22"/>
          <w:highlight w:val="none"/>
        </w:rPr>
      </w:pPr>
      <w:r>
        <w:rPr>
          <w:rFonts w:hint="eastAsia" w:ascii="宋体" w:hAnsi="宋体" w:cs="宋体"/>
          <w:color w:val="auto"/>
          <w:highlight w:val="none"/>
        </w:rPr>
        <w:t>5）计量资料必须通过监理审核、发包人审批后进行中间计量。</w:t>
      </w:r>
    </w:p>
    <w:p w14:paraId="126A0A8B">
      <w:pPr>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6）已经计量支付的工程项目，如发现因承包人责任造成质量缺陷或发生质量事故，发包人有权扣回该项目已支付的款额，承包人应无偿返工并承担相应的责任，发包人将视其情节轻重和造成损失的程度，有权按本项目有关规定对相关违约单位及责任人进行违约处罚。</w:t>
      </w:r>
    </w:p>
    <w:p w14:paraId="37FD4453">
      <w:pPr>
        <w:rPr>
          <w:color w:val="auto"/>
          <w:highlight w:val="none"/>
        </w:rPr>
      </w:pPr>
    </w:p>
    <w:p w14:paraId="05865389">
      <w:pPr>
        <w:spacing w:line="360" w:lineRule="auto"/>
        <w:ind w:firstLine="525" w:firstLineChars="250"/>
        <w:jc w:val="left"/>
        <w:rPr>
          <w:rFonts w:hAnsi="宋体"/>
          <w:color w:val="auto"/>
          <w:highlight w:val="none"/>
        </w:rPr>
      </w:pPr>
      <w:r>
        <w:rPr>
          <w:rFonts w:hint="eastAsia" w:hAnsi="宋体"/>
          <w:color w:val="auto"/>
          <w:highlight w:val="none"/>
        </w:rPr>
        <w:t>（3）农民工工资支付</w:t>
      </w:r>
    </w:p>
    <w:p w14:paraId="7D59960E">
      <w:pPr>
        <w:spacing w:line="360" w:lineRule="auto"/>
        <w:ind w:firstLine="525" w:firstLineChars="250"/>
        <w:jc w:val="left"/>
        <w:rPr>
          <w:rFonts w:hAnsi="宋体" w:cs="宋体"/>
          <w:color w:val="auto"/>
          <w:kern w:val="0"/>
          <w:highlight w:val="none"/>
        </w:rPr>
      </w:pPr>
      <w:r>
        <w:rPr>
          <w:rFonts w:hint="eastAsia" w:hAnsi="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3A9C22F8">
      <w:pPr>
        <w:spacing w:line="360" w:lineRule="auto"/>
        <w:ind w:firstLine="525" w:firstLineChars="250"/>
        <w:jc w:val="left"/>
        <w:rPr>
          <w:rFonts w:hAnsi="宋体" w:cs="宋体"/>
          <w:color w:val="auto"/>
          <w:kern w:val="0"/>
          <w:highlight w:val="none"/>
        </w:rPr>
      </w:pPr>
      <w:r>
        <w:rPr>
          <w:rFonts w:hint="eastAsia" w:hAnsi="宋体" w:cs="宋体"/>
          <w:color w:val="auto"/>
          <w:kern w:val="0"/>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0D30B594">
      <w:pPr>
        <w:pStyle w:val="49"/>
        <w:spacing w:line="360" w:lineRule="exact"/>
        <w:ind w:firstLine="442"/>
        <w:rPr>
          <w:rFonts w:hAnsi="宋体" w:cs="宋体"/>
          <w:color w:val="auto"/>
          <w:kern w:val="0"/>
          <w:highlight w:val="none"/>
        </w:rPr>
      </w:pPr>
      <w:r>
        <w:rPr>
          <w:rFonts w:hint="eastAsia" w:ascii="Times New Roman"/>
          <w:color w:val="auto"/>
          <w:kern w:val="0"/>
          <w:sz w:val="21"/>
          <w:szCs w:val="24"/>
          <w:highlight w:val="none"/>
          <w:lang w:val="en-US" w:eastAsia="zh-CN" w:bidi="ar-SA"/>
        </w:rPr>
        <w:t>3）发包人依据工程进度，审核承包人申报的工程进度款，按照与承包人约定的人工费支付比例20 %（房建项目不少于20%，市政项目不少于15%），将人工费及时足额拨付至承包人的农民工工资专用账户，其余工程进度款项由发包人支付到承包人的单位基本户。</w:t>
      </w:r>
      <w:r>
        <w:rPr>
          <w:rFonts w:hint="eastAsia"/>
          <w:color w:val="auto"/>
          <w:sz w:val="21"/>
          <w:szCs w:val="21"/>
          <w:highlight w:val="none"/>
          <w:lang w:val="en-US" w:eastAsia="zh-CN"/>
        </w:rPr>
        <w:t>[</w:t>
      </w:r>
      <w:r>
        <w:rPr>
          <w:rFonts w:hint="eastAsia"/>
          <w:color w:val="auto"/>
          <w:sz w:val="21"/>
          <w:szCs w:val="21"/>
          <w:highlight w:val="none"/>
          <w:lang w:val="zh-CN" w:eastAsia="zh-CN"/>
        </w:rPr>
        <w:t>注：如是以工代赈的项目，每个项目按照不低于项目总造价20%的比例发放劳务报酬(其中脱贫劳动力劳务报酬不低于50%，具备条件的可提高劳务报酬资金占比）具体以政府文件为主。</w:t>
      </w:r>
      <w:r>
        <w:rPr>
          <w:rFonts w:hint="eastAsia"/>
          <w:color w:val="auto"/>
          <w:sz w:val="21"/>
          <w:szCs w:val="21"/>
          <w:highlight w:val="none"/>
          <w:lang w:val="en-US" w:eastAsia="zh-CN"/>
        </w:rPr>
        <w:t>]</w:t>
      </w:r>
    </w:p>
    <w:p w14:paraId="3504D8AA">
      <w:pPr>
        <w:spacing w:line="360" w:lineRule="auto"/>
        <w:ind w:firstLine="525" w:firstLineChars="250"/>
        <w:jc w:val="left"/>
        <w:rPr>
          <w:rFonts w:hAnsi="宋体" w:cs="宋体"/>
          <w:color w:val="auto"/>
          <w:kern w:val="0"/>
          <w:highlight w:val="none"/>
        </w:rPr>
      </w:pPr>
      <w:r>
        <w:rPr>
          <w:rFonts w:hint="eastAsia" w:hAnsi="宋体" w:cs="宋体"/>
          <w:color w:val="auto"/>
          <w:kern w:val="0"/>
          <w:highlight w:val="none"/>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7D377C0C">
      <w:pPr>
        <w:spacing w:line="360" w:lineRule="auto"/>
        <w:ind w:firstLine="525" w:firstLineChars="250"/>
        <w:jc w:val="left"/>
        <w:rPr>
          <w:rFonts w:hAnsi="宋体" w:cs="宋体"/>
          <w:color w:val="auto"/>
          <w:kern w:val="0"/>
          <w:highlight w:val="none"/>
        </w:rPr>
      </w:pPr>
      <w:r>
        <w:rPr>
          <w:rFonts w:hint="eastAsia" w:hAnsi="宋体" w:cs="宋体"/>
          <w:color w:val="auto"/>
          <w:kern w:val="0"/>
          <w:highlight w:val="none"/>
        </w:rPr>
        <w:t>5）凡未向付款单位提供农民工工资专用账户的，或者请款单位在申请工程进度款时未将人工费单列的，付款单位有权拒绝支付工程进度款。</w:t>
      </w:r>
    </w:p>
    <w:p w14:paraId="19333196">
      <w:pPr>
        <w:spacing w:line="360" w:lineRule="auto"/>
        <w:ind w:firstLine="525" w:firstLineChars="250"/>
        <w:jc w:val="left"/>
        <w:rPr>
          <w:rFonts w:hAnsi="宋体" w:cs="宋体"/>
          <w:color w:val="auto"/>
          <w:kern w:val="0"/>
          <w:highlight w:val="none"/>
        </w:rPr>
      </w:pPr>
      <w:r>
        <w:rPr>
          <w:rFonts w:hint="eastAsia" w:hAnsi="宋体" w:cs="宋体"/>
          <w:color w:val="auto"/>
          <w:kern w:val="0"/>
          <w:highlight w:val="none"/>
        </w:rPr>
        <w:t>6）人工费使用要求：专款专用，除发放农民工工资外，不得用于其他用途。</w:t>
      </w:r>
    </w:p>
    <w:p w14:paraId="23C74FC1">
      <w:pPr>
        <w:spacing w:line="360" w:lineRule="auto"/>
        <w:ind w:firstLine="525" w:firstLineChars="250"/>
        <w:jc w:val="left"/>
        <w:rPr>
          <w:rFonts w:hAnsi="宋体" w:cs="宋体"/>
          <w:color w:val="auto"/>
          <w:kern w:val="0"/>
          <w:highlight w:val="none"/>
        </w:rPr>
      </w:pPr>
      <w:r>
        <w:rPr>
          <w:rFonts w:hint="eastAsia" w:hAnsi="宋体" w:cs="宋体"/>
          <w:color w:val="auto"/>
          <w:kern w:val="0"/>
          <w:highlight w:val="none"/>
        </w:rPr>
        <w:t>7）承包人将人工费支付情况定期报告发包人和监理单位，并提供相应的材料接受建设行政主管部门和劳动保障行政主管部门对此事项监管。</w:t>
      </w:r>
    </w:p>
    <w:p w14:paraId="02A6B21F">
      <w:pPr>
        <w:autoSpaceDE w:val="0"/>
        <w:autoSpaceDN w:val="0"/>
        <w:adjustRightInd w:val="0"/>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8）人工费支付专用账户：××××公司农民工工资支付专用账户。账号：</w:t>
      </w:r>
      <w:r>
        <w:rPr>
          <w:rFonts w:hAnsi="宋体" w:cs="宋体"/>
          <w:color w:val="auto"/>
          <w:kern w:val="0"/>
          <w:highlight w:val="none"/>
        </w:rPr>
        <w:t>。</w:t>
      </w:r>
    </w:p>
    <w:p w14:paraId="3FE5B5F6">
      <w:pPr>
        <w:spacing w:line="360" w:lineRule="auto"/>
        <w:ind w:firstLine="525" w:firstLineChars="250"/>
        <w:jc w:val="left"/>
        <w:rPr>
          <w:rFonts w:hAnsi="宋体"/>
          <w:color w:val="auto"/>
          <w:highlight w:val="none"/>
        </w:rPr>
      </w:pPr>
      <w:r>
        <w:rPr>
          <w:color w:val="auto"/>
          <w:highlight w:val="none"/>
        </w:rPr>
        <w:t xml:space="preserve">12.4.6 </w:t>
      </w:r>
      <w:r>
        <w:rPr>
          <w:rFonts w:hint="eastAsia" w:hAnsi="宋体" w:cs="宋体"/>
          <w:color w:val="auto"/>
          <w:highlight w:val="none"/>
        </w:rPr>
        <w:t>支付分解表的编制</w:t>
      </w:r>
    </w:p>
    <w:p w14:paraId="5D311565">
      <w:pPr>
        <w:spacing w:line="360" w:lineRule="auto"/>
        <w:ind w:firstLine="525" w:firstLineChars="250"/>
        <w:jc w:val="left"/>
        <w:rPr>
          <w:color w:val="auto"/>
          <w:highlight w:val="none"/>
          <w:u w:val="single"/>
        </w:rPr>
      </w:pPr>
      <w:r>
        <w:rPr>
          <w:rFonts w:hint="eastAsia"/>
          <w:color w:val="auto"/>
          <w:highlight w:val="none"/>
        </w:rPr>
        <w:t>（</w:t>
      </w:r>
      <w:r>
        <w:rPr>
          <w:color w:val="auto"/>
          <w:highlight w:val="none"/>
        </w:rPr>
        <w:t>1</w:t>
      </w:r>
      <w:r>
        <w:rPr>
          <w:rFonts w:hint="eastAsia"/>
          <w:color w:val="auto"/>
          <w:highlight w:val="none"/>
        </w:rPr>
        <w:t>）</w:t>
      </w:r>
      <w:r>
        <w:rPr>
          <w:rFonts w:hint="eastAsia" w:hAnsi="宋体" w:cs="宋体"/>
          <w:color w:val="auto"/>
          <w:highlight w:val="none"/>
        </w:rPr>
        <w:t>总价合同支付分解表的编制与审批：</w:t>
      </w:r>
      <w:r>
        <w:rPr>
          <w:rFonts w:hint="eastAsia"/>
          <w:color w:val="auto"/>
          <w:highlight w:val="none"/>
          <w:u w:val="single"/>
        </w:rPr>
        <w:t>总价合同支付分分解表在招标完成后由发包人和承包人共同编制，发包人审批，并作为本合同内容。</w:t>
      </w:r>
    </w:p>
    <w:p w14:paraId="23F18C31">
      <w:pPr>
        <w:spacing w:line="360" w:lineRule="auto"/>
        <w:ind w:firstLine="525" w:firstLineChars="250"/>
        <w:jc w:val="left"/>
        <w:rPr>
          <w:color w:val="auto"/>
          <w:highlight w:val="none"/>
          <w:u w:val="single"/>
        </w:rPr>
      </w:pPr>
      <w:r>
        <w:rPr>
          <w:rFonts w:hint="eastAsia"/>
          <w:color w:val="auto"/>
          <w:highlight w:val="none"/>
        </w:rPr>
        <w:t>（2）</w:t>
      </w:r>
      <w:r>
        <w:rPr>
          <w:rFonts w:hint="eastAsia" w:hAnsi="宋体" w:cs="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s="宋体"/>
          <w:color w:val="auto"/>
          <w:highlight w:val="none"/>
        </w:rPr>
        <w:t>）广西壮族自治区实施细则》的规定执行。</w:t>
      </w:r>
    </w:p>
    <w:bookmarkEnd w:id="750"/>
    <w:p w14:paraId="35BF70B4">
      <w:pPr>
        <w:keepNext/>
        <w:keepLines/>
        <w:spacing w:before="260" w:after="260" w:line="413" w:lineRule="auto"/>
        <w:outlineLvl w:val="1"/>
        <w:rPr>
          <w:rFonts w:ascii="Arial" w:hAnsi="Arial" w:eastAsia="黑体"/>
          <w:b/>
          <w:bCs/>
          <w:color w:val="auto"/>
          <w:sz w:val="32"/>
          <w:szCs w:val="32"/>
          <w:highlight w:val="none"/>
        </w:rPr>
      </w:pPr>
      <w:bookmarkStart w:id="1019" w:name="_Toc389065318"/>
      <w:bookmarkStart w:id="1020" w:name="_Toc351203645"/>
      <w:bookmarkStart w:id="1021" w:name="_Toc373478400"/>
      <w:bookmarkStart w:id="1022" w:name="_Toc728899116"/>
      <w:bookmarkStart w:id="1023" w:name="_Toc2003466256"/>
      <w:bookmarkStart w:id="1024" w:name="_Toc373227753"/>
      <w:bookmarkStart w:id="1025" w:name="_Toc407135256"/>
      <w:bookmarkStart w:id="1026" w:name="_Toc78449842"/>
      <w:bookmarkStart w:id="1027" w:name="_Toc292559424"/>
      <w:bookmarkStart w:id="1028" w:name="_Toc296346720"/>
      <w:bookmarkStart w:id="1029" w:name="_Toc292559929"/>
      <w:bookmarkStart w:id="1030" w:name="_Toc297123564"/>
      <w:bookmarkStart w:id="1031" w:name="_Toc296891259"/>
      <w:bookmarkStart w:id="1032" w:name="_Toc300935015"/>
      <w:bookmarkStart w:id="1033" w:name="_Toc297048405"/>
      <w:bookmarkStart w:id="1034" w:name="_Toc296944558"/>
      <w:bookmarkStart w:id="1035" w:name="_Toc296347218"/>
      <w:bookmarkStart w:id="1036" w:name="_Toc303539172"/>
      <w:bookmarkStart w:id="1037" w:name="_Toc297120519"/>
      <w:bookmarkStart w:id="1038" w:name="_Toc296503219"/>
      <w:bookmarkStart w:id="1039" w:name="_Toc297216223"/>
      <w:bookmarkStart w:id="1040" w:name="_Toc304295593"/>
      <w:bookmarkStart w:id="1041" w:name="_Toc296891047"/>
      <w:bookmarkStart w:id="1042" w:name="_Toc312678053"/>
      <w:r>
        <w:rPr>
          <w:rFonts w:ascii="Arial" w:hAnsi="Arial" w:eastAsia="黑体"/>
          <w:b/>
          <w:bCs/>
          <w:color w:val="auto"/>
          <w:sz w:val="32"/>
          <w:szCs w:val="32"/>
          <w:highlight w:val="none"/>
        </w:rPr>
        <w:t xml:space="preserve">13. </w:t>
      </w:r>
      <w:r>
        <w:rPr>
          <w:rFonts w:hint="eastAsia" w:ascii="Arial" w:hAnsi="Arial" w:eastAsia="黑体" w:cs="黑体"/>
          <w:b/>
          <w:bCs/>
          <w:color w:val="auto"/>
          <w:sz w:val="32"/>
          <w:szCs w:val="32"/>
          <w:highlight w:val="none"/>
        </w:rPr>
        <w:t>验收和工程试车</w:t>
      </w:r>
      <w:bookmarkEnd w:id="1019"/>
      <w:bookmarkEnd w:id="1020"/>
      <w:bookmarkEnd w:id="1021"/>
      <w:bookmarkEnd w:id="1022"/>
      <w:bookmarkEnd w:id="1023"/>
      <w:bookmarkEnd w:id="1024"/>
      <w:bookmarkEnd w:id="1025"/>
      <w:bookmarkEnd w:id="1026"/>
    </w:p>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14:paraId="2BC07E15">
      <w:pPr>
        <w:keepNext/>
        <w:keepLines/>
        <w:spacing w:line="600" w:lineRule="exact"/>
        <w:ind w:firstLine="643" w:firstLineChars="200"/>
        <w:outlineLvl w:val="2"/>
        <w:rPr>
          <w:b/>
          <w:bCs/>
          <w:color w:val="auto"/>
          <w:sz w:val="32"/>
          <w:szCs w:val="32"/>
          <w:highlight w:val="none"/>
        </w:rPr>
      </w:pPr>
      <w:bookmarkStart w:id="1043" w:name="_Toc834489126"/>
      <w:bookmarkStart w:id="1044" w:name="_Toc407135257"/>
      <w:bookmarkStart w:id="1045" w:name="_Toc78449843"/>
      <w:bookmarkStart w:id="1046" w:name="_Toc373227754"/>
      <w:bookmarkStart w:id="1047" w:name="_Toc373478401"/>
      <w:bookmarkStart w:id="1048" w:name="_Toc740353520"/>
      <w:bookmarkStart w:id="1049" w:name="_Toc389065319"/>
      <w:r>
        <w:rPr>
          <w:b/>
          <w:bCs/>
          <w:color w:val="auto"/>
          <w:sz w:val="32"/>
          <w:szCs w:val="32"/>
          <w:highlight w:val="none"/>
        </w:rPr>
        <w:t xml:space="preserve">13.1 </w:t>
      </w:r>
      <w:r>
        <w:rPr>
          <w:rFonts w:hint="eastAsia" w:cs="黑体"/>
          <w:b/>
          <w:bCs/>
          <w:color w:val="auto"/>
          <w:sz w:val="32"/>
          <w:szCs w:val="32"/>
          <w:highlight w:val="none"/>
        </w:rPr>
        <w:t>分部分项工程验收</w:t>
      </w:r>
      <w:bookmarkEnd w:id="1043"/>
      <w:bookmarkEnd w:id="1044"/>
      <w:bookmarkEnd w:id="1045"/>
      <w:bookmarkEnd w:id="1046"/>
      <w:bookmarkEnd w:id="1047"/>
      <w:bookmarkEnd w:id="1048"/>
      <w:bookmarkEnd w:id="1049"/>
    </w:p>
    <w:p w14:paraId="5C5267F1">
      <w:pPr>
        <w:spacing w:line="360" w:lineRule="auto"/>
        <w:ind w:firstLine="420" w:firstLineChars="200"/>
        <w:jc w:val="left"/>
        <w:rPr>
          <w:color w:val="auto"/>
          <w:highlight w:val="none"/>
        </w:rPr>
      </w:pPr>
      <w:r>
        <w:rPr>
          <w:color w:val="auto"/>
          <w:highlight w:val="none"/>
        </w:rPr>
        <w:t>13.1.2</w:t>
      </w:r>
      <w:r>
        <w:rPr>
          <w:rFonts w:hint="eastAsia" w:hAnsi="宋体" w:cs="宋体"/>
          <w:color w:val="auto"/>
          <w:highlight w:val="none"/>
        </w:rPr>
        <w:t>监理人不能按时进行验收时，应提前</w:t>
      </w:r>
      <w:r>
        <w:rPr>
          <w:rFonts w:hint="eastAsia"/>
          <w:color w:val="auto"/>
          <w:highlight w:val="none"/>
          <w:u w:val="single"/>
        </w:rPr>
        <w:t>24</w:t>
      </w:r>
      <w:r>
        <w:rPr>
          <w:rFonts w:hint="eastAsia" w:hAnsi="宋体" w:cs="宋体"/>
          <w:color w:val="auto"/>
          <w:highlight w:val="none"/>
        </w:rPr>
        <w:t>小时提交书面延期要求。</w:t>
      </w:r>
    </w:p>
    <w:p w14:paraId="2720E30B">
      <w:pPr>
        <w:spacing w:line="360" w:lineRule="auto"/>
        <w:ind w:firstLine="420" w:firstLineChars="200"/>
        <w:jc w:val="left"/>
        <w:rPr>
          <w:b/>
          <w:bCs/>
          <w:color w:val="auto"/>
          <w:highlight w:val="none"/>
        </w:rPr>
      </w:pPr>
      <w:r>
        <w:rPr>
          <w:rFonts w:hint="eastAsia" w:hAnsi="宋体" w:cs="宋体"/>
          <w:color w:val="auto"/>
          <w:highlight w:val="none"/>
        </w:rPr>
        <w:t>关于延期最长不得超过：</w:t>
      </w:r>
      <w:r>
        <w:rPr>
          <w:rFonts w:hint="eastAsia"/>
          <w:color w:val="auto"/>
          <w:highlight w:val="none"/>
          <w:u w:val="single"/>
        </w:rPr>
        <w:t>24</w:t>
      </w:r>
      <w:r>
        <w:rPr>
          <w:rFonts w:hint="eastAsia" w:hAnsi="宋体" w:cs="宋体"/>
          <w:color w:val="auto"/>
          <w:highlight w:val="none"/>
        </w:rPr>
        <w:t>小时。</w:t>
      </w:r>
    </w:p>
    <w:p w14:paraId="3DB95386">
      <w:pPr>
        <w:keepNext/>
        <w:keepLines/>
        <w:spacing w:line="600" w:lineRule="exact"/>
        <w:ind w:firstLine="643" w:firstLineChars="200"/>
        <w:outlineLvl w:val="2"/>
        <w:rPr>
          <w:b/>
          <w:bCs/>
          <w:color w:val="auto"/>
          <w:sz w:val="32"/>
          <w:szCs w:val="32"/>
          <w:highlight w:val="none"/>
        </w:rPr>
      </w:pPr>
      <w:bookmarkStart w:id="1050" w:name="_Toc78449844"/>
      <w:bookmarkStart w:id="1051" w:name="_Toc373227755"/>
      <w:bookmarkStart w:id="1052" w:name="_Toc1578431234"/>
      <w:bookmarkStart w:id="1053" w:name="_Toc389065320"/>
      <w:bookmarkStart w:id="1054" w:name="_Toc407135258"/>
      <w:bookmarkStart w:id="1055" w:name="_Toc373478402"/>
      <w:bookmarkStart w:id="1056" w:name="_Toc1062221039"/>
      <w:bookmarkStart w:id="1057" w:name="_Toc297216224"/>
      <w:bookmarkStart w:id="1058" w:name="_Toc297123565"/>
      <w:bookmarkStart w:id="1059" w:name="_Toc296503223"/>
      <w:bookmarkStart w:id="1060" w:name="_Toc297120523"/>
      <w:bookmarkStart w:id="1061" w:name="_Toc292559933"/>
      <w:bookmarkStart w:id="1062" w:name="_Toc292559428"/>
      <w:bookmarkStart w:id="1063" w:name="_Toc297048409"/>
      <w:bookmarkStart w:id="1064" w:name="_Toc296347222"/>
      <w:bookmarkStart w:id="1065" w:name="_Toc300935016"/>
      <w:bookmarkStart w:id="1066" w:name="_Toc304295596"/>
      <w:bookmarkStart w:id="1067" w:name="_Toc296891263"/>
      <w:bookmarkStart w:id="1068" w:name="_Toc296891051"/>
      <w:bookmarkStart w:id="1069" w:name="_Toc312678056"/>
      <w:bookmarkStart w:id="1070" w:name="_Toc296346724"/>
      <w:bookmarkStart w:id="1071" w:name="_Toc303539173"/>
      <w:bookmarkStart w:id="1072" w:name="_Toc296944562"/>
      <w:bookmarkStart w:id="1073" w:name="_Toc267251473"/>
      <w:bookmarkStart w:id="1074" w:name="_Toc267251471"/>
      <w:bookmarkStart w:id="1075" w:name="_Toc267251470"/>
      <w:bookmarkStart w:id="1076" w:name="_Toc267251474"/>
      <w:bookmarkStart w:id="1077" w:name="_Toc267251475"/>
      <w:bookmarkStart w:id="1078" w:name="_Toc267251476"/>
      <w:bookmarkStart w:id="1079" w:name="_Toc267251472"/>
      <w:r>
        <w:rPr>
          <w:b/>
          <w:bCs/>
          <w:color w:val="auto"/>
          <w:sz w:val="32"/>
          <w:szCs w:val="32"/>
          <w:highlight w:val="none"/>
        </w:rPr>
        <w:t xml:space="preserve">13.2 </w:t>
      </w:r>
      <w:r>
        <w:rPr>
          <w:rFonts w:hint="eastAsia" w:hAnsi="宋体" w:cs="黑体"/>
          <w:b/>
          <w:bCs/>
          <w:color w:val="auto"/>
          <w:sz w:val="32"/>
          <w:szCs w:val="32"/>
          <w:highlight w:val="none"/>
        </w:rPr>
        <w:t>竣工验收</w:t>
      </w:r>
      <w:bookmarkEnd w:id="1050"/>
      <w:bookmarkEnd w:id="1051"/>
      <w:bookmarkEnd w:id="1052"/>
      <w:bookmarkEnd w:id="1053"/>
      <w:bookmarkEnd w:id="1054"/>
      <w:bookmarkEnd w:id="1055"/>
      <w:bookmarkEnd w:id="1056"/>
    </w:p>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14:paraId="4206E51E">
      <w:pPr>
        <w:spacing w:line="360" w:lineRule="auto"/>
        <w:ind w:firstLine="420" w:firstLineChars="200"/>
        <w:jc w:val="left"/>
        <w:rPr>
          <w:color w:val="auto"/>
          <w:highlight w:val="none"/>
        </w:rPr>
      </w:pPr>
      <w:bookmarkStart w:id="1080" w:name="_Toc280868704"/>
      <w:bookmarkStart w:id="1081" w:name="_Toc280868705"/>
      <w:bookmarkStart w:id="1082" w:name="_Toc280868706"/>
      <w:bookmarkStart w:id="1083" w:name="_Toc280868707"/>
      <w:bookmarkStart w:id="1084" w:name="_Toc280868708"/>
      <w:bookmarkStart w:id="1085" w:name="_Toc280868709"/>
      <w:r>
        <w:rPr>
          <w:color w:val="auto"/>
          <w:highlight w:val="none"/>
        </w:rPr>
        <w:t>13.2.1</w:t>
      </w:r>
      <w:r>
        <w:rPr>
          <w:rFonts w:hint="eastAsia" w:hAnsi="宋体" w:cs="宋体"/>
          <w:color w:val="auto"/>
          <w:highlight w:val="none"/>
        </w:rPr>
        <w:t>竣工验收条件</w:t>
      </w:r>
    </w:p>
    <w:p w14:paraId="7D199DCE">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color w:val="auto"/>
          <w:highlight w:val="none"/>
        </w:rPr>
        <w:t>(</w:t>
      </w:r>
      <w:r>
        <w:rPr>
          <w:rFonts w:hint="eastAsia" w:hAnsi="宋体" w:cs="宋体"/>
          <w:color w:val="auto"/>
          <w:highlight w:val="none"/>
        </w:rPr>
        <w:t>或</w:t>
      </w:r>
      <w:r>
        <w:rPr>
          <w:color w:val="auto"/>
          <w:highlight w:val="none"/>
        </w:rPr>
        <w:t>)</w:t>
      </w:r>
      <w:r>
        <w:rPr>
          <w:rFonts w:hint="eastAsia" w:hAnsi="宋体" w:cs="宋体"/>
          <w:color w:val="auto"/>
          <w:highlight w:val="none"/>
        </w:rPr>
        <w:t>城市建设档案管理机构有关施工资料的要求，具体内容包括：</w:t>
      </w:r>
      <w:r>
        <w:rPr>
          <w:rFonts w:hint="eastAsia" w:ascii="宋体" w:hAnsi="宋体" w:cs="宋体"/>
          <w:color w:val="auto"/>
          <w:highlight w:val="none"/>
          <w:u w:val="single"/>
        </w:rPr>
        <w:t>参照</w:t>
      </w:r>
      <w:r>
        <w:rPr>
          <w:rFonts w:hint="eastAsia" w:ascii="宋体" w:hAnsi="宋体" w:cs="宋体"/>
          <w:color w:val="auto"/>
          <w:highlight w:val="none"/>
          <w:u w:val="single"/>
          <w:lang w:eastAsia="zh-CN"/>
        </w:rPr>
        <w:t>百色</w:t>
      </w:r>
      <w:r>
        <w:rPr>
          <w:rFonts w:hint="eastAsia" w:ascii="宋体" w:hAnsi="宋体" w:cs="宋体"/>
          <w:color w:val="auto"/>
          <w:highlight w:val="none"/>
          <w:u w:val="single"/>
        </w:rPr>
        <w:t>市城建馆存档要求及发包人其它要求</w:t>
      </w:r>
      <w:r>
        <w:rPr>
          <w:rFonts w:hint="eastAsia" w:hAnsi="宋体" w:cs="宋体"/>
          <w:color w:val="auto"/>
          <w:highlight w:val="none"/>
        </w:rPr>
        <w:t>。</w:t>
      </w:r>
    </w:p>
    <w:p w14:paraId="3467833C">
      <w:pPr>
        <w:spacing w:line="360" w:lineRule="auto"/>
        <w:ind w:firstLine="420" w:firstLineChars="200"/>
        <w:rPr>
          <w:color w:val="auto"/>
          <w:highlight w:val="none"/>
        </w:rPr>
      </w:pPr>
      <w:r>
        <w:rPr>
          <w:rFonts w:hint="eastAsia" w:hAnsi="宋体" w:cs="宋体"/>
          <w:color w:val="auto"/>
          <w:highlight w:val="none"/>
        </w:rPr>
        <w:t>竣工验收资料的份数：</w:t>
      </w:r>
      <w:r>
        <w:rPr>
          <w:rFonts w:hint="eastAsia" w:ascii="宋体" w:hAnsi="宋体" w:cs="宋体"/>
          <w:color w:val="auto"/>
          <w:highlight w:val="none"/>
          <w:u w:val="single"/>
        </w:rPr>
        <w:t>一式</w:t>
      </w:r>
      <w:r>
        <w:rPr>
          <w:rFonts w:hint="eastAsia" w:ascii="宋体" w:hAnsi="宋体" w:cs="宋体"/>
          <w:color w:val="auto"/>
          <w:highlight w:val="none"/>
          <w:u w:val="single"/>
          <w:lang w:val="en-US" w:eastAsia="zh-CN"/>
        </w:rPr>
        <w:t>肆</w:t>
      </w:r>
      <w:r>
        <w:rPr>
          <w:rFonts w:hint="eastAsia" w:ascii="宋体" w:hAnsi="宋体" w:cs="宋体"/>
          <w:color w:val="auto"/>
          <w:highlight w:val="none"/>
          <w:u w:val="single"/>
        </w:rPr>
        <w:t>套（</w:t>
      </w:r>
      <w:r>
        <w:rPr>
          <w:rFonts w:hint="eastAsia" w:hAnsi="宋体"/>
          <w:bCs/>
          <w:color w:val="auto"/>
          <w:highlight w:val="none"/>
          <w:u w:val="single"/>
        </w:rPr>
        <w:t>原件</w:t>
      </w:r>
      <w:r>
        <w:rPr>
          <w:rFonts w:hint="eastAsia" w:ascii="宋体" w:hAnsi="宋体" w:cs="宋体"/>
          <w:color w:val="auto"/>
          <w:highlight w:val="none"/>
          <w:u w:val="single"/>
        </w:rPr>
        <w:t>）</w:t>
      </w:r>
      <w:r>
        <w:rPr>
          <w:rFonts w:hint="eastAsia" w:hAnsi="宋体" w:cs="宋体"/>
          <w:color w:val="auto"/>
          <w:highlight w:val="none"/>
        </w:rPr>
        <w:t>。</w:t>
      </w:r>
    </w:p>
    <w:p w14:paraId="0C1451C2">
      <w:pPr>
        <w:spacing w:line="360" w:lineRule="auto"/>
        <w:ind w:firstLine="420" w:firstLineChars="200"/>
        <w:jc w:val="left"/>
        <w:rPr>
          <w:color w:val="auto"/>
          <w:highlight w:val="none"/>
        </w:rPr>
      </w:pPr>
      <w:r>
        <w:rPr>
          <w:rFonts w:hint="eastAsia" w:hAnsi="宋体" w:cs="宋体"/>
          <w:color w:val="auto"/>
          <w:highlight w:val="none"/>
        </w:rPr>
        <w:t>承包人提供竣工图的约定：</w:t>
      </w:r>
      <w:r>
        <w:rPr>
          <w:rFonts w:ascii="Calibri" w:hAnsi="宋体"/>
          <w:bCs/>
          <w:color w:val="auto"/>
          <w:highlight w:val="none"/>
          <w:u w:val="single"/>
        </w:rPr>
        <w:t>竣工验收正式通过后</w:t>
      </w:r>
      <w:r>
        <w:rPr>
          <w:rFonts w:hint="eastAsia" w:ascii="Calibri" w:hAnsi="Calibri"/>
          <w:bCs/>
          <w:color w:val="auto"/>
          <w:highlight w:val="none"/>
          <w:u w:val="single"/>
          <w:lang w:val="en-US" w:eastAsia="zh-CN"/>
        </w:rPr>
        <w:t>10</w:t>
      </w:r>
      <w:r>
        <w:rPr>
          <w:rFonts w:ascii="Calibri" w:hAnsi="宋体"/>
          <w:bCs/>
          <w:color w:val="auto"/>
          <w:highlight w:val="none"/>
          <w:u w:val="single"/>
        </w:rPr>
        <w:t>天，提供竣工图的数量分别</w:t>
      </w:r>
      <w:r>
        <w:rPr>
          <w:rFonts w:hAnsi="宋体"/>
          <w:bCs/>
          <w:color w:val="auto"/>
          <w:highlight w:val="none"/>
          <w:u w:val="single"/>
        </w:rPr>
        <w:t>为</w:t>
      </w:r>
      <w:r>
        <w:rPr>
          <w:rFonts w:hint="eastAsia" w:hAnsi="宋体"/>
          <w:bCs/>
          <w:color w:val="auto"/>
          <w:highlight w:val="none"/>
          <w:u w:val="single"/>
          <w:lang w:val="en-US" w:eastAsia="zh-CN"/>
        </w:rPr>
        <w:t>2</w:t>
      </w:r>
      <w:r>
        <w:rPr>
          <w:rFonts w:hAnsi="宋体"/>
          <w:bCs/>
          <w:color w:val="auto"/>
          <w:highlight w:val="none"/>
          <w:u w:val="single"/>
        </w:rPr>
        <w:t>套</w:t>
      </w:r>
      <w:r>
        <w:rPr>
          <w:rFonts w:hint="eastAsia" w:hAnsi="宋体"/>
          <w:bCs/>
          <w:color w:val="auto"/>
          <w:highlight w:val="none"/>
          <w:u w:val="single"/>
        </w:rPr>
        <w:t>，且必须是原件</w:t>
      </w:r>
      <w:r>
        <w:rPr>
          <w:rFonts w:hint="eastAsia" w:hAnsi="宋体" w:cs="宋体"/>
          <w:color w:val="auto"/>
          <w:highlight w:val="none"/>
          <w:u w:val="single"/>
        </w:rPr>
        <w:t>。</w:t>
      </w:r>
    </w:p>
    <w:p w14:paraId="668B142B">
      <w:pPr>
        <w:spacing w:line="360" w:lineRule="auto"/>
        <w:ind w:firstLine="420" w:firstLineChars="200"/>
        <w:jc w:val="left"/>
        <w:rPr>
          <w:color w:val="auto"/>
          <w:highlight w:val="none"/>
        </w:rPr>
      </w:pPr>
      <w:r>
        <w:rPr>
          <w:color w:val="auto"/>
          <w:highlight w:val="none"/>
        </w:rPr>
        <w:t>13.2.2</w:t>
      </w:r>
      <w:r>
        <w:rPr>
          <w:rFonts w:hint="eastAsia" w:hAnsi="宋体" w:cs="宋体"/>
          <w:color w:val="auto"/>
          <w:highlight w:val="none"/>
        </w:rPr>
        <w:t>竣工验收程序</w:t>
      </w:r>
    </w:p>
    <w:bookmarkEnd w:id="1080"/>
    <w:p w14:paraId="7B148110">
      <w:pPr>
        <w:spacing w:line="360" w:lineRule="auto"/>
        <w:ind w:firstLine="420" w:firstLineChars="200"/>
        <w:jc w:val="left"/>
        <w:rPr>
          <w:color w:val="auto"/>
          <w:highlight w:val="none"/>
          <w:u w:val="single"/>
        </w:rPr>
      </w:pPr>
      <w:r>
        <w:rPr>
          <w:rFonts w:hint="eastAsia" w:hAnsi="宋体" w:cs="宋体"/>
          <w:color w:val="auto"/>
          <w:kern w:val="0"/>
          <w:highlight w:val="none"/>
        </w:rPr>
        <w:t>关于竣工验收程序的约定：</w:t>
      </w:r>
      <w:r>
        <w:rPr>
          <w:rFonts w:hint="eastAsia" w:ascii="宋体" w:hAnsi="宋体" w:cs="宋体"/>
          <w:color w:val="auto"/>
          <w:highlight w:val="none"/>
          <w:u w:val="single"/>
        </w:rPr>
        <w:t>（1）按通用合同条款第13.2.2项执行；（2）承包人提交的竣工资料（含竣工图）为一式</w:t>
      </w:r>
      <w:r>
        <w:rPr>
          <w:rFonts w:hint="eastAsia" w:ascii="宋体" w:hAnsi="宋体" w:cs="宋体"/>
          <w:color w:val="auto"/>
          <w:highlight w:val="none"/>
          <w:u w:val="single"/>
          <w:lang w:val="en-US" w:eastAsia="zh-CN"/>
        </w:rPr>
        <w:t>肆</w:t>
      </w:r>
      <w:r>
        <w:rPr>
          <w:rFonts w:hint="eastAsia" w:ascii="宋体" w:hAnsi="宋体" w:cs="宋体"/>
          <w:color w:val="auto"/>
          <w:highlight w:val="none"/>
          <w:u w:val="single"/>
        </w:rPr>
        <w:t xml:space="preserve">套，且须符合本工程所在地建设行政主管部门和城市建设档案馆的要求，并经监理人审查合格 </w:t>
      </w:r>
      <w:r>
        <w:rPr>
          <w:rFonts w:hint="eastAsia" w:hAnsi="宋体" w:cs="宋体"/>
          <w:color w:val="auto"/>
          <w:highlight w:val="none"/>
        </w:rPr>
        <w:t>。</w:t>
      </w:r>
    </w:p>
    <w:p w14:paraId="374D692B">
      <w:pPr>
        <w:spacing w:line="360" w:lineRule="auto"/>
        <w:ind w:firstLine="420" w:firstLineChars="200"/>
        <w:jc w:val="left"/>
        <w:rPr>
          <w:color w:val="auto"/>
          <w:highlight w:val="none"/>
        </w:rPr>
      </w:pPr>
      <w:r>
        <w:rPr>
          <w:rFonts w:hint="eastAsia" w:hAnsi="宋体" w:cs="宋体"/>
          <w:color w:val="auto"/>
          <w:kern w:val="0"/>
          <w:highlight w:val="none"/>
        </w:rPr>
        <w:t>发包人不按照本项约定组织竣工验收、颁发工程接收证书的违约金的计算方法：</w:t>
      </w:r>
      <w:r>
        <w:rPr>
          <w:rFonts w:hint="eastAsia" w:ascii="宋体" w:hAnsi="宋体" w:cs="宋体"/>
          <w:color w:val="auto"/>
          <w:highlight w:val="none"/>
          <w:u w:val="single"/>
        </w:rPr>
        <w:t>无</w:t>
      </w:r>
      <w:r>
        <w:rPr>
          <w:rFonts w:hint="eastAsia" w:hAnsi="宋体" w:cs="宋体"/>
          <w:color w:val="auto"/>
          <w:highlight w:val="none"/>
        </w:rPr>
        <w:t>。</w:t>
      </w:r>
    </w:p>
    <w:bookmarkEnd w:id="1081"/>
    <w:p w14:paraId="29494FFB">
      <w:pPr>
        <w:spacing w:line="360" w:lineRule="auto"/>
        <w:ind w:firstLine="420" w:firstLineChars="200"/>
        <w:jc w:val="left"/>
        <w:rPr>
          <w:color w:val="auto"/>
          <w:highlight w:val="none"/>
        </w:rPr>
      </w:pPr>
      <w:r>
        <w:rPr>
          <w:color w:val="auto"/>
          <w:highlight w:val="none"/>
        </w:rPr>
        <w:t>13.2.5</w:t>
      </w:r>
      <w:r>
        <w:rPr>
          <w:rFonts w:hint="eastAsia" w:hAnsi="宋体" w:cs="宋体"/>
          <w:color w:val="auto"/>
          <w:highlight w:val="none"/>
        </w:rPr>
        <w:t>移交、接收全部与部分工程</w:t>
      </w:r>
    </w:p>
    <w:bookmarkEnd w:id="1082"/>
    <w:p w14:paraId="7FFF9D27">
      <w:pPr>
        <w:spacing w:line="360" w:lineRule="auto"/>
        <w:ind w:firstLine="420" w:firstLineChars="200"/>
        <w:jc w:val="left"/>
        <w:rPr>
          <w:color w:val="auto"/>
          <w:kern w:val="0"/>
          <w:highlight w:val="none"/>
        </w:rPr>
      </w:pPr>
      <w:r>
        <w:rPr>
          <w:rFonts w:hint="eastAsia" w:hAnsi="宋体" w:cs="宋体"/>
          <w:color w:val="auto"/>
          <w:kern w:val="0"/>
          <w:highlight w:val="none"/>
        </w:rPr>
        <w:t>承包人向发包人移交工程的期限：</w:t>
      </w:r>
      <w:r>
        <w:rPr>
          <w:rFonts w:hint="eastAsia" w:ascii="宋体" w:hAnsi="宋体" w:cs="宋体"/>
          <w:color w:val="auto"/>
          <w:highlight w:val="none"/>
          <w:u w:val="single"/>
        </w:rPr>
        <w:t xml:space="preserve">在接到工程接收证书后7天内完成工程的移交 </w:t>
      </w:r>
      <w:r>
        <w:rPr>
          <w:rFonts w:hint="eastAsia" w:hAnsi="宋体" w:cs="宋体"/>
          <w:color w:val="auto"/>
          <w:highlight w:val="none"/>
        </w:rPr>
        <w:t>。</w:t>
      </w:r>
    </w:p>
    <w:p w14:paraId="65AA3998">
      <w:pPr>
        <w:spacing w:line="360" w:lineRule="auto"/>
        <w:ind w:firstLine="420" w:firstLineChars="200"/>
        <w:jc w:val="left"/>
        <w:rPr>
          <w:color w:val="auto"/>
          <w:highlight w:val="none"/>
          <w:u w:val="single"/>
        </w:rPr>
      </w:pPr>
      <w:r>
        <w:rPr>
          <w:rFonts w:hint="eastAsia" w:hAnsi="宋体" w:cs="宋体"/>
          <w:color w:val="auto"/>
          <w:kern w:val="0"/>
          <w:highlight w:val="none"/>
        </w:rPr>
        <w:t>发包人未按本合同约定接收全部或部分工程的，违约金的计算方法为：</w:t>
      </w:r>
      <w:r>
        <w:rPr>
          <w:rFonts w:hint="eastAsia" w:ascii="宋体" w:hAnsi="宋体" w:cs="宋体"/>
          <w:color w:val="auto"/>
          <w:highlight w:val="none"/>
          <w:u w:val="single"/>
        </w:rPr>
        <w:t>发包人承担超时部分工程看管人工费</w:t>
      </w:r>
      <w:r>
        <w:rPr>
          <w:rFonts w:hint="eastAsia" w:hAnsi="宋体" w:cs="宋体"/>
          <w:color w:val="auto"/>
          <w:highlight w:val="none"/>
        </w:rPr>
        <w:t>。</w:t>
      </w:r>
    </w:p>
    <w:bookmarkEnd w:id="1083"/>
    <w:p w14:paraId="7BFE7FD6">
      <w:pPr>
        <w:spacing w:line="360" w:lineRule="auto"/>
        <w:ind w:firstLine="420" w:firstLineChars="200"/>
        <w:jc w:val="left"/>
        <w:rPr>
          <w:color w:val="auto"/>
          <w:highlight w:val="none"/>
          <w:u w:val="single"/>
        </w:rPr>
      </w:pPr>
      <w:r>
        <w:rPr>
          <w:rFonts w:hint="eastAsia" w:hAnsi="宋体" w:cs="宋体"/>
          <w:color w:val="auto"/>
          <w:highlight w:val="none"/>
        </w:rPr>
        <w:t>承包人未按时移交工程的，违约金的计算方法为：</w:t>
      </w:r>
      <w:r>
        <w:rPr>
          <w:rFonts w:hint="eastAsia" w:ascii="宋体" w:hAnsi="宋体" w:cs="宋体"/>
          <w:color w:val="auto"/>
          <w:highlight w:val="none"/>
          <w:u w:val="single"/>
        </w:rPr>
        <w:t xml:space="preserve">每超一天向发包人支付合同价款万分之四的误期赔偿费，限额为合同价的2% </w:t>
      </w:r>
      <w:r>
        <w:rPr>
          <w:rFonts w:hint="eastAsia" w:hAnsi="宋体" w:cs="宋体"/>
          <w:color w:val="auto"/>
          <w:highlight w:val="none"/>
        </w:rPr>
        <w:t>。</w:t>
      </w:r>
    </w:p>
    <w:p w14:paraId="42C362AB">
      <w:pPr>
        <w:keepNext/>
        <w:keepLines/>
        <w:spacing w:line="600" w:lineRule="exact"/>
        <w:ind w:firstLine="643" w:firstLineChars="200"/>
        <w:outlineLvl w:val="2"/>
        <w:rPr>
          <w:b/>
          <w:bCs/>
          <w:color w:val="auto"/>
          <w:sz w:val="32"/>
          <w:szCs w:val="32"/>
          <w:highlight w:val="none"/>
        </w:rPr>
      </w:pPr>
      <w:bookmarkStart w:id="1086" w:name="_Toc2090321864"/>
      <w:bookmarkStart w:id="1087" w:name="_Toc373478403"/>
      <w:bookmarkStart w:id="1088" w:name="_Toc389065321"/>
      <w:bookmarkStart w:id="1089" w:name="_Toc1470255881"/>
      <w:bookmarkStart w:id="1090" w:name="_Toc407135259"/>
      <w:bookmarkStart w:id="1091" w:name="_Toc373227756"/>
      <w:bookmarkStart w:id="1092" w:name="_Toc78449845"/>
      <w:r>
        <w:rPr>
          <w:b/>
          <w:bCs/>
          <w:color w:val="auto"/>
          <w:sz w:val="32"/>
          <w:szCs w:val="32"/>
          <w:highlight w:val="none"/>
        </w:rPr>
        <w:t xml:space="preserve">13.3 </w:t>
      </w:r>
      <w:r>
        <w:rPr>
          <w:rFonts w:hint="eastAsia" w:hAnsi="宋体" w:cs="黑体"/>
          <w:b/>
          <w:bCs/>
          <w:color w:val="auto"/>
          <w:sz w:val="32"/>
          <w:szCs w:val="32"/>
          <w:highlight w:val="none"/>
        </w:rPr>
        <w:t>工程试车</w:t>
      </w:r>
      <w:bookmarkEnd w:id="1086"/>
      <w:bookmarkEnd w:id="1087"/>
      <w:bookmarkEnd w:id="1088"/>
      <w:bookmarkEnd w:id="1089"/>
      <w:bookmarkEnd w:id="1090"/>
      <w:bookmarkEnd w:id="1091"/>
      <w:bookmarkEnd w:id="1092"/>
    </w:p>
    <w:bookmarkEnd w:id="1084"/>
    <w:p w14:paraId="6975FEFA">
      <w:pPr>
        <w:spacing w:line="360" w:lineRule="auto"/>
        <w:ind w:firstLine="420" w:firstLineChars="200"/>
        <w:jc w:val="left"/>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14:paraId="65EEA566">
      <w:pPr>
        <w:spacing w:line="360" w:lineRule="auto"/>
        <w:ind w:firstLine="420" w:firstLineChars="200"/>
        <w:jc w:val="left"/>
        <w:rPr>
          <w:color w:val="auto"/>
          <w:highlight w:val="none"/>
          <w:u w:val="single"/>
        </w:rPr>
      </w:pPr>
      <w:r>
        <w:rPr>
          <w:rFonts w:hint="eastAsia" w:hAnsi="宋体" w:cs="宋体"/>
          <w:color w:val="auto"/>
          <w:kern w:val="0"/>
          <w:highlight w:val="none"/>
        </w:rPr>
        <w:t>工程试车内容：</w:t>
      </w:r>
      <w:r>
        <w:rPr>
          <w:rFonts w:hint="eastAsia" w:ascii="宋体" w:hAnsi="宋体" w:cs="宋体"/>
          <w:color w:val="auto"/>
          <w:highlight w:val="none"/>
          <w:u w:val="single"/>
        </w:rPr>
        <w:t>另行约定</w:t>
      </w:r>
      <w:r>
        <w:rPr>
          <w:rFonts w:hint="eastAsia" w:hAnsi="宋体" w:cs="宋体"/>
          <w:color w:val="auto"/>
          <w:highlight w:val="none"/>
        </w:rPr>
        <w:t>。</w:t>
      </w:r>
    </w:p>
    <w:p w14:paraId="50CE8592">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rFonts w:hint="eastAsia" w:ascii="宋体" w:hAnsi="宋体" w:cs="宋体"/>
          <w:color w:val="auto"/>
          <w:highlight w:val="none"/>
          <w:u w:val="single"/>
        </w:rPr>
        <w:t>承包人</w:t>
      </w:r>
      <w:r>
        <w:rPr>
          <w:rFonts w:hint="eastAsia" w:hAnsi="宋体" w:cs="宋体"/>
          <w:color w:val="auto"/>
          <w:kern w:val="0"/>
          <w:highlight w:val="none"/>
        </w:rPr>
        <w:t>承担；</w:t>
      </w:r>
    </w:p>
    <w:p w14:paraId="19C9DC06">
      <w:pPr>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rFonts w:hint="eastAsia" w:ascii="宋体" w:hAnsi="宋体" w:cs="宋体"/>
          <w:color w:val="auto"/>
          <w:highlight w:val="none"/>
          <w:u w:val="single"/>
        </w:rPr>
        <w:t>承包人</w:t>
      </w:r>
      <w:r>
        <w:rPr>
          <w:rFonts w:hint="eastAsia" w:hAnsi="宋体" w:cs="宋体"/>
          <w:color w:val="auto"/>
          <w:kern w:val="0"/>
          <w:highlight w:val="none"/>
        </w:rPr>
        <w:t>承担。</w:t>
      </w:r>
    </w:p>
    <w:p w14:paraId="37C027D1">
      <w:pPr>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3）如项目涉及试运行，试运行成功（各项指标符合国家法律法规和行业规范要求）作为移交的前置条件；该试运行涉及的组织、安装、调试、清理、消毒、方案等步骤为承包人负责，费用已含在投保报价中，不再另计计价。</w:t>
      </w:r>
    </w:p>
    <w:p w14:paraId="731EC4D4">
      <w:pPr>
        <w:spacing w:line="360" w:lineRule="auto"/>
        <w:ind w:firstLine="420" w:firstLineChars="200"/>
        <w:jc w:val="left"/>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14:paraId="4DC41530">
      <w:pPr>
        <w:spacing w:line="360" w:lineRule="auto"/>
        <w:ind w:firstLine="420" w:firstLineChars="200"/>
        <w:jc w:val="left"/>
        <w:rPr>
          <w:color w:val="auto"/>
          <w:highlight w:val="none"/>
          <w:u w:val="single"/>
        </w:rPr>
      </w:pPr>
      <w:r>
        <w:rPr>
          <w:rFonts w:hint="eastAsia" w:hAnsi="宋体" w:cs="宋体"/>
          <w:color w:val="auto"/>
          <w:kern w:val="0"/>
          <w:highlight w:val="none"/>
        </w:rPr>
        <w:t>关于投料试车相关事项的约定：</w:t>
      </w:r>
      <w:r>
        <w:rPr>
          <w:rFonts w:hint="eastAsia" w:ascii="宋体" w:hAnsi="宋体" w:cs="宋体"/>
          <w:color w:val="auto"/>
          <w:highlight w:val="none"/>
          <w:u w:val="single"/>
        </w:rPr>
        <w:t xml:space="preserve">投料试运行应在工程竣工验收后由发包人负责，如发包人要求在工程竣工验收前进行或需要承包人配合时，应征得承包人同意，另行签订补充协议 </w:t>
      </w:r>
      <w:r>
        <w:rPr>
          <w:rFonts w:hint="eastAsia" w:hAnsi="宋体" w:cs="宋体"/>
          <w:color w:val="auto"/>
          <w:highlight w:val="none"/>
        </w:rPr>
        <w:t>。</w:t>
      </w:r>
    </w:p>
    <w:p w14:paraId="7189E871">
      <w:pPr>
        <w:keepNext/>
        <w:keepLines/>
        <w:spacing w:line="600" w:lineRule="exact"/>
        <w:ind w:firstLine="643" w:firstLineChars="200"/>
        <w:outlineLvl w:val="2"/>
        <w:rPr>
          <w:b/>
          <w:bCs/>
          <w:color w:val="auto"/>
          <w:sz w:val="32"/>
          <w:szCs w:val="32"/>
          <w:highlight w:val="none"/>
        </w:rPr>
      </w:pPr>
      <w:bookmarkStart w:id="1093" w:name="_Toc78449846"/>
      <w:bookmarkStart w:id="1094" w:name="_Toc550030550"/>
      <w:bookmarkStart w:id="1095" w:name="_Toc373227757"/>
      <w:bookmarkStart w:id="1096" w:name="_Toc10307455"/>
      <w:bookmarkStart w:id="1097" w:name="_Toc373478404"/>
      <w:bookmarkStart w:id="1098" w:name="_Toc389065322"/>
      <w:bookmarkStart w:id="1099" w:name="_Toc407135260"/>
      <w:r>
        <w:rPr>
          <w:b/>
          <w:bCs/>
          <w:color w:val="auto"/>
          <w:sz w:val="32"/>
          <w:szCs w:val="32"/>
          <w:highlight w:val="none"/>
        </w:rPr>
        <w:t xml:space="preserve">13.6 </w:t>
      </w:r>
      <w:r>
        <w:rPr>
          <w:rFonts w:hint="eastAsia" w:hAnsi="宋体" w:cs="黑体"/>
          <w:b/>
          <w:bCs/>
          <w:color w:val="auto"/>
          <w:sz w:val="32"/>
          <w:szCs w:val="32"/>
          <w:highlight w:val="none"/>
        </w:rPr>
        <w:t>竣工退场</w:t>
      </w:r>
      <w:bookmarkEnd w:id="1093"/>
      <w:bookmarkEnd w:id="1094"/>
      <w:bookmarkEnd w:id="1095"/>
      <w:bookmarkEnd w:id="1096"/>
      <w:bookmarkEnd w:id="1097"/>
      <w:bookmarkEnd w:id="1098"/>
      <w:bookmarkEnd w:id="1099"/>
    </w:p>
    <w:p w14:paraId="0DFE9CF0">
      <w:pPr>
        <w:spacing w:line="360" w:lineRule="auto"/>
        <w:ind w:firstLine="420" w:firstLineChars="200"/>
        <w:jc w:val="left"/>
        <w:outlineLvl w:val="0"/>
        <w:rPr>
          <w:color w:val="auto"/>
          <w:kern w:val="0"/>
          <w:highlight w:val="none"/>
        </w:rPr>
      </w:pPr>
      <w:r>
        <w:rPr>
          <w:color w:val="auto"/>
          <w:kern w:val="0"/>
          <w:highlight w:val="none"/>
        </w:rPr>
        <w:t xml:space="preserve">13.6.1 </w:t>
      </w:r>
      <w:r>
        <w:rPr>
          <w:rFonts w:hint="eastAsia" w:hAnsi="宋体" w:cs="宋体"/>
          <w:color w:val="auto"/>
          <w:kern w:val="0"/>
          <w:highlight w:val="none"/>
        </w:rPr>
        <w:t>竣工退场</w:t>
      </w:r>
    </w:p>
    <w:p w14:paraId="1B6E2852">
      <w:pPr>
        <w:spacing w:line="360" w:lineRule="auto"/>
        <w:ind w:firstLine="420" w:firstLineChars="200"/>
        <w:jc w:val="left"/>
        <w:rPr>
          <w:color w:val="auto"/>
          <w:kern w:val="0"/>
          <w:highlight w:val="none"/>
        </w:rPr>
      </w:pPr>
      <w:r>
        <w:rPr>
          <w:rFonts w:hint="eastAsia" w:hAnsi="宋体" w:cs="宋体"/>
          <w:color w:val="auto"/>
          <w:kern w:val="0"/>
          <w:highlight w:val="none"/>
        </w:rPr>
        <w:t>承包人完成竣工退场的期限：</w:t>
      </w:r>
      <w:r>
        <w:rPr>
          <w:rFonts w:hint="eastAsia" w:ascii="宋体" w:hAnsi="宋体" w:cs="宋体"/>
          <w:color w:val="auto"/>
          <w:highlight w:val="none"/>
          <w:u w:val="single"/>
        </w:rPr>
        <w:t>发包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r>
        <w:rPr>
          <w:rFonts w:hint="eastAsia" w:hAnsi="宋体" w:cs="宋体"/>
          <w:color w:val="auto"/>
          <w:kern w:val="0"/>
          <w:highlight w:val="none"/>
        </w:rPr>
        <w:t>。</w:t>
      </w:r>
    </w:p>
    <w:p w14:paraId="581F9C21">
      <w:pPr>
        <w:keepNext/>
        <w:keepLines/>
        <w:spacing w:before="260" w:after="260" w:line="413" w:lineRule="auto"/>
        <w:outlineLvl w:val="1"/>
        <w:rPr>
          <w:rFonts w:ascii="Arial" w:hAnsi="Arial" w:eastAsia="黑体"/>
          <w:b/>
          <w:bCs/>
          <w:color w:val="auto"/>
          <w:sz w:val="32"/>
          <w:szCs w:val="32"/>
          <w:highlight w:val="none"/>
        </w:rPr>
      </w:pPr>
      <w:bookmarkStart w:id="1100" w:name="_Toc373227758"/>
      <w:bookmarkStart w:id="1101" w:name="_Toc1950258056"/>
      <w:bookmarkStart w:id="1102" w:name="_Toc78449847"/>
      <w:bookmarkStart w:id="1103" w:name="_Toc351203646"/>
      <w:bookmarkStart w:id="1104" w:name="_Toc373478405"/>
      <w:bookmarkStart w:id="1105" w:name="_Toc389065323"/>
      <w:bookmarkStart w:id="1106" w:name="_Toc407135261"/>
      <w:bookmarkStart w:id="1107" w:name="_Toc1385490858"/>
      <w:r>
        <w:rPr>
          <w:rFonts w:ascii="Arial" w:hAnsi="Arial" w:eastAsia="黑体"/>
          <w:b/>
          <w:bCs/>
          <w:color w:val="auto"/>
          <w:sz w:val="32"/>
          <w:szCs w:val="32"/>
          <w:highlight w:val="none"/>
        </w:rPr>
        <w:t xml:space="preserve">14. </w:t>
      </w:r>
      <w:r>
        <w:rPr>
          <w:rFonts w:hint="eastAsia" w:ascii="Arial" w:hAnsi="宋体" w:eastAsia="黑体" w:cs="黑体"/>
          <w:b/>
          <w:bCs/>
          <w:color w:val="auto"/>
          <w:sz w:val="32"/>
          <w:szCs w:val="32"/>
          <w:highlight w:val="none"/>
        </w:rPr>
        <w:t>竣工结算</w:t>
      </w:r>
      <w:bookmarkEnd w:id="1100"/>
      <w:bookmarkEnd w:id="1101"/>
      <w:bookmarkEnd w:id="1102"/>
      <w:bookmarkEnd w:id="1103"/>
      <w:bookmarkEnd w:id="1104"/>
      <w:bookmarkEnd w:id="1105"/>
      <w:bookmarkEnd w:id="1106"/>
      <w:bookmarkEnd w:id="1107"/>
    </w:p>
    <w:p w14:paraId="39A35871">
      <w:pPr>
        <w:keepNext/>
        <w:keepLines/>
        <w:spacing w:line="600" w:lineRule="exact"/>
        <w:ind w:firstLine="643" w:firstLineChars="200"/>
        <w:outlineLvl w:val="2"/>
        <w:rPr>
          <w:b/>
          <w:bCs/>
          <w:color w:val="auto"/>
          <w:sz w:val="32"/>
          <w:szCs w:val="32"/>
          <w:highlight w:val="none"/>
        </w:rPr>
      </w:pPr>
      <w:bookmarkStart w:id="1108" w:name="_Toc373478406"/>
      <w:bookmarkStart w:id="1109" w:name="_Toc78449848"/>
      <w:bookmarkStart w:id="1110" w:name="_Toc1973954660"/>
      <w:bookmarkStart w:id="1111" w:name="_Toc407135262"/>
      <w:bookmarkStart w:id="1112" w:name="_Toc389065324"/>
      <w:bookmarkStart w:id="1113" w:name="_Toc174652718"/>
      <w:bookmarkStart w:id="1114" w:name="_Toc373227759"/>
      <w:r>
        <w:rPr>
          <w:b/>
          <w:bCs/>
          <w:color w:val="auto"/>
          <w:sz w:val="32"/>
          <w:szCs w:val="32"/>
          <w:highlight w:val="none"/>
        </w:rPr>
        <w:t xml:space="preserve">14.1 </w:t>
      </w:r>
      <w:r>
        <w:rPr>
          <w:rFonts w:hint="eastAsia" w:hAnsi="宋体" w:cs="黑体"/>
          <w:b/>
          <w:bCs/>
          <w:color w:val="auto"/>
          <w:sz w:val="32"/>
          <w:szCs w:val="32"/>
          <w:highlight w:val="none"/>
        </w:rPr>
        <w:t>竣工付款申请</w:t>
      </w:r>
      <w:bookmarkEnd w:id="1108"/>
      <w:bookmarkEnd w:id="1109"/>
      <w:bookmarkEnd w:id="1110"/>
      <w:bookmarkEnd w:id="1111"/>
      <w:bookmarkEnd w:id="1112"/>
      <w:bookmarkEnd w:id="1113"/>
      <w:bookmarkEnd w:id="1114"/>
    </w:p>
    <w:p w14:paraId="5BB8163C">
      <w:pPr>
        <w:spacing w:line="360" w:lineRule="auto"/>
        <w:ind w:firstLine="420" w:firstLineChars="200"/>
        <w:jc w:val="left"/>
        <w:rPr>
          <w:color w:val="auto"/>
          <w:highlight w:val="none"/>
        </w:rPr>
      </w:pPr>
      <w:r>
        <w:rPr>
          <w:rFonts w:hint="eastAsia" w:hAnsi="宋体" w:cs="宋体"/>
          <w:color w:val="auto"/>
          <w:highlight w:val="none"/>
        </w:rPr>
        <w:t>承包人提交竣工付款申请单的期限：</w:t>
      </w:r>
      <w:r>
        <w:rPr>
          <w:rFonts w:hint="eastAsia" w:ascii="宋体" w:hAnsi="宋体" w:cs="宋体"/>
          <w:color w:val="auto"/>
          <w:highlight w:val="none"/>
          <w:u w:val="single"/>
        </w:rPr>
        <w:t>竣工验收合格后3个月内，并提交完整的结算资料</w:t>
      </w:r>
      <w:r>
        <w:rPr>
          <w:rFonts w:hint="eastAsia" w:hAnsi="宋体" w:cs="宋体"/>
          <w:color w:val="auto"/>
          <w:highlight w:val="none"/>
        </w:rPr>
        <w:t>。</w:t>
      </w:r>
    </w:p>
    <w:p w14:paraId="6F0C7CAD">
      <w:pPr>
        <w:spacing w:line="360" w:lineRule="auto"/>
        <w:ind w:firstLine="420" w:firstLineChars="200"/>
        <w:jc w:val="left"/>
        <w:rPr>
          <w:color w:val="auto"/>
          <w:highlight w:val="none"/>
          <w:u w:val="single"/>
        </w:rPr>
      </w:pPr>
      <w:r>
        <w:rPr>
          <w:rFonts w:hint="eastAsia" w:hAnsi="宋体" w:cs="宋体"/>
          <w:color w:val="auto"/>
          <w:highlight w:val="none"/>
        </w:rPr>
        <w:t>竣工付款申请单应包括的内容：</w:t>
      </w:r>
      <w:r>
        <w:rPr>
          <w:rFonts w:hint="eastAsia" w:ascii="宋体" w:hAnsi="宋体" w:cs="宋体"/>
          <w:color w:val="auto"/>
          <w:highlight w:val="none"/>
          <w:u w:val="single"/>
        </w:rPr>
        <w:t>除通用合同条款第14.1款约定的内容外，还应包括：工程结算审核结论书</w:t>
      </w:r>
      <w:r>
        <w:rPr>
          <w:rFonts w:hint="eastAsia" w:hAnsi="宋体" w:cs="宋体"/>
          <w:color w:val="auto"/>
          <w:highlight w:val="none"/>
        </w:rPr>
        <w:t>。</w:t>
      </w:r>
    </w:p>
    <w:p w14:paraId="14D23508">
      <w:pPr>
        <w:keepNext/>
        <w:keepLines/>
        <w:spacing w:line="600" w:lineRule="exact"/>
        <w:ind w:firstLine="643" w:firstLineChars="200"/>
        <w:outlineLvl w:val="2"/>
        <w:rPr>
          <w:rFonts w:ascii="宋体" w:hAnsi="宋体" w:cs="宋体"/>
          <w:color w:val="auto"/>
          <w:highlight w:val="none"/>
        </w:rPr>
      </w:pPr>
      <w:bookmarkStart w:id="1115" w:name="_Toc389065325"/>
      <w:bookmarkStart w:id="1116" w:name="_Toc78449849"/>
      <w:bookmarkStart w:id="1117" w:name="_Toc667492935"/>
      <w:bookmarkStart w:id="1118" w:name="_Toc407135263"/>
      <w:bookmarkStart w:id="1119" w:name="_Toc373227760"/>
      <w:bookmarkStart w:id="1120" w:name="_Toc489920513"/>
      <w:bookmarkStart w:id="1121" w:name="_Toc373478407"/>
      <w:r>
        <w:rPr>
          <w:b/>
          <w:bCs/>
          <w:color w:val="auto"/>
          <w:sz w:val="32"/>
          <w:szCs w:val="32"/>
          <w:highlight w:val="none"/>
        </w:rPr>
        <w:t xml:space="preserve">14.2 </w:t>
      </w:r>
      <w:r>
        <w:rPr>
          <w:rFonts w:hint="eastAsia" w:hAnsi="宋体" w:cs="黑体"/>
          <w:b/>
          <w:bCs/>
          <w:color w:val="auto"/>
          <w:sz w:val="32"/>
          <w:szCs w:val="32"/>
          <w:highlight w:val="none"/>
        </w:rPr>
        <w:t>竣工结算审核</w:t>
      </w:r>
      <w:bookmarkEnd w:id="1115"/>
      <w:bookmarkEnd w:id="1116"/>
      <w:bookmarkEnd w:id="1117"/>
      <w:bookmarkEnd w:id="1118"/>
      <w:bookmarkEnd w:id="1119"/>
      <w:bookmarkEnd w:id="1120"/>
      <w:bookmarkEnd w:id="1121"/>
    </w:p>
    <w:p w14:paraId="5B28CABC">
      <w:pPr>
        <w:rPr>
          <w:color w:val="auto"/>
          <w:highlight w:val="none"/>
        </w:rPr>
      </w:pPr>
    </w:p>
    <w:p w14:paraId="2BEF01CE">
      <w:pPr>
        <w:spacing w:line="360" w:lineRule="auto"/>
        <w:ind w:firstLine="420" w:firstLineChars="200"/>
        <w:jc w:val="left"/>
        <w:rPr>
          <w:color w:val="auto"/>
          <w:highlight w:val="none"/>
        </w:rPr>
      </w:pPr>
      <w:r>
        <w:rPr>
          <w:rFonts w:hint="eastAsia" w:hAnsi="宋体" w:cs="宋体"/>
          <w:color w:val="auto"/>
          <w:highlight w:val="none"/>
        </w:rPr>
        <w:t>发包人审批竣工付款申请单的期限：</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323D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78CDDB5">
            <w:pPr>
              <w:spacing w:line="360" w:lineRule="auto"/>
              <w:rPr>
                <w:color w:val="auto"/>
                <w:highlight w:val="none"/>
              </w:rPr>
            </w:pPr>
          </w:p>
        </w:tc>
        <w:tc>
          <w:tcPr>
            <w:tcW w:w="2466" w:type="dxa"/>
            <w:noWrap w:val="0"/>
            <w:vAlign w:val="center"/>
          </w:tcPr>
          <w:p w14:paraId="181B5A21">
            <w:pPr>
              <w:spacing w:line="360" w:lineRule="auto"/>
              <w:ind w:firstLine="27" w:firstLineChars="13"/>
              <w:jc w:val="center"/>
              <w:rPr>
                <w:color w:val="auto"/>
                <w:highlight w:val="none"/>
              </w:rPr>
            </w:pPr>
            <w:r>
              <w:rPr>
                <w:rFonts w:hint="eastAsia" w:hAnsi="宋体" w:cs="宋体"/>
                <w:color w:val="auto"/>
                <w:highlight w:val="none"/>
              </w:rPr>
              <w:t>工程竣工结算报告金额</w:t>
            </w:r>
          </w:p>
        </w:tc>
        <w:tc>
          <w:tcPr>
            <w:tcW w:w="5967" w:type="dxa"/>
            <w:noWrap w:val="0"/>
            <w:vAlign w:val="center"/>
          </w:tcPr>
          <w:p w14:paraId="4A72AC60">
            <w:pPr>
              <w:spacing w:line="360" w:lineRule="auto"/>
              <w:ind w:firstLine="441" w:firstLineChars="210"/>
              <w:jc w:val="center"/>
              <w:rPr>
                <w:color w:val="auto"/>
                <w:highlight w:val="none"/>
              </w:rPr>
            </w:pPr>
            <w:r>
              <w:rPr>
                <w:rFonts w:hint="eastAsia" w:hAnsi="宋体" w:cs="宋体"/>
                <w:color w:val="auto"/>
                <w:highlight w:val="none"/>
              </w:rPr>
              <w:t>发包人审查时间</w:t>
            </w:r>
          </w:p>
        </w:tc>
      </w:tr>
      <w:tr w14:paraId="4450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0B5F3F4">
            <w:pPr>
              <w:spacing w:line="360" w:lineRule="auto"/>
              <w:jc w:val="center"/>
              <w:rPr>
                <w:color w:val="auto"/>
                <w:highlight w:val="none"/>
              </w:rPr>
            </w:pPr>
            <w:r>
              <w:rPr>
                <w:color w:val="auto"/>
                <w:highlight w:val="none"/>
              </w:rPr>
              <w:t>1</w:t>
            </w:r>
          </w:p>
        </w:tc>
        <w:tc>
          <w:tcPr>
            <w:tcW w:w="2466" w:type="dxa"/>
            <w:noWrap w:val="0"/>
            <w:vAlign w:val="center"/>
          </w:tcPr>
          <w:p w14:paraId="765210F7">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14:paraId="43ADD8F8">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1867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A88A40A">
            <w:pPr>
              <w:spacing w:line="360" w:lineRule="auto"/>
              <w:jc w:val="center"/>
              <w:rPr>
                <w:color w:val="auto"/>
                <w:highlight w:val="none"/>
              </w:rPr>
            </w:pPr>
            <w:r>
              <w:rPr>
                <w:color w:val="auto"/>
                <w:highlight w:val="none"/>
              </w:rPr>
              <w:t>2</w:t>
            </w:r>
          </w:p>
        </w:tc>
        <w:tc>
          <w:tcPr>
            <w:tcW w:w="2466" w:type="dxa"/>
            <w:noWrap w:val="0"/>
            <w:vAlign w:val="center"/>
          </w:tcPr>
          <w:p w14:paraId="390E7A62">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14:paraId="13EA10CB">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7B47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27F2CF">
            <w:pPr>
              <w:spacing w:line="360" w:lineRule="auto"/>
              <w:jc w:val="center"/>
              <w:rPr>
                <w:color w:val="auto"/>
                <w:highlight w:val="none"/>
              </w:rPr>
            </w:pPr>
            <w:r>
              <w:rPr>
                <w:color w:val="auto"/>
                <w:highlight w:val="none"/>
              </w:rPr>
              <w:t>3</w:t>
            </w:r>
          </w:p>
        </w:tc>
        <w:tc>
          <w:tcPr>
            <w:tcW w:w="2466" w:type="dxa"/>
            <w:noWrap w:val="0"/>
            <w:vAlign w:val="center"/>
          </w:tcPr>
          <w:p w14:paraId="10F63A6B">
            <w:pPr>
              <w:spacing w:line="360" w:lineRule="auto"/>
              <w:ind w:firstLine="27" w:firstLineChars="13"/>
              <w:jc w:val="center"/>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14:paraId="329954C2">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14DA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5FA0E3F">
            <w:pPr>
              <w:spacing w:line="360" w:lineRule="auto"/>
              <w:jc w:val="center"/>
              <w:rPr>
                <w:color w:val="auto"/>
                <w:highlight w:val="none"/>
              </w:rPr>
            </w:pPr>
            <w:r>
              <w:rPr>
                <w:color w:val="auto"/>
                <w:highlight w:val="none"/>
              </w:rPr>
              <w:t>4</w:t>
            </w:r>
          </w:p>
        </w:tc>
        <w:tc>
          <w:tcPr>
            <w:tcW w:w="2466" w:type="dxa"/>
            <w:noWrap w:val="0"/>
            <w:vAlign w:val="center"/>
          </w:tcPr>
          <w:p w14:paraId="6A6BFD47">
            <w:pPr>
              <w:spacing w:line="360" w:lineRule="auto"/>
              <w:ind w:firstLine="27" w:firstLineChars="13"/>
              <w:jc w:val="center"/>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14:paraId="65732F1C">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4848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1D8156A">
            <w:pPr>
              <w:spacing w:line="360" w:lineRule="auto"/>
              <w:jc w:val="center"/>
              <w:rPr>
                <w:color w:val="auto"/>
                <w:highlight w:val="none"/>
              </w:rPr>
            </w:pPr>
            <w:r>
              <w:rPr>
                <w:rFonts w:hint="eastAsia"/>
                <w:color w:val="auto"/>
                <w:highlight w:val="none"/>
              </w:rPr>
              <w:t>5</w:t>
            </w:r>
          </w:p>
        </w:tc>
        <w:tc>
          <w:tcPr>
            <w:tcW w:w="2466" w:type="dxa"/>
            <w:noWrap w:val="0"/>
            <w:vAlign w:val="center"/>
          </w:tcPr>
          <w:p w14:paraId="7C785C4A">
            <w:pPr>
              <w:spacing w:line="360" w:lineRule="auto"/>
              <w:ind w:firstLine="27" w:firstLineChars="13"/>
              <w:jc w:val="center"/>
              <w:rPr>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noWrap w:val="0"/>
            <w:vAlign w:val="center"/>
          </w:tcPr>
          <w:p w14:paraId="15333E37">
            <w:pPr>
              <w:spacing w:line="360" w:lineRule="auto"/>
              <w:ind w:firstLine="441" w:firstLineChars="210"/>
              <w:jc w:val="center"/>
              <w:rPr>
                <w:rFonts w:hAnsi="宋体" w:cs="宋体"/>
                <w:color w:val="auto"/>
                <w:highlight w:val="none"/>
              </w:rPr>
            </w:pPr>
            <w:r>
              <w:rPr>
                <w:rFonts w:hint="eastAsia" w:hAnsi="宋体" w:cs="宋体"/>
                <w:color w:val="auto"/>
                <w:highlight w:val="none"/>
              </w:rPr>
              <w:t>增加10天</w:t>
            </w:r>
          </w:p>
        </w:tc>
      </w:tr>
    </w:tbl>
    <w:p w14:paraId="005C3F5B">
      <w:pPr>
        <w:spacing w:line="360" w:lineRule="auto"/>
        <w:ind w:firstLine="420" w:firstLineChars="200"/>
        <w:jc w:val="left"/>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14:paraId="74631933">
      <w:pPr>
        <w:spacing w:line="360" w:lineRule="auto"/>
        <w:ind w:firstLine="420" w:firstLineChars="200"/>
        <w:jc w:val="left"/>
        <w:rPr>
          <w:rFonts w:hint="eastAsia" w:ascii="Times New Roman" w:hAnsi="宋体" w:eastAsia="宋体" w:cs="宋体"/>
          <w:color w:val="auto"/>
          <w:highlight w:val="none"/>
        </w:rPr>
      </w:pPr>
      <w:bookmarkStart w:id="1122" w:name="_Toc407135264"/>
      <w:bookmarkStart w:id="1123" w:name="_Toc78449850"/>
      <w:bookmarkStart w:id="1124" w:name="_Toc373227761"/>
      <w:bookmarkStart w:id="1125" w:name="_Toc373478408"/>
      <w:bookmarkStart w:id="1126" w:name="_Toc540165641"/>
      <w:bookmarkStart w:id="1127" w:name="_Toc389065326"/>
      <w:bookmarkStart w:id="1128" w:name="_Toc1203653078"/>
      <w:r>
        <w:rPr>
          <w:rFonts w:hint="eastAsia" w:ascii="Times New Roman" w:hAnsi="宋体" w:eastAsia="宋体" w:cs="宋体"/>
          <w:color w:val="auto"/>
          <w:highlight w:val="none"/>
        </w:rPr>
        <w:t>竣工结算审核约定：发承包双方在合同中对施工过程结算的期限应有明确约定；没有约定的， 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50087A69">
      <w:pPr>
        <w:spacing w:line="360" w:lineRule="auto"/>
        <w:ind w:firstLine="420" w:firstLineChars="200"/>
        <w:jc w:val="left"/>
        <w:rPr>
          <w:rFonts w:hint="eastAsia" w:ascii="Times New Roman" w:hAnsi="宋体" w:eastAsia="宋体" w:cs="宋体"/>
          <w:color w:val="auto"/>
          <w:highlight w:val="none"/>
        </w:rPr>
      </w:pPr>
      <w:r>
        <w:rPr>
          <w:rFonts w:hint="eastAsia" w:ascii="Times New Roman" w:hAnsi="宋体" w:eastAsia="宋体" w:cs="宋体"/>
          <w:color w:val="auto"/>
          <w:highlight w:val="none"/>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4EEFFFE8">
      <w:pPr>
        <w:spacing w:line="360" w:lineRule="auto"/>
        <w:ind w:firstLine="420" w:firstLineChars="200"/>
        <w:jc w:val="left"/>
        <w:rPr>
          <w:rFonts w:hint="eastAsia" w:ascii="Times New Roman" w:hAnsi="宋体" w:eastAsia="宋体" w:cs="宋体"/>
          <w:color w:val="auto"/>
          <w:highlight w:val="none"/>
        </w:rPr>
      </w:pPr>
      <w:r>
        <w:rPr>
          <w:rFonts w:hint="eastAsia" w:ascii="Times New Roman" w:hAnsi="宋体" w:eastAsia="宋体" w:cs="宋体"/>
          <w:color w:val="auto"/>
          <w:highlight w:val="none"/>
        </w:rPr>
        <w:t xml:space="preserve">1、工程竣工验收报告经发包人认可后  天内，承包人向发包人递交竣工验收合格资料及完  整的结算资料和报告，双方按照本工程合同约定的价格形式及价款调整办法进行工程竣工结算。 </w:t>
      </w:r>
    </w:p>
    <w:p w14:paraId="3F086195">
      <w:pPr>
        <w:spacing w:line="360" w:lineRule="auto"/>
        <w:ind w:firstLine="420" w:firstLineChars="200"/>
        <w:jc w:val="left"/>
        <w:rPr>
          <w:rFonts w:hint="eastAsia" w:ascii="Times New Roman" w:hAnsi="宋体" w:eastAsia="宋体" w:cs="宋体"/>
          <w:color w:val="auto"/>
          <w:highlight w:val="none"/>
        </w:rPr>
      </w:pPr>
      <w:r>
        <w:rPr>
          <w:rFonts w:hint="eastAsia" w:ascii="Times New Roman" w:hAnsi="宋体" w:eastAsia="宋体" w:cs="宋体"/>
          <w:color w:val="auto"/>
          <w:highlight w:val="none"/>
        </w:rPr>
        <w:t xml:space="preserve">2、发包人收到承包人递交的竣工结算报告及结算资料之日起  天内进行审核，并给予确认或者 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天内提出异议，必要时合同当事人要当 面核对，直至完成工程竣工结算。除非有特殊情形，否则从承包人递交竣工结算报告到完成竣工结算的时间应控制在“发包人审核竣工付款申请单的期限”要求的时间范围内。3.自竣工结算完毕之日起 天内，发包人按审定后的竣工结算价款，通知经办银行向承包人支付结算价款。  </w:t>
      </w:r>
    </w:p>
    <w:p w14:paraId="43FE946E">
      <w:pPr>
        <w:spacing w:line="360" w:lineRule="auto"/>
        <w:ind w:firstLine="420" w:firstLineChars="200"/>
        <w:jc w:val="left"/>
        <w:rPr>
          <w:rFonts w:hint="eastAsia" w:ascii="宋体" w:hAnsi="宋体" w:eastAsia="宋体" w:cs="宋体"/>
          <w:color w:val="auto"/>
          <w:highlight w:val="none"/>
        </w:rPr>
      </w:pPr>
      <w:r>
        <w:rPr>
          <w:rFonts w:hint="eastAsia" w:ascii="Times New Roman" w:hAnsi="宋体" w:eastAsia="宋体" w:cs="宋体"/>
          <w:color w:val="auto"/>
          <w:highlight w:val="none"/>
        </w:rPr>
        <w:t>备注：对于国有投资项目结算审核约定，双方可结合各地政府或有关部门出台的管理规定进 行局部调整</w:t>
      </w:r>
    </w:p>
    <w:p w14:paraId="512366BF">
      <w:pPr>
        <w:keepNext/>
        <w:keepLines/>
        <w:spacing w:line="600" w:lineRule="exact"/>
        <w:ind w:firstLine="643" w:firstLineChars="200"/>
        <w:outlineLvl w:val="2"/>
        <w:rPr>
          <w:b/>
          <w:bCs/>
          <w:color w:val="auto"/>
          <w:sz w:val="32"/>
          <w:szCs w:val="32"/>
          <w:highlight w:val="none"/>
        </w:rPr>
      </w:pPr>
      <w:r>
        <w:rPr>
          <w:b/>
          <w:bCs/>
          <w:color w:val="auto"/>
          <w:sz w:val="32"/>
          <w:szCs w:val="32"/>
          <w:highlight w:val="none"/>
        </w:rPr>
        <w:t xml:space="preserve">14.4 </w:t>
      </w:r>
      <w:r>
        <w:rPr>
          <w:rFonts w:hint="eastAsia" w:hAnsi="宋体" w:cs="黑体"/>
          <w:b/>
          <w:bCs/>
          <w:color w:val="auto"/>
          <w:sz w:val="32"/>
          <w:szCs w:val="32"/>
          <w:highlight w:val="none"/>
        </w:rPr>
        <w:t>最终结清</w:t>
      </w:r>
      <w:bookmarkEnd w:id="1122"/>
      <w:bookmarkEnd w:id="1123"/>
      <w:bookmarkEnd w:id="1124"/>
      <w:bookmarkEnd w:id="1125"/>
      <w:bookmarkEnd w:id="1126"/>
      <w:bookmarkEnd w:id="1127"/>
      <w:bookmarkEnd w:id="1128"/>
    </w:p>
    <w:p w14:paraId="01511107">
      <w:pPr>
        <w:spacing w:line="360" w:lineRule="auto"/>
        <w:ind w:firstLine="420" w:firstLineChars="200"/>
        <w:jc w:val="left"/>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14:paraId="2850B2D8">
      <w:pPr>
        <w:spacing w:line="360" w:lineRule="auto"/>
        <w:ind w:firstLine="420" w:firstLineChars="200"/>
        <w:jc w:val="left"/>
        <w:rPr>
          <w:color w:val="auto"/>
          <w:kern w:val="0"/>
          <w:highlight w:val="none"/>
        </w:rPr>
      </w:pPr>
      <w:r>
        <w:rPr>
          <w:rFonts w:hint="eastAsia" w:hAnsi="宋体" w:cs="宋体"/>
          <w:color w:val="auto"/>
          <w:kern w:val="0"/>
          <w:highlight w:val="none"/>
        </w:rPr>
        <w:t>承包人提交最终结清申请单的份数：</w:t>
      </w:r>
      <w:r>
        <w:rPr>
          <w:rFonts w:hint="eastAsia" w:ascii="宋体" w:hAnsi="宋体" w:cs="宋体"/>
          <w:color w:val="auto"/>
          <w:highlight w:val="none"/>
          <w:u w:val="single"/>
        </w:rPr>
        <w:t xml:space="preserve"> 一式两份</w:t>
      </w:r>
      <w:r>
        <w:rPr>
          <w:rFonts w:hint="eastAsia" w:hAnsi="宋体" w:cs="宋体"/>
          <w:color w:val="auto"/>
          <w:highlight w:val="none"/>
        </w:rPr>
        <w:t>。</w:t>
      </w:r>
    </w:p>
    <w:p w14:paraId="07C1B50E">
      <w:pPr>
        <w:spacing w:line="360" w:lineRule="auto"/>
        <w:ind w:firstLine="420" w:firstLineChars="200"/>
        <w:jc w:val="left"/>
        <w:rPr>
          <w:color w:val="auto"/>
          <w:highlight w:val="none"/>
        </w:rPr>
      </w:pPr>
      <w:r>
        <w:rPr>
          <w:rFonts w:hint="eastAsia" w:hAnsi="宋体" w:cs="宋体"/>
          <w:color w:val="auto"/>
          <w:kern w:val="0"/>
          <w:highlight w:val="none"/>
        </w:rPr>
        <w:t>承包人提交最终结算申请单的期限：</w:t>
      </w:r>
      <w:r>
        <w:rPr>
          <w:rFonts w:hint="eastAsia" w:ascii="宋体" w:hAnsi="宋体" w:cs="宋体"/>
          <w:color w:val="auto"/>
          <w:highlight w:val="none"/>
          <w:u w:val="single"/>
        </w:rPr>
        <w:t xml:space="preserve">按合同通用条款执行  </w:t>
      </w:r>
      <w:r>
        <w:rPr>
          <w:rFonts w:hint="eastAsia" w:hAnsi="宋体" w:cs="宋体"/>
          <w:color w:val="auto"/>
          <w:highlight w:val="none"/>
        </w:rPr>
        <w:t>。</w:t>
      </w:r>
    </w:p>
    <w:p w14:paraId="2155FA03">
      <w:pPr>
        <w:spacing w:line="360" w:lineRule="auto"/>
        <w:ind w:firstLine="420" w:firstLineChars="200"/>
        <w:jc w:val="left"/>
        <w:rPr>
          <w:color w:val="auto"/>
          <w:highlight w:val="none"/>
        </w:rPr>
      </w:pPr>
      <w:r>
        <w:rPr>
          <w:color w:val="auto"/>
          <w:highlight w:val="none"/>
        </w:rPr>
        <w:t xml:space="preserve">14.4.2 </w:t>
      </w:r>
      <w:r>
        <w:rPr>
          <w:rFonts w:hint="eastAsia" w:hAnsi="宋体" w:cs="宋体"/>
          <w:color w:val="auto"/>
          <w:highlight w:val="none"/>
        </w:rPr>
        <w:t>最终结清证书和支付</w:t>
      </w:r>
    </w:p>
    <w:p w14:paraId="315E532E">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rFonts w:hint="eastAsia" w:ascii="宋体" w:hAnsi="宋体" w:cs="宋体"/>
          <w:color w:val="auto"/>
          <w:highlight w:val="none"/>
          <w:u w:val="single"/>
        </w:rPr>
        <w:t>缺陷责任期终止证书颁发后14天内</w:t>
      </w:r>
      <w:r>
        <w:rPr>
          <w:rFonts w:hint="eastAsia" w:hAnsi="宋体" w:cs="宋体"/>
          <w:color w:val="auto"/>
          <w:highlight w:val="none"/>
        </w:rPr>
        <w:t>。</w:t>
      </w:r>
    </w:p>
    <w:p w14:paraId="34D571C7">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rFonts w:hint="eastAsia" w:ascii="宋体" w:hAnsi="宋体" w:cs="宋体"/>
          <w:color w:val="auto"/>
          <w:highlight w:val="none"/>
          <w:u w:val="single"/>
        </w:rPr>
        <w:t>缺陷责任期终止证书颁发后28天内</w:t>
      </w:r>
      <w:r>
        <w:rPr>
          <w:rFonts w:hint="eastAsia" w:hAnsi="宋体" w:cs="宋体"/>
          <w:color w:val="auto"/>
          <w:highlight w:val="none"/>
        </w:rPr>
        <w:t>。</w:t>
      </w:r>
    </w:p>
    <w:bookmarkEnd w:id="1073"/>
    <w:bookmarkEnd w:id="1074"/>
    <w:bookmarkEnd w:id="1075"/>
    <w:bookmarkEnd w:id="1076"/>
    <w:bookmarkEnd w:id="1077"/>
    <w:bookmarkEnd w:id="1078"/>
    <w:bookmarkEnd w:id="1079"/>
    <w:bookmarkEnd w:id="1085"/>
    <w:p w14:paraId="72583CB2">
      <w:pPr>
        <w:keepNext/>
        <w:keepLines/>
        <w:spacing w:before="260" w:after="260" w:line="413" w:lineRule="auto"/>
        <w:outlineLvl w:val="1"/>
        <w:rPr>
          <w:rFonts w:ascii="Arial" w:hAnsi="Arial" w:eastAsia="黑体"/>
          <w:b/>
          <w:bCs/>
          <w:color w:val="auto"/>
          <w:sz w:val="32"/>
          <w:szCs w:val="32"/>
          <w:highlight w:val="none"/>
        </w:rPr>
      </w:pPr>
      <w:bookmarkStart w:id="1129" w:name="_Toc905081407"/>
      <w:bookmarkStart w:id="1130" w:name="_Toc389065327"/>
      <w:bookmarkStart w:id="1131" w:name="_Toc1294213766"/>
      <w:bookmarkStart w:id="1132" w:name="_Toc351203647"/>
      <w:bookmarkStart w:id="1133" w:name="_Toc373478409"/>
      <w:bookmarkStart w:id="1134" w:name="_Toc78449851"/>
      <w:bookmarkStart w:id="1135" w:name="_Toc407135265"/>
      <w:bookmarkStart w:id="1136" w:name="_Toc373227762"/>
      <w:bookmarkStart w:id="1137" w:name="_Toc267251483"/>
      <w:bookmarkStart w:id="1138" w:name="_Toc267251484"/>
      <w:bookmarkStart w:id="1139" w:name="_Toc267251482"/>
      <w:bookmarkStart w:id="1140" w:name="_Toc267251485"/>
      <w:bookmarkStart w:id="1141" w:name="_Toc267251490"/>
      <w:bookmarkStart w:id="1142" w:name="_Toc267251488"/>
      <w:bookmarkStart w:id="1143" w:name="_Toc267251486"/>
      <w:bookmarkStart w:id="1144" w:name="_Toc267251489"/>
      <w:bookmarkStart w:id="1145" w:name="_Toc267251501"/>
      <w:bookmarkStart w:id="1146" w:name="_Toc267251503"/>
      <w:bookmarkStart w:id="1147" w:name="_Toc267251495"/>
      <w:bookmarkStart w:id="1148" w:name="_Toc267251492"/>
      <w:bookmarkStart w:id="1149" w:name="_Toc267251491"/>
      <w:bookmarkStart w:id="1150" w:name="_Toc267251496"/>
      <w:bookmarkStart w:id="1151" w:name="_Toc267251498"/>
      <w:bookmarkStart w:id="1152" w:name="_Toc267251502"/>
      <w:bookmarkStart w:id="1153" w:name="_Toc267251497"/>
      <w:bookmarkStart w:id="1154" w:name="_Toc267251499"/>
      <w:bookmarkStart w:id="1155" w:name="_Toc267251494"/>
      <w:bookmarkStart w:id="1156" w:name="_Toc267251493"/>
      <w:bookmarkStart w:id="1157" w:name="_Toc267251504"/>
      <w:bookmarkStart w:id="1158" w:name="_Toc267251506"/>
      <w:bookmarkStart w:id="1159" w:name="_Toc267251507"/>
      <w:bookmarkStart w:id="1160" w:name="_Toc267251508"/>
      <w:bookmarkStart w:id="1161" w:name="_Toc267251511"/>
      <w:bookmarkStart w:id="1162" w:name="_Toc267251509"/>
      <w:bookmarkStart w:id="1163" w:name="_Toc267251514"/>
      <w:bookmarkStart w:id="1164" w:name="_Toc267251510"/>
      <w:bookmarkStart w:id="1165" w:name="_Toc267251513"/>
      <w:bookmarkStart w:id="1166" w:name="_Toc267251515"/>
      <w:r>
        <w:rPr>
          <w:rFonts w:ascii="Arial" w:hAnsi="Arial" w:eastAsia="黑体"/>
          <w:b/>
          <w:bCs/>
          <w:color w:val="auto"/>
          <w:sz w:val="32"/>
          <w:szCs w:val="32"/>
          <w:highlight w:val="none"/>
        </w:rPr>
        <w:t xml:space="preserve">15. </w:t>
      </w:r>
      <w:r>
        <w:rPr>
          <w:rFonts w:hint="eastAsia" w:ascii="Arial" w:hAnsi="Arial" w:eastAsia="黑体" w:cs="黑体"/>
          <w:b/>
          <w:bCs/>
          <w:color w:val="auto"/>
          <w:sz w:val="32"/>
          <w:szCs w:val="32"/>
          <w:highlight w:val="none"/>
        </w:rPr>
        <w:t>缺陷责任期与保修</w:t>
      </w:r>
      <w:bookmarkEnd w:id="1129"/>
      <w:bookmarkEnd w:id="1130"/>
      <w:bookmarkEnd w:id="1131"/>
      <w:bookmarkEnd w:id="1132"/>
      <w:bookmarkEnd w:id="1133"/>
      <w:bookmarkEnd w:id="1134"/>
      <w:bookmarkEnd w:id="1135"/>
      <w:bookmarkEnd w:id="1136"/>
    </w:p>
    <w:p w14:paraId="10DFF33D">
      <w:pPr>
        <w:keepNext/>
        <w:keepLines/>
        <w:spacing w:line="600" w:lineRule="exact"/>
        <w:ind w:firstLine="643" w:firstLineChars="200"/>
        <w:outlineLvl w:val="2"/>
        <w:rPr>
          <w:b/>
          <w:bCs/>
          <w:color w:val="auto"/>
          <w:sz w:val="32"/>
          <w:szCs w:val="32"/>
          <w:highlight w:val="none"/>
        </w:rPr>
      </w:pPr>
      <w:bookmarkStart w:id="1167" w:name="_Toc389065328"/>
      <w:bookmarkStart w:id="1168" w:name="_Toc1468458868"/>
      <w:bookmarkStart w:id="1169" w:name="_Toc373478410"/>
      <w:bookmarkStart w:id="1170" w:name="_Toc1845278067"/>
      <w:bookmarkStart w:id="1171" w:name="_Toc78449852"/>
      <w:bookmarkStart w:id="1172" w:name="_Toc373227763"/>
      <w:bookmarkStart w:id="1173" w:name="_Toc407135266"/>
      <w:r>
        <w:rPr>
          <w:b/>
          <w:bCs/>
          <w:color w:val="auto"/>
          <w:sz w:val="32"/>
          <w:szCs w:val="32"/>
          <w:highlight w:val="none"/>
        </w:rPr>
        <w:t xml:space="preserve">15.2 </w:t>
      </w:r>
      <w:r>
        <w:rPr>
          <w:rFonts w:hint="eastAsia" w:hAnsi="宋体" w:cs="黑体"/>
          <w:b/>
          <w:bCs/>
          <w:color w:val="auto"/>
          <w:sz w:val="32"/>
          <w:szCs w:val="32"/>
          <w:highlight w:val="none"/>
        </w:rPr>
        <w:t>缺陷责任期</w:t>
      </w:r>
      <w:bookmarkEnd w:id="1137"/>
      <w:bookmarkEnd w:id="1167"/>
      <w:bookmarkEnd w:id="1168"/>
      <w:bookmarkEnd w:id="1169"/>
      <w:bookmarkEnd w:id="1170"/>
      <w:bookmarkEnd w:id="1171"/>
      <w:bookmarkEnd w:id="1172"/>
      <w:bookmarkEnd w:id="1173"/>
    </w:p>
    <w:p w14:paraId="671E3979">
      <w:pPr>
        <w:spacing w:line="360" w:lineRule="auto"/>
        <w:ind w:firstLine="420" w:firstLineChars="200"/>
        <w:jc w:val="left"/>
        <w:rPr>
          <w:color w:val="auto"/>
          <w:highlight w:val="none"/>
          <w:u w:val="single"/>
        </w:rPr>
      </w:pPr>
      <w:r>
        <w:rPr>
          <w:rFonts w:hint="eastAsia" w:hAnsi="宋体" w:cs="宋体"/>
          <w:color w:val="auto"/>
          <w:highlight w:val="none"/>
        </w:rPr>
        <w:t>缺陷责任期的具体期限：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12</w:t>
      </w:r>
      <w:r>
        <w:rPr>
          <w:rFonts w:hint="eastAsia" w:ascii="宋体" w:hAnsi="宋体" w:cs="宋体"/>
          <w:color w:val="auto"/>
          <w:highlight w:val="none"/>
          <w:u w:val="single"/>
        </w:rPr>
        <w:t xml:space="preserve">个月  </w:t>
      </w:r>
      <w:r>
        <w:rPr>
          <w:rFonts w:hint="eastAsia" w:hAnsi="宋体" w:cs="宋体"/>
          <w:color w:val="auto"/>
          <w:highlight w:val="none"/>
        </w:rPr>
        <w:t>。</w:t>
      </w:r>
    </w:p>
    <w:p w14:paraId="57DA3C52">
      <w:pPr>
        <w:keepNext/>
        <w:keepLines/>
        <w:spacing w:line="600" w:lineRule="exact"/>
        <w:ind w:firstLine="643" w:firstLineChars="200"/>
        <w:outlineLvl w:val="2"/>
        <w:rPr>
          <w:b/>
          <w:bCs/>
          <w:color w:val="auto"/>
          <w:sz w:val="32"/>
          <w:szCs w:val="32"/>
          <w:highlight w:val="none"/>
        </w:rPr>
      </w:pPr>
      <w:bookmarkStart w:id="1174" w:name="_Toc407135267"/>
      <w:bookmarkStart w:id="1175" w:name="_Toc1004692311"/>
      <w:bookmarkStart w:id="1176" w:name="_Toc666080472"/>
      <w:bookmarkStart w:id="1177" w:name="_Toc389065329"/>
      <w:bookmarkStart w:id="1178" w:name="_Toc373227764"/>
      <w:bookmarkStart w:id="1179" w:name="_Toc373478411"/>
      <w:bookmarkStart w:id="1180" w:name="_Toc78449853"/>
      <w:r>
        <w:rPr>
          <w:b/>
          <w:bCs/>
          <w:color w:val="auto"/>
          <w:sz w:val="32"/>
          <w:szCs w:val="32"/>
          <w:highlight w:val="none"/>
        </w:rPr>
        <w:t xml:space="preserve">15.3 </w:t>
      </w:r>
      <w:r>
        <w:rPr>
          <w:rFonts w:hint="eastAsia" w:hAnsi="宋体" w:cs="黑体"/>
          <w:b/>
          <w:bCs/>
          <w:color w:val="auto"/>
          <w:sz w:val="32"/>
          <w:szCs w:val="32"/>
          <w:highlight w:val="none"/>
        </w:rPr>
        <w:t>质量保证金</w:t>
      </w:r>
      <w:bookmarkEnd w:id="1174"/>
      <w:bookmarkEnd w:id="1175"/>
      <w:bookmarkEnd w:id="1176"/>
      <w:bookmarkEnd w:id="1177"/>
      <w:bookmarkEnd w:id="1178"/>
      <w:bookmarkEnd w:id="1179"/>
      <w:bookmarkEnd w:id="1180"/>
    </w:p>
    <w:p w14:paraId="214C9A6E">
      <w:pPr>
        <w:spacing w:line="360" w:lineRule="auto"/>
        <w:ind w:firstLine="420" w:firstLineChars="200"/>
        <w:jc w:val="left"/>
        <w:rPr>
          <w:rFonts w:hAnsi="宋体" w:cs="宋体"/>
          <w:color w:val="auto"/>
          <w:highlight w:val="none"/>
        </w:rPr>
      </w:pPr>
      <w:r>
        <w:rPr>
          <w:rFonts w:hint="eastAsia" w:hAnsi="宋体" w:cs="宋体"/>
          <w:color w:val="auto"/>
          <w:highlight w:val="none"/>
        </w:rPr>
        <w:t>关于是否扣留质量保证金的约定：</w:t>
      </w:r>
      <w:r>
        <w:rPr>
          <w:rFonts w:hint="eastAsia" w:ascii="宋体" w:hAnsi="宋体" w:cs="宋体"/>
          <w:color w:val="auto"/>
          <w:highlight w:val="none"/>
          <w:u w:val="single"/>
        </w:rPr>
        <w:t>扣留</w:t>
      </w:r>
      <w:r>
        <w:rPr>
          <w:rFonts w:hint="eastAsia" w:hAnsi="宋体" w:cs="宋体"/>
          <w:color w:val="auto"/>
          <w:highlight w:val="none"/>
        </w:rPr>
        <w:t>。</w:t>
      </w:r>
    </w:p>
    <w:p w14:paraId="1738056B">
      <w:pPr>
        <w:spacing w:line="360" w:lineRule="auto"/>
        <w:ind w:firstLine="420" w:firstLineChars="200"/>
        <w:jc w:val="left"/>
        <w:rPr>
          <w:color w:val="auto"/>
          <w:highlight w:val="none"/>
        </w:rPr>
      </w:pPr>
      <w:r>
        <w:rPr>
          <w:rFonts w:hint="eastAsia" w:hAnsi="宋体" w:cs="宋体"/>
          <w:color w:val="auto"/>
          <w:highlight w:val="none"/>
        </w:rPr>
        <w:t>在工程项目竣工前，承包人按专用合同条款第3.7条提供履约担保的，发包人不得同时预留工程质量保证金。</w:t>
      </w:r>
    </w:p>
    <w:p w14:paraId="776C7BD2">
      <w:pPr>
        <w:spacing w:line="360" w:lineRule="auto"/>
        <w:ind w:firstLine="420" w:firstLineChars="200"/>
        <w:jc w:val="left"/>
        <w:outlineLvl w:val="0"/>
        <w:rPr>
          <w:color w:val="auto"/>
          <w:highlight w:val="none"/>
        </w:rPr>
      </w:pPr>
      <w:r>
        <w:rPr>
          <w:color w:val="auto"/>
          <w:highlight w:val="none"/>
        </w:rPr>
        <w:t xml:space="preserve">15.3.1 </w:t>
      </w:r>
      <w:r>
        <w:rPr>
          <w:rFonts w:hint="eastAsia" w:hAnsi="宋体" w:cs="宋体"/>
          <w:color w:val="auto"/>
          <w:highlight w:val="none"/>
        </w:rPr>
        <w:t>承包人提供质量保证金的方式</w:t>
      </w:r>
    </w:p>
    <w:p w14:paraId="75DDC101">
      <w:pPr>
        <w:spacing w:line="360" w:lineRule="auto"/>
        <w:ind w:firstLine="420" w:firstLineChars="200"/>
        <w:jc w:val="left"/>
        <w:rPr>
          <w:color w:val="auto"/>
          <w:highlight w:val="none"/>
        </w:rPr>
      </w:pPr>
      <w:r>
        <w:rPr>
          <w:rFonts w:hint="eastAsia" w:hAnsi="宋体" w:cs="宋体"/>
          <w:color w:val="auto"/>
          <w:highlight w:val="none"/>
        </w:rPr>
        <w:t>质量保证金采用以下第</w:t>
      </w:r>
      <w:r>
        <w:rPr>
          <w:rFonts w:hint="eastAsia"/>
          <w:color w:val="auto"/>
          <w:highlight w:val="none"/>
          <w:u w:val="single"/>
        </w:rPr>
        <w:t>(2)</w:t>
      </w:r>
      <w:r>
        <w:rPr>
          <w:rFonts w:hint="eastAsia" w:hAnsi="宋体" w:cs="宋体"/>
          <w:color w:val="auto"/>
          <w:highlight w:val="none"/>
        </w:rPr>
        <w:t>种方式：</w:t>
      </w:r>
    </w:p>
    <w:p w14:paraId="5DF9998F">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w:t>
      </w:r>
      <w:r>
        <w:rPr>
          <w:rFonts w:hint="eastAsia" w:hAnsi="宋体" w:cs="宋体"/>
          <w:color w:val="auto"/>
          <w:highlight w:val="none"/>
        </w:rPr>
        <w:t>（银行保函、电子保函、保证保险保函、工程担保保函，</w:t>
      </w:r>
      <w:r>
        <w:rPr>
          <w:rFonts w:hint="eastAsia" w:hAnsi="宋体" w:cs="宋体"/>
          <w:color w:val="auto"/>
          <w:kern w:val="0"/>
          <w:highlight w:val="none"/>
        </w:rPr>
        <w:t>工程担保保证人应将出具的保函相关信息录入“广西建筑市场监管云”平台（http://gxjzsc.caihcloud.com），以实现保函查询及验真功能。</w:t>
      </w:r>
      <w:r>
        <w:rPr>
          <w:rFonts w:hint="eastAsia" w:hAnsi="宋体" w:cs="宋体"/>
          <w:color w:val="auto"/>
          <w:highlight w:val="none"/>
        </w:rPr>
        <w:t>）</w:t>
      </w:r>
      <w:r>
        <w:rPr>
          <w:rFonts w:hint="eastAsia" w:hAnsi="宋体" w:cs="宋体"/>
          <w:color w:val="auto"/>
          <w:kern w:val="0"/>
          <w:highlight w:val="none"/>
        </w:rPr>
        <w:t>，保证金额为：；</w:t>
      </w:r>
    </w:p>
    <w:p w14:paraId="77C4D316">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int="eastAsia" w:hAnsi="宋体"/>
          <w:color w:val="auto"/>
          <w:highlight w:val="none"/>
          <w:u w:val="single"/>
        </w:rPr>
        <w:t>3</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无息</w:t>
      </w:r>
      <w:r>
        <w:rPr>
          <w:rFonts w:hint="eastAsia" w:hAnsi="宋体" w:cs="宋体"/>
          <w:color w:val="auto"/>
          <w:kern w:val="0"/>
          <w:highlight w:val="none"/>
        </w:rPr>
        <w:t>；</w:t>
      </w:r>
    </w:p>
    <w:p w14:paraId="1309689A">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int="eastAsia" w:hAnsi="宋体" w:cs="宋体"/>
          <w:color w:val="auto"/>
          <w:highlight w:val="none"/>
        </w:rPr>
        <w:t>银行转账、电汇或网上支付等形式。</w:t>
      </w:r>
    </w:p>
    <w:p w14:paraId="5C8BACC2">
      <w:pPr>
        <w:spacing w:line="360" w:lineRule="auto"/>
        <w:ind w:firstLine="420" w:firstLineChars="200"/>
        <w:jc w:val="left"/>
        <w:rPr>
          <w:color w:val="auto"/>
          <w:highlight w:val="none"/>
        </w:rPr>
      </w:pPr>
      <w:r>
        <w:rPr>
          <w:color w:val="auto"/>
          <w:highlight w:val="none"/>
        </w:rPr>
        <w:t xml:space="preserve">15.3.2 </w:t>
      </w:r>
      <w:r>
        <w:rPr>
          <w:rFonts w:hint="eastAsia" w:hAnsi="宋体" w:cs="宋体"/>
          <w:color w:val="auto"/>
          <w:highlight w:val="none"/>
        </w:rPr>
        <w:t>质量保证金的扣留</w:t>
      </w:r>
    </w:p>
    <w:p w14:paraId="4E1F1B1B">
      <w:pPr>
        <w:spacing w:line="360" w:lineRule="auto"/>
        <w:ind w:firstLine="420" w:firstLineChars="200"/>
        <w:jc w:val="left"/>
        <w:rPr>
          <w:color w:val="auto"/>
          <w:highlight w:val="none"/>
        </w:rPr>
      </w:pPr>
      <w:r>
        <w:rPr>
          <w:rFonts w:hint="eastAsia" w:hAnsi="宋体" w:cs="宋体"/>
          <w:color w:val="auto"/>
          <w:highlight w:val="none"/>
        </w:rPr>
        <w:t>质量保证金的扣留采取以下第</w:t>
      </w:r>
      <w:r>
        <w:rPr>
          <w:rFonts w:hint="eastAsia"/>
          <w:color w:val="auto"/>
          <w:highlight w:val="none"/>
          <w:u w:val="single"/>
        </w:rPr>
        <w:t>（2）</w:t>
      </w:r>
      <w:r>
        <w:rPr>
          <w:rFonts w:hint="eastAsia" w:hAnsi="宋体" w:cs="宋体"/>
          <w:color w:val="auto"/>
          <w:highlight w:val="none"/>
        </w:rPr>
        <w:t>种方式：</w:t>
      </w:r>
    </w:p>
    <w:p w14:paraId="6F51A3B5">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不缴纳履</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14:paraId="0715EE71">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p>
    <w:p w14:paraId="4BADC594">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color w:val="auto"/>
          <w:kern w:val="0"/>
          <w:highlight w:val="none"/>
        </w:rPr>
        <w:t>:</w:t>
      </w:r>
      <w:r>
        <w:rPr>
          <w:rFonts w:hint="eastAsia" w:ascii="宋体" w:hAnsi="宋体" w:cs="宋体"/>
          <w:color w:val="auto"/>
          <w:kern w:val="0"/>
          <w:szCs w:val="21"/>
          <w:highlight w:val="none"/>
          <w:u w:val="single"/>
        </w:rPr>
        <w:t xml:space="preserve">/ </w:t>
      </w:r>
      <w:r>
        <w:rPr>
          <w:rFonts w:hint="eastAsia" w:hAnsi="宋体" w:cs="宋体"/>
          <w:color w:val="auto"/>
          <w:highlight w:val="none"/>
        </w:rPr>
        <w:t>银行转账、电汇或网上支付、保函（银行保函、电子保函、保证保险保函、工程担保保函）等形式</w:t>
      </w:r>
      <w:r>
        <w:rPr>
          <w:rFonts w:hint="eastAsia" w:hAnsi="宋体" w:cs="宋体"/>
          <w:color w:val="auto"/>
          <w:kern w:val="0"/>
          <w:highlight w:val="none"/>
        </w:rPr>
        <w:t>。</w:t>
      </w:r>
    </w:p>
    <w:p w14:paraId="66D4B4D6">
      <w:pPr>
        <w:spacing w:line="360" w:lineRule="auto"/>
        <w:ind w:firstLine="420" w:firstLineChars="200"/>
        <w:jc w:val="left"/>
        <w:rPr>
          <w:color w:val="auto"/>
          <w:kern w:val="0"/>
          <w:highlight w:val="none"/>
          <w:u w:val="single"/>
        </w:rPr>
      </w:pPr>
      <w:r>
        <w:rPr>
          <w:rFonts w:hint="eastAsia" w:hAnsi="宋体" w:cs="宋体"/>
          <w:color w:val="auto"/>
          <w:highlight w:val="none"/>
        </w:rPr>
        <w:t>关于质量保证金的补充约定：</w:t>
      </w:r>
      <w:r>
        <w:rPr>
          <w:rFonts w:hint="eastAsia" w:ascii="宋体" w:hAnsi="宋体" w:cs="宋体"/>
          <w:color w:val="auto"/>
          <w:kern w:val="0"/>
          <w:szCs w:val="21"/>
          <w:highlight w:val="none"/>
          <w:u w:val="single"/>
        </w:rPr>
        <w:t>在工程项目竣工前，已经缴纳履约保证金的，发包人不得同 时预留工程质量保证金</w:t>
      </w:r>
      <w:r>
        <w:rPr>
          <w:rFonts w:hint="eastAsia" w:hAnsi="宋体" w:cs="宋体"/>
          <w:color w:val="auto"/>
          <w:kern w:val="0"/>
          <w:highlight w:val="none"/>
        </w:rPr>
        <w:t>。</w:t>
      </w:r>
    </w:p>
    <w:bookmarkEnd w:id="1138"/>
    <w:bookmarkEnd w:id="1139"/>
    <w:p w14:paraId="7AE12819">
      <w:pPr>
        <w:keepNext/>
        <w:keepLines/>
        <w:spacing w:line="600" w:lineRule="exact"/>
        <w:ind w:firstLine="643" w:firstLineChars="200"/>
        <w:outlineLvl w:val="2"/>
        <w:rPr>
          <w:b/>
          <w:bCs/>
          <w:color w:val="auto"/>
          <w:sz w:val="32"/>
          <w:szCs w:val="32"/>
          <w:highlight w:val="none"/>
        </w:rPr>
      </w:pPr>
      <w:bookmarkStart w:id="1181" w:name="_Toc196306762"/>
      <w:bookmarkStart w:id="1182" w:name="_Toc389065330"/>
      <w:bookmarkStart w:id="1183" w:name="_Toc407135268"/>
      <w:bookmarkStart w:id="1184" w:name="_Toc373227765"/>
      <w:bookmarkStart w:id="1185" w:name="_Toc373478412"/>
      <w:bookmarkStart w:id="1186" w:name="_Toc1902722111"/>
      <w:bookmarkStart w:id="1187" w:name="_Toc78449854"/>
      <w:r>
        <w:rPr>
          <w:b/>
          <w:bCs/>
          <w:color w:val="auto"/>
          <w:sz w:val="32"/>
          <w:szCs w:val="32"/>
          <w:highlight w:val="none"/>
        </w:rPr>
        <w:t xml:space="preserve">15.4 </w:t>
      </w:r>
      <w:r>
        <w:rPr>
          <w:rFonts w:hint="eastAsia" w:hAnsi="宋体" w:cs="黑体"/>
          <w:b/>
          <w:bCs/>
          <w:color w:val="auto"/>
          <w:sz w:val="32"/>
          <w:szCs w:val="32"/>
          <w:highlight w:val="none"/>
        </w:rPr>
        <w:t>保修</w:t>
      </w:r>
      <w:bookmarkEnd w:id="1181"/>
      <w:bookmarkEnd w:id="1182"/>
      <w:bookmarkEnd w:id="1183"/>
      <w:bookmarkEnd w:id="1184"/>
      <w:bookmarkEnd w:id="1185"/>
      <w:bookmarkEnd w:id="1186"/>
      <w:bookmarkEnd w:id="1187"/>
    </w:p>
    <w:bookmarkEnd w:id="1140"/>
    <w:p w14:paraId="75D5CC89">
      <w:pPr>
        <w:spacing w:line="360" w:lineRule="auto"/>
        <w:ind w:firstLine="409" w:firstLineChars="195"/>
        <w:jc w:val="left"/>
        <w:outlineLvl w:val="0"/>
        <w:rPr>
          <w:color w:val="auto"/>
          <w:highlight w:val="none"/>
        </w:rPr>
      </w:pPr>
      <w:r>
        <w:rPr>
          <w:color w:val="auto"/>
          <w:highlight w:val="none"/>
        </w:rPr>
        <w:t xml:space="preserve">15.4.1 </w:t>
      </w:r>
      <w:r>
        <w:rPr>
          <w:rFonts w:hint="eastAsia" w:hAnsi="宋体" w:cs="宋体"/>
          <w:color w:val="auto"/>
          <w:highlight w:val="none"/>
        </w:rPr>
        <w:t>保修责任</w:t>
      </w:r>
    </w:p>
    <w:p w14:paraId="4F5BC2C5">
      <w:pPr>
        <w:spacing w:line="360" w:lineRule="auto"/>
        <w:ind w:firstLine="409" w:firstLineChars="195"/>
        <w:jc w:val="left"/>
        <w:rPr>
          <w:rFonts w:ascii="宋体" w:hAnsi="宋体" w:cs="宋体"/>
          <w:color w:val="auto"/>
          <w:kern w:val="0"/>
          <w:highlight w:val="none"/>
          <w:u w:val="single"/>
        </w:rPr>
      </w:pPr>
      <w:r>
        <w:rPr>
          <w:rFonts w:hint="eastAsia" w:hAnsi="宋体" w:cs="宋体"/>
          <w:color w:val="auto"/>
          <w:highlight w:val="none"/>
        </w:rPr>
        <w:t>工程保修期为：</w:t>
      </w:r>
      <w:r>
        <w:rPr>
          <w:rFonts w:hint="eastAsia" w:ascii="宋体" w:hAnsi="宋体" w:cs="宋体"/>
          <w:color w:val="auto"/>
          <w:kern w:val="0"/>
          <w:highlight w:val="none"/>
          <w:u w:val="single"/>
        </w:rPr>
        <w:t>工程质量保修期按照保修合同约定</w:t>
      </w:r>
      <w:r>
        <w:rPr>
          <w:rFonts w:hint="eastAsia" w:ascii="宋体" w:hAnsi="宋体" w:cs="宋体"/>
          <w:color w:val="auto"/>
          <w:highlight w:val="none"/>
          <w:u w:val="single"/>
        </w:rPr>
        <w:t>。质量保修期自工程竣工验收合格后签发工程</w:t>
      </w:r>
      <w:r>
        <w:rPr>
          <w:rFonts w:hint="eastAsia" w:ascii="宋体" w:hAnsi="宋体" w:cs="宋体"/>
          <w:color w:val="auto"/>
          <w:kern w:val="0"/>
          <w:highlight w:val="none"/>
          <w:u w:val="single"/>
        </w:rPr>
        <w:t>移交书之日起开始 。</w:t>
      </w:r>
    </w:p>
    <w:p w14:paraId="5B821765">
      <w:pPr>
        <w:spacing w:line="360" w:lineRule="auto"/>
        <w:ind w:firstLine="409" w:firstLineChars="195"/>
        <w:jc w:val="left"/>
        <w:rPr>
          <w:rFonts w:ascii="宋体" w:hAnsi="宋体" w:cs="宋体"/>
          <w:color w:val="auto"/>
          <w:kern w:val="0"/>
          <w:highlight w:val="none"/>
          <w:u w:val="single"/>
        </w:rPr>
      </w:pPr>
      <w:r>
        <w:rPr>
          <w:rFonts w:hint="eastAsia" w:ascii="宋体" w:hAnsi="宋体" w:cs="宋体"/>
          <w:color w:val="auto"/>
          <w:kern w:val="0"/>
          <w:highlight w:val="none"/>
          <w:u w:val="single"/>
        </w:rPr>
        <w:t>1)属于保修范围、内容的项目，经发包人在一个工作日内把维修内容预计费用通知承包人（书面、电信通知均可），承包人在接到通知二个工作日内，须进场维修。如逾期不进场维修的，视承包人同意发包人另行安排其他施工单位进场维修，所需维修费由发包人结算，发包人凭实际支付款凭证在保修金中扣除。保修金不足以支付保修费用的，承包人在保修金不足的时候开始7天内补足所需的保修费用，否则发包人按法定程序向承包人索赔超出部分费用。</w:t>
      </w:r>
    </w:p>
    <w:p w14:paraId="0CBA9062">
      <w:pPr>
        <w:spacing w:line="360" w:lineRule="auto"/>
        <w:ind w:firstLine="409" w:firstLineChars="195"/>
        <w:jc w:val="left"/>
        <w:rPr>
          <w:rFonts w:ascii="宋体" w:hAnsi="宋体" w:cs="宋体"/>
          <w:color w:val="auto"/>
          <w:kern w:val="0"/>
          <w:highlight w:val="none"/>
          <w:u w:val="single"/>
        </w:rPr>
      </w:pPr>
      <w:r>
        <w:rPr>
          <w:rFonts w:hint="eastAsia" w:ascii="宋体" w:hAnsi="宋体" w:cs="宋体"/>
          <w:color w:val="auto"/>
          <w:kern w:val="0"/>
          <w:highlight w:val="none"/>
          <w:u w:val="single"/>
        </w:rPr>
        <w:t>2)保修期内工程质量缺陷维修费用由承包人垫付，保修费用最终由造成质量缺陷的责任方承担。</w:t>
      </w:r>
    </w:p>
    <w:p w14:paraId="61F3BD2A">
      <w:pPr>
        <w:spacing w:line="360" w:lineRule="auto"/>
        <w:ind w:firstLine="409" w:firstLineChars="195"/>
        <w:jc w:val="left"/>
        <w:rPr>
          <w:rFonts w:ascii="宋体" w:hAnsi="宋体" w:cs="宋体"/>
          <w:color w:val="auto"/>
          <w:kern w:val="0"/>
          <w:highlight w:val="none"/>
          <w:u w:val="single"/>
        </w:rPr>
      </w:pPr>
      <w:r>
        <w:rPr>
          <w:rFonts w:hint="eastAsia" w:ascii="宋体" w:hAnsi="宋体" w:cs="宋体"/>
          <w:color w:val="auto"/>
          <w:kern w:val="0"/>
          <w:highlight w:val="none"/>
          <w:u w:val="single"/>
        </w:rPr>
        <w:t>3)确认保修责任已完成，签发《保修终结书》可以按保修项目分段签发。</w:t>
      </w:r>
    </w:p>
    <w:p w14:paraId="3ABE8181">
      <w:pPr>
        <w:spacing w:line="360" w:lineRule="auto"/>
        <w:ind w:firstLine="409" w:firstLineChars="195"/>
        <w:jc w:val="left"/>
        <w:rPr>
          <w:rFonts w:ascii="宋体" w:hAnsi="宋体" w:cs="宋体"/>
          <w:color w:val="auto"/>
          <w:kern w:val="0"/>
          <w:highlight w:val="none"/>
          <w:u w:val="single"/>
        </w:rPr>
      </w:pPr>
      <w:r>
        <w:rPr>
          <w:rFonts w:hint="eastAsia" w:ascii="宋体" w:hAnsi="宋体" w:cs="宋体"/>
          <w:color w:val="auto"/>
          <w:kern w:val="0"/>
          <w:highlight w:val="none"/>
          <w:u w:val="single"/>
        </w:rPr>
        <w:t>4)工程保修期满后经发包人审核并经使用单位进行质量保修确认，在30天内将保修金的剩余部分无息返还承包人 。</w:t>
      </w:r>
    </w:p>
    <w:p w14:paraId="06847915">
      <w:pPr>
        <w:spacing w:line="360" w:lineRule="auto"/>
        <w:ind w:firstLine="409" w:firstLineChars="195"/>
        <w:jc w:val="left"/>
        <w:rPr>
          <w:color w:val="auto"/>
          <w:kern w:val="0"/>
          <w:highlight w:val="none"/>
          <w:u w:val="single"/>
        </w:rPr>
      </w:pPr>
      <w:r>
        <w:rPr>
          <w:rFonts w:hint="eastAsia" w:ascii="宋体" w:hAnsi="宋体" w:cs="宋体"/>
          <w:color w:val="auto"/>
          <w:highlight w:val="none"/>
        </w:rPr>
        <w:t>工程保修书具体内容见合同附件</w:t>
      </w:r>
      <w:r>
        <w:rPr>
          <w:rFonts w:ascii="宋体" w:hAnsi="宋体" w:cs="宋体"/>
          <w:color w:val="auto"/>
          <w:highlight w:val="none"/>
        </w:rPr>
        <w:t>4</w:t>
      </w:r>
      <w:r>
        <w:rPr>
          <w:rFonts w:hint="eastAsia" w:ascii="宋体" w:hAnsi="宋体" w:cs="宋体"/>
          <w:color w:val="auto"/>
          <w:highlight w:val="none"/>
        </w:rPr>
        <w:t>。</w:t>
      </w:r>
    </w:p>
    <w:p w14:paraId="5386107B">
      <w:pPr>
        <w:spacing w:line="360" w:lineRule="auto"/>
        <w:ind w:firstLine="409" w:firstLineChars="195"/>
        <w:jc w:val="left"/>
        <w:rPr>
          <w:color w:val="auto"/>
          <w:highlight w:val="none"/>
        </w:rPr>
      </w:pPr>
      <w:r>
        <w:rPr>
          <w:color w:val="auto"/>
          <w:highlight w:val="none"/>
        </w:rPr>
        <w:t xml:space="preserve">15.4.3 </w:t>
      </w:r>
      <w:r>
        <w:rPr>
          <w:rFonts w:hint="eastAsia" w:hAnsi="宋体" w:cs="宋体"/>
          <w:color w:val="auto"/>
          <w:highlight w:val="none"/>
        </w:rPr>
        <w:t>修复通知</w:t>
      </w:r>
    </w:p>
    <w:p w14:paraId="00CE6052">
      <w:pPr>
        <w:ind w:firstLine="420" w:firstLineChars="200"/>
        <w:jc w:val="left"/>
        <w:rPr>
          <w:rFonts w:hAnsi="宋体" w:cs="宋体"/>
          <w:color w:val="auto"/>
          <w:kern w:val="0"/>
          <w:highlight w:val="none"/>
        </w:rPr>
      </w:pPr>
      <w:r>
        <w:rPr>
          <w:rFonts w:hint="eastAsia" w:hAnsi="宋体" w:cs="宋体"/>
          <w:color w:val="auto"/>
          <w:kern w:val="0"/>
          <w:highlight w:val="none"/>
        </w:rPr>
        <w:t>承包人收到保修通知并到达工程现场的合理时间：</w:t>
      </w:r>
      <w:r>
        <w:rPr>
          <w:rFonts w:hint="eastAsia" w:ascii="宋体" w:hAnsi="宋体" w:cs="宋体"/>
          <w:color w:val="auto"/>
          <w:kern w:val="0"/>
          <w:highlight w:val="none"/>
          <w:u w:val="single"/>
        </w:rPr>
        <w:t>24小时内</w:t>
      </w:r>
      <w:r>
        <w:rPr>
          <w:rFonts w:hint="eastAsia" w:hAnsi="宋体" w:cs="宋体"/>
          <w:color w:val="auto"/>
          <w:kern w:val="0"/>
          <w:highlight w:val="none"/>
        </w:rPr>
        <w:t>。</w:t>
      </w:r>
    </w:p>
    <w:p w14:paraId="7FB9E08A">
      <w:pPr>
        <w:ind w:firstLine="420" w:firstLineChars="200"/>
        <w:jc w:val="left"/>
        <w:rPr>
          <w:rFonts w:ascii="Calibri" w:hAnsi="宋体" w:cs="宋体"/>
          <w:color w:val="auto"/>
          <w:kern w:val="0"/>
          <w:szCs w:val="22"/>
          <w:highlight w:val="none"/>
        </w:rPr>
      </w:pPr>
      <w:r>
        <w:rPr>
          <w:rFonts w:hint="eastAsia"/>
          <w:color w:val="auto"/>
          <w:highlight w:val="none"/>
        </w:rPr>
        <w:t xml:space="preserve">15.4.4 </w:t>
      </w:r>
      <w:r>
        <w:rPr>
          <w:rFonts w:hint="eastAsia" w:ascii="Calibri" w:hAnsi="宋体" w:cs="宋体"/>
          <w:color w:val="auto"/>
          <w:kern w:val="0"/>
          <w:szCs w:val="22"/>
          <w:highlight w:val="none"/>
        </w:rPr>
        <w:t>在质量保修期内因项目质量问题引起的投诉纠纷由承包人负责</w:t>
      </w:r>
      <w:r>
        <w:rPr>
          <w:rFonts w:hint="eastAsia" w:hAnsi="宋体" w:cs="宋体"/>
          <w:color w:val="auto"/>
          <w:kern w:val="0"/>
          <w:szCs w:val="22"/>
          <w:highlight w:val="none"/>
        </w:rPr>
        <w:t>，承包人收到保修通知并</w:t>
      </w:r>
      <w:r>
        <w:rPr>
          <w:rFonts w:hint="eastAsia" w:hAnsi="宋体" w:cs="宋体"/>
          <w:color w:val="auto"/>
          <w:kern w:val="0"/>
          <w:szCs w:val="22"/>
          <w:highlight w:val="none"/>
          <w:u w:val="single"/>
        </w:rPr>
        <w:t>48小时内未到达现场进行处理的，由发包人进行修复，其修复产生的费用在质保金中扣除</w:t>
      </w:r>
      <w:r>
        <w:rPr>
          <w:rFonts w:hint="eastAsia" w:hAnsi="宋体" w:cs="宋体"/>
          <w:color w:val="auto"/>
          <w:kern w:val="0"/>
          <w:szCs w:val="22"/>
          <w:highlight w:val="none"/>
        </w:rPr>
        <w:t>。</w:t>
      </w:r>
    </w:p>
    <w:p w14:paraId="1B0E503B">
      <w:pPr>
        <w:spacing w:line="360" w:lineRule="auto"/>
        <w:ind w:firstLine="409" w:firstLineChars="195"/>
        <w:jc w:val="left"/>
        <w:rPr>
          <w:color w:val="auto"/>
          <w:kern w:val="0"/>
          <w:highlight w:val="none"/>
          <w:u w:val="single"/>
        </w:rPr>
      </w:pPr>
    </w:p>
    <w:bookmarkEnd w:id="1141"/>
    <w:bookmarkEnd w:id="1142"/>
    <w:bookmarkEnd w:id="1143"/>
    <w:bookmarkEnd w:id="1144"/>
    <w:p w14:paraId="72A88BBD">
      <w:pPr>
        <w:keepNext/>
        <w:keepLines/>
        <w:spacing w:before="260" w:after="260" w:line="413" w:lineRule="auto"/>
        <w:outlineLvl w:val="1"/>
        <w:rPr>
          <w:rFonts w:ascii="Arial" w:hAnsi="Arial" w:eastAsia="黑体"/>
          <w:b/>
          <w:bCs/>
          <w:color w:val="auto"/>
          <w:sz w:val="32"/>
          <w:szCs w:val="32"/>
          <w:highlight w:val="none"/>
        </w:rPr>
      </w:pPr>
      <w:bookmarkStart w:id="1188" w:name="_Toc389065331"/>
      <w:bookmarkStart w:id="1189" w:name="_Toc373478413"/>
      <w:bookmarkStart w:id="1190" w:name="_Toc373227766"/>
      <w:bookmarkStart w:id="1191" w:name="_Toc1725581915"/>
      <w:bookmarkStart w:id="1192" w:name="_Toc1360137061"/>
      <w:bookmarkStart w:id="1193" w:name="_Toc351203648"/>
      <w:bookmarkStart w:id="1194" w:name="_Toc407135269"/>
      <w:bookmarkStart w:id="1195" w:name="_Toc78449855"/>
      <w:bookmarkStart w:id="1196" w:name="_Toc280868717"/>
      <w:bookmarkStart w:id="1197" w:name="_Toc280868718"/>
      <w:r>
        <w:rPr>
          <w:rFonts w:ascii="Arial" w:hAnsi="Arial" w:eastAsia="黑体"/>
          <w:b/>
          <w:bCs/>
          <w:color w:val="auto"/>
          <w:sz w:val="32"/>
          <w:szCs w:val="32"/>
          <w:highlight w:val="none"/>
        </w:rPr>
        <w:t xml:space="preserve">16. </w:t>
      </w:r>
      <w:r>
        <w:rPr>
          <w:rFonts w:hint="eastAsia" w:ascii="Arial" w:hAnsi="宋体" w:eastAsia="黑体" w:cs="黑体"/>
          <w:b/>
          <w:bCs/>
          <w:color w:val="auto"/>
          <w:sz w:val="32"/>
          <w:szCs w:val="32"/>
          <w:highlight w:val="none"/>
        </w:rPr>
        <w:t>违约</w:t>
      </w:r>
      <w:bookmarkEnd w:id="1188"/>
      <w:bookmarkEnd w:id="1189"/>
      <w:bookmarkEnd w:id="1190"/>
      <w:bookmarkEnd w:id="1191"/>
      <w:bookmarkEnd w:id="1192"/>
      <w:bookmarkEnd w:id="1193"/>
      <w:bookmarkEnd w:id="1194"/>
      <w:bookmarkEnd w:id="1195"/>
    </w:p>
    <w:p w14:paraId="4CC94B4F">
      <w:pPr>
        <w:keepNext/>
        <w:keepLines/>
        <w:spacing w:line="600" w:lineRule="exact"/>
        <w:ind w:firstLine="643" w:firstLineChars="200"/>
        <w:outlineLvl w:val="2"/>
        <w:rPr>
          <w:b/>
          <w:bCs/>
          <w:color w:val="auto"/>
          <w:sz w:val="32"/>
          <w:szCs w:val="32"/>
          <w:highlight w:val="none"/>
        </w:rPr>
      </w:pPr>
      <w:bookmarkStart w:id="1198" w:name="_Toc78449856"/>
      <w:bookmarkStart w:id="1199" w:name="_Toc1535389315"/>
      <w:bookmarkStart w:id="1200" w:name="_Toc389065332"/>
      <w:bookmarkStart w:id="1201" w:name="_Toc407135270"/>
      <w:bookmarkStart w:id="1202" w:name="_Toc373478414"/>
      <w:bookmarkStart w:id="1203" w:name="_Toc373227767"/>
      <w:bookmarkStart w:id="1204" w:name="_Toc1973395665"/>
      <w:r>
        <w:rPr>
          <w:b/>
          <w:bCs/>
          <w:color w:val="auto"/>
          <w:sz w:val="32"/>
          <w:szCs w:val="32"/>
          <w:highlight w:val="none"/>
        </w:rPr>
        <w:t xml:space="preserve">16.1 </w:t>
      </w:r>
      <w:r>
        <w:rPr>
          <w:rFonts w:hint="eastAsia" w:hAnsi="宋体" w:cs="黑体"/>
          <w:b/>
          <w:bCs/>
          <w:color w:val="auto"/>
          <w:sz w:val="32"/>
          <w:szCs w:val="32"/>
          <w:highlight w:val="none"/>
        </w:rPr>
        <w:t>发包人违约</w:t>
      </w:r>
      <w:bookmarkEnd w:id="1198"/>
      <w:bookmarkEnd w:id="1199"/>
      <w:bookmarkEnd w:id="1200"/>
      <w:bookmarkEnd w:id="1201"/>
      <w:bookmarkEnd w:id="1202"/>
      <w:bookmarkEnd w:id="1203"/>
      <w:bookmarkEnd w:id="1204"/>
    </w:p>
    <w:p w14:paraId="0F839E23">
      <w:pPr>
        <w:spacing w:line="360" w:lineRule="auto"/>
        <w:ind w:firstLine="420" w:firstLineChars="200"/>
        <w:jc w:val="left"/>
        <w:rPr>
          <w:color w:val="auto"/>
          <w:highlight w:val="none"/>
        </w:rPr>
      </w:pPr>
      <w:r>
        <w:rPr>
          <w:color w:val="auto"/>
          <w:highlight w:val="none"/>
        </w:rPr>
        <w:t>16.1.1</w:t>
      </w:r>
      <w:r>
        <w:rPr>
          <w:rFonts w:hint="eastAsia" w:hAnsi="宋体" w:cs="宋体"/>
          <w:color w:val="auto"/>
          <w:highlight w:val="none"/>
        </w:rPr>
        <w:t>发包人违约的情形</w:t>
      </w:r>
    </w:p>
    <w:p w14:paraId="08B06D92">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发包人违约的其他情形：</w:t>
      </w:r>
      <w:r>
        <w:rPr>
          <w:rFonts w:hint="eastAsia" w:ascii="宋体" w:hAnsi="宋体" w:cs="宋体"/>
          <w:color w:val="auto"/>
          <w:highlight w:val="none"/>
          <w:u w:val="single"/>
        </w:rPr>
        <w:t>按本合同《通用条款》执行</w:t>
      </w:r>
      <w:r>
        <w:rPr>
          <w:rFonts w:hint="eastAsia" w:hAnsi="宋体" w:cs="宋体"/>
          <w:color w:val="auto"/>
          <w:kern w:val="0"/>
          <w:highlight w:val="none"/>
        </w:rPr>
        <w:t>。</w:t>
      </w:r>
    </w:p>
    <w:p w14:paraId="59F64F0F">
      <w:pPr>
        <w:spacing w:line="360" w:lineRule="auto"/>
        <w:ind w:firstLine="420" w:firstLineChars="200"/>
        <w:jc w:val="left"/>
        <w:outlineLvl w:val="0"/>
        <w:rPr>
          <w:color w:val="auto"/>
          <w:kern w:val="0"/>
          <w:highlight w:val="none"/>
        </w:rPr>
      </w:pPr>
      <w:r>
        <w:rPr>
          <w:color w:val="auto"/>
          <w:kern w:val="0"/>
          <w:highlight w:val="none"/>
        </w:rPr>
        <w:t xml:space="preserve">16.1.2 </w:t>
      </w:r>
      <w:r>
        <w:rPr>
          <w:rFonts w:hint="eastAsia" w:hAnsi="宋体" w:cs="宋体"/>
          <w:color w:val="auto"/>
          <w:kern w:val="0"/>
          <w:highlight w:val="none"/>
        </w:rPr>
        <w:t>发包人违约的责任</w:t>
      </w:r>
    </w:p>
    <w:p w14:paraId="0A89DFA6">
      <w:pPr>
        <w:spacing w:line="360" w:lineRule="auto"/>
        <w:ind w:firstLine="420" w:firstLineChars="200"/>
        <w:jc w:val="left"/>
        <w:rPr>
          <w:color w:val="auto"/>
          <w:kern w:val="0"/>
          <w:highlight w:val="none"/>
        </w:rPr>
      </w:pPr>
      <w:r>
        <w:rPr>
          <w:rFonts w:hint="eastAsia" w:hAnsi="宋体" w:cs="宋体"/>
          <w:color w:val="auto"/>
          <w:kern w:val="0"/>
          <w:highlight w:val="none"/>
        </w:rPr>
        <w:t>发包人违约责任的承担方式和计算方法：</w:t>
      </w:r>
    </w:p>
    <w:p w14:paraId="1B47B67D">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rFonts w:hint="eastAsia" w:ascii="宋体" w:hAnsi="宋体" w:cs="宋体"/>
          <w:color w:val="auto"/>
          <w:highlight w:val="none"/>
          <w:u w:val="single"/>
        </w:rPr>
        <w:t>工期相应顺延</w:t>
      </w:r>
      <w:r>
        <w:rPr>
          <w:rFonts w:hint="eastAsia" w:hAnsi="宋体" w:cs="宋体"/>
          <w:color w:val="auto"/>
          <w:kern w:val="0"/>
          <w:highlight w:val="none"/>
        </w:rPr>
        <w:t>。</w:t>
      </w:r>
    </w:p>
    <w:p w14:paraId="4CF22C1C">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rFonts w:hint="eastAsia" w:ascii="宋体" w:hAnsi="宋体" w:cs="宋体"/>
          <w:color w:val="auto"/>
          <w:highlight w:val="none"/>
          <w:u w:val="single"/>
        </w:rPr>
        <w:t>承包人与发包人签订延期付款协议，延期付款协议须双方认可</w:t>
      </w:r>
      <w:r>
        <w:rPr>
          <w:rFonts w:hint="eastAsia" w:hAnsi="宋体" w:cs="宋体"/>
          <w:color w:val="auto"/>
          <w:kern w:val="0"/>
          <w:highlight w:val="none"/>
        </w:rPr>
        <w:t>。</w:t>
      </w:r>
    </w:p>
    <w:p w14:paraId="40EF04D3">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rFonts w:hint="eastAsia" w:ascii="宋体" w:hAnsi="宋体" w:cs="宋体"/>
          <w:color w:val="auto"/>
          <w:highlight w:val="none"/>
          <w:u w:val="single"/>
        </w:rPr>
        <w:t>若发生</w:t>
      </w:r>
      <w:r>
        <w:rPr>
          <w:rFonts w:ascii="宋体" w:hAnsi="宋体" w:cs="宋体"/>
          <w:color w:val="auto"/>
          <w:highlight w:val="none"/>
          <w:u w:val="single"/>
        </w:rPr>
        <w:t>工程量增减</w:t>
      </w:r>
      <w:r>
        <w:rPr>
          <w:rFonts w:hint="eastAsia" w:ascii="宋体" w:hAnsi="宋体" w:cs="宋体"/>
          <w:color w:val="auto"/>
          <w:highlight w:val="none"/>
          <w:u w:val="single"/>
        </w:rPr>
        <w:t>，发包人按实施部分合同价款</w:t>
      </w:r>
      <w:r>
        <w:rPr>
          <w:rFonts w:ascii="宋体" w:hAnsi="宋体" w:cs="宋体"/>
          <w:color w:val="auto"/>
          <w:highlight w:val="none"/>
          <w:u w:val="single"/>
        </w:rPr>
        <w:t>与</w:t>
      </w:r>
      <w:r>
        <w:rPr>
          <w:rFonts w:hint="eastAsia" w:ascii="宋体" w:hAnsi="宋体" w:cs="宋体"/>
          <w:color w:val="auto"/>
          <w:highlight w:val="none"/>
          <w:u w:val="single"/>
        </w:rPr>
        <w:t>承包人</w:t>
      </w:r>
      <w:r>
        <w:rPr>
          <w:rFonts w:ascii="宋体" w:hAnsi="宋体" w:cs="宋体"/>
          <w:color w:val="auto"/>
          <w:highlight w:val="none"/>
          <w:u w:val="single"/>
        </w:rPr>
        <w:t>据实结算</w:t>
      </w:r>
      <w:r>
        <w:rPr>
          <w:rFonts w:hint="eastAsia" w:hAnsi="宋体" w:cs="宋体"/>
          <w:color w:val="auto"/>
          <w:kern w:val="0"/>
          <w:highlight w:val="none"/>
        </w:rPr>
        <w:t>。</w:t>
      </w:r>
    </w:p>
    <w:p w14:paraId="26713AAC">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rFonts w:hint="eastAsia" w:ascii="宋体" w:hAnsi="宋体" w:cs="宋体"/>
          <w:color w:val="auto"/>
          <w:highlight w:val="none"/>
          <w:u w:val="single"/>
        </w:rPr>
        <w:t>影响关键线路工期的工期相应顺延，导致承包人费用增加的，发包人承担相应费用</w:t>
      </w:r>
      <w:r>
        <w:rPr>
          <w:rFonts w:hint="eastAsia" w:hAnsi="宋体" w:cs="宋体"/>
          <w:color w:val="auto"/>
          <w:kern w:val="0"/>
          <w:highlight w:val="none"/>
        </w:rPr>
        <w:t>。</w:t>
      </w:r>
    </w:p>
    <w:p w14:paraId="4BB57955">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rFonts w:ascii="宋体" w:hAnsi="宋体" w:cs="宋体"/>
          <w:color w:val="auto"/>
          <w:kern w:val="0"/>
          <w:highlight w:val="none"/>
          <w:u w:val="single"/>
        </w:rPr>
        <w:t>经双方确认一致的，</w:t>
      </w:r>
      <w:r>
        <w:rPr>
          <w:rFonts w:hint="eastAsia" w:ascii="宋体" w:hAnsi="宋体" w:cs="宋体"/>
          <w:color w:val="auto"/>
          <w:highlight w:val="none"/>
          <w:u w:val="single"/>
        </w:rPr>
        <w:t>所耽误的工期相应顺延</w:t>
      </w:r>
      <w:r>
        <w:rPr>
          <w:rFonts w:hint="eastAsia" w:hAnsi="宋体" w:cs="宋体"/>
          <w:color w:val="auto"/>
          <w:kern w:val="0"/>
          <w:highlight w:val="none"/>
        </w:rPr>
        <w:t>。</w:t>
      </w:r>
    </w:p>
    <w:p w14:paraId="39124543">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rFonts w:ascii="宋体" w:hAnsi="宋体" w:cs="宋体"/>
          <w:color w:val="auto"/>
          <w:kern w:val="0"/>
          <w:highlight w:val="none"/>
          <w:u w:val="single"/>
        </w:rPr>
        <w:t>经双方确认一致的，</w:t>
      </w:r>
      <w:r>
        <w:rPr>
          <w:rFonts w:hint="eastAsia" w:ascii="宋体" w:hAnsi="宋体" w:cs="宋体"/>
          <w:color w:val="auto"/>
          <w:highlight w:val="none"/>
          <w:u w:val="single"/>
        </w:rPr>
        <w:t>所耽误的工期相应顺延</w:t>
      </w:r>
      <w:r>
        <w:rPr>
          <w:rFonts w:hint="eastAsia" w:hAnsi="宋体" w:cs="宋体"/>
          <w:color w:val="auto"/>
          <w:kern w:val="0"/>
          <w:highlight w:val="none"/>
        </w:rPr>
        <w:t>。</w:t>
      </w:r>
    </w:p>
    <w:p w14:paraId="4A6E0544">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rFonts w:hint="eastAsia" w:ascii="宋体" w:hAnsi="宋体" w:cs="宋体"/>
          <w:color w:val="auto"/>
          <w:kern w:val="0"/>
          <w:highlight w:val="none"/>
          <w:u w:val="single"/>
        </w:rPr>
        <w:t xml:space="preserve"> / </w:t>
      </w:r>
      <w:r>
        <w:rPr>
          <w:rFonts w:hint="eastAsia" w:hAnsi="宋体" w:cs="宋体"/>
          <w:color w:val="auto"/>
          <w:kern w:val="0"/>
          <w:highlight w:val="none"/>
        </w:rPr>
        <w:t>。</w:t>
      </w:r>
    </w:p>
    <w:p w14:paraId="465A456F">
      <w:pPr>
        <w:spacing w:line="360" w:lineRule="auto"/>
        <w:ind w:firstLine="420" w:firstLineChars="200"/>
        <w:jc w:val="left"/>
        <w:rPr>
          <w:color w:val="auto"/>
          <w:highlight w:val="none"/>
        </w:rPr>
      </w:pPr>
      <w:r>
        <w:rPr>
          <w:color w:val="auto"/>
          <w:highlight w:val="none"/>
        </w:rPr>
        <w:t xml:space="preserve">16.1.3 </w:t>
      </w:r>
      <w:r>
        <w:rPr>
          <w:rFonts w:hint="eastAsia" w:hAnsi="宋体" w:cs="宋体"/>
          <w:color w:val="auto"/>
          <w:highlight w:val="none"/>
        </w:rPr>
        <w:t>因发包人违约解除合同</w:t>
      </w:r>
    </w:p>
    <w:p w14:paraId="484A3D81">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rFonts w:hint="eastAsia"/>
          <w:color w:val="auto"/>
          <w:kern w:val="0"/>
          <w:highlight w:val="none"/>
          <w:u w:val="single"/>
        </w:rPr>
        <w:t>28</w:t>
      </w:r>
      <w:r>
        <w:rPr>
          <w:rFonts w:hint="eastAsia" w:hAnsi="宋体" w:cs="宋体"/>
          <w:color w:val="auto"/>
          <w:kern w:val="0"/>
          <w:highlight w:val="none"/>
        </w:rPr>
        <w:t>天后发包人仍不纠正其违约行为并致使合同目的不能实现的，承包人有权解除合同。</w:t>
      </w:r>
    </w:p>
    <w:p w14:paraId="5735FD38">
      <w:pPr>
        <w:keepNext/>
        <w:keepLines/>
        <w:spacing w:line="600" w:lineRule="exact"/>
        <w:ind w:firstLine="643" w:firstLineChars="200"/>
        <w:outlineLvl w:val="2"/>
        <w:rPr>
          <w:b/>
          <w:bCs/>
          <w:color w:val="auto"/>
          <w:sz w:val="32"/>
          <w:szCs w:val="32"/>
          <w:highlight w:val="none"/>
        </w:rPr>
      </w:pPr>
      <w:bookmarkStart w:id="1205" w:name="_Toc61078193"/>
      <w:bookmarkStart w:id="1206" w:name="_Toc373227768"/>
      <w:bookmarkStart w:id="1207" w:name="_Toc389065333"/>
      <w:bookmarkStart w:id="1208" w:name="_Toc373478415"/>
      <w:bookmarkStart w:id="1209" w:name="_Toc78449857"/>
      <w:bookmarkStart w:id="1210" w:name="_Toc407135271"/>
      <w:bookmarkStart w:id="1211" w:name="_Toc247586342"/>
      <w:r>
        <w:rPr>
          <w:b/>
          <w:bCs/>
          <w:color w:val="auto"/>
          <w:sz w:val="32"/>
          <w:szCs w:val="32"/>
          <w:highlight w:val="none"/>
        </w:rPr>
        <w:t xml:space="preserve">16.2 </w:t>
      </w:r>
      <w:r>
        <w:rPr>
          <w:rFonts w:hint="eastAsia" w:hAnsi="宋体" w:cs="黑体"/>
          <w:b/>
          <w:bCs/>
          <w:color w:val="auto"/>
          <w:sz w:val="32"/>
          <w:szCs w:val="32"/>
          <w:highlight w:val="none"/>
        </w:rPr>
        <w:t>承包人违约</w:t>
      </w:r>
      <w:bookmarkEnd w:id="1205"/>
      <w:bookmarkEnd w:id="1206"/>
      <w:bookmarkEnd w:id="1207"/>
      <w:bookmarkEnd w:id="1208"/>
      <w:bookmarkEnd w:id="1209"/>
      <w:bookmarkEnd w:id="1210"/>
      <w:bookmarkEnd w:id="1211"/>
    </w:p>
    <w:p w14:paraId="68B136C8">
      <w:pPr>
        <w:spacing w:line="360" w:lineRule="auto"/>
        <w:ind w:firstLine="420" w:firstLineChars="200"/>
        <w:jc w:val="left"/>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14:paraId="3B46E6C4">
      <w:pPr>
        <w:spacing w:line="360" w:lineRule="auto"/>
        <w:ind w:firstLine="420" w:firstLineChars="200"/>
        <w:jc w:val="left"/>
        <w:rPr>
          <w:color w:val="auto"/>
          <w:kern w:val="0"/>
          <w:highlight w:val="none"/>
          <w:u w:val="single"/>
        </w:rPr>
      </w:pPr>
      <w:r>
        <w:rPr>
          <w:rFonts w:hint="eastAsia" w:hAnsi="宋体" w:cs="宋体"/>
          <w:color w:val="auto"/>
          <w:kern w:val="0"/>
          <w:highlight w:val="none"/>
        </w:rPr>
        <w:t>承包人违约的其他情形：</w:t>
      </w:r>
      <w:r>
        <w:rPr>
          <w:rFonts w:hint="eastAsia" w:ascii="宋体" w:hAnsi="宋体" w:cs="宋体"/>
          <w:color w:val="auto"/>
          <w:kern w:val="0"/>
          <w:highlight w:val="none"/>
          <w:u w:val="single"/>
        </w:rPr>
        <w:t xml:space="preserve"> 承包人违约的其他情形：承包人存在以下行为的，发包人有权要  求解除合同，并由承包人承担由此引起的一切损失，并负责由此引起的一切法律责任，并赔偿由  此引起的发包人的一切经济损失。1、本工程具体分项工程完成时间应服从发包人的总体要求，  如果因承包人原因导致实际进度与发包人要求的进度计划不符，承包人无措施或无法按工期完工  或质量无法达到合同要求的，发包人有权对部分分项工程指定第三方施工，承包人必须无条件服  从和配合；此分项工程费用由发包人按实际发生费用从承包人的工程款中扣除，并加收10%的管  理费。2、承包人未按照程序报验的，每次向发包人支付1000元违约金；工序验收不合格的，每  次向发包人支付2000元违约金。违约金在发包人履行书面告知程序(监理签发)后，承包人必  须按时向发包人缴纳违约金。3、承包人须服从发包人发布的各项符合现行法律法规的管理规定， 如承包人不服从发包人及监理工程师的管理，每次向发包人支付1000元违约赔偿金。4、工程竣  工验收合格后30天内，承包人必须将符合发包人要求的竣工资料上报给发包人，否则每延迟一  天支付1000元作为违约金。5、工程竣工验收合格后30天内，承包人必须将符合发包人要求的  竣工结算书及相关资料上报给发包人，否则每延迟一天支付5000元作为违约金</w:t>
      </w:r>
      <w:r>
        <w:rPr>
          <w:rFonts w:hint="eastAsia" w:hAnsi="宋体" w:cs="宋体"/>
          <w:color w:val="auto"/>
          <w:kern w:val="0"/>
          <w:highlight w:val="none"/>
        </w:rPr>
        <w:t>。</w:t>
      </w:r>
    </w:p>
    <w:p w14:paraId="16C8211A">
      <w:pPr>
        <w:spacing w:line="360" w:lineRule="auto"/>
        <w:ind w:firstLine="420" w:firstLineChars="200"/>
        <w:jc w:val="left"/>
        <w:outlineLvl w:val="0"/>
        <w:rPr>
          <w:color w:val="auto"/>
          <w:kern w:val="0"/>
          <w:highlight w:val="none"/>
        </w:rPr>
      </w:pPr>
      <w:r>
        <w:rPr>
          <w:color w:val="auto"/>
          <w:kern w:val="0"/>
          <w:highlight w:val="none"/>
        </w:rPr>
        <w:t>16.2.2</w:t>
      </w:r>
      <w:r>
        <w:rPr>
          <w:rFonts w:hint="eastAsia" w:hAnsi="宋体" w:cs="宋体"/>
          <w:color w:val="auto"/>
          <w:kern w:val="0"/>
          <w:highlight w:val="none"/>
        </w:rPr>
        <w:t>承包人违约的责任</w:t>
      </w:r>
    </w:p>
    <w:p w14:paraId="20D96C26">
      <w:pPr>
        <w:spacing w:line="360" w:lineRule="auto"/>
        <w:ind w:firstLine="420" w:firstLineChars="200"/>
        <w:jc w:val="left"/>
        <w:rPr>
          <w:color w:val="auto"/>
          <w:kern w:val="0"/>
          <w:highlight w:val="none"/>
        </w:rPr>
      </w:pPr>
      <w:r>
        <w:rPr>
          <w:rFonts w:hint="eastAsia" w:hAnsi="宋体" w:cs="宋体"/>
          <w:color w:val="auto"/>
          <w:kern w:val="0"/>
          <w:highlight w:val="none"/>
        </w:rPr>
        <w:t>承包人违约责任的承担方式和计算方法：</w:t>
      </w:r>
    </w:p>
    <w:p w14:paraId="2D1ABFEB">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14:paraId="3375CC60">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14:paraId="1092406F">
      <w:pPr>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w:t>
      </w:r>
    </w:p>
    <w:p w14:paraId="7C57EA3E">
      <w:pPr>
        <w:spacing w:line="400" w:lineRule="exact"/>
        <w:ind w:firstLine="420" w:firstLineChars="200"/>
        <w:jc w:val="left"/>
        <w:rPr>
          <w:rFonts w:ascii="宋体" w:hAnsi="宋体" w:cs="宋体"/>
          <w:bCs/>
          <w:color w:val="auto"/>
          <w:highlight w:val="none"/>
          <w:u w:val="single"/>
        </w:rPr>
      </w:pPr>
      <w:r>
        <w:rPr>
          <w:rFonts w:hint="eastAsia" w:ascii="宋体" w:hAnsi="宋体" w:cs="宋体"/>
          <w:color w:val="auto"/>
          <w:kern w:val="0"/>
          <w:highlight w:val="none"/>
        </w:rPr>
        <w:t>（</w:t>
      </w:r>
      <w:r>
        <w:rPr>
          <w:rFonts w:ascii="宋体" w:hAnsi="宋体" w:cs="宋体"/>
          <w:color w:val="auto"/>
          <w:kern w:val="0"/>
          <w:highlight w:val="none"/>
        </w:rPr>
        <w:t>4</w:t>
      </w:r>
      <w:r>
        <w:rPr>
          <w:rFonts w:hint="eastAsia" w:ascii="宋体" w:hAnsi="宋体" w:cs="宋体"/>
          <w:color w:val="auto"/>
          <w:kern w:val="0"/>
          <w:highlight w:val="none"/>
        </w:rPr>
        <w:t>）</w:t>
      </w:r>
      <w:r>
        <w:rPr>
          <w:rFonts w:hint="eastAsia" w:ascii="宋体" w:hAnsi="宋体" w:cs="宋体"/>
          <w:color w:val="auto"/>
          <w:highlight w:val="none"/>
        </w:rPr>
        <w:t>因承包人原因造成工期延误，逾期竣工违约金的计算方法为：</w:t>
      </w:r>
      <w:r>
        <w:rPr>
          <w:rFonts w:hint="eastAsia" w:ascii="宋体" w:hAnsi="宋体" w:cs="宋体"/>
          <w:bCs/>
          <w:color w:val="auto"/>
          <w:szCs w:val="21"/>
          <w:highlight w:val="none"/>
          <w:u w:val="single"/>
        </w:rPr>
        <w:t>承包人不能按合同约定的时间竣工，承包人应承担违约责任。应向发包人支付误期违约金（每天违约金额为合同价款的千分之五），误期时间从规定竣工日期起直到全部工程竣工验收各方签章日期之间的天数（扣除发包人批准顺延的工期）。发包人可从应向承包人支付的任何金额中扣除此项违约金或其他方式收回此款，此违约金的支付并不能解除承包人应完成工程的责任或合同规定的其他责任。工期延误超过30天，发包人有权单方解除合同，并要求承包人赔偿发包人损失并承担其他相关法律责任。</w:t>
      </w:r>
    </w:p>
    <w:p w14:paraId="5CA39A94">
      <w:pPr>
        <w:spacing w:line="400" w:lineRule="exact"/>
        <w:ind w:firstLine="422" w:firstLineChars="200"/>
        <w:jc w:val="left"/>
        <w:rPr>
          <w:rFonts w:ascii="宋体" w:hAnsi="宋体" w:cs="宋体"/>
          <w:b/>
          <w:bCs/>
          <w:color w:val="auto"/>
          <w:kern w:val="0"/>
          <w:highlight w:val="none"/>
        </w:rPr>
      </w:pPr>
      <w:r>
        <w:rPr>
          <w:rFonts w:hint="eastAsia" w:ascii="宋体" w:hAnsi="宋体" w:cs="宋体"/>
          <w:b/>
          <w:bCs/>
          <w:color w:val="auto"/>
          <w:kern w:val="0"/>
          <w:highlight w:val="none"/>
        </w:rPr>
        <w:t>（5）以下情形：</w:t>
      </w:r>
    </w:p>
    <w:p w14:paraId="4662712E">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1）合同执行过程中，如承包人的施工进度达不到施工进度计划的要求，</w:t>
      </w:r>
      <w:r>
        <w:rPr>
          <w:rFonts w:hint="eastAsia" w:ascii="宋体" w:hAnsi="宋体" w:cs="宋体"/>
          <w:color w:val="auto"/>
          <w:kern w:val="0"/>
          <w:highlight w:val="none"/>
        </w:rPr>
        <w:t>导致工期严重落后的，</w:t>
      </w:r>
      <w:r>
        <w:rPr>
          <w:rFonts w:hint="eastAsia" w:ascii="宋体" w:hAnsi="宋体" w:cs="宋体"/>
          <w:color w:val="auto"/>
          <w:kern w:val="0"/>
          <w:szCs w:val="21"/>
          <w:highlight w:val="none"/>
        </w:rPr>
        <w:t>发包人有权要求承包人立即增加人员和机械设备，承包人不得拒绝，否则视为承包人严重违约；</w:t>
      </w:r>
    </w:p>
    <w:p w14:paraId="472C6C34">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2）未经发包人同意或批准，承包人不得擅自中途退场或撤离、调离任何发包人要求到场的施工机械设备，否则发包人可认为承包人严重违约。</w:t>
      </w:r>
    </w:p>
    <w:p w14:paraId="2AE5BB0E">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3）若承包人出现把容易做的或单价高的工程做完，以单价低为理由要求发包人进行调价，把单价低的或施工难度大的或零散分项工程留下不进行施工或放慢施工进度，发包人可认为承包人严重违约；</w:t>
      </w:r>
    </w:p>
    <w:p w14:paraId="702B7F01">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4）由于承包人施工进度、质量、安全或其它管理等原因使发包人受到主管部门通报批评或召见发包人法定代表人两次及以上时，发包人可认为承包人没有合同履约能力而把承包人视为严重违约。</w:t>
      </w:r>
    </w:p>
    <w:p w14:paraId="1A00142D">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5）承包人应按分包合同约定按时足额支付款项给分包方，若因承包人恶意拖欠分包方款项导致工程停工、进度滞后的，视为承包人严重违约。</w:t>
      </w:r>
    </w:p>
    <w:p w14:paraId="7434CC79">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上述行为属严重违约行为，其违约责任为发包人有权：</w:t>
      </w:r>
    </w:p>
    <w:p w14:paraId="1BC128A2">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①单方面无条件解除与承包人的合同；</w:t>
      </w:r>
    </w:p>
    <w:p w14:paraId="17C9886F">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②从上述应付给承包人的款项中扣除或通过法律途径向承包人追索由于解除或终止合同引起发包人的任何经济损失。</w:t>
      </w:r>
    </w:p>
    <w:p w14:paraId="48E25807">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如因承包人违约等原因造成本合同提前终止或解除，承包人应在接到发包人发出的终止或解除合同通知后7天内无条件撤出施工现场，并将放置于现场或在现场附近的属于承包人的材料、设备、设施（含临时设施）等予以拆除及运走。否则，视为承包人抛弃这些材料、设备、设施等财产，发包人有权进行处置，承包人不得干涉。</w:t>
      </w:r>
    </w:p>
    <w:p w14:paraId="2A5927BC">
      <w:pPr>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szCs w:val="21"/>
          <w:highlight w:val="none"/>
        </w:rPr>
        <w:t>承包人违约后，如发包人要求承包人继续履行合同时，承包人承担上述违约责任后仍应继续履行合同。</w:t>
      </w:r>
    </w:p>
    <w:p w14:paraId="2E519F82">
      <w:pPr>
        <w:rPr>
          <w:color w:val="auto"/>
          <w:highlight w:val="none"/>
        </w:rPr>
      </w:pPr>
    </w:p>
    <w:p w14:paraId="1A7B9574">
      <w:pPr>
        <w:spacing w:line="360" w:lineRule="auto"/>
        <w:ind w:firstLine="420" w:firstLineChars="200"/>
        <w:jc w:val="left"/>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14:paraId="62C3E765">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w:t>
      </w:r>
      <w:r>
        <w:rPr>
          <w:rFonts w:hint="eastAsia" w:hAnsi="宋体" w:cs="宋体"/>
          <w:color w:val="auto"/>
          <w:kern w:val="0"/>
          <w:highlight w:val="none"/>
        </w:rPr>
        <w:t>。</w:t>
      </w:r>
    </w:p>
    <w:p w14:paraId="058F3F2F">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(1)承包人无正当理由不按开工通知的要求及时进场组织施工和不按签订协议书时商订的进度计划有效地开展施工准备，造成工期延误的；</w:t>
      </w:r>
    </w:p>
    <w:p w14:paraId="328C8DD2">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(2)承包人违反本合同通用条款第3.5条规定私自将合同或合同的任何部分或任何权利转让给其他人，或私自将工程或工程的一部分分包出去的；</w:t>
      </w:r>
    </w:p>
    <w:p w14:paraId="4DBC0CCD">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(3)未经监理人批准，承包人私自将已按投标文件承诺进入工地的工程设备、施工设备、临时工程或材料撤离工地的；</w:t>
      </w:r>
    </w:p>
    <w:p w14:paraId="12110B4D">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(4)由于承包人原因拒绝按合同进度计划及时完成合同规定的工程，而又未采取有效措施赶上进度，造成工期延误的或合同履行期间，承包人不按合同约定或核批的进度计划组织施工，经监理书面通知整改而未满足要求，经发包人书面通知3日内仍未能有效整改的。</w:t>
      </w:r>
    </w:p>
    <w:p w14:paraId="6FA1EB5C">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(5)承包人否认合同有效且拒绝履行合同规定的承包人义务，或由于法律、财务等原因导致承包人无法继续履行或实质上已停止履行合同的义务的；</w:t>
      </w:r>
    </w:p>
    <w:p w14:paraId="05209965">
      <w:pPr>
        <w:spacing w:line="360" w:lineRule="auto"/>
        <w:ind w:firstLine="420" w:firstLineChars="200"/>
        <w:rPr>
          <w:color w:val="auto"/>
          <w:kern w:val="0"/>
          <w:highlight w:val="none"/>
        </w:rPr>
      </w:pPr>
      <w:r>
        <w:rPr>
          <w:rFonts w:hint="eastAsia" w:ascii="宋体" w:hAnsi="宋体" w:cs="宋体"/>
          <w:bCs/>
          <w:color w:val="auto"/>
          <w:kern w:val="0"/>
          <w:szCs w:val="21"/>
          <w:highlight w:val="none"/>
        </w:rPr>
        <w:t>(6)合同签订且工程具备开工条件之日十五日内，承包人无法按合同规定及投标文件的承诺进场经监理工程师认可的全部人员和机械的</w:t>
      </w:r>
      <w:r>
        <w:rPr>
          <w:rFonts w:hint="eastAsia" w:hAnsi="宋体" w:cs="宋体"/>
          <w:color w:val="auto"/>
          <w:kern w:val="0"/>
          <w:highlight w:val="none"/>
        </w:rPr>
        <w:t>；</w:t>
      </w:r>
    </w:p>
    <w:p w14:paraId="0D9BE422">
      <w:pPr>
        <w:spacing w:line="360" w:lineRule="auto"/>
        <w:ind w:firstLine="420" w:firstLineChars="200"/>
        <w:rPr>
          <w:color w:val="auto"/>
          <w:kern w:val="0"/>
          <w:highlight w:val="none"/>
        </w:rPr>
      </w:pPr>
      <w:r>
        <w:rPr>
          <w:rFonts w:hint="eastAsia" w:ascii="宋体" w:hAnsi="宋体" w:cs="宋体"/>
          <w:bCs/>
          <w:color w:val="auto"/>
          <w:kern w:val="0"/>
          <w:szCs w:val="21"/>
          <w:highlight w:val="none"/>
        </w:rPr>
        <w:t>(7)</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之日起十五日内，承包人无法按合同规定及投标文件的承诺进场经监理工程师认可的该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14:paraId="2CAF6D6B">
      <w:pPr>
        <w:spacing w:line="360" w:lineRule="auto"/>
        <w:ind w:firstLine="420" w:firstLineChars="200"/>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highlight w:val="none"/>
          <w:u w:val="single"/>
        </w:rPr>
        <w:t>发包人和承包人可协商解决费用承担问题，无法协商一致的，发包人发出清场通知之日起十日内，承包人应将施工现场的材料、设备无条件搬离，不得以任何理由拒不清场搬离，否则每延误一天承包人按工程总价款的千分之三向发包人支付逾期清场违约金</w:t>
      </w:r>
      <w:r>
        <w:rPr>
          <w:rFonts w:hint="eastAsia" w:hAnsi="宋体" w:cs="宋体"/>
          <w:color w:val="auto"/>
          <w:kern w:val="0"/>
          <w:highlight w:val="none"/>
        </w:rPr>
        <w:t>。</w:t>
      </w:r>
    </w:p>
    <w:p w14:paraId="2A644396">
      <w:pPr>
        <w:keepNext/>
        <w:keepLines/>
        <w:spacing w:before="260" w:after="260" w:line="413" w:lineRule="auto"/>
        <w:outlineLvl w:val="1"/>
        <w:rPr>
          <w:rFonts w:ascii="Arial" w:hAnsi="Arial" w:eastAsia="黑体"/>
          <w:b/>
          <w:bCs/>
          <w:color w:val="auto"/>
          <w:sz w:val="32"/>
          <w:szCs w:val="32"/>
          <w:highlight w:val="none"/>
        </w:rPr>
      </w:pPr>
      <w:bookmarkStart w:id="1212" w:name="_Toc78449858"/>
      <w:bookmarkStart w:id="1213" w:name="_Toc407135272"/>
      <w:bookmarkStart w:id="1214" w:name="_Toc351203649"/>
      <w:bookmarkStart w:id="1215" w:name="_Toc373227769"/>
      <w:bookmarkStart w:id="1216" w:name="_Toc389065334"/>
      <w:bookmarkStart w:id="1217" w:name="_Toc1117922953"/>
      <w:bookmarkStart w:id="1218" w:name="_Toc373478416"/>
      <w:bookmarkStart w:id="1219" w:name="_Toc1753556740"/>
      <w:r>
        <w:rPr>
          <w:rFonts w:ascii="Arial" w:hAnsi="Arial" w:eastAsia="黑体"/>
          <w:b/>
          <w:bCs/>
          <w:color w:val="auto"/>
          <w:sz w:val="32"/>
          <w:szCs w:val="32"/>
          <w:highlight w:val="none"/>
        </w:rPr>
        <w:t xml:space="preserve">17. </w:t>
      </w:r>
      <w:r>
        <w:rPr>
          <w:rFonts w:hint="eastAsia" w:ascii="Arial" w:hAnsi="宋体" w:eastAsia="黑体" w:cs="黑体"/>
          <w:b/>
          <w:bCs/>
          <w:color w:val="auto"/>
          <w:sz w:val="32"/>
          <w:szCs w:val="32"/>
          <w:highlight w:val="none"/>
        </w:rPr>
        <w:t>不可抗力</w:t>
      </w:r>
      <w:bookmarkEnd w:id="1196"/>
      <w:bookmarkEnd w:id="1212"/>
      <w:bookmarkEnd w:id="1213"/>
      <w:bookmarkEnd w:id="1214"/>
      <w:bookmarkEnd w:id="1215"/>
      <w:bookmarkEnd w:id="1216"/>
      <w:bookmarkEnd w:id="1217"/>
      <w:bookmarkEnd w:id="1218"/>
      <w:bookmarkEnd w:id="1219"/>
    </w:p>
    <w:p w14:paraId="394DE3C3">
      <w:pPr>
        <w:keepNext/>
        <w:keepLines/>
        <w:spacing w:line="600" w:lineRule="exact"/>
        <w:ind w:firstLine="643" w:firstLineChars="200"/>
        <w:outlineLvl w:val="2"/>
        <w:rPr>
          <w:b/>
          <w:bCs/>
          <w:color w:val="auto"/>
          <w:sz w:val="32"/>
          <w:szCs w:val="32"/>
          <w:highlight w:val="none"/>
        </w:rPr>
      </w:pPr>
      <w:bookmarkStart w:id="1220" w:name="_Toc373478417"/>
      <w:bookmarkStart w:id="1221" w:name="_Toc78449859"/>
      <w:bookmarkStart w:id="1222" w:name="_Toc407135273"/>
      <w:bookmarkStart w:id="1223" w:name="_Toc373227770"/>
      <w:bookmarkStart w:id="1224" w:name="_Toc429574049"/>
      <w:bookmarkStart w:id="1225" w:name="_Toc389065335"/>
      <w:bookmarkStart w:id="1226" w:name="_Toc666312941"/>
      <w:r>
        <w:rPr>
          <w:b/>
          <w:bCs/>
          <w:color w:val="auto"/>
          <w:sz w:val="32"/>
          <w:szCs w:val="32"/>
          <w:highlight w:val="none"/>
        </w:rPr>
        <w:t xml:space="preserve">17.1 </w:t>
      </w:r>
      <w:r>
        <w:rPr>
          <w:rFonts w:hint="eastAsia" w:cs="黑体"/>
          <w:b/>
          <w:bCs/>
          <w:color w:val="auto"/>
          <w:sz w:val="32"/>
          <w:szCs w:val="32"/>
          <w:highlight w:val="none"/>
        </w:rPr>
        <w:t>不可抗力的确认</w:t>
      </w:r>
      <w:bookmarkEnd w:id="1220"/>
      <w:bookmarkEnd w:id="1221"/>
      <w:bookmarkEnd w:id="1222"/>
      <w:bookmarkEnd w:id="1223"/>
      <w:bookmarkEnd w:id="1224"/>
      <w:bookmarkEnd w:id="1225"/>
      <w:bookmarkEnd w:id="1226"/>
    </w:p>
    <w:p w14:paraId="10F9274C">
      <w:pPr>
        <w:spacing w:line="360" w:lineRule="auto"/>
        <w:ind w:firstLine="420" w:firstLineChars="200"/>
        <w:jc w:val="left"/>
        <w:rPr>
          <w:color w:val="auto"/>
          <w:kern w:val="0"/>
          <w:highlight w:val="none"/>
          <w:u w:val="single"/>
        </w:rPr>
      </w:pPr>
      <w:r>
        <w:rPr>
          <w:rFonts w:hint="eastAsia" w:hAnsi="宋体" w:cs="宋体"/>
          <w:color w:val="auto"/>
          <w:highlight w:val="none"/>
        </w:rPr>
        <w:t>除通用合同条款约定的不可抗力事件之外，视为不可抗力的其他情形：</w:t>
      </w:r>
      <w:r>
        <w:rPr>
          <w:rFonts w:hint="eastAsia" w:ascii="宋体" w:hAnsi="宋体" w:cs="宋体"/>
          <w:color w:val="auto"/>
          <w:kern w:val="0"/>
          <w:highlight w:val="none"/>
          <w:u w:val="single"/>
        </w:rPr>
        <w:t xml:space="preserve">按有关规定执行 </w:t>
      </w:r>
      <w:r>
        <w:rPr>
          <w:rFonts w:hint="eastAsia" w:hAnsi="宋体" w:cs="宋体"/>
          <w:color w:val="auto"/>
          <w:kern w:val="0"/>
          <w:highlight w:val="none"/>
        </w:rPr>
        <w:t>。</w:t>
      </w:r>
    </w:p>
    <w:p w14:paraId="11173932">
      <w:pPr>
        <w:keepNext/>
        <w:keepLines/>
        <w:spacing w:line="600" w:lineRule="exact"/>
        <w:ind w:firstLine="643" w:firstLineChars="200"/>
        <w:outlineLvl w:val="2"/>
        <w:rPr>
          <w:b/>
          <w:bCs/>
          <w:color w:val="auto"/>
          <w:sz w:val="32"/>
          <w:szCs w:val="32"/>
          <w:highlight w:val="none"/>
        </w:rPr>
      </w:pPr>
      <w:bookmarkStart w:id="1227" w:name="_Toc389065336"/>
      <w:bookmarkStart w:id="1228" w:name="_Toc78449860"/>
      <w:bookmarkStart w:id="1229" w:name="_Toc407135274"/>
      <w:bookmarkStart w:id="1230" w:name="_Toc1951449751"/>
      <w:bookmarkStart w:id="1231" w:name="_Toc373478418"/>
      <w:bookmarkStart w:id="1232" w:name="_Toc373227771"/>
      <w:bookmarkStart w:id="1233" w:name="_Toc658729758"/>
      <w:r>
        <w:rPr>
          <w:b/>
          <w:bCs/>
          <w:color w:val="auto"/>
          <w:sz w:val="32"/>
          <w:szCs w:val="32"/>
          <w:highlight w:val="none"/>
        </w:rPr>
        <w:t xml:space="preserve">17.4 </w:t>
      </w:r>
      <w:r>
        <w:rPr>
          <w:rFonts w:hint="eastAsia" w:cs="黑体"/>
          <w:b/>
          <w:bCs/>
          <w:color w:val="auto"/>
          <w:sz w:val="32"/>
          <w:szCs w:val="32"/>
          <w:highlight w:val="none"/>
        </w:rPr>
        <w:t>因不可抗力解除合同</w:t>
      </w:r>
      <w:bookmarkEnd w:id="1227"/>
      <w:bookmarkEnd w:id="1228"/>
      <w:bookmarkEnd w:id="1229"/>
      <w:bookmarkEnd w:id="1230"/>
      <w:bookmarkEnd w:id="1231"/>
      <w:bookmarkEnd w:id="1232"/>
      <w:bookmarkEnd w:id="1233"/>
    </w:p>
    <w:p w14:paraId="487DD4E2">
      <w:pPr>
        <w:spacing w:line="360" w:lineRule="auto"/>
        <w:ind w:firstLine="420" w:firstLineChars="200"/>
        <w:jc w:val="left"/>
        <w:rPr>
          <w:color w:val="auto"/>
          <w:highlight w:val="none"/>
        </w:rPr>
      </w:pPr>
      <w:r>
        <w:rPr>
          <w:rFonts w:hint="eastAsia" w:hAnsi="宋体" w:cs="宋体"/>
          <w:color w:val="auto"/>
          <w:highlight w:val="none"/>
        </w:rPr>
        <w:t>合同解除后，发包人应在商定或确定发包人应支付款项后</w:t>
      </w:r>
      <w:r>
        <w:rPr>
          <w:rFonts w:hint="eastAsia"/>
          <w:color w:val="auto"/>
          <w:highlight w:val="none"/>
          <w:u w:val="single"/>
        </w:rPr>
        <w:t>30</w:t>
      </w:r>
      <w:r>
        <w:rPr>
          <w:rFonts w:hint="eastAsia" w:hAnsi="宋体" w:cs="宋体"/>
          <w:color w:val="auto"/>
          <w:highlight w:val="none"/>
        </w:rPr>
        <w:t>天内完成款项的支付。</w:t>
      </w:r>
    </w:p>
    <w:p w14:paraId="57AD0AF4">
      <w:pPr>
        <w:keepNext/>
        <w:keepLines/>
        <w:spacing w:before="260" w:after="260" w:line="413" w:lineRule="auto"/>
        <w:outlineLvl w:val="1"/>
        <w:rPr>
          <w:rFonts w:ascii="Arial" w:hAnsi="Arial" w:eastAsia="黑体"/>
          <w:b/>
          <w:bCs/>
          <w:color w:val="auto"/>
          <w:sz w:val="32"/>
          <w:szCs w:val="32"/>
          <w:highlight w:val="none"/>
        </w:rPr>
      </w:pPr>
      <w:bookmarkStart w:id="1234" w:name="_Toc56822299"/>
      <w:bookmarkStart w:id="1235" w:name="_Toc389065337"/>
      <w:bookmarkStart w:id="1236" w:name="_Toc612072600"/>
      <w:bookmarkStart w:id="1237" w:name="_Toc351203650"/>
      <w:bookmarkStart w:id="1238" w:name="_Toc407135275"/>
      <w:bookmarkStart w:id="1239" w:name="_Toc78449861"/>
      <w:bookmarkStart w:id="1240" w:name="_Toc373478419"/>
      <w:bookmarkStart w:id="1241" w:name="_Toc373227772"/>
      <w:r>
        <w:rPr>
          <w:rFonts w:ascii="Arial" w:hAnsi="Arial" w:eastAsia="黑体"/>
          <w:b/>
          <w:bCs/>
          <w:color w:val="auto"/>
          <w:sz w:val="32"/>
          <w:szCs w:val="32"/>
          <w:highlight w:val="none"/>
        </w:rPr>
        <w:t xml:space="preserve">18. </w:t>
      </w:r>
      <w:r>
        <w:rPr>
          <w:rFonts w:hint="eastAsia" w:ascii="Arial" w:hAnsi="宋体" w:eastAsia="黑体" w:cs="黑体"/>
          <w:b/>
          <w:bCs/>
          <w:color w:val="auto"/>
          <w:sz w:val="32"/>
          <w:szCs w:val="32"/>
          <w:highlight w:val="none"/>
        </w:rPr>
        <w:t>保险</w:t>
      </w:r>
      <w:bookmarkEnd w:id="1234"/>
      <w:bookmarkEnd w:id="1235"/>
      <w:bookmarkEnd w:id="1236"/>
      <w:bookmarkEnd w:id="1237"/>
      <w:bookmarkEnd w:id="1238"/>
      <w:bookmarkEnd w:id="1239"/>
      <w:bookmarkEnd w:id="1240"/>
      <w:bookmarkEnd w:id="1241"/>
    </w:p>
    <w:bookmarkEnd w:id="1197"/>
    <w:p w14:paraId="3AEF0993">
      <w:pPr>
        <w:keepNext/>
        <w:keepLines/>
        <w:spacing w:line="600" w:lineRule="exact"/>
        <w:ind w:firstLine="643" w:firstLineChars="200"/>
        <w:outlineLvl w:val="2"/>
        <w:rPr>
          <w:b/>
          <w:bCs/>
          <w:color w:val="auto"/>
          <w:sz w:val="32"/>
          <w:szCs w:val="32"/>
          <w:highlight w:val="none"/>
        </w:rPr>
      </w:pPr>
      <w:bookmarkStart w:id="1242" w:name="_Toc407135276"/>
      <w:bookmarkStart w:id="1243" w:name="_Toc2075285517"/>
      <w:bookmarkStart w:id="1244" w:name="_Toc373227773"/>
      <w:bookmarkStart w:id="1245" w:name="_Toc373478420"/>
      <w:bookmarkStart w:id="1246" w:name="_Toc1446953302"/>
      <w:bookmarkStart w:id="1247" w:name="_Toc78449862"/>
      <w:bookmarkStart w:id="1248" w:name="_Toc389065338"/>
      <w:r>
        <w:rPr>
          <w:b/>
          <w:bCs/>
          <w:color w:val="auto"/>
          <w:sz w:val="32"/>
          <w:szCs w:val="32"/>
          <w:highlight w:val="none"/>
        </w:rPr>
        <w:t xml:space="preserve">18.1 </w:t>
      </w:r>
      <w:r>
        <w:rPr>
          <w:rFonts w:hint="eastAsia" w:hAnsi="宋体" w:cs="黑体"/>
          <w:b/>
          <w:bCs/>
          <w:color w:val="auto"/>
          <w:sz w:val="32"/>
          <w:szCs w:val="32"/>
          <w:highlight w:val="none"/>
        </w:rPr>
        <w:t>工程保险</w:t>
      </w:r>
      <w:bookmarkEnd w:id="1242"/>
      <w:bookmarkEnd w:id="1243"/>
      <w:bookmarkEnd w:id="1244"/>
      <w:bookmarkEnd w:id="1245"/>
      <w:bookmarkEnd w:id="1246"/>
      <w:bookmarkEnd w:id="1247"/>
      <w:bookmarkEnd w:id="1248"/>
    </w:p>
    <w:p w14:paraId="2BE399DE">
      <w:pPr>
        <w:spacing w:line="360" w:lineRule="auto"/>
        <w:ind w:firstLine="420" w:firstLineChars="200"/>
        <w:jc w:val="left"/>
        <w:rPr>
          <w:color w:val="auto"/>
          <w:highlight w:val="none"/>
        </w:rPr>
      </w:pPr>
      <w:r>
        <w:rPr>
          <w:rFonts w:hint="eastAsia" w:hAnsi="宋体" w:cs="宋体"/>
          <w:color w:val="auto"/>
          <w:highlight w:val="none"/>
        </w:rPr>
        <w:t>关于工程保险的特别约定：</w:t>
      </w:r>
      <w:r>
        <w:rPr>
          <w:rFonts w:hint="eastAsia" w:ascii="宋体" w:hAnsi="宋体" w:cs="宋体"/>
          <w:color w:val="auto"/>
          <w:kern w:val="0"/>
          <w:highlight w:val="none"/>
          <w:u w:val="single"/>
        </w:rPr>
        <w:t>承包人应必须购买工程一切险和第三者责任险，并承担相关费用，费用已包含在综合单价中不再另计计价</w:t>
      </w:r>
      <w:r>
        <w:rPr>
          <w:rFonts w:hint="eastAsia" w:hAnsi="宋体" w:cs="宋体"/>
          <w:color w:val="auto"/>
          <w:kern w:val="0"/>
          <w:highlight w:val="none"/>
        </w:rPr>
        <w:t>。</w:t>
      </w:r>
    </w:p>
    <w:p w14:paraId="70B32947">
      <w:pPr>
        <w:keepNext/>
        <w:keepLines/>
        <w:spacing w:line="600" w:lineRule="exact"/>
        <w:ind w:firstLine="643" w:firstLineChars="200"/>
        <w:outlineLvl w:val="2"/>
        <w:rPr>
          <w:b/>
          <w:bCs/>
          <w:color w:val="auto"/>
          <w:sz w:val="32"/>
          <w:szCs w:val="32"/>
          <w:highlight w:val="none"/>
        </w:rPr>
      </w:pPr>
      <w:bookmarkStart w:id="1249" w:name="_Toc454766369"/>
      <w:bookmarkStart w:id="1250" w:name="_Toc389065339"/>
      <w:bookmarkStart w:id="1251" w:name="_Toc407135277"/>
      <w:bookmarkStart w:id="1252" w:name="_Toc373227774"/>
      <w:bookmarkStart w:id="1253" w:name="_Toc78449863"/>
      <w:bookmarkStart w:id="1254" w:name="_Toc373478421"/>
      <w:bookmarkStart w:id="1255" w:name="_Toc2001387503"/>
      <w:r>
        <w:rPr>
          <w:b/>
          <w:bCs/>
          <w:color w:val="auto"/>
          <w:sz w:val="32"/>
          <w:szCs w:val="32"/>
          <w:highlight w:val="none"/>
        </w:rPr>
        <w:t xml:space="preserve">18.3 </w:t>
      </w:r>
      <w:r>
        <w:rPr>
          <w:rFonts w:hint="eastAsia" w:hAnsi="宋体" w:cs="黑体"/>
          <w:b/>
          <w:bCs/>
          <w:color w:val="auto"/>
          <w:sz w:val="32"/>
          <w:szCs w:val="32"/>
          <w:highlight w:val="none"/>
        </w:rPr>
        <w:t>其他保险</w:t>
      </w:r>
      <w:bookmarkEnd w:id="1249"/>
      <w:bookmarkEnd w:id="1250"/>
      <w:bookmarkEnd w:id="1251"/>
      <w:bookmarkEnd w:id="1252"/>
      <w:bookmarkEnd w:id="1253"/>
      <w:bookmarkEnd w:id="1254"/>
      <w:bookmarkEnd w:id="1255"/>
    </w:p>
    <w:p w14:paraId="63FF67C5">
      <w:pPr>
        <w:spacing w:line="360" w:lineRule="auto"/>
        <w:ind w:firstLine="420" w:firstLineChars="200"/>
        <w:jc w:val="left"/>
        <w:rPr>
          <w:color w:val="auto"/>
          <w:kern w:val="0"/>
          <w:highlight w:val="none"/>
        </w:rPr>
      </w:pPr>
      <w:r>
        <w:rPr>
          <w:rFonts w:hint="eastAsia" w:hAnsi="宋体" w:cs="宋体"/>
          <w:color w:val="auto"/>
          <w:highlight w:val="none"/>
        </w:rPr>
        <w:t>关于其他保险的约定：</w:t>
      </w:r>
      <w:r>
        <w:rPr>
          <w:rFonts w:hint="eastAsia" w:ascii="宋体" w:hAnsi="宋体" w:cs="宋体"/>
          <w:color w:val="auto"/>
          <w:highlight w:val="none"/>
          <w:u w:val="single"/>
        </w:rPr>
        <w:t>承包人必须为施工现场从事施工的自有作业人员和管理人员办理意外伤害保险，并支付保险费，费用已包含在综合单价中不再另计计价</w:t>
      </w:r>
      <w:r>
        <w:rPr>
          <w:rFonts w:hint="eastAsia" w:hAnsi="宋体" w:cs="宋体"/>
          <w:color w:val="auto"/>
          <w:highlight w:val="none"/>
        </w:rPr>
        <w:t>。</w:t>
      </w:r>
    </w:p>
    <w:p w14:paraId="01B25BDC">
      <w:pPr>
        <w:spacing w:line="360" w:lineRule="auto"/>
        <w:ind w:firstLine="420" w:firstLineChars="200"/>
        <w:jc w:val="left"/>
        <w:rPr>
          <w:color w:val="auto"/>
          <w:highlight w:val="none"/>
          <w:u w:val="single"/>
        </w:rPr>
      </w:pPr>
      <w:r>
        <w:rPr>
          <w:rFonts w:hint="eastAsia" w:hAnsi="宋体" w:cs="宋体"/>
          <w:color w:val="auto"/>
          <w:highlight w:val="none"/>
        </w:rPr>
        <w:t>承包人是否应为其施工设备等办理财产保险：</w:t>
      </w:r>
      <w:r>
        <w:rPr>
          <w:rFonts w:hint="eastAsia" w:ascii="宋体" w:hAnsi="宋体" w:cs="宋体"/>
          <w:color w:val="auto"/>
          <w:highlight w:val="none"/>
          <w:u w:val="single"/>
        </w:rPr>
        <w:t>承包人自行考虑</w:t>
      </w:r>
      <w:r>
        <w:rPr>
          <w:rFonts w:hint="eastAsia" w:hAnsi="宋体" w:cs="宋体"/>
          <w:color w:val="auto"/>
          <w:highlight w:val="none"/>
        </w:rPr>
        <w:t>。</w:t>
      </w:r>
    </w:p>
    <w:p w14:paraId="6C92A06B">
      <w:pPr>
        <w:keepNext/>
        <w:keepLines/>
        <w:spacing w:line="600" w:lineRule="exact"/>
        <w:ind w:firstLine="643" w:firstLineChars="200"/>
        <w:outlineLvl w:val="2"/>
        <w:rPr>
          <w:b/>
          <w:bCs/>
          <w:color w:val="auto"/>
          <w:sz w:val="32"/>
          <w:szCs w:val="32"/>
          <w:highlight w:val="none"/>
        </w:rPr>
      </w:pPr>
      <w:bookmarkStart w:id="1256" w:name="_Toc78449864"/>
      <w:bookmarkStart w:id="1257" w:name="_Toc407135278"/>
      <w:bookmarkStart w:id="1258" w:name="_Toc1114527236"/>
      <w:bookmarkStart w:id="1259" w:name="_Toc2102614655"/>
      <w:bookmarkStart w:id="1260" w:name="_Toc373478422"/>
      <w:bookmarkStart w:id="1261" w:name="_Toc373227775"/>
      <w:bookmarkStart w:id="1262" w:name="_Toc389065340"/>
      <w:r>
        <w:rPr>
          <w:b/>
          <w:bCs/>
          <w:color w:val="auto"/>
          <w:sz w:val="32"/>
          <w:szCs w:val="32"/>
          <w:highlight w:val="none"/>
        </w:rPr>
        <w:t xml:space="preserve">18.7 </w:t>
      </w:r>
      <w:r>
        <w:rPr>
          <w:rFonts w:hint="eastAsia" w:hAnsi="宋体" w:cs="黑体"/>
          <w:b/>
          <w:bCs/>
          <w:color w:val="auto"/>
          <w:sz w:val="32"/>
          <w:szCs w:val="32"/>
          <w:highlight w:val="none"/>
        </w:rPr>
        <w:t>通知义务</w:t>
      </w:r>
      <w:bookmarkEnd w:id="1256"/>
      <w:bookmarkEnd w:id="1257"/>
      <w:bookmarkEnd w:id="1258"/>
      <w:bookmarkEnd w:id="1259"/>
      <w:bookmarkEnd w:id="1260"/>
      <w:bookmarkEnd w:id="1261"/>
      <w:bookmarkEnd w:id="1262"/>
    </w:p>
    <w:p w14:paraId="311E144B">
      <w:pPr>
        <w:spacing w:line="360" w:lineRule="auto"/>
        <w:ind w:firstLine="420" w:firstLineChars="200"/>
        <w:jc w:val="left"/>
        <w:rPr>
          <w:color w:val="auto"/>
          <w:highlight w:val="none"/>
          <w:u w:val="single"/>
        </w:rPr>
      </w:pPr>
      <w:r>
        <w:rPr>
          <w:rFonts w:hint="eastAsia" w:hAnsi="宋体" w:cs="宋体"/>
          <w:color w:val="auto"/>
          <w:kern w:val="0"/>
          <w:highlight w:val="none"/>
        </w:rPr>
        <w:t>关于变更保险合同时的通知义务的约定：</w:t>
      </w:r>
      <w:r>
        <w:rPr>
          <w:rFonts w:hint="eastAsia" w:ascii="宋体" w:hAnsi="宋体" w:cs="宋体"/>
          <w:color w:val="auto"/>
          <w:highlight w:val="none"/>
          <w:u w:val="single"/>
        </w:rPr>
        <w:t>无</w:t>
      </w:r>
      <w:r>
        <w:rPr>
          <w:rFonts w:hint="eastAsia" w:hAnsi="宋体" w:cs="宋体"/>
          <w:color w:val="auto"/>
          <w:highlight w:val="none"/>
        </w:rPr>
        <w:t>。</w:t>
      </w:r>
    </w:p>
    <w:bookmarkEnd w:id="1145"/>
    <w:bookmarkEnd w:id="1146"/>
    <w:bookmarkEnd w:id="1147"/>
    <w:bookmarkEnd w:id="1148"/>
    <w:bookmarkEnd w:id="1149"/>
    <w:bookmarkEnd w:id="1150"/>
    <w:bookmarkEnd w:id="1151"/>
    <w:bookmarkEnd w:id="1152"/>
    <w:bookmarkEnd w:id="1153"/>
    <w:bookmarkEnd w:id="1154"/>
    <w:bookmarkEnd w:id="1155"/>
    <w:bookmarkEnd w:id="1156"/>
    <w:p w14:paraId="56877DDC">
      <w:pPr>
        <w:keepNext/>
        <w:keepLines/>
        <w:spacing w:before="260" w:after="260" w:line="413" w:lineRule="auto"/>
        <w:outlineLvl w:val="1"/>
        <w:rPr>
          <w:rFonts w:ascii="Arial" w:hAnsi="Arial" w:eastAsia="黑体"/>
          <w:b/>
          <w:bCs/>
          <w:color w:val="auto"/>
          <w:sz w:val="32"/>
          <w:szCs w:val="32"/>
          <w:highlight w:val="none"/>
        </w:rPr>
      </w:pPr>
      <w:bookmarkStart w:id="1263" w:name="_Toc373478423"/>
      <w:bookmarkStart w:id="1264" w:name="_Toc1430568476"/>
      <w:bookmarkStart w:id="1265" w:name="_Toc1959910599"/>
      <w:bookmarkStart w:id="1266" w:name="_Toc407135279"/>
      <w:bookmarkStart w:id="1267" w:name="_Toc351203651"/>
      <w:bookmarkStart w:id="1268" w:name="_Toc373227776"/>
      <w:bookmarkStart w:id="1269" w:name="_Toc78449865"/>
      <w:bookmarkStart w:id="1270" w:name="_Toc389065341"/>
      <w:r>
        <w:rPr>
          <w:rFonts w:ascii="Arial" w:hAnsi="Arial" w:eastAsia="黑体"/>
          <w:b/>
          <w:bCs/>
          <w:color w:val="auto"/>
          <w:sz w:val="32"/>
          <w:szCs w:val="32"/>
          <w:highlight w:val="none"/>
        </w:rPr>
        <w:t xml:space="preserve">20. </w:t>
      </w:r>
      <w:r>
        <w:rPr>
          <w:rFonts w:hint="eastAsia" w:ascii="Arial" w:hAnsi="宋体" w:eastAsia="黑体" w:cs="黑体"/>
          <w:b/>
          <w:bCs/>
          <w:color w:val="auto"/>
          <w:sz w:val="32"/>
          <w:szCs w:val="32"/>
          <w:highlight w:val="none"/>
        </w:rPr>
        <w:t>争议解决</w:t>
      </w:r>
      <w:bookmarkEnd w:id="1263"/>
      <w:bookmarkEnd w:id="1264"/>
      <w:bookmarkEnd w:id="1265"/>
      <w:bookmarkEnd w:id="1266"/>
      <w:bookmarkEnd w:id="1267"/>
      <w:bookmarkEnd w:id="1268"/>
      <w:bookmarkEnd w:id="1269"/>
      <w:bookmarkEnd w:id="1270"/>
    </w:p>
    <w:bookmarkEnd w:id="1157"/>
    <w:bookmarkEnd w:id="1158"/>
    <w:p w14:paraId="74711B3E">
      <w:pPr>
        <w:keepNext/>
        <w:keepLines/>
        <w:spacing w:line="600" w:lineRule="exact"/>
        <w:ind w:firstLine="643" w:firstLineChars="200"/>
        <w:outlineLvl w:val="2"/>
        <w:rPr>
          <w:b/>
          <w:bCs/>
          <w:color w:val="auto"/>
          <w:sz w:val="32"/>
          <w:szCs w:val="32"/>
          <w:highlight w:val="none"/>
        </w:rPr>
      </w:pPr>
      <w:bookmarkStart w:id="1271" w:name="_Toc389065342"/>
      <w:bookmarkStart w:id="1272" w:name="_Toc2138124043"/>
      <w:bookmarkStart w:id="1273" w:name="_Toc78449866"/>
      <w:bookmarkStart w:id="1274" w:name="_Toc407135280"/>
      <w:bookmarkStart w:id="1275" w:name="_Toc373227777"/>
      <w:bookmarkStart w:id="1276" w:name="_Toc1645489822"/>
      <w:bookmarkStart w:id="1277" w:name="_Toc373478424"/>
      <w:r>
        <w:rPr>
          <w:b/>
          <w:bCs/>
          <w:color w:val="auto"/>
          <w:sz w:val="32"/>
          <w:szCs w:val="32"/>
          <w:highlight w:val="none"/>
        </w:rPr>
        <w:t xml:space="preserve">20.3 </w:t>
      </w:r>
      <w:r>
        <w:rPr>
          <w:rFonts w:hint="eastAsia" w:hAnsi="宋体" w:cs="黑体"/>
          <w:b/>
          <w:bCs/>
          <w:color w:val="auto"/>
          <w:sz w:val="32"/>
          <w:szCs w:val="32"/>
          <w:highlight w:val="none"/>
        </w:rPr>
        <w:t>争</w:t>
      </w:r>
      <w:bookmarkEnd w:id="1159"/>
      <w:r>
        <w:rPr>
          <w:rFonts w:hint="eastAsia" w:hAnsi="宋体" w:cs="黑体"/>
          <w:b/>
          <w:bCs/>
          <w:color w:val="auto"/>
          <w:sz w:val="32"/>
          <w:szCs w:val="32"/>
          <w:highlight w:val="none"/>
        </w:rPr>
        <w:t>议评审</w:t>
      </w:r>
      <w:bookmarkEnd w:id="1271"/>
      <w:bookmarkEnd w:id="1272"/>
      <w:bookmarkEnd w:id="1273"/>
      <w:bookmarkEnd w:id="1274"/>
      <w:bookmarkEnd w:id="1275"/>
      <w:bookmarkEnd w:id="1276"/>
      <w:bookmarkEnd w:id="1277"/>
    </w:p>
    <w:p w14:paraId="36A0811B">
      <w:pPr>
        <w:spacing w:line="360" w:lineRule="auto"/>
        <w:ind w:left="149" w:leftChars="71" w:firstLine="315" w:firstLineChars="150"/>
        <w:jc w:val="left"/>
        <w:rPr>
          <w:color w:val="auto"/>
          <w:highlight w:val="none"/>
          <w:u w:val="single"/>
        </w:rPr>
      </w:pPr>
      <w:r>
        <w:rPr>
          <w:rFonts w:hint="eastAsia" w:hAnsi="宋体" w:cs="宋体"/>
          <w:color w:val="auto"/>
          <w:highlight w:val="none"/>
        </w:rPr>
        <w:t>合同当事人是否同意将工程争议提交争议评审小组决定：</w:t>
      </w:r>
      <w:r>
        <w:rPr>
          <w:rFonts w:hint="eastAsia" w:ascii="宋体" w:hAnsi="宋体" w:cs="宋体"/>
          <w:color w:val="auto"/>
          <w:highlight w:val="none"/>
          <w:u w:val="single"/>
        </w:rPr>
        <w:t>不同意</w:t>
      </w:r>
      <w:r>
        <w:rPr>
          <w:rFonts w:hint="eastAsia" w:hAnsi="宋体" w:cs="宋体"/>
          <w:color w:val="auto"/>
          <w:highlight w:val="none"/>
        </w:rPr>
        <w:t>。</w:t>
      </w:r>
    </w:p>
    <w:p w14:paraId="38BDF38A">
      <w:pPr>
        <w:spacing w:line="360" w:lineRule="auto"/>
        <w:ind w:firstLine="420" w:firstLineChars="200"/>
        <w:jc w:val="left"/>
        <w:outlineLvl w:val="0"/>
        <w:rPr>
          <w:color w:val="auto"/>
          <w:highlight w:val="none"/>
        </w:rPr>
      </w:pPr>
      <w:r>
        <w:rPr>
          <w:color w:val="auto"/>
          <w:highlight w:val="none"/>
        </w:rPr>
        <w:t xml:space="preserve">20.3.1 </w:t>
      </w:r>
      <w:r>
        <w:rPr>
          <w:rFonts w:hint="eastAsia" w:hAnsi="宋体" w:cs="宋体"/>
          <w:color w:val="auto"/>
          <w:highlight w:val="none"/>
        </w:rPr>
        <w:t>争议评审小组的确定</w:t>
      </w:r>
    </w:p>
    <w:p w14:paraId="1DDA7E4D">
      <w:pPr>
        <w:spacing w:line="360" w:lineRule="auto"/>
        <w:ind w:firstLine="420" w:firstLineChars="200"/>
        <w:jc w:val="left"/>
        <w:rPr>
          <w:color w:val="auto"/>
          <w:highlight w:val="none"/>
          <w:u w:val="single"/>
        </w:rPr>
      </w:pPr>
      <w:r>
        <w:rPr>
          <w:rFonts w:hint="eastAsia" w:hAnsi="宋体" w:cs="宋体"/>
          <w:color w:val="auto"/>
          <w:highlight w:val="none"/>
        </w:rPr>
        <w:t>争议评审小组成员的确定：</w:t>
      </w:r>
      <w:r>
        <w:rPr>
          <w:rFonts w:hint="eastAsia" w:ascii="宋体" w:hAnsi="宋体" w:cs="宋体"/>
          <w:color w:val="auto"/>
          <w:szCs w:val="21"/>
          <w:highlight w:val="none"/>
          <w:u w:val="single"/>
        </w:rPr>
        <w:t xml:space="preserve"> 无</w:t>
      </w:r>
      <w:r>
        <w:rPr>
          <w:rFonts w:hint="eastAsia" w:hAnsi="宋体" w:cs="宋体"/>
          <w:color w:val="auto"/>
          <w:highlight w:val="none"/>
        </w:rPr>
        <w:t>。</w:t>
      </w:r>
    </w:p>
    <w:p w14:paraId="40CAEF32">
      <w:pPr>
        <w:spacing w:line="360" w:lineRule="auto"/>
        <w:ind w:firstLine="420" w:firstLineChars="200"/>
        <w:jc w:val="left"/>
        <w:rPr>
          <w:color w:val="auto"/>
          <w:highlight w:val="none"/>
        </w:rPr>
      </w:pPr>
      <w:r>
        <w:rPr>
          <w:rFonts w:hint="eastAsia" w:hAnsi="宋体" w:cs="宋体"/>
          <w:color w:val="auto"/>
          <w:highlight w:val="none"/>
        </w:rPr>
        <w:t>选定争议评审员的期限：</w:t>
      </w:r>
      <w:r>
        <w:rPr>
          <w:rFonts w:hint="eastAsia" w:ascii="宋体" w:hAnsi="宋体" w:cs="宋体"/>
          <w:color w:val="auto"/>
          <w:szCs w:val="21"/>
          <w:highlight w:val="none"/>
          <w:u w:val="single"/>
        </w:rPr>
        <w:t xml:space="preserve"> 无</w:t>
      </w:r>
      <w:r>
        <w:rPr>
          <w:rFonts w:hint="eastAsia" w:hAnsi="宋体" w:cs="宋体"/>
          <w:color w:val="auto"/>
          <w:highlight w:val="none"/>
        </w:rPr>
        <w:t>。</w:t>
      </w:r>
    </w:p>
    <w:p w14:paraId="67B4402B">
      <w:pPr>
        <w:spacing w:line="360" w:lineRule="auto"/>
        <w:ind w:firstLine="420" w:firstLineChars="200"/>
        <w:jc w:val="left"/>
        <w:rPr>
          <w:color w:val="auto"/>
          <w:highlight w:val="none"/>
        </w:rPr>
      </w:pPr>
      <w:r>
        <w:rPr>
          <w:rFonts w:hint="eastAsia" w:hAnsi="宋体" w:cs="宋体"/>
          <w:color w:val="auto"/>
          <w:highlight w:val="none"/>
        </w:rPr>
        <w:t>争议评审小组成员的报酬承担方式：</w:t>
      </w:r>
      <w:r>
        <w:rPr>
          <w:rFonts w:hint="eastAsia" w:ascii="宋体" w:hAnsi="宋体" w:cs="宋体"/>
          <w:color w:val="auto"/>
          <w:szCs w:val="21"/>
          <w:highlight w:val="none"/>
          <w:u w:val="single"/>
        </w:rPr>
        <w:t xml:space="preserve"> 无</w:t>
      </w:r>
      <w:r>
        <w:rPr>
          <w:rFonts w:hint="eastAsia" w:hAnsi="宋体" w:cs="宋体"/>
          <w:color w:val="auto"/>
          <w:highlight w:val="none"/>
        </w:rPr>
        <w:t>。</w:t>
      </w:r>
    </w:p>
    <w:p w14:paraId="38D9A2E5">
      <w:pPr>
        <w:spacing w:line="360" w:lineRule="auto"/>
        <w:ind w:firstLine="420" w:firstLineChars="200"/>
        <w:jc w:val="left"/>
        <w:rPr>
          <w:color w:val="auto"/>
          <w:highlight w:val="none"/>
        </w:rPr>
      </w:pPr>
      <w:r>
        <w:rPr>
          <w:rFonts w:hint="eastAsia" w:hAnsi="宋体" w:cs="宋体"/>
          <w:color w:val="auto"/>
          <w:highlight w:val="none"/>
        </w:rPr>
        <w:t>其他事项的约定：。</w:t>
      </w:r>
    </w:p>
    <w:p w14:paraId="7DD6DA0E">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r>
        <w:rPr>
          <w:rFonts w:hint="eastAsia" w:ascii="宋体" w:hAnsi="宋体" w:cs="宋体"/>
          <w:color w:val="auto"/>
          <w:szCs w:val="21"/>
          <w:highlight w:val="none"/>
          <w:u w:val="single"/>
        </w:rPr>
        <w:t xml:space="preserve"> 无</w:t>
      </w:r>
    </w:p>
    <w:p w14:paraId="539ACFF9">
      <w:pPr>
        <w:spacing w:line="360" w:lineRule="auto"/>
        <w:ind w:firstLine="420" w:firstLineChars="200"/>
        <w:jc w:val="left"/>
        <w:rPr>
          <w:color w:val="auto"/>
          <w:highlight w:val="none"/>
        </w:rPr>
      </w:pPr>
      <w:r>
        <w:rPr>
          <w:rFonts w:hint="eastAsia" w:hAnsi="宋体" w:cs="宋体"/>
          <w:color w:val="auto"/>
          <w:highlight w:val="none"/>
        </w:rPr>
        <w:t>合同当事人关于本项的约定：</w:t>
      </w:r>
      <w:r>
        <w:rPr>
          <w:rFonts w:hint="eastAsia" w:ascii="宋体" w:hAnsi="宋体" w:cs="宋体"/>
          <w:color w:val="auto"/>
          <w:szCs w:val="21"/>
          <w:highlight w:val="none"/>
          <w:u w:val="single"/>
        </w:rPr>
        <w:t xml:space="preserve"> 无</w:t>
      </w:r>
      <w:r>
        <w:rPr>
          <w:rFonts w:hint="eastAsia" w:hAnsi="宋体" w:cs="宋体"/>
          <w:color w:val="auto"/>
          <w:highlight w:val="none"/>
        </w:rPr>
        <w:t>。</w:t>
      </w:r>
    </w:p>
    <w:p w14:paraId="4EDFD880">
      <w:pPr>
        <w:keepNext/>
        <w:keepLines/>
        <w:spacing w:line="600" w:lineRule="exact"/>
        <w:ind w:firstLine="643" w:firstLineChars="200"/>
        <w:outlineLvl w:val="2"/>
        <w:rPr>
          <w:b/>
          <w:bCs/>
          <w:color w:val="auto"/>
          <w:sz w:val="32"/>
          <w:szCs w:val="32"/>
          <w:highlight w:val="none"/>
        </w:rPr>
      </w:pPr>
      <w:bookmarkStart w:id="1278" w:name="_Toc407135281"/>
      <w:bookmarkStart w:id="1279" w:name="_Toc78449867"/>
      <w:bookmarkStart w:id="1280" w:name="_Toc1456517022"/>
      <w:bookmarkStart w:id="1281" w:name="_Toc1156795721"/>
      <w:bookmarkStart w:id="1282" w:name="_Toc373478425"/>
      <w:bookmarkStart w:id="1283" w:name="_Toc373227778"/>
      <w:bookmarkStart w:id="1284" w:name="_Toc389065343"/>
      <w:r>
        <w:rPr>
          <w:b/>
          <w:bCs/>
          <w:color w:val="auto"/>
          <w:sz w:val="32"/>
          <w:szCs w:val="32"/>
          <w:highlight w:val="none"/>
        </w:rPr>
        <w:t xml:space="preserve">20.4 </w:t>
      </w:r>
      <w:r>
        <w:rPr>
          <w:rFonts w:hint="eastAsia" w:hAnsi="宋体" w:cs="黑体"/>
          <w:b/>
          <w:bCs/>
          <w:color w:val="auto"/>
          <w:sz w:val="32"/>
          <w:szCs w:val="32"/>
          <w:highlight w:val="none"/>
        </w:rPr>
        <w:t>仲裁或诉讼</w:t>
      </w:r>
      <w:bookmarkEnd w:id="1160"/>
      <w:bookmarkEnd w:id="1278"/>
      <w:bookmarkEnd w:id="1279"/>
      <w:bookmarkEnd w:id="1280"/>
      <w:bookmarkEnd w:id="1281"/>
      <w:bookmarkEnd w:id="1282"/>
      <w:bookmarkEnd w:id="1283"/>
      <w:bookmarkEnd w:id="1284"/>
    </w:p>
    <w:p w14:paraId="579F04AA">
      <w:pPr>
        <w:spacing w:line="360" w:lineRule="auto"/>
        <w:ind w:firstLine="420" w:firstLineChars="200"/>
        <w:rPr>
          <w:color w:val="auto"/>
          <w:highlight w:val="none"/>
        </w:rPr>
      </w:pPr>
      <w:r>
        <w:rPr>
          <w:rFonts w:hint="eastAsia" w:hAnsi="宋体" w:cs="宋体"/>
          <w:color w:val="auto"/>
          <w:highlight w:val="none"/>
        </w:rPr>
        <w:t>因合同及合同有关事项发生的争议，按下列第</w:t>
      </w:r>
      <w:r>
        <w:rPr>
          <w:rFonts w:hint="eastAsia"/>
          <w:color w:val="auto"/>
          <w:highlight w:val="none"/>
          <w:u w:val="single"/>
        </w:rPr>
        <w:t>（2）</w:t>
      </w:r>
      <w:r>
        <w:rPr>
          <w:rFonts w:hint="eastAsia" w:hAnsi="宋体" w:cs="宋体"/>
          <w:color w:val="auto"/>
          <w:highlight w:val="none"/>
        </w:rPr>
        <w:t>种方式解决：</w:t>
      </w:r>
    </w:p>
    <w:p w14:paraId="50CC69E1">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rFonts w:hint="eastAsia"/>
          <w:color w:val="auto"/>
          <w:highlight w:val="none"/>
          <w:u w:val="single"/>
        </w:rPr>
        <w:t>/</w:t>
      </w:r>
      <w:r>
        <w:rPr>
          <w:rFonts w:hint="eastAsia" w:hAnsi="宋体" w:cs="宋体"/>
          <w:color w:val="auto"/>
          <w:highlight w:val="none"/>
        </w:rPr>
        <w:t>仲裁委员会按照该会仲裁规则进行仲裁，仲裁裁决是终局的，对合同双方均有约束力。</w:t>
      </w:r>
    </w:p>
    <w:p w14:paraId="17524091">
      <w:pPr>
        <w:spacing w:line="360" w:lineRule="auto"/>
        <w:ind w:firstLine="420" w:firstLineChars="200"/>
        <w:jc w:val="left"/>
        <w:rPr>
          <w:rFonts w:hAnsi="宋体" w:cs="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rFonts w:hint="eastAsia" w:ascii="宋体" w:hAnsi="宋体" w:cs="宋体"/>
          <w:color w:val="auto"/>
          <w:highlight w:val="none"/>
          <w:u w:val="single"/>
        </w:rPr>
        <w:t>项目所在地有管辖权</w:t>
      </w:r>
      <w:r>
        <w:rPr>
          <w:rFonts w:hint="eastAsia"/>
          <w:color w:val="auto"/>
          <w:highlight w:val="none"/>
          <w:u w:val="single"/>
        </w:rPr>
        <w:t>的</w:t>
      </w:r>
      <w:r>
        <w:rPr>
          <w:rFonts w:hint="eastAsia" w:hAnsi="宋体" w:cs="宋体"/>
          <w:color w:val="auto"/>
          <w:highlight w:val="none"/>
        </w:rPr>
        <w:t>人民法院起诉。</w:t>
      </w:r>
      <w:bookmarkEnd w:id="1161"/>
      <w:bookmarkEnd w:id="1162"/>
      <w:bookmarkEnd w:id="1163"/>
      <w:bookmarkEnd w:id="1164"/>
      <w:bookmarkEnd w:id="1165"/>
      <w:bookmarkEnd w:id="1166"/>
    </w:p>
    <w:p w14:paraId="26433110">
      <w:pPr>
        <w:keepNext/>
        <w:keepLines/>
        <w:spacing w:line="400" w:lineRule="exact"/>
        <w:outlineLvl w:val="0"/>
        <w:rPr>
          <w:rFonts w:ascii="宋体" w:hAnsi="宋体" w:cs="宋体"/>
          <w:b/>
          <w:bCs/>
          <w:color w:val="auto"/>
          <w:kern w:val="44"/>
          <w:highlight w:val="none"/>
        </w:rPr>
      </w:pPr>
      <w:bookmarkStart w:id="1285" w:name="_Toc433787460"/>
      <w:bookmarkStart w:id="1286" w:name="_Toc433131824"/>
      <w:bookmarkStart w:id="1287" w:name="_Toc454188820"/>
      <w:bookmarkStart w:id="1288" w:name="_Toc433389716"/>
      <w:bookmarkStart w:id="1289" w:name="_Toc373743696"/>
      <w:bookmarkStart w:id="1290" w:name="_Toc431192222"/>
      <w:bookmarkStart w:id="1291" w:name="_Toc476645956"/>
      <w:r>
        <w:rPr>
          <w:rFonts w:hint="eastAsia" w:ascii="宋体" w:hAnsi="宋体" w:cs="宋体"/>
          <w:b/>
          <w:bCs/>
          <w:color w:val="auto"/>
          <w:kern w:val="44"/>
          <w:highlight w:val="none"/>
        </w:rPr>
        <w:t>21. 补充条款</w:t>
      </w:r>
      <w:bookmarkEnd w:id="1285"/>
      <w:bookmarkEnd w:id="1286"/>
      <w:bookmarkEnd w:id="1287"/>
      <w:bookmarkEnd w:id="1288"/>
      <w:bookmarkEnd w:id="1289"/>
      <w:bookmarkEnd w:id="1290"/>
      <w:bookmarkEnd w:id="1291"/>
    </w:p>
    <w:p w14:paraId="789D6543">
      <w:pPr>
        <w:spacing w:line="400" w:lineRule="exact"/>
        <w:ind w:firstLine="405"/>
        <w:rPr>
          <w:rFonts w:ascii="宋体" w:hAnsi="宋体" w:cs="宋体"/>
          <w:color w:val="auto"/>
          <w:szCs w:val="21"/>
          <w:highlight w:val="none"/>
        </w:rPr>
      </w:pPr>
      <w:r>
        <w:rPr>
          <w:rFonts w:hint="eastAsia" w:ascii="宋体" w:hAnsi="宋体" w:cs="宋体"/>
          <w:color w:val="auto"/>
          <w:szCs w:val="21"/>
          <w:highlight w:val="none"/>
        </w:rPr>
        <w:t xml:space="preserve">21.1 </w:t>
      </w:r>
      <w:r>
        <w:rPr>
          <w:rFonts w:hint="eastAsia" w:ascii="宋体" w:hAnsi="宋体" w:cs="宋体"/>
          <w:b/>
          <w:bCs/>
          <w:color w:val="auto"/>
          <w:szCs w:val="21"/>
          <w:highlight w:val="none"/>
        </w:rPr>
        <w:t>凡进入本工程工作的禁止使用童工。</w:t>
      </w:r>
    </w:p>
    <w:p w14:paraId="32DABD73">
      <w:pPr>
        <w:adjustRightInd w:val="0"/>
        <w:spacing w:line="400" w:lineRule="exact"/>
        <w:ind w:firstLine="482"/>
        <w:textAlignment w:val="baseline"/>
        <w:rPr>
          <w:rFonts w:ascii="宋体" w:hAnsi="宋体" w:cs="宋体"/>
          <w:snapToGrid w:val="0"/>
          <w:color w:val="auto"/>
          <w:szCs w:val="21"/>
          <w:highlight w:val="none"/>
        </w:rPr>
      </w:pPr>
      <w:bookmarkStart w:id="1292" w:name="_Toc454188821"/>
      <w:bookmarkStart w:id="1293" w:name="_Toc476645957"/>
      <w:r>
        <w:rPr>
          <w:rFonts w:hint="eastAsia" w:ascii="宋体" w:hAnsi="宋体" w:cs="宋体"/>
          <w:snapToGrid w:val="0"/>
          <w:color w:val="auto"/>
          <w:szCs w:val="21"/>
          <w:highlight w:val="none"/>
        </w:rPr>
        <w:t>21.2承包人拟投入本项目的所有管理人员在本项目实施过程中均不得同时在其他在建项目任职，如有违反，发包人有权扣除承包人的</w:t>
      </w:r>
      <w:r>
        <w:rPr>
          <w:rFonts w:hint="eastAsia" w:ascii="宋体" w:hAnsi="宋体" w:cs="宋体"/>
          <w:bCs/>
          <w:color w:val="auto"/>
          <w:highlight w:val="none"/>
          <w:u w:val="single"/>
        </w:rPr>
        <w:t>本合同工程结算造价的2%</w:t>
      </w:r>
      <w:r>
        <w:rPr>
          <w:rFonts w:hint="eastAsia" w:ascii="宋体" w:hAnsi="宋体" w:cs="宋体"/>
          <w:snapToGrid w:val="0"/>
          <w:color w:val="auto"/>
          <w:szCs w:val="21"/>
          <w:highlight w:val="none"/>
        </w:rPr>
        <w:t>。</w:t>
      </w:r>
      <w:bookmarkEnd w:id="1292"/>
      <w:bookmarkEnd w:id="1293"/>
    </w:p>
    <w:p w14:paraId="79461F4F">
      <w:pPr>
        <w:adjustRightInd w:val="0"/>
        <w:spacing w:line="400" w:lineRule="exact"/>
        <w:ind w:firstLine="482"/>
        <w:textAlignment w:val="baseline"/>
        <w:rPr>
          <w:rFonts w:ascii="宋体" w:hAnsi="宋体" w:cs="宋体"/>
          <w:snapToGrid w:val="0"/>
          <w:color w:val="auto"/>
          <w:szCs w:val="21"/>
          <w:highlight w:val="none"/>
        </w:rPr>
      </w:pPr>
      <w:r>
        <w:rPr>
          <w:rFonts w:hint="eastAsia" w:ascii="宋体" w:hAnsi="宋体" w:cs="宋体"/>
          <w:snapToGrid w:val="0"/>
          <w:color w:val="auto"/>
          <w:szCs w:val="21"/>
          <w:highlight w:val="none"/>
        </w:rPr>
        <w:t>21.3因任何一方违约致使相对方采取诉讼方式实现债权的，违约方应承担相对方为此支付的合理费用包括但不限于诉讼费、律师费、差旅费等。</w:t>
      </w:r>
    </w:p>
    <w:p w14:paraId="24E59844">
      <w:pPr>
        <w:adjustRightInd w:val="0"/>
        <w:spacing w:line="400" w:lineRule="exact"/>
        <w:ind w:firstLine="482"/>
        <w:textAlignment w:val="baseline"/>
        <w:rPr>
          <w:rFonts w:ascii="宋体" w:hAnsi="宋体" w:cs="宋体"/>
          <w:snapToGrid w:val="0"/>
          <w:color w:val="auto"/>
          <w:szCs w:val="21"/>
          <w:highlight w:val="none"/>
        </w:rPr>
      </w:pPr>
      <w:r>
        <w:rPr>
          <w:rFonts w:hint="eastAsia" w:ascii="宋体" w:hAnsi="宋体" w:cs="宋体"/>
          <w:snapToGrid w:val="0"/>
          <w:color w:val="auto"/>
          <w:szCs w:val="21"/>
          <w:highlight w:val="none"/>
        </w:rPr>
        <w:t>21.4 本项目其它设备供应商进场施工时，承包人收取的配合费为1%，如配合工种较多的可另行协商。</w:t>
      </w:r>
    </w:p>
    <w:p w14:paraId="6C3122DB">
      <w:pPr>
        <w:adjustRightInd w:val="0"/>
        <w:spacing w:line="400" w:lineRule="exact"/>
        <w:ind w:firstLine="482"/>
        <w:textAlignment w:val="baseline"/>
        <w:rPr>
          <w:rFonts w:ascii="宋体" w:hAnsi="宋体" w:cs="宋体"/>
          <w:snapToGrid w:val="0"/>
          <w:color w:val="auto"/>
          <w:highlight w:val="none"/>
        </w:rPr>
      </w:pPr>
      <w:r>
        <w:rPr>
          <w:rFonts w:hint="eastAsia" w:ascii="宋体" w:hAnsi="宋体" w:cs="宋体"/>
          <w:snapToGrid w:val="0"/>
          <w:color w:val="auto"/>
          <w:szCs w:val="21"/>
          <w:highlight w:val="none"/>
        </w:rPr>
        <w:t>21.5 承包人应加强对包括管理人员、分包、材料供货商等人员的管理，杜绝群体性事件的发生，本项目合同履行期间5人以上群体性事件的，每发生一次或者群体性事件每延续一天，承包人按合同金额的千分之一（按次或天）承担违约责任。</w:t>
      </w:r>
    </w:p>
    <w:p w14:paraId="1847BE0B">
      <w:pPr>
        <w:spacing w:before="196" w:line="360" w:lineRule="auto"/>
        <w:ind w:right="48" w:rightChars="23"/>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p>
    <w:p w14:paraId="69BD5692">
      <w:pPr>
        <w:pStyle w:val="12"/>
        <w:autoSpaceDE w:val="0"/>
        <w:autoSpaceDN w:val="0"/>
        <w:adjustRightInd w:val="0"/>
        <w:spacing w:line="360" w:lineRule="auto"/>
        <w:ind w:right="48" w:rightChars="23" w:firstLine="348" w:firstLineChars="200"/>
        <w:rPr>
          <w:rFonts w:hint="eastAsia" w:ascii="宋体" w:hAnsi="宋体" w:eastAsia="宋体" w:cs="宋体"/>
          <w:color w:val="auto"/>
          <w:szCs w:val="21"/>
          <w:highlight w:val="none"/>
        </w:rPr>
      </w:pPr>
      <w:r>
        <w:rPr>
          <w:rFonts w:hint="eastAsia" w:ascii="宋体" w:hAnsi="宋体" w:eastAsia="宋体" w:cs="宋体"/>
          <w:color w:val="auto"/>
          <w:spacing w:val="-18"/>
          <w:szCs w:val="21"/>
          <w:highlight w:val="none"/>
        </w:rPr>
        <w:t xml:space="preserve">附件 </w:t>
      </w:r>
      <w:r>
        <w:rPr>
          <w:rFonts w:hint="eastAsia" w:ascii="宋体" w:hAnsi="宋体" w:eastAsia="宋体" w:cs="宋体"/>
          <w:color w:val="auto"/>
          <w:spacing w:val="-18"/>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pacing w:val="-3"/>
          <w:szCs w:val="21"/>
          <w:highlight w:val="none"/>
        </w:rPr>
        <w:t>承包人主要施工管理人员表</w:t>
      </w:r>
    </w:p>
    <w:p w14:paraId="1329AA85">
      <w:pPr>
        <w:pStyle w:val="12"/>
        <w:autoSpaceDE w:val="0"/>
        <w:autoSpaceDN w:val="0"/>
        <w:adjustRightInd w:val="0"/>
        <w:spacing w:before="2" w:line="360" w:lineRule="auto"/>
        <w:ind w:right="48" w:rightChars="23" w:firstLine="352" w:firstLineChars="200"/>
        <w:rPr>
          <w:rFonts w:hint="eastAsia" w:ascii="宋体" w:hAnsi="宋体" w:eastAsia="宋体" w:cs="宋体"/>
          <w:color w:val="auto"/>
          <w:szCs w:val="21"/>
          <w:highlight w:val="none"/>
        </w:rPr>
      </w:pPr>
      <w:r>
        <w:rPr>
          <w:rFonts w:hint="eastAsia" w:ascii="宋体" w:hAnsi="宋体" w:eastAsia="宋体" w:cs="宋体"/>
          <w:color w:val="auto"/>
          <w:spacing w:val="-17"/>
          <w:szCs w:val="21"/>
          <w:highlight w:val="none"/>
        </w:rPr>
        <w:t xml:space="preserve">附件 </w:t>
      </w:r>
      <w:r>
        <w:rPr>
          <w:rFonts w:hint="eastAsia" w:ascii="宋体" w:hAnsi="宋体" w:eastAsia="宋体" w:cs="宋体"/>
          <w:color w:val="auto"/>
          <w:spacing w:val="-17"/>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pacing w:val="-3"/>
          <w:szCs w:val="21"/>
          <w:highlight w:val="none"/>
        </w:rPr>
        <w:t>承包人用于本工程施工的机械设备表</w:t>
      </w:r>
    </w:p>
    <w:p w14:paraId="56571FA2">
      <w:pPr>
        <w:pStyle w:val="12"/>
        <w:autoSpaceDE w:val="0"/>
        <w:autoSpaceDN w:val="0"/>
        <w:adjustRightInd w:val="0"/>
        <w:spacing w:before="2" w:line="360" w:lineRule="auto"/>
        <w:ind w:right="48" w:rightChars="23" w:firstLine="348" w:firstLineChars="200"/>
        <w:rPr>
          <w:rFonts w:hint="eastAsia" w:ascii="宋体" w:hAnsi="宋体" w:eastAsia="宋体" w:cs="宋体"/>
          <w:color w:val="auto"/>
          <w:szCs w:val="21"/>
          <w:highlight w:val="none"/>
        </w:rPr>
      </w:pPr>
      <w:r>
        <w:rPr>
          <w:rFonts w:hint="eastAsia" w:ascii="宋体" w:hAnsi="宋体" w:eastAsia="宋体" w:cs="宋体"/>
          <w:color w:val="auto"/>
          <w:spacing w:val="-18"/>
          <w:szCs w:val="21"/>
          <w:highlight w:val="none"/>
        </w:rPr>
        <w:t xml:space="preserve">附件 </w:t>
      </w:r>
      <w:r>
        <w:rPr>
          <w:rFonts w:hint="eastAsia" w:ascii="宋体" w:hAnsi="宋体" w:eastAsia="宋体" w:cs="宋体"/>
          <w:color w:val="auto"/>
          <w:spacing w:val="-18"/>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pacing w:val="-3"/>
          <w:szCs w:val="21"/>
          <w:highlight w:val="none"/>
        </w:rPr>
        <w:t>工程质量保修书</w:t>
      </w:r>
    </w:p>
    <w:p w14:paraId="3E1100A3">
      <w:pPr>
        <w:pStyle w:val="6"/>
        <w:jc w:val="left"/>
        <w:rPr>
          <w:rFonts w:hint="eastAsia" w:ascii="宋体" w:hAnsi="宋体" w:eastAsia="宋体" w:cs="宋体"/>
          <w:color w:val="auto"/>
          <w:sz w:val="21"/>
          <w:szCs w:val="21"/>
          <w:highlight w:val="none"/>
        </w:rPr>
        <w:sectPr>
          <w:footerReference r:id="rId7" w:type="default"/>
          <w:pgSz w:w="11920" w:h="16840"/>
          <w:pgMar w:top="1219" w:right="1423" w:bottom="1208" w:left="1423" w:header="0" w:footer="857" w:gutter="0"/>
          <w:cols w:space="720" w:num="1"/>
        </w:sectPr>
      </w:pPr>
    </w:p>
    <w:p w14:paraId="5137B2ED">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附件1：</w:t>
      </w:r>
    </w:p>
    <w:p w14:paraId="2C8A853D">
      <w:pPr>
        <w:spacing w:before="66"/>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承包人主要施工管理人员表</w:t>
      </w:r>
    </w:p>
    <w:tbl>
      <w:tblPr>
        <w:tblStyle w:val="27"/>
        <w:tblW w:w="0" w:type="auto"/>
        <w:tblInd w:w="2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1"/>
        <w:gridCol w:w="1418"/>
        <w:gridCol w:w="1134"/>
        <w:gridCol w:w="1134"/>
        <w:gridCol w:w="4252"/>
      </w:tblGrid>
      <w:tr w14:paraId="2D801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1A548007">
            <w:pPr>
              <w:pStyle w:val="42"/>
              <w:tabs>
                <w:tab w:val="left" w:pos="668"/>
              </w:tabs>
              <w:spacing w:before="132"/>
              <w:ind w:left="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418" w:type="dxa"/>
            <w:noWrap w:val="0"/>
            <w:vAlign w:val="center"/>
          </w:tcPr>
          <w:p w14:paraId="54D9FBCF">
            <w:pPr>
              <w:pStyle w:val="42"/>
              <w:spacing w:before="132"/>
              <w:ind w:left="469" w:right="45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134" w:type="dxa"/>
            <w:noWrap w:val="0"/>
            <w:vAlign w:val="center"/>
          </w:tcPr>
          <w:p w14:paraId="6648C280">
            <w:pPr>
              <w:pStyle w:val="42"/>
              <w:spacing w:before="132"/>
              <w:ind w:left="3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134" w:type="dxa"/>
            <w:noWrap w:val="0"/>
            <w:vAlign w:val="center"/>
          </w:tcPr>
          <w:p w14:paraId="6C93D517">
            <w:pPr>
              <w:pStyle w:val="42"/>
              <w:spacing w:before="132"/>
              <w:ind w:left="34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4252" w:type="dxa"/>
            <w:noWrap w:val="0"/>
            <w:vAlign w:val="center"/>
          </w:tcPr>
          <w:p w14:paraId="3D6A6D3A">
            <w:pPr>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eastAsia="en-US"/>
              </w:rPr>
              <w:t>计划进场时间</w:t>
            </w:r>
          </w:p>
        </w:tc>
      </w:tr>
      <w:tr w14:paraId="1153A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809" w:type="dxa"/>
            <w:gridSpan w:val="5"/>
            <w:noWrap w:val="0"/>
            <w:vAlign w:val="center"/>
          </w:tcPr>
          <w:p w14:paraId="2D660EF4">
            <w:pPr>
              <w:pStyle w:val="42"/>
              <w:spacing w:before="133"/>
              <w:ind w:left="4223" w:right="42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一、总部人员</w:t>
            </w:r>
          </w:p>
        </w:tc>
      </w:tr>
      <w:tr w14:paraId="4303A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4D83E6CF">
            <w:pPr>
              <w:pStyle w:val="42"/>
              <w:spacing w:before="132"/>
              <w:ind w:left="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项目主管</w:t>
            </w:r>
          </w:p>
        </w:tc>
        <w:tc>
          <w:tcPr>
            <w:tcW w:w="1418" w:type="dxa"/>
            <w:noWrap w:val="0"/>
            <w:vAlign w:val="center"/>
          </w:tcPr>
          <w:p w14:paraId="52A7470D">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52245A14">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1A92C2EF">
            <w:pPr>
              <w:pStyle w:val="42"/>
              <w:jc w:val="center"/>
              <w:rPr>
                <w:rFonts w:hint="eastAsia" w:ascii="宋体" w:hAnsi="宋体" w:eastAsia="宋体" w:cs="宋体"/>
                <w:color w:val="auto"/>
                <w:sz w:val="24"/>
                <w:szCs w:val="24"/>
                <w:highlight w:val="none"/>
                <w:lang w:eastAsia="zh-CN"/>
              </w:rPr>
            </w:pPr>
          </w:p>
        </w:tc>
        <w:tc>
          <w:tcPr>
            <w:tcW w:w="4252" w:type="dxa"/>
            <w:noWrap w:val="0"/>
            <w:vAlign w:val="center"/>
          </w:tcPr>
          <w:p w14:paraId="0BEF2D93">
            <w:pPr>
              <w:pStyle w:val="42"/>
              <w:jc w:val="center"/>
              <w:rPr>
                <w:rFonts w:hint="eastAsia" w:ascii="宋体" w:hAnsi="宋体" w:eastAsia="宋体" w:cs="宋体"/>
                <w:color w:val="auto"/>
                <w:sz w:val="24"/>
                <w:szCs w:val="24"/>
                <w:highlight w:val="none"/>
              </w:rPr>
            </w:pPr>
          </w:p>
        </w:tc>
      </w:tr>
      <w:tr w14:paraId="2046A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noWrap w:val="0"/>
            <w:vAlign w:val="center"/>
          </w:tcPr>
          <w:p w14:paraId="61C4D056">
            <w:pPr>
              <w:pStyle w:val="42"/>
              <w:ind w:left="49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其他人员</w:t>
            </w:r>
          </w:p>
        </w:tc>
        <w:tc>
          <w:tcPr>
            <w:tcW w:w="1418" w:type="dxa"/>
            <w:noWrap w:val="0"/>
            <w:vAlign w:val="center"/>
          </w:tcPr>
          <w:p w14:paraId="4D3C7974">
            <w:pPr>
              <w:pStyle w:val="42"/>
              <w:jc w:val="center"/>
              <w:rPr>
                <w:rFonts w:hint="eastAsia" w:ascii="宋体" w:hAnsi="宋体" w:eastAsia="宋体" w:cs="宋体"/>
                <w:color w:val="auto"/>
                <w:sz w:val="24"/>
                <w:szCs w:val="24"/>
                <w:highlight w:val="none"/>
              </w:rPr>
            </w:pPr>
          </w:p>
        </w:tc>
        <w:tc>
          <w:tcPr>
            <w:tcW w:w="1134" w:type="dxa"/>
            <w:noWrap w:val="0"/>
            <w:vAlign w:val="center"/>
          </w:tcPr>
          <w:p w14:paraId="38723D85">
            <w:pPr>
              <w:pStyle w:val="42"/>
              <w:jc w:val="center"/>
              <w:rPr>
                <w:rFonts w:hint="eastAsia" w:ascii="宋体" w:hAnsi="宋体" w:eastAsia="宋体" w:cs="宋体"/>
                <w:color w:val="auto"/>
                <w:sz w:val="24"/>
                <w:szCs w:val="24"/>
                <w:highlight w:val="none"/>
              </w:rPr>
            </w:pPr>
          </w:p>
        </w:tc>
        <w:tc>
          <w:tcPr>
            <w:tcW w:w="1134" w:type="dxa"/>
            <w:noWrap w:val="0"/>
            <w:vAlign w:val="center"/>
          </w:tcPr>
          <w:p w14:paraId="200519AA">
            <w:pPr>
              <w:pStyle w:val="42"/>
              <w:jc w:val="center"/>
              <w:rPr>
                <w:rFonts w:hint="eastAsia" w:ascii="宋体" w:hAnsi="宋体" w:eastAsia="宋体" w:cs="宋体"/>
                <w:color w:val="auto"/>
                <w:sz w:val="24"/>
                <w:szCs w:val="24"/>
                <w:highlight w:val="none"/>
              </w:rPr>
            </w:pPr>
          </w:p>
        </w:tc>
        <w:tc>
          <w:tcPr>
            <w:tcW w:w="4252" w:type="dxa"/>
            <w:noWrap w:val="0"/>
            <w:vAlign w:val="center"/>
          </w:tcPr>
          <w:p w14:paraId="0EA4AC73">
            <w:pPr>
              <w:pStyle w:val="42"/>
              <w:jc w:val="center"/>
              <w:rPr>
                <w:rFonts w:hint="eastAsia" w:ascii="宋体" w:hAnsi="宋体" w:eastAsia="宋体" w:cs="宋体"/>
                <w:color w:val="auto"/>
                <w:sz w:val="24"/>
                <w:szCs w:val="24"/>
                <w:highlight w:val="none"/>
              </w:rPr>
            </w:pPr>
          </w:p>
        </w:tc>
      </w:tr>
      <w:tr w14:paraId="2D84B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67C0DD62">
            <w:pPr>
              <w:jc w:val="center"/>
              <w:rPr>
                <w:rFonts w:hint="eastAsia" w:ascii="宋体" w:hAnsi="宋体" w:eastAsia="宋体" w:cs="宋体"/>
                <w:color w:val="auto"/>
                <w:sz w:val="24"/>
                <w:highlight w:val="none"/>
              </w:rPr>
            </w:pPr>
          </w:p>
        </w:tc>
        <w:tc>
          <w:tcPr>
            <w:tcW w:w="1418" w:type="dxa"/>
            <w:noWrap w:val="0"/>
            <w:vAlign w:val="center"/>
          </w:tcPr>
          <w:p w14:paraId="7EAD5153">
            <w:pPr>
              <w:pStyle w:val="42"/>
              <w:jc w:val="center"/>
              <w:rPr>
                <w:rFonts w:hint="eastAsia" w:ascii="宋体" w:hAnsi="宋体" w:eastAsia="宋体" w:cs="宋体"/>
                <w:color w:val="auto"/>
                <w:sz w:val="24"/>
                <w:szCs w:val="24"/>
                <w:highlight w:val="none"/>
              </w:rPr>
            </w:pPr>
          </w:p>
        </w:tc>
        <w:tc>
          <w:tcPr>
            <w:tcW w:w="1134" w:type="dxa"/>
            <w:noWrap w:val="0"/>
            <w:vAlign w:val="center"/>
          </w:tcPr>
          <w:p w14:paraId="09274253">
            <w:pPr>
              <w:pStyle w:val="42"/>
              <w:jc w:val="center"/>
              <w:rPr>
                <w:rFonts w:hint="eastAsia" w:ascii="宋体" w:hAnsi="宋体" w:eastAsia="宋体" w:cs="宋体"/>
                <w:color w:val="auto"/>
                <w:sz w:val="24"/>
                <w:szCs w:val="24"/>
                <w:highlight w:val="none"/>
              </w:rPr>
            </w:pPr>
          </w:p>
        </w:tc>
        <w:tc>
          <w:tcPr>
            <w:tcW w:w="1134" w:type="dxa"/>
            <w:noWrap w:val="0"/>
            <w:vAlign w:val="center"/>
          </w:tcPr>
          <w:p w14:paraId="2295E31F">
            <w:pPr>
              <w:pStyle w:val="42"/>
              <w:jc w:val="center"/>
              <w:rPr>
                <w:rFonts w:hint="eastAsia" w:ascii="宋体" w:hAnsi="宋体" w:eastAsia="宋体" w:cs="宋体"/>
                <w:color w:val="auto"/>
                <w:sz w:val="24"/>
                <w:szCs w:val="24"/>
                <w:highlight w:val="none"/>
              </w:rPr>
            </w:pPr>
          </w:p>
        </w:tc>
        <w:tc>
          <w:tcPr>
            <w:tcW w:w="4252" w:type="dxa"/>
            <w:noWrap w:val="0"/>
            <w:vAlign w:val="center"/>
          </w:tcPr>
          <w:p w14:paraId="4E992903">
            <w:pPr>
              <w:pStyle w:val="42"/>
              <w:jc w:val="center"/>
              <w:rPr>
                <w:rFonts w:hint="eastAsia" w:ascii="宋体" w:hAnsi="宋体" w:eastAsia="宋体" w:cs="宋体"/>
                <w:color w:val="auto"/>
                <w:sz w:val="24"/>
                <w:szCs w:val="24"/>
                <w:highlight w:val="none"/>
              </w:rPr>
            </w:pPr>
          </w:p>
        </w:tc>
      </w:tr>
      <w:tr w14:paraId="3F5B1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32E1C7BB">
            <w:pPr>
              <w:jc w:val="center"/>
              <w:rPr>
                <w:rFonts w:hint="eastAsia" w:ascii="宋体" w:hAnsi="宋体" w:eastAsia="宋体" w:cs="宋体"/>
                <w:color w:val="auto"/>
                <w:sz w:val="24"/>
                <w:highlight w:val="none"/>
              </w:rPr>
            </w:pPr>
          </w:p>
        </w:tc>
        <w:tc>
          <w:tcPr>
            <w:tcW w:w="1418" w:type="dxa"/>
            <w:noWrap w:val="0"/>
            <w:vAlign w:val="center"/>
          </w:tcPr>
          <w:p w14:paraId="45693BC1">
            <w:pPr>
              <w:pStyle w:val="42"/>
              <w:jc w:val="center"/>
              <w:rPr>
                <w:rFonts w:hint="eastAsia" w:ascii="宋体" w:hAnsi="宋体" w:eastAsia="宋体" w:cs="宋体"/>
                <w:color w:val="auto"/>
                <w:sz w:val="24"/>
                <w:szCs w:val="24"/>
                <w:highlight w:val="none"/>
              </w:rPr>
            </w:pPr>
          </w:p>
        </w:tc>
        <w:tc>
          <w:tcPr>
            <w:tcW w:w="1134" w:type="dxa"/>
            <w:noWrap w:val="0"/>
            <w:vAlign w:val="center"/>
          </w:tcPr>
          <w:p w14:paraId="2F57F6A9">
            <w:pPr>
              <w:pStyle w:val="42"/>
              <w:jc w:val="center"/>
              <w:rPr>
                <w:rFonts w:hint="eastAsia" w:ascii="宋体" w:hAnsi="宋体" w:eastAsia="宋体" w:cs="宋体"/>
                <w:color w:val="auto"/>
                <w:sz w:val="24"/>
                <w:szCs w:val="24"/>
                <w:highlight w:val="none"/>
              </w:rPr>
            </w:pPr>
          </w:p>
        </w:tc>
        <w:tc>
          <w:tcPr>
            <w:tcW w:w="1134" w:type="dxa"/>
            <w:noWrap w:val="0"/>
            <w:vAlign w:val="center"/>
          </w:tcPr>
          <w:p w14:paraId="43D21946">
            <w:pPr>
              <w:pStyle w:val="42"/>
              <w:jc w:val="center"/>
              <w:rPr>
                <w:rFonts w:hint="eastAsia" w:ascii="宋体" w:hAnsi="宋体" w:eastAsia="宋体" w:cs="宋体"/>
                <w:color w:val="auto"/>
                <w:sz w:val="24"/>
                <w:szCs w:val="24"/>
                <w:highlight w:val="none"/>
              </w:rPr>
            </w:pPr>
          </w:p>
        </w:tc>
        <w:tc>
          <w:tcPr>
            <w:tcW w:w="4252" w:type="dxa"/>
            <w:noWrap w:val="0"/>
            <w:vAlign w:val="center"/>
          </w:tcPr>
          <w:p w14:paraId="1F4AC03E">
            <w:pPr>
              <w:pStyle w:val="42"/>
              <w:jc w:val="center"/>
              <w:rPr>
                <w:rFonts w:hint="eastAsia" w:ascii="宋体" w:hAnsi="宋体" w:eastAsia="宋体" w:cs="宋体"/>
                <w:color w:val="auto"/>
                <w:sz w:val="24"/>
                <w:szCs w:val="24"/>
                <w:highlight w:val="none"/>
              </w:rPr>
            </w:pPr>
          </w:p>
        </w:tc>
      </w:tr>
      <w:tr w14:paraId="272CD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809" w:type="dxa"/>
            <w:gridSpan w:val="5"/>
            <w:noWrap w:val="0"/>
            <w:vAlign w:val="center"/>
          </w:tcPr>
          <w:p w14:paraId="4E498D48">
            <w:pPr>
              <w:pStyle w:val="42"/>
              <w:spacing w:before="132"/>
              <w:ind w:left="4223" w:right="42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二、现场人员</w:t>
            </w:r>
          </w:p>
        </w:tc>
      </w:tr>
      <w:tr w14:paraId="719AD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24FDA449">
            <w:pPr>
              <w:pStyle w:val="42"/>
              <w:spacing w:before="133"/>
              <w:ind w:left="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1418" w:type="dxa"/>
            <w:noWrap w:val="0"/>
            <w:vAlign w:val="center"/>
          </w:tcPr>
          <w:p w14:paraId="4425EC2B">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7550BE75">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7AB91264">
            <w:pPr>
              <w:pStyle w:val="42"/>
              <w:jc w:val="center"/>
              <w:rPr>
                <w:rFonts w:hint="eastAsia" w:ascii="宋体" w:hAnsi="宋体" w:eastAsia="宋体" w:cs="宋体"/>
                <w:color w:val="auto"/>
                <w:sz w:val="24"/>
                <w:szCs w:val="24"/>
                <w:highlight w:val="none"/>
                <w:lang w:eastAsia="zh-CN"/>
              </w:rPr>
            </w:pPr>
          </w:p>
        </w:tc>
        <w:tc>
          <w:tcPr>
            <w:tcW w:w="4252" w:type="dxa"/>
            <w:noWrap w:val="0"/>
            <w:vAlign w:val="center"/>
          </w:tcPr>
          <w:p w14:paraId="61E2CE4A">
            <w:pPr>
              <w:pStyle w:val="42"/>
              <w:jc w:val="center"/>
              <w:rPr>
                <w:rFonts w:hint="eastAsia" w:ascii="宋体" w:hAnsi="宋体" w:eastAsia="宋体" w:cs="宋体"/>
                <w:color w:val="auto"/>
                <w:sz w:val="24"/>
                <w:szCs w:val="24"/>
                <w:highlight w:val="none"/>
                <w:lang w:eastAsia="zh-CN"/>
              </w:rPr>
            </w:pPr>
          </w:p>
        </w:tc>
      </w:tr>
      <w:tr w14:paraId="7B480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10F940C1">
            <w:pPr>
              <w:pStyle w:val="42"/>
              <w:spacing w:before="132"/>
              <w:ind w:left="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项目副经理</w:t>
            </w:r>
          </w:p>
        </w:tc>
        <w:tc>
          <w:tcPr>
            <w:tcW w:w="1418" w:type="dxa"/>
            <w:noWrap w:val="0"/>
            <w:vAlign w:val="center"/>
          </w:tcPr>
          <w:p w14:paraId="4EDCF536">
            <w:pPr>
              <w:pStyle w:val="42"/>
              <w:jc w:val="center"/>
              <w:rPr>
                <w:rFonts w:hint="eastAsia" w:ascii="宋体" w:hAnsi="宋体" w:eastAsia="宋体" w:cs="宋体"/>
                <w:color w:val="auto"/>
                <w:sz w:val="24"/>
                <w:szCs w:val="24"/>
                <w:highlight w:val="none"/>
              </w:rPr>
            </w:pPr>
          </w:p>
        </w:tc>
        <w:tc>
          <w:tcPr>
            <w:tcW w:w="1134" w:type="dxa"/>
            <w:noWrap w:val="0"/>
            <w:vAlign w:val="center"/>
          </w:tcPr>
          <w:p w14:paraId="7A74477D">
            <w:pPr>
              <w:pStyle w:val="42"/>
              <w:jc w:val="center"/>
              <w:rPr>
                <w:rFonts w:hint="eastAsia" w:ascii="宋体" w:hAnsi="宋体" w:eastAsia="宋体" w:cs="宋体"/>
                <w:color w:val="auto"/>
                <w:sz w:val="24"/>
                <w:szCs w:val="24"/>
                <w:highlight w:val="none"/>
              </w:rPr>
            </w:pPr>
          </w:p>
        </w:tc>
        <w:tc>
          <w:tcPr>
            <w:tcW w:w="1134" w:type="dxa"/>
            <w:noWrap w:val="0"/>
            <w:vAlign w:val="center"/>
          </w:tcPr>
          <w:p w14:paraId="3E8C9531">
            <w:pPr>
              <w:pStyle w:val="42"/>
              <w:jc w:val="center"/>
              <w:rPr>
                <w:rFonts w:hint="eastAsia" w:ascii="宋体" w:hAnsi="宋体" w:eastAsia="宋体" w:cs="宋体"/>
                <w:color w:val="auto"/>
                <w:sz w:val="24"/>
                <w:szCs w:val="24"/>
                <w:highlight w:val="none"/>
              </w:rPr>
            </w:pPr>
          </w:p>
        </w:tc>
        <w:tc>
          <w:tcPr>
            <w:tcW w:w="4252" w:type="dxa"/>
            <w:noWrap w:val="0"/>
            <w:vAlign w:val="center"/>
          </w:tcPr>
          <w:p w14:paraId="4E26C309">
            <w:pPr>
              <w:pStyle w:val="42"/>
              <w:jc w:val="center"/>
              <w:rPr>
                <w:rFonts w:hint="eastAsia" w:ascii="宋体" w:hAnsi="宋体" w:eastAsia="宋体" w:cs="宋体"/>
                <w:color w:val="auto"/>
                <w:sz w:val="24"/>
                <w:szCs w:val="24"/>
                <w:highlight w:val="none"/>
              </w:rPr>
            </w:pPr>
          </w:p>
        </w:tc>
      </w:tr>
      <w:tr w14:paraId="0AF81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71" w:type="dxa"/>
            <w:noWrap w:val="0"/>
            <w:vAlign w:val="center"/>
          </w:tcPr>
          <w:p w14:paraId="3C9111C4">
            <w:pPr>
              <w:pStyle w:val="42"/>
              <w:spacing w:before="133"/>
              <w:ind w:left="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418" w:type="dxa"/>
            <w:noWrap w:val="0"/>
            <w:vAlign w:val="center"/>
          </w:tcPr>
          <w:p w14:paraId="407B866D">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5CD4258A">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27C45AF2">
            <w:pPr>
              <w:pStyle w:val="42"/>
              <w:jc w:val="center"/>
              <w:rPr>
                <w:rFonts w:hint="eastAsia" w:ascii="宋体" w:hAnsi="宋体" w:eastAsia="宋体" w:cs="宋体"/>
                <w:color w:val="auto"/>
                <w:sz w:val="24"/>
                <w:szCs w:val="24"/>
                <w:highlight w:val="none"/>
                <w:lang w:eastAsia="zh-CN"/>
              </w:rPr>
            </w:pPr>
          </w:p>
        </w:tc>
        <w:tc>
          <w:tcPr>
            <w:tcW w:w="4252" w:type="dxa"/>
            <w:noWrap w:val="0"/>
            <w:vAlign w:val="center"/>
          </w:tcPr>
          <w:p w14:paraId="673A6BAF">
            <w:pPr>
              <w:pStyle w:val="42"/>
              <w:jc w:val="center"/>
              <w:rPr>
                <w:rFonts w:hint="eastAsia" w:ascii="宋体" w:hAnsi="宋体" w:eastAsia="宋体" w:cs="宋体"/>
                <w:color w:val="auto"/>
                <w:sz w:val="24"/>
                <w:szCs w:val="24"/>
                <w:highlight w:val="none"/>
              </w:rPr>
            </w:pPr>
          </w:p>
        </w:tc>
      </w:tr>
      <w:tr w14:paraId="16472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29C7EC12">
            <w:pPr>
              <w:pStyle w:val="42"/>
              <w:spacing w:before="132"/>
              <w:ind w:left="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造价管理</w:t>
            </w:r>
          </w:p>
        </w:tc>
        <w:tc>
          <w:tcPr>
            <w:tcW w:w="1418" w:type="dxa"/>
            <w:noWrap w:val="0"/>
            <w:vAlign w:val="center"/>
          </w:tcPr>
          <w:p w14:paraId="3F20A4E3">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2C217120">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0ED2D897">
            <w:pPr>
              <w:pStyle w:val="42"/>
              <w:jc w:val="center"/>
              <w:rPr>
                <w:rFonts w:hint="eastAsia" w:ascii="宋体" w:hAnsi="宋体" w:eastAsia="宋体" w:cs="宋体"/>
                <w:color w:val="auto"/>
                <w:sz w:val="24"/>
                <w:szCs w:val="24"/>
                <w:highlight w:val="none"/>
                <w:lang w:eastAsia="zh-CN"/>
              </w:rPr>
            </w:pPr>
          </w:p>
        </w:tc>
        <w:tc>
          <w:tcPr>
            <w:tcW w:w="4252" w:type="dxa"/>
            <w:noWrap w:val="0"/>
            <w:vAlign w:val="center"/>
          </w:tcPr>
          <w:p w14:paraId="49764D93">
            <w:pPr>
              <w:pStyle w:val="42"/>
              <w:jc w:val="center"/>
              <w:rPr>
                <w:rFonts w:hint="eastAsia" w:ascii="宋体" w:hAnsi="宋体" w:eastAsia="宋体" w:cs="宋体"/>
                <w:color w:val="auto"/>
                <w:sz w:val="24"/>
                <w:szCs w:val="24"/>
                <w:highlight w:val="none"/>
              </w:rPr>
            </w:pPr>
          </w:p>
        </w:tc>
      </w:tr>
      <w:tr w14:paraId="0583A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noWrap w:val="0"/>
            <w:vAlign w:val="center"/>
          </w:tcPr>
          <w:p w14:paraId="41DFDFE3">
            <w:pPr>
              <w:pStyle w:val="42"/>
              <w:ind w:left="49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w:t>
            </w:r>
          </w:p>
        </w:tc>
        <w:tc>
          <w:tcPr>
            <w:tcW w:w="1418" w:type="dxa"/>
            <w:noWrap w:val="0"/>
            <w:vAlign w:val="center"/>
          </w:tcPr>
          <w:p w14:paraId="40657251">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6EDA0E90">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5FABCC49">
            <w:pPr>
              <w:pStyle w:val="4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4252" w:type="dxa"/>
            <w:noWrap w:val="0"/>
            <w:vAlign w:val="center"/>
          </w:tcPr>
          <w:p w14:paraId="31926E1C">
            <w:pPr>
              <w:pStyle w:val="42"/>
              <w:jc w:val="center"/>
              <w:rPr>
                <w:rFonts w:hint="eastAsia" w:ascii="宋体" w:hAnsi="宋体" w:eastAsia="宋体" w:cs="宋体"/>
                <w:color w:val="auto"/>
                <w:sz w:val="24"/>
                <w:szCs w:val="24"/>
                <w:highlight w:val="none"/>
              </w:rPr>
            </w:pPr>
          </w:p>
        </w:tc>
      </w:tr>
      <w:tr w14:paraId="5641D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59B7748B">
            <w:pPr>
              <w:jc w:val="center"/>
              <w:rPr>
                <w:rFonts w:hint="eastAsia" w:ascii="宋体" w:hAnsi="宋体" w:eastAsia="宋体" w:cs="宋体"/>
                <w:color w:val="auto"/>
                <w:sz w:val="24"/>
                <w:highlight w:val="none"/>
              </w:rPr>
            </w:pPr>
          </w:p>
        </w:tc>
        <w:tc>
          <w:tcPr>
            <w:tcW w:w="1418" w:type="dxa"/>
            <w:noWrap w:val="0"/>
            <w:vAlign w:val="center"/>
          </w:tcPr>
          <w:p w14:paraId="14F0E421">
            <w:pPr>
              <w:pStyle w:val="42"/>
              <w:jc w:val="center"/>
              <w:rPr>
                <w:rFonts w:hint="eastAsia" w:ascii="宋体" w:hAnsi="宋体" w:eastAsia="宋体" w:cs="宋体"/>
                <w:color w:val="auto"/>
                <w:sz w:val="24"/>
                <w:szCs w:val="24"/>
                <w:highlight w:val="none"/>
              </w:rPr>
            </w:pPr>
          </w:p>
        </w:tc>
        <w:tc>
          <w:tcPr>
            <w:tcW w:w="1134" w:type="dxa"/>
            <w:noWrap w:val="0"/>
            <w:vAlign w:val="center"/>
          </w:tcPr>
          <w:p w14:paraId="3A99A9D9">
            <w:pPr>
              <w:pStyle w:val="42"/>
              <w:jc w:val="center"/>
              <w:rPr>
                <w:rFonts w:hint="eastAsia" w:ascii="宋体" w:hAnsi="宋体" w:eastAsia="宋体" w:cs="宋体"/>
                <w:color w:val="auto"/>
                <w:sz w:val="24"/>
                <w:szCs w:val="24"/>
                <w:highlight w:val="none"/>
              </w:rPr>
            </w:pPr>
          </w:p>
        </w:tc>
        <w:tc>
          <w:tcPr>
            <w:tcW w:w="1134" w:type="dxa"/>
            <w:noWrap w:val="0"/>
            <w:vAlign w:val="center"/>
          </w:tcPr>
          <w:p w14:paraId="0D689E98">
            <w:pPr>
              <w:pStyle w:val="42"/>
              <w:jc w:val="center"/>
              <w:rPr>
                <w:rFonts w:hint="eastAsia" w:ascii="宋体" w:hAnsi="宋体" w:eastAsia="宋体" w:cs="宋体"/>
                <w:color w:val="auto"/>
                <w:sz w:val="24"/>
                <w:szCs w:val="24"/>
                <w:highlight w:val="none"/>
              </w:rPr>
            </w:pPr>
          </w:p>
        </w:tc>
        <w:tc>
          <w:tcPr>
            <w:tcW w:w="4252" w:type="dxa"/>
            <w:noWrap w:val="0"/>
            <w:vAlign w:val="center"/>
          </w:tcPr>
          <w:p w14:paraId="795F58AA">
            <w:pPr>
              <w:pStyle w:val="42"/>
              <w:jc w:val="center"/>
              <w:rPr>
                <w:rFonts w:hint="eastAsia" w:ascii="宋体" w:hAnsi="宋体" w:eastAsia="宋体" w:cs="宋体"/>
                <w:color w:val="auto"/>
                <w:sz w:val="24"/>
                <w:szCs w:val="24"/>
                <w:highlight w:val="none"/>
              </w:rPr>
            </w:pPr>
          </w:p>
        </w:tc>
      </w:tr>
      <w:tr w14:paraId="7F168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77337956">
            <w:pPr>
              <w:jc w:val="center"/>
              <w:rPr>
                <w:rFonts w:hint="eastAsia" w:ascii="宋体" w:hAnsi="宋体" w:eastAsia="宋体" w:cs="宋体"/>
                <w:color w:val="auto"/>
                <w:sz w:val="24"/>
                <w:highlight w:val="none"/>
              </w:rPr>
            </w:pPr>
          </w:p>
        </w:tc>
        <w:tc>
          <w:tcPr>
            <w:tcW w:w="1418" w:type="dxa"/>
            <w:noWrap w:val="0"/>
            <w:vAlign w:val="center"/>
          </w:tcPr>
          <w:p w14:paraId="038E4438">
            <w:pPr>
              <w:pStyle w:val="42"/>
              <w:jc w:val="center"/>
              <w:rPr>
                <w:rFonts w:hint="eastAsia" w:ascii="宋体" w:hAnsi="宋体" w:eastAsia="宋体" w:cs="宋体"/>
                <w:color w:val="auto"/>
                <w:sz w:val="24"/>
                <w:szCs w:val="24"/>
                <w:highlight w:val="none"/>
              </w:rPr>
            </w:pPr>
          </w:p>
        </w:tc>
        <w:tc>
          <w:tcPr>
            <w:tcW w:w="1134" w:type="dxa"/>
            <w:noWrap w:val="0"/>
            <w:vAlign w:val="center"/>
          </w:tcPr>
          <w:p w14:paraId="55A361AD">
            <w:pPr>
              <w:pStyle w:val="42"/>
              <w:jc w:val="center"/>
              <w:rPr>
                <w:rFonts w:hint="eastAsia" w:ascii="宋体" w:hAnsi="宋体" w:eastAsia="宋体" w:cs="宋体"/>
                <w:color w:val="auto"/>
                <w:sz w:val="24"/>
                <w:szCs w:val="24"/>
                <w:highlight w:val="none"/>
              </w:rPr>
            </w:pPr>
          </w:p>
        </w:tc>
        <w:tc>
          <w:tcPr>
            <w:tcW w:w="1134" w:type="dxa"/>
            <w:noWrap w:val="0"/>
            <w:vAlign w:val="center"/>
          </w:tcPr>
          <w:p w14:paraId="55996816">
            <w:pPr>
              <w:pStyle w:val="42"/>
              <w:jc w:val="center"/>
              <w:rPr>
                <w:rFonts w:hint="eastAsia" w:ascii="宋体" w:hAnsi="宋体" w:eastAsia="宋体" w:cs="宋体"/>
                <w:color w:val="auto"/>
                <w:sz w:val="24"/>
                <w:szCs w:val="24"/>
                <w:highlight w:val="none"/>
              </w:rPr>
            </w:pPr>
          </w:p>
        </w:tc>
        <w:tc>
          <w:tcPr>
            <w:tcW w:w="4252" w:type="dxa"/>
            <w:noWrap w:val="0"/>
            <w:vAlign w:val="center"/>
          </w:tcPr>
          <w:p w14:paraId="10656DB4">
            <w:pPr>
              <w:pStyle w:val="42"/>
              <w:jc w:val="center"/>
              <w:rPr>
                <w:rFonts w:hint="eastAsia" w:ascii="宋体" w:hAnsi="宋体" w:eastAsia="宋体" w:cs="宋体"/>
                <w:color w:val="auto"/>
                <w:sz w:val="24"/>
                <w:szCs w:val="24"/>
                <w:highlight w:val="none"/>
              </w:rPr>
            </w:pPr>
          </w:p>
        </w:tc>
      </w:tr>
      <w:tr w14:paraId="3DA34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6FFF4C45">
            <w:pPr>
              <w:pStyle w:val="42"/>
              <w:spacing w:before="132"/>
              <w:ind w:left="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材料管理</w:t>
            </w:r>
          </w:p>
        </w:tc>
        <w:tc>
          <w:tcPr>
            <w:tcW w:w="1418" w:type="dxa"/>
            <w:noWrap w:val="0"/>
            <w:vAlign w:val="center"/>
          </w:tcPr>
          <w:p w14:paraId="30A538C5">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5A88F8BD">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4648A9FB">
            <w:pPr>
              <w:pStyle w:val="4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4252" w:type="dxa"/>
            <w:noWrap w:val="0"/>
            <w:vAlign w:val="center"/>
          </w:tcPr>
          <w:p w14:paraId="03CEE77B">
            <w:pPr>
              <w:pStyle w:val="42"/>
              <w:jc w:val="center"/>
              <w:rPr>
                <w:rFonts w:hint="eastAsia" w:ascii="宋体" w:hAnsi="宋体" w:eastAsia="宋体" w:cs="宋体"/>
                <w:color w:val="auto"/>
                <w:sz w:val="24"/>
                <w:szCs w:val="24"/>
                <w:highlight w:val="none"/>
              </w:rPr>
            </w:pPr>
          </w:p>
        </w:tc>
      </w:tr>
      <w:tr w14:paraId="4CA28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798BBD6A">
            <w:pPr>
              <w:pStyle w:val="42"/>
              <w:spacing w:before="133"/>
              <w:ind w:left="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计划管理</w:t>
            </w:r>
          </w:p>
        </w:tc>
        <w:tc>
          <w:tcPr>
            <w:tcW w:w="1418" w:type="dxa"/>
            <w:noWrap w:val="0"/>
            <w:vAlign w:val="center"/>
          </w:tcPr>
          <w:p w14:paraId="1ED99500">
            <w:pPr>
              <w:pStyle w:val="42"/>
              <w:jc w:val="center"/>
              <w:rPr>
                <w:rFonts w:hint="eastAsia" w:ascii="宋体" w:hAnsi="宋体" w:eastAsia="宋体" w:cs="宋体"/>
                <w:color w:val="auto"/>
                <w:sz w:val="24"/>
                <w:szCs w:val="24"/>
                <w:highlight w:val="none"/>
              </w:rPr>
            </w:pPr>
          </w:p>
        </w:tc>
        <w:tc>
          <w:tcPr>
            <w:tcW w:w="1134" w:type="dxa"/>
            <w:noWrap w:val="0"/>
            <w:vAlign w:val="center"/>
          </w:tcPr>
          <w:p w14:paraId="3A09C772">
            <w:pPr>
              <w:pStyle w:val="42"/>
              <w:jc w:val="center"/>
              <w:rPr>
                <w:rFonts w:hint="eastAsia" w:ascii="宋体" w:hAnsi="宋体" w:eastAsia="宋体" w:cs="宋体"/>
                <w:color w:val="auto"/>
                <w:sz w:val="24"/>
                <w:szCs w:val="24"/>
                <w:highlight w:val="none"/>
              </w:rPr>
            </w:pPr>
          </w:p>
        </w:tc>
        <w:tc>
          <w:tcPr>
            <w:tcW w:w="1134" w:type="dxa"/>
            <w:noWrap w:val="0"/>
            <w:vAlign w:val="center"/>
          </w:tcPr>
          <w:p w14:paraId="4392DE5A">
            <w:pPr>
              <w:pStyle w:val="42"/>
              <w:jc w:val="center"/>
              <w:rPr>
                <w:rFonts w:hint="eastAsia" w:ascii="宋体" w:hAnsi="宋体" w:eastAsia="宋体" w:cs="宋体"/>
                <w:color w:val="auto"/>
                <w:sz w:val="24"/>
                <w:szCs w:val="24"/>
                <w:highlight w:val="none"/>
              </w:rPr>
            </w:pPr>
          </w:p>
        </w:tc>
        <w:tc>
          <w:tcPr>
            <w:tcW w:w="4252" w:type="dxa"/>
            <w:noWrap w:val="0"/>
            <w:vAlign w:val="center"/>
          </w:tcPr>
          <w:p w14:paraId="63B7DD09">
            <w:pPr>
              <w:pStyle w:val="42"/>
              <w:jc w:val="center"/>
              <w:rPr>
                <w:rFonts w:hint="eastAsia" w:ascii="宋体" w:hAnsi="宋体" w:eastAsia="宋体" w:cs="宋体"/>
                <w:color w:val="auto"/>
                <w:sz w:val="24"/>
                <w:szCs w:val="24"/>
                <w:highlight w:val="none"/>
              </w:rPr>
            </w:pPr>
          </w:p>
        </w:tc>
      </w:tr>
      <w:tr w14:paraId="5F6FB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noWrap w:val="0"/>
            <w:vAlign w:val="center"/>
          </w:tcPr>
          <w:p w14:paraId="6DE1865C">
            <w:pPr>
              <w:pStyle w:val="42"/>
              <w:ind w:left="49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w:t>
            </w:r>
          </w:p>
        </w:tc>
        <w:tc>
          <w:tcPr>
            <w:tcW w:w="1418" w:type="dxa"/>
            <w:noWrap w:val="0"/>
            <w:vAlign w:val="center"/>
          </w:tcPr>
          <w:p w14:paraId="7858BC18">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60350EB1">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2CD64158">
            <w:pPr>
              <w:pStyle w:val="4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4252" w:type="dxa"/>
            <w:noWrap w:val="0"/>
            <w:vAlign w:val="center"/>
          </w:tcPr>
          <w:p w14:paraId="076E2042">
            <w:pPr>
              <w:pStyle w:val="42"/>
              <w:jc w:val="center"/>
              <w:rPr>
                <w:rFonts w:hint="eastAsia" w:ascii="宋体" w:hAnsi="宋体" w:eastAsia="宋体" w:cs="宋体"/>
                <w:color w:val="auto"/>
                <w:sz w:val="24"/>
                <w:szCs w:val="24"/>
                <w:highlight w:val="none"/>
              </w:rPr>
            </w:pPr>
          </w:p>
        </w:tc>
      </w:tr>
      <w:tr w14:paraId="4EB9A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71" w:type="dxa"/>
            <w:vMerge w:val="continue"/>
            <w:tcBorders>
              <w:top w:val="nil"/>
            </w:tcBorders>
            <w:noWrap w:val="0"/>
            <w:vAlign w:val="center"/>
          </w:tcPr>
          <w:p w14:paraId="4190057E">
            <w:pPr>
              <w:jc w:val="center"/>
              <w:rPr>
                <w:rFonts w:hint="eastAsia" w:ascii="宋体" w:hAnsi="宋体" w:eastAsia="宋体" w:cs="宋体"/>
                <w:color w:val="auto"/>
                <w:sz w:val="24"/>
                <w:highlight w:val="none"/>
              </w:rPr>
            </w:pPr>
          </w:p>
        </w:tc>
        <w:tc>
          <w:tcPr>
            <w:tcW w:w="1418" w:type="dxa"/>
            <w:noWrap w:val="0"/>
            <w:vAlign w:val="center"/>
          </w:tcPr>
          <w:p w14:paraId="2234366B">
            <w:pPr>
              <w:pStyle w:val="42"/>
              <w:jc w:val="center"/>
              <w:rPr>
                <w:rFonts w:hint="eastAsia" w:ascii="宋体" w:hAnsi="宋体" w:eastAsia="宋体" w:cs="宋体"/>
                <w:color w:val="auto"/>
                <w:sz w:val="24"/>
                <w:szCs w:val="24"/>
                <w:highlight w:val="none"/>
              </w:rPr>
            </w:pPr>
          </w:p>
        </w:tc>
        <w:tc>
          <w:tcPr>
            <w:tcW w:w="1134" w:type="dxa"/>
            <w:noWrap w:val="0"/>
            <w:vAlign w:val="center"/>
          </w:tcPr>
          <w:p w14:paraId="180C5145">
            <w:pPr>
              <w:pStyle w:val="42"/>
              <w:jc w:val="center"/>
              <w:rPr>
                <w:rFonts w:hint="eastAsia" w:ascii="宋体" w:hAnsi="宋体" w:eastAsia="宋体" w:cs="宋体"/>
                <w:color w:val="auto"/>
                <w:sz w:val="24"/>
                <w:szCs w:val="24"/>
                <w:highlight w:val="none"/>
              </w:rPr>
            </w:pPr>
          </w:p>
        </w:tc>
        <w:tc>
          <w:tcPr>
            <w:tcW w:w="1134" w:type="dxa"/>
            <w:noWrap w:val="0"/>
            <w:vAlign w:val="center"/>
          </w:tcPr>
          <w:p w14:paraId="277B794F">
            <w:pPr>
              <w:pStyle w:val="42"/>
              <w:jc w:val="center"/>
              <w:rPr>
                <w:rFonts w:hint="eastAsia" w:ascii="宋体" w:hAnsi="宋体" w:eastAsia="宋体" w:cs="宋体"/>
                <w:color w:val="auto"/>
                <w:sz w:val="24"/>
                <w:szCs w:val="24"/>
                <w:highlight w:val="none"/>
              </w:rPr>
            </w:pPr>
          </w:p>
        </w:tc>
        <w:tc>
          <w:tcPr>
            <w:tcW w:w="4252" w:type="dxa"/>
            <w:noWrap w:val="0"/>
            <w:vAlign w:val="center"/>
          </w:tcPr>
          <w:p w14:paraId="5A1B7337">
            <w:pPr>
              <w:pStyle w:val="42"/>
              <w:jc w:val="center"/>
              <w:rPr>
                <w:rFonts w:hint="eastAsia" w:ascii="宋体" w:hAnsi="宋体" w:eastAsia="宋体" w:cs="宋体"/>
                <w:color w:val="auto"/>
                <w:sz w:val="24"/>
                <w:szCs w:val="24"/>
                <w:highlight w:val="none"/>
              </w:rPr>
            </w:pPr>
          </w:p>
        </w:tc>
      </w:tr>
      <w:tr w14:paraId="638D7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51C5AC49">
            <w:pPr>
              <w:jc w:val="center"/>
              <w:rPr>
                <w:rFonts w:hint="eastAsia" w:ascii="宋体" w:hAnsi="宋体" w:eastAsia="宋体" w:cs="宋体"/>
                <w:color w:val="auto"/>
                <w:sz w:val="24"/>
                <w:highlight w:val="none"/>
              </w:rPr>
            </w:pPr>
          </w:p>
        </w:tc>
        <w:tc>
          <w:tcPr>
            <w:tcW w:w="1418" w:type="dxa"/>
            <w:noWrap w:val="0"/>
            <w:vAlign w:val="center"/>
          </w:tcPr>
          <w:p w14:paraId="3EE06F47">
            <w:pPr>
              <w:pStyle w:val="42"/>
              <w:jc w:val="center"/>
              <w:rPr>
                <w:rFonts w:hint="eastAsia" w:ascii="宋体" w:hAnsi="宋体" w:eastAsia="宋体" w:cs="宋体"/>
                <w:color w:val="auto"/>
                <w:sz w:val="24"/>
                <w:szCs w:val="24"/>
                <w:highlight w:val="none"/>
              </w:rPr>
            </w:pPr>
          </w:p>
        </w:tc>
        <w:tc>
          <w:tcPr>
            <w:tcW w:w="1134" w:type="dxa"/>
            <w:noWrap w:val="0"/>
            <w:vAlign w:val="center"/>
          </w:tcPr>
          <w:p w14:paraId="5239577A">
            <w:pPr>
              <w:pStyle w:val="42"/>
              <w:jc w:val="center"/>
              <w:rPr>
                <w:rFonts w:hint="eastAsia" w:ascii="宋体" w:hAnsi="宋体" w:eastAsia="宋体" w:cs="宋体"/>
                <w:color w:val="auto"/>
                <w:sz w:val="24"/>
                <w:szCs w:val="24"/>
                <w:highlight w:val="none"/>
              </w:rPr>
            </w:pPr>
          </w:p>
        </w:tc>
        <w:tc>
          <w:tcPr>
            <w:tcW w:w="1134" w:type="dxa"/>
            <w:noWrap w:val="0"/>
            <w:vAlign w:val="center"/>
          </w:tcPr>
          <w:p w14:paraId="1A1AB16C">
            <w:pPr>
              <w:pStyle w:val="42"/>
              <w:jc w:val="center"/>
              <w:rPr>
                <w:rFonts w:hint="eastAsia" w:ascii="宋体" w:hAnsi="宋体" w:eastAsia="宋体" w:cs="宋体"/>
                <w:color w:val="auto"/>
                <w:sz w:val="24"/>
                <w:szCs w:val="24"/>
                <w:highlight w:val="none"/>
              </w:rPr>
            </w:pPr>
          </w:p>
        </w:tc>
        <w:tc>
          <w:tcPr>
            <w:tcW w:w="4252" w:type="dxa"/>
            <w:noWrap w:val="0"/>
            <w:vAlign w:val="center"/>
          </w:tcPr>
          <w:p w14:paraId="4B994DBF">
            <w:pPr>
              <w:pStyle w:val="42"/>
              <w:jc w:val="center"/>
              <w:rPr>
                <w:rFonts w:hint="eastAsia" w:ascii="宋体" w:hAnsi="宋体" w:eastAsia="宋体" w:cs="宋体"/>
                <w:color w:val="auto"/>
                <w:sz w:val="24"/>
                <w:szCs w:val="24"/>
                <w:highlight w:val="none"/>
              </w:rPr>
            </w:pPr>
          </w:p>
        </w:tc>
      </w:tr>
      <w:tr w14:paraId="70696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noWrap w:val="0"/>
            <w:vAlign w:val="center"/>
          </w:tcPr>
          <w:p w14:paraId="722C679E">
            <w:pPr>
              <w:pStyle w:val="42"/>
              <w:ind w:left="49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其他人员</w:t>
            </w:r>
          </w:p>
        </w:tc>
        <w:tc>
          <w:tcPr>
            <w:tcW w:w="1418" w:type="dxa"/>
            <w:noWrap w:val="0"/>
            <w:vAlign w:val="center"/>
          </w:tcPr>
          <w:p w14:paraId="16D37BFD">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6D141C16">
            <w:pPr>
              <w:pStyle w:val="42"/>
              <w:jc w:val="center"/>
              <w:rPr>
                <w:rFonts w:hint="eastAsia" w:ascii="宋体" w:hAnsi="宋体" w:eastAsia="宋体" w:cs="宋体"/>
                <w:color w:val="auto"/>
                <w:sz w:val="24"/>
                <w:szCs w:val="24"/>
                <w:highlight w:val="none"/>
                <w:lang w:eastAsia="zh-CN"/>
              </w:rPr>
            </w:pPr>
          </w:p>
        </w:tc>
        <w:tc>
          <w:tcPr>
            <w:tcW w:w="1134" w:type="dxa"/>
            <w:noWrap w:val="0"/>
            <w:vAlign w:val="center"/>
          </w:tcPr>
          <w:p w14:paraId="67E34C0D">
            <w:pPr>
              <w:pStyle w:val="4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4252" w:type="dxa"/>
            <w:noWrap w:val="0"/>
            <w:vAlign w:val="center"/>
          </w:tcPr>
          <w:p w14:paraId="27952D4E">
            <w:pPr>
              <w:pStyle w:val="42"/>
              <w:jc w:val="center"/>
              <w:rPr>
                <w:rFonts w:hint="eastAsia" w:ascii="宋体" w:hAnsi="宋体" w:eastAsia="宋体" w:cs="宋体"/>
                <w:color w:val="auto"/>
                <w:sz w:val="24"/>
                <w:szCs w:val="24"/>
                <w:highlight w:val="none"/>
              </w:rPr>
            </w:pPr>
          </w:p>
        </w:tc>
      </w:tr>
      <w:tr w14:paraId="2418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16A59895">
            <w:pPr>
              <w:jc w:val="center"/>
              <w:rPr>
                <w:rFonts w:hint="eastAsia" w:ascii="宋体" w:hAnsi="宋体" w:eastAsia="宋体" w:cs="宋体"/>
                <w:color w:val="auto"/>
                <w:sz w:val="24"/>
                <w:highlight w:val="none"/>
              </w:rPr>
            </w:pPr>
          </w:p>
        </w:tc>
        <w:tc>
          <w:tcPr>
            <w:tcW w:w="1418" w:type="dxa"/>
            <w:noWrap w:val="0"/>
            <w:vAlign w:val="center"/>
          </w:tcPr>
          <w:p w14:paraId="64CA6429">
            <w:pPr>
              <w:pStyle w:val="42"/>
              <w:jc w:val="center"/>
              <w:rPr>
                <w:rFonts w:hint="eastAsia" w:ascii="宋体" w:hAnsi="宋体" w:eastAsia="宋体" w:cs="宋体"/>
                <w:color w:val="auto"/>
                <w:sz w:val="24"/>
                <w:szCs w:val="24"/>
                <w:highlight w:val="none"/>
              </w:rPr>
            </w:pPr>
          </w:p>
        </w:tc>
        <w:tc>
          <w:tcPr>
            <w:tcW w:w="1134" w:type="dxa"/>
            <w:noWrap w:val="0"/>
            <w:vAlign w:val="center"/>
          </w:tcPr>
          <w:p w14:paraId="3A3BB962">
            <w:pPr>
              <w:pStyle w:val="42"/>
              <w:jc w:val="center"/>
              <w:rPr>
                <w:rFonts w:hint="eastAsia" w:ascii="宋体" w:hAnsi="宋体" w:eastAsia="宋体" w:cs="宋体"/>
                <w:color w:val="auto"/>
                <w:sz w:val="24"/>
                <w:szCs w:val="24"/>
                <w:highlight w:val="none"/>
              </w:rPr>
            </w:pPr>
          </w:p>
        </w:tc>
        <w:tc>
          <w:tcPr>
            <w:tcW w:w="1134" w:type="dxa"/>
            <w:noWrap w:val="0"/>
            <w:vAlign w:val="center"/>
          </w:tcPr>
          <w:p w14:paraId="1B4FC67C">
            <w:pPr>
              <w:pStyle w:val="42"/>
              <w:jc w:val="center"/>
              <w:rPr>
                <w:rFonts w:hint="eastAsia" w:ascii="宋体" w:hAnsi="宋体" w:eastAsia="宋体" w:cs="宋体"/>
                <w:color w:val="auto"/>
                <w:sz w:val="24"/>
                <w:szCs w:val="24"/>
                <w:highlight w:val="none"/>
              </w:rPr>
            </w:pPr>
          </w:p>
        </w:tc>
        <w:tc>
          <w:tcPr>
            <w:tcW w:w="4252" w:type="dxa"/>
            <w:noWrap w:val="0"/>
            <w:vAlign w:val="center"/>
          </w:tcPr>
          <w:p w14:paraId="64B9DDDB">
            <w:pPr>
              <w:pStyle w:val="42"/>
              <w:jc w:val="center"/>
              <w:rPr>
                <w:rFonts w:hint="eastAsia" w:ascii="宋体" w:hAnsi="宋体" w:eastAsia="宋体" w:cs="宋体"/>
                <w:color w:val="auto"/>
                <w:sz w:val="24"/>
                <w:szCs w:val="24"/>
                <w:highlight w:val="none"/>
              </w:rPr>
            </w:pPr>
          </w:p>
        </w:tc>
      </w:tr>
      <w:tr w14:paraId="68539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30923C5F">
            <w:pPr>
              <w:jc w:val="center"/>
              <w:rPr>
                <w:rFonts w:hint="eastAsia" w:ascii="宋体" w:hAnsi="宋体" w:eastAsia="宋体" w:cs="宋体"/>
                <w:color w:val="auto"/>
                <w:sz w:val="24"/>
                <w:highlight w:val="none"/>
              </w:rPr>
            </w:pPr>
          </w:p>
        </w:tc>
        <w:tc>
          <w:tcPr>
            <w:tcW w:w="1418" w:type="dxa"/>
            <w:noWrap w:val="0"/>
            <w:vAlign w:val="center"/>
          </w:tcPr>
          <w:p w14:paraId="41B00AA3">
            <w:pPr>
              <w:pStyle w:val="42"/>
              <w:jc w:val="center"/>
              <w:rPr>
                <w:rFonts w:hint="eastAsia" w:ascii="宋体" w:hAnsi="宋体" w:eastAsia="宋体" w:cs="宋体"/>
                <w:color w:val="auto"/>
                <w:sz w:val="24"/>
                <w:szCs w:val="24"/>
                <w:highlight w:val="none"/>
              </w:rPr>
            </w:pPr>
          </w:p>
        </w:tc>
        <w:tc>
          <w:tcPr>
            <w:tcW w:w="1134" w:type="dxa"/>
            <w:noWrap w:val="0"/>
            <w:vAlign w:val="center"/>
          </w:tcPr>
          <w:p w14:paraId="2E9D4B79">
            <w:pPr>
              <w:pStyle w:val="42"/>
              <w:jc w:val="center"/>
              <w:rPr>
                <w:rFonts w:hint="eastAsia" w:ascii="宋体" w:hAnsi="宋体" w:eastAsia="宋体" w:cs="宋体"/>
                <w:color w:val="auto"/>
                <w:sz w:val="24"/>
                <w:szCs w:val="24"/>
                <w:highlight w:val="none"/>
              </w:rPr>
            </w:pPr>
          </w:p>
        </w:tc>
        <w:tc>
          <w:tcPr>
            <w:tcW w:w="1134" w:type="dxa"/>
            <w:noWrap w:val="0"/>
            <w:vAlign w:val="center"/>
          </w:tcPr>
          <w:p w14:paraId="168D2B81">
            <w:pPr>
              <w:pStyle w:val="42"/>
              <w:jc w:val="center"/>
              <w:rPr>
                <w:rFonts w:hint="eastAsia" w:ascii="宋体" w:hAnsi="宋体" w:eastAsia="宋体" w:cs="宋体"/>
                <w:color w:val="auto"/>
                <w:sz w:val="24"/>
                <w:szCs w:val="24"/>
                <w:highlight w:val="none"/>
              </w:rPr>
            </w:pPr>
          </w:p>
        </w:tc>
        <w:tc>
          <w:tcPr>
            <w:tcW w:w="4252" w:type="dxa"/>
            <w:noWrap w:val="0"/>
            <w:vAlign w:val="center"/>
          </w:tcPr>
          <w:p w14:paraId="23DB829E">
            <w:pPr>
              <w:pStyle w:val="42"/>
              <w:jc w:val="center"/>
              <w:rPr>
                <w:rFonts w:hint="eastAsia" w:ascii="宋体" w:hAnsi="宋体" w:eastAsia="宋体" w:cs="宋体"/>
                <w:color w:val="auto"/>
                <w:sz w:val="24"/>
                <w:szCs w:val="24"/>
                <w:highlight w:val="none"/>
              </w:rPr>
            </w:pPr>
          </w:p>
        </w:tc>
      </w:tr>
      <w:tr w14:paraId="5E218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095185ED">
            <w:pPr>
              <w:jc w:val="center"/>
              <w:rPr>
                <w:rFonts w:hint="eastAsia" w:ascii="宋体" w:hAnsi="宋体" w:eastAsia="宋体" w:cs="宋体"/>
                <w:color w:val="auto"/>
                <w:sz w:val="24"/>
                <w:highlight w:val="none"/>
              </w:rPr>
            </w:pPr>
          </w:p>
        </w:tc>
        <w:tc>
          <w:tcPr>
            <w:tcW w:w="1418" w:type="dxa"/>
            <w:noWrap w:val="0"/>
            <w:vAlign w:val="center"/>
          </w:tcPr>
          <w:p w14:paraId="5A9C7ECC">
            <w:pPr>
              <w:pStyle w:val="42"/>
              <w:jc w:val="center"/>
              <w:rPr>
                <w:rFonts w:hint="eastAsia" w:ascii="宋体" w:hAnsi="宋体" w:eastAsia="宋体" w:cs="宋体"/>
                <w:color w:val="auto"/>
                <w:sz w:val="24"/>
                <w:szCs w:val="24"/>
                <w:highlight w:val="none"/>
              </w:rPr>
            </w:pPr>
          </w:p>
        </w:tc>
        <w:tc>
          <w:tcPr>
            <w:tcW w:w="1134" w:type="dxa"/>
            <w:noWrap w:val="0"/>
            <w:vAlign w:val="center"/>
          </w:tcPr>
          <w:p w14:paraId="44F8D2B9">
            <w:pPr>
              <w:pStyle w:val="42"/>
              <w:jc w:val="center"/>
              <w:rPr>
                <w:rFonts w:hint="eastAsia" w:ascii="宋体" w:hAnsi="宋体" w:eastAsia="宋体" w:cs="宋体"/>
                <w:color w:val="auto"/>
                <w:sz w:val="24"/>
                <w:szCs w:val="24"/>
                <w:highlight w:val="none"/>
              </w:rPr>
            </w:pPr>
          </w:p>
        </w:tc>
        <w:tc>
          <w:tcPr>
            <w:tcW w:w="1134" w:type="dxa"/>
            <w:noWrap w:val="0"/>
            <w:vAlign w:val="center"/>
          </w:tcPr>
          <w:p w14:paraId="0F22B954">
            <w:pPr>
              <w:pStyle w:val="42"/>
              <w:jc w:val="center"/>
              <w:rPr>
                <w:rFonts w:hint="eastAsia" w:ascii="宋体" w:hAnsi="宋体" w:eastAsia="宋体" w:cs="宋体"/>
                <w:color w:val="auto"/>
                <w:sz w:val="24"/>
                <w:szCs w:val="24"/>
                <w:highlight w:val="none"/>
              </w:rPr>
            </w:pPr>
          </w:p>
        </w:tc>
        <w:tc>
          <w:tcPr>
            <w:tcW w:w="4252" w:type="dxa"/>
            <w:noWrap w:val="0"/>
            <w:vAlign w:val="center"/>
          </w:tcPr>
          <w:p w14:paraId="454C54E3">
            <w:pPr>
              <w:pStyle w:val="42"/>
              <w:jc w:val="center"/>
              <w:rPr>
                <w:rFonts w:hint="eastAsia" w:ascii="宋体" w:hAnsi="宋体" w:eastAsia="宋体" w:cs="宋体"/>
                <w:color w:val="auto"/>
                <w:sz w:val="24"/>
                <w:szCs w:val="24"/>
                <w:highlight w:val="none"/>
              </w:rPr>
            </w:pPr>
          </w:p>
        </w:tc>
      </w:tr>
      <w:tr w14:paraId="116DA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1589356A">
            <w:pPr>
              <w:jc w:val="center"/>
              <w:rPr>
                <w:rFonts w:hint="eastAsia" w:ascii="宋体" w:hAnsi="宋体" w:eastAsia="宋体" w:cs="宋体"/>
                <w:color w:val="auto"/>
                <w:sz w:val="24"/>
                <w:highlight w:val="none"/>
              </w:rPr>
            </w:pPr>
          </w:p>
        </w:tc>
        <w:tc>
          <w:tcPr>
            <w:tcW w:w="1418" w:type="dxa"/>
            <w:noWrap w:val="0"/>
            <w:vAlign w:val="center"/>
          </w:tcPr>
          <w:p w14:paraId="07495B87">
            <w:pPr>
              <w:pStyle w:val="42"/>
              <w:jc w:val="center"/>
              <w:rPr>
                <w:rFonts w:hint="eastAsia" w:ascii="宋体" w:hAnsi="宋体" w:eastAsia="宋体" w:cs="宋体"/>
                <w:color w:val="auto"/>
                <w:sz w:val="24"/>
                <w:szCs w:val="24"/>
                <w:highlight w:val="none"/>
              </w:rPr>
            </w:pPr>
          </w:p>
        </w:tc>
        <w:tc>
          <w:tcPr>
            <w:tcW w:w="1134" w:type="dxa"/>
            <w:noWrap w:val="0"/>
            <w:vAlign w:val="center"/>
          </w:tcPr>
          <w:p w14:paraId="3D7F2D76">
            <w:pPr>
              <w:pStyle w:val="42"/>
              <w:jc w:val="center"/>
              <w:rPr>
                <w:rFonts w:hint="eastAsia" w:ascii="宋体" w:hAnsi="宋体" w:eastAsia="宋体" w:cs="宋体"/>
                <w:color w:val="auto"/>
                <w:sz w:val="24"/>
                <w:szCs w:val="24"/>
                <w:highlight w:val="none"/>
              </w:rPr>
            </w:pPr>
          </w:p>
        </w:tc>
        <w:tc>
          <w:tcPr>
            <w:tcW w:w="1134" w:type="dxa"/>
            <w:noWrap w:val="0"/>
            <w:vAlign w:val="center"/>
          </w:tcPr>
          <w:p w14:paraId="3DE1BF1D">
            <w:pPr>
              <w:pStyle w:val="42"/>
              <w:jc w:val="center"/>
              <w:rPr>
                <w:rFonts w:hint="eastAsia" w:ascii="宋体" w:hAnsi="宋体" w:eastAsia="宋体" w:cs="宋体"/>
                <w:color w:val="auto"/>
                <w:sz w:val="24"/>
                <w:szCs w:val="24"/>
                <w:highlight w:val="none"/>
              </w:rPr>
            </w:pPr>
          </w:p>
        </w:tc>
        <w:tc>
          <w:tcPr>
            <w:tcW w:w="4252" w:type="dxa"/>
            <w:noWrap w:val="0"/>
            <w:vAlign w:val="center"/>
          </w:tcPr>
          <w:p w14:paraId="37015A8D">
            <w:pPr>
              <w:pStyle w:val="42"/>
              <w:jc w:val="center"/>
              <w:rPr>
                <w:rFonts w:hint="eastAsia" w:ascii="宋体" w:hAnsi="宋体" w:eastAsia="宋体" w:cs="宋体"/>
                <w:color w:val="auto"/>
                <w:sz w:val="24"/>
                <w:szCs w:val="24"/>
                <w:highlight w:val="none"/>
              </w:rPr>
            </w:pPr>
          </w:p>
        </w:tc>
      </w:tr>
      <w:tr w14:paraId="31541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4651EEA2">
            <w:pPr>
              <w:jc w:val="center"/>
              <w:rPr>
                <w:rFonts w:hint="eastAsia" w:ascii="宋体" w:hAnsi="宋体" w:eastAsia="宋体" w:cs="宋体"/>
                <w:color w:val="auto"/>
                <w:sz w:val="24"/>
                <w:highlight w:val="none"/>
              </w:rPr>
            </w:pPr>
          </w:p>
        </w:tc>
        <w:tc>
          <w:tcPr>
            <w:tcW w:w="1418" w:type="dxa"/>
            <w:noWrap w:val="0"/>
            <w:vAlign w:val="center"/>
          </w:tcPr>
          <w:p w14:paraId="6970B3BF">
            <w:pPr>
              <w:pStyle w:val="42"/>
              <w:jc w:val="center"/>
              <w:rPr>
                <w:rFonts w:hint="eastAsia" w:ascii="宋体" w:hAnsi="宋体" w:eastAsia="宋体" w:cs="宋体"/>
                <w:color w:val="auto"/>
                <w:sz w:val="24"/>
                <w:szCs w:val="24"/>
                <w:highlight w:val="none"/>
              </w:rPr>
            </w:pPr>
          </w:p>
        </w:tc>
        <w:tc>
          <w:tcPr>
            <w:tcW w:w="1134" w:type="dxa"/>
            <w:noWrap w:val="0"/>
            <w:vAlign w:val="center"/>
          </w:tcPr>
          <w:p w14:paraId="65FEE7A1">
            <w:pPr>
              <w:pStyle w:val="42"/>
              <w:jc w:val="center"/>
              <w:rPr>
                <w:rFonts w:hint="eastAsia" w:ascii="宋体" w:hAnsi="宋体" w:eastAsia="宋体" w:cs="宋体"/>
                <w:color w:val="auto"/>
                <w:sz w:val="24"/>
                <w:szCs w:val="24"/>
                <w:highlight w:val="none"/>
              </w:rPr>
            </w:pPr>
          </w:p>
        </w:tc>
        <w:tc>
          <w:tcPr>
            <w:tcW w:w="1134" w:type="dxa"/>
            <w:noWrap w:val="0"/>
            <w:vAlign w:val="center"/>
          </w:tcPr>
          <w:p w14:paraId="25C2A88E">
            <w:pPr>
              <w:pStyle w:val="42"/>
              <w:jc w:val="center"/>
              <w:rPr>
                <w:rFonts w:hint="eastAsia" w:ascii="宋体" w:hAnsi="宋体" w:eastAsia="宋体" w:cs="宋体"/>
                <w:color w:val="auto"/>
                <w:sz w:val="24"/>
                <w:szCs w:val="24"/>
                <w:highlight w:val="none"/>
              </w:rPr>
            </w:pPr>
          </w:p>
        </w:tc>
        <w:tc>
          <w:tcPr>
            <w:tcW w:w="4252" w:type="dxa"/>
            <w:noWrap w:val="0"/>
            <w:vAlign w:val="center"/>
          </w:tcPr>
          <w:p w14:paraId="541E47DC">
            <w:pPr>
              <w:pStyle w:val="42"/>
              <w:jc w:val="center"/>
              <w:rPr>
                <w:rFonts w:hint="eastAsia" w:ascii="宋体" w:hAnsi="宋体" w:eastAsia="宋体" w:cs="宋体"/>
                <w:color w:val="auto"/>
                <w:sz w:val="24"/>
                <w:szCs w:val="24"/>
                <w:highlight w:val="none"/>
              </w:rPr>
            </w:pPr>
          </w:p>
        </w:tc>
      </w:tr>
    </w:tbl>
    <w:p w14:paraId="688DD22B">
      <w:pPr>
        <w:rPr>
          <w:rFonts w:hint="eastAsia" w:ascii="宋体" w:hAnsi="宋体" w:eastAsia="宋体" w:cs="宋体"/>
          <w:color w:val="auto"/>
          <w:szCs w:val="21"/>
          <w:highlight w:val="none"/>
        </w:rPr>
        <w:sectPr>
          <w:pgSz w:w="11920" w:h="16840"/>
          <w:pgMar w:top="1160" w:right="800" w:bottom="1040" w:left="800" w:header="0" w:footer="857" w:gutter="0"/>
          <w:cols w:space="720" w:num="1"/>
        </w:sectPr>
      </w:pPr>
    </w:p>
    <w:p w14:paraId="38D8664F">
      <w:pPr>
        <w:spacing w:before="58"/>
        <w:ind w:right="851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 2：</w:t>
      </w:r>
    </w:p>
    <w:p w14:paraId="639AF5E9">
      <w:pPr>
        <w:spacing w:before="17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承包人用于本工程施工的机械设备表</w:t>
      </w:r>
    </w:p>
    <w:tbl>
      <w:tblPr>
        <w:tblStyle w:val="27"/>
        <w:tblW w:w="0" w:type="auto"/>
        <w:tblInd w:w="2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9"/>
        <w:gridCol w:w="1305"/>
        <w:gridCol w:w="1226"/>
        <w:gridCol w:w="1058"/>
        <w:gridCol w:w="880"/>
        <w:gridCol w:w="1020"/>
        <w:gridCol w:w="1480"/>
        <w:gridCol w:w="1020"/>
        <w:gridCol w:w="921"/>
      </w:tblGrid>
      <w:tr w14:paraId="7D7E9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99" w:type="dxa"/>
            <w:noWrap w:val="0"/>
            <w:vAlign w:val="center"/>
          </w:tcPr>
          <w:p w14:paraId="77EEC2AE">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序号</w:t>
            </w:r>
          </w:p>
        </w:tc>
        <w:tc>
          <w:tcPr>
            <w:tcW w:w="1305" w:type="dxa"/>
            <w:noWrap w:val="0"/>
            <w:vAlign w:val="center"/>
          </w:tcPr>
          <w:p w14:paraId="34D47816">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机械或设备名称</w:t>
            </w:r>
          </w:p>
        </w:tc>
        <w:tc>
          <w:tcPr>
            <w:tcW w:w="1226" w:type="dxa"/>
            <w:noWrap w:val="0"/>
            <w:vAlign w:val="center"/>
          </w:tcPr>
          <w:p w14:paraId="776CB3F5">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规格型号</w:t>
            </w:r>
          </w:p>
        </w:tc>
        <w:tc>
          <w:tcPr>
            <w:tcW w:w="1058" w:type="dxa"/>
            <w:noWrap w:val="0"/>
            <w:vAlign w:val="center"/>
          </w:tcPr>
          <w:p w14:paraId="39934989">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数量</w:t>
            </w:r>
          </w:p>
        </w:tc>
        <w:tc>
          <w:tcPr>
            <w:tcW w:w="880" w:type="dxa"/>
            <w:noWrap w:val="0"/>
            <w:vAlign w:val="center"/>
          </w:tcPr>
          <w:p w14:paraId="3946F32D">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产地</w:t>
            </w:r>
          </w:p>
        </w:tc>
        <w:tc>
          <w:tcPr>
            <w:tcW w:w="1020" w:type="dxa"/>
            <w:noWrap w:val="0"/>
            <w:vAlign w:val="center"/>
          </w:tcPr>
          <w:p w14:paraId="092AA26E">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制造年份</w:t>
            </w:r>
          </w:p>
        </w:tc>
        <w:tc>
          <w:tcPr>
            <w:tcW w:w="1480" w:type="dxa"/>
            <w:noWrap w:val="0"/>
            <w:vAlign w:val="center"/>
          </w:tcPr>
          <w:p w14:paraId="6B4083D7">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额定功率</w:t>
            </w:r>
          </w:p>
          <w:p w14:paraId="75C4B407">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（kW）</w:t>
            </w:r>
          </w:p>
        </w:tc>
        <w:tc>
          <w:tcPr>
            <w:tcW w:w="1020" w:type="dxa"/>
            <w:noWrap w:val="0"/>
            <w:vAlign w:val="center"/>
          </w:tcPr>
          <w:p w14:paraId="7E1C0567">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生产能力</w:t>
            </w:r>
          </w:p>
        </w:tc>
        <w:tc>
          <w:tcPr>
            <w:tcW w:w="921" w:type="dxa"/>
            <w:noWrap w:val="0"/>
            <w:vAlign w:val="center"/>
          </w:tcPr>
          <w:p w14:paraId="297DC84E">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备注</w:t>
            </w:r>
          </w:p>
        </w:tc>
      </w:tr>
      <w:tr w14:paraId="42894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9" w:type="dxa"/>
            <w:noWrap w:val="0"/>
            <w:vAlign w:val="center"/>
          </w:tcPr>
          <w:p w14:paraId="27A6B3B4">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w:t>
            </w:r>
          </w:p>
        </w:tc>
        <w:tc>
          <w:tcPr>
            <w:tcW w:w="1305" w:type="dxa"/>
            <w:noWrap w:val="0"/>
            <w:vAlign w:val="center"/>
          </w:tcPr>
          <w:p w14:paraId="7F6F0077">
            <w:pPr>
              <w:spacing w:before="100" w:line="360" w:lineRule="auto"/>
              <w:jc w:val="center"/>
              <w:rPr>
                <w:rFonts w:hint="eastAsia" w:ascii="宋体" w:hAnsi="宋体" w:eastAsia="宋体" w:cs="宋体"/>
                <w:color w:val="auto"/>
                <w:sz w:val="24"/>
                <w:highlight w:val="none"/>
              </w:rPr>
            </w:pPr>
          </w:p>
        </w:tc>
        <w:tc>
          <w:tcPr>
            <w:tcW w:w="1226" w:type="dxa"/>
            <w:noWrap w:val="0"/>
            <w:vAlign w:val="center"/>
          </w:tcPr>
          <w:p w14:paraId="725B0B50">
            <w:pPr>
              <w:spacing w:before="100" w:line="360" w:lineRule="auto"/>
              <w:jc w:val="center"/>
              <w:rPr>
                <w:rFonts w:hint="eastAsia" w:ascii="宋体" w:hAnsi="宋体" w:eastAsia="宋体" w:cs="宋体"/>
                <w:color w:val="auto"/>
                <w:sz w:val="24"/>
                <w:highlight w:val="none"/>
              </w:rPr>
            </w:pPr>
          </w:p>
        </w:tc>
        <w:tc>
          <w:tcPr>
            <w:tcW w:w="1058" w:type="dxa"/>
            <w:noWrap w:val="0"/>
            <w:vAlign w:val="center"/>
          </w:tcPr>
          <w:p w14:paraId="43AABCDB">
            <w:pPr>
              <w:spacing w:before="100" w:line="360" w:lineRule="auto"/>
              <w:jc w:val="center"/>
              <w:rPr>
                <w:rFonts w:hint="eastAsia" w:ascii="宋体" w:hAnsi="宋体" w:eastAsia="宋体" w:cs="宋体"/>
                <w:color w:val="auto"/>
                <w:sz w:val="24"/>
                <w:highlight w:val="none"/>
              </w:rPr>
            </w:pPr>
          </w:p>
        </w:tc>
        <w:tc>
          <w:tcPr>
            <w:tcW w:w="880" w:type="dxa"/>
            <w:noWrap w:val="0"/>
            <w:vAlign w:val="center"/>
          </w:tcPr>
          <w:p w14:paraId="382D1F9A">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4CB43AFA">
            <w:pPr>
              <w:spacing w:before="100" w:line="360" w:lineRule="auto"/>
              <w:jc w:val="center"/>
              <w:rPr>
                <w:rFonts w:hint="eastAsia" w:ascii="宋体" w:hAnsi="宋体" w:eastAsia="宋体" w:cs="宋体"/>
                <w:color w:val="auto"/>
                <w:sz w:val="24"/>
                <w:highlight w:val="none"/>
              </w:rPr>
            </w:pPr>
          </w:p>
        </w:tc>
        <w:tc>
          <w:tcPr>
            <w:tcW w:w="1480" w:type="dxa"/>
            <w:noWrap w:val="0"/>
            <w:vAlign w:val="center"/>
          </w:tcPr>
          <w:p w14:paraId="40D0D2B7">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17E74006">
            <w:pPr>
              <w:spacing w:before="100"/>
              <w:jc w:val="center"/>
              <w:rPr>
                <w:rFonts w:hint="eastAsia" w:ascii="宋体" w:hAnsi="宋体" w:eastAsia="宋体" w:cs="宋体"/>
                <w:color w:val="auto"/>
                <w:sz w:val="24"/>
                <w:highlight w:val="none"/>
              </w:rPr>
            </w:pPr>
          </w:p>
        </w:tc>
        <w:tc>
          <w:tcPr>
            <w:tcW w:w="921" w:type="dxa"/>
            <w:noWrap w:val="0"/>
            <w:vAlign w:val="center"/>
          </w:tcPr>
          <w:p w14:paraId="651033B1">
            <w:pPr>
              <w:widowControl/>
              <w:jc w:val="center"/>
              <w:textAlignment w:val="center"/>
              <w:rPr>
                <w:rFonts w:hint="eastAsia" w:ascii="宋体" w:hAnsi="宋体" w:eastAsia="宋体" w:cs="宋体"/>
                <w:color w:val="auto"/>
                <w:sz w:val="24"/>
                <w:highlight w:val="none"/>
              </w:rPr>
            </w:pPr>
          </w:p>
        </w:tc>
      </w:tr>
      <w:tr w14:paraId="6BE0A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69E55756">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w:t>
            </w:r>
          </w:p>
        </w:tc>
        <w:tc>
          <w:tcPr>
            <w:tcW w:w="1305" w:type="dxa"/>
            <w:noWrap w:val="0"/>
            <w:vAlign w:val="center"/>
          </w:tcPr>
          <w:p w14:paraId="218DEFCD">
            <w:pPr>
              <w:spacing w:before="100" w:line="360" w:lineRule="auto"/>
              <w:jc w:val="center"/>
              <w:rPr>
                <w:rFonts w:hint="eastAsia" w:ascii="宋体" w:hAnsi="宋体" w:eastAsia="宋体" w:cs="宋体"/>
                <w:color w:val="auto"/>
                <w:sz w:val="24"/>
                <w:highlight w:val="none"/>
              </w:rPr>
            </w:pPr>
          </w:p>
        </w:tc>
        <w:tc>
          <w:tcPr>
            <w:tcW w:w="1226" w:type="dxa"/>
            <w:noWrap w:val="0"/>
            <w:vAlign w:val="center"/>
          </w:tcPr>
          <w:p w14:paraId="7CE30CAB">
            <w:pPr>
              <w:spacing w:before="100" w:line="360" w:lineRule="auto"/>
              <w:jc w:val="center"/>
              <w:rPr>
                <w:rFonts w:hint="eastAsia" w:ascii="宋体" w:hAnsi="宋体" w:eastAsia="宋体" w:cs="宋体"/>
                <w:color w:val="auto"/>
                <w:sz w:val="24"/>
                <w:highlight w:val="none"/>
              </w:rPr>
            </w:pPr>
          </w:p>
        </w:tc>
        <w:tc>
          <w:tcPr>
            <w:tcW w:w="1058" w:type="dxa"/>
            <w:noWrap w:val="0"/>
            <w:vAlign w:val="center"/>
          </w:tcPr>
          <w:p w14:paraId="727FE203">
            <w:pPr>
              <w:spacing w:before="100" w:line="360" w:lineRule="auto"/>
              <w:jc w:val="center"/>
              <w:rPr>
                <w:rFonts w:hint="eastAsia" w:ascii="宋体" w:hAnsi="宋体" w:eastAsia="宋体" w:cs="宋体"/>
                <w:color w:val="auto"/>
                <w:sz w:val="24"/>
                <w:highlight w:val="none"/>
              </w:rPr>
            </w:pPr>
          </w:p>
        </w:tc>
        <w:tc>
          <w:tcPr>
            <w:tcW w:w="880" w:type="dxa"/>
            <w:noWrap w:val="0"/>
            <w:vAlign w:val="center"/>
          </w:tcPr>
          <w:p w14:paraId="7BE74B04">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1BA08817">
            <w:pPr>
              <w:spacing w:before="100" w:line="360" w:lineRule="auto"/>
              <w:jc w:val="center"/>
              <w:rPr>
                <w:rFonts w:hint="eastAsia" w:ascii="宋体" w:hAnsi="宋体" w:eastAsia="宋体" w:cs="宋体"/>
                <w:color w:val="auto"/>
                <w:sz w:val="24"/>
                <w:highlight w:val="none"/>
              </w:rPr>
            </w:pPr>
          </w:p>
        </w:tc>
        <w:tc>
          <w:tcPr>
            <w:tcW w:w="1480" w:type="dxa"/>
            <w:noWrap w:val="0"/>
            <w:vAlign w:val="center"/>
          </w:tcPr>
          <w:p w14:paraId="66648D54">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60CFBAD3">
            <w:pPr>
              <w:spacing w:before="100"/>
              <w:jc w:val="center"/>
              <w:rPr>
                <w:rFonts w:hint="eastAsia" w:ascii="宋体" w:hAnsi="宋体" w:eastAsia="宋体" w:cs="宋体"/>
                <w:color w:val="auto"/>
                <w:sz w:val="24"/>
                <w:highlight w:val="none"/>
              </w:rPr>
            </w:pPr>
          </w:p>
        </w:tc>
        <w:tc>
          <w:tcPr>
            <w:tcW w:w="921" w:type="dxa"/>
            <w:noWrap w:val="0"/>
            <w:vAlign w:val="center"/>
          </w:tcPr>
          <w:p w14:paraId="181DFCB6">
            <w:pPr>
              <w:widowControl/>
              <w:jc w:val="center"/>
              <w:textAlignment w:val="center"/>
              <w:rPr>
                <w:rFonts w:hint="eastAsia" w:ascii="宋体" w:hAnsi="宋体" w:eastAsia="宋体" w:cs="宋体"/>
                <w:color w:val="auto"/>
                <w:sz w:val="24"/>
                <w:highlight w:val="none"/>
              </w:rPr>
            </w:pPr>
          </w:p>
        </w:tc>
      </w:tr>
      <w:tr w14:paraId="09D1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4B70E7E3">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w:t>
            </w:r>
          </w:p>
        </w:tc>
        <w:tc>
          <w:tcPr>
            <w:tcW w:w="1305" w:type="dxa"/>
            <w:noWrap w:val="0"/>
            <w:vAlign w:val="center"/>
          </w:tcPr>
          <w:p w14:paraId="65A9B52B">
            <w:pPr>
              <w:spacing w:before="100" w:line="360" w:lineRule="auto"/>
              <w:jc w:val="center"/>
              <w:rPr>
                <w:rFonts w:hint="eastAsia" w:ascii="宋体" w:hAnsi="宋体" w:eastAsia="宋体" w:cs="宋体"/>
                <w:color w:val="auto"/>
                <w:sz w:val="24"/>
                <w:highlight w:val="none"/>
              </w:rPr>
            </w:pPr>
          </w:p>
        </w:tc>
        <w:tc>
          <w:tcPr>
            <w:tcW w:w="1226" w:type="dxa"/>
            <w:noWrap w:val="0"/>
            <w:vAlign w:val="center"/>
          </w:tcPr>
          <w:p w14:paraId="11046744">
            <w:pPr>
              <w:spacing w:before="100" w:line="360" w:lineRule="auto"/>
              <w:jc w:val="center"/>
              <w:rPr>
                <w:rFonts w:hint="eastAsia" w:ascii="宋体" w:hAnsi="宋体" w:eastAsia="宋体" w:cs="宋体"/>
                <w:color w:val="auto"/>
                <w:sz w:val="24"/>
                <w:highlight w:val="none"/>
              </w:rPr>
            </w:pPr>
          </w:p>
        </w:tc>
        <w:tc>
          <w:tcPr>
            <w:tcW w:w="1058" w:type="dxa"/>
            <w:noWrap w:val="0"/>
            <w:vAlign w:val="center"/>
          </w:tcPr>
          <w:p w14:paraId="5442FEA4">
            <w:pPr>
              <w:spacing w:before="100" w:line="360" w:lineRule="auto"/>
              <w:jc w:val="center"/>
              <w:rPr>
                <w:rFonts w:hint="eastAsia" w:ascii="宋体" w:hAnsi="宋体" w:eastAsia="宋体" w:cs="宋体"/>
                <w:color w:val="auto"/>
                <w:sz w:val="24"/>
                <w:highlight w:val="none"/>
              </w:rPr>
            </w:pPr>
          </w:p>
        </w:tc>
        <w:tc>
          <w:tcPr>
            <w:tcW w:w="880" w:type="dxa"/>
            <w:noWrap w:val="0"/>
            <w:vAlign w:val="center"/>
          </w:tcPr>
          <w:p w14:paraId="6211605A">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2E37F31E">
            <w:pPr>
              <w:spacing w:before="100" w:line="360" w:lineRule="auto"/>
              <w:jc w:val="center"/>
              <w:rPr>
                <w:rFonts w:hint="eastAsia" w:ascii="宋体" w:hAnsi="宋体" w:eastAsia="宋体" w:cs="宋体"/>
                <w:color w:val="auto"/>
                <w:sz w:val="24"/>
                <w:highlight w:val="none"/>
              </w:rPr>
            </w:pPr>
          </w:p>
        </w:tc>
        <w:tc>
          <w:tcPr>
            <w:tcW w:w="1480" w:type="dxa"/>
            <w:noWrap w:val="0"/>
            <w:vAlign w:val="center"/>
          </w:tcPr>
          <w:p w14:paraId="72D33B92">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64EB6BEF">
            <w:pPr>
              <w:spacing w:before="100"/>
              <w:jc w:val="center"/>
              <w:rPr>
                <w:rFonts w:hint="eastAsia" w:ascii="宋体" w:hAnsi="宋体" w:eastAsia="宋体" w:cs="宋体"/>
                <w:color w:val="auto"/>
                <w:sz w:val="24"/>
                <w:highlight w:val="none"/>
              </w:rPr>
            </w:pPr>
          </w:p>
        </w:tc>
        <w:tc>
          <w:tcPr>
            <w:tcW w:w="921" w:type="dxa"/>
            <w:noWrap w:val="0"/>
            <w:vAlign w:val="center"/>
          </w:tcPr>
          <w:p w14:paraId="10E55130">
            <w:pPr>
              <w:widowControl/>
              <w:jc w:val="center"/>
              <w:textAlignment w:val="center"/>
              <w:rPr>
                <w:rFonts w:hint="eastAsia" w:ascii="宋体" w:hAnsi="宋体" w:eastAsia="宋体" w:cs="宋体"/>
                <w:color w:val="auto"/>
                <w:sz w:val="24"/>
                <w:highlight w:val="none"/>
              </w:rPr>
            </w:pPr>
          </w:p>
        </w:tc>
      </w:tr>
      <w:tr w14:paraId="6B217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9" w:type="dxa"/>
            <w:noWrap w:val="0"/>
            <w:vAlign w:val="center"/>
          </w:tcPr>
          <w:p w14:paraId="6C06A267">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w:t>
            </w:r>
          </w:p>
        </w:tc>
        <w:tc>
          <w:tcPr>
            <w:tcW w:w="1305" w:type="dxa"/>
            <w:noWrap w:val="0"/>
            <w:vAlign w:val="center"/>
          </w:tcPr>
          <w:p w14:paraId="3792127D">
            <w:pPr>
              <w:spacing w:before="100"/>
              <w:jc w:val="center"/>
              <w:rPr>
                <w:rFonts w:hint="eastAsia" w:ascii="宋体" w:hAnsi="宋体" w:eastAsia="宋体" w:cs="宋体"/>
                <w:color w:val="auto"/>
                <w:sz w:val="24"/>
                <w:highlight w:val="none"/>
              </w:rPr>
            </w:pPr>
          </w:p>
        </w:tc>
        <w:tc>
          <w:tcPr>
            <w:tcW w:w="1226" w:type="dxa"/>
            <w:noWrap w:val="0"/>
            <w:vAlign w:val="center"/>
          </w:tcPr>
          <w:p w14:paraId="5C1E4E6E">
            <w:pPr>
              <w:spacing w:before="100"/>
              <w:jc w:val="center"/>
              <w:rPr>
                <w:rFonts w:hint="eastAsia" w:ascii="宋体" w:hAnsi="宋体" w:eastAsia="宋体" w:cs="宋体"/>
                <w:color w:val="auto"/>
                <w:sz w:val="24"/>
                <w:highlight w:val="none"/>
              </w:rPr>
            </w:pPr>
          </w:p>
        </w:tc>
        <w:tc>
          <w:tcPr>
            <w:tcW w:w="1058" w:type="dxa"/>
            <w:noWrap w:val="0"/>
            <w:vAlign w:val="center"/>
          </w:tcPr>
          <w:p w14:paraId="0CCF60BE">
            <w:pPr>
              <w:spacing w:before="100" w:line="360" w:lineRule="auto"/>
              <w:jc w:val="center"/>
              <w:rPr>
                <w:rFonts w:hint="eastAsia" w:ascii="宋体" w:hAnsi="宋体" w:eastAsia="宋体" w:cs="宋体"/>
                <w:color w:val="auto"/>
                <w:sz w:val="24"/>
                <w:highlight w:val="none"/>
              </w:rPr>
            </w:pPr>
          </w:p>
        </w:tc>
        <w:tc>
          <w:tcPr>
            <w:tcW w:w="880" w:type="dxa"/>
            <w:noWrap w:val="0"/>
            <w:vAlign w:val="center"/>
          </w:tcPr>
          <w:p w14:paraId="6A41BAAF">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59B8309C">
            <w:pPr>
              <w:spacing w:before="100" w:line="360" w:lineRule="auto"/>
              <w:jc w:val="center"/>
              <w:rPr>
                <w:rFonts w:hint="eastAsia" w:ascii="宋体" w:hAnsi="宋体" w:eastAsia="宋体" w:cs="宋体"/>
                <w:color w:val="auto"/>
                <w:sz w:val="24"/>
                <w:highlight w:val="none"/>
              </w:rPr>
            </w:pPr>
          </w:p>
        </w:tc>
        <w:tc>
          <w:tcPr>
            <w:tcW w:w="1480" w:type="dxa"/>
            <w:noWrap w:val="0"/>
            <w:vAlign w:val="center"/>
          </w:tcPr>
          <w:p w14:paraId="0E6F6C35">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68D6121B">
            <w:pPr>
              <w:spacing w:before="100"/>
              <w:jc w:val="center"/>
              <w:rPr>
                <w:rFonts w:hint="eastAsia" w:ascii="宋体" w:hAnsi="宋体" w:eastAsia="宋体" w:cs="宋体"/>
                <w:color w:val="auto"/>
                <w:sz w:val="24"/>
                <w:highlight w:val="none"/>
              </w:rPr>
            </w:pPr>
          </w:p>
        </w:tc>
        <w:tc>
          <w:tcPr>
            <w:tcW w:w="921" w:type="dxa"/>
            <w:noWrap w:val="0"/>
            <w:vAlign w:val="center"/>
          </w:tcPr>
          <w:p w14:paraId="0E26DC72">
            <w:pPr>
              <w:widowControl/>
              <w:jc w:val="center"/>
              <w:textAlignment w:val="center"/>
              <w:rPr>
                <w:rFonts w:hint="eastAsia" w:ascii="宋体" w:hAnsi="宋体" w:eastAsia="宋体" w:cs="宋体"/>
                <w:color w:val="auto"/>
                <w:sz w:val="24"/>
                <w:highlight w:val="none"/>
              </w:rPr>
            </w:pPr>
          </w:p>
        </w:tc>
      </w:tr>
      <w:tr w14:paraId="36D6C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7DB372DD">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w:t>
            </w:r>
          </w:p>
        </w:tc>
        <w:tc>
          <w:tcPr>
            <w:tcW w:w="1305" w:type="dxa"/>
            <w:noWrap w:val="0"/>
            <w:vAlign w:val="center"/>
          </w:tcPr>
          <w:p w14:paraId="46A8961E">
            <w:pPr>
              <w:spacing w:before="100" w:line="200" w:lineRule="exact"/>
              <w:jc w:val="center"/>
              <w:rPr>
                <w:rFonts w:hint="eastAsia" w:ascii="宋体" w:hAnsi="宋体" w:eastAsia="宋体" w:cs="宋体"/>
                <w:color w:val="auto"/>
                <w:sz w:val="24"/>
                <w:highlight w:val="none"/>
              </w:rPr>
            </w:pPr>
          </w:p>
        </w:tc>
        <w:tc>
          <w:tcPr>
            <w:tcW w:w="1226" w:type="dxa"/>
            <w:noWrap w:val="0"/>
            <w:vAlign w:val="center"/>
          </w:tcPr>
          <w:p w14:paraId="0F29E34B">
            <w:pPr>
              <w:spacing w:before="100" w:line="200" w:lineRule="exact"/>
              <w:jc w:val="center"/>
              <w:rPr>
                <w:rFonts w:hint="eastAsia" w:ascii="宋体" w:hAnsi="宋体" w:eastAsia="宋体" w:cs="宋体"/>
                <w:color w:val="auto"/>
                <w:sz w:val="24"/>
                <w:highlight w:val="none"/>
              </w:rPr>
            </w:pPr>
          </w:p>
        </w:tc>
        <w:tc>
          <w:tcPr>
            <w:tcW w:w="1058" w:type="dxa"/>
            <w:noWrap w:val="0"/>
            <w:vAlign w:val="center"/>
          </w:tcPr>
          <w:p w14:paraId="0543D92F">
            <w:pPr>
              <w:spacing w:before="100" w:line="200" w:lineRule="exact"/>
              <w:jc w:val="center"/>
              <w:rPr>
                <w:rFonts w:hint="eastAsia" w:ascii="宋体" w:hAnsi="宋体" w:eastAsia="宋体" w:cs="宋体"/>
                <w:color w:val="auto"/>
                <w:sz w:val="24"/>
                <w:highlight w:val="none"/>
              </w:rPr>
            </w:pPr>
          </w:p>
        </w:tc>
        <w:tc>
          <w:tcPr>
            <w:tcW w:w="880" w:type="dxa"/>
            <w:noWrap w:val="0"/>
            <w:vAlign w:val="center"/>
          </w:tcPr>
          <w:p w14:paraId="1482ACA1">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366DD475">
            <w:pPr>
              <w:spacing w:before="100" w:line="200" w:lineRule="exact"/>
              <w:jc w:val="center"/>
              <w:rPr>
                <w:rFonts w:hint="eastAsia" w:ascii="宋体" w:hAnsi="宋体" w:eastAsia="宋体" w:cs="宋体"/>
                <w:color w:val="auto"/>
                <w:sz w:val="24"/>
                <w:highlight w:val="none"/>
              </w:rPr>
            </w:pPr>
          </w:p>
        </w:tc>
        <w:tc>
          <w:tcPr>
            <w:tcW w:w="1480" w:type="dxa"/>
            <w:noWrap w:val="0"/>
            <w:vAlign w:val="center"/>
          </w:tcPr>
          <w:p w14:paraId="2D015176">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3D93D1E9">
            <w:pPr>
              <w:spacing w:before="100"/>
              <w:jc w:val="center"/>
              <w:rPr>
                <w:rFonts w:hint="eastAsia" w:ascii="宋体" w:hAnsi="宋体" w:eastAsia="宋体" w:cs="宋体"/>
                <w:color w:val="auto"/>
                <w:sz w:val="24"/>
                <w:highlight w:val="none"/>
              </w:rPr>
            </w:pPr>
          </w:p>
        </w:tc>
        <w:tc>
          <w:tcPr>
            <w:tcW w:w="921" w:type="dxa"/>
            <w:noWrap w:val="0"/>
            <w:vAlign w:val="center"/>
          </w:tcPr>
          <w:p w14:paraId="5FCC1824">
            <w:pPr>
              <w:widowControl/>
              <w:jc w:val="center"/>
              <w:textAlignment w:val="center"/>
              <w:rPr>
                <w:rFonts w:hint="eastAsia" w:ascii="宋体" w:hAnsi="宋体" w:eastAsia="宋体" w:cs="宋体"/>
                <w:color w:val="auto"/>
                <w:sz w:val="24"/>
                <w:highlight w:val="none"/>
              </w:rPr>
            </w:pPr>
          </w:p>
        </w:tc>
      </w:tr>
      <w:tr w14:paraId="4AD5E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9" w:type="dxa"/>
            <w:noWrap w:val="0"/>
            <w:vAlign w:val="center"/>
          </w:tcPr>
          <w:p w14:paraId="1E14F871">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6</w:t>
            </w:r>
          </w:p>
        </w:tc>
        <w:tc>
          <w:tcPr>
            <w:tcW w:w="1305" w:type="dxa"/>
            <w:noWrap w:val="0"/>
            <w:vAlign w:val="center"/>
          </w:tcPr>
          <w:p w14:paraId="5E8E5C4D">
            <w:pPr>
              <w:spacing w:before="100"/>
              <w:jc w:val="center"/>
              <w:rPr>
                <w:rFonts w:hint="eastAsia" w:ascii="宋体" w:hAnsi="宋体" w:eastAsia="宋体" w:cs="宋体"/>
                <w:color w:val="auto"/>
                <w:sz w:val="24"/>
                <w:highlight w:val="none"/>
              </w:rPr>
            </w:pPr>
          </w:p>
        </w:tc>
        <w:tc>
          <w:tcPr>
            <w:tcW w:w="1226" w:type="dxa"/>
            <w:noWrap w:val="0"/>
            <w:vAlign w:val="center"/>
          </w:tcPr>
          <w:p w14:paraId="190CA2A3">
            <w:pPr>
              <w:spacing w:before="100"/>
              <w:jc w:val="center"/>
              <w:rPr>
                <w:rFonts w:hint="eastAsia" w:ascii="宋体" w:hAnsi="宋体" w:eastAsia="宋体" w:cs="宋体"/>
                <w:color w:val="auto"/>
                <w:sz w:val="24"/>
                <w:highlight w:val="none"/>
              </w:rPr>
            </w:pPr>
          </w:p>
        </w:tc>
        <w:tc>
          <w:tcPr>
            <w:tcW w:w="1058" w:type="dxa"/>
            <w:noWrap w:val="0"/>
            <w:vAlign w:val="center"/>
          </w:tcPr>
          <w:p w14:paraId="740E3DB9">
            <w:pPr>
              <w:spacing w:before="100"/>
              <w:jc w:val="center"/>
              <w:rPr>
                <w:rFonts w:hint="eastAsia" w:ascii="宋体" w:hAnsi="宋体" w:eastAsia="宋体" w:cs="宋体"/>
                <w:color w:val="auto"/>
                <w:sz w:val="24"/>
                <w:highlight w:val="none"/>
              </w:rPr>
            </w:pPr>
          </w:p>
        </w:tc>
        <w:tc>
          <w:tcPr>
            <w:tcW w:w="880" w:type="dxa"/>
            <w:noWrap w:val="0"/>
            <w:vAlign w:val="center"/>
          </w:tcPr>
          <w:p w14:paraId="74058002">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27C4599C">
            <w:pPr>
              <w:spacing w:before="100"/>
              <w:jc w:val="center"/>
              <w:rPr>
                <w:rFonts w:hint="eastAsia" w:ascii="宋体" w:hAnsi="宋体" w:eastAsia="宋体" w:cs="宋体"/>
                <w:color w:val="auto"/>
                <w:sz w:val="24"/>
                <w:highlight w:val="none"/>
              </w:rPr>
            </w:pPr>
          </w:p>
        </w:tc>
        <w:tc>
          <w:tcPr>
            <w:tcW w:w="1480" w:type="dxa"/>
            <w:noWrap w:val="0"/>
            <w:vAlign w:val="center"/>
          </w:tcPr>
          <w:p w14:paraId="4443CD01">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5372C689">
            <w:pPr>
              <w:spacing w:before="100"/>
              <w:jc w:val="center"/>
              <w:rPr>
                <w:rFonts w:hint="eastAsia" w:ascii="宋体" w:hAnsi="宋体" w:eastAsia="宋体" w:cs="宋体"/>
                <w:color w:val="auto"/>
                <w:sz w:val="24"/>
                <w:highlight w:val="none"/>
              </w:rPr>
            </w:pPr>
          </w:p>
        </w:tc>
        <w:tc>
          <w:tcPr>
            <w:tcW w:w="921" w:type="dxa"/>
            <w:noWrap w:val="0"/>
            <w:vAlign w:val="center"/>
          </w:tcPr>
          <w:p w14:paraId="03C618D4">
            <w:pPr>
              <w:widowControl/>
              <w:jc w:val="center"/>
              <w:textAlignment w:val="center"/>
              <w:rPr>
                <w:rFonts w:hint="eastAsia" w:ascii="宋体" w:hAnsi="宋体" w:eastAsia="宋体" w:cs="宋体"/>
                <w:color w:val="auto"/>
                <w:sz w:val="24"/>
                <w:highlight w:val="none"/>
              </w:rPr>
            </w:pPr>
          </w:p>
        </w:tc>
      </w:tr>
      <w:tr w14:paraId="24A47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279BAC03">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7</w:t>
            </w:r>
          </w:p>
        </w:tc>
        <w:tc>
          <w:tcPr>
            <w:tcW w:w="1305" w:type="dxa"/>
            <w:noWrap w:val="0"/>
            <w:vAlign w:val="center"/>
          </w:tcPr>
          <w:p w14:paraId="76D2868B">
            <w:pPr>
              <w:spacing w:before="100"/>
              <w:jc w:val="center"/>
              <w:rPr>
                <w:rFonts w:hint="eastAsia" w:ascii="宋体" w:hAnsi="宋体" w:eastAsia="宋体" w:cs="宋体"/>
                <w:color w:val="auto"/>
                <w:sz w:val="24"/>
                <w:highlight w:val="none"/>
              </w:rPr>
            </w:pPr>
          </w:p>
        </w:tc>
        <w:tc>
          <w:tcPr>
            <w:tcW w:w="1226" w:type="dxa"/>
            <w:noWrap w:val="0"/>
            <w:vAlign w:val="center"/>
          </w:tcPr>
          <w:p w14:paraId="192A64BB">
            <w:pPr>
              <w:spacing w:before="100"/>
              <w:jc w:val="center"/>
              <w:rPr>
                <w:rFonts w:hint="eastAsia" w:ascii="宋体" w:hAnsi="宋体" w:eastAsia="宋体" w:cs="宋体"/>
                <w:color w:val="auto"/>
                <w:sz w:val="24"/>
                <w:highlight w:val="none"/>
              </w:rPr>
            </w:pPr>
          </w:p>
        </w:tc>
        <w:tc>
          <w:tcPr>
            <w:tcW w:w="1058" w:type="dxa"/>
            <w:noWrap w:val="0"/>
            <w:vAlign w:val="center"/>
          </w:tcPr>
          <w:p w14:paraId="6F498515">
            <w:pPr>
              <w:spacing w:before="100"/>
              <w:jc w:val="center"/>
              <w:rPr>
                <w:rFonts w:hint="eastAsia" w:ascii="宋体" w:hAnsi="宋体" w:eastAsia="宋体" w:cs="宋体"/>
                <w:color w:val="auto"/>
                <w:sz w:val="24"/>
                <w:highlight w:val="none"/>
              </w:rPr>
            </w:pPr>
          </w:p>
        </w:tc>
        <w:tc>
          <w:tcPr>
            <w:tcW w:w="880" w:type="dxa"/>
            <w:noWrap w:val="0"/>
            <w:vAlign w:val="center"/>
          </w:tcPr>
          <w:p w14:paraId="4DB13C28">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2F2C9678">
            <w:pPr>
              <w:spacing w:before="100"/>
              <w:jc w:val="center"/>
              <w:rPr>
                <w:rFonts w:hint="eastAsia" w:ascii="宋体" w:hAnsi="宋体" w:eastAsia="宋体" w:cs="宋体"/>
                <w:color w:val="auto"/>
                <w:sz w:val="24"/>
                <w:highlight w:val="none"/>
              </w:rPr>
            </w:pPr>
          </w:p>
        </w:tc>
        <w:tc>
          <w:tcPr>
            <w:tcW w:w="1480" w:type="dxa"/>
            <w:noWrap w:val="0"/>
            <w:vAlign w:val="center"/>
          </w:tcPr>
          <w:p w14:paraId="0DD98823">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11C55A93">
            <w:pPr>
              <w:spacing w:before="100"/>
              <w:jc w:val="center"/>
              <w:rPr>
                <w:rFonts w:hint="eastAsia" w:ascii="宋体" w:hAnsi="宋体" w:eastAsia="宋体" w:cs="宋体"/>
                <w:color w:val="auto"/>
                <w:sz w:val="24"/>
                <w:highlight w:val="none"/>
              </w:rPr>
            </w:pPr>
          </w:p>
        </w:tc>
        <w:tc>
          <w:tcPr>
            <w:tcW w:w="921" w:type="dxa"/>
            <w:noWrap w:val="0"/>
            <w:vAlign w:val="center"/>
          </w:tcPr>
          <w:p w14:paraId="29C54529">
            <w:pPr>
              <w:widowControl/>
              <w:jc w:val="center"/>
              <w:textAlignment w:val="center"/>
              <w:rPr>
                <w:rFonts w:hint="eastAsia" w:ascii="宋体" w:hAnsi="宋体" w:eastAsia="宋体" w:cs="宋体"/>
                <w:color w:val="auto"/>
                <w:sz w:val="24"/>
                <w:highlight w:val="none"/>
              </w:rPr>
            </w:pPr>
          </w:p>
        </w:tc>
      </w:tr>
      <w:tr w14:paraId="286A1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9" w:type="dxa"/>
            <w:noWrap w:val="0"/>
            <w:vAlign w:val="center"/>
          </w:tcPr>
          <w:p w14:paraId="4766C08F">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8</w:t>
            </w:r>
          </w:p>
        </w:tc>
        <w:tc>
          <w:tcPr>
            <w:tcW w:w="1305" w:type="dxa"/>
            <w:noWrap w:val="0"/>
            <w:vAlign w:val="center"/>
          </w:tcPr>
          <w:p w14:paraId="5305D954">
            <w:pPr>
              <w:spacing w:before="100"/>
              <w:jc w:val="center"/>
              <w:rPr>
                <w:rFonts w:hint="eastAsia" w:ascii="宋体" w:hAnsi="宋体" w:eastAsia="宋体" w:cs="宋体"/>
                <w:color w:val="auto"/>
                <w:sz w:val="24"/>
                <w:highlight w:val="none"/>
              </w:rPr>
            </w:pPr>
          </w:p>
        </w:tc>
        <w:tc>
          <w:tcPr>
            <w:tcW w:w="1226" w:type="dxa"/>
            <w:noWrap w:val="0"/>
            <w:vAlign w:val="center"/>
          </w:tcPr>
          <w:p w14:paraId="172463C3">
            <w:pPr>
              <w:spacing w:before="100"/>
              <w:jc w:val="center"/>
              <w:rPr>
                <w:rFonts w:hint="eastAsia" w:ascii="宋体" w:hAnsi="宋体" w:eastAsia="宋体" w:cs="宋体"/>
                <w:color w:val="auto"/>
                <w:sz w:val="24"/>
                <w:highlight w:val="none"/>
              </w:rPr>
            </w:pPr>
          </w:p>
        </w:tc>
        <w:tc>
          <w:tcPr>
            <w:tcW w:w="1058" w:type="dxa"/>
            <w:noWrap w:val="0"/>
            <w:vAlign w:val="center"/>
          </w:tcPr>
          <w:p w14:paraId="0EBC5E8D">
            <w:pPr>
              <w:spacing w:before="100"/>
              <w:jc w:val="center"/>
              <w:rPr>
                <w:rFonts w:hint="eastAsia" w:ascii="宋体" w:hAnsi="宋体" w:eastAsia="宋体" w:cs="宋体"/>
                <w:color w:val="auto"/>
                <w:sz w:val="24"/>
                <w:highlight w:val="none"/>
              </w:rPr>
            </w:pPr>
          </w:p>
        </w:tc>
        <w:tc>
          <w:tcPr>
            <w:tcW w:w="880" w:type="dxa"/>
            <w:noWrap w:val="0"/>
            <w:vAlign w:val="center"/>
          </w:tcPr>
          <w:p w14:paraId="3C521743">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3A21611C">
            <w:pPr>
              <w:spacing w:before="100"/>
              <w:jc w:val="center"/>
              <w:rPr>
                <w:rFonts w:hint="eastAsia" w:ascii="宋体" w:hAnsi="宋体" w:eastAsia="宋体" w:cs="宋体"/>
                <w:color w:val="auto"/>
                <w:sz w:val="24"/>
                <w:highlight w:val="none"/>
              </w:rPr>
            </w:pPr>
          </w:p>
        </w:tc>
        <w:tc>
          <w:tcPr>
            <w:tcW w:w="1480" w:type="dxa"/>
            <w:noWrap w:val="0"/>
            <w:vAlign w:val="center"/>
          </w:tcPr>
          <w:p w14:paraId="4937D79A">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698E4C4F">
            <w:pPr>
              <w:spacing w:before="100"/>
              <w:jc w:val="center"/>
              <w:rPr>
                <w:rFonts w:hint="eastAsia" w:ascii="宋体" w:hAnsi="宋体" w:eastAsia="宋体" w:cs="宋体"/>
                <w:color w:val="auto"/>
                <w:sz w:val="24"/>
                <w:highlight w:val="none"/>
              </w:rPr>
            </w:pPr>
          </w:p>
        </w:tc>
        <w:tc>
          <w:tcPr>
            <w:tcW w:w="921" w:type="dxa"/>
            <w:noWrap w:val="0"/>
            <w:vAlign w:val="center"/>
          </w:tcPr>
          <w:p w14:paraId="0FC6F7BE">
            <w:pPr>
              <w:widowControl/>
              <w:jc w:val="center"/>
              <w:textAlignment w:val="center"/>
              <w:rPr>
                <w:rFonts w:hint="eastAsia" w:ascii="宋体" w:hAnsi="宋体" w:eastAsia="宋体" w:cs="宋体"/>
                <w:color w:val="auto"/>
                <w:sz w:val="24"/>
                <w:highlight w:val="none"/>
              </w:rPr>
            </w:pPr>
          </w:p>
        </w:tc>
      </w:tr>
      <w:tr w14:paraId="43358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3E2DC337">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9</w:t>
            </w:r>
          </w:p>
        </w:tc>
        <w:tc>
          <w:tcPr>
            <w:tcW w:w="1305" w:type="dxa"/>
            <w:noWrap w:val="0"/>
            <w:vAlign w:val="center"/>
          </w:tcPr>
          <w:p w14:paraId="31B14362">
            <w:pPr>
              <w:spacing w:before="100"/>
              <w:jc w:val="center"/>
              <w:rPr>
                <w:rFonts w:hint="eastAsia" w:ascii="宋体" w:hAnsi="宋体" w:eastAsia="宋体" w:cs="宋体"/>
                <w:color w:val="auto"/>
                <w:sz w:val="24"/>
                <w:highlight w:val="none"/>
              </w:rPr>
            </w:pPr>
          </w:p>
        </w:tc>
        <w:tc>
          <w:tcPr>
            <w:tcW w:w="1226" w:type="dxa"/>
            <w:noWrap w:val="0"/>
            <w:vAlign w:val="center"/>
          </w:tcPr>
          <w:p w14:paraId="5CD57874">
            <w:pPr>
              <w:spacing w:before="100"/>
              <w:jc w:val="center"/>
              <w:rPr>
                <w:rFonts w:hint="eastAsia" w:ascii="宋体" w:hAnsi="宋体" w:eastAsia="宋体" w:cs="宋体"/>
                <w:color w:val="auto"/>
                <w:sz w:val="24"/>
                <w:highlight w:val="none"/>
              </w:rPr>
            </w:pPr>
          </w:p>
        </w:tc>
        <w:tc>
          <w:tcPr>
            <w:tcW w:w="1058" w:type="dxa"/>
            <w:noWrap w:val="0"/>
            <w:vAlign w:val="center"/>
          </w:tcPr>
          <w:p w14:paraId="429082B1">
            <w:pPr>
              <w:spacing w:before="100"/>
              <w:jc w:val="center"/>
              <w:rPr>
                <w:rFonts w:hint="eastAsia" w:ascii="宋体" w:hAnsi="宋体" w:eastAsia="宋体" w:cs="宋体"/>
                <w:color w:val="auto"/>
                <w:sz w:val="24"/>
                <w:highlight w:val="none"/>
              </w:rPr>
            </w:pPr>
          </w:p>
        </w:tc>
        <w:tc>
          <w:tcPr>
            <w:tcW w:w="880" w:type="dxa"/>
            <w:noWrap w:val="0"/>
            <w:vAlign w:val="center"/>
          </w:tcPr>
          <w:p w14:paraId="23DCD7BB">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6D575D6D">
            <w:pPr>
              <w:spacing w:before="100"/>
              <w:jc w:val="center"/>
              <w:rPr>
                <w:rFonts w:hint="eastAsia" w:ascii="宋体" w:hAnsi="宋体" w:eastAsia="宋体" w:cs="宋体"/>
                <w:color w:val="auto"/>
                <w:sz w:val="24"/>
                <w:highlight w:val="none"/>
              </w:rPr>
            </w:pPr>
          </w:p>
        </w:tc>
        <w:tc>
          <w:tcPr>
            <w:tcW w:w="1480" w:type="dxa"/>
            <w:noWrap w:val="0"/>
            <w:vAlign w:val="center"/>
          </w:tcPr>
          <w:p w14:paraId="1B6867C5">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52DD524B">
            <w:pPr>
              <w:spacing w:before="100"/>
              <w:jc w:val="center"/>
              <w:rPr>
                <w:rFonts w:hint="eastAsia" w:ascii="宋体" w:hAnsi="宋体" w:eastAsia="宋体" w:cs="宋体"/>
                <w:color w:val="auto"/>
                <w:sz w:val="24"/>
                <w:highlight w:val="none"/>
              </w:rPr>
            </w:pPr>
          </w:p>
        </w:tc>
        <w:tc>
          <w:tcPr>
            <w:tcW w:w="921" w:type="dxa"/>
            <w:noWrap w:val="0"/>
            <w:vAlign w:val="center"/>
          </w:tcPr>
          <w:p w14:paraId="35661CC7">
            <w:pPr>
              <w:widowControl/>
              <w:jc w:val="center"/>
              <w:textAlignment w:val="center"/>
              <w:rPr>
                <w:rFonts w:hint="eastAsia" w:ascii="宋体" w:hAnsi="宋体" w:eastAsia="宋体" w:cs="宋体"/>
                <w:color w:val="auto"/>
                <w:sz w:val="24"/>
                <w:highlight w:val="none"/>
              </w:rPr>
            </w:pPr>
          </w:p>
        </w:tc>
      </w:tr>
      <w:tr w14:paraId="47DDB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4AAEB5B7">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10</w:t>
            </w:r>
          </w:p>
        </w:tc>
        <w:tc>
          <w:tcPr>
            <w:tcW w:w="1305" w:type="dxa"/>
            <w:noWrap w:val="0"/>
            <w:vAlign w:val="center"/>
          </w:tcPr>
          <w:p w14:paraId="7B6CCBBB">
            <w:pPr>
              <w:spacing w:before="100"/>
              <w:jc w:val="center"/>
              <w:rPr>
                <w:rFonts w:hint="eastAsia" w:ascii="宋体" w:hAnsi="宋体" w:eastAsia="宋体" w:cs="宋体"/>
                <w:color w:val="auto"/>
                <w:sz w:val="24"/>
                <w:highlight w:val="none"/>
              </w:rPr>
            </w:pPr>
          </w:p>
        </w:tc>
        <w:tc>
          <w:tcPr>
            <w:tcW w:w="1226" w:type="dxa"/>
            <w:noWrap w:val="0"/>
            <w:vAlign w:val="center"/>
          </w:tcPr>
          <w:p w14:paraId="67954308">
            <w:pPr>
              <w:spacing w:before="100"/>
              <w:jc w:val="center"/>
              <w:rPr>
                <w:rFonts w:hint="eastAsia" w:ascii="宋体" w:hAnsi="宋体" w:eastAsia="宋体" w:cs="宋体"/>
                <w:color w:val="auto"/>
                <w:sz w:val="24"/>
                <w:highlight w:val="none"/>
              </w:rPr>
            </w:pPr>
          </w:p>
        </w:tc>
        <w:tc>
          <w:tcPr>
            <w:tcW w:w="1058" w:type="dxa"/>
            <w:noWrap w:val="0"/>
            <w:vAlign w:val="center"/>
          </w:tcPr>
          <w:p w14:paraId="2262311F">
            <w:pPr>
              <w:spacing w:before="100"/>
              <w:jc w:val="center"/>
              <w:rPr>
                <w:rFonts w:hint="eastAsia" w:ascii="宋体" w:hAnsi="宋体" w:eastAsia="宋体" w:cs="宋体"/>
                <w:color w:val="auto"/>
                <w:sz w:val="24"/>
                <w:highlight w:val="none"/>
              </w:rPr>
            </w:pPr>
          </w:p>
        </w:tc>
        <w:tc>
          <w:tcPr>
            <w:tcW w:w="880" w:type="dxa"/>
            <w:noWrap w:val="0"/>
            <w:vAlign w:val="center"/>
          </w:tcPr>
          <w:p w14:paraId="789141B3">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3E1E509B">
            <w:pPr>
              <w:spacing w:before="100"/>
              <w:jc w:val="center"/>
              <w:rPr>
                <w:rFonts w:hint="eastAsia" w:ascii="宋体" w:hAnsi="宋体" w:eastAsia="宋体" w:cs="宋体"/>
                <w:color w:val="auto"/>
                <w:sz w:val="24"/>
                <w:highlight w:val="none"/>
              </w:rPr>
            </w:pPr>
          </w:p>
        </w:tc>
        <w:tc>
          <w:tcPr>
            <w:tcW w:w="1480" w:type="dxa"/>
            <w:noWrap w:val="0"/>
            <w:vAlign w:val="center"/>
          </w:tcPr>
          <w:p w14:paraId="11CDA6BF">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18C513D2">
            <w:pPr>
              <w:spacing w:before="100"/>
              <w:jc w:val="center"/>
              <w:rPr>
                <w:rFonts w:hint="eastAsia" w:ascii="宋体" w:hAnsi="宋体" w:eastAsia="宋体" w:cs="宋体"/>
                <w:color w:val="auto"/>
                <w:sz w:val="24"/>
                <w:highlight w:val="none"/>
              </w:rPr>
            </w:pPr>
          </w:p>
        </w:tc>
        <w:tc>
          <w:tcPr>
            <w:tcW w:w="921" w:type="dxa"/>
            <w:noWrap w:val="0"/>
            <w:vAlign w:val="center"/>
          </w:tcPr>
          <w:p w14:paraId="2AD3DE1F">
            <w:pPr>
              <w:widowControl/>
              <w:jc w:val="center"/>
              <w:textAlignment w:val="center"/>
              <w:rPr>
                <w:rFonts w:hint="eastAsia" w:ascii="宋体" w:hAnsi="宋体" w:eastAsia="宋体" w:cs="宋体"/>
                <w:color w:val="auto"/>
                <w:sz w:val="24"/>
                <w:highlight w:val="none"/>
              </w:rPr>
            </w:pPr>
          </w:p>
        </w:tc>
      </w:tr>
      <w:tr w14:paraId="21D92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9" w:type="dxa"/>
            <w:noWrap w:val="0"/>
            <w:vAlign w:val="center"/>
          </w:tcPr>
          <w:p w14:paraId="09F5628C">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11</w:t>
            </w:r>
          </w:p>
        </w:tc>
        <w:tc>
          <w:tcPr>
            <w:tcW w:w="1305" w:type="dxa"/>
            <w:noWrap w:val="0"/>
            <w:vAlign w:val="center"/>
          </w:tcPr>
          <w:p w14:paraId="3A47DB9E">
            <w:pPr>
              <w:jc w:val="center"/>
              <w:rPr>
                <w:rFonts w:hint="eastAsia" w:ascii="宋体" w:hAnsi="宋体" w:eastAsia="宋体" w:cs="宋体"/>
                <w:color w:val="auto"/>
                <w:sz w:val="24"/>
                <w:highlight w:val="none"/>
              </w:rPr>
            </w:pPr>
          </w:p>
        </w:tc>
        <w:tc>
          <w:tcPr>
            <w:tcW w:w="1226" w:type="dxa"/>
            <w:noWrap w:val="0"/>
            <w:vAlign w:val="center"/>
          </w:tcPr>
          <w:p w14:paraId="1EED96D8">
            <w:pPr>
              <w:spacing w:line="440" w:lineRule="exact"/>
              <w:jc w:val="center"/>
              <w:rPr>
                <w:rFonts w:hint="eastAsia" w:ascii="宋体" w:hAnsi="宋体" w:eastAsia="宋体" w:cs="宋体"/>
                <w:color w:val="auto"/>
                <w:sz w:val="24"/>
                <w:highlight w:val="none"/>
              </w:rPr>
            </w:pPr>
          </w:p>
        </w:tc>
        <w:tc>
          <w:tcPr>
            <w:tcW w:w="1058" w:type="dxa"/>
            <w:noWrap w:val="0"/>
            <w:vAlign w:val="center"/>
          </w:tcPr>
          <w:p w14:paraId="60AB1CA3">
            <w:pPr>
              <w:spacing w:before="100"/>
              <w:jc w:val="center"/>
              <w:rPr>
                <w:rFonts w:hint="eastAsia" w:ascii="宋体" w:hAnsi="宋体" w:eastAsia="宋体" w:cs="宋体"/>
                <w:color w:val="auto"/>
                <w:sz w:val="24"/>
                <w:highlight w:val="none"/>
              </w:rPr>
            </w:pPr>
          </w:p>
        </w:tc>
        <w:tc>
          <w:tcPr>
            <w:tcW w:w="880" w:type="dxa"/>
            <w:noWrap w:val="0"/>
            <w:vAlign w:val="center"/>
          </w:tcPr>
          <w:p w14:paraId="5F1B71BA">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701AEB65">
            <w:pPr>
              <w:spacing w:before="100"/>
              <w:jc w:val="center"/>
              <w:rPr>
                <w:rFonts w:hint="eastAsia" w:ascii="宋体" w:hAnsi="宋体" w:eastAsia="宋体" w:cs="宋体"/>
                <w:color w:val="auto"/>
                <w:sz w:val="24"/>
                <w:highlight w:val="none"/>
              </w:rPr>
            </w:pPr>
          </w:p>
        </w:tc>
        <w:tc>
          <w:tcPr>
            <w:tcW w:w="1480" w:type="dxa"/>
            <w:noWrap w:val="0"/>
            <w:vAlign w:val="center"/>
          </w:tcPr>
          <w:p w14:paraId="69485777">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085855D8">
            <w:pPr>
              <w:spacing w:before="100"/>
              <w:jc w:val="center"/>
              <w:rPr>
                <w:rFonts w:hint="eastAsia" w:ascii="宋体" w:hAnsi="宋体" w:eastAsia="宋体" w:cs="宋体"/>
                <w:color w:val="auto"/>
                <w:sz w:val="24"/>
                <w:highlight w:val="none"/>
              </w:rPr>
            </w:pPr>
          </w:p>
        </w:tc>
        <w:tc>
          <w:tcPr>
            <w:tcW w:w="921" w:type="dxa"/>
            <w:noWrap w:val="0"/>
            <w:vAlign w:val="center"/>
          </w:tcPr>
          <w:p w14:paraId="089DF11A">
            <w:pPr>
              <w:widowControl/>
              <w:jc w:val="center"/>
              <w:textAlignment w:val="center"/>
              <w:rPr>
                <w:rFonts w:hint="eastAsia" w:ascii="宋体" w:hAnsi="宋体" w:eastAsia="宋体" w:cs="宋体"/>
                <w:color w:val="auto"/>
                <w:sz w:val="24"/>
                <w:highlight w:val="none"/>
              </w:rPr>
            </w:pPr>
          </w:p>
        </w:tc>
      </w:tr>
      <w:tr w14:paraId="64ABA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51C1C29D">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12</w:t>
            </w:r>
          </w:p>
        </w:tc>
        <w:tc>
          <w:tcPr>
            <w:tcW w:w="1305" w:type="dxa"/>
            <w:noWrap w:val="0"/>
            <w:vAlign w:val="center"/>
          </w:tcPr>
          <w:p w14:paraId="2F5B9A91">
            <w:pPr>
              <w:jc w:val="center"/>
              <w:rPr>
                <w:rFonts w:hint="eastAsia" w:ascii="宋体" w:hAnsi="宋体" w:eastAsia="宋体" w:cs="宋体"/>
                <w:color w:val="auto"/>
                <w:sz w:val="24"/>
                <w:highlight w:val="none"/>
              </w:rPr>
            </w:pPr>
          </w:p>
        </w:tc>
        <w:tc>
          <w:tcPr>
            <w:tcW w:w="1226" w:type="dxa"/>
            <w:noWrap w:val="0"/>
            <w:vAlign w:val="center"/>
          </w:tcPr>
          <w:p w14:paraId="29FBE483">
            <w:pPr>
              <w:spacing w:line="440" w:lineRule="exact"/>
              <w:jc w:val="center"/>
              <w:rPr>
                <w:rFonts w:hint="eastAsia" w:ascii="宋体" w:hAnsi="宋体" w:eastAsia="宋体" w:cs="宋体"/>
                <w:color w:val="auto"/>
                <w:sz w:val="24"/>
                <w:highlight w:val="none"/>
              </w:rPr>
            </w:pPr>
          </w:p>
        </w:tc>
        <w:tc>
          <w:tcPr>
            <w:tcW w:w="1058" w:type="dxa"/>
            <w:noWrap w:val="0"/>
            <w:vAlign w:val="center"/>
          </w:tcPr>
          <w:p w14:paraId="0E538338">
            <w:pPr>
              <w:spacing w:before="100"/>
              <w:jc w:val="center"/>
              <w:rPr>
                <w:rFonts w:hint="eastAsia" w:ascii="宋体" w:hAnsi="宋体" w:eastAsia="宋体" w:cs="宋体"/>
                <w:color w:val="auto"/>
                <w:sz w:val="24"/>
                <w:highlight w:val="none"/>
              </w:rPr>
            </w:pPr>
          </w:p>
        </w:tc>
        <w:tc>
          <w:tcPr>
            <w:tcW w:w="880" w:type="dxa"/>
            <w:noWrap w:val="0"/>
            <w:vAlign w:val="center"/>
          </w:tcPr>
          <w:p w14:paraId="24692890">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4C92A5A8">
            <w:pPr>
              <w:spacing w:before="100"/>
              <w:jc w:val="center"/>
              <w:rPr>
                <w:rFonts w:hint="eastAsia" w:ascii="宋体" w:hAnsi="宋体" w:eastAsia="宋体" w:cs="宋体"/>
                <w:color w:val="auto"/>
                <w:sz w:val="24"/>
                <w:highlight w:val="none"/>
              </w:rPr>
            </w:pPr>
          </w:p>
        </w:tc>
        <w:tc>
          <w:tcPr>
            <w:tcW w:w="1480" w:type="dxa"/>
            <w:noWrap w:val="0"/>
            <w:vAlign w:val="center"/>
          </w:tcPr>
          <w:p w14:paraId="5A3AD33D">
            <w:pPr>
              <w:widowControl/>
              <w:jc w:val="center"/>
              <w:textAlignment w:val="center"/>
              <w:rPr>
                <w:rFonts w:hint="eastAsia" w:ascii="宋体" w:hAnsi="宋体" w:eastAsia="宋体" w:cs="宋体"/>
                <w:color w:val="auto"/>
                <w:sz w:val="24"/>
                <w:highlight w:val="none"/>
              </w:rPr>
            </w:pPr>
          </w:p>
        </w:tc>
        <w:tc>
          <w:tcPr>
            <w:tcW w:w="1020" w:type="dxa"/>
            <w:noWrap w:val="0"/>
            <w:vAlign w:val="center"/>
          </w:tcPr>
          <w:p w14:paraId="29E8D904">
            <w:pPr>
              <w:spacing w:before="100"/>
              <w:jc w:val="center"/>
              <w:rPr>
                <w:rFonts w:hint="eastAsia" w:ascii="宋体" w:hAnsi="宋体" w:eastAsia="宋体" w:cs="宋体"/>
                <w:color w:val="auto"/>
                <w:sz w:val="24"/>
                <w:highlight w:val="none"/>
              </w:rPr>
            </w:pPr>
          </w:p>
        </w:tc>
        <w:tc>
          <w:tcPr>
            <w:tcW w:w="921" w:type="dxa"/>
            <w:noWrap w:val="0"/>
            <w:vAlign w:val="center"/>
          </w:tcPr>
          <w:p w14:paraId="42D95E45">
            <w:pPr>
              <w:widowControl/>
              <w:jc w:val="center"/>
              <w:textAlignment w:val="center"/>
              <w:rPr>
                <w:rFonts w:hint="eastAsia" w:ascii="宋体" w:hAnsi="宋体" w:eastAsia="宋体" w:cs="宋体"/>
                <w:color w:val="auto"/>
                <w:sz w:val="24"/>
                <w:highlight w:val="none"/>
              </w:rPr>
            </w:pPr>
          </w:p>
        </w:tc>
      </w:tr>
    </w:tbl>
    <w:p w14:paraId="03280A62">
      <w:pPr>
        <w:rPr>
          <w:rFonts w:hint="eastAsia" w:ascii="宋体" w:hAnsi="宋体" w:eastAsia="宋体" w:cs="宋体"/>
          <w:color w:val="auto"/>
          <w:szCs w:val="21"/>
          <w:highlight w:val="none"/>
        </w:rPr>
        <w:sectPr>
          <w:footerReference r:id="rId8" w:type="default"/>
          <w:pgSz w:w="11920" w:h="16840"/>
          <w:pgMar w:top="1580" w:right="800" w:bottom="1040" w:left="800" w:header="0" w:footer="857" w:gutter="0"/>
          <w:cols w:space="720" w:num="1"/>
        </w:sectPr>
      </w:pPr>
    </w:p>
    <w:p w14:paraId="6992E311">
      <w:pPr>
        <w:spacing w:before="36"/>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 3：</w:t>
      </w:r>
    </w:p>
    <w:p w14:paraId="1B8BE5E2">
      <w:pPr>
        <w:pStyle w:val="58"/>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工程质量保修书</w:t>
      </w:r>
    </w:p>
    <w:p w14:paraId="6FDB4E9A">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1B96102">
      <w:pPr>
        <w:pStyle w:val="58"/>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rPr>
        <w:t xml:space="preserve">               （联合体成员）</w:t>
      </w:r>
    </w:p>
    <w:p w14:paraId="325483E8">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在合理使用期限内正常使用，发包人和承包人协商一致签订工程质量保修书。承包人在质量保修期内按照有关管理规定及双方约定承担工程质量保修责任。</w:t>
      </w:r>
    </w:p>
    <w:p w14:paraId="59899077">
      <w:pPr>
        <w:pStyle w:val="58"/>
        <w:spacing w:line="360" w:lineRule="auto"/>
        <w:rPr>
          <w:rFonts w:hint="eastAsia" w:ascii="宋体" w:hAnsi="宋体" w:eastAsia="宋体" w:cs="宋体"/>
          <w:color w:val="auto"/>
          <w:szCs w:val="21"/>
          <w:highlight w:val="none"/>
        </w:rPr>
      </w:pPr>
      <w:bookmarkStart w:id="1294" w:name="_Toc419363873"/>
      <w:r>
        <w:rPr>
          <w:rFonts w:hint="eastAsia" w:ascii="宋体" w:hAnsi="宋体" w:eastAsia="宋体" w:cs="宋体"/>
          <w:color w:val="auto"/>
          <w:szCs w:val="21"/>
          <w:highlight w:val="none"/>
        </w:rPr>
        <w:t>一、工程质量保修范围和内容</w:t>
      </w:r>
      <w:bookmarkEnd w:id="1294"/>
    </w:p>
    <w:p w14:paraId="2995A6BC">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质量保修范围包括合同及施工图纸所包括的工程。具体质量保修内容双方约定如下：</w:t>
      </w:r>
      <w:r>
        <w:rPr>
          <w:rFonts w:hint="eastAsia" w:ascii="宋体" w:hAnsi="宋体" w:eastAsia="宋体" w:cs="宋体"/>
          <w:color w:val="auto"/>
          <w:szCs w:val="21"/>
          <w:highlight w:val="none"/>
          <w:u w:val="single"/>
        </w:rPr>
        <w:t>在承包人承包范围内，属承包人责任造成的工程质量问题，由承包人承担保修责任。</w:t>
      </w:r>
      <w:r>
        <w:rPr>
          <w:rFonts w:hint="eastAsia" w:ascii="宋体" w:hAnsi="宋体" w:eastAsia="宋体" w:cs="宋体"/>
          <w:color w:val="auto"/>
          <w:szCs w:val="21"/>
          <w:highlight w:val="none"/>
        </w:rPr>
        <w:t xml:space="preserve">                                                                 </w:t>
      </w:r>
    </w:p>
    <w:p w14:paraId="5D9B5164">
      <w:pPr>
        <w:pStyle w:val="58"/>
        <w:spacing w:line="360" w:lineRule="auto"/>
        <w:rPr>
          <w:rFonts w:hint="eastAsia" w:ascii="宋体" w:hAnsi="宋体" w:eastAsia="宋体" w:cs="宋体"/>
          <w:color w:val="auto"/>
          <w:szCs w:val="21"/>
          <w:highlight w:val="none"/>
        </w:rPr>
      </w:pPr>
      <w:bookmarkStart w:id="1295" w:name="_Toc419363874"/>
      <w:r>
        <w:rPr>
          <w:rFonts w:hint="eastAsia" w:ascii="宋体" w:hAnsi="宋体" w:eastAsia="宋体" w:cs="宋体"/>
          <w:color w:val="auto"/>
          <w:szCs w:val="21"/>
          <w:highlight w:val="none"/>
        </w:rPr>
        <w:t>二、质量保修期</w:t>
      </w:r>
      <w:bookmarkEnd w:id="1295"/>
    </w:p>
    <w:p w14:paraId="04AA7B9F">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1．双方根据《建设工程质量管理条例》及有关规定，约定本工程的质量保修期如下：</w:t>
      </w:r>
    </w:p>
    <w:p w14:paraId="6FF046C9">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地基基础工程和主体结构工程为设计文件规定的该工程合理使用年限；</w:t>
      </w:r>
    </w:p>
    <w:p w14:paraId="1DC6623A">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屋面防水工程、有防水要求的卫生间、房间和外墙面的防渗漏为</w:t>
      </w:r>
      <w:r>
        <w:rPr>
          <w:rFonts w:hint="eastAsia" w:ascii="宋体" w:hAnsi="宋体" w:eastAsia="宋体" w:cs="宋体"/>
          <w:color w:val="auto"/>
          <w:szCs w:val="21"/>
          <w:highlight w:val="none"/>
          <w:u w:val="single"/>
        </w:rPr>
        <w:t xml:space="preserve">5  </w:t>
      </w:r>
      <w:r>
        <w:rPr>
          <w:rFonts w:hint="eastAsia" w:ascii="宋体" w:hAnsi="宋体" w:eastAsia="宋体" w:cs="宋体"/>
          <w:color w:val="auto"/>
          <w:szCs w:val="21"/>
          <w:highlight w:val="none"/>
        </w:rPr>
        <w:t>年；</w:t>
      </w:r>
    </w:p>
    <w:p w14:paraId="617C903E">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装修工程为</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年；</w:t>
      </w:r>
    </w:p>
    <w:p w14:paraId="45117134">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电气管线、给排水管道、设备安装工程为</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年；</w:t>
      </w:r>
    </w:p>
    <w:p w14:paraId="66378F4E">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供热与供冷系统为</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个采暖期、供冷期；</w:t>
      </w:r>
    </w:p>
    <w:p w14:paraId="5CE585DE">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景观绿化工程管养期为</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年；</w:t>
      </w:r>
    </w:p>
    <w:p w14:paraId="721934BA">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其他项目保修期限约定如下：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71CA44E">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质量保修期自工程竣工验收合格之日起计算。</w:t>
      </w:r>
    </w:p>
    <w:p w14:paraId="4E85D719">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2．质量保修期自本合同工程签发的工程竣工验收合格交工证书中写明的竣工日期起计算。分单项竣工验收的工程，按单项工程分别计算质量保修期。</w:t>
      </w:r>
    </w:p>
    <w:p w14:paraId="520B17A3">
      <w:pPr>
        <w:pStyle w:val="58"/>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3．其他约定：             /                 </w:t>
      </w:r>
    </w:p>
    <w:p w14:paraId="674F1C74">
      <w:pPr>
        <w:pStyle w:val="58"/>
        <w:spacing w:line="360" w:lineRule="auto"/>
        <w:rPr>
          <w:rFonts w:hint="eastAsia" w:ascii="宋体" w:hAnsi="宋体" w:eastAsia="宋体" w:cs="宋体"/>
          <w:color w:val="auto"/>
          <w:szCs w:val="21"/>
          <w:highlight w:val="none"/>
        </w:rPr>
      </w:pPr>
      <w:bookmarkStart w:id="1296" w:name="_Toc419363875"/>
      <w:r>
        <w:rPr>
          <w:rFonts w:hint="eastAsia" w:ascii="宋体" w:hAnsi="宋体" w:eastAsia="宋体" w:cs="宋体"/>
          <w:color w:val="auto"/>
          <w:szCs w:val="21"/>
          <w:highlight w:val="none"/>
        </w:rPr>
        <w:t>三、质量保修保质责任</w:t>
      </w:r>
      <w:bookmarkEnd w:id="1296"/>
    </w:p>
    <w:p w14:paraId="610DA94B">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1．质量保修期自工程竣工验收合格之日起计算。</w:t>
      </w:r>
    </w:p>
    <w:p w14:paraId="3CE69BCA">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2．质量保修责任</w:t>
      </w:r>
    </w:p>
    <w:p w14:paraId="33F5A574">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2.1属于保修范围、内容的项目，承包人应当在接到保修通知之日起七日内派人保修。承包人不在约定期限内派人保修的，发包人可以委托他人修理，修理费用由承包人承担。</w:t>
      </w:r>
    </w:p>
    <w:p w14:paraId="2B73151A">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2.2发生紧急抢修事故的，承包人在接到事故通知后，应当立即到达事故现场抢修。非承包人施工质量引起的事故，抢修费用由发包人承担。</w:t>
      </w:r>
    </w:p>
    <w:p w14:paraId="418FCA8D">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2.3对于涉及结构安全的质量问题，应当按照有关的规定，立即向当地建设行政主管部门报告，采取安全防范措施；由原设计单位或者具有相应资质等级的设计单位提出保修方案，承包人实施保修。</w:t>
      </w:r>
    </w:p>
    <w:p w14:paraId="2E36A0AE">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2.4质量保修完成后，由发包人组织验收。</w:t>
      </w:r>
    </w:p>
    <w:p w14:paraId="3E8D8416">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3．保修费用</w:t>
      </w:r>
    </w:p>
    <w:p w14:paraId="4D0C770E">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保修费用由造成质量缺陷的责任方承担。</w:t>
      </w:r>
    </w:p>
    <w:p w14:paraId="0D40F0AD">
      <w:pPr>
        <w:pStyle w:val="58"/>
        <w:spacing w:line="360" w:lineRule="auto"/>
        <w:ind w:firstLine="420" w:firstLineChars="200"/>
        <w:rPr>
          <w:rFonts w:hint="eastAsia" w:ascii="宋体" w:hAnsi="宋体" w:eastAsia="宋体" w:cs="宋体"/>
          <w:color w:val="auto"/>
          <w:szCs w:val="21"/>
          <w:highlight w:val="none"/>
        </w:rPr>
      </w:pPr>
      <w:bookmarkStart w:id="1297" w:name="_Toc419363878"/>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、其他</w:t>
      </w:r>
      <w:bookmarkEnd w:id="1297"/>
    </w:p>
    <w:p w14:paraId="3FD1EFCD">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双方约定的其他工程质量保修事项：保修期内，如发生属承包人责任的质量问题，按本保修书第2.1款约定。</w:t>
      </w:r>
    </w:p>
    <w:p w14:paraId="313E40B3">
      <w:pPr>
        <w:pStyle w:val="5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本工程质量保修书作为主合同附件，正本和副本份数与本合同专用条款第19.2条的约定相同，由总承包合同发包人和承包人双方共同签署。</w:t>
      </w:r>
    </w:p>
    <w:p w14:paraId="7B119BD5">
      <w:pPr>
        <w:pStyle w:val="58"/>
        <w:spacing w:line="360" w:lineRule="auto"/>
        <w:rPr>
          <w:rFonts w:hint="eastAsia" w:ascii="宋体" w:hAnsi="宋体" w:eastAsia="宋体" w:cs="宋体"/>
          <w:color w:val="auto"/>
          <w:szCs w:val="21"/>
          <w:highlight w:val="none"/>
        </w:rPr>
      </w:pPr>
    </w:p>
    <w:p w14:paraId="5CC930E4">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发包人： </w:t>
      </w:r>
    </w:p>
    <w:p w14:paraId="46EECEDF">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（公章或合同专用章）          </w:t>
      </w:r>
    </w:p>
    <w:p w14:paraId="621E023F">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p>
    <w:p w14:paraId="77484998">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                     　　</w:t>
      </w:r>
    </w:p>
    <w:p w14:paraId="4EB7BD8C">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255C68AC">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60D4CC94">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承包人：    （公章或合同专用章）          </w:t>
      </w:r>
    </w:p>
    <w:p w14:paraId="5E52D0A4">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p>
    <w:p w14:paraId="0E9C9AAD">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                      　</w:t>
      </w:r>
    </w:p>
    <w:p w14:paraId="30C62092">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5101B59E">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5F734374">
      <w:pPr>
        <w:pStyle w:val="58"/>
        <w:spacing w:line="360" w:lineRule="auto"/>
        <w:rPr>
          <w:rFonts w:hint="eastAsia" w:ascii="宋体" w:hAnsi="宋体" w:eastAsia="宋体" w:cs="宋体"/>
          <w:color w:val="auto"/>
          <w:szCs w:val="21"/>
          <w:highlight w:val="none"/>
        </w:rPr>
      </w:pPr>
    </w:p>
    <w:p w14:paraId="062A3C8E">
      <w:pPr>
        <w:pStyle w:val="58"/>
        <w:spacing w:line="360" w:lineRule="auto"/>
        <w:rPr>
          <w:rFonts w:hint="eastAsia" w:ascii="宋体" w:hAnsi="宋体" w:eastAsia="宋体" w:cs="宋体"/>
          <w:color w:val="auto"/>
          <w:szCs w:val="21"/>
          <w:highlight w:val="none"/>
        </w:rPr>
      </w:pPr>
    </w:p>
    <w:p w14:paraId="4CBFBDC3">
      <w:pPr>
        <w:pStyle w:val="58"/>
        <w:spacing w:line="360" w:lineRule="auto"/>
        <w:rPr>
          <w:rFonts w:hint="eastAsia" w:ascii="宋体" w:hAnsi="宋体" w:eastAsia="宋体" w:cs="宋体"/>
          <w:color w:val="auto"/>
          <w:szCs w:val="21"/>
          <w:highlight w:val="none"/>
        </w:rPr>
      </w:pPr>
    </w:p>
    <w:p w14:paraId="37C70DD5">
      <w:pPr>
        <w:pStyle w:val="58"/>
        <w:spacing w:line="360" w:lineRule="auto"/>
        <w:rPr>
          <w:rFonts w:hint="eastAsia" w:ascii="宋体" w:hAnsi="宋体" w:eastAsia="宋体" w:cs="宋体"/>
          <w:color w:val="auto"/>
          <w:szCs w:val="21"/>
          <w:highlight w:val="none"/>
        </w:rPr>
      </w:pPr>
    </w:p>
    <w:p w14:paraId="36E3ADF8">
      <w:pPr>
        <w:pStyle w:val="58"/>
        <w:spacing w:line="360" w:lineRule="auto"/>
        <w:rPr>
          <w:rFonts w:hint="eastAsia" w:ascii="宋体" w:hAnsi="宋体" w:eastAsia="宋体" w:cs="宋体"/>
          <w:color w:val="auto"/>
          <w:szCs w:val="21"/>
          <w:highlight w:val="none"/>
        </w:rPr>
      </w:pPr>
    </w:p>
    <w:p w14:paraId="78D86DBA">
      <w:pPr>
        <w:pStyle w:val="58"/>
        <w:spacing w:line="360" w:lineRule="auto"/>
        <w:rPr>
          <w:rFonts w:hint="eastAsia" w:ascii="宋体" w:hAnsi="宋体" w:eastAsia="宋体" w:cs="宋体"/>
          <w:color w:val="auto"/>
          <w:szCs w:val="21"/>
          <w:highlight w:val="none"/>
        </w:rPr>
      </w:pPr>
    </w:p>
    <w:p w14:paraId="43E32665">
      <w:pPr>
        <w:pStyle w:val="58"/>
        <w:spacing w:line="360" w:lineRule="auto"/>
        <w:rPr>
          <w:rFonts w:hint="eastAsia" w:ascii="宋体" w:hAnsi="宋体" w:eastAsia="宋体" w:cs="宋体"/>
          <w:color w:val="auto"/>
          <w:szCs w:val="21"/>
          <w:highlight w:val="none"/>
        </w:rPr>
      </w:pPr>
    </w:p>
    <w:p w14:paraId="2E981D18">
      <w:pPr>
        <w:pStyle w:val="58"/>
        <w:spacing w:line="360" w:lineRule="auto"/>
        <w:rPr>
          <w:rFonts w:hint="eastAsia" w:ascii="宋体" w:hAnsi="宋体" w:eastAsia="宋体" w:cs="宋体"/>
          <w:color w:val="auto"/>
          <w:szCs w:val="21"/>
          <w:highlight w:val="none"/>
        </w:rPr>
      </w:pPr>
    </w:p>
    <w:p w14:paraId="495207F4">
      <w:pPr>
        <w:pStyle w:val="58"/>
        <w:spacing w:line="360" w:lineRule="auto"/>
        <w:rPr>
          <w:rFonts w:hint="eastAsia" w:ascii="宋体" w:hAnsi="宋体" w:eastAsia="宋体" w:cs="宋体"/>
          <w:color w:val="auto"/>
          <w:szCs w:val="21"/>
          <w:highlight w:val="none"/>
        </w:rPr>
      </w:pPr>
    </w:p>
    <w:p w14:paraId="60376F3B">
      <w:pPr>
        <w:pStyle w:val="58"/>
        <w:spacing w:line="360" w:lineRule="auto"/>
        <w:rPr>
          <w:rFonts w:hint="eastAsia" w:ascii="宋体" w:hAnsi="宋体" w:eastAsia="宋体" w:cs="宋体"/>
          <w:color w:val="auto"/>
          <w:szCs w:val="21"/>
          <w:highlight w:val="none"/>
        </w:rPr>
      </w:pPr>
    </w:p>
    <w:p w14:paraId="6FE04A64">
      <w:pPr>
        <w:pStyle w:val="58"/>
        <w:spacing w:line="360" w:lineRule="auto"/>
        <w:rPr>
          <w:rFonts w:hint="eastAsia" w:ascii="宋体" w:hAnsi="宋体" w:eastAsia="宋体" w:cs="宋体"/>
          <w:color w:val="auto"/>
          <w:szCs w:val="21"/>
          <w:highlight w:val="none"/>
        </w:rPr>
      </w:pPr>
    </w:p>
    <w:p w14:paraId="5648B323">
      <w:pPr>
        <w:pStyle w:val="58"/>
        <w:spacing w:line="360" w:lineRule="auto"/>
        <w:rPr>
          <w:rFonts w:hint="eastAsia" w:ascii="宋体" w:hAnsi="宋体" w:eastAsia="宋体" w:cs="宋体"/>
          <w:color w:val="auto"/>
          <w:szCs w:val="21"/>
          <w:highlight w:val="none"/>
        </w:rPr>
      </w:pPr>
    </w:p>
    <w:p w14:paraId="5B7718E8">
      <w:pPr>
        <w:pStyle w:val="58"/>
        <w:spacing w:line="360" w:lineRule="auto"/>
        <w:rPr>
          <w:rFonts w:hint="eastAsia" w:ascii="宋体" w:hAnsi="宋体" w:eastAsia="宋体" w:cs="宋体"/>
          <w:color w:val="auto"/>
          <w:szCs w:val="21"/>
          <w:highlight w:val="none"/>
        </w:rPr>
      </w:pPr>
    </w:p>
    <w:p w14:paraId="605548C1">
      <w:pPr>
        <w:pStyle w:val="58"/>
        <w:spacing w:line="360" w:lineRule="auto"/>
        <w:rPr>
          <w:rFonts w:hint="eastAsia" w:ascii="宋体" w:hAnsi="宋体" w:eastAsia="宋体" w:cs="宋体"/>
          <w:color w:val="auto"/>
          <w:szCs w:val="21"/>
          <w:highlight w:val="none"/>
        </w:rPr>
      </w:pPr>
    </w:p>
    <w:p w14:paraId="2F3160C4">
      <w:pPr>
        <w:pStyle w:val="58"/>
        <w:spacing w:line="360" w:lineRule="auto"/>
        <w:rPr>
          <w:rFonts w:hint="eastAsia" w:ascii="宋体" w:hAnsi="宋体" w:eastAsia="宋体" w:cs="宋体"/>
          <w:color w:val="auto"/>
          <w:szCs w:val="21"/>
          <w:highlight w:val="none"/>
        </w:rPr>
      </w:pPr>
    </w:p>
    <w:p w14:paraId="6027B156">
      <w:pPr>
        <w:pStyle w:val="58"/>
        <w:spacing w:line="360" w:lineRule="auto"/>
        <w:rPr>
          <w:rFonts w:hint="eastAsia" w:ascii="宋体" w:hAnsi="宋体" w:eastAsia="宋体" w:cs="宋体"/>
          <w:color w:val="auto"/>
          <w:szCs w:val="21"/>
          <w:highlight w:val="none"/>
        </w:rPr>
      </w:pPr>
    </w:p>
    <w:p w14:paraId="0292B7A3">
      <w:pPr>
        <w:pStyle w:val="58"/>
        <w:spacing w:line="360" w:lineRule="auto"/>
        <w:rPr>
          <w:rFonts w:hint="eastAsia" w:ascii="宋体" w:hAnsi="宋体" w:eastAsia="宋体" w:cs="宋体"/>
          <w:color w:val="auto"/>
          <w:szCs w:val="21"/>
          <w:highlight w:val="none"/>
        </w:rPr>
      </w:pPr>
    </w:p>
    <w:p w14:paraId="6A6B6B75">
      <w:pPr>
        <w:pStyle w:val="58"/>
        <w:spacing w:line="360" w:lineRule="auto"/>
        <w:rPr>
          <w:rFonts w:hint="eastAsia" w:ascii="宋体" w:hAnsi="宋体" w:eastAsia="宋体" w:cs="宋体"/>
          <w:color w:val="auto"/>
          <w:szCs w:val="21"/>
          <w:highlight w:val="none"/>
        </w:rPr>
      </w:pPr>
    </w:p>
    <w:p w14:paraId="0900E1CD">
      <w:pPr>
        <w:pStyle w:val="58"/>
        <w:spacing w:line="360" w:lineRule="auto"/>
        <w:rPr>
          <w:rFonts w:hint="eastAsia" w:ascii="宋体" w:hAnsi="宋体"/>
          <w:color w:val="auto"/>
          <w:highlight w:val="none"/>
          <w:u w:val="single"/>
        </w:rPr>
      </w:pPr>
    </w:p>
    <w:p w14:paraId="5A0F3E1A">
      <w:pPr>
        <w:pStyle w:val="58"/>
        <w:spacing w:line="360" w:lineRule="auto"/>
        <w:rPr>
          <w:rFonts w:hint="eastAsia" w:ascii="宋体" w:hAnsi="宋体" w:eastAsia="宋体" w:cs="宋体"/>
          <w:color w:val="auto"/>
          <w:szCs w:val="21"/>
          <w:highlight w:val="none"/>
        </w:rPr>
      </w:pPr>
    </w:p>
    <w:p w14:paraId="6DF2DE36">
      <w:pPr>
        <w:pStyle w:val="58"/>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廉政合同</w:t>
      </w:r>
    </w:p>
    <w:p w14:paraId="50D1D230">
      <w:pPr>
        <w:pStyle w:val="58"/>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根据国家有关工程建设、廉政建设的规定，为做好工程建设中的党风廉政建设，保证工程建设高效优质，保证建设资金的安全和有效使用以及投资效益，建设工程的项目法人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（以下简称“甲方”）与总承包单位（以下简称“乙方”），特订立如下合同。</w:t>
      </w:r>
    </w:p>
    <w:p w14:paraId="448529CC">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1298" w:name="_Toc419363880"/>
      <w:r>
        <w:rPr>
          <w:rFonts w:hint="eastAsia" w:ascii="宋体" w:hAnsi="宋体" w:eastAsia="宋体" w:cs="宋体"/>
          <w:color w:val="auto"/>
          <w:szCs w:val="21"/>
          <w:highlight w:val="none"/>
        </w:rPr>
        <w:t>1.甲乙双方的权利和义务</w:t>
      </w:r>
      <w:bookmarkEnd w:id="1298"/>
    </w:p>
    <w:p w14:paraId="7ED32738">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（1）严格遵守党和国家的有关法律法规及中纪委监察部的有关规定。</w:t>
      </w:r>
    </w:p>
    <w:p w14:paraId="0B86CA0F">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（2）严格执行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工程的合同文件，自觉按合同办事。</w:t>
      </w:r>
    </w:p>
    <w:p w14:paraId="519F6647">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（3）双方的业务活动坚持公开、公正、诚信、透明的原则（法律认定的商业秘密和合同文件另有规定除外），不得损害国家和集体利益，违反工程建设管理规章制度。</w:t>
      </w:r>
    </w:p>
    <w:p w14:paraId="5DEF46E4">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（4）建立健全廉政制度，开展廉政教育，设立廉政告示牌，公布举报电话，监督并认真查处违法违纪行为。</w:t>
      </w:r>
    </w:p>
    <w:p w14:paraId="12097D25">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（5）发现对方在业务活动中有违反廉政规定的行为，有及时提醒对方纠正的权利及义务。</w:t>
      </w:r>
    </w:p>
    <w:p w14:paraId="0BCF7FE4">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（6）发现对方严重违反本合同义务条款的行为，有向其上级有关部门举报、建议给予处理并要求告知处理结果的权利。</w:t>
      </w:r>
    </w:p>
    <w:p w14:paraId="64B8E9CA">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1299" w:name="_Toc419363881"/>
      <w:r>
        <w:rPr>
          <w:rFonts w:hint="eastAsia" w:ascii="宋体" w:hAnsi="宋体" w:eastAsia="宋体" w:cs="宋体"/>
          <w:color w:val="auto"/>
          <w:szCs w:val="21"/>
          <w:highlight w:val="none"/>
        </w:rPr>
        <w:t>2.甲方的义务</w:t>
      </w:r>
      <w:bookmarkEnd w:id="1299"/>
    </w:p>
    <w:p w14:paraId="7B86826F">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（1）甲方及其工作人员不得索要或接受乙方的礼金、有价证券和贵重物品，不得在乙方报销任何应由甲方或甲方工作人员个人支付的费用等。</w:t>
      </w:r>
    </w:p>
    <w:p w14:paraId="5EC55166">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（2）甲方工作人员不得参加乙方安排的超标准宴请和娱乐活动；不得接受乙方提供的通讯工具、交通工具和高档办公用品等。</w:t>
      </w:r>
    </w:p>
    <w:p w14:paraId="4EA3561B">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（3）甲方及其工作人员不得要求或者接受乙方为其住房装修、婚丧嫁娶活动、配偶子女的工作安排以及出国出境、旅游等提供方便等。</w:t>
      </w:r>
    </w:p>
    <w:p w14:paraId="238AEBDC">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（4）甲方工作人及其配偶、子女不得从事与甲方工程有关的材料设备供应、工程分包、劳务等经济活动等。</w:t>
      </w:r>
    </w:p>
    <w:p w14:paraId="24C9D8F0">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（5）甲方及其工作人员不得以任何理由向乙方推荐分包单位或推销材料，不得要求乙方购买合同规定外的材料和设备。</w:t>
      </w:r>
    </w:p>
    <w:p w14:paraId="1074DDFE">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（6）甲方工作人员要秉公办事，不准营私舞弊，不准利用职权从事各种个人有偿中介活动和安排个人施工队伍。</w:t>
      </w:r>
    </w:p>
    <w:p w14:paraId="27A039DE">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1300" w:name="_Toc419363882"/>
      <w:r>
        <w:rPr>
          <w:rFonts w:hint="eastAsia" w:ascii="宋体" w:hAnsi="宋体" w:eastAsia="宋体" w:cs="宋体"/>
          <w:color w:val="auto"/>
          <w:szCs w:val="21"/>
          <w:highlight w:val="none"/>
        </w:rPr>
        <w:t>3.乙方义务</w:t>
      </w:r>
      <w:bookmarkEnd w:id="1300"/>
    </w:p>
    <w:p w14:paraId="5A9E88DE">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（1）乙方不得以任何理由向甲方及其工作人员行贿或馈赠礼金、有价证券、贵重礼品。</w:t>
      </w:r>
    </w:p>
    <w:p w14:paraId="6103F31F">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（2）乙方不得以任何名义为甲方及其工作人员报销应由甲方单位或个人支付的任何费用。</w:t>
      </w:r>
    </w:p>
    <w:p w14:paraId="50731D88">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（3）乙方不得以任何理由安排甲方工作人员参加超标准宴请及娱乐活动。</w:t>
      </w:r>
    </w:p>
    <w:p w14:paraId="0748D372">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（4）乙方不得为甲方单位和个人购置或提供通讯工具、交通工具和高档办公用品等。</w:t>
      </w:r>
    </w:p>
    <w:p w14:paraId="5C3E9F03">
      <w:pPr>
        <w:pStyle w:val="58"/>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 xml:space="preserve"> 4.违约责任</w:t>
      </w:r>
    </w:p>
    <w:p w14:paraId="614D20D3">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（1）甲方及其工作人员违反本合同第一、二条，按管理权限，依据有关规定给予党纪、政纪或组织处理；涉嫌犯罪的，移交司法机关追究刑事责任；给乙方单位造成经济损失的，应予以赔偿。</w:t>
      </w:r>
    </w:p>
    <w:p w14:paraId="7844ECE8">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21EC6A65">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5.双方约定</w:t>
      </w:r>
      <w:r>
        <w:rPr>
          <w:rFonts w:hint="eastAsia" w:ascii="宋体" w:hAnsi="宋体" w:eastAsia="宋体" w:cs="宋体"/>
          <w:color w:val="auto"/>
          <w:szCs w:val="21"/>
          <w:highlight w:val="none"/>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2B8692B8">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6.本合同有效期为甲乙双签署之日起至该工程项目竣工验收后止。</w:t>
      </w:r>
    </w:p>
    <w:p w14:paraId="38EE680A">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7.本合同作为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工程总承包合同的附件，与工程施工合同具有同等的法律效力。</w:t>
      </w:r>
    </w:p>
    <w:p w14:paraId="19AF1A64">
      <w:pPr>
        <w:pStyle w:val="58"/>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8. 本合同作为主合同附件，正本和副本份数与本合同专用条款第19.2条的约定相同。由双方法定代表人或其授权的代理人签署与加盖公章后生效，全部工程竣工验收后失效。</w:t>
      </w:r>
    </w:p>
    <w:p w14:paraId="663D7402">
      <w:pPr>
        <w:pStyle w:val="58"/>
        <w:spacing w:line="360" w:lineRule="auto"/>
        <w:rPr>
          <w:rFonts w:hint="eastAsia" w:ascii="宋体" w:hAnsi="宋体" w:eastAsia="宋体" w:cs="宋体"/>
          <w:color w:val="auto"/>
          <w:szCs w:val="21"/>
          <w:highlight w:val="none"/>
        </w:rPr>
      </w:pPr>
    </w:p>
    <w:p w14:paraId="1D55C33C">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发包人： </w:t>
      </w:r>
    </w:p>
    <w:p w14:paraId="05A0975D">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（公章或合同专用章）          </w:t>
      </w:r>
    </w:p>
    <w:p w14:paraId="534AB4BE">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p>
    <w:p w14:paraId="08F69B8A">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                     　　</w:t>
      </w:r>
    </w:p>
    <w:p w14:paraId="7DCB2587">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5DF2E248">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242BCB0D">
      <w:pPr>
        <w:pStyle w:val="58"/>
        <w:spacing w:line="360" w:lineRule="auto"/>
        <w:rPr>
          <w:rFonts w:hint="eastAsia" w:ascii="宋体" w:hAnsi="宋体" w:eastAsia="宋体" w:cs="宋体"/>
          <w:color w:val="auto"/>
          <w:szCs w:val="21"/>
          <w:highlight w:val="none"/>
        </w:rPr>
      </w:pPr>
    </w:p>
    <w:p w14:paraId="7DB57876">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承包人：            （公章或合同专用章）          </w:t>
      </w:r>
    </w:p>
    <w:p w14:paraId="2BC74B5B">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p>
    <w:p w14:paraId="5A52100A">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                      　</w:t>
      </w:r>
    </w:p>
    <w:p w14:paraId="256E83D6">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7584E6B9">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56B48B51">
      <w:pPr>
        <w:pStyle w:val="58"/>
        <w:spacing w:line="360" w:lineRule="auto"/>
        <w:rPr>
          <w:rFonts w:hint="eastAsia" w:ascii="宋体" w:hAnsi="宋体" w:eastAsia="宋体" w:cs="宋体"/>
          <w:color w:val="auto"/>
          <w:szCs w:val="21"/>
          <w:highlight w:val="none"/>
        </w:rPr>
      </w:pPr>
    </w:p>
    <w:p w14:paraId="3745AE0C">
      <w:pPr>
        <w:pStyle w:val="58"/>
        <w:spacing w:line="360" w:lineRule="auto"/>
        <w:rPr>
          <w:rFonts w:hint="eastAsia" w:ascii="宋体" w:hAnsi="宋体" w:eastAsia="宋体" w:cs="宋体"/>
          <w:color w:val="auto"/>
          <w:szCs w:val="21"/>
          <w:highlight w:val="none"/>
        </w:rPr>
      </w:pPr>
    </w:p>
    <w:p w14:paraId="3370BCB4">
      <w:pPr>
        <w:pStyle w:val="58"/>
        <w:spacing w:line="360" w:lineRule="auto"/>
        <w:rPr>
          <w:rFonts w:hint="eastAsia" w:ascii="宋体" w:hAnsi="宋体" w:eastAsia="宋体" w:cs="宋体"/>
          <w:color w:val="auto"/>
          <w:szCs w:val="21"/>
          <w:highlight w:val="none"/>
        </w:rPr>
      </w:pPr>
    </w:p>
    <w:p w14:paraId="6CBF2BC1">
      <w:pPr>
        <w:pStyle w:val="58"/>
        <w:spacing w:line="360" w:lineRule="auto"/>
        <w:rPr>
          <w:rFonts w:hint="eastAsia" w:ascii="宋体" w:hAnsi="宋体" w:eastAsia="宋体" w:cs="宋体"/>
          <w:color w:val="auto"/>
          <w:szCs w:val="21"/>
          <w:highlight w:val="none"/>
        </w:rPr>
      </w:pPr>
    </w:p>
    <w:p w14:paraId="3BFB6727">
      <w:pPr>
        <w:pStyle w:val="58"/>
        <w:spacing w:line="360" w:lineRule="auto"/>
        <w:rPr>
          <w:rFonts w:hint="eastAsia" w:ascii="宋体" w:hAnsi="宋体" w:eastAsia="宋体" w:cs="宋体"/>
          <w:color w:val="auto"/>
          <w:szCs w:val="21"/>
          <w:highlight w:val="none"/>
        </w:rPr>
      </w:pPr>
    </w:p>
    <w:p w14:paraId="29C0107B">
      <w:pPr>
        <w:pStyle w:val="58"/>
        <w:spacing w:line="360" w:lineRule="auto"/>
        <w:rPr>
          <w:rFonts w:hint="eastAsia" w:ascii="宋体" w:hAnsi="宋体" w:eastAsia="宋体" w:cs="宋体"/>
          <w:color w:val="auto"/>
          <w:szCs w:val="21"/>
          <w:highlight w:val="none"/>
        </w:rPr>
      </w:pPr>
    </w:p>
    <w:p w14:paraId="03C863DB">
      <w:pPr>
        <w:pStyle w:val="58"/>
        <w:spacing w:line="360" w:lineRule="auto"/>
        <w:rPr>
          <w:rFonts w:hint="eastAsia" w:ascii="宋体" w:hAnsi="宋体" w:eastAsia="宋体" w:cs="宋体"/>
          <w:color w:val="auto"/>
          <w:szCs w:val="21"/>
          <w:highlight w:val="none"/>
        </w:rPr>
      </w:pPr>
    </w:p>
    <w:p w14:paraId="7AB73D8A">
      <w:pPr>
        <w:pStyle w:val="58"/>
        <w:spacing w:line="360" w:lineRule="auto"/>
        <w:rPr>
          <w:rFonts w:hint="eastAsia" w:ascii="宋体" w:hAnsi="宋体" w:eastAsia="宋体" w:cs="宋体"/>
          <w:color w:val="auto"/>
          <w:szCs w:val="21"/>
          <w:highlight w:val="none"/>
        </w:rPr>
      </w:pPr>
    </w:p>
    <w:p w14:paraId="3CD2B5B2">
      <w:pPr>
        <w:pStyle w:val="58"/>
        <w:spacing w:line="360" w:lineRule="auto"/>
        <w:rPr>
          <w:rFonts w:hint="eastAsia" w:ascii="宋体" w:hAnsi="宋体" w:eastAsia="宋体" w:cs="宋体"/>
          <w:color w:val="auto"/>
          <w:szCs w:val="21"/>
          <w:highlight w:val="none"/>
        </w:rPr>
      </w:pPr>
    </w:p>
    <w:p w14:paraId="5941FF5B">
      <w:pPr>
        <w:pStyle w:val="58"/>
        <w:spacing w:line="360" w:lineRule="auto"/>
        <w:rPr>
          <w:rFonts w:hint="eastAsia" w:ascii="宋体" w:hAnsi="宋体" w:eastAsia="宋体" w:cs="宋体"/>
          <w:color w:val="auto"/>
          <w:szCs w:val="21"/>
          <w:highlight w:val="none"/>
        </w:rPr>
      </w:pPr>
    </w:p>
    <w:p w14:paraId="1CBABDA5">
      <w:pPr>
        <w:pStyle w:val="58"/>
        <w:spacing w:line="360" w:lineRule="auto"/>
        <w:rPr>
          <w:rFonts w:hint="eastAsia" w:ascii="宋体" w:hAnsi="宋体" w:eastAsia="宋体" w:cs="宋体"/>
          <w:color w:val="auto"/>
          <w:szCs w:val="21"/>
          <w:highlight w:val="none"/>
        </w:rPr>
      </w:pPr>
    </w:p>
    <w:p w14:paraId="3E3DBE3F">
      <w:pPr>
        <w:pStyle w:val="58"/>
        <w:spacing w:line="360" w:lineRule="auto"/>
        <w:rPr>
          <w:rFonts w:hint="eastAsia" w:ascii="宋体" w:hAnsi="宋体" w:eastAsia="宋体" w:cs="宋体"/>
          <w:color w:val="auto"/>
          <w:szCs w:val="21"/>
          <w:highlight w:val="none"/>
        </w:rPr>
      </w:pPr>
    </w:p>
    <w:p w14:paraId="1C2150B1">
      <w:pPr>
        <w:pStyle w:val="58"/>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安全生产合同</w:t>
      </w:r>
    </w:p>
    <w:p w14:paraId="5195964B">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施工合同的实施过程中创造安全、高效的施工环境，切实搞好本项目的安全管理工作，本项目业主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（以下简称“甲方”）与承包人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（以下简称“乙方”）特此签订安全生产合同：</w:t>
      </w:r>
    </w:p>
    <w:p w14:paraId="3423411C">
      <w:pPr>
        <w:pStyle w:val="58"/>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bookmarkStart w:id="1301" w:name="_Toc419363884"/>
      <w:r>
        <w:rPr>
          <w:rFonts w:hint="eastAsia" w:ascii="宋体" w:hAnsi="宋体" w:eastAsia="宋体" w:cs="宋体"/>
          <w:b/>
          <w:color w:val="auto"/>
          <w:szCs w:val="21"/>
          <w:highlight w:val="none"/>
        </w:rPr>
        <w:t>一、甲方职责</w:t>
      </w:r>
      <w:bookmarkEnd w:id="1301"/>
    </w:p>
    <w:p w14:paraId="45683472">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1.严格遵守国家有关安全生产的法律法规，认真执行工程承包合同中的有关安全要求。</w:t>
      </w:r>
    </w:p>
    <w:p w14:paraId="37DE0878">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2.按照“安全第一、预防为主”和坚持“管生产必须管安全”的原则进行安全生产管理，做到生产与安全工作同时计划、布置、检查、总结和评比。</w:t>
      </w:r>
    </w:p>
    <w:p w14:paraId="6B9E9373">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3.重要的安全设施必须坚持与主体工程“三同时”的原则，即：同时设计、审批，同时施工，同时验收，投入使用。</w:t>
      </w:r>
    </w:p>
    <w:p w14:paraId="14E2B9A7">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4.定期召开安全生产调度会，及时传达中央及地方有关安全生产的精神。</w:t>
      </w:r>
    </w:p>
    <w:p w14:paraId="7D6625AE">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5.组织对乙方施工现场安全生产检查，监督乙方及时处理发现的各种安全隐患。</w:t>
      </w:r>
    </w:p>
    <w:p w14:paraId="184F5A3E">
      <w:pPr>
        <w:pStyle w:val="58"/>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bookmarkStart w:id="1302" w:name="_Toc419363885"/>
      <w:r>
        <w:rPr>
          <w:rFonts w:hint="eastAsia" w:ascii="宋体" w:hAnsi="宋体" w:eastAsia="宋体" w:cs="宋体"/>
          <w:b/>
          <w:color w:val="auto"/>
          <w:szCs w:val="21"/>
          <w:highlight w:val="none"/>
        </w:rPr>
        <w:t>二、乙方职责</w:t>
      </w:r>
      <w:bookmarkEnd w:id="1302"/>
    </w:p>
    <w:p w14:paraId="2738949E">
      <w:pPr>
        <w:pStyle w:val="58"/>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1.严格遵守国家有关安全生产的法律法规及建筑工程有关安全生产的规定，认真执行工程承包合同中的有关安全要求。</w:t>
      </w:r>
    </w:p>
    <w:p w14:paraId="7D89CF10">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184E7253">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1D60159E">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4.乙方在任何时候都应采取各种合理的预防措施，防止其员工发生任何违法、违禁、暴力或妨碍治安的行为。</w:t>
      </w:r>
    </w:p>
    <w:p w14:paraId="62A2959B">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5E6298B5">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CEC198C">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7.操作人员上岗，必须按规定穿戴防护用品。项目经理和安全检查员应随时检查劳动防护用品的穿戴情况，不按规定穿戴防护用品的人员不得上岗。</w:t>
      </w:r>
    </w:p>
    <w:p w14:paraId="03138294">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8.所有施工机械设备和高空作业的设备均应定期检查，并有安全员的签字记录，保证其经常处于完好状态；不合格的机具、设备和劳动保护用品严禁使用。</w:t>
      </w:r>
    </w:p>
    <w:p w14:paraId="38BDD02E">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9.施工中采用新技术、新工艺、新设备、新材料时，必须制定相应的安全技术措施，施工现场必须具有相关的安全标志牌。</w:t>
      </w:r>
    </w:p>
    <w:p w14:paraId="37FE300E">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65DF8C15">
      <w:pPr>
        <w:pStyle w:val="58"/>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 xml:space="preserve"> </w:t>
      </w:r>
      <w:bookmarkStart w:id="1303" w:name="_Toc419363886"/>
      <w:r>
        <w:rPr>
          <w:rFonts w:hint="eastAsia" w:ascii="宋体" w:hAnsi="宋体" w:eastAsia="宋体" w:cs="宋体"/>
          <w:b/>
          <w:color w:val="auto"/>
          <w:szCs w:val="21"/>
          <w:highlight w:val="none"/>
        </w:rPr>
        <w:t>三、违约责任</w:t>
      </w:r>
      <w:bookmarkEnd w:id="1303"/>
    </w:p>
    <w:p w14:paraId="44CDC0E6">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如因甲方或乙方违约造成安全事故，将依法追究责任。</w:t>
      </w:r>
    </w:p>
    <w:p w14:paraId="7D8ADB24">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本合同作为主合同附件，正本和副本份数与本合同专用条款的约定相同。由双方法定代表人或其授权的代理人签署与加盖公章后生效，全部工程竣工验收后失效。</w:t>
      </w:r>
    </w:p>
    <w:p w14:paraId="2CD622C8">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发包人： </w:t>
      </w:r>
    </w:p>
    <w:p w14:paraId="772DFC7C">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（公章或合同专用章）          </w:t>
      </w:r>
    </w:p>
    <w:p w14:paraId="633824F2">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p>
    <w:p w14:paraId="647D373F">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                     　　</w:t>
      </w:r>
    </w:p>
    <w:p w14:paraId="5F3D2137">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045FCCF8">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0812C709">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承包人：             （公章或合同专用章）          </w:t>
      </w:r>
    </w:p>
    <w:p w14:paraId="533E2437">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p>
    <w:p w14:paraId="3982B03C">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                      　</w:t>
      </w:r>
    </w:p>
    <w:p w14:paraId="08155567">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678F6FD8">
      <w:pPr>
        <w:pStyle w:val="5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48A6BC69">
      <w:pPr>
        <w:snapToGrid w:val="0"/>
        <w:spacing w:line="360" w:lineRule="auto"/>
        <w:ind w:firstLine="420" w:firstLineChars="200"/>
        <w:rPr>
          <w:rFonts w:hint="eastAsia" w:ascii="宋体" w:hAnsi="宋体" w:eastAsia="宋体" w:cs="宋体"/>
          <w:color w:val="auto"/>
          <w:sz w:val="21"/>
          <w:szCs w:val="21"/>
          <w:highlight w:val="none"/>
        </w:rPr>
      </w:pPr>
    </w:p>
    <w:p w14:paraId="6D772633">
      <w:pPr>
        <w:snapToGrid w:val="0"/>
        <w:spacing w:line="360" w:lineRule="auto"/>
        <w:rPr>
          <w:rFonts w:hint="eastAsia" w:ascii="宋体" w:hAnsi="宋体" w:eastAsia="宋体" w:cs="宋体"/>
          <w:color w:val="auto"/>
          <w:sz w:val="21"/>
          <w:szCs w:val="21"/>
          <w:highlight w:val="none"/>
        </w:rPr>
      </w:pPr>
    </w:p>
    <w:p w14:paraId="56E7935D">
      <w:pPr>
        <w:snapToGrid w:val="0"/>
        <w:spacing w:line="360" w:lineRule="auto"/>
        <w:rPr>
          <w:rFonts w:hint="eastAsia" w:ascii="宋体" w:hAnsi="宋体" w:eastAsia="宋体" w:cs="宋体"/>
          <w:color w:val="auto"/>
          <w:sz w:val="21"/>
          <w:szCs w:val="21"/>
          <w:highlight w:val="none"/>
        </w:rPr>
      </w:pPr>
    </w:p>
    <w:p w14:paraId="148D415D">
      <w:pPr>
        <w:snapToGrid w:val="0"/>
        <w:spacing w:line="360" w:lineRule="auto"/>
        <w:rPr>
          <w:rFonts w:hint="eastAsia" w:ascii="宋体" w:hAnsi="宋体" w:eastAsia="宋体" w:cs="宋体"/>
          <w:color w:val="auto"/>
          <w:sz w:val="21"/>
          <w:szCs w:val="21"/>
          <w:highlight w:val="none"/>
        </w:rPr>
      </w:pPr>
    </w:p>
    <w:p w14:paraId="6861E1C5">
      <w:pPr>
        <w:snapToGrid w:val="0"/>
        <w:spacing w:line="360" w:lineRule="auto"/>
        <w:rPr>
          <w:rFonts w:hint="eastAsia" w:ascii="宋体" w:hAnsi="宋体" w:eastAsia="宋体" w:cs="宋体"/>
          <w:color w:val="auto"/>
          <w:sz w:val="21"/>
          <w:szCs w:val="21"/>
          <w:highlight w:val="none"/>
        </w:rPr>
      </w:pPr>
    </w:p>
    <w:p w14:paraId="5A2BFF10">
      <w:pPr>
        <w:snapToGrid w:val="0"/>
        <w:spacing w:line="360" w:lineRule="auto"/>
        <w:rPr>
          <w:rFonts w:hint="eastAsia" w:ascii="宋体" w:hAnsi="宋体" w:eastAsia="宋体" w:cs="宋体"/>
          <w:color w:val="auto"/>
          <w:sz w:val="21"/>
          <w:szCs w:val="21"/>
          <w:highlight w:val="none"/>
        </w:rPr>
      </w:pPr>
    </w:p>
    <w:p w14:paraId="41B5DAE8">
      <w:pPr>
        <w:snapToGrid w:val="0"/>
        <w:spacing w:line="360" w:lineRule="auto"/>
        <w:rPr>
          <w:rFonts w:hint="eastAsia" w:ascii="宋体" w:hAnsi="宋体" w:eastAsia="宋体" w:cs="宋体"/>
          <w:color w:val="auto"/>
          <w:sz w:val="21"/>
          <w:szCs w:val="21"/>
          <w:highlight w:val="none"/>
        </w:rPr>
      </w:pPr>
    </w:p>
    <w:p w14:paraId="20E5542D">
      <w:pPr>
        <w:snapToGrid w:val="0"/>
        <w:spacing w:line="360" w:lineRule="auto"/>
        <w:rPr>
          <w:rFonts w:hint="eastAsia" w:ascii="宋体" w:hAnsi="宋体" w:eastAsia="宋体" w:cs="宋体"/>
          <w:color w:val="auto"/>
          <w:sz w:val="21"/>
          <w:szCs w:val="21"/>
          <w:highlight w:val="none"/>
        </w:rPr>
      </w:pPr>
    </w:p>
    <w:p w14:paraId="5373A771">
      <w:pPr>
        <w:snapToGrid w:val="0"/>
        <w:spacing w:line="360" w:lineRule="auto"/>
        <w:rPr>
          <w:rFonts w:hint="eastAsia" w:ascii="宋体" w:hAnsi="宋体" w:eastAsia="宋体" w:cs="宋体"/>
          <w:color w:val="auto"/>
          <w:sz w:val="21"/>
          <w:szCs w:val="21"/>
          <w:highlight w:val="none"/>
        </w:rPr>
      </w:pPr>
    </w:p>
    <w:p w14:paraId="04193615">
      <w:pPr>
        <w:snapToGrid w:val="0"/>
        <w:spacing w:line="360" w:lineRule="auto"/>
        <w:rPr>
          <w:rFonts w:hint="eastAsia" w:ascii="宋体" w:hAnsi="宋体" w:eastAsia="宋体" w:cs="宋体"/>
          <w:color w:val="auto"/>
          <w:sz w:val="21"/>
          <w:szCs w:val="21"/>
          <w:highlight w:val="none"/>
        </w:rPr>
      </w:pPr>
    </w:p>
    <w:p w14:paraId="055F05B1">
      <w:pPr>
        <w:snapToGrid w:val="0"/>
        <w:spacing w:line="360" w:lineRule="auto"/>
        <w:rPr>
          <w:rFonts w:hint="eastAsia" w:ascii="宋体" w:hAnsi="宋体" w:cs="宋体"/>
          <w:b/>
          <w:bCs/>
          <w:color w:val="auto"/>
          <w:sz w:val="44"/>
          <w:highlight w:val="none"/>
        </w:rPr>
      </w:pPr>
    </w:p>
    <w:p w14:paraId="004ED864">
      <w:pPr>
        <w:snapToGrid w:val="0"/>
        <w:spacing w:line="360" w:lineRule="auto"/>
        <w:rPr>
          <w:rFonts w:hint="eastAsia" w:ascii="宋体" w:hAnsi="宋体" w:cs="宋体"/>
          <w:b/>
          <w:bCs/>
          <w:color w:val="auto"/>
          <w:sz w:val="44"/>
          <w:highlight w:val="none"/>
        </w:rPr>
      </w:pPr>
    </w:p>
    <w:p w14:paraId="29714421">
      <w:pPr>
        <w:pStyle w:val="2"/>
        <w:jc w:val="center"/>
        <w:rPr>
          <w:rFonts w:hint="eastAsia" w:ascii="宋体" w:hAnsi="宋体" w:cs="宋体"/>
          <w:b w:val="0"/>
          <w:color w:val="auto"/>
          <w:highlight w:val="none"/>
        </w:rPr>
      </w:pPr>
      <w:bookmarkStart w:id="1304" w:name="_Toc22933"/>
    </w:p>
    <w:p w14:paraId="4ADD42D1">
      <w:pPr>
        <w:pStyle w:val="2"/>
        <w:jc w:val="center"/>
        <w:rPr>
          <w:rFonts w:hint="eastAsia" w:ascii="宋体" w:hAnsi="宋体" w:cs="宋体"/>
          <w:b w:val="0"/>
          <w:color w:val="auto"/>
          <w:highlight w:val="none"/>
        </w:rPr>
      </w:pPr>
    </w:p>
    <w:p w14:paraId="02DBF214">
      <w:pPr>
        <w:pStyle w:val="2"/>
        <w:jc w:val="center"/>
        <w:rPr>
          <w:rFonts w:ascii="宋体" w:hAnsi="宋体" w:cs="宋体"/>
          <w:color w:val="auto"/>
          <w:highlight w:val="none"/>
        </w:rPr>
      </w:pPr>
      <w:r>
        <w:rPr>
          <w:rFonts w:hint="eastAsia" w:ascii="宋体" w:hAnsi="宋体" w:cs="宋体"/>
          <w:b w:val="0"/>
          <w:color w:val="auto"/>
          <w:highlight w:val="none"/>
        </w:rPr>
        <w:t>第</w:t>
      </w:r>
      <w:r>
        <w:rPr>
          <w:rFonts w:hint="eastAsia" w:ascii="宋体" w:hAnsi="宋体" w:cs="宋体"/>
          <w:b w:val="0"/>
          <w:color w:val="auto"/>
          <w:highlight w:val="none"/>
          <w:lang w:val="en-US" w:eastAsia="zh-CN"/>
        </w:rPr>
        <w:t>七</w:t>
      </w:r>
      <w:r>
        <w:rPr>
          <w:rFonts w:hint="eastAsia" w:ascii="宋体" w:hAnsi="宋体" w:cs="宋体"/>
          <w:b w:val="0"/>
          <w:color w:val="auto"/>
          <w:highlight w:val="none"/>
        </w:rPr>
        <w:t>章 质疑、投诉材料格式</w:t>
      </w:r>
      <w:bookmarkEnd w:id="1304"/>
    </w:p>
    <w:p w14:paraId="336906C5">
      <w:pPr>
        <w:widowControl/>
        <w:spacing w:line="576" w:lineRule="auto"/>
        <w:jc w:val="left"/>
        <w:rPr>
          <w:rFonts w:ascii="宋体" w:hAnsi="宋体" w:cs="宋体"/>
          <w:b/>
          <w:bCs/>
          <w:color w:val="auto"/>
          <w:kern w:val="44"/>
          <w:sz w:val="44"/>
          <w:szCs w:val="44"/>
          <w:highlight w:val="none"/>
        </w:rPr>
        <w:sectPr>
          <w:headerReference r:id="rId9" w:type="default"/>
          <w:footerReference r:id="rId10" w:type="default"/>
          <w:pgSz w:w="11910" w:h="16840"/>
          <w:pgMar w:top="1340" w:right="1500" w:bottom="280" w:left="1680" w:header="720" w:footer="720" w:gutter="0"/>
          <w:cols w:space="720" w:num="1"/>
        </w:sectPr>
      </w:pPr>
    </w:p>
    <w:p w14:paraId="6D64CD80">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594CCDFF">
      <w:pPr>
        <w:pStyle w:val="16"/>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59FCBDCB">
      <w:pPr>
        <w:pStyle w:val="1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AFB9597">
      <w:pPr>
        <w:pStyle w:val="16"/>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998D848">
      <w:pPr>
        <w:pStyle w:val="16"/>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0D8C75F">
      <w:pPr>
        <w:pStyle w:val="16"/>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9F51520">
      <w:pPr>
        <w:pStyle w:val="1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A56D6EB">
      <w:pPr>
        <w:pStyle w:val="16"/>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78F18DA">
      <w:pPr>
        <w:pStyle w:val="16"/>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67EA101C">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305" w:name="PO_3000001868_PM002_16"/>
      <w:r>
        <w:rPr>
          <w:rFonts w:hint="eastAsia" w:hAnsi="宋体" w:cs="宋体"/>
          <w:bCs/>
          <w:color w:val="auto"/>
          <w:sz w:val="24"/>
          <w:szCs w:val="24"/>
          <w:highlight w:val="none"/>
          <w:u w:val="single"/>
        </w:rPr>
        <w:t>[项目名称]</w:t>
      </w:r>
      <w:bookmarkEnd w:id="1305"/>
      <w:r>
        <w:rPr>
          <w:rFonts w:hint="eastAsia" w:hAnsi="宋体" w:cs="宋体"/>
          <w:bCs/>
          <w:color w:val="auto"/>
          <w:sz w:val="24"/>
          <w:szCs w:val="24"/>
          <w:highlight w:val="none"/>
          <w:u w:val="single"/>
        </w:rPr>
        <w:t xml:space="preserve"> </w:t>
      </w:r>
    </w:p>
    <w:p w14:paraId="7958F274">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1306" w:name="PO_3000001868_PM001_13"/>
      <w:r>
        <w:rPr>
          <w:rFonts w:hint="eastAsia" w:hAnsi="宋体" w:cs="宋体"/>
          <w:bCs/>
          <w:color w:val="auto"/>
          <w:sz w:val="24"/>
          <w:szCs w:val="24"/>
          <w:highlight w:val="none"/>
          <w:u w:val="single"/>
        </w:rPr>
        <w:t>[项目编号]</w:t>
      </w:r>
      <w:bookmarkEnd w:id="1306"/>
      <w:r>
        <w:rPr>
          <w:rFonts w:hint="eastAsia" w:hAnsi="宋体" w:cs="宋体"/>
          <w:bCs/>
          <w:color w:val="auto"/>
          <w:sz w:val="24"/>
          <w:szCs w:val="24"/>
          <w:highlight w:val="none"/>
          <w:u w:val="single"/>
        </w:rPr>
        <w:t xml:space="preserve"> </w:t>
      </w:r>
    </w:p>
    <w:p w14:paraId="706FFB41">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307" w:name="PO_3000001868_PM026_7"/>
      <w:r>
        <w:rPr>
          <w:rFonts w:hint="eastAsia" w:hAnsi="宋体" w:cs="宋体"/>
          <w:bCs/>
          <w:color w:val="auto"/>
          <w:sz w:val="24"/>
          <w:szCs w:val="24"/>
          <w:highlight w:val="none"/>
          <w:u w:val="single"/>
        </w:rPr>
        <w:t>[采购人]</w:t>
      </w:r>
      <w:bookmarkEnd w:id="1307"/>
      <w:r>
        <w:rPr>
          <w:rFonts w:hint="eastAsia" w:hAnsi="宋体" w:cs="宋体"/>
          <w:bCs/>
          <w:color w:val="auto"/>
          <w:sz w:val="24"/>
          <w:szCs w:val="24"/>
          <w:highlight w:val="none"/>
          <w:u w:val="single"/>
        </w:rPr>
        <w:t xml:space="preserve">  </w:t>
      </w:r>
    </w:p>
    <w:p w14:paraId="7FDA222E">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4C8FF7AA">
      <w:pPr>
        <w:pStyle w:val="16"/>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71B1F377">
      <w:pPr>
        <w:pStyle w:val="16"/>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4906FBDC">
      <w:pPr>
        <w:pStyle w:val="16"/>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45F1A26A">
      <w:pPr>
        <w:pStyle w:val="16"/>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3412E131">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5431EF2D">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031090F">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52E5E34C">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63CBE049">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2BFFFE22">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3F3039C7">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210CA300">
      <w:pPr>
        <w:pStyle w:val="16"/>
        <w:spacing w:line="360" w:lineRule="auto"/>
        <w:ind w:left="25" w:leftChars="12" w:firstLine="352" w:firstLineChars="147"/>
        <w:contextualSpacing/>
        <w:rPr>
          <w:rFonts w:hAnsi="宋体" w:cs="宋体"/>
          <w:color w:val="auto"/>
          <w:sz w:val="24"/>
          <w:szCs w:val="24"/>
          <w:highlight w:val="none"/>
        </w:rPr>
      </w:pPr>
    </w:p>
    <w:p w14:paraId="236A222C">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06A7725E">
      <w:pPr>
        <w:pStyle w:val="16"/>
        <w:spacing w:line="360" w:lineRule="auto"/>
        <w:ind w:left="25" w:leftChars="12" w:firstLine="352" w:firstLineChars="147"/>
        <w:contextualSpacing/>
        <w:rPr>
          <w:rFonts w:hAnsi="宋体" w:cs="宋体"/>
          <w:color w:val="auto"/>
          <w:sz w:val="24"/>
          <w:szCs w:val="24"/>
          <w:highlight w:val="none"/>
        </w:rPr>
      </w:pPr>
    </w:p>
    <w:p w14:paraId="59E52658">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4BA71205">
      <w:pPr>
        <w:pStyle w:val="16"/>
        <w:spacing w:line="360" w:lineRule="auto"/>
        <w:rPr>
          <w:rFonts w:hAnsi="宋体" w:cs="宋体"/>
          <w:b/>
          <w:color w:val="auto"/>
          <w:sz w:val="24"/>
          <w:szCs w:val="24"/>
          <w:highlight w:val="none"/>
        </w:rPr>
      </w:pPr>
    </w:p>
    <w:p w14:paraId="602ACD30">
      <w:pPr>
        <w:pStyle w:val="16"/>
        <w:spacing w:line="360" w:lineRule="auto"/>
        <w:rPr>
          <w:rFonts w:hAnsi="宋体" w:cs="宋体"/>
          <w:b/>
          <w:color w:val="auto"/>
          <w:sz w:val="24"/>
          <w:szCs w:val="24"/>
          <w:highlight w:val="none"/>
        </w:rPr>
      </w:pPr>
    </w:p>
    <w:p w14:paraId="6E00EDBE">
      <w:pPr>
        <w:pStyle w:val="16"/>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29BAAE93">
      <w:pPr>
        <w:pStyle w:val="16"/>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2CD21658">
      <w:pPr>
        <w:pStyle w:val="16"/>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39E280">
      <w:pPr>
        <w:pStyle w:val="16"/>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1AB7DD0D">
      <w:pPr>
        <w:pStyle w:val="16"/>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31820611">
      <w:pPr>
        <w:pStyle w:val="16"/>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4A779B4">
      <w:pPr>
        <w:pStyle w:val="16"/>
        <w:snapToGrid w:val="0"/>
        <w:rPr>
          <w:rFonts w:hAnsi="宋体" w:cs="宋体"/>
          <w:b/>
          <w:color w:val="auto"/>
          <w:sz w:val="24"/>
          <w:szCs w:val="24"/>
          <w:highlight w:val="none"/>
        </w:rPr>
      </w:pPr>
    </w:p>
    <w:p w14:paraId="1C57DEB2">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302D3189">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D538240">
      <w:pPr>
        <w:pStyle w:val="16"/>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489ECD63">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6BF577D">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729A791">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3A6ACB31">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D0DC5D2">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7E96DC3">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188AF340">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26D4BA0">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63D6255D">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A979AF1">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55ECF31">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251A9A7">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515D4AA0">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62A588F8">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768164C2">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0C5915EA">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195A70E">
      <w:pPr>
        <w:pStyle w:val="16"/>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4556BFF0">
      <w:pPr>
        <w:pStyle w:val="1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308" w:name="PO_3000001868_PM002_17"/>
      <w:r>
        <w:rPr>
          <w:rFonts w:hint="eastAsia" w:hAnsi="宋体" w:cs="宋体"/>
          <w:bCs/>
          <w:color w:val="auto"/>
          <w:sz w:val="24"/>
          <w:szCs w:val="24"/>
          <w:highlight w:val="none"/>
          <w:u w:val="single"/>
        </w:rPr>
        <w:t>[项目名称]</w:t>
      </w:r>
      <w:bookmarkEnd w:id="1308"/>
      <w:r>
        <w:rPr>
          <w:rFonts w:hint="eastAsia" w:hAnsi="宋体" w:cs="宋体"/>
          <w:bCs/>
          <w:color w:val="auto"/>
          <w:sz w:val="24"/>
          <w:szCs w:val="24"/>
          <w:highlight w:val="none"/>
          <w:u w:val="single"/>
        </w:rPr>
        <w:t xml:space="preserve">    </w:t>
      </w:r>
    </w:p>
    <w:p w14:paraId="5C06F2C4">
      <w:pPr>
        <w:pStyle w:val="1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1309" w:name="PO_3000001868_PM001_14"/>
      <w:r>
        <w:rPr>
          <w:rFonts w:hint="eastAsia" w:hAnsi="宋体" w:cs="宋体"/>
          <w:bCs/>
          <w:color w:val="auto"/>
          <w:sz w:val="24"/>
          <w:szCs w:val="24"/>
          <w:highlight w:val="none"/>
          <w:u w:val="single"/>
        </w:rPr>
        <w:t>[项目编号]</w:t>
      </w:r>
      <w:bookmarkEnd w:id="1309"/>
      <w:r>
        <w:rPr>
          <w:rFonts w:hint="eastAsia" w:hAnsi="宋体" w:cs="宋体"/>
          <w:bCs/>
          <w:color w:val="auto"/>
          <w:sz w:val="24"/>
          <w:szCs w:val="24"/>
          <w:highlight w:val="none"/>
          <w:u w:val="single"/>
        </w:rPr>
        <w:t xml:space="preserve">    </w:t>
      </w:r>
    </w:p>
    <w:p w14:paraId="242C24CB">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310" w:name="PO_3000001868_PM026_8"/>
      <w:r>
        <w:rPr>
          <w:rFonts w:hint="eastAsia" w:hAnsi="宋体" w:cs="宋体"/>
          <w:bCs/>
          <w:color w:val="auto"/>
          <w:sz w:val="24"/>
          <w:szCs w:val="24"/>
          <w:highlight w:val="none"/>
          <w:u w:val="single"/>
        </w:rPr>
        <w:t>[采购人]</w:t>
      </w:r>
      <w:bookmarkEnd w:id="1310"/>
      <w:r>
        <w:rPr>
          <w:rFonts w:hint="eastAsia" w:hAnsi="宋体" w:cs="宋体"/>
          <w:bCs/>
          <w:color w:val="auto"/>
          <w:sz w:val="24"/>
          <w:szCs w:val="24"/>
          <w:highlight w:val="none"/>
          <w:u w:val="single"/>
        </w:rPr>
        <w:t xml:space="preserve">                </w:t>
      </w:r>
    </w:p>
    <w:p w14:paraId="64A41407">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1311" w:name="PO_3000001868_PM031_5"/>
      <w:r>
        <w:rPr>
          <w:rFonts w:hint="eastAsia" w:hAnsi="宋体" w:cs="宋体"/>
          <w:bCs/>
          <w:color w:val="auto"/>
          <w:sz w:val="24"/>
          <w:szCs w:val="24"/>
          <w:highlight w:val="none"/>
          <w:u w:val="single"/>
        </w:rPr>
        <w:t>[采购组织机构]</w:t>
      </w:r>
      <w:bookmarkEnd w:id="1311"/>
      <w:r>
        <w:rPr>
          <w:rFonts w:hint="eastAsia" w:hAnsi="宋体" w:cs="宋体"/>
          <w:bCs/>
          <w:color w:val="auto"/>
          <w:sz w:val="24"/>
          <w:szCs w:val="24"/>
          <w:highlight w:val="none"/>
          <w:u w:val="single"/>
        </w:rPr>
        <w:t xml:space="preserve">                </w:t>
      </w:r>
    </w:p>
    <w:p w14:paraId="484DADEA">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6A4E023">
      <w:pPr>
        <w:pStyle w:val="16"/>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59FE363E">
      <w:pPr>
        <w:pStyle w:val="16"/>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299622E6">
      <w:pPr>
        <w:pStyle w:val="1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5F82A780">
      <w:pPr>
        <w:pStyle w:val="16"/>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45DE08B">
      <w:pPr>
        <w:pStyle w:val="16"/>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58A35688">
      <w:pPr>
        <w:pStyle w:val="16"/>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658D5170">
      <w:pPr>
        <w:pStyle w:val="16"/>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23DC7E56">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7545C917">
      <w:pPr>
        <w:pStyle w:val="1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81311B0">
      <w:pPr>
        <w:pStyle w:val="1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4709F30A">
      <w:pPr>
        <w:pStyle w:val="1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4ABB881">
      <w:pPr>
        <w:pStyle w:val="16"/>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41F8FD03">
      <w:pPr>
        <w:pStyle w:val="16"/>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3FC1AE56">
      <w:pPr>
        <w:pStyle w:val="16"/>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6765E4D0">
      <w:pPr>
        <w:pStyle w:val="16"/>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1950882B">
      <w:pPr>
        <w:pStyle w:val="1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0E650AB4">
      <w:pPr>
        <w:pStyle w:val="16"/>
        <w:spacing w:line="360" w:lineRule="auto"/>
        <w:ind w:left="25" w:leftChars="12" w:firstLine="352" w:firstLineChars="147"/>
        <w:rPr>
          <w:rFonts w:hAnsi="宋体" w:cs="宋体"/>
          <w:color w:val="auto"/>
          <w:sz w:val="24"/>
          <w:szCs w:val="24"/>
          <w:highlight w:val="none"/>
        </w:rPr>
      </w:pPr>
    </w:p>
    <w:p w14:paraId="4B0ECDD9">
      <w:pPr>
        <w:pStyle w:val="1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84A975A">
      <w:pPr>
        <w:pStyle w:val="16"/>
        <w:spacing w:line="360" w:lineRule="auto"/>
        <w:ind w:left="25" w:leftChars="12" w:firstLine="352" w:firstLineChars="147"/>
        <w:rPr>
          <w:rFonts w:hAnsi="宋体" w:cs="宋体"/>
          <w:color w:val="auto"/>
          <w:sz w:val="24"/>
          <w:szCs w:val="24"/>
          <w:highlight w:val="none"/>
        </w:rPr>
      </w:pPr>
    </w:p>
    <w:p w14:paraId="6A84E464">
      <w:pPr>
        <w:pStyle w:val="1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789363F4">
      <w:pPr>
        <w:pStyle w:val="1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188E32D1">
      <w:pPr>
        <w:pStyle w:val="16"/>
        <w:snapToGrid w:val="0"/>
        <w:spacing w:line="360" w:lineRule="auto"/>
        <w:rPr>
          <w:rFonts w:hAnsi="宋体" w:cs="宋体"/>
          <w:b/>
          <w:color w:val="auto"/>
          <w:sz w:val="24"/>
          <w:szCs w:val="24"/>
          <w:highlight w:val="none"/>
        </w:rPr>
      </w:pPr>
    </w:p>
    <w:p w14:paraId="4B9A905A">
      <w:pPr>
        <w:pStyle w:val="16"/>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12167488">
      <w:pPr>
        <w:pStyle w:val="16"/>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6248F90B">
      <w:pPr>
        <w:pStyle w:val="1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CA8E455">
      <w:pPr>
        <w:pStyle w:val="1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2F0B2A3">
      <w:pPr>
        <w:pStyle w:val="1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15B1E9E2">
      <w:pPr>
        <w:pStyle w:val="1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7082B0A6">
      <w:pPr>
        <w:pStyle w:val="16"/>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FB5E13C">
      <w:pPr>
        <w:rPr>
          <w:rFonts w:ascii="宋体" w:hAnsi="宋体" w:cs="宋体"/>
          <w:color w:val="auto"/>
          <w:highlight w:val="none"/>
        </w:rPr>
      </w:pPr>
    </w:p>
    <w:p w14:paraId="043B05EB">
      <w:pPr>
        <w:rPr>
          <w:rFonts w:ascii="宋体" w:hAnsi="宋体" w:cs="宋体"/>
          <w:color w:val="auto"/>
          <w:highlight w:val="none"/>
        </w:rPr>
      </w:pPr>
    </w:p>
    <w:sectPr>
      <w:footerReference r:id="rId12" w:type="firs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_HKSCS">
    <w:altName w:val="PMingLiU-ExtB"/>
    <w:panose1 w:val="02020500000000000000"/>
    <w:charset w:val="88"/>
    <w:family w:val="roman"/>
    <w:pitch w:val="default"/>
    <w:sig w:usb0="00000000" w:usb1="00000000"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5F85">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FCAC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DFCAC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4ACC">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972B1">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0C972B1">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09EA2">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FE59C">
                          <w:pPr>
                            <w:pStyle w:val="1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30FE59C">
                    <w:pPr>
                      <w:pStyle w:val="1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5E8BB">
    <w:pPr>
      <w:pStyle w:val="12"/>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33933A">
                          <w:pPr>
                            <w:pStyle w:val="19"/>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2633933A">
                    <w:pPr>
                      <w:pStyle w:val="1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74E1C">
    <w:pPr>
      <w:pStyle w:val="12"/>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46EEFF">
                          <w:pPr>
                            <w:pStyle w:val="19"/>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246EEFF">
                    <w:pPr>
                      <w:pStyle w:val="1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F847">
    <w:pPr>
      <w:pStyle w:val="19"/>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B0F83">
                          <w:pPr>
                            <w:pStyle w:val="19"/>
                            <w:jc w:val="right"/>
                          </w:pPr>
                          <w:r>
                            <w:fldChar w:fldCharType="begin"/>
                          </w:r>
                          <w:r>
                            <w:instrText xml:space="preserve">PAGE   \* MERGEFORMAT</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13B0F83">
                    <w:pPr>
                      <w:pStyle w:val="19"/>
                      <w:jc w:val="right"/>
                    </w:pPr>
                    <w:r>
                      <w:fldChar w:fldCharType="begin"/>
                    </w:r>
                    <w:r>
                      <w:instrText xml:space="preserve">PAGE   \* MERGEFORMAT</w:instrText>
                    </w:r>
                    <w:r>
                      <w:fldChar w:fldCharType="separate"/>
                    </w:r>
                    <w:r>
                      <w:t>149</w:t>
                    </w:r>
                    <w:r>
                      <w:fldChar w:fldCharType="end"/>
                    </w:r>
                  </w:p>
                </w:txbxContent>
              </v:textbox>
            </v:shape>
          </w:pict>
        </mc:Fallback>
      </mc:AlternateContent>
    </w:r>
  </w:p>
  <w:p w14:paraId="01AAB62B">
    <w:pPr>
      <w:pStyle w:val="12"/>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48DB">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322A8C">
                          <w:pPr>
                            <w:pStyle w:val="19"/>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B322A8C">
                    <w:pPr>
                      <w:pStyle w:val="19"/>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6AD23F0C">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23A51">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C799A">
                          <w:pPr>
                            <w:pStyle w:val="19"/>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C799A">
                    <w:pPr>
                      <w:pStyle w:val="19"/>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D120D">
    <w:pPr>
      <w:pStyle w:val="20"/>
      <w:rPr>
        <w:rFonts w:hint="eastAsia"/>
        <w:lang w:val="en-US" w:eastAsia="zh-CN"/>
      </w:rPr>
    </w:pPr>
  </w:p>
  <w:p w14:paraId="174A5529">
    <w:pPr>
      <w:pStyle w:val="20"/>
    </w:pPr>
    <w:r>
      <w:rPr>
        <w:rFonts w:hint="eastAsia"/>
        <w:lang w:val="en-US" w:eastAsia="zh-CN"/>
      </w:rPr>
      <w:t>靖西市</w:t>
    </w:r>
    <w:r>
      <w:rPr>
        <w:rFonts w:hint="eastAsia"/>
      </w:rPr>
      <w:t>政府采购竞争性磋商采购文件（项目编号：</w:t>
    </w:r>
    <w:r>
      <w:rPr>
        <w:rFonts w:hint="eastAsia"/>
        <w:lang w:eastAsia="zh-CN"/>
      </w:rPr>
      <w:t>BSZC2026-C2-250079-GXZZ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46C47">
    <w:pPr>
      <w:pStyle w:val="20"/>
    </w:pPr>
    <w:r>
      <w:rPr>
        <w:rFonts w:hint="eastAsia"/>
        <w:lang w:val="en-US" w:eastAsia="zh-CN"/>
      </w:rPr>
      <w:t>靖西市</w:t>
    </w:r>
    <w:r>
      <w:rPr>
        <w:rFonts w:hint="eastAsia"/>
      </w:rPr>
      <w:t>政府采购竞争性磋商采购文件（项目编号：</w:t>
    </w:r>
    <w:r>
      <w:rPr>
        <w:rFonts w:hint="eastAsia"/>
        <w:lang w:eastAsia="zh-CN"/>
      </w:rPr>
      <w:t>BSZC2026-C2-250079-GXZZ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359FE"/>
    <w:multiLevelType w:val="singleLevel"/>
    <w:tmpl w:val="881359FE"/>
    <w:lvl w:ilvl="0" w:tentative="0">
      <w:start w:val="3"/>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498E193"/>
    <w:multiLevelType w:val="singleLevel"/>
    <w:tmpl w:val="5498E193"/>
    <w:lvl w:ilvl="0" w:tentative="0">
      <w:start w:val="11"/>
      <w:numFmt w:val="decimal"/>
      <w:suff w:val="space"/>
      <w:lvlText w:val="%1."/>
      <w:lvlJc w:val="left"/>
    </w:lvl>
  </w:abstractNum>
  <w:abstractNum w:abstractNumId="3">
    <w:nsid w:val="72668605"/>
    <w:multiLevelType w:val="singleLevel"/>
    <w:tmpl w:val="72668605"/>
    <w:lvl w:ilvl="0" w:tentative="0">
      <w:start w:val="1"/>
      <w:numFmt w:val="decimal"/>
      <w:pStyle w:val="8"/>
      <w:lvlText w:val="%1."/>
      <w:lvlJc w:val="left"/>
      <w:pPr>
        <w:tabs>
          <w:tab w:val="left" w:pos="360"/>
        </w:tabs>
        <w:ind w:left="360" w:hanging="36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6D5EE2"/>
    <w:rsid w:val="00733D07"/>
    <w:rsid w:val="00733FD2"/>
    <w:rsid w:val="00773247"/>
    <w:rsid w:val="00854C70"/>
    <w:rsid w:val="00896A26"/>
    <w:rsid w:val="00B477E1"/>
    <w:rsid w:val="00E02320"/>
    <w:rsid w:val="00E076C4"/>
    <w:rsid w:val="019D115B"/>
    <w:rsid w:val="01A544B3"/>
    <w:rsid w:val="01E12EDC"/>
    <w:rsid w:val="036B73FD"/>
    <w:rsid w:val="03FB241F"/>
    <w:rsid w:val="04342351"/>
    <w:rsid w:val="044062CF"/>
    <w:rsid w:val="04EF179B"/>
    <w:rsid w:val="05B72A07"/>
    <w:rsid w:val="05ED5A8A"/>
    <w:rsid w:val="05F4078D"/>
    <w:rsid w:val="06A41694"/>
    <w:rsid w:val="07CA4C73"/>
    <w:rsid w:val="08783670"/>
    <w:rsid w:val="08910034"/>
    <w:rsid w:val="08991ACC"/>
    <w:rsid w:val="089D5EE4"/>
    <w:rsid w:val="09024057"/>
    <w:rsid w:val="099427CD"/>
    <w:rsid w:val="09F61AD0"/>
    <w:rsid w:val="0BEC2D80"/>
    <w:rsid w:val="0C973ECB"/>
    <w:rsid w:val="0D163349"/>
    <w:rsid w:val="0DC05864"/>
    <w:rsid w:val="0DC07915"/>
    <w:rsid w:val="0EC1756E"/>
    <w:rsid w:val="0EE643B4"/>
    <w:rsid w:val="0F6028B6"/>
    <w:rsid w:val="0F764D32"/>
    <w:rsid w:val="0F8971C2"/>
    <w:rsid w:val="0FB80919"/>
    <w:rsid w:val="109B4FBA"/>
    <w:rsid w:val="11162CD7"/>
    <w:rsid w:val="112D117D"/>
    <w:rsid w:val="11543B08"/>
    <w:rsid w:val="11877731"/>
    <w:rsid w:val="12C97B2F"/>
    <w:rsid w:val="130A43AE"/>
    <w:rsid w:val="131F22A7"/>
    <w:rsid w:val="142A139F"/>
    <w:rsid w:val="14B542EB"/>
    <w:rsid w:val="14C65C60"/>
    <w:rsid w:val="16C2757B"/>
    <w:rsid w:val="18083A36"/>
    <w:rsid w:val="1811456D"/>
    <w:rsid w:val="18A701A3"/>
    <w:rsid w:val="194A3256"/>
    <w:rsid w:val="1972759F"/>
    <w:rsid w:val="1AEF0255"/>
    <w:rsid w:val="1B02285F"/>
    <w:rsid w:val="1B490020"/>
    <w:rsid w:val="1C5C7765"/>
    <w:rsid w:val="1CA7512B"/>
    <w:rsid w:val="1CEE24C8"/>
    <w:rsid w:val="1D617B9C"/>
    <w:rsid w:val="1D8B67FB"/>
    <w:rsid w:val="1DAD75B8"/>
    <w:rsid w:val="1DC37378"/>
    <w:rsid w:val="1E1F4DBD"/>
    <w:rsid w:val="1F1A4A57"/>
    <w:rsid w:val="1F212D50"/>
    <w:rsid w:val="20017188"/>
    <w:rsid w:val="2120569A"/>
    <w:rsid w:val="217C0935"/>
    <w:rsid w:val="22B569E9"/>
    <w:rsid w:val="239530E4"/>
    <w:rsid w:val="23CF3DE7"/>
    <w:rsid w:val="23E838BA"/>
    <w:rsid w:val="242730CC"/>
    <w:rsid w:val="2446625A"/>
    <w:rsid w:val="2446627D"/>
    <w:rsid w:val="24C02C1C"/>
    <w:rsid w:val="2A2A6F25"/>
    <w:rsid w:val="2A571F3F"/>
    <w:rsid w:val="2A804DF0"/>
    <w:rsid w:val="2AB25C8A"/>
    <w:rsid w:val="2B453FF0"/>
    <w:rsid w:val="2B637489"/>
    <w:rsid w:val="2B871081"/>
    <w:rsid w:val="2B974544"/>
    <w:rsid w:val="2C5920F8"/>
    <w:rsid w:val="2D27638F"/>
    <w:rsid w:val="2D8868B3"/>
    <w:rsid w:val="2DD161DF"/>
    <w:rsid w:val="2E60104E"/>
    <w:rsid w:val="2ED26B1C"/>
    <w:rsid w:val="2F7B74D5"/>
    <w:rsid w:val="30884178"/>
    <w:rsid w:val="3179279B"/>
    <w:rsid w:val="317A73C5"/>
    <w:rsid w:val="31863561"/>
    <w:rsid w:val="31946B55"/>
    <w:rsid w:val="32AA339D"/>
    <w:rsid w:val="340547BA"/>
    <w:rsid w:val="346B4DFC"/>
    <w:rsid w:val="34B87A7E"/>
    <w:rsid w:val="350D3D50"/>
    <w:rsid w:val="35731BF7"/>
    <w:rsid w:val="35AA4124"/>
    <w:rsid w:val="35D3093F"/>
    <w:rsid w:val="37015A22"/>
    <w:rsid w:val="374049B2"/>
    <w:rsid w:val="374101FF"/>
    <w:rsid w:val="378B08A8"/>
    <w:rsid w:val="379A790F"/>
    <w:rsid w:val="3844421F"/>
    <w:rsid w:val="38531657"/>
    <w:rsid w:val="38757231"/>
    <w:rsid w:val="39333B77"/>
    <w:rsid w:val="39414E76"/>
    <w:rsid w:val="395028AA"/>
    <w:rsid w:val="3A7D30CD"/>
    <w:rsid w:val="3B4C7172"/>
    <w:rsid w:val="3B7D557D"/>
    <w:rsid w:val="3BA90E6E"/>
    <w:rsid w:val="3BAD594C"/>
    <w:rsid w:val="3CE65E70"/>
    <w:rsid w:val="3D2D7F80"/>
    <w:rsid w:val="3D3D401B"/>
    <w:rsid w:val="3DA9191C"/>
    <w:rsid w:val="3E4D56DB"/>
    <w:rsid w:val="3EE8025C"/>
    <w:rsid w:val="3F0A4723"/>
    <w:rsid w:val="3F5E1222"/>
    <w:rsid w:val="3F9609BC"/>
    <w:rsid w:val="3FD20B5E"/>
    <w:rsid w:val="3FDA0AE8"/>
    <w:rsid w:val="41310CE3"/>
    <w:rsid w:val="41D2177E"/>
    <w:rsid w:val="42A862AF"/>
    <w:rsid w:val="42AB7679"/>
    <w:rsid w:val="433B3F5B"/>
    <w:rsid w:val="434D1256"/>
    <w:rsid w:val="436D5ED7"/>
    <w:rsid w:val="43804DDE"/>
    <w:rsid w:val="43A74487"/>
    <w:rsid w:val="43E749DE"/>
    <w:rsid w:val="440A3726"/>
    <w:rsid w:val="44C61B6C"/>
    <w:rsid w:val="45F97FFB"/>
    <w:rsid w:val="4614088C"/>
    <w:rsid w:val="461E0F86"/>
    <w:rsid w:val="47036501"/>
    <w:rsid w:val="470C7D34"/>
    <w:rsid w:val="473D0DA5"/>
    <w:rsid w:val="47810087"/>
    <w:rsid w:val="487041FF"/>
    <w:rsid w:val="488643E5"/>
    <w:rsid w:val="48E91EBC"/>
    <w:rsid w:val="48EC24D3"/>
    <w:rsid w:val="493A429A"/>
    <w:rsid w:val="493E48DC"/>
    <w:rsid w:val="493F3E72"/>
    <w:rsid w:val="49522471"/>
    <w:rsid w:val="49675177"/>
    <w:rsid w:val="49B40F54"/>
    <w:rsid w:val="49E66D09"/>
    <w:rsid w:val="4A6F7BCC"/>
    <w:rsid w:val="4A881849"/>
    <w:rsid w:val="4AA55CF2"/>
    <w:rsid w:val="4B1530DD"/>
    <w:rsid w:val="4B164BCA"/>
    <w:rsid w:val="4B3A716F"/>
    <w:rsid w:val="4B931AB6"/>
    <w:rsid w:val="4C0F2086"/>
    <w:rsid w:val="4C3374BB"/>
    <w:rsid w:val="4C925E54"/>
    <w:rsid w:val="4CB66890"/>
    <w:rsid w:val="4CE0771A"/>
    <w:rsid w:val="4D08629D"/>
    <w:rsid w:val="4D2B1E2E"/>
    <w:rsid w:val="4D6B7C12"/>
    <w:rsid w:val="4DB513F5"/>
    <w:rsid w:val="4DBA440F"/>
    <w:rsid w:val="4E056C19"/>
    <w:rsid w:val="4E0E32EC"/>
    <w:rsid w:val="4E6006FE"/>
    <w:rsid w:val="4E6A1991"/>
    <w:rsid w:val="4E6F6C65"/>
    <w:rsid w:val="4FD55530"/>
    <w:rsid w:val="50125E3D"/>
    <w:rsid w:val="50141FA4"/>
    <w:rsid w:val="50D420F0"/>
    <w:rsid w:val="510A6F88"/>
    <w:rsid w:val="51551A45"/>
    <w:rsid w:val="519F45AD"/>
    <w:rsid w:val="52285CE0"/>
    <w:rsid w:val="52CA68C2"/>
    <w:rsid w:val="52CD68BD"/>
    <w:rsid w:val="52E15F9A"/>
    <w:rsid w:val="5340714E"/>
    <w:rsid w:val="546227DC"/>
    <w:rsid w:val="54F26A43"/>
    <w:rsid w:val="55BC456E"/>
    <w:rsid w:val="566E6C91"/>
    <w:rsid w:val="57600F2A"/>
    <w:rsid w:val="5829145C"/>
    <w:rsid w:val="582A3264"/>
    <w:rsid w:val="5855720E"/>
    <w:rsid w:val="58814E71"/>
    <w:rsid w:val="58AE3C3E"/>
    <w:rsid w:val="58E40592"/>
    <w:rsid w:val="58F86F27"/>
    <w:rsid w:val="5AFD14B3"/>
    <w:rsid w:val="5B0171D9"/>
    <w:rsid w:val="5B3C2907"/>
    <w:rsid w:val="5B3C46B5"/>
    <w:rsid w:val="5BAD7361"/>
    <w:rsid w:val="5BE55F21"/>
    <w:rsid w:val="5BEA08CD"/>
    <w:rsid w:val="5C1B4AA7"/>
    <w:rsid w:val="5C420DAC"/>
    <w:rsid w:val="5C5B1863"/>
    <w:rsid w:val="5C733338"/>
    <w:rsid w:val="5CB051EA"/>
    <w:rsid w:val="5D2418A5"/>
    <w:rsid w:val="5D34405E"/>
    <w:rsid w:val="5D9F6070"/>
    <w:rsid w:val="5DF946AA"/>
    <w:rsid w:val="5EDC1325"/>
    <w:rsid w:val="5F5E109E"/>
    <w:rsid w:val="5F746A5C"/>
    <w:rsid w:val="5FA40A7B"/>
    <w:rsid w:val="5FBA74FE"/>
    <w:rsid w:val="60492303"/>
    <w:rsid w:val="60E30C65"/>
    <w:rsid w:val="61B01959"/>
    <w:rsid w:val="6231659D"/>
    <w:rsid w:val="62806114"/>
    <w:rsid w:val="634F3056"/>
    <w:rsid w:val="63B3128D"/>
    <w:rsid w:val="64073002"/>
    <w:rsid w:val="64485466"/>
    <w:rsid w:val="64973793"/>
    <w:rsid w:val="64AD319B"/>
    <w:rsid w:val="64CE0732"/>
    <w:rsid w:val="654D349C"/>
    <w:rsid w:val="666A1688"/>
    <w:rsid w:val="672229B1"/>
    <w:rsid w:val="67D768A8"/>
    <w:rsid w:val="68481CB4"/>
    <w:rsid w:val="684D788C"/>
    <w:rsid w:val="69643755"/>
    <w:rsid w:val="69E76134"/>
    <w:rsid w:val="6A3505E0"/>
    <w:rsid w:val="6A6E6F63"/>
    <w:rsid w:val="6A9E049B"/>
    <w:rsid w:val="6C427652"/>
    <w:rsid w:val="6C5664BB"/>
    <w:rsid w:val="6C892993"/>
    <w:rsid w:val="6CBA7B30"/>
    <w:rsid w:val="6D5F0968"/>
    <w:rsid w:val="6D90547A"/>
    <w:rsid w:val="6EE73126"/>
    <w:rsid w:val="6F372DE2"/>
    <w:rsid w:val="70654C6E"/>
    <w:rsid w:val="719A20AB"/>
    <w:rsid w:val="71DF335D"/>
    <w:rsid w:val="72590521"/>
    <w:rsid w:val="72701EDF"/>
    <w:rsid w:val="72A61AB8"/>
    <w:rsid w:val="72C80B2E"/>
    <w:rsid w:val="737F2F3A"/>
    <w:rsid w:val="73BE1CB4"/>
    <w:rsid w:val="73C92407"/>
    <w:rsid w:val="740F250F"/>
    <w:rsid w:val="75376578"/>
    <w:rsid w:val="75930F1E"/>
    <w:rsid w:val="770F1730"/>
    <w:rsid w:val="77F74806"/>
    <w:rsid w:val="788C05D2"/>
    <w:rsid w:val="788D26EB"/>
    <w:rsid w:val="7895331B"/>
    <w:rsid w:val="79FF3026"/>
    <w:rsid w:val="7A7F5410"/>
    <w:rsid w:val="7AB914B6"/>
    <w:rsid w:val="7C464F3C"/>
    <w:rsid w:val="7C8342AF"/>
    <w:rsid w:val="7D3C187C"/>
    <w:rsid w:val="7D5E0064"/>
    <w:rsid w:val="7E6D4A02"/>
    <w:rsid w:val="7ED740F4"/>
    <w:rsid w:val="7F0013D2"/>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7"/>
    <w:basedOn w:val="1"/>
    <w:next w:val="1"/>
    <w:qFormat/>
    <w:uiPriority w:val="1"/>
    <w:pPr>
      <w:spacing w:before="47"/>
      <w:jc w:val="center"/>
      <w:outlineLvl w:val="6"/>
    </w:pPr>
    <w:rPr>
      <w:rFonts w:ascii="宋体" w:hAnsi="宋体" w:eastAsia="宋体" w:cs="宋体"/>
      <w:sz w:val="30"/>
      <w:szCs w:val="30"/>
      <w:lang w:val="zh-CN" w:eastAsia="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99"/>
    <w:pPr>
      <w:ind w:left="1400" w:leftChars="1400"/>
    </w:pPr>
  </w:style>
  <w:style w:type="paragraph" w:styleId="8">
    <w:name w:val="List Number"/>
    <w:basedOn w:val="1"/>
    <w:qFormat/>
    <w:uiPriority w:val="0"/>
    <w:pPr>
      <w:numPr>
        <w:ilvl w:val="0"/>
        <w:numId w:val="1"/>
      </w:numPr>
    </w:pPr>
  </w:style>
  <w:style w:type="paragraph" w:styleId="9">
    <w:name w:val="Normal Indent"/>
    <w:basedOn w:val="1"/>
    <w:qFormat/>
    <w:uiPriority w:val="99"/>
    <w:pPr>
      <w:ind w:firstLine="420"/>
    </w:pPr>
    <w:rPr>
      <w:szCs w:val="20"/>
    </w:rPr>
  </w:style>
  <w:style w:type="paragraph" w:styleId="10">
    <w:name w:val="annotation text"/>
    <w:basedOn w:val="1"/>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w:basedOn w:val="1"/>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next w:val="1"/>
    <w:qFormat/>
    <w:uiPriority w:val="0"/>
    <w:rPr>
      <w:rFonts w:ascii="宋体" w:hAnsi="Courier New"/>
      <w:kern w:val="0"/>
      <w:sz w:val="20"/>
      <w:szCs w:val="21"/>
    </w:rPr>
  </w:style>
  <w:style w:type="paragraph" w:styleId="17">
    <w:name w:val="Body Text Indent 2"/>
    <w:basedOn w:val="1"/>
    <w:qFormat/>
    <w:uiPriority w:val="99"/>
    <w:pPr>
      <w:spacing w:after="120" w:line="480" w:lineRule="auto"/>
      <w:ind w:left="420" w:leftChars="200"/>
    </w:pPr>
    <w:rPr>
      <w:sz w:val="24"/>
    </w:rPr>
  </w:style>
  <w:style w:type="paragraph" w:styleId="18">
    <w:name w:val="Balloon Text"/>
    <w:basedOn w:val="1"/>
    <w:link w:val="45"/>
    <w:qFormat/>
    <w:uiPriority w:val="0"/>
    <w:rPr>
      <w:sz w:val="18"/>
      <w:szCs w:val="18"/>
    </w:rPr>
  </w:style>
  <w:style w:type="paragraph" w:styleId="19">
    <w:name w:val="footer"/>
    <w:basedOn w:val="1"/>
    <w:unhideWhenUsed/>
    <w:qFormat/>
    <w:uiPriority w:val="99"/>
    <w:pPr>
      <w:tabs>
        <w:tab w:val="center" w:pos="4153"/>
        <w:tab w:val="right" w:pos="8306"/>
      </w:tabs>
      <w:snapToGrid w:val="0"/>
      <w:jc w:val="left"/>
    </w:pPr>
    <w:rPr>
      <w:kern w:val="0"/>
      <w:sz w:val="18"/>
      <w:szCs w:val="18"/>
    </w:rPr>
  </w:style>
  <w:style w:type="paragraph" w:styleId="2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List"/>
    <w:basedOn w:val="1"/>
    <w:unhideWhenUsed/>
    <w:qFormat/>
    <w:uiPriority w:val="99"/>
    <w:pPr>
      <w:ind w:left="200" w:hanging="200" w:hangingChars="200"/>
      <w:contextualSpacing/>
    </w:pPr>
  </w:style>
  <w:style w:type="paragraph" w:styleId="23">
    <w:name w:val="footnote text"/>
    <w:basedOn w:val="1"/>
    <w:qFormat/>
    <w:uiPriority w:val="0"/>
    <w:pPr>
      <w:adjustRightInd w:val="0"/>
      <w:spacing w:line="312" w:lineRule="atLeast"/>
      <w:jc w:val="left"/>
      <w:textAlignment w:val="baseline"/>
    </w:pPr>
    <w:rPr>
      <w:kern w:val="0"/>
      <w:sz w:val="18"/>
      <w:szCs w:val="18"/>
    </w:rPr>
  </w:style>
  <w:style w:type="paragraph" w:styleId="24">
    <w:name w:val="toc 2"/>
    <w:basedOn w:val="1"/>
    <w:next w:val="1"/>
    <w:unhideWhenUsed/>
    <w:qFormat/>
    <w:uiPriority w:val="39"/>
    <w:pPr>
      <w:tabs>
        <w:tab w:val="right" w:leader="dot" w:pos="8296"/>
      </w:tabs>
      <w:ind w:left="420" w:leftChars="200"/>
    </w:pPr>
  </w:style>
  <w:style w:type="paragraph" w:styleId="25">
    <w:name w:val="Normal (Web)"/>
    <w:basedOn w:val="1"/>
    <w:qFormat/>
    <w:uiPriority w:val="0"/>
    <w:pPr>
      <w:spacing w:before="100" w:beforeAutospacing="1" w:after="100" w:afterAutospacing="1"/>
      <w:jc w:val="left"/>
    </w:pPr>
    <w:rPr>
      <w:kern w:val="0"/>
      <w:sz w:val="24"/>
    </w:rPr>
  </w:style>
  <w:style w:type="paragraph" w:styleId="26">
    <w:name w:val="Body Text First Indent 2"/>
    <w:basedOn w:val="13"/>
    <w:unhideWhenUsed/>
    <w:qFormat/>
    <w:uiPriority w:val="99"/>
    <w:pPr>
      <w:ind w:firstLine="420" w:firstLineChars="200"/>
    </w:p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Hyperlink"/>
    <w:unhideWhenUsed/>
    <w:qFormat/>
    <w:uiPriority w:val="99"/>
    <w:rPr>
      <w:color w:val="0000FF"/>
      <w:u w:val="single"/>
    </w:rPr>
  </w:style>
  <w:style w:type="character" w:styleId="32">
    <w:name w:val="annotation reference"/>
    <w:basedOn w:val="29"/>
    <w:qFormat/>
    <w:uiPriority w:val="99"/>
    <w:rPr>
      <w:sz w:val="21"/>
      <w:szCs w:val="21"/>
    </w:rPr>
  </w:style>
  <w:style w:type="character" w:styleId="33">
    <w:name w:val="footnote reference"/>
    <w:unhideWhenUsed/>
    <w:qFormat/>
    <w:uiPriority w:val="0"/>
    <w:rPr>
      <w:vertAlign w:val="superscript"/>
    </w:rPr>
  </w:style>
  <w:style w:type="character" w:styleId="34">
    <w:name w:val="HTML Sample"/>
    <w:basedOn w:val="29"/>
    <w:qFormat/>
    <w:uiPriority w:val="0"/>
    <w:rPr>
      <w:rFonts w:ascii="Courier New" w:hAnsi="Courier New"/>
    </w:rPr>
  </w:style>
  <w:style w:type="paragraph" w:customStyle="1" w:styleId="35">
    <w:name w:val="Title1"/>
    <w:basedOn w:val="1"/>
    <w:next w:val="1"/>
    <w:qFormat/>
    <w:uiPriority w:val="0"/>
    <w:pPr>
      <w:jc w:val="center"/>
      <w:outlineLvl w:val="0"/>
    </w:pPr>
    <w:rPr>
      <w:rFonts w:ascii="Calibri Light" w:hAnsi="Calibri Light" w:eastAsia="Arial Unicode MS"/>
      <w:b/>
    </w:rPr>
  </w:style>
  <w:style w:type="paragraph" w:customStyle="1" w:styleId="36">
    <w:name w:val="表格文字115"/>
    <w:basedOn w:val="1"/>
    <w:qFormat/>
    <w:uiPriority w:val="0"/>
    <w:pPr>
      <w:spacing w:before="25" w:after="25"/>
      <w:jc w:val="left"/>
    </w:pPr>
    <w:rPr>
      <w:bCs/>
      <w:spacing w:val="10"/>
      <w:kern w:val="0"/>
      <w:sz w:val="24"/>
    </w:rPr>
  </w:style>
  <w:style w:type="paragraph" w:customStyle="1" w:styleId="37">
    <w:name w:val="正文-公1"/>
    <w:basedOn w:val="1"/>
    <w:qFormat/>
    <w:uiPriority w:val="0"/>
    <w:pPr>
      <w:ind w:firstLine="200" w:firstLineChars="200"/>
      <w:jc w:val="left"/>
    </w:pPr>
    <w:rPr>
      <w:rFonts w:eastAsia="仿宋_GB2312"/>
    </w:rPr>
  </w:style>
  <w:style w:type="paragraph" w:customStyle="1" w:styleId="38">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9">
    <w:name w:val="正文2"/>
    <w:basedOn w:val="1"/>
    <w:qFormat/>
    <w:uiPriority w:val="0"/>
    <w:pPr>
      <w:adjustRightInd w:val="0"/>
      <w:spacing w:before="156" w:line="360" w:lineRule="auto"/>
      <w:ind w:firstLine="510" w:firstLineChars="200"/>
    </w:pPr>
    <w:rPr>
      <w:kern w:val="0"/>
      <w:sz w:val="24"/>
      <w:szCs w:val="20"/>
    </w:rPr>
  </w:style>
  <w:style w:type="paragraph" w:customStyle="1" w:styleId="40">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41">
    <w:name w:val="正文缩进1"/>
    <w:basedOn w:val="1"/>
    <w:next w:val="13"/>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2">
    <w:name w:val="Table Paragraph"/>
    <w:basedOn w:val="1"/>
    <w:qFormat/>
    <w:uiPriority w:val="1"/>
    <w:pPr>
      <w:jc w:val="left"/>
    </w:pPr>
    <w:rPr>
      <w:rFonts w:ascii="Calibri" w:hAnsi="Calibri"/>
      <w:kern w:val="0"/>
      <w:sz w:val="22"/>
      <w:szCs w:val="22"/>
      <w:lang w:eastAsia="en-US"/>
    </w:rPr>
  </w:style>
  <w:style w:type="character" w:customStyle="1" w:styleId="43">
    <w:name w:val="font91"/>
    <w:basedOn w:val="29"/>
    <w:qFormat/>
    <w:uiPriority w:val="0"/>
    <w:rPr>
      <w:rFonts w:hint="eastAsia" w:ascii="黑体" w:hAnsi="宋体" w:eastAsia="黑体" w:cs="黑体"/>
      <w:color w:val="000000"/>
      <w:sz w:val="21"/>
      <w:szCs w:val="21"/>
      <w:u w:val="none"/>
    </w:rPr>
  </w:style>
  <w:style w:type="character" w:customStyle="1" w:styleId="44">
    <w:name w:val="font61"/>
    <w:basedOn w:val="29"/>
    <w:qFormat/>
    <w:uiPriority w:val="0"/>
    <w:rPr>
      <w:rFonts w:hint="default" w:ascii="Times New Roman" w:hAnsi="Times New Roman" w:cs="Times New Roman"/>
      <w:color w:val="000000"/>
      <w:sz w:val="21"/>
      <w:szCs w:val="21"/>
      <w:u w:val="none"/>
      <w:vertAlign w:val="superscript"/>
    </w:rPr>
  </w:style>
  <w:style w:type="character" w:customStyle="1" w:styleId="45">
    <w:name w:val="批注框文本 字符"/>
    <w:basedOn w:val="29"/>
    <w:link w:val="18"/>
    <w:qFormat/>
    <w:uiPriority w:val="0"/>
    <w:rPr>
      <w:kern w:val="2"/>
      <w:sz w:val="18"/>
      <w:szCs w:val="18"/>
    </w:rPr>
  </w:style>
  <w:style w:type="paragraph" w:customStyle="1" w:styleId="46">
    <w:name w:val="首行缩进"/>
    <w:basedOn w:val="1"/>
    <w:qFormat/>
    <w:uiPriority w:val="99"/>
    <w:pPr>
      <w:ind w:firstLine="480" w:firstLineChars="200"/>
    </w:pPr>
    <w:rPr>
      <w:lang w:val="zh-CN"/>
    </w:rPr>
  </w:style>
  <w:style w:type="paragraph" w:customStyle="1" w:styleId="47">
    <w:name w:val="正文文本 (2)4"/>
    <w:basedOn w:val="1"/>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48">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9">
    <w:name w:val="Body text|1"/>
    <w:basedOn w:val="1"/>
    <w:qFormat/>
    <w:uiPriority w:val="0"/>
    <w:pPr>
      <w:spacing w:line="360" w:lineRule="auto"/>
      <w:ind w:firstLine="400"/>
    </w:pPr>
    <w:rPr>
      <w:rFonts w:ascii="宋体" w:hAnsi="宋体" w:eastAsia="宋体" w:cs="宋体"/>
      <w:color w:val="auto"/>
      <w:szCs w:val="20"/>
      <w:lang w:val="zh-CN" w:eastAsia="zh-CN" w:bidi="zh-CN"/>
    </w:rPr>
  </w:style>
  <w:style w:type="character" w:customStyle="1" w:styleId="50">
    <w:name w:val="fontstyle01"/>
    <w:basedOn w:val="29"/>
    <w:qFormat/>
    <w:uiPriority w:val="0"/>
    <w:rPr>
      <w:rFonts w:ascii="宋体" w:hAnsi="宋体" w:eastAsia="宋体" w:cs="宋体"/>
      <w:color w:val="000000"/>
      <w:sz w:val="20"/>
      <w:szCs w:val="20"/>
    </w:rPr>
  </w:style>
  <w:style w:type="paragraph" w:styleId="51">
    <w:name w:val="List Paragraph"/>
    <w:basedOn w:val="1"/>
    <w:qFormat/>
    <w:uiPriority w:val="34"/>
    <w:pPr>
      <w:ind w:firstLine="420" w:firstLineChars="200"/>
    </w:pPr>
  </w:style>
  <w:style w:type="paragraph" w:customStyle="1" w:styleId="52">
    <w:name w:val="Table Text"/>
    <w:basedOn w:val="1"/>
    <w:semiHidden/>
    <w:qFormat/>
    <w:uiPriority w:val="0"/>
    <w:rPr>
      <w:rFonts w:ascii="仿宋" w:hAnsi="仿宋" w:eastAsia="仿宋" w:cs="仿宋"/>
      <w:sz w:val="24"/>
      <w:szCs w:val="24"/>
      <w:lang w:val="en-US" w:eastAsia="en-US" w:bidi="ar-SA"/>
    </w:rPr>
  </w:style>
  <w:style w:type="table" w:customStyle="1" w:styleId="53">
    <w:name w:val="Table Normal"/>
    <w:semiHidden/>
    <w:unhideWhenUsed/>
    <w:qFormat/>
    <w:uiPriority w:val="0"/>
    <w:tblPr>
      <w:tblCellMar>
        <w:top w:w="0" w:type="dxa"/>
        <w:left w:w="0" w:type="dxa"/>
        <w:bottom w:w="0" w:type="dxa"/>
        <w:right w:w="0" w:type="dxa"/>
      </w:tblCellMar>
    </w:tblPr>
  </w:style>
  <w:style w:type="paragraph" w:customStyle="1" w:styleId="54">
    <w:name w:val="Body text|2"/>
    <w:basedOn w:val="1"/>
    <w:autoRedefine/>
    <w:qFormat/>
    <w:uiPriority w:val="0"/>
    <w:pPr>
      <w:spacing w:after="30"/>
      <w:ind w:firstLine="420"/>
    </w:pPr>
    <w:rPr>
      <w:rFonts w:eastAsia="宋体"/>
      <w:color w:val="auto"/>
      <w:szCs w:val="20"/>
      <w:lang w:bidi="ar-SA"/>
    </w:rPr>
  </w:style>
  <w:style w:type="paragraph" w:customStyle="1" w:styleId="55">
    <w:name w:val="Other|1"/>
    <w:basedOn w:val="1"/>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6">
    <w:name w:val="正文_2"/>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57">
    <w:name w:val="Normal_0"/>
    <w:qFormat/>
    <w:uiPriority w:val="0"/>
    <w:rPr>
      <w:rFonts w:ascii="Times New Roman" w:hAnsi="Times New Roman" w:eastAsia="Times New Roman" w:cs="Times New Roman"/>
      <w:sz w:val="24"/>
      <w:szCs w:val="24"/>
    </w:rPr>
  </w:style>
  <w:style w:type="paragraph" w:customStyle="1" w:styleId="58">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116</Pages>
  <Words>5659</Words>
  <Characters>6586</Characters>
  <Lines>6178</Lines>
  <Paragraphs>2622</Paragraphs>
  <TotalTime>30</TotalTime>
  <ScaleCrop>false</ScaleCrop>
  <LinksUpToDate>false</LinksUpToDate>
  <CharactersWithSpaces>6665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2023-06-13T09:54:00Z</dcterms:created>
  <dc:creator>Max</dc:creator>
  <cp:lastModifiedBy>翔燕</cp:lastModifiedBy>
  <cp:lastPrinted>2025-05-09T02:18:00Z</cp:lastPrinted>
  <dcterms:modified xsi:type="dcterms:W3CDTF">2026-05-07T01:08:17Z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C893A2CA99D048B5A58E3E2E7F5799F0_13</vt:lpwstr>
  </property>
  <property fmtid="{D5CDD505-2E9C-101B-9397-08002B2CF9AE}" pid="4" name="KSOTemplateDocerSaveRecord">
    <vt:lpwstr>eyJoZGlkIjoiYWYyNmVkMWFkNDVmM2QxNzc3YmI4OWMzYzY0M2UzZWUiLCJ1c2VySWQiOiI3MzA1OTU2MDgifQ==</vt:lpwstr>
  </property>
</Properties>
</file>